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F7" w:rsidRPr="008B468F" w:rsidRDefault="00625DAC" w:rsidP="003357B5">
      <w:pPr>
        <w:pStyle w:val="Nzev"/>
        <w:spacing w:before="2640" w:line="360" w:lineRule="auto"/>
        <w:ind w:left="142" w:right="142"/>
        <w:rPr>
          <w:szCs w:val="48"/>
        </w:rPr>
      </w:pPr>
      <w:bookmarkStart w:id="0" w:name="_Toc271103126"/>
      <w:bookmarkStart w:id="1" w:name="_Toc261508346"/>
      <w:bookmarkStart w:id="2" w:name="_GoBack"/>
      <w:bookmarkEnd w:id="2"/>
      <w:r w:rsidRPr="008B468F">
        <w:rPr>
          <w:szCs w:val="48"/>
        </w:rPr>
        <w:t>Prognóza vlivu kolektivního vyjednávání a zvyšování minimální mzdy na zaměstnanost</w:t>
      </w:r>
    </w:p>
    <w:p w:rsidR="0019150A" w:rsidRDefault="00951E4B" w:rsidP="00D34CF7">
      <w:pPr>
        <w:spacing w:before="240"/>
        <w:ind w:left="357" w:hanging="357"/>
      </w:pPr>
      <w:r>
        <w:rPr>
          <w:noProof/>
          <w:lang w:eastAsia="cs-CZ" w:bidi="ar-SA"/>
        </w:rPr>
        <mc:AlternateContent>
          <mc:Choice Requires="wps">
            <w:drawing>
              <wp:anchor distT="0" distB="0" distL="114299" distR="114299" simplePos="0" relativeHeight="251663360" behindDoc="0" locked="0" layoutInCell="1" allowOverlap="1">
                <wp:simplePos x="0" y="0"/>
                <wp:positionH relativeFrom="column">
                  <wp:posOffset>5314949</wp:posOffset>
                </wp:positionH>
                <wp:positionV relativeFrom="paragraph">
                  <wp:posOffset>3730625</wp:posOffset>
                </wp:positionV>
                <wp:extent cx="0" cy="558800"/>
                <wp:effectExtent l="0" t="0" r="19050" b="1270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line">
                          <a:avLst/>
                        </a:prstGeom>
                        <a:noFill/>
                        <a:ln w="9525" cap="rnd">
                          <a:solidFill>
                            <a:srgbClr val="9A9B9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5pt,293.75pt" to="418.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" strokecolor="#9a9b9d">
                <v:stroke dashstyle="1 1" endcap="round"/>
              </v:line>
            </w:pict>
          </mc:Fallback>
        </mc:AlternateContent>
      </w:r>
      <w:r w:rsidR="00D34CF7">
        <w:br w:type="page"/>
      </w:r>
      <w:bookmarkEnd w:id="0"/>
    </w:p>
    <w:p w:rsidR="00224A46" w:rsidRDefault="00224A46" w:rsidP="008E3C76"/>
    <w:p w:rsidR="004A05EE" w:rsidRDefault="004A05EE">
      <w:pPr>
        <w:spacing w:before="240"/>
        <w:ind w:left="357" w:hanging="357"/>
        <w:rPr>
          <w:b/>
          <w:bCs/>
          <w:color w:val="E53138"/>
          <w:kern w:val="32"/>
          <w:sz w:val="32"/>
          <w:szCs w:val="32"/>
        </w:rPr>
      </w:pPr>
      <w:r>
        <w:rPr>
          <w:b/>
          <w:bCs/>
          <w:color w:val="E53138"/>
          <w:kern w:val="32"/>
          <w:sz w:val="32"/>
          <w:szCs w:val="32"/>
        </w:rPr>
        <w:t>Obsah:</w:t>
      </w:r>
    </w:p>
    <w:p w:rsidR="004C784C" w:rsidRDefault="008A3262">
      <w:pPr>
        <w:pStyle w:val="Obsah1"/>
        <w:rPr>
          <w:rFonts w:asciiTheme="minorHAnsi" w:eastAsiaTheme="minorEastAsia" w:hAnsiTheme="minorHAnsi" w:cstheme="minorBidi"/>
          <w:sz w:val="22"/>
          <w:szCs w:val="22"/>
          <w:lang w:eastAsia="cs-CZ" w:bidi="ar-SA"/>
        </w:rPr>
      </w:pPr>
      <w:r>
        <w:rPr>
          <w:lang w:eastAsia="cs-CZ"/>
        </w:rPr>
        <w:fldChar w:fldCharType="begin"/>
      </w:r>
      <w:r w:rsidR="00077B08">
        <w:rPr>
          <w:lang w:eastAsia="cs-CZ"/>
        </w:rPr>
        <w:instrText xml:space="preserve"> TOC \o "3-3" \h \z \t "Nadpis 1;1;Nadpis 2;2" </w:instrText>
      </w:r>
      <w:r>
        <w:rPr>
          <w:lang w:eastAsia="cs-CZ"/>
        </w:rPr>
        <w:fldChar w:fldCharType="separate"/>
      </w:r>
      <w:hyperlink w:anchor="_Toc436143407" w:history="1">
        <w:r w:rsidR="004C784C" w:rsidRPr="0035651B">
          <w:rPr>
            <w:rStyle w:val="Hypertextovodkaz"/>
          </w:rPr>
          <w:t>Úvod</w:t>
        </w:r>
        <w:r w:rsidR="004C784C">
          <w:rPr>
            <w:webHidden/>
          </w:rPr>
          <w:tab/>
        </w:r>
        <w:r w:rsidR="004C784C">
          <w:rPr>
            <w:webHidden/>
          </w:rPr>
          <w:tab/>
        </w:r>
        <w:r>
          <w:rPr>
            <w:webHidden/>
          </w:rPr>
          <w:fldChar w:fldCharType="begin"/>
        </w:r>
        <w:r w:rsidR="004C784C">
          <w:rPr>
            <w:webHidden/>
          </w:rPr>
          <w:instrText xml:space="preserve"> PAGEREF _Toc436143407 \h </w:instrText>
        </w:r>
        <w:r>
          <w:rPr>
            <w:webHidden/>
          </w:rPr>
        </w:r>
        <w:r>
          <w:rPr>
            <w:webHidden/>
          </w:rPr>
          <w:fldChar w:fldCharType="separate"/>
        </w:r>
        <w:r w:rsidR="004C784C">
          <w:rPr>
            <w:webHidden/>
          </w:rPr>
          <w:t>3</w:t>
        </w:r>
        <w:r>
          <w:rPr>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08" w:history="1">
        <w:r w:rsidR="004C784C" w:rsidRPr="0035651B">
          <w:rPr>
            <w:rStyle w:val="Hypertextovodkaz"/>
          </w:rPr>
          <w:t>1.</w:t>
        </w:r>
        <w:r w:rsidR="004C784C">
          <w:rPr>
            <w:rFonts w:asciiTheme="minorHAnsi" w:eastAsiaTheme="minorEastAsia" w:hAnsiTheme="minorHAnsi" w:cstheme="minorBidi"/>
            <w:sz w:val="22"/>
            <w:szCs w:val="22"/>
            <w:lang w:eastAsia="cs-CZ" w:bidi="ar-SA"/>
          </w:rPr>
          <w:tab/>
        </w:r>
        <w:r w:rsidR="004C784C" w:rsidRPr="0035651B">
          <w:rPr>
            <w:rStyle w:val="Hypertextovodkaz"/>
          </w:rPr>
          <w:t>Vliv kolektivního vyjednávání na zaměstnanost</w:t>
        </w:r>
        <w:r w:rsidR="004C784C">
          <w:rPr>
            <w:webHidden/>
          </w:rPr>
          <w:tab/>
        </w:r>
        <w:r w:rsidR="008A3262">
          <w:rPr>
            <w:webHidden/>
          </w:rPr>
          <w:fldChar w:fldCharType="begin"/>
        </w:r>
        <w:r w:rsidR="004C784C">
          <w:rPr>
            <w:webHidden/>
          </w:rPr>
          <w:instrText xml:space="preserve"> PAGEREF _Toc436143408 \h </w:instrText>
        </w:r>
        <w:r w:rsidR="008A3262">
          <w:rPr>
            <w:webHidden/>
          </w:rPr>
        </w:r>
        <w:r w:rsidR="008A3262">
          <w:rPr>
            <w:webHidden/>
          </w:rPr>
          <w:fldChar w:fldCharType="separate"/>
        </w:r>
        <w:r w:rsidR="004C784C">
          <w:rPr>
            <w:webHidden/>
          </w:rPr>
          <w:t>5</w:t>
        </w:r>
        <w:r w:rsidR="008A3262">
          <w:rPr>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09" w:history="1">
        <w:r w:rsidR="004C784C" w:rsidRPr="0035651B">
          <w:rPr>
            <w:rStyle w:val="Hypertextovodkaz"/>
          </w:rPr>
          <w:t>2.</w:t>
        </w:r>
        <w:r w:rsidR="004C784C">
          <w:rPr>
            <w:rFonts w:asciiTheme="minorHAnsi" w:eastAsiaTheme="minorEastAsia" w:hAnsiTheme="minorHAnsi" w:cstheme="minorBidi"/>
            <w:sz w:val="22"/>
            <w:szCs w:val="22"/>
            <w:lang w:eastAsia="cs-CZ" w:bidi="ar-SA"/>
          </w:rPr>
          <w:tab/>
        </w:r>
        <w:r w:rsidR="004C784C" w:rsidRPr="0035651B">
          <w:rPr>
            <w:rStyle w:val="Hypertextovodkaz"/>
          </w:rPr>
          <w:t>Legislativní rámec kolektivního vyjednávání v ČR</w:t>
        </w:r>
        <w:r w:rsidR="004C784C">
          <w:rPr>
            <w:webHidden/>
          </w:rPr>
          <w:tab/>
        </w:r>
        <w:r w:rsidR="008A3262">
          <w:rPr>
            <w:webHidden/>
          </w:rPr>
          <w:fldChar w:fldCharType="begin"/>
        </w:r>
        <w:r w:rsidR="004C784C">
          <w:rPr>
            <w:webHidden/>
          </w:rPr>
          <w:instrText xml:space="preserve"> PAGEREF _Toc436143409 \h </w:instrText>
        </w:r>
        <w:r w:rsidR="008A3262">
          <w:rPr>
            <w:webHidden/>
          </w:rPr>
        </w:r>
        <w:r w:rsidR="008A3262">
          <w:rPr>
            <w:webHidden/>
          </w:rPr>
          <w:fldChar w:fldCharType="separate"/>
        </w:r>
        <w:r w:rsidR="004C784C">
          <w:rPr>
            <w:webHidden/>
          </w:rPr>
          <w:t>14</w:t>
        </w:r>
        <w:r w:rsidR="008A3262">
          <w:rPr>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10" w:history="1">
        <w:r w:rsidR="004C784C" w:rsidRPr="0035651B">
          <w:rPr>
            <w:rStyle w:val="Hypertextovodkaz"/>
          </w:rPr>
          <w:t>3.</w:t>
        </w:r>
        <w:r w:rsidR="004C784C">
          <w:rPr>
            <w:rFonts w:asciiTheme="minorHAnsi" w:eastAsiaTheme="minorEastAsia" w:hAnsiTheme="minorHAnsi" w:cstheme="minorBidi"/>
            <w:sz w:val="22"/>
            <w:szCs w:val="22"/>
            <w:lang w:eastAsia="cs-CZ" w:bidi="ar-SA"/>
          </w:rPr>
          <w:tab/>
        </w:r>
        <w:r w:rsidR="004C784C" w:rsidRPr="0035651B">
          <w:rPr>
            <w:rStyle w:val="Hypertextovodkaz"/>
          </w:rPr>
          <w:t>Využití kolektivního vyjednávání v jednotlivých odvětvích ČR</w:t>
        </w:r>
        <w:r w:rsidR="004C784C">
          <w:rPr>
            <w:webHidden/>
          </w:rPr>
          <w:tab/>
        </w:r>
        <w:r w:rsidR="008A3262">
          <w:rPr>
            <w:webHidden/>
          </w:rPr>
          <w:fldChar w:fldCharType="begin"/>
        </w:r>
        <w:r w:rsidR="004C784C">
          <w:rPr>
            <w:webHidden/>
          </w:rPr>
          <w:instrText xml:space="preserve"> PAGEREF _Toc436143410 \h </w:instrText>
        </w:r>
        <w:r w:rsidR="008A3262">
          <w:rPr>
            <w:webHidden/>
          </w:rPr>
        </w:r>
        <w:r w:rsidR="008A3262">
          <w:rPr>
            <w:webHidden/>
          </w:rPr>
          <w:fldChar w:fldCharType="separate"/>
        </w:r>
        <w:r w:rsidR="004C784C">
          <w:rPr>
            <w:webHidden/>
          </w:rPr>
          <w:t>18</w:t>
        </w:r>
        <w:r w:rsidR="008A3262">
          <w:rPr>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1" w:history="1">
        <w:r w:rsidR="004C784C" w:rsidRPr="0035651B">
          <w:rPr>
            <w:rStyle w:val="Hypertextovodkaz"/>
            <w:noProof/>
          </w:rPr>
          <w:t>3.1.</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Metodika a datové zdroje</w:t>
        </w:r>
        <w:r w:rsidR="004C784C">
          <w:rPr>
            <w:noProof/>
            <w:webHidden/>
          </w:rPr>
          <w:tab/>
        </w:r>
        <w:r w:rsidR="008A3262">
          <w:rPr>
            <w:noProof/>
            <w:webHidden/>
          </w:rPr>
          <w:fldChar w:fldCharType="begin"/>
        </w:r>
        <w:r w:rsidR="004C784C">
          <w:rPr>
            <w:noProof/>
            <w:webHidden/>
          </w:rPr>
          <w:instrText xml:space="preserve"> PAGEREF _Toc436143411 \h </w:instrText>
        </w:r>
        <w:r w:rsidR="008A3262">
          <w:rPr>
            <w:noProof/>
            <w:webHidden/>
          </w:rPr>
        </w:r>
        <w:r w:rsidR="008A3262">
          <w:rPr>
            <w:noProof/>
            <w:webHidden/>
          </w:rPr>
          <w:fldChar w:fldCharType="separate"/>
        </w:r>
        <w:r w:rsidR="004C784C">
          <w:rPr>
            <w:noProof/>
            <w:webHidden/>
          </w:rPr>
          <w:t>18</w:t>
        </w:r>
        <w:r w:rsidR="008A3262">
          <w:rPr>
            <w:noProof/>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2" w:history="1">
        <w:r w:rsidR="004C784C" w:rsidRPr="0035651B">
          <w:rPr>
            <w:rStyle w:val="Hypertextovodkaz"/>
            <w:noProof/>
          </w:rPr>
          <w:t>3.2.</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Podmínky činnosti odborových organizací</w:t>
        </w:r>
        <w:r w:rsidR="004C784C">
          <w:rPr>
            <w:noProof/>
            <w:webHidden/>
          </w:rPr>
          <w:tab/>
        </w:r>
        <w:r w:rsidR="008A3262">
          <w:rPr>
            <w:noProof/>
            <w:webHidden/>
          </w:rPr>
          <w:fldChar w:fldCharType="begin"/>
        </w:r>
        <w:r w:rsidR="004C784C">
          <w:rPr>
            <w:noProof/>
            <w:webHidden/>
          </w:rPr>
          <w:instrText xml:space="preserve"> PAGEREF _Toc436143412 \h </w:instrText>
        </w:r>
        <w:r w:rsidR="008A3262">
          <w:rPr>
            <w:noProof/>
            <w:webHidden/>
          </w:rPr>
        </w:r>
        <w:r w:rsidR="008A3262">
          <w:rPr>
            <w:noProof/>
            <w:webHidden/>
          </w:rPr>
          <w:fldChar w:fldCharType="separate"/>
        </w:r>
        <w:r w:rsidR="004C784C">
          <w:rPr>
            <w:noProof/>
            <w:webHidden/>
          </w:rPr>
          <w:t>19</w:t>
        </w:r>
        <w:r w:rsidR="008A3262">
          <w:rPr>
            <w:noProof/>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3" w:history="1">
        <w:r w:rsidR="004C784C" w:rsidRPr="0035651B">
          <w:rPr>
            <w:rStyle w:val="Hypertextovodkaz"/>
            <w:noProof/>
          </w:rPr>
          <w:t>3.3.</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Kolektivní vyjednávání s přímým dopadem na trh práce</w:t>
        </w:r>
        <w:r w:rsidR="004C784C">
          <w:rPr>
            <w:noProof/>
            <w:webHidden/>
          </w:rPr>
          <w:tab/>
        </w:r>
        <w:r w:rsidR="008A3262">
          <w:rPr>
            <w:noProof/>
            <w:webHidden/>
          </w:rPr>
          <w:fldChar w:fldCharType="begin"/>
        </w:r>
        <w:r w:rsidR="004C784C">
          <w:rPr>
            <w:noProof/>
            <w:webHidden/>
          </w:rPr>
          <w:instrText xml:space="preserve"> PAGEREF _Toc436143413 \h </w:instrText>
        </w:r>
        <w:r w:rsidR="008A3262">
          <w:rPr>
            <w:noProof/>
            <w:webHidden/>
          </w:rPr>
        </w:r>
        <w:r w:rsidR="008A3262">
          <w:rPr>
            <w:noProof/>
            <w:webHidden/>
          </w:rPr>
          <w:fldChar w:fldCharType="separate"/>
        </w:r>
        <w:r w:rsidR="004C784C">
          <w:rPr>
            <w:noProof/>
            <w:webHidden/>
          </w:rPr>
          <w:t>23</w:t>
        </w:r>
        <w:r w:rsidR="008A3262">
          <w:rPr>
            <w:noProof/>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14" w:history="1">
        <w:r w:rsidR="004C784C" w:rsidRPr="0035651B">
          <w:rPr>
            <w:rStyle w:val="Hypertextovodkaz"/>
          </w:rPr>
          <w:t>4.</w:t>
        </w:r>
        <w:r w:rsidR="004C784C">
          <w:rPr>
            <w:rFonts w:asciiTheme="minorHAnsi" w:eastAsiaTheme="minorEastAsia" w:hAnsiTheme="minorHAnsi" w:cstheme="minorBidi"/>
            <w:sz w:val="22"/>
            <w:szCs w:val="22"/>
            <w:lang w:eastAsia="cs-CZ" w:bidi="ar-SA"/>
          </w:rPr>
          <w:tab/>
        </w:r>
        <w:r w:rsidR="004C784C" w:rsidRPr="0035651B">
          <w:rPr>
            <w:rStyle w:val="Hypertextovodkaz"/>
          </w:rPr>
          <w:t>Vliv zvyšování minimální mzdy na požadavky v kolektivních smlouvách</w:t>
        </w:r>
        <w:r w:rsidR="004C784C">
          <w:rPr>
            <w:webHidden/>
          </w:rPr>
          <w:tab/>
        </w:r>
        <w:r w:rsidR="008A3262">
          <w:rPr>
            <w:webHidden/>
          </w:rPr>
          <w:fldChar w:fldCharType="begin"/>
        </w:r>
        <w:r w:rsidR="004C784C">
          <w:rPr>
            <w:webHidden/>
          </w:rPr>
          <w:instrText xml:space="preserve"> PAGEREF _Toc436143414 \h </w:instrText>
        </w:r>
        <w:r w:rsidR="008A3262">
          <w:rPr>
            <w:webHidden/>
          </w:rPr>
        </w:r>
        <w:r w:rsidR="008A3262">
          <w:rPr>
            <w:webHidden/>
          </w:rPr>
          <w:fldChar w:fldCharType="separate"/>
        </w:r>
        <w:r w:rsidR="004C784C">
          <w:rPr>
            <w:webHidden/>
          </w:rPr>
          <w:t>29</w:t>
        </w:r>
        <w:r w:rsidR="008A3262">
          <w:rPr>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5" w:history="1">
        <w:r w:rsidR="004C784C" w:rsidRPr="0035651B">
          <w:rPr>
            <w:rStyle w:val="Hypertextovodkaz"/>
            <w:noProof/>
          </w:rPr>
          <w:t>4.1.</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Vliv minimální mzdy na odměňování zaměstnanců</w:t>
        </w:r>
        <w:r w:rsidR="004C784C">
          <w:rPr>
            <w:noProof/>
            <w:webHidden/>
          </w:rPr>
          <w:tab/>
        </w:r>
        <w:r w:rsidR="008A3262">
          <w:rPr>
            <w:noProof/>
            <w:webHidden/>
          </w:rPr>
          <w:fldChar w:fldCharType="begin"/>
        </w:r>
        <w:r w:rsidR="004C784C">
          <w:rPr>
            <w:noProof/>
            <w:webHidden/>
          </w:rPr>
          <w:instrText xml:space="preserve"> PAGEREF _Toc436143415 \h </w:instrText>
        </w:r>
        <w:r w:rsidR="008A3262">
          <w:rPr>
            <w:noProof/>
            <w:webHidden/>
          </w:rPr>
        </w:r>
        <w:r w:rsidR="008A3262">
          <w:rPr>
            <w:noProof/>
            <w:webHidden/>
          </w:rPr>
          <w:fldChar w:fldCharType="separate"/>
        </w:r>
        <w:r w:rsidR="004C784C">
          <w:rPr>
            <w:noProof/>
            <w:webHidden/>
          </w:rPr>
          <w:t>29</w:t>
        </w:r>
        <w:r w:rsidR="008A3262">
          <w:rPr>
            <w:noProof/>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6" w:history="1">
        <w:r w:rsidR="004C784C" w:rsidRPr="0035651B">
          <w:rPr>
            <w:rStyle w:val="Hypertextovodkaz"/>
            <w:noProof/>
          </w:rPr>
          <w:t>4.2.</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Vztah mezi minimální mzdou a kolektivním vyjednáváním</w:t>
        </w:r>
        <w:r w:rsidR="004C784C">
          <w:rPr>
            <w:noProof/>
            <w:webHidden/>
          </w:rPr>
          <w:tab/>
        </w:r>
        <w:r w:rsidR="008A3262">
          <w:rPr>
            <w:noProof/>
            <w:webHidden/>
          </w:rPr>
          <w:fldChar w:fldCharType="begin"/>
        </w:r>
        <w:r w:rsidR="004C784C">
          <w:rPr>
            <w:noProof/>
            <w:webHidden/>
          </w:rPr>
          <w:instrText xml:space="preserve"> PAGEREF _Toc436143416 \h </w:instrText>
        </w:r>
        <w:r w:rsidR="008A3262">
          <w:rPr>
            <w:noProof/>
            <w:webHidden/>
          </w:rPr>
        </w:r>
        <w:r w:rsidR="008A3262">
          <w:rPr>
            <w:noProof/>
            <w:webHidden/>
          </w:rPr>
          <w:fldChar w:fldCharType="separate"/>
        </w:r>
        <w:r w:rsidR="004C784C">
          <w:rPr>
            <w:noProof/>
            <w:webHidden/>
          </w:rPr>
          <w:t>32</w:t>
        </w:r>
        <w:r w:rsidR="008A3262">
          <w:rPr>
            <w:noProof/>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7" w:history="1">
        <w:r w:rsidR="004C784C" w:rsidRPr="0035651B">
          <w:rPr>
            <w:rStyle w:val="Hypertextovodkaz"/>
            <w:noProof/>
          </w:rPr>
          <w:t>4.3.</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Kolektivní vyjednávání ve vztahu k minimální mzdě v České republice</w:t>
        </w:r>
        <w:r w:rsidR="004C784C">
          <w:rPr>
            <w:noProof/>
            <w:webHidden/>
          </w:rPr>
          <w:tab/>
        </w:r>
        <w:r w:rsidR="008A3262">
          <w:rPr>
            <w:noProof/>
            <w:webHidden/>
          </w:rPr>
          <w:fldChar w:fldCharType="begin"/>
        </w:r>
        <w:r w:rsidR="004C784C">
          <w:rPr>
            <w:noProof/>
            <w:webHidden/>
          </w:rPr>
          <w:instrText xml:space="preserve"> PAGEREF _Toc436143417 \h </w:instrText>
        </w:r>
        <w:r w:rsidR="008A3262">
          <w:rPr>
            <w:noProof/>
            <w:webHidden/>
          </w:rPr>
        </w:r>
        <w:r w:rsidR="008A3262">
          <w:rPr>
            <w:noProof/>
            <w:webHidden/>
          </w:rPr>
          <w:fldChar w:fldCharType="separate"/>
        </w:r>
        <w:r w:rsidR="004C784C">
          <w:rPr>
            <w:noProof/>
            <w:webHidden/>
          </w:rPr>
          <w:t>37</w:t>
        </w:r>
        <w:r w:rsidR="008A3262">
          <w:rPr>
            <w:noProof/>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18" w:history="1">
        <w:r w:rsidR="004C784C" w:rsidRPr="0035651B">
          <w:rPr>
            <w:rStyle w:val="Hypertextovodkaz"/>
            <w:noProof/>
          </w:rPr>
          <w:t>4.4.</w:t>
        </w:r>
        <w:r w:rsidR="004C784C">
          <w:rPr>
            <w:rFonts w:asciiTheme="minorHAnsi" w:eastAsiaTheme="minorEastAsia" w:hAnsiTheme="minorHAnsi" w:cstheme="minorBidi"/>
            <w:noProof/>
            <w:sz w:val="22"/>
            <w:szCs w:val="22"/>
            <w:lang w:eastAsia="cs-CZ" w:bidi="ar-SA"/>
          </w:rPr>
          <w:tab/>
        </w:r>
        <w:r w:rsidR="004C784C" w:rsidRPr="0035651B">
          <w:rPr>
            <w:rStyle w:val="Hypertextovodkaz"/>
            <w:noProof/>
          </w:rPr>
          <w:t>Cesty přizpůsobení</w:t>
        </w:r>
        <w:r w:rsidR="004C784C">
          <w:rPr>
            <w:noProof/>
            <w:webHidden/>
          </w:rPr>
          <w:tab/>
        </w:r>
        <w:r w:rsidR="008A3262">
          <w:rPr>
            <w:noProof/>
            <w:webHidden/>
          </w:rPr>
          <w:fldChar w:fldCharType="begin"/>
        </w:r>
        <w:r w:rsidR="004C784C">
          <w:rPr>
            <w:noProof/>
            <w:webHidden/>
          </w:rPr>
          <w:instrText xml:space="preserve"> PAGEREF _Toc436143418 \h </w:instrText>
        </w:r>
        <w:r w:rsidR="008A3262">
          <w:rPr>
            <w:noProof/>
            <w:webHidden/>
          </w:rPr>
        </w:r>
        <w:r w:rsidR="008A3262">
          <w:rPr>
            <w:noProof/>
            <w:webHidden/>
          </w:rPr>
          <w:fldChar w:fldCharType="separate"/>
        </w:r>
        <w:r w:rsidR="004C784C">
          <w:rPr>
            <w:noProof/>
            <w:webHidden/>
          </w:rPr>
          <w:t>42</w:t>
        </w:r>
        <w:r w:rsidR="008A3262">
          <w:rPr>
            <w:noProof/>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19" w:history="1">
        <w:r w:rsidR="004C784C" w:rsidRPr="0035651B">
          <w:rPr>
            <w:rStyle w:val="Hypertextovodkaz"/>
          </w:rPr>
          <w:t>Závěr</w:t>
        </w:r>
        <w:r w:rsidR="004C784C">
          <w:rPr>
            <w:webHidden/>
          </w:rPr>
          <w:tab/>
        </w:r>
        <w:r w:rsidR="004C784C">
          <w:rPr>
            <w:webHidden/>
          </w:rPr>
          <w:tab/>
        </w:r>
        <w:r w:rsidR="008A3262">
          <w:rPr>
            <w:webHidden/>
          </w:rPr>
          <w:fldChar w:fldCharType="begin"/>
        </w:r>
        <w:r w:rsidR="004C784C">
          <w:rPr>
            <w:webHidden/>
          </w:rPr>
          <w:instrText xml:space="preserve"> PAGEREF _Toc436143419 \h </w:instrText>
        </w:r>
        <w:r w:rsidR="008A3262">
          <w:rPr>
            <w:webHidden/>
          </w:rPr>
        </w:r>
        <w:r w:rsidR="008A3262">
          <w:rPr>
            <w:webHidden/>
          </w:rPr>
          <w:fldChar w:fldCharType="separate"/>
        </w:r>
        <w:r w:rsidR="004C784C">
          <w:rPr>
            <w:webHidden/>
          </w:rPr>
          <w:t>45</w:t>
        </w:r>
        <w:r w:rsidR="008A3262">
          <w:rPr>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20" w:history="1">
        <w:r w:rsidR="004C784C" w:rsidRPr="0035651B">
          <w:rPr>
            <w:rStyle w:val="Hypertextovodkaz"/>
          </w:rPr>
          <w:t>Literatura</w:t>
        </w:r>
        <w:r w:rsidR="004C784C">
          <w:rPr>
            <w:webHidden/>
          </w:rPr>
          <w:tab/>
        </w:r>
        <w:r w:rsidR="008A3262">
          <w:rPr>
            <w:webHidden/>
          </w:rPr>
          <w:fldChar w:fldCharType="begin"/>
        </w:r>
        <w:r w:rsidR="004C784C">
          <w:rPr>
            <w:webHidden/>
          </w:rPr>
          <w:instrText xml:space="preserve"> PAGEREF _Toc436143420 \h </w:instrText>
        </w:r>
        <w:r w:rsidR="008A3262">
          <w:rPr>
            <w:webHidden/>
          </w:rPr>
        </w:r>
        <w:r w:rsidR="008A3262">
          <w:rPr>
            <w:webHidden/>
          </w:rPr>
          <w:fldChar w:fldCharType="separate"/>
        </w:r>
        <w:r w:rsidR="004C784C">
          <w:rPr>
            <w:webHidden/>
          </w:rPr>
          <w:t>48</w:t>
        </w:r>
        <w:r w:rsidR="008A3262">
          <w:rPr>
            <w:webHidden/>
          </w:rPr>
          <w:fldChar w:fldCharType="end"/>
        </w:r>
      </w:hyperlink>
    </w:p>
    <w:p w:rsidR="004C784C" w:rsidRDefault="00235816">
      <w:pPr>
        <w:pStyle w:val="Obsah1"/>
        <w:rPr>
          <w:rFonts w:asciiTheme="minorHAnsi" w:eastAsiaTheme="minorEastAsia" w:hAnsiTheme="minorHAnsi" w:cstheme="minorBidi"/>
          <w:sz w:val="22"/>
          <w:szCs w:val="22"/>
          <w:lang w:eastAsia="cs-CZ" w:bidi="ar-SA"/>
        </w:rPr>
      </w:pPr>
      <w:hyperlink w:anchor="_Toc436143421" w:history="1">
        <w:r w:rsidR="004C784C" w:rsidRPr="0035651B">
          <w:rPr>
            <w:rStyle w:val="Hypertextovodkaz"/>
          </w:rPr>
          <w:t>Příloha</w:t>
        </w:r>
        <w:r w:rsidR="004C784C">
          <w:rPr>
            <w:webHidden/>
          </w:rPr>
          <w:tab/>
        </w:r>
        <w:r w:rsidR="008A3262">
          <w:rPr>
            <w:webHidden/>
          </w:rPr>
          <w:fldChar w:fldCharType="begin"/>
        </w:r>
        <w:r w:rsidR="004C784C">
          <w:rPr>
            <w:webHidden/>
          </w:rPr>
          <w:instrText xml:space="preserve"> PAGEREF _Toc436143421 \h </w:instrText>
        </w:r>
        <w:r w:rsidR="008A3262">
          <w:rPr>
            <w:webHidden/>
          </w:rPr>
        </w:r>
        <w:r w:rsidR="008A3262">
          <w:rPr>
            <w:webHidden/>
          </w:rPr>
          <w:fldChar w:fldCharType="separate"/>
        </w:r>
        <w:r w:rsidR="004C784C">
          <w:rPr>
            <w:webHidden/>
          </w:rPr>
          <w:t>51</w:t>
        </w:r>
        <w:r w:rsidR="008A3262">
          <w:rPr>
            <w:webHidden/>
          </w:rPr>
          <w:fldChar w:fldCharType="end"/>
        </w:r>
      </w:hyperlink>
    </w:p>
    <w:p w:rsidR="004C784C" w:rsidRDefault="00235816">
      <w:pPr>
        <w:pStyle w:val="Obsah2"/>
        <w:rPr>
          <w:rFonts w:asciiTheme="minorHAnsi" w:eastAsiaTheme="minorEastAsia" w:hAnsiTheme="minorHAnsi" w:cstheme="minorBidi"/>
          <w:noProof/>
          <w:sz w:val="22"/>
          <w:szCs w:val="22"/>
          <w:lang w:eastAsia="cs-CZ" w:bidi="ar-SA"/>
        </w:rPr>
      </w:pPr>
      <w:hyperlink w:anchor="_Toc436143422" w:history="1">
        <w:r w:rsidR="004C784C" w:rsidRPr="0035651B">
          <w:rPr>
            <w:rStyle w:val="Hypertextovodkaz"/>
            <w:noProof/>
          </w:rPr>
          <w:t>Zákonná úprava smluvních vztahů z hlediska kolektivních smluv</w:t>
        </w:r>
        <w:r w:rsidR="004C784C">
          <w:rPr>
            <w:noProof/>
            <w:webHidden/>
          </w:rPr>
          <w:tab/>
        </w:r>
        <w:r w:rsidR="008A3262">
          <w:rPr>
            <w:noProof/>
            <w:webHidden/>
          </w:rPr>
          <w:fldChar w:fldCharType="begin"/>
        </w:r>
        <w:r w:rsidR="004C784C">
          <w:rPr>
            <w:noProof/>
            <w:webHidden/>
          </w:rPr>
          <w:instrText xml:space="preserve"> PAGEREF _Toc436143422 \h </w:instrText>
        </w:r>
        <w:r w:rsidR="008A3262">
          <w:rPr>
            <w:noProof/>
            <w:webHidden/>
          </w:rPr>
        </w:r>
        <w:r w:rsidR="008A3262">
          <w:rPr>
            <w:noProof/>
            <w:webHidden/>
          </w:rPr>
          <w:fldChar w:fldCharType="separate"/>
        </w:r>
        <w:r w:rsidR="004C784C">
          <w:rPr>
            <w:noProof/>
            <w:webHidden/>
          </w:rPr>
          <w:t>51</w:t>
        </w:r>
        <w:r w:rsidR="008A3262">
          <w:rPr>
            <w:noProof/>
            <w:webHidden/>
          </w:rPr>
          <w:fldChar w:fldCharType="end"/>
        </w:r>
      </w:hyperlink>
    </w:p>
    <w:p w:rsidR="00EF7A11" w:rsidRDefault="008A3262" w:rsidP="004A05EE">
      <w:pPr>
        <w:spacing w:before="240"/>
        <w:ind w:left="357" w:hanging="357"/>
        <w:rPr>
          <w:b/>
          <w:bCs/>
          <w:color w:val="E53138"/>
          <w:kern w:val="32"/>
          <w:sz w:val="32"/>
          <w:szCs w:val="32"/>
          <w:lang w:eastAsia="cs-CZ"/>
        </w:rPr>
      </w:pPr>
      <w:r>
        <w:rPr>
          <w:noProof/>
          <w:lang w:eastAsia="cs-CZ"/>
        </w:rPr>
        <w:fldChar w:fldCharType="end"/>
      </w:r>
      <w:r w:rsidR="00EF7A11">
        <w:rPr>
          <w:lang w:eastAsia="cs-CZ"/>
        </w:rPr>
        <w:br w:type="page"/>
      </w:r>
    </w:p>
    <w:p w:rsidR="003F0A66" w:rsidRPr="005A6E39" w:rsidRDefault="005A6E39" w:rsidP="005A6E39">
      <w:pPr>
        <w:pStyle w:val="Nadpis1"/>
        <w:numPr>
          <w:ilvl w:val="0"/>
          <w:numId w:val="0"/>
        </w:numPr>
      </w:pPr>
      <w:bookmarkStart w:id="3" w:name="_Toc436143407"/>
      <w:r w:rsidRPr="005A6E39">
        <w:lastRenderedPageBreak/>
        <w:t>Úvod</w:t>
      </w:r>
      <w:bookmarkEnd w:id="3"/>
    </w:p>
    <w:p w:rsidR="008B0BF3" w:rsidRDefault="008B0BF3" w:rsidP="008B0BF3">
      <w:pPr>
        <w:spacing w:after="120"/>
      </w:pPr>
      <w:r>
        <w:rPr>
          <w:iCs/>
        </w:rPr>
        <w:t xml:space="preserve">Instituty trhu práce v podobě minimální mzdy a kolektivního vyjednávání vyvolávají mezi ekonomy již po několik desetiletí silné emoce. </w:t>
      </w:r>
      <w:r w:rsidRPr="00667730">
        <w:rPr>
          <w:b/>
          <w:iCs/>
        </w:rPr>
        <w:t>Institut minimální mzdy</w:t>
      </w:r>
      <w:r w:rsidRPr="00667730">
        <w:rPr>
          <w:iCs/>
        </w:rPr>
        <w:t xml:space="preserve"> </w:t>
      </w:r>
      <w:r>
        <w:rPr>
          <w:iCs/>
        </w:rPr>
        <w:t>je v zahraničí považován za</w:t>
      </w:r>
      <w:r w:rsidRPr="00667730">
        <w:rPr>
          <w:iCs/>
        </w:rPr>
        <w:t xml:space="preserve"> jedno z nejkontroverznějších opatření na trhu práce, neboť </w:t>
      </w:r>
      <w:r>
        <w:rPr>
          <w:iCs/>
        </w:rPr>
        <w:t>ovlivňuje</w:t>
      </w:r>
      <w:r w:rsidRPr="00667730">
        <w:rPr>
          <w:iCs/>
        </w:rPr>
        <w:t xml:space="preserve"> preference subjektů na poptávkové i nabídkové straně. </w:t>
      </w:r>
      <w:r>
        <w:rPr>
          <w:iCs/>
        </w:rPr>
        <w:t xml:space="preserve">Kritiku sklízely od svých počátků i samotné </w:t>
      </w:r>
      <w:r w:rsidRPr="00472238">
        <w:rPr>
          <w:b/>
          <w:iCs/>
        </w:rPr>
        <w:t>odborové organizace</w:t>
      </w:r>
      <w:r>
        <w:rPr>
          <w:iCs/>
        </w:rPr>
        <w:t xml:space="preserve">, a to kvůli jejich vlivu na zaměstnance i zaměstnavatele. V posledních letech došlo k umírnění názorů, a jsou </w:t>
      </w:r>
      <w:r w:rsidRPr="00A74D02">
        <w:rPr>
          <w:b/>
        </w:rPr>
        <w:t>zdůrazňovány přínosy</w:t>
      </w:r>
      <w:r>
        <w:t xml:space="preserve"> obou institutů. Minimální mzda, jako nejnižší možná odměna za práci, by měla – kromě jiného – plnit ochrannou funkci, tj. měla by ochránit zaměstnance před nepřiměřeně nízkou odměnou za odvedenou práci. Nezávislé odborové organizace jsou potom v dnešní době často považovány za základní prvek kvalitních profesních vztahů (Světová banka, 1995), neboť by měly v ideálním případě plnit roli mediátora mezi tlakem na růst mezd na straně zaměstnanců a tlakem na růst konkurenceschopnosti a produktivity na straně zaměstnavatelů. </w:t>
      </w:r>
      <w:r w:rsidRPr="00424E24">
        <w:rPr>
          <w:b/>
          <w:iCs/>
        </w:rPr>
        <w:t>Spolupůsobení obou institutů</w:t>
      </w:r>
      <w:r>
        <w:rPr>
          <w:iCs/>
        </w:rPr>
        <w:t xml:space="preserve">, tj. minimální mzdy i kolektivního vyjednávání, je zatím nepříliš prozkoumanou oblastí. </w:t>
      </w:r>
      <w:r>
        <w:t xml:space="preserve">Oba zmíněné instituty trhu práce balancují mezi možnými pozitivy a negativy, neboť každá nepatrná změna v nastavení jednoho konkrétního parametru může narušit rovnováhu trhu práce. S vědomím rizik, která mohou instituty v podobě minimální mzdy i kolektivního vyjednávání přinášet, jsou však v západních zemích oba instituty </w:t>
      </w:r>
      <w:r w:rsidRPr="006069D8">
        <w:rPr>
          <w:b/>
        </w:rPr>
        <w:t>aktivně využívány</w:t>
      </w:r>
      <w:r>
        <w:t xml:space="preserve"> právě </w:t>
      </w:r>
      <w:r w:rsidRPr="006069D8">
        <w:rPr>
          <w:b/>
        </w:rPr>
        <w:t>pro jejich přínosy z celospolečenského hlediska</w:t>
      </w:r>
      <w:r>
        <w:t>.</w:t>
      </w:r>
    </w:p>
    <w:p w:rsidR="008B0BF3" w:rsidRDefault="008B0BF3" w:rsidP="008B0BF3">
      <w:pPr>
        <w:spacing w:after="120"/>
        <w:rPr>
          <w:iCs/>
        </w:rPr>
      </w:pPr>
      <w:r w:rsidRPr="00910119">
        <w:rPr>
          <w:b/>
          <w:iCs/>
        </w:rPr>
        <w:t>Hodnocení dopadů minimální mzdy a kolektivního vyjednávání na trh práce</w:t>
      </w:r>
      <w:r>
        <w:rPr>
          <w:iCs/>
        </w:rPr>
        <w:t xml:space="preserve"> </w:t>
      </w:r>
      <w:r w:rsidRPr="009A4EFA">
        <w:rPr>
          <w:iCs/>
        </w:rPr>
        <w:t>je předmětem zahraničního teoretického i empirického výzkumu již několik desítek let.</w:t>
      </w:r>
      <w:r>
        <w:rPr>
          <w:iCs/>
        </w:rPr>
        <w:t xml:space="preserve"> Analýzy dopadů různých kombinací zmíněných mzdotvorných institutů na národní hospodářství však často nepřináší jednoznačné výsledky. Důvodem je vysoká </w:t>
      </w:r>
      <w:r w:rsidRPr="00910119">
        <w:rPr>
          <w:b/>
          <w:iCs/>
        </w:rPr>
        <w:t xml:space="preserve">náročnost </w:t>
      </w:r>
      <w:r>
        <w:rPr>
          <w:iCs/>
        </w:rPr>
        <w:t xml:space="preserve">podobných analýz nejen </w:t>
      </w:r>
      <w:r w:rsidRPr="00910119">
        <w:rPr>
          <w:b/>
          <w:iCs/>
        </w:rPr>
        <w:t>z metodického hlediska</w:t>
      </w:r>
      <w:r>
        <w:rPr>
          <w:iCs/>
        </w:rPr>
        <w:t xml:space="preserve">, ale </w:t>
      </w:r>
      <w:r w:rsidRPr="00910119">
        <w:rPr>
          <w:b/>
          <w:iCs/>
        </w:rPr>
        <w:t>i z hlediska datových vstupů</w:t>
      </w:r>
      <w:r>
        <w:rPr>
          <w:iCs/>
        </w:rPr>
        <w:t>. V současné době existuje minimum datových zdrojů, které by umožňovaly hodnotit současně dopady minimální mzdy i kolektivního vyjednávání, a zároveň by naplnily náročné požadavky na kvalitu datových vstupů, které vyplývají z použitých matematicko-statistických metod.</w:t>
      </w:r>
    </w:p>
    <w:p w:rsidR="008B0BF3" w:rsidRDefault="008B0BF3" w:rsidP="008B0BF3">
      <w:pPr>
        <w:spacing w:after="120"/>
        <w:rPr>
          <w:iCs/>
        </w:rPr>
      </w:pPr>
      <w:r w:rsidRPr="00EC58DD">
        <w:rPr>
          <w:b/>
          <w:iCs/>
        </w:rPr>
        <w:t>V České republice</w:t>
      </w:r>
      <w:r>
        <w:rPr>
          <w:iCs/>
        </w:rPr>
        <w:t xml:space="preserve"> je kladen stále větší </w:t>
      </w:r>
      <w:r w:rsidRPr="00EC58DD">
        <w:rPr>
          <w:b/>
          <w:iCs/>
        </w:rPr>
        <w:t>důraz na politiku založenou na důkazech</w:t>
      </w:r>
      <w:r>
        <w:rPr>
          <w:iCs/>
        </w:rPr>
        <w:t xml:space="preserve"> (</w:t>
      </w:r>
      <w:r w:rsidRPr="00963C8E">
        <w:rPr>
          <w:i/>
          <w:iCs/>
        </w:rPr>
        <w:t>evidence-based policy</w:t>
      </w:r>
      <w:r>
        <w:rPr>
          <w:iCs/>
        </w:rPr>
        <w:t xml:space="preserve">), díky čemuž byl v posledních letech významným způsobem rozvinut analytický aparát z hlediska hodnocení dopadů minimální mzdy na trh práce i celou ekonomiku. </w:t>
      </w:r>
      <w:r w:rsidRPr="00EC58DD">
        <w:rPr>
          <w:b/>
          <w:iCs/>
        </w:rPr>
        <w:t>Problematice kolektivního vyjednávání</w:t>
      </w:r>
      <w:r>
        <w:rPr>
          <w:iCs/>
        </w:rPr>
        <w:t xml:space="preserve"> je ve srovnání s minimální mzdou věnována mnohem </w:t>
      </w:r>
      <w:r w:rsidRPr="00EC58DD">
        <w:rPr>
          <w:b/>
          <w:iCs/>
        </w:rPr>
        <w:t>menší pozornost</w:t>
      </w:r>
      <w:r>
        <w:rPr>
          <w:iCs/>
        </w:rPr>
        <w:t>. O fungování odborových organizací a výsledcích kolektivního vyjednávání jsou v České republice k dispozici spíše jednotlivé informace, které bez zasazení do potřebného kontextu neumožňují zcela naplnit principy zmíněné politiky založené na důkazech. Pro komplexní analýzy trhu práce v České republice je klíčová znalost o působení všech mzdotvorných institutů, kolektivní vyjednávání nevyjímaje. Z tohoto důvodu bude tato studie zaměřena na problematiku kolektivního vyjednávání v České republice a vztah kolektivního vyjednávání k dalšímu institutu trhu práce v podobě minimální mzdy.</w:t>
      </w:r>
    </w:p>
    <w:p w:rsidR="005A6E39" w:rsidRPr="000739E1" w:rsidRDefault="008B0BF3" w:rsidP="000739E1">
      <w:pPr>
        <w:spacing w:after="120"/>
        <w:rPr>
          <w:iCs/>
        </w:rPr>
      </w:pPr>
      <w:r>
        <w:rPr>
          <w:iCs/>
        </w:rPr>
        <w:t xml:space="preserve">Struktura studie bude následující. První kapitola bude věnována problematice vlivu kolektivního vyjednávání na zaměstnanost. Druhá kapitola se bude zabývat vymezením legislativního rámce kolektivního vyjednávání v České republice. Na druhou kapitolu </w:t>
      </w:r>
      <w:r>
        <w:rPr>
          <w:iCs/>
        </w:rPr>
        <w:lastRenderedPageBreak/>
        <w:t>naváže třetí kapitola, kde bude zhodnoceno využití kolektivního vyjednávání v jednotlivých odvětvích České republiky. Čtvrtá kapitola bude věnována problematice vzájemného působení institutů minimální mzdy a kolektivního vyjednávání. Výsledky celé studie budou shrnuty v závěru.</w:t>
      </w:r>
    </w:p>
    <w:p w:rsidR="003F0A66" w:rsidRDefault="003F0A66" w:rsidP="00820766">
      <w:pPr>
        <w:rPr>
          <w:b/>
          <w:bCs/>
          <w:color w:val="E53138"/>
          <w:kern w:val="32"/>
          <w:sz w:val="32"/>
          <w:szCs w:val="32"/>
          <w:lang w:eastAsia="cs-CZ"/>
        </w:rPr>
      </w:pPr>
      <w:r>
        <w:rPr>
          <w:lang w:eastAsia="cs-CZ"/>
        </w:rPr>
        <w:br w:type="page"/>
      </w:r>
    </w:p>
    <w:p w:rsidR="00AF1BB4" w:rsidRPr="00820766" w:rsidRDefault="003F0A66" w:rsidP="00820766">
      <w:pPr>
        <w:pStyle w:val="Nadpis1"/>
      </w:pPr>
      <w:bookmarkStart w:id="4" w:name="_Toc436143408"/>
      <w:r w:rsidRPr="00820766">
        <w:lastRenderedPageBreak/>
        <w:t>Vliv kolektivního vyjednávání na zaměstnanost</w:t>
      </w:r>
      <w:bookmarkEnd w:id="4"/>
    </w:p>
    <w:p w:rsidR="009A4EFA" w:rsidRPr="009A4EFA" w:rsidRDefault="009A4EFA" w:rsidP="009A4EFA">
      <w:pPr>
        <w:rPr>
          <w:iCs/>
        </w:rPr>
      </w:pPr>
      <w:r w:rsidRPr="009A4EFA">
        <w:rPr>
          <w:iCs/>
        </w:rPr>
        <w:t>Vliv kolektivního vyjednávání na trh práce je předmětem zahraničního teoretického i empirického výzkumu již několik desítek let. Výzkum prošel několika fázemi - od prvotní, často velmi ostré kritiky negativního působení odborových organizací na trh práce se názory zmírnily, a to především díky pokrokům v empirickém výzkumu. V současné době sice mainstream stále považuje odborové organizace za potenciální riziko z hlediska zániku pracovních míst (a snížení zaměstnanosti), ale mnohem větší váhu získaly další nezastupitelné funkce odborových organizací (např. v oblasti zajištění sociálních jistot, dohledu nad dodržováním pracovněprávních předpisů apod.). Mnohé závěry empirických studií se mohou stát východiskem pro výzkum vlivu kolektivního vyjednávání na trh práce i v České republice, a proto bude v této kapitole nabídnut komplexní souhrn výzkumu v</w:t>
      </w:r>
      <w:r w:rsidR="00442E3A">
        <w:rPr>
          <w:iCs/>
        </w:rPr>
        <w:t> </w:t>
      </w:r>
      <w:r w:rsidRPr="009A4EFA">
        <w:rPr>
          <w:iCs/>
        </w:rPr>
        <w:t>oblasti vlivu kolektivního vyjednávání na trh práce (a především na zaměstnanost). Možné dopady existence odborových organizací budou hodnoceny jak z hlediska kvantity (tedy počtu pracovních míst či zaměstnanců), tak z hlediska kvality (od kvalifikační úrovně zaměstnanců po kvalitu pracovních podmínek).</w:t>
      </w:r>
    </w:p>
    <w:p w:rsidR="009A4EFA" w:rsidRPr="009A4EFA" w:rsidRDefault="009A4EFA" w:rsidP="009A4EFA">
      <w:pPr>
        <w:rPr>
          <w:iCs/>
        </w:rPr>
      </w:pPr>
      <w:r w:rsidRPr="009A4EFA">
        <w:rPr>
          <w:iCs/>
        </w:rPr>
        <w:t xml:space="preserve">Existence odborových organizací vzbuzuje mezi ekonomy podobné emoce jako existence institutu minimální mzdy, přičemž lze i z hlediska názorů na kolektivní vyjednávání identifikovat skupinu příznivců a skupinu odpůrců. Přestože se názory obou skupin liší z hlediska dopadů kolektivního vyjednávání na trh práce, a potažmo celou ekonomiku, shodují se na pojetí odborové organizace. Z pohledu ekonomické teorie jsou </w:t>
      </w:r>
      <w:r w:rsidRPr="009A4EFA">
        <w:rPr>
          <w:b/>
          <w:iCs/>
        </w:rPr>
        <w:t>odborové organizace</w:t>
      </w:r>
      <w:r w:rsidRPr="009A4EFA">
        <w:rPr>
          <w:iCs/>
        </w:rPr>
        <w:t xml:space="preserve"> považovány za </w:t>
      </w:r>
      <w:r w:rsidRPr="009A4EFA">
        <w:rPr>
          <w:b/>
          <w:iCs/>
        </w:rPr>
        <w:t>kartely</w:t>
      </w:r>
      <w:r w:rsidRPr="009A4EFA">
        <w:rPr>
          <w:iCs/>
        </w:rPr>
        <w:t xml:space="preserve">, jejichž prvotním cílem je zvyšovat úroveň mezd nad rovnovážnou hladinu (Reynolds, 2008). Vyšší úrovně mezd dosáhnou odborové organizace díky své </w:t>
      </w:r>
      <w:r w:rsidRPr="009A4EFA">
        <w:rPr>
          <w:b/>
          <w:iCs/>
        </w:rPr>
        <w:t>monopolní síle</w:t>
      </w:r>
      <w:r w:rsidRPr="009A4EFA">
        <w:rPr>
          <w:iCs/>
        </w:rPr>
        <w:t xml:space="preserve"> (Freeman a Medoff, 1984).</w:t>
      </w:r>
    </w:p>
    <w:p w:rsidR="009A4EFA" w:rsidRPr="009A4EFA" w:rsidRDefault="009A4EFA" w:rsidP="009A4EFA">
      <w:pPr>
        <w:rPr>
          <w:b/>
          <w:iCs/>
        </w:rPr>
      </w:pPr>
      <w:r w:rsidRPr="009A4EFA">
        <w:rPr>
          <w:b/>
          <w:iCs/>
        </w:rPr>
        <w:t>Dopady kolektivního vyjednávání</w:t>
      </w:r>
    </w:p>
    <w:p w:rsidR="009A4EFA" w:rsidRPr="009A4EFA" w:rsidRDefault="009A4EFA" w:rsidP="009A4EFA">
      <w:pPr>
        <w:rPr>
          <w:iCs/>
        </w:rPr>
      </w:pPr>
      <w:r w:rsidRPr="009A4EFA">
        <w:rPr>
          <w:iCs/>
        </w:rPr>
        <w:t>Dopadem kolektivního vyjednávání či samotné existence odborových organizací na ekonomiku se zabývá několik teoretických modelů, nicméně tyto modely jsou často zatíženy zjednodušujícími předpoklady, které výrazným způsobem limitují jejich vypovídací hodnotu. Z tohoto důvodu bude v další části zaměřena pozornost především na výsledky empirických studií. Na základě výsledků těchto studií bude dále nabídnut komplexní pohled na problematiku vlivu kolektivního vyjednávání na trh práce, přičemž speciální pozornost bude věnována otázce zaměstnanosti.</w:t>
      </w:r>
    </w:p>
    <w:p w:rsidR="009A4EFA" w:rsidRPr="009A4EFA" w:rsidRDefault="009A4EFA" w:rsidP="009A4EFA">
      <w:pPr>
        <w:rPr>
          <w:iCs/>
        </w:rPr>
      </w:pPr>
      <w:r w:rsidRPr="009A4EFA">
        <w:rPr>
          <w:iCs/>
        </w:rPr>
        <w:t xml:space="preserve">Empirický výzkum se v oblasti dopadů kolektivního vyjednávání věnuje několika oblastem, které se týkají trhu práce. Konkrétně je zkoumán </w:t>
      </w:r>
      <w:r w:rsidRPr="009A4EFA">
        <w:rPr>
          <w:b/>
          <w:iCs/>
        </w:rPr>
        <w:t>dopad kolektivního vyjednávání</w:t>
      </w:r>
      <w:r w:rsidRPr="009A4EFA">
        <w:rPr>
          <w:iCs/>
        </w:rPr>
        <w:t>, resp. existence odborových organizací, na</w:t>
      </w:r>
    </w:p>
    <w:p w:rsidR="009A4EFA" w:rsidRPr="009A4EFA" w:rsidRDefault="009A4EFA" w:rsidP="009A4EFA">
      <w:pPr>
        <w:numPr>
          <w:ilvl w:val="0"/>
          <w:numId w:val="6"/>
        </w:numPr>
        <w:rPr>
          <w:iCs/>
        </w:rPr>
      </w:pPr>
      <w:r w:rsidRPr="009A4EFA">
        <w:rPr>
          <w:iCs/>
        </w:rPr>
        <w:t>řízení lidských zdrojů,</w:t>
      </w:r>
    </w:p>
    <w:p w:rsidR="009A4EFA" w:rsidRPr="009A4EFA" w:rsidRDefault="009A4EFA" w:rsidP="009A4EFA">
      <w:pPr>
        <w:numPr>
          <w:ilvl w:val="0"/>
          <w:numId w:val="6"/>
        </w:numPr>
        <w:rPr>
          <w:iCs/>
        </w:rPr>
      </w:pPr>
      <w:r w:rsidRPr="009A4EFA">
        <w:rPr>
          <w:iCs/>
        </w:rPr>
        <w:t xml:space="preserve">cenu práce (úroveň odměňování, existence tzv. mzdové prémie apod.), </w:t>
      </w:r>
    </w:p>
    <w:p w:rsidR="009A4EFA" w:rsidRPr="009A4EFA" w:rsidRDefault="009A4EFA" w:rsidP="009A4EFA">
      <w:pPr>
        <w:numPr>
          <w:ilvl w:val="0"/>
          <w:numId w:val="6"/>
        </w:numPr>
        <w:rPr>
          <w:iCs/>
        </w:rPr>
      </w:pPr>
      <w:r w:rsidRPr="009A4EFA">
        <w:rPr>
          <w:iCs/>
        </w:rPr>
        <w:t>zaměstnanost (resp. nezaměstnanost),</w:t>
      </w:r>
    </w:p>
    <w:p w:rsidR="009A4EFA" w:rsidRPr="009A4EFA" w:rsidRDefault="009A4EFA" w:rsidP="009A4EFA">
      <w:pPr>
        <w:numPr>
          <w:ilvl w:val="0"/>
          <w:numId w:val="6"/>
        </w:numPr>
        <w:rPr>
          <w:iCs/>
        </w:rPr>
      </w:pPr>
      <w:r w:rsidRPr="009A4EFA">
        <w:rPr>
          <w:iCs/>
        </w:rPr>
        <w:t>počet pracovních míst,</w:t>
      </w:r>
    </w:p>
    <w:p w:rsidR="009A4EFA" w:rsidRPr="009A4EFA" w:rsidRDefault="009A4EFA" w:rsidP="009A4EFA">
      <w:pPr>
        <w:numPr>
          <w:ilvl w:val="0"/>
          <w:numId w:val="6"/>
        </w:numPr>
        <w:rPr>
          <w:iCs/>
        </w:rPr>
      </w:pPr>
      <w:r w:rsidRPr="009A4EFA">
        <w:rPr>
          <w:iCs/>
        </w:rPr>
        <w:t>produktivitu práce,</w:t>
      </w:r>
    </w:p>
    <w:p w:rsidR="009A4EFA" w:rsidRPr="009A4EFA" w:rsidRDefault="009A4EFA" w:rsidP="009A4EFA">
      <w:pPr>
        <w:numPr>
          <w:ilvl w:val="0"/>
          <w:numId w:val="6"/>
        </w:numPr>
        <w:rPr>
          <w:iCs/>
        </w:rPr>
      </w:pPr>
      <w:r w:rsidRPr="009A4EFA">
        <w:rPr>
          <w:iCs/>
        </w:rPr>
        <w:t>pracovní prostředí a bezpečnost práce.</w:t>
      </w:r>
    </w:p>
    <w:p w:rsidR="009A4EFA" w:rsidRPr="009A4EFA" w:rsidRDefault="009A4EFA" w:rsidP="009A4EFA">
      <w:pPr>
        <w:rPr>
          <w:iCs/>
        </w:rPr>
      </w:pPr>
      <w:r w:rsidRPr="009A4EFA">
        <w:rPr>
          <w:iCs/>
        </w:rPr>
        <w:lastRenderedPageBreak/>
        <w:t>Trhu práce se však zprostředkovaně týkají i další oblasti výzkumu, např. z hlediska vlivu odborových organizací na</w:t>
      </w:r>
    </w:p>
    <w:p w:rsidR="009A4EFA" w:rsidRPr="009A4EFA" w:rsidRDefault="009A4EFA" w:rsidP="009A4EFA">
      <w:pPr>
        <w:numPr>
          <w:ilvl w:val="0"/>
          <w:numId w:val="6"/>
        </w:numPr>
        <w:rPr>
          <w:iCs/>
        </w:rPr>
      </w:pPr>
      <w:r w:rsidRPr="009A4EFA">
        <w:rPr>
          <w:iCs/>
        </w:rPr>
        <w:t>výkonnost firem, a potažmo i celé ekonomiky,</w:t>
      </w:r>
    </w:p>
    <w:p w:rsidR="009A4EFA" w:rsidRPr="009A4EFA" w:rsidRDefault="009A4EFA" w:rsidP="009A4EFA">
      <w:pPr>
        <w:numPr>
          <w:ilvl w:val="0"/>
          <w:numId w:val="6"/>
        </w:numPr>
        <w:rPr>
          <w:iCs/>
        </w:rPr>
      </w:pPr>
      <w:r w:rsidRPr="009A4EFA">
        <w:rPr>
          <w:iCs/>
        </w:rPr>
        <w:t>ziskovost firem,</w:t>
      </w:r>
    </w:p>
    <w:p w:rsidR="009A4EFA" w:rsidRPr="009A4EFA" w:rsidRDefault="009A4EFA" w:rsidP="009A4EFA">
      <w:pPr>
        <w:numPr>
          <w:ilvl w:val="0"/>
          <w:numId w:val="6"/>
        </w:numPr>
        <w:rPr>
          <w:iCs/>
        </w:rPr>
      </w:pPr>
      <w:r w:rsidRPr="009A4EFA">
        <w:rPr>
          <w:iCs/>
        </w:rPr>
        <w:t>efektivitu řízení společností a flexibilitu manažerů,</w:t>
      </w:r>
    </w:p>
    <w:p w:rsidR="009A4EFA" w:rsidRPr="009A4EFA" w:rsidRDefault="009A4EFA" w:rsidP="009A4EFA">
      <w:pPr>
        <w:numPr>
          <w:ilvl w:val="0"/>
          <w:numId w:val="6"/>
        </w:numPr>
        <w:rPr>
          <w:iCs/>
        </w:rPr>
      </w:pPr>
      <w:r w:rsidRPr="009A4EFA">
        <w:rPr>
          <w:iCs/>
        </w:rPr>
        <w:t>riziko ukončení činnosti ekonomického subjektu.</w:t>
      </w:r>
    </w:p>
    <w:p w:rsidR="009A4EFA" w:rsidRPr="009A4EFA" w:rsidRDefault="009A4EFA" w:rsidP="009A4EFA">
      <w:pPr>
        <w:rPr>
          <w:iCs/>
        </w:rPr>
      </w:pPr>
      <w:r w:rsidRPr="009A4EFA">
        <w:rPr>
          <w:iCs/>
        </w:rPr>
        <w:t>V zahraničí probíhá výzkum v oblasti působení odborových organizací již několik desítek let, nicméně výsledky jednotlivých studií jsou často rozporuplné. Původní studie vycházející od skupiny odpůrců odborových organizací byly založeny na ostré kritice odborových organizací, které podle nich způsobovaly restrikce na straně nabídky práce. Tyto studie však byly založeny na zjednodušujících předpokladech době poplatné ekonomické teorie, přičemž závěry vycházející z teoretických modelů byly (často v dobré víře) zobecněny na fungování reálných ekonomik. V posledních desetiletích však dochází ke zmírnění argumentace a výsledky studií příznivců i odpůrců organizace pracovních sil se čím dál více přibližují jak z hlediska úrovně, tak z hlediska interpretace. Na odborové organizace mainstream stále nahlíží jako na monopolistické kartely, nicméně zohledňuje i pozitivní efekty jejich existence. Ke zmírnění napětí mezi oběma skupinami pravděpodobně přispěla i skutečnost, že dochází k postupnému snižování mzdové mezery mezi odborově organizovanými a neorganizovanými pracovníky (Hirsch, MacPherson a Schumacher, 2004, Blanchflower a Bryson, 2004), z čehož je odvozováno snižování monopolistické síly odborů, a tedy i omezování potenciálního negativního vlivu na ekonomiku (Freeman, 2005). Nový pohled na odborové organizace však nabízí i jejich role v rozvojových zemích, kde je jejich role – ve srovnání s vyspělými zeměmi – považována primárně za pozitivní (Aidt a Tzannatos, 2002).</w:t>
      </w:r>
    </w:p>
    <w:p w:rsidR="009A4EFA" w:rsidRPr="009A4EFA" w:rsidRDefault="009A4EFA" w:rsidP="009A4EFA">
      <w:pPr>
        <w:rPr>
          <w:b/>
          <w:iCs/>
        </w:rPr>
      </w:pPr>
      <w:r w:rsidRPr="009A4EFA">
        <w:rPr>
          <w:b/>
          <w:iCs/>
        </w:rPr>
        <w:t>Role odborových organizací</w:t>
      </w:r>
    </w:p>
    <w:p w:rsidR="009A4EFA" w:rsidRPr="009A4EFA" w:rsidRDefault="009A4EFA" w:rsidP="009A4EFA">
      <w:pPr>
        <w:rPr>
          <w:iCs/>
        </w:rPr>
      </w:pPr>
      <w:r w:rsidRPr="009A4EFA">
        <w:rPr>
          <w:iCs/>
        </w:rPr>
        <w:t>Významný přínos ve výzkumu působení odborových organizací lze přisoudit Freemanovi a Medoffovi (1984), kteří zkoumali nové oblasti dopadu odborových organizací na ekonomiku, a nabídli tak ucelený a vyvážený pohled na vliv odborových organizací. Freeman a Medoff (1984) díky své systematické práci nalezli alternativní vysvětlení dopadů kolektivního vyjednávání na ekonomiku, a vyvážili tak dosavadní negativní argumentaci týkající se vlivu odborových organizací. Podle Freemana a Medoffa (1984) existují 3 důvody, proč jsou odborové organizace důležité ze sociálního i ekonomického hlediska:</w:t>
      </w:r>
    </w:p>
    <w:p w:rsidR="009A4EFA" w:rsidRPr="009A4EFA" w:rsidRDefault="009A4EFA" w:rsidP="009A4EFA">
      <w:pPr>
        <w:numPr>
          <w:ilvl w:val="0"/>
          <w:numId w:val="20"/>
        </w:numPr>
        <w:rPr>
          <w:iCs/>
        </w:rPr>
      </w:pPr>
      <w:r w:rsidRPr="009A4EFA">
        <w:rPr>
          <w:b/>
          <w:iCs/>
        </w:rPr>
        <w:t>Odborové organizace dávají zaměstnancům prostor vyjádřit své názory.</w:t>
      </w:r>
      <w:r w:rsidRPr="009A4EFA">
        <w:rPr>
          <w:iCs/>
        </w:rPr>
        <w:t xml:space="preserve"> Odbory rovněž umožňují prosadit zájmy zaměstnanců, které by neorganizovaní zaměstnanci nebyli schopni prosadit. Díky tomu se firmy s organizovanou pracovní silou vyznačují nižší fluktuací, a tedy i nižšími náklady souvisejícími s najímáním nových zaměstnanců. Vyšší úroveň odměňování v podnicích, kde fungují odborové organizace, vytváří tlak na efektivitu produkce i rozdělování, neboť vedení podniků musí hledat jiné způsoby snižování nákladů, aby udrželi požadovanou úroveň ziskovosti.</w:t>
      </w:r>
    </w:p>
    <w:p w:rsidR="009A4EFA" w:rsidRPr="009A4EFA" w:rsidRDefault="009A4EFA" w:rsidP="009A4EFA">
      <w:pPr>
        <w:numPr>
          <w:ilvl w:val="0"/>
          <w:numId w:val="20"/>
        </w:numPr>
        <w:rPr>
          <w:iCs/>
        </w:rPr>
      </w:pPr>
      <w:r w:rsidRPr="009A4EFA">
        <w:rPr>
          <w:b/>
          <w:iCs/>
        </w:rPr>
        <w:t>Díky odborovým organizacím dochází ke</w:t>
      </w:r>
      <w:r w:rsidRPr="009A4EFA">
        <w:rPr>
          <w:iCs/>
        </w:rPr>
        <w:t xml:space="preserve"> </w:t>
      </w:r>
      <w:r w:rsidRPr="009A4EFA">
        <w:rPr>
          <w:b/>
          <w:iCs/>
        </w:rPr>
        <w:t>zmírnění příjmové nerovnosti</w:t>
      </w:r>
      <w:r w:rsidRPr="009A4EFA">
        <w:rPr>
          <w:iCs/>
        </w:rPr>
        <w:t xml:space="preserve"> ve společnosti i spravedlivějšímu rozdělování výnosů z výrobních faktorů. Hlavním cílem odborových organizací je nastavit spravedlivou úroveň odměňování ve </w:t>
      </w:r>
      <w:r w:rsidRPr="009A4EFA">
        <w:rPr>
          <w:iCs/>
        </w:rPr>
        <w:lastRenderedPageBreak/>
        <w:t>smyslu „za stejnou práci stejnou odměnu“, a to bez ohledu na odvětví ekonomické činnosti či region. Vyšší úroveň mezd rovněž přispívá ke změně podílu na výnosech/ziscích z výrobních faktorů v podobě práce a kapitálu ve prospěch práce.</w:t>
      </w:r>
    </w:p>
    <w:p w:rsidR="009A4EFA" w:rsidRPr="009A4EFA" w:rsidRDefault="009A4EFA" w:rsidP="009A4EFA">
      <w:pPr>
        <w:numPr>
          <w:ilvl w:val="0"/>
          <w:numId w:val="20"/>
        </w:numPr>
        <w:rPr>
          <w:iCs/>
        </w:rPr>
      </w:pPr>
      <w:r w:rsidRPr="009A4EFA">
        <w:rPr>
          <w:b/>
          <w:iCs/>
        </w:rPr>
        <w:t>Činnost odborů posiluje hodnoty demokratických společností</w:t>
      </w:r>
      <w:r w:rsidRPr="009A4EFA">
        <w:rPr>
          <w:iCs/>
        </w:rPr>
        <w:t>. Členové odborových organizací získávají zkušenosti s fungováním místní odborové organizace a jsou častěji aktivními občany i voliči.</w:t>
      </w:r>
    </w:p>
    <w:p w:rsidR="009A4EFA" w:rsidRPr="009A4EFA" w:rsidRDefault="009A4EFA" w:rsidP="009A4EFA">
      <w:pPr>
        <w:rPr>
          <w:b/>
          <w:iCs/>
        </w:rPr>
      </w:pPr>
      <w:r w:rsidRPr="009A4EFA">
        <w:rPr>
          <w:b/>
          <w:iCs/>
        </w:rPr>
        <w:t>Duální trh práce</w:t>
      </w:r>
    </w:p>
    <w:p w:rsidR="009A4EFA" w:rsidRPr="009A4EFA" w:rsidRDefault="009A4EFA" w:rsidP="009A4EFA">
      <w:pPr>
        <w:rPr>
          <w:iCs/>
        </w:rPr>
      </w:pPr>
      <w:r w:rsidRPr="009A4EFA">
        <w:rPr>
          <w:iCs/>
        </w:rPr>
        <w:t>Z hlediska trhu práce způsobuje existence odborových organizací vznik dualit. Duální trh práce se vyznačuje nastavením jiných pracovních podmínek pro jednu skupinu pracovníků ve srovnání s ostatními pracovníky. Duality na trhu práce vznikají především mezi</w:t>
      </w:r>
    </w:p>
    <w:p w:rsidR="009A4EFA" w:rsidRPr="009A4EFA" w:rsidRDefault="009A4EFA" w:rsidP="009A4EFA">
      <w:pPr>
        <w:numPr>
          <w:ilvl w:val="0"/>
          <w:numId w:val="22"/>
        </w:numPr>
        <w:rPr>
          <w:iCs/>
        </w:rPr>
      </w:pPr>
      <w:r w:rsidRPr="009A4EFA">
        <w:rPr>
          <w:iCs/>
        </w:rPr>
        <w:t>odborově organizovanými a neorganizovanými pracovníky,</w:t>
      </w:r>
    </w:p>
    <w:p w:rsidR="009A4EFA" w:rsidRPr="009A4EFA" w:rsidRDefault="009A4EFA" w:rsidP="009A4EFA">
      <w:pPr>
        <w:numPr>
          <w:ilvl w:val="0"/>
          <w:numId w:val="22"/>
        </w:numPr>
        <w:rPr>
          <w:iCs/>
        </w:rPr>
      </w:pPr>
      <w:r w:rsidRPr="009A4EFA">
        <w:rPr>
          <w:iCs/>
        </w:rPr>
        <w:t>veřejným a soukromým sektorem.</w:t>
      </w:r>
    </w:p>
    <w:p w:rsidR="009A4EFA" w:rsidRPr="009A4EFA" w:rsidRDefault="009A4EFA" w:rsidP="009A4EFA">
      <w:pPr>
        <w:spacing w:before="240" w:after="240"/>
        <w:rPr>
          <w:i/>
          <w:iCs/>
        </w:rPr>
      </w:pPr>
      <w:r w:rsidRPr="009A4EFA">
        <w:rPr>
          <w:i/>
          <w:iCs/>
        </w:rPr>
        <w:t>Odborově organizovaní a neorganizovaní pracovníci</w:t>
      </w:r>
    </w:p>
    <w:p w:rsidR="009A4EFA" w:rsidRPr="009A4EFA" w:rsidRDefault="009A4EFA" w:rsidP="009A4EFA">
      <w:pPr>
        <w:rPr>
          <w:iCs/>
        </w:rPr>
      </w:pPr>
      <w:r w:rsidRPr="009A4EFA">
        <w:rPr>
          <w:iCs/>
        </w:rPr>
        <w:t xml:space="preserve">Duality na trhu práce se projevují ve všech výše zmíněných oblastech. Navenek se dualita na trhu práce projevuje prostřednictvím </w:t>
      </w:r>
      <w:r w:rsidRPr="009A4EFA">
        <w:rPr>
          <w:b/>
          <w:iCs/>
        </w:rPr>
        <w:t>odlišné úrovně odměňování</w:t>
      </w:r>
      <w:r w:rsidRPr="009A4EFA">
        <w:rPr>
          <w:iCs/>
        </w:rPr>
        <w:t xml:space="preserve"> odborově organizovaných a neorganizovaných pracovníků. Podle Lewise (1985) se pohybuje mzdová prémie stejně kvalifikovaných odborově organizovaných pracovníků na úrovni 14</w:t>
      </w:r>
      <w:r w:rsidRPr="009A4EFA">
        <w:rPr>
          <w:iCs/>
        </w:rPr>
        <w:noBreakHyphen/>
        <w:t>15 %, podle Freemana a Medoffa (1984) i podle Linnemana a kol. (1990) se v 80. letech v USA pohybovala na úrovni 20</w:t>
      </w:r>
      <w:r w:rsidRPr="009A4EFA">
        <w:rPr>
          <w:iCs/>
        </w:rPr>
        <w:noBreakHyphen/>
        <w:t>30 %. Podle Blanchflowera a Brysona (2002) činil průměrný mzdový diferenciál ve všech zkoumaných zemích od počátku 70. let do poloviny 90. let 20. století 12 %, nicméně u jednotlivých zemí se hodnoty velmi lišily. Blanchflower a Bryson (2002) kvantifikovali rozdíl ve mzdách obou skupin pracovníků v USA ve výši 18</w:t>
      </w:r>
      <w:r w:rsidR="00C52F5A">
        <w:rPr>
          <w:iCs/>
        </w:rPr>
        <w:t> </w:t>
      </w:r>
      <w:r w:rsidRPr="009A4EFA">
        <w:rPr>
          <w:iCs/>
        </w:rPr>
        <w:t>%, ve Velké Británii ve výši 10 %. Mezi zeměmi, ve kterých jsou odborové organizace schopny zvyšovat mzdy svých členů, byly jmenovány např. Austrálie, Brazílie, Kanada, Čile, Kypr, Dánsko, Rakousko, Japonsko, Nový Zéland, Norsko, Portugalsko a Španělsko. V jiných zemích byl mzdový diferenciál nižší, neboť zde dochází k rychlému rozšíření působnosti kolektivních smluv do odborově neorganizované části ekonomiky. Mezi tyto země patří zejména Francie, Itálie, Nizozemí, Švédsko, a v 90. letech rovněž Německo.</w:t>
      </w:r>
    </w:p>
    <w:p w:rsidR="009A4EFA" w:rsidRPr="009A4EFA" w:rsidRDefault="009A4EFA" w:rsidP="009A4EFA">
      <w:pPr>
        <w:rPr>
          <w:iCs/>
        </w:rPr>
      </w:pPr>
      <w:r w:rsidRPr="009A4EFA">
        <w:rPr>
          <w:iCs/>
        </w:rPr>
        <w:t>Z Blanchflowerových a Brysonových (2004) výsledků je zřejmé, že mezinárodní srovnání je v této oblasti problematické kvůli rozdílům v postavení institutu kolektivního vyjednávání v jednotlivých zemích. Freeman (2005) proto doporučuje dva způsoby, jak mezinárodní srovnání provádět. Podle Freemana (2005) je možné</w:t>
      </w:r>
    </w:p>
    <w:p w:rsidR="009A4EFA" w:rsidRPr="009A4EFA" w:rsidRDefault="009A4EFA" w:rsidP="009A4EFA">
      <w:pPr>
        <w:numPr>
          <w:ilvl w:val="0"/>
          <w:numId w:val="23"/>
        </w:numPr>
        <w:rPr>
          <w:iCs/>
        </w:rPr>
      </w:pPr>
      <w:r w:rsidRPr="009A4EFA">
        <w:rPr>
          <w:iCs/>
        </w:rPr>
        <w:t>srovnávat rozdělení mezd v zemích, přičemž bude kontrolována proměnná v podobě rozsahu pokrytí kolektivními smlouvami. Tyto analýzy ale povedou ke shodnému výsledku, tj. budou ukazovat nižší rozdíly mezi mzdami v zemích, kde je vyšší úroveň pokrytí kolektivními smlouvami;</w:t>
      </w:r>
    </w:p>
    <w:p w:rsidR="009A4EFA" w:rsidRPr="009A4EFA" w:rsidRDefault="009A4EFA" w:rsidP="009A4EFA">
      <w:pPr>
        <w:numPr>
          <w:ilvl w:val="0"/>
          <w:numId w:val="23"/>
        </w:numPr>
        <w:rPr>
          <w:iCs/>
        </w:rPr>
      </w:pPr>
      <w:r w:rsidRPr="009A4EFA">
        <w:rPr>
          <w:iCs/>
        </w:rPr>
        <w:t>zkoumat změny v oblasti nastavení mezd komplexně, tj. zohlednit všechny instituty, které ovlivňují stanovení mezd v ekonomice. Pouze v tomto případě je možné oddělit vliv kolektivního vyjednávání od vlivu dalších institutů a kvantifikovat dopad úrovně odborové organizovanosti na mzdovou prémii ve prospěch odborově organizovaných pracovníků.</w:t>
      </w:r>
    </w:p>
    <w:p w:rsidR="009A4EFA" w:rsidRPr="009A4EFA" w:rsidRDefault="009A4EFA" w:rsidP="009A4EFA">
      <w:pPr>
        <w:rPr>
          <w:iCs/>
        </w:rPr>
      </w:pPr>
      <w:r w:rsidRPr="009A4EFA">
        <w:rPr>
          <w:iCs/>
        </w:rPr>
        <w:lastRenderedPageBreak/>
        <w:t>V současné době tedy existuje shoda z hlediska samotné existence mzdového diferenciálu mezi odborově organizovanými a neorganizovanými pracovníky, nicméně probíhají diskuse o kvalitě odhadů skutečné výše tohoto diferenciálu. Podle Budda a Na (2000) se mzdový diferenciál ve prospěch odborově organizovaných pracovníků pohyboval v USA v letech 1983</w:t>
      </w:r>
      <w:r w:rsidRPr="009A4EFA">
        <w:rPr>
          <w:iCs/>
        </w:rPr>
        <w:noBreakHyphen/>
        <w:t>1993 na úrovni 12</w:t>
      </w:r>
      <w:r w:rsidRPr="009A4EFA">
        <w:rPr>
          <w:iCs/>
        </w:rPr>
        <w:noBreakHyphen/>
        <w:t xml:space="preserve">14 %, což jsou výsledky srovnatelné s Blanchflowerem a Brysonem (2002). Podle Hirsche (2004) jsou však tyto </w:t>
      </w:r>
      <w:r w:rsidRPr="009A4EFA">
        <w:rPr>
          <w:b/>
          <w:iCs/>
        </w:rPr>
        <w:t>odhady systematicky podhodnocovány</w:t>
      </w:r>
      <w:r w:rsidRPr="009A4EFA">
        <w:rPr>
          <w:iCs/>
        </w:rPr>
        <w:t xml:space="preserve"> kvůli chybovosti datových zdrojů z hlediska klasifikace podniků podle existence odborové organizace. Hirsch (2004) analyzoval kvalitu datových zdrojů, odstranil chybné údaje a provedl nová propojení v čase. Na základě svého výzkumu v této oblasti došel k názoru, že rozdíl mezi mzdami odborově organizovaných a neorganizovaných pracovníků je podhodnocen až o 30 %, tj. absolutní výše mzdového diferenciálu ve prospěch odborově organizovaných pracovníků může činit až 28 %.</w:t>
      </w:r>
    </w:p>
    <w:p w:rsidR="009A4EFA" w:rsidRPr="009A4EFA" w:rsidRDefault="009A4EFA" w:rsidP="009A4EFA">
      <w:pPr>
        <w:rPr>
          <w:iCs/>
        </w:rPr>
      </w:pPr>
      <w:r w:rsidRPr="009A4EFA">
        <w:rPr>
          <w:iCs/>
        </w:rPr>
        <w:t xml:space="preserve">V souvislosti se mzdovou prémií však Sherk (2009) upozorňuje na skutečnost, že kladná korelace mezi odborovou organizovaností a vyššími mzdami automaticky neznamená vyšší mzdy ve všech podnicích, kde odborová organizace funguje. Mzdy podle něho rovněž rostou velmi vysokým tempem i v dalších odvětvích, která nemusí být nutně pokryta kolektivními smlouvami, ale pro která je typická velmi vysoká specializace pracovníků (např. technologické firmy v Silicon Valley). Podle Sherka (2009) </w:t>
      </w:r>
      <w:r w:rsidRPr="009A4EFA">
        <w:rPr>
          <w:b/>
          <w:iCs/>
        </w:rPr>
        <w:t>nevznikají odborové organizace náhodně</w:t>
      </w:r>
      <w:r w:rsidRPr="009A4EFA">
        <w:rPr>
          <w:iCs/>
        </w:rPr>
        <w:t xml:space="preserve">, ale jsou zakládány především ve velkých podnicích, které často dosahují vyšších zisků a obecně udržují </w:t>
      </w:r>
      <w:r w:rsidRPr="009A4EFA">
        <w:rPr>
          <w:b/>
          <w:iCs/>
        </w:rPr>
        <w:t>vyšší úroveň mezd</w:t>
      </w:r>
      <w:r w:rsidRPr="009A4EFA">
        <w:rPr>
          <w:iCs/>
        </w:rPr>
        <w:t xml:space="preserve">. Výsledky kolektivního vyjednávání v těchto podnicích vedou na jednu stranu k omezení svévole podniků při propouštění zaměstnanců, ale na druhou stranu tím omezují volnou ruku podniků při nahrazování neefektivních pracovníků. Aby se tyto podniky vyhnuli komplikacím, věnují </w:t>
      </w:r>
      <w:r w:rsidRPr="009A4EFA">
        <w:rPr>
          <w:b/>
          <w:iCs/>
        </w:rPr>
        <w:t>více úsilí hledání nových zaměstnanců</w:t>
      </w:r>
      <w:r w:rsidRPr="009A4EFA">
        <w:rPr>
          <w:iCs/>
        </w:rPr>
        <w:t xml:space="preserve"> a včasné identifikaci jejich potenciálně nižší produktivity. Z těchto důvodů může být výsledná</w:t>
      </w:r>
      <w:r w:rsidRPr="009A4EFA">
        <w:rPr>
          <w:b/>
          <w:iCs/>
        </w:rPr>
        <w:t xml:space="preserve"> korelace</w:t>
      </w:r>
      <w:r w:rsidRPr="009A4EFA">
        <w:rPr>
          <w:iCs/>
        </w:rPr>
        <w:t xml:space="preserve"> mezi odborovou organizovaností a výší mezd </w:t>
      </w:r>
      <w:r w:rsidRPr="009A4EFA">
        <w:rPr>
          <w:b/>
          <w:iCs/>
        </w:rPr>
        <w:t>zdánlivá</w:t>
      </w:r>
      <w:r w:rsidRPr="009A4EFA">
        <w:rPr>
          <w:iCs/>
        </w:rPr>
        <w:t>, a neposkytuje tak zcela komplexní obraz o vztahu odborové organizovanosti a úrovně mezd. Sherk (2009) poukazuje i na další skutečnost, která limituje vypovídací hodnotu zmíněné kladné korelace mezi odborovou organizovaností a výší mezd. Vysoce kvalifikovaní pracovníci s vysokými příjmy se často záměrně neuchází o pracovní místa v podnicích, kde fungují odborové organizace. Důvodem je obava z rigidní struktury těchto podniků a možné riziko v podobě omezování jejich výkonnosti příliš vysokou vertikální organizační strukturou.</w:t>
      </w:r>
    </w:p>
    <w:p w:rsidR="009A4EFA" w:rsidRPr="009A4EFA" w:rsidRDefault="009A4EFA" w:rsidP="00FF3A2E">
      <w:pPr>
        <w:spacing w:before="240" w:after="240"/>
        <w:rPr>
          <w:i/>
          <w:iCs/>
        </w:rPr>
      </w:pPr>
      <w:r w:rsidRPr="009A4EFA">
        <w:rPr>
          <w:i/>
          <w:iCs/>
        </w:rPr>
        <w:t>Veřejný a soukromý sektor</w:t>
      </w:r>
    </w:p>
    <w:p w:rsidR="009A4EFA" w:rsidRPr="009A4EFA" w:rsidRDefault="009A4EFA" w:rsidP="009A4EFA">
      <w:pPr>
        <w:rPr>
          <w:iCs/>
        </w:rPr>
      </w:pPr>
      <w:r w:rsidRPr="009A4EFA">
        <w:rPr>
          <w:iCs/>
        </w:rPr>
        <w:t>Další dualita na trhu práce vychází z rozdílů mezi soukromým a veřejným sektorem. Podle Freemana (2005) je nezbytné vytvořit speciální model pro každý ze zmíněných sektorů, neboť jsou v nich zcela odlišně nastaveny podmínky. V obou sektorech mají manažeři podniků i odborové organizace společný zájem na zvyšování poptávky po zboží a službách daného podniku, nicméně otázka rozdělení dodatečného výnosu z této produkce je předmětem konfliktů mezi oběma stranami. Způsoby hledání řešení tohoto rozporu se však mezi oběma sektory liší, a to z následujících důvodů:</w:t>
      </w:r>
    </w:p>
    <w:p w:rsidR="009A4EFA" w:rsidRPr="009A4EFA" w:rsidRDefault="009A4EFA" w:rsidP="009A4EFA">
      <w:pPr>
        <w:numPr>
          <w:ilvl w:val="0"/>
          <w:numId w:val="24"/>
        </w:numPr>
        <w:rPr>
          <w:iCs/>
        </w:rPr>
      </w:pPr>
      <w:r w:rsidRPr="009A4EFA">
        <w:rPr>
          <w:iCs/>
        </w:rPr>
        <w:t>v soukromém sektoru mají odborové organizace minimální vliv na změnu poptávky po produkci daného podniku (či odvětví). Odborové organizace proto zaměřují svou pozornost primárně na problematiku rozdělování výnosů/zisku, a manažeři tak funkci odborových organizací vnímají negativně, neboť výsledkem kolektivního vyjednávání je redukce jejich zisku;</w:t>
      </w:r>
    </w:p>
    <w:p w:rsidR="009A4EFA" w:rsidRPr="009A4EFA" w:rsidRDefault="009A4EFA" w:rsidP="009A4EFA">
      <w:pPr>
        <w:numPr>
          <w:ilvl w:val="0"/>
          <w:numId w:val="24"/>
        </w:numPr>
        <w:rPr>
          <w:iCs/>
        </w:rPr>
      </w:pPr>
      <w:r w:rsidRPr="009A4EFA">
        <w:rPr>
          <w:iCs/>
        </w:rPr>
        <w:lastRenderedPageBreak/>
        <w:t>ve veřejném sektoru se odborové organizace snadněji zapojují do diskuse o</w:t>
      </w:r>
      <w:r w:rsidR="00442E3A">
        <w:rPr>
          <w:iCs/>
        </w:rPr>
        <w:t> </w:t>
      </w:r>
      <w:r w:rsidRPr="009A4EFA">
        <w:rPr>
          <w:iCs/>
        </w:rPr>
        <w:t>potřebnosti veřejných služeb ve vybraných oblastech, např. ve zdravotnictví, školství či v oblasti ochrany obyvatelstva, čímž mohou pozitivně ovlivnit i výši veřejných prostředků přidělovaných do konkrétních oblastí veřejného zájmu. Manažeři ve veřejném sektoru tak vnímají odborové organizace spíše jako své partnery, neboť sledují sice odlišné cíle, ale využívají shodné prostředky.</w:t>
      </w:r>
    </w:p>
    <w:p w:rsidR="009A4EFA" w:rsidRPr="009A4EFA" w:rsidRDefault="009A4EFA" w:rsidP="009A4EFA">
      <w:pPr>
        <w:rPr>
          <w:iCs/>
        </w:rPr>
      </w:pPr>
      <w:r w:rsidRPr="009A4EFA">
        <w:rPr>
          <w:iCs/>
        </w:rPr>
        <w:t>V tomto ohledu je tedy nutné při hodnocení dopadu činnosti odborových organizací ve veřejném sektoru zohlednit i jejich roli z hlediska přesunu veřejných prostředků do rozpočtových kapitol, které souvisí s předmětem činnosti subjektů, ve kterých příslušné odborové organizace působí. Je zřejmé, že postavení odborových organizací ve veřejném sektoru je zcela odlišné od sektoru soukromého. V soukromém sektoru nemají odborové organizace tak silné postavení jako v sektoru veřejném, navíc zde není prostor pro lobbing ve prospěch produkce daného podniku či odvětví.</w:t>
      </w:r>
    </w:p>
    <w:p w:rsidR="009A4EFA" w:rsidRPr="009A4EFA" w:rsidRDefault="009A4EFA" w:rsidP="009A4EFA">
      <w:pPr>
        <w:spacing w:before="240" w:after="240"/>
        <w:rPr>
          <w:b/>
          <w:iCs/>
        </w:rPr>
      </w:pPr>
      <w:r w:rsidRPr="009A4EFA">
        <w:rPr>
          <w:b/>
          <w:iCs/>
        </w:rPr>
        <w:t>Pracovní prostředí</w:t>
      </w:r>
    </w:p>
    <w:p w:rsidR="009A4EFA" w:rsidRPr="009A4EFA" w:rsidRDefault="009A4EFA" w:rsidP="009A4EFA">
      <w:pPr>
        <w:rPr>
          <w:iCs/>
        </w:rPr>
      </w:pPr>
      <w:r w:rsidRPr="009A4EFA">
        <w:rPr>
          <w:iCs/>
        </w:rPr>
        <w:t>Podle Verma (2005) je pro podniky s odborově organizovanými zaměstnanci charakteristická vyšší úroveň formálních mechanismů v oblasti dohledu nad dodržováním standardů týkajících se pracovního prostředí či bezpečnosti práce. Jako příklad uvádí Austrálii a Japonsko, kde je v podnicích s odborovou organizací častěji přítomny pracovní skupiny, bezpečnostní komise, proškolený personál v oblasti zdravotní péče. V těchto subjektech probíhají rovněž častěji průzkumy spokojenosti zaměstnanců, jsou zde zpracovány postupy, jak minimalizovat nespokojenost zaměstnanců či zajistit rovné podmínky všem zaměstnancům. Na základě výsledků Verma (2005) lze soudit, že dochází k posilování role odborů jako mediátora mezi zaměstnavatelem a jednotlivými zaměstnanci.</w:t>
      </w:r>
    </w:p>
    <w:p w:rsidR="009A4EFA" w:rsidRPr="009A4EFA" w:rsidRDefault="009A4EFA" w:rsidP="009A4EFA">
      <w:pPr>
        <w:spacing w:before="240" w:after="240"/>
        <w:rPr>
          <w:b/>
          <w:iCs/>
        </w:rPr>
      </w:pPr>
      <w:r w:rsidRPr="009A4EFA">
        <w:rPr>
          <w:b/>
          <w:iCs/>
        </w:rPr>
        <w:t>Vliv odborů na kvalitu pracovní síly</w:t>
      </w:r>
    </w:p>
    <w:p w:rsidR="009A4EFA" w:rsidRPr="009A4EFA" w:rsidRDefault="009A4EFA" w:rsidP="009A4EFA">
      <w:pPr>
        <w:rPr>
          <w:iCs/>
        </w:rPr>
      </w:pPr>
      <w:r w:rsidRPr="009A4EFA">
        <w:rPr>
          <w:iCs/>
        </w:rPr>
        <w:t>Pro podniky, v nichž fungují odborové organizace, je typická delší průměrná doba zaměstnání jednotlivých zaměstnanců v daném podniku, než v podnicích bez odborové organizace. V souvislosti s kvalitou najímané pracovní síly se objevují dva názorové proudy:</w:t>
      </w:r>
    </w:p>
    <w:p w:rsidR="009A4EFA" w:rsidRPr="009A4EFA" w:rsidRDefault="009A4EFA" w:rsidP="009A4EFA">
      <w:pPr>
        <w:numPr>
          <w:ilvl w:val="0"/>
          <w:numId w:val="21"/>
        </w:numPr>
        <w:rPr>
          <w:iCs/>
        </w:rPr>
      </w:pPr>
      <w:r w:rsidRPr="009A4EFA">
        <w:rPr>
          <w:iCs/>
        </w:rPr>
        <w:t>zaměstnanci organizovaní v odborech neodchází z daného podniku, protože jsou méně schopní, a v jiných podnicích by získali méně kvalitní pracovní místo,</w:t>
      </w:r>
    </w:p>
    <w:p w:rsidR="009A4EFA" w:rsidRPr="009A4EFA" w:rsidRDefault="009A4EFA" w:rsidP="009A4EFA">
      <w:pPr>
        <w:numPr>
          <w:ilvl w:val="0"/>
          <w:numId w:val="21"/>
        </w:numPr>
        <w:rPr>
          <w:iCs/>
        </w:rPr>
      </w:pPr>
      <w:r w:rsidRPr="009A4EFA">
        <w:rPr>
          <w:iCs/>
        </w:rPr>
        <w:t>díky vyšší úrovni mezd se na volné pracovní místo hlásí vyšší počet kvalifikovaných pracovníků. Motivace těchto pracovníků opustit své pracovní místo je – kromě výše zmíněných faktorů souvisejících s rolí odborových organizací – nižší právě kvůli nadprůměrné úrovni odměňování.</w:t>
      </w:r>
    </w:p>
    <w:p w:rsidR="009A4EFA" w:rsidRPr="009A4EFA" w:rsidRDefault="009A4EFA" w:rsidP="009A4EFA">
      <w:pPr>
        <w:rPr>
          <w:iCs/>
        </w:rPr>
      </w:pPr>
      <w:r w:rsidRPr="009A4EFA">
        <w:rPr>
          <w:iCs/>
        </w:rPr>
        <w:t>Podle Freemana (2005) však longitudinální studie potvrdily, že stejný zaměstnanec má nižší sklon opustit pracovní místo v podniku, kde jsou zaměstnanci odborově organizovaní, než v podniku, kde odborová organizace nepůsobí. Z tohoto důvodu považuje Freeman (2005) vysvětlení pod bodem b) za realističtější.</w:t>
      </w:r>
    </w:p>
    <w:p w:rsidR="009A4EFA" w:rsidRPr="009A4EFA" w:rsidRDefault="009A4EFA" w:rsidP="009A4EFA">
      <w:pPr>
        <w:keepNext/>
        <w:spacing w:before="240" w:after="240"/>
        <w:rPr>
          <w:b/>
          <w:iCs/>
        </w:rPr>
      </w:pPr>
      <w:r w:rsidRPr="009A4EFA">
        <w:rPr>
          <w:b/>
          <w:iCs/>
        </w:rPr>
        <w:lastRenderedPageBreak/>
        <w:t>Pracovní místa a zaměstnanost</w:t>
      </w:r>
    </w:p>
    <w:p w:rsidR="009A4EFA" w:rsidRPr="009A4EFA" w:rsidRDefault="009A4EFA" w:rsidP="009A4EFA">
      <w:pPr>
        <w:keepLines/>
        <w:rPr>
          <w:iCs/>
        </w:rPr>
      </w:pPr>
      <w:r w:rsidRPr="009A4EFA">
        <w:rPr>
          <w:iCs/>
        </w:rPr>
        <w:t xml:space="preserve">Podle Dunna a MacPhersona (1994), Freemana a Kleinera (1999) a DiNarda a Lee (2004) nezvyšuje existence odborové organizace v podniku riziko ukončení činnosti (uzavření) podniku, nicméně zvyšuje pravděpodobnost nižších temp růstu zaměstnanosti. Podle Lalonde a kol. (1996) však není pokles zaměstnanosti způsoben záměrným výběrem podniků, kde bude odborová organizace nově založena (tj. nejedná se a priori o stagnující subjekty či subjekty v útlumu), a je zřejmé, že založení odborové organizace v daném podniku vede ke snížení zaměstnanosti v nejbližších letech. Vysvětlení tohoto jevu nabízí Kuhn (1982), podle kterého odborová organizace </w:t>
      </w:r>
      <w:r w:rsidRPr="009A4EFA">
        <w:rPr>
          <w:b/>
          <w:iCs/>
        </w:rPr>
        <w:t>upřednostňuje</w:t>
      </w:r>
      <w:r w:rsidRPr="009A4EFA">
        <w:rPr>
          <w:iCs/>
        </w:rPr>
        <w:t xml:space="preserve"> z pochopitelných důvodů </w:t>
      </w:r>
      <w:r w:rsidRPr="009A4EFA">
        <w:rPr>
          <w:b/>
          <w:iCs/>
        </w:rPr>
        <w:t>zájmy stávajících členů</w:t>
      </w:r>
      <w:r w:rsidRPr="009A4EFA">
        <w:rPr>
          <w:iCs/>
        </w:rPr>
        <w:t>, a obětuje tak případný růst své základny výměnou za benefity pro stávající členy. Podle Sherka (2009) není zájmem odborové organizace tlumit činnost daného podniku, nicméně hierarchie odborové organizace v daném podniku k tomuto efektu přispívá. V praxi USA souhlasí vedení odborových organizací spíše s propouštěním zaměstnanců než se snižováním mezd. Zaměstnanci jsou však propouštěni podle služebního stáří, tj. mezi prvními propuštěnými jsou služebně nejmladší zaměstnanci. Postavení služebně nejstarších odborářů je pak z pohledu ostatních zaměstnanců výhodné – existuje totiž velmi malá pravděpodobnost, že by byli propuštěni, a zároveň existuje malá šance, že by jim byly kráceny mzdy. Z tohoto důvodu jsou odborové organizace podle Medoffa (1979) ochotny vyjednávat o propouštění nejnovějších zaměstnanců (a tedy i o snižování počtu pracovních míst), a nikoli o</w:t>
      </w:r>
      <w:r w:rsidR="00442E3A">
        <w:rPr>
          <w:iCs/>
        </w:rPr>
        <w:t> </w:t>
      </w:r>
      <w:r w:rsidRPr="009A4EFA">
        <w:rPr>
          <w:iCs/>
        </w:rPr>
        <w:t>snižování mezd, ač by bylo možné tímto postupem část pracovních míst zachránit. Toto tvrzení je zdánlivě v rozporu s DiNardem a Leem (2004). Ti došli k závěru, že podniky nově pokryté kolektivní smlouvou nebudou s vysokou pravděpodobností rušit pracovní místa. Ve zkoumaných podnicích však nebyly zatím zvyšovány mzdy, a proto lze v budoucnu obtížně odhadovat dopad zvyšování mezd na vývoj zaměstnanosti.</w:t>
      </w:r>
    </w:p>
    <w:p w:rsidR="009A4EFA" w:rsidRPr="009A4EFA" w:rsidRDefault="009A4EFA" w:rsidP="009A4EFA">
      <w:pPr>
        <w:rPr>
          <w:iCs/>
        </w:rPr>
      </w:pPr>
      <w:r w:rsidRPr="009A4EFA">
        <w:rPr>
          <w:iCs/>
        </w:rPr>
        <w:t xml:space="preserve">Linneman a kol. (1990) dále došli k závěru, že </w:t>
      </w:r>
      <w:r w:rsidRPr="009A4EFA">
        <w:rPr>
          <w:b/>
          <w:iCs/>
        </w:rPr>
        <w:t>mzdová prémie</w:t>
      </w:r>
      <w:r w:rsidRPr="009A4EFA">
        <w:rPr>
          <w:iCs/>
        </w:rPr>
        <w:t xml:space="preserve"> získaná odborovými organizacemi pro své členy byla </w:t>
      </w:r>
      <w:r w:rsidRPr="009A4EFA">
        <w:rPr>
          <w:b/>
          <w:iCs/>
        </w:rPr>
        <w:t>vykoupena</w:t>
      </w:r>
      <w:r w:rsidRPr="009A4EFA">
        <w:rPr>
          <w:iCs/>
        </w:rPr>
        <w:t xml:space="preserve"> 64% </w:t>
      </w:r>
      <w:r w:rsidRPr="009A4EFA">
        <w:rPr>
          <w:b/>
          <w:iCs/>
        </w:rPr>
        <w:t>poklesem</w:t>
      </w:r>
      <w:r w:rsidRPr="009A4EFA">
        <w:rPr>
          <w:iCs/>
        </w:rPr>
        <w:t xml:space="preserve"> jejich </w:t>
      </w:r>
      <w:r w:rsidRPr="009A4EFA">
        <w:rPr>
          <w:b/>
          <w:iCs/>
        </w:rPr>
        <w:t>podílu na zaměstnanosti</w:t>
      </w:r>
      <w:r w:rsidRPr="009A4EFA">
        <w:rPr>
          <w:iCs/>
        </w:rPr>
        <w:t xml:space="preserve"> během 70. a 80. let 20. století. Linneman a kol. (1990) rovněž poukazují na skutečnost, že v odvětvích, kde rostly mzdy nejvyššími tempy, docházelo zároveň k největšímu poklesu zaměstnanosti, zatímco v rámci neorganizované skupiny byla zaměstnanost stabilní. Efekty, které byly podle Linnemana a kol. (1990) považovány za deindustrializaci, byly ve skutečnosti způsobeny změnou v rozsahu pokrytí kolektivními smlouvami.</w:t>
      </w:r>
    </w:p>
    <w:p w:rsidR="009A4EFA" w:rsidRPr="009A4EFA" w:rsidRDefault="009A4EFA" w:rsidP="009A4EFA">
      <w:pPr>
        <w:rPr>
          <w:iCs/>
        </w:rPr>
      </w:pPr>
      <w:r w:rsidRPr="009A4EFA">
        <w:rPr>
          <w:iCs/>
        </w:rPr>
        <w:t>Závěry Linnemana a kol. (1990) jsou v souladu se Sherkem (2009), který poukazuje na skutečnost, že v americkém průmyslu klesl za posledních 30 let počet pracovních míst v podnicích s odborově organizovanými pracovníky o 75 %, zatímco v neorganizovaných podnicích počet pracovních míst ve stejném období vzrostl o 6 % (viz obrázek 1). Pokles pracovních míst v podnicích pokrytých kolektivními smlouvami potom podle Sherka (2009) způsobil pokles působnosti kolektivních smluv z 38 % zaměstnanců průmyslu na 12 %. Dalším příkladem může být stavebnictví, kde rostla zaměstnanost od konce 70. let 20. století. Růst zaměstnanosti však probíhal pouze v odborově neorganizované části ekonomiky (růst ve výši 159 %), zatímco v odborově organizované části ekonomiky klesla zaměstnanost o 17 %. I v případě stavebnictví tak došlo k poklesu počtu pracovníků, jimž upravovala pracovní podmínky kolektivní smlouva, o 22 p.b. (ze 38 % v roce 1977 na 16</w:t>
      </w:r>
      <w:r w:rsidR="00442E3A">
        <w:rPr>
          <w:iCs/>
        </w:rPr>
        <w:t> </w:t>
      </w:r>
      <w:r w:rsidRPr="009A4EFA">
        <w:rPr>
          <w:iCs/>
        </w:rPr>
        <w:t>% v roce 2008). Podobné závěry lze učinit i u ostatních odvětví.</w:t>
      </w:r>
    </w:p>
    <w:p w:rsidR="009A4EFA" w:rsidRPr="009A4EFA" w:rsidRDefault="009A4EFA" w:rsidP="009A4EFA">
      <w:pPr>
        <w:rPr>
          <w:bCs/>
          <w:i/>
          <w:iCs/>
        </w:rPr>
      </w:pPr>
      <w:r w:rsidRPr="009A4EFA">
        <w:rPr>
          <w:bCs/>
          <w:i/>
        </w:rPr>
        <w:lastRenderedPageBreak/>
        <w:t xml:space="preserve">Obrázek </w:t>
      </w:r>
      <w:r w:rsidR="008A3262" w:rsidRPr="009A4EFA">
        <w:rPr>
          <w:bCs/>
          <w:i/>
        </w:rPr>
        <w:fldChar w:fldCharType="begin"/>
      </w:r>
      <w:r w:rsidRPr="009A4EFA">
        <w:rPr>
          <w:bCs/>
          <w:i/>
        </w:rPr>
        <w:instrText xml:space="preserve"> SEQ Obrázek \* ARABIC </w:instrText>
      </w:r>
      <w:r w:rsidR="008A3262" w:rsidRPr="009A4EFA">
        <w:rPr>
          <w:bCs/>
          <w:i/>
        </w:rPr>
        <w:fldChar w:fldCharType="separate"/>
      </w:r>
      <w:r w:rsidR="00001D4C">
        <w:rPr>
          <w:bCs/>
          <w:i/>
          <w:noProof/>
        </w:rPr>
        <w:t>1</w:t>
      </w:r>
      <w:r w:rsidR="008A3262" w:rsidRPr="009A4EFA">
        <w:fldChar w:fldCharType="end"/>
      </w:r>
      <w:r w:rsidRPr="009A4EFA">
        <w:rPr>
          <w:bCs/>
          <w:i/>
        </w:rPr>
        <w:t>: Vývoj počtu zaměstnanců v průmyslu a stavebnictví v USA, jejichž pracovní podmínky se řídily kolektivní smlouvou (Union) či nikoli (Non-union) (mil. pracovních míst)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416"/>
      </w:tblGrid>
      <w:tr w:rsidR="009A4EFA" w:rsidRPr="009A4EFA" w:rsidTr="00E552BB">
        <w:trPr>
          <w:trHeight w:val="364"/>
        </w:trPr>
        <w:tc>
          <w:tcPr>
            <w:tcW w:w="4814" w:type="dxa"/>
            <w:vAlign w:val="center"/>
          </w:tcPr>
          <w:p w:rsidR="009A4EFA" w:rsidRPr="007679AE" w:rsidRDefault="009A4EFA" w:rsidP="007679AE">
            <w:pPr>
              <w:spacing w:after="60"/>
              <w:jc w:val="center"/>
              <w:rPr>
                <w:b/>
                <w:sz w:val="22"/>
                <w:szCs w:val="22"/>
              </w:rPr>
            </w:pPr>
            <w:r w:rsidRPr="007679AE">
              <w:rPr>
                <w:b/>
                <w:sz w:val="22"/>
                <w:szCs w:val="22"/>
              </w:rPr>
              <w:t>Průmysl</w:t>
            </w:r>
          </w:p>
        </w:tc>
        <w:tc>
          <w:tcPr>
            <w:tcW w:w="4416" w:type="dxa"/>
            <w:vAlign w:val="center"/>
          </w:tcPr>
          <w:p w:rsidR="009A4EFA" w:rsidRPr="007679AE" w:rsidRDefault="009A4EFA" w:rsidP="007679AE">
            <w:pPr>
              <w:spacing w:after="60"/>
              <w:jc w:val="center"/>
              <w:rPr>
                <w:b/>
                <w:sz w:val="22"/>
                <w:szCs w:val="22"/>
              </w:rPr>
            </w:pPr>
            <w:r w:rsidRPr="007679AE">
              <w:rPr>
                <w:b/>
                <w:sz w:val="22"/>
                <w:szCs w:val="22"/>
              </w:rPr>
              <w:t>Stavebnictví</w:t>
            </w:r>
          </w:p>
        </w:tc>
      </w:tr>
      <w:tr w:rsidR="009A4EFA" w:rsidRPr="009A4EFA" w:rsidTr="00E552BB">
        <w:trPr>
          <w:trHeight w:val="4834"/>
        </w:trPr>
        <w:tc>
          <w:tcPr>
            <w:tcW w:w="4814" w:type="dxa"/>
          </w:tcPr>
          <w:p w:rsidR="009A4EFA" w:rsidRPr="009A4EFA" w:rsidRDefault="009A4EFA" w:rsidP="009A4EFA">
            <w:pPr>
              <w:spacing w:after="60"/>
              <w:rPr>
                <w:iCs/>
              </w:rPr>
            </w:pPr>
            <w:r w:rsidRPr="009A4EFA">
              <w:rPr>
                <w:noProof/>
                <w:lang w:eastAsia="cs-CZ" w:bidi="ar-SA"/>
              </w:rPr>
              <w:drawing>
                <wp:inline distT="0" distB="0" distL="0" distR="0">
                  <wp:extent cx="2803031" cy="2971800"/>
                  <wp:effectExtent l="19050" t="19050" r="16510" b="19050"/>
                  <wp:docPr id="5" name="Obrázek 5" descr="Manufacturing Employment: Union vs. Non-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ing Employment: Union vs. Non-un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00" t="27799" r="2500" b="21258"/>
                          <a:stretch/>
                        </pic:blipFill>
                        <pic:spPr bwMode="auto">
                          <a:xfrm>
                            <a:off x="0" y="0"/>
                            <a:ext cx="2808964" cy="2978091"/>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tc>
        <w:tc>
          <w:tcPr>
            <w:tcW w:w="4416" w:type="dxa"/>
          </w:tcPr>
          <w:p w:rsidR="009A4EFA" w:rsidRPr="009A4EFA" w:rsidRDefault="009A4EFA" w:rsidP="009A4EFA">
            <w:pPr>
              <w:spacing w:after="60"/>
              <w:rPr>
                <w:iCs/>
              </w:rPr>
            </w:pPr>
            <w:r w:rsidRPr="009A4EFA">
              <w:rPr>
                <w:noProof/>
                <w:lang w:eastAsia="cs-CZ" w:bidi="ar-SA"/>
              </w:rPr>
              <w:drawing>
                <wp:inline distT="0" distB="0" distL="0" distR="0">
                  <wp:extent cx="2638425" cy="2982886"/>
                  <wp:effectExtent l="19050" t="19050" r="9525" b="27305"/>
                  <wp:docPr id="6" name="Obrázek 6" descr="Private Construction Employment:  Union vs. Non-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 Construction Employment:  Union vs. Non-uni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50" t="24138" r="7749" b="21884"/>
                          <a:stretch/>
                        </pic:blipFill>
                        <pic:spPr bwMode="auto">
                          <a:xfrm>
                            <a:off x="0" y="0"/>
                            <a:ext cx="2646164" cy="2991635"/>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tc>
      </w:tr>
    </w:tbl>
    <w:p w:rsidR="009A4EFA" w:rsidRPr="009A4EFA" w:rsidRDefault="009A4EFA" w:rsidP="00B53CC4">
      <w:pPr>
        <w:spacing w:after="480"/>
        <w:rPr>
          <w:iCs/>
        </w:rPr>
      </w:pPr>
      <w:r w:rsidRPr="009A4EFA">
        <w:rPr>
          <w:iCs/>
        </w:rPr>
        <w:t>Zdroj: Sherk (2009).</w:t>
      </w:r>
    </w:p>
    <w:p w:rsidR="009A4EFA" w:rsidRPr="009A4EFA" w:rsidRDefault="009A4EFA" w:rsidP="009A4EFA">
      <w:pPr>
        <w:rPr>
          <w:iCs/>
        </w:rPr>
      </w:pPr>
      <w:r w:rsidRPr="009A4EFA">
        <w:rPr>
          <w:iCs/>
        </w:rPr>
        <w:t xml:space="preserve">Vztahem </w:t>
      </w:r>
      <w:r w:rsidRPr="009A4EFA">
        <w:rPr>
          <w:b/>
          <w:iCs/>
        </w:rPr>
        <w:t xml:space="preserve">hustoty </w:t>
      </w:r>
      <w:r w:rsidR="00693B54">
        <w:rPr>
          <w:b/>
          <w:iCs/>
        </w:rPr>
        <w:t>odborové organizovanosti</w:t>
      </w:r>
      <w:r w:rsidRPr="009A4EFA">
        <w:rPr>
          <w:b/>
          <w:iCs/>
        </w:rPr>
        <w:t xml:space="preserve"> a mírou nezaměstnanosti</w:t>
      </w:r>
      <w:r w:rsidRPr="009A4EFA">
        <w:rPr>
          <w:iCs/>
        </w:rPr>
        <w:t xml:space="preserve"> ve vybraných evropských zemích se zabývali Checchi a Lucifora (2002). Podle jejich závěrů je hustota </w:t>
      </w:r>
      <w:r w:rsidR="00693B54">
        <w:rPr>
          <w:iCs/>
        </w:rPr>
        <w:t>organizovanosti</w:t>
      </w:r>
      <w:r w:rsidRPr="009A4EFA">
        <w:rPr>
          <w:iCs/>
        </w:rPr>
        <w:t xml:space="preserve"> a míra nezaměstnanosti pozitivně korelovaná (viz obrázek 2), nicméně výsledky jsou ze statistického hlediska málo významné. Podle Checchi a Lucifora (2002) je rovněž velmi </w:t>
      </w:r>
      <w:r w:rsidRPr="009A4EFA">
        <w:rPr>
          <w:b/>
          <w:iCs/>
        </w:rPr>
        <w:t>obtížné hodnotit směr kauzality</w:t>
      </w:r>
      <w:r w:rsidRPr="009A4EFA">
        <w:rPr>
          <w:iCs/>
        </w:rPr>
        <w:t xml:space="preserve"> – tj. zda vyšší míra nezaměstnanosti vede k vyšší míře pokrytí kolektivními smlouvami, či zda zvyšování pokrytí kolektivními smlouvami vede k vyšší míře nezaměstnanosti. Z dlouhodobého hlediska však není vývoj nezaměstnanosti v ekonomice dostačující vysvětlující proměnnou při hodnocení vývoje hustoty </w:t>
      </w:r>
      <w:r w:rsidR="00693B54">
        <w:rPr>
          <w:iCs/>
        </w:rPr>
        <w:t>odborové organizovanosti</w:t>
      </w:r>
      <w:r w:rsidRPr="009A4EFA">
        <w:rPr>
          <w:iCs/>
        </w:rPr>
        <w:t>.</w:t>
      </w:r>
    </w:p>
    <w:p w:rsidR="009A4EFA" w:rsidRPr="009A4EFA" w:rsidRDefault="009A4EFA" w:rsidP="009A4EFA">
      <w:pPr>
        <w:keepNext/>
        <w:rPr>
          <w:bCs/>
          <w:i/>
          <w:iCs/>
          <w:sz w:val="22"/>
          <w:szCs w:val="22"/>
        </w:rPr>
      </w:pPr>
      <w:r w:rsidRPr="009A4EFA">
        <w:rPr>
          <w:bCs/>
          <w:i/>
          <w:sz w:val="22"/>
          <w:szCs w:val="22"/>
        </w:rPr>
        <w:lastRenderedPageBreak/>
        <w:t xml:space="preserve">Obrázek </w:t>
      </w:r>
      <w:r w:rsidR="008A3262" w:rsidRPr="009A4EFA">
        <w:rPr>
          <w:bCs/>
          <w:i/>
          <w:sz w:val="22"/>
          <w:szCs w:val="22"/>
        </w:rPr>
        <w:fldChar w:fldCharType="begin"/>
      </w:r>
      <w:r w:rsidRPr="009A4EFA">
        <w:rPr>
          <w:bCs/>
          <w:i/>
          <w:sz w:val="22"/>
          <w:szCs w:val="22"/>
        </w:rPr>
        <w:instrText xml:space="preserve"> SEQ Obrázek \* ARABIC </w:instrText>
      </w:r>
      <w:r w:rsidR="008A3262" w:rsidRPr="009A4EFA">
        <w:rPr>
          <w:bCs/>
          <w:i/>
          <w:sz w:val="22"/>
          <w:szCs w:val="22"/>
        </w:rPr>
        <w:fldChar w:fldCharType="separate"/>
      </w:r>
      <w:r w:rsidR="00001D4C">
        <w:rPr>
          <w:bCs/>
          <w:i/>
          <w:noProof/>
          <w:sz w:val="22"/>
          <w:szCs w:val="22"/>
        </w:rPr>
        <w:t>2</w:t>
      </w:r>
      <w:r w:rsidR="008A3262" w:rsidRPr="009A4EFA">
        <w:rPr>
          <w:sz w:val="22"/>
          <w:szCs w:val="22"/>
        </w:rPr>
        <w:fldChar w:fldCharType="end"/>
      </w:r>
      <w:r w:rsidRPr="009A4EFA">
        <w:rPr>
          <w:bCs/>
          <w:i/>
          <w:sz w:val="22"/>
          <w:szCs w:val="22"/>
        </w:rPr>
        <w:t xml:space="preserve">: Korelace mezi hustotou </w:t>
      </w:r>
      <w:r w:rsidR="00B53CC4">
        <w:rPr>
          <w:bCs/>
          <w:i/>
          <w:sz w:val="22"/>
          <w:szCs w:val="22"/>
        </w:rPr>
        <w:t>odborové organizovanosti</w:t>
      </w:r>
      <w:r w:rsidRPr="009A4EFA">
        <w:rPr>
          <w:bCs/>
          <w:i/>
          <w:sz w:val="22"/>
          <w:szCs w:val="22"/>
        </w:rPr>
        <w:t xml:space="preserve"> a mírou nezaměstnanosti</w:t>
      </w:r>
    </w:p>
    <w:tbl>
      <w:tblPr>
        <w:tblStyle w:val="Mkatabulky"/>
        <w:tblW w:w="0" w:type="auto"/>
        <w:tblInd w:w="9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639"/>
        <w:gridCol w:w="7015"/>
      </w:tblGrid>
      <w:tr w:rsidR="009A4EFA" w:rsidRPr="007679AE" w:rsidTr="00E552BB">
        <w:trPr>
          <w:cantSplit/>
          <w:trHeight w:val="1134"/>
        </w:trPr>
        <w:tc>
          <w:tcPr>
            <w:tcW w:w="452" w:type="dxa"/>
            <w:textDirection w:val="btLr"/>
            <w:vAlign w:val="bottom"/>
          </w:tcPr>
          <w:p w:rsidR="009A4EFA" w:rsidRPr="007679AE" w:rsidRDefault="00B53CC4" w:rsidP="007679AE">
            <w:pPr>
              <w:spacing w:after="60"/>
              <w:jc w:val="center"/>
              <w:rPr>
                <w:iCs/>
                <w:sz w:val="20"/>
                <w:szCs w:val="20"/>
              </w:rPr>
            </w:pPr>
            <w:r>
              <w:rPr>
                <w:iCs/>
                <w:sz w:val="20"/>
                <w:szCs w:val="20"/>
              </w:rPr>
              <w:t>Odborová organizovanost</w:t>
            </w:r>
          </w:p>
        </w:tc>
        <w:tc>
          <w:tcPr>
            <w:tcW w:w="7015" w:type="dxa"/>
          </w:tcPr>
          <w:p w:rsidR="009A4EFA" w:rsidRPr="007679AE" w:rsidRDefault="009A4EFA" w:rsidP="009A4EFA">
            <w:pPr>
              <w:spacing w:after="60"/>
              <w:rPr>
                <w:iCs/>
                <w:sz w:val="20"/>
                <w:szCs w:val="20"/>
              </w:rPr>
            </w:pPr>
            <w:r w:rsidRPr="007679AE">
              <w:rPr>
                <w:noProof/>
                <w:sz w:val="20"/>
                <w:szCs w:val="20"/>
                <w:lang w:eastAsia="cs-CZ" w:bidi="ar-SA"/>
              </w:rPr>
              <w:drawing>
                <wp:inline distT="0" distB="0" distL="0" distR="0">
                  <wp:extent cx="4296410" cy="2895600"/>
                  <wp:effectExtent l="0" t="0" r="8890" b="0"/>
                  <wp:docPr id="13" name="Obrázek 13" descr="http://dmiropgz11l9w.cloudfront.net/content/economicpolicy/17/35/361/F4.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miropgz11l9w.cloudfront.net/content/economicpolicy/17/35/361/F4.medium.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714" t="3637" b="4241"/>
                          <a:stretch/>
                        </pic:blipFill>
                        <pic:spPr bwMode="auto">
                          <a:xfrm>
                            <a:off x="0" y="0"/>
                            <a:ext cx="4304026" cy="290073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4EFA" w:rsidRPr="007679AE" w:rsidTr="00E552BB">
        <w:trPr>
          <w:trHeight w:val="241"/>
        </w:trPr>
        <w:tc>
          <w:tcPr>
            <w:tcW w:w="452" w:type="dxa"/>
          </w:tcPr>
          <w:p w:rsidR="009A4EFA" w:rsidRPr="007679AE" w:rsidRDefault="009A4EFA" w:rsidP="009A4EFA">
            <w:pPr>
              <w:spacing w:after="60"/>
              <w:rPr>
                <w:iCs/>
                <w:sz w:val="20"/>
                <w:szCs w:val="20"/>
              </w:rPr>
            </w:pPr>
          </w:p>
        </w:tc>
        <w:tc>
          <w:tcPr>
            <w:tcW w:w="7015" w:type="dxa"/>
          </w:tcPr>
          <w:p w:rsidR="009A4EFA" w:rsidRPr="007679AE" w:rsidRDefault="009A4EFA" w:rsidP="007679AE">
            <w:pPr>
              <w:spacing w:after="60"/>
              <w:jc w:val="center"/>
              <w:rPr>
                <w:iCs/>
                <w:sz w:val="20"/>
                <w:szCs w:val="20"/>
              </w:rPr>
            </w:pPr>
            <w:r w:rsidRPr="007679AE">
              <w:rPr>
                <w:iCs/>
                <w:sz w:val="20"/>
                <w:szCs w:val="20"/>
              </w:rPr>
              <w:t>Míra nezaměstnanosti</w:t>
            </w:r>
          </w:p>
        </w:tc>
      </w:tr>
    </w:tbl>
    <w:p w:rsidR="009A4EFA" w:rsidRPr="009A4EFA" w:rsidRDefault="009A4EFA" w:rsidP="009A4EFA">
      <w:pPr>
        <w:spacing w:before="60" w:after="480"/>
        <w:rPr>
          <w:iCs/>
        </w:rPr>
      </w:pPr>
      <w:r w:rsidRPr="009A4EFA">
        <w:rPr>
          <w:iCs/>
        </w:rPr>
        <w:t>Zdroj: Checchi a Lucifora (2002).</w:t>
      </w:r>
    </w:p>
    <w:p w:rsidR="009A4EFA" w:rsidRPr="009A4EFA" w:rsidRDefault="009A4EFA" w:rsidP="009A4EFA">
      <w:pPr>
        <w:rPr>
          <w:b/>
          <w:iCs/>
        </w:rPr>
      </w:pPr>
      <w:r w:rsidRPr="009A4EFA">
        <w:rPr>
          <w:b/>
          <w:iCs/>
        </w:rPr>
        <w:t>Produktivita</w:t>
      </w:r>
    </w:p>
    <w:p w:rsidR="009A4EFA" w:rsidRPr="009A4EFA" w:rsidRDefault="009A4EFA" w:rsidP="005B4646">
      <w:pPr>
        <w:spacing w:before="240" w:after="120"/>
        <w:rPr>
          <w:iCs/>
        </w:rPr>
      </w:pPr>
      <w:r w:rsidRPr="009A4EFA">
        <w:rPr>
          <w:iCs/>
        </w:rPr>
        <w:t xml:space="preserve">Podle Hirsche (2004) </w:t>
      </w:r>
      <w:r w:rsidRPr="009A4EFA">
        <w:rPr>
          <w:b/>
          <w:iCs/>
        </w:rPr>
        <w:t>neexistuje přímý důkaz</w:t>
      </w:r>
      <w:r w:rsidRPr="009A4EFA">
        <w:rPr>
          <w:iCs/>
        </w:rPr>
        <w:t xml:space="preserve"> týkající se </w:t>
      </w:r>
      <w:r w:rsidRPr="009A4EFA">
        <w:rPr>
          <w:b/>
          <w:iCs/>
        </w:rPr>
        <w:t>rozdílu mezi růstem produktivity</w:t>
      </w:r>
      <w:r w:rsidRPr="009A4EFA">
        <w:rPr>
          <w:iCs/>
        </w:rPr>
        <w:t xml:space="preserve"> v podnicích s odborově organizovanou a neorganizovanou pracovní silou, nicméně výsledky závisí na nastavení institutu kolektivního vyjednávání v konkrétních zemích. Podle Hirsche investují v USA zaměstnavatelé odborově organizovaných pracovníků (příp. i celé sektory ekonomiky či jednotlivá odvětví) méně prostředků do fyzického kapitálu i do aktivit v oblasti výzkumu a vývoje. To je dáno především tlakem odborových organizací v oblasti (pře)rozdělování zisku ve prospěch zaměstnanců (tj. výrobního faktoru práce), což snižuje ziskovost dané investice, a tím i motivaci manažerů nést případná rizika. Ve Velké Británii však podle Freemana (2005) nebyl mezi odborově pokrytými a nepokrytými sektory ekonomiky identifikován tak hluboký rozdíl v oblasti investic či aktivit v oblasti výzkumu a vývoje jako v USA. Ve Velké Británii má však kolektivní vyjednávání pouze mírný vliv na mzdy i pravděpodobný zisk. I ve Velké Británii je však pro odborově organizované podniky charakteristický nižší růst zaměstnanosti ve srovnání s neorganizovanou částí ekonomiky, což se projevuje především z hlediska produktivity práce.</w:t>
      </w:r>
    </w:p>
    <w:p w:rsidR="009A4EFA" w:rsidRPr="009A4EFA" w:rsidRDefault="009A4EFA" w:rsidP="009A4EFA">
      <w:pPr>
        <w:rPr>
          <w:iCs/>
        </w:rPr>
      </w:pPr>
      <w:r w:rsidRPr="009A4EFA">
        <w:rPr>
          <w:iCs/>
        </w:rPr>
        <w:t xml:space="preserve">Podle Freemana (2005) jsou v této oblasti závěry empirických studií různé, přesto jsou víceméně v souladu se závěry Freemana a Medoffa (1984). Podle Freemana a Medoffa (1984) totiž nemá na produktivitu </w:t>
      </w:r>
      <w:r w:rsidRPr="009A4EFA">
        <w:rPr>
          <w:b/>
          <w:iCs/>
        </w:rPr>
        <w:t>vliv</w:t>
      </w:r>
      <w:r w:rsidRPr="009A4EFA">
        <w:rPr>
          <w:iCs/>
        </w:rPr>
        <w:t xml:space="preserve"> odborová organizovanost pracovníků jako taková, ale velkou roli hraje především </w:t>
      </w:r>
      <w:r w:rsidRPr="009A4EFA">
        <w:rPr>
          <w:b/>
          <w:iCs/>
        </w:rPr>
        <w:t>způsob, jakým interagují zástupci odborové organizace a manažeři</w:t>
      </w:r>
      <w:r w:rsidRPr="009A4EFA">
        <w:rPr>
          <w:iCs/>
        </w:rPr>
        <w:t xml:space="preserve"> v konkrétním podniku.</w:t>
      </w:r>
    </w:p>
    <w:p w:rsidR="009A4EFA" w:rsidRPr="009A4EFA" w:rsidRDefault="009A4EFA" w:rsidP="005B4646">
      <w:pPr>
        <w:keepNext/>
        <w:spacing w:before="240" w:after="240"/>
        <w:rPr>
          <w:b/>
          <w:iCs/>
        </w:rPr>
      </w:pPr>
      <w:r w:rsidRPr="009A4EFA">
        <w:rPr>
          <w:b/>
          <w:iCs/>
        </w:rPr>
        <w:lastRenderedPageBreak/>
        <w:t>Benefity</w:t>
      </w:r>
    </w:p>
    <w:p w:rsidR="009A4EFA" w:rsidRPr="009A4EFA" w:rsidRDefault="009A4EFA" w:rsidP="009A4EFA">
      <w:pPr>
        <w:rPr>
          <w:iCs/>
        </w:rPr>
      </w:pPr>
      <w:r w:rsidRPr="009A4EFA">
        <w:rPr>
          <w:iCs/>
        </w:rPr>
        <w:t>Aktivní činnost odborové organizace vede podle Budda (2004) v oblasti zaměstnaneckých benefitů ke zvyšování povědomí jednotlivých zaměstnanců o konkrétních benefitech, i o</w:t>
      </w:r>
      <w:r w:rsidR="00442E3A">
        <w:rPr>
          <w:iCs/>
        </w:rPr>
        <w:t> </w:t>
      </w:r>
      <w:r w:rsidRPr="009A4EFA">
        <w:rPr>
          <w:iCs/>
        </w:rPr>
        <w:t xml:space="preserve">možnostech jejich čerpání. Podle empirických studií jsou odborově organizovaní zaměstnanci o benefitech informováni lépe (a to i ve srovnání s neorganizovanými zaměstnanci v rámci jednoho podniku), ale tyto benefity i častěji čerpají. To vesměs potvrzuje </w:t>
      </w:r>
      <w:r w:rsidRPr="009A4EFA">
        <w:rPr>
          <w:b/>
          <w:iCs/>
        </w:rPr>
        <w:t xml:space="preserve">roli </w:t>
      </w:r>
      <w:r w:rsidRPr="009A4EFA">
        <w:rPr>
          <w:iCs/>
        </w:rPr>
        <w:t xml:space="preserve">odborových organizací </w:t>
      </w:r>
      <w:r w:rsidRPr="009A4EFA">
        <w:rPr>
          <w:b/>
          <w:iCs/>
        </w:rPr>
        <w:t>v oblasti informování zaměstnanců</w:t>
      </w:r>
      <w:r w:rsidRPr="009A4EFA">
        <w:rPr>
          <w:iCs/>
        </w:rPr>
        <w:t xml:space="preserve"> a poskytování potřebné </w:t>
      </w:r>
      <w:r w:rsidRPr="009A4EFA">
        <w:rPr>
          <w:b/>
          <w:iCs/>
        </w:rPr>
        <w:t>asistence</w:t>
      </w:r>
      <w:r w:rsidRPr="009A4EFA">
        <w:rPr>
          <w:iCs/>
        </w:rPr>
        <w:t xml:space="preserve"> (především) organizovaným zaměstnancům </w:t>
      </w:r>
      <w:r w:rsidRPr="009A4EFA">
        <w:rPr>
          <w:b/>
          <w:iCs/>
        </w:rPr>
        <w:t xml:space="preserve">při uplatňování </w:t>
      </w:r>
      <w:r w:rsidRPr="009A4EFA">
        <w:rPr>
          <w:iCs/>
        </w:rPr>
        <w:t>jejich</w:t>
      </w:r>
      <w:r w:rsidRPr="009A4EFA">
        <w:rPr>
          <w:b/>
          <w:iCs/>
        </w:rPr>
        <w:t xml:space="preserve"> práv</w:t>
      </w:r>
      <w:r w:rsidRPr="009A4EFA">
        <w:rPr>
          <w:iCs/>
        </w:rPr>
        <w:t>.</w:t>
      </w:r>
    </w:p>
    <w:p w:rsidR="009A4EFA" w:rsidRDefault="009A4EFA" w:rsidP="009A4EFA"/>
    <w:p w:rsidR="009A4EFA" w:rsidRDefault="009A4EFA" w:rsidP="009A4EFA"/>
    <w:bookmarkEnd w:id="1"/>
    <w:p w:rsidR="003E0687" w:rsidRDefault="003E0687" w:rsidP="003E0687"/>
    <w:p w:rsidR="003E0687" w:rsidRDefault="003E0687" w:rsidP="003E0687"/>
    <w:p w:rsidR="003E0687" w:rsidRDefault="003E0687" w:rsidP="003E0687"/>
    <w:p w:rsidR="003E0687" w:rsidRDefault="003E0687" w:rsidP="003B05CC">
      <w:pPr>
        <w:rPr>
          <w:lang w:eastAsia="cs-CZ"/>
        </w:rPr>
      </w:pPr>
    </w:p>
    <w:p w:rsidR="003E0687" w:rsidRDefault="003E0687" w:rsidP="003B05CC">
      <w:pPr>
        <w:rPr>
          <w:lang w:eastAsia="cs-CZ"/>
        </w:rPr>
      </w:pPr>
    </w:p>
    <w:p w:rsidR="003E0687" w:rsidRDefault="003E0687" w:rsidP="003B05CC">
      <w:pPr>
        <w:rPr>
          <w:lang w:eastAsia="cs-CZ"/>
        </w:rPr>
      </w:pPr>
    </w:p>
    <w:p w:rsidR="003E0687" w:rsidRDefault="003E0687" w:rsidP="003B05CC">
      <w:pPr>
        <w:rPr>
          <w:lang w:eastAsia="cs-CZ"/>
        </w:rPr>
      </w:pPr>
    </w:p>
    <w:p w:rsidR="003E0687" w:rsidRDefault="003E0687" w:rsidP="003B05CC">
      <w:pPr>
        <w:rPr>
          <w:lang w:eastAsia="cs-CZ"/>
        </w:rPr>
      </w:pPr>
    </w:p>
    <w:p w:rsidR="003F0A66" w:rsidRDefault="003F0A66">
      <w:pPr>
        <w:spacing w:before="240"/>
        <w:ind w:left="357" w:hanging="357"/>
        <w:rPr>
          <w:lang w:eastAsia="cs-CZ"/>
        </w:rPr>
      </w:pPr>
      <w:r>
        <w:rPr>
          <w:lang w:eastAsia="cs-CZ"/>
        </w:rPr>
        <w:br w:type="page"/>
      </w:r>
    </w:p>
    <w:p w:rsidR="003F0A66" w:rsidRPr="00820766" w:rsidRDefault="003F0A66" w:rsidP="00820766">
      <w:pPr>
        <w:pStyle w:val="Nadpis1"/>
      </w:pPr>
      <w:bookmarkStart w:id="5" w:name="_Toc436143409"/>
      <w:r w:rsidRPr="00820766">
        <w:lastRenderedPageBreak/>
        <w:t>Legislativní rámec kolektivního vyjednávání v ČR</w:t>
      </w:r>
      <w:bookmarkEnd w:id="5"/>
    </w:p>
    <w:p w:rsidR="00B878E4" w:rsidRPr="00435AEE" w:rsidRDefault="00B878E4" w:rsidP="00435AEE">
      <w:pPr>
        <w:spacing w:before="240" w:after="240"/>
        <w:rPr>
          <w:rFonts w:cs="Arial"/>
          <w:iCs/>
          <w:color w:val="000000"/>
        </w:rPr>
      </w:pPr>
      <w:r w:rsidRPr="00B878E4">
        <w:rPr>
          <w:rFonts w:cs="Arial"/>
          <w:iCs/>
          <w:color w:val="000000"/>
        </w:rPr>
        <w:t>Kole</w:t>
      </w:r>
      <w:r>
        <w:rPr>
          <w:rFonts w:cs="Arial"/>
          <w:iCs/>
          <w:color w:val="000000"/>
        </w:rPr>
        <w:t>ktivní vyjednávání a kolektivní smlouvy upravují v České republice v současné době především dvě právní normy – zákon č. 262</w:t>
      </w:r>
      <w:r w:rsidRPr="0053564F">
        <w:rPr>
          <w:rFonts w:cs="Arial"/>
          <w:iCs/>
          <w:color w:val="000000"/>
        </w:rPr>
        <w:t>/</w:t>
      </w:r>
      <w:r>
        <w:rPr>
          <w:rFonts w:cs="Arial"/>
          <w:iCs/>
          <w:color w:val="000000"/>
        </w:rPr>
        <w:t>2006 Sb., zákoník práce, v platném znění, a zákon č. 2</w:t>
      </w:r>
      <w:r w:rsidRPr="0053564F">
        <w:rPr>
          <w:rFonts w:cs="Arial"/>
          <w:iCs/>
          <w:color w:val="000000"/>
        </w:rPr>
        <w:t>/</w:t>
      </w:r>
      <w:r>
        <w:rPr>
          <w:rFonts w:cs="Arial"/>
          <w:iCs/>
          <w:color w:val="000000"/>
        </w:rPr>
        <w:t>1991 Sb., o kolektivním vyjednávání, v platném znění.</w:t>
      </w:r>
      <w:r w:rsidR="00F2081F">
        <w:rPr>
          <w:rFonts w:cs="Arial"/>
          <w:iCs/>
          <w:color w:val="000000"/>
        </w:rPr>
        <w:t xml:space="preserve"> S přijetím nového zákoníku práce došlo ke změně právní úpravy kolektivního vyjednávání i kolektivních smluv a byla nově vymezena působnost výše zmíněných zákonů. Ze zákona č. 2</w:t>
      </w:r>
      <w:r w:rsidR="00F2081F" w:rsidRPr="0053564F">
        <w:rPr>
          <w:rFonts w:cs="Arial"/>
          <w:iCs/>
          <w:color w:val="000000"/>
        </w:rPr>
        <w:t>/</w:t>
      </w:r>
      <w:r w:rsidR="00F2081F">
        <w:rPr>
          <w:rFonts w:cs="Arial"/>
          <w:iCs/>
          <w:color w:val="000000"/>
        </w:rPr>
        <w:t>1991 Sb., o kolektivním vyjednávání, byly vypuštěny § 2 až 6 upravující kolektivní smlouvy. Smluvní typ v podobě kolektivní smlouvy je nově upraven v § 22 až 29 zákona č. 262</w:t>
      </w:r>
      <w:r w:rsidR="00F2081F" w:rsidRPr="0053564F">
        <w:rPr>
          <w:rFonts w:cs="Arial"/>
          <w:iCs/>
          <w:color w:val="000000"/>
        </w:rPr>
        <w:t>/</w:t>
      </w:r>
      <w:r w:rsidR="00F2081F">
        <w:rPr>
          <w:rFonts w:cs="Arial"/>
          <w:iCs/>
          <w:color w:val="000000"/>
        </w:rPr>
        <w:t>2006 Sb., zákoníku práce. Zákon č. 2</w:t>
      </w:r>
      <w:r w:rsidR="00F2081F" w:rsidRPr="0053564F">
        <w:rPr>
          <w:rFonts w:cs="Arial"/>
          <w:iCs/>
          <w:color w:val="000000"/>
        </w:rPr>
        <w:t>/</w:t>
      </w:r>
      <w:r w:rsidR="00F2081F">
        <w:rPr>
          <w:rFonts w:cs="Arial"/>
          <w:iCs/>
          <w:color w:val="000000"/>
        </w:rPr>
        <w:t>1991 Sb., o kolektivním vyjednávání, tak v současné době reguluje pouze postup při uzavírání a změnách kolektivních smluv</w:t>
      </w:r>
      <w:r w:rsidR="00435AEE">
        <w:rPr>
          <w:rFonts w:cs="Arial"/>
          <w:iCs/>
          <w:color w:val="000000"/>
        </w:rPr>
        <w:t xml:space="preserve"> či postup řešení sporů.</w:t>
      </w:r>
    </w:p>
    <w:p w:rsidR="004D3952" w:rsidRPr="00BA32F1" w:rsidRDefault="00BA32F1" w:rsidP="00001D4C">
      <w:pPr>
        <w:spacing w:before="360" w:after="360"/>
        <w:ind w:left="357" w:hanging="357"/>
        <w:rPr>
          <w:rFonts w:cs="Arial"/>
          <w:b/>
          <w:iCs/>
          <w:color w:val="000000"/>
        </w:rPr>
      </w:pPr>
      <w:r>
        <w:rPr>
          <w:rFonts w:cs="Arial"/>
          <w:b/>
          <w:iCs/>
          <w:color w:val="000000"/>
        </w:rPr>
        <w:t>Kolektivní</w:t>
      </w:r>
      <w:r w:rsidRPr="00BA32F1">
        <w:rPr>
          <w:rFonts w:cs="Arial"/>
          <w:b/>
          <w:iCs/>
          <w:color w:val="000000"/>
        </w:rPr>
        <w:t xml:space="preserve"> vyjednávání</w:t>
      </w:r>
    </w:p>
    <w:p w:rsidR="004D3952" w:rsidRDefault="00C54713" w:rsidP="00257A84">
      <w:pPr>
        <w:spacing w:before="240" w:after="240"/>
        <w:rPr>
          <w:rFonts w:cs="Arial"/>
          <w:iCs/>
          <w:color w:val="000000"/>
        </w:rPr>
      </w:pPr>
      <w:r>
        <w:rPr>
          <w:rFonts w:cs="Arial"/>
          <w:iCs/>
          <w:color w:val="000000"/>
        </w:rPr>
        <w:t xml:space="preserve">Definici kolektivního vyjednávání stanoví úmluva </w:t>
      </w:r>
      <w:r w:rsidRPr="00A45B46">
        <w:rPr>
          <w:rFonts w:cs="Arial"/>
          <w:b/>
          <w:iCs/>
          <w:color w:val="000000"/>
        </w:rPr>
        <w:t>Mezinárodní organizace práce</w:t>
      </w:r>
      <w:r>
        <w:rPr>
          <w:rFonts w:cs="Arial"/>
          <w:iCs/>
          <w:color w:val="000000"/>
        </w:rPr>
        <w:t xml:space="preserve"> (MOP) č. </w:t>
      </w:r>
      <w:r w:rsidRPr="00A45B46">
        <w:rPr>
          <w:rFonts w:cs="Arial"/>
          <w:b/>
          <w:iCs/>
          <w:color w:val="000000"/>
        </w:rPr>
        <w:t>154</w:t>
      </w:r>
      <w:r>
        <w:rPr>
          <w:rFonts w:cs="Arial"/>
          <w:iCs/>
          <w:color w:val="000000"/>
        </w:rPr>
        <w:t xml:space="preserve"> z roku </w:t>
      </w:r>
      <w:r w:rsidR="00257A84">
        <w:rPr>
          <w:rFonts w:cs="Arial"/>
          <w:iCs/>
          <w:color w:val="000000"/>
        </w:rPr>
        <w:t>1981. Podle článku 2 této úmluvy je za kolektivní vyjednávání považováno každé jednání a vyjednávání mezi zaměstnavatelem (resp. skupinou zaměstnavatelů) a odborovou organizací (resp. skupinou odborových organizací)</w:t>
      </w:r>
      <w:r w:rsidR="00A45B46">
        <w:rPr>
          <w:rFonts w:cs="Arial"/>
          <w:iCs/>
          <w:color w:val="000000"/>
        </w:rPr>
        <w:t xml:space="preserve">, jehož účelem je </w:t>
      </w:r>
      <w:r w:rsidR="00257A84">
        <w:rPr>
          <w:rFonts w:cs="Arial"/>
          <w:iCs/>
          <w:color w:val="000000"/>
        </w:rPr>
        <w:t xml:space="preserve">stanovení </w:t>
      </w:r>
      <w:r w:rsidR="00A45B46">
        <w:rPr>
          <w:rFonts w:cs="Arial"/>
          <w:iCs/>
          <w:color w:val="000000"/>
        </w:rPr>
        <w:t>pracovních podmínek, pravidel zaměstnávání, úprava vztahů mezi zaměstnavateli a zaměstnanci resp. mezi zaměstnavateli a jejich organizacemi a jednou či několika organizacemi zaměstnanců (tj. mezi sociálními partnery).</w:t>
      </w:r>
      <w:r w:rsidR="00CF190F">
        <w:rPr>
          <w:rFonts w:cs="Arial"/>
          <w:iCs/>
          <w:color w:val="000000"/>
        </w:rPr>
        <w:t xml:space="preserve"> Tato úmluva </w:t>
      </w:r>
      <w:r w:rsidR="00CF190F" w:rsidRPr="00CF190F">
        <w:rPr>
          <w:rFonts w:cs="Arial"/>
          <w:b/>
          <w:iCs/>
          <w:color w:val="000000"/>
        </w:rPr>
        <w:t xml:space="preserve">nebyla </w:t>
      </w:r>
      <w:r w:rsidR="00CF190F">
        <w:rPr>
          <w:rFonts w:cs="Arial"/>
          <w:iCs/>
          <w:color w:val="000000"/>
        </w:rPr>
        <w:t xml:space="preserve">dosud Českou republikou </w:t>
      </w:r>
      <w:r w:rsidR="00CF190F" w:rsidRPr="00CF190F">
        <w:rPr>
          <w:rFonts w:cs="Arial"/>
          <w:b/>
          <w:iCs/>
          <w:color w:val="000000"/>
        </w:rPr>
        <w:t>ratifikována</w:t>
      </w:r>
      <w:r w:rsidR="00CF190F">
        <w:rPr>
          <w:rFonts w:cs="Arial"/>
          <w:iCs/>
          <w:color w:val="000000"/>
        </w:rPr>
        <w:t>.</w:t>
      </w:r>
    </w:p>
    <w:p w:rsidR="00A45B46" w:rsidRDefault="00A45B46" w:rsidP="00257A84">
      <w:pPr>
        <w:spacing w:before="240" w:after="240"/>
        <w:rPr>
          <w:rFonts w:cs="Arial"/>
          <w:iCs/>
          <w:color w:val="000000"/>
        </w:rPr>
      </w:pPr>
      <w:r w:rsidRPr="00A45B46">
        <w:rPr>
          <w:rFonts w:cs="Arial"/>
          <w:iCs/>
          <w:color w:val="000000"/>
        </w:rPr>
        <w:t xml:space="preserve">Česká legislativa upravuje termín „kolektivní vyjednávání“ v užším pojetí. Kolektivní vyjednávání definuje v České republice § 1 </w:t>
      </w:r>
      <w:r w:rsidRPr="00CF190F">
        <w:rPr>
          <w:rFonts w:cs="Arial"/>
          <w:b/>
          <w:iCs/>
          <w:color w:val="000000"/>
        </w:rPr>
        <w:t>zákona</w:t>
      </w:r>
      <w:r w:rsidRPr="00A45B46">
        <w:rPr>
          <w:rFonts w:cs="Arial"/>
          <w:iCs/>
          <w:color w:val="000000"/>
        </w:rPr>
        <w:t xml:space="preserve"> č. 2/1991 Sb., </w:t>
      </w:r>
      <w:r w:rsidRPr="00CF190F">
        <w:rPr>
          <w:rFonts w:cs="Arial"/>
          <w:b/>
          <w:iCs/>
          <w:color w:val="000000"/>
        </w:rPr>
        <w:t>o kolektivním vyjednávání</w:t>
      </w:r>
      <w:r w:rsidR="004A32D4">
        <w:rPr>
          <w:rFonts w:cs="Arial"/>
          <w:iCs/>
          <w:color w:val="000000"/>
        </w:rPr>
        <w:t xml:space="preserve">, v platném znění, podle něhož </w:t>
      </w:r>
      <w:r w:rsidR="004A32D4" w:rsidRPr="004A32D4">
        <w:rPr>
          <w:rFonts w:cs="Arial"/>
          <w:iCs/>
          <w:color w:val="000000"/>
        </w:rPr>
        <w:t>„</w:t>
      </w:r>
      <w:r w:rsidRPr="004A32D4">
        <w:rPr>
          <w:rFonts w:cs="Arial"/>
          <w:iCs/>
          <w:color w:val="000000"/>
        </w:rPr>
        <w:t>zákon upravuje kolektivní vyjednávání mezi odborovými organizacemi a zaměstnavateli nebo jejich organizacemi, za případné součinnosti státu, jehož cílem je uzavření kolektivní smlouvy”.</w:t>
      </w:r>
      <w:r w:rsidRPr="00A45B46">
        <w:rPr>
          <w:rFonts w:cs="Arial"/>
          <w:iCs/>
          <w:color w:val="000000"/>
        </w:rPr>
        <w:t xml:space="preserve"> Kolektivní vyjednávání </w:t>
      </w:r>
      <w:r w:rsidR="002B154D">
        <w:rPr>
          <w:rFonts w:cs="Arial"/>
          <w:iCs/>
          <w:color w:val="000000"/>
        </w:rPr>
        <w:t>v České republice dále souvisí i se změnami kolektivní smlouvy (§ 8 odst. 5 zákona o</w:t>
      </w:r>
      <w:r w:rsidR="00442E3A">
        <w:rPr>
          <w:rFonts w:cs="Arial"/>
          <w:iCs/>
          <w:color w:val="000000"/>
        </w:rPr>
        <w:t> </w:t>
      </w:r>
      <w:r w:rsidR="002B154D">
        <w:rPr>
          <w:rFonts w:cs="Arial"/>
          <w:iCs/>
          <w:color w:val="000000"/>
        </w:rPr>
        <w:t>kolektivním vyjednávání) či se vznikem sporů o uzavření kolektivní smlouvy a sporů o</w:t>
      </w:r>
      <w:r w:rsidR="00442E3A">
        <w:rPr>
          <w:rFonts w:cs="Arial"/>
          <w:iCs/>
          <w:color w:val="000000"/>
        </w:rPr>
        <w:t> </w:t>
      </w:r>
      <w:r w:rsidR="002B154D">
        <w:rPr>
          <w:rFonts w:cs="Arial"/>
          <w:iCs/>
          <w:color w:val="000000"/>
        </w:rPr>
        <w:t>plnění závazků kolektivní smlouvy (§ 10 a následující zákoníku o kolektivním vyjednávání).</w:t>
      </w:r>
    </w:p>
    <w:p w:rsidR="00CF190F" w:rsidRDefault="00F120DC" w:rsidP="00001D4C">
      <w:pPr>
        <w:spacing w:before="0" w:after="0"/>
        <w:rPr>
          <w:rFonts w:cs="Arial"/>
          <w:iCs/>
          <w:color w:val="000000"/>
        </w:rPr>
      </w:pPr>
      <w:r>
        <w:rPr>
          <w:rFonts w:cs="Arial"/>
          <w:iCs/>
          <w:color w:val="000000"/>
        </w:rPr>
        <w:t xml:space="preserve">Skutečnost, že je národní úprava kolektivního vyjednávání užší ve srovnání s mezinárodní úpravou, neovlivňuje negativním způsobem jednání mezi zaměstnanci a zaměstnavateli. Přestože je v zákoně o kolektivním vyjednávání upravena pouze část jednání týkající se kolektivních smluv, nejsou ostatní oblasti zmíněné v úmluvě MOP č. 154 opominuty. Úprava těchto oblastí je však součástí </w:t>
      </w:r>
      <w:r w:rsidR="00B250D1">
        <w:rPr>
          <w:rFonts w:cs="Arial"/>
          <w:iCs/>
          <w:color w:val="000000"/>
        </w:rPr>
        <w:t>zákona č. 262</w:t>
      </w:r>
      <w:r w:rsidR="00B250D1" w:rsidRPr="0053564F">
        <w:rPr>
          <w:rFonts w:cs="Arial"/>
          <w:iCs/>
          <w:color w:val="000000"/>
        </w:rPr>
        <w:t>/</w:t>
      </w:r>
      <w:r w:rsidR="00B250D1">
        <w:rPr>
          <w:rFonts w:cs="Arial"/>
          <w:iCs/>
          <w:color w:val="000000"/>
        </w:rPr>
        <w:t xml:space="preserve">2006 Sb., </w:t>
      </w:r>
      <w:r w:rsidR="00B250D1" w:rsidRPr="00CF02EA">
        <w:rPr>
          <w:rFonts w:cs="Arial"/>
          <w:b/>
          <w:iCs/>
          <w:color w:val="000000"/>
        </w:rPr>
        <w:t>zákoníku práce</w:t>
      </w:r>
      <w:r w:rsidR="00B250D1">
        <w:rPr>
          <w:rFonts w:cs="Arial"/>
          <w:iCs/>
          <w:color w:val="000000"/>
        </w:rPr>
        <w:t xml:space="preserve">, v platném znění, </w:t>
      </w:r>
      <w:r>
        <w:rPr>
          <w:rFonts w:cs="Arial"/>
          <w:iCs/>
          <w:color w:val="000000"/>
        </w:rPr>
        <w:t>který stanoví specifická pravidla konání v příslušných pracovněprávních a dalších právních vztazích</w:t>
      </w:r>
      <w:r w:rsidR="00B250D1">
        <w:rPr>
          <w:rFonts w:cs="Arial"/>
          <w:iCs/>
          <w:color w:val="000000"/>
        </w:rPr>
        <w:t xml:space="preserve">. Zákoník práce </w:t>
      </w:r>
      <w:r w:rsidR="00B250D1" w:rsidRPr="00CF02EA">
        <w:rPr>
          <w:rFonts w:cs="Arial"/>
          <w:b/>
          <w:iCs/>
          <w:color w:val="000000"/>
        </w:rPr>
        <w:t>upravuje postavení odborů</w:t>
      </w:r>
      <w:r w:rsidR="00B250D1">
        <w:rPr>
          <w:rFonts w:cs="Arial"/>
          <w:iCs/>
          <w:color w:val="000000"/>
        </w:rPr>
        <w:t xml:space="preserve"> v České republice, přičemž se příslušná ustanovení týkající především úpravy</w:t>
      </w:r>
    </w:p>
    <w:p w:rsidR="00B250D1" w:rsidRDefault="00B250D1" w:rsidP="00001D4C">
      <w:pPr>
        <w:pStyle w:val="Odstavecseseznamem"/>
        <w:keepNext/>
        <w:keepLines/>
        <w:numPr>
          <w:ilvl w:val="0"/>
          <w:numId w:val="6"/>
        </w:numPr>
        <w:spacing w:before="0" w:after="240"/>
        <w:ind w:left="714" w:hanging="357"/>
        <w:rPr>
          <w:rFonts w:cs="Arial"/>
          <w:iCs/>
          <w:color w:val="000000"/>
        </w:rPr>
      </w:pPr>
      <w:r>
        <w:rPr>
          <w:rFonts w:cs="Arial"/>
          <w:iCs/>
          <w:color w:val="000000"/>
        </w:rPr>
        <w:lastRenderedPageBreak/>
        <w:t>práva na spolurozhodování obou sociálních partnerů (např. § 61 zákoníku práce),</w:t>
      </w:r>
    </w:p>
    <w:p w:rsidR="00B250D1" w:rsidRDefault="00B250D1" w:rsidP="00001D4C">
      <w:pPr>
        <w:pStyle w:val="Odstavecseseznamem"/>
        <w:keepNext/>
        <w:keepLines/>
        <w:numPr>
          <w:ilvl w:val="0"/>
          <w:numId w:val="6"/>
        </w:numPr>
        <w:spacing w:before="240" w:after="240"/>
        <w:rPr>
          <w:rFonts w:cs="Arial"/>
          <w:iCs/>
          <w:color w:val="000000"/>
        </w:rPr>
      </w:pPr>
      <w:r>
        <w:rPr>
          <w:rFonts w:cs="Arial"/>
          <w:iCs/>
          <w:color w:val="000000"/>
        </w:rPr>
        <w:t>práva na projednávání</w:t>
      </w:r>
      <w:r w:rsidR="00CF02EA">
        <w:rPr>
          <w:rFonts w:cs="Arial"/>
          <w:iCs/>
          <w:color w:val="000000"/>
        </w:rPr>
        <w:t xml:space="preserve"> (např. § 46 zákoníku práce),</w:t>
      </w:r>
    </w:p>
    <w:p w:rsidR="00B250D1" w:rsidRDefault="00B250D1" w:rsidP="00001D4C">
      <w:pPr>
        <w:pStyle w:val="Odstavecseseznamem"/>
        <w:keepNext/>
        <w:keepLines/>
        <w:numPr>
          <w:ilvl w:val="0"/>
          <w:numId w:val="6"/>
        </w:numPr>
        <w:spacing w:before="240" w:after="240"/>
        <w:rPr>
          <w:rFonts w:cs="Arial"/>
          <w:iCs/>
          <w:color w:val="000000"/>
        </w:rPr>
      </w:pPr>
      <w:r>
        <w:rPr>
          <w:rFonts w:cs="Arial"/>
          <w:iCs/>
          <w:color w:val="000000"/>
        </w:rPr>
        <w:t>práva na informování</w:t>
      </w:r>
      <w:r w:rsidR="00CF02EA">
        <w:rPr>
          <w:rFonts w:cs="Arial"/>
          <w:iCs/>
          <w:color w:val="000000"/>
        </w:rPr>
        <w:t xml:space="preserve"> (např. § 38 odst. 3 zákoníku práce),</w:t>
      </w:r>
    </w:p>
    <w:p w:rsidR="00B250D1" w:rsidRDefault="00CF02EA" w:rsidP="00001D4C">
      <w:pPr>
        <w:pStyle w:val="Odstavecseseznamem"/>
        <w:widowControl w:val="0"/>
        <w:numPr>
          <w:ilvl w:val="0"/>
          <w:numId w:val="6"/>
        </w:numPr>
        <w:spacing w:before="0" w:after="240"/>
        <w:ind w:left="714" w:hanging="357"/>
        <w:rPr>
          <w:rFonts w:cs="Arial"/>
          <w:iCs/>
          <w:color w:val="000000"/>
        </w:rPr>
      </w:pPr>
      <w:r>
        <w:rPr>
          <w:rFonts w:cs="Arial"/>
          <w:iCs/>
          <w:color w:val="000000"/>
        </w:rPr>
        <w:t>práva na kontrolu (např. § 322 zákoníku práce)</w:t>
      </w:r>
      <w:r w:rsidR="00C56C6E">
        <w:rPr>
          <w:rStyle w:val="Znakapoznpodarou"/>
          <w:rFonts w:cs="Arial"/>
          <w:iCs/>
          <w:color w:val="000000"/>
        </w:rPr>
        <w:footnoteReference w:id="1"/>
      </w:r>
      <w:r>
        <w:rPr>
          <w:rFonts w:cs="Arial"/>
          <w:iCs/>
          <w:color w:val="000000"/>
        </w:rPr>
        <w:t>.</w:t>
      </w:r>
    </w:p>
    <w:p w:rsidR="0015466E" w:rsidRPr="0015466E" w:rsidRDefault="0015466E" w:rsidP="0015466E">
      <w:pPr>
        <w:spacing w:before="240" w:after="240"/>
        <w:rPr>
          <w:rFonts w:cs="Arial"/>
          <w:b/>
          <w:iCs/>
          <w:color w:val="000000"/>
        </w:rPr>
      </w:pPr>
      <w:r>
        <w:rPr>
          <w:rFonts w:cs="Arial"/>
          <w:b/>
          <w:iCs/>
          <w:color w:val="000000"/>
        </w:rPr>
        <w:t>Zahájení k</w:t>
      </w:r>
      <w:r w:rsidRPr="0015466E">
        <w:rPr>
          <w:rFonts w:cs="Arial"/>
          <w:b/>
          <w:iCs/>
          <w:color w:val="000000"/>
        </w:rPr>
        <w:t>olektivní</w:t>
      </w:r>
      <w:r>
        <w:rPr>
          <w:rFonts w:cs="Arial"/>
          <w:b/>
          <w:iCs/>
          <w:color w:val="000000"/>
        </w:rPr>
        <w:t>ho</w:t>
      </w:r>
      <w:r w:rsidRPr="0015466E">
        <w:rPr>
          <w:rFonts w:cs="Arial"/>
          <w:b/>
          <w:iCs/>
          <w:color w:val="000000"/>
        </w:rPr>
        <w:t xml:space="preserve"> vyjednávání</w:t>
      </w:r>
    </w:p>
    <w:p w:rsidR="004B30B5" w:rsidRDefault="00A8527B" w:rsidP="0015466E">
      <w:pPr>
        <w:spacing w:before="240" w:after="240"/>
        <w:rPr>
          <w:rFonts w:cs="Arial"/>
          <w:iCs/>
          <w:color w:val="000000"/>
        </w:rPr>
      </w:pPr>
      <w:r>
        <w:rPr>
          <w:rFonts w:cs="Arial"/>
          <w:iCs/>
          <w:color w:val="000000"/>
        </w:rPr>
        <w:t>Postup při uzavírání kolektivních smluv upravuje § 8 zákona o kolektivním vyjednávání. Podle § 8 odst. 1 je k</w:t>
      </w:r>
      <w:r w:rsidRPr="00A8527B">
        <w:rPr>
          <w:rFonts w:cs="Arial"/>
          <w:iCs/>
          <w:color w:val="000000"/>
        </w:rPr>
        <w:t xml:space="preserve">olektivní vyjednávání zahájeno předložením písemného návrhu na uzavření kolektivní smlouvy jednou ze smluvních stran druhé smluvní straně. </w:t>
      </w:r>
      <w:r>
        <w:rPr>
          <w:rFonts w:cs="Arial"/>
          <w:iCs/>
          <w:color w:val="000000"/>
        </w:rPr>
        <w:t>Druhá s</w:t>
      </w:r>
      <w:r w:rsidRPr="004B30B5">
        <w:rPr>
          <w:rFonts w:cs="Arial"/>
          <w:iCs/>
          <w:color w:val="000000"/>
        </w:rPr>
        <w:t>mluvní strana je podle § 8 odst. 2 povinna na návrh písemně odpovědět bez zbytečného odkladu a vyjádřit se k těm návrhům, které nepřijala.</w:t>
      </w:r>
      <w:r w:rsidR="004B30B5" w:rsidRPr="004B30B5">
        <w:rPr>
          <w:rFonts w:cs="Arial"/>
          <w:iCs/>
          <w:color w:val="000000"/>
        </w:rPr>
        <w:t xml:space="preserve"> Podle Šubrta (2007) je nutné za vyjádření považovat označení těch bodů, které příjemce návrhu neakceptuje, s příslušným odůvodněním tak, aby mohlo být podkladem pro další jednání. Novela zákona o</w:t>
      </w:r>
      <w:r w:rsidR="00442E3A">
        <w:rPr>
          <w:rFonts w:cs="Arial"/>
          <w:iCs/>
          <w:color w:val="000000"/>
        </w:rPr>
        <w:t> </w:t>
      </w:r>
      <w:r w:rsidR="004B30B5" w:rsidRPr="004B30B5">
        <w:rPr>
          <w:rFonts w:cs="Arial"/>
          <w:iCs/>
          <w:color w:val="000000"/>
        </w:rPr>
        <w:t>kolektivním vyjednávání, provedená zákonem č. 264/2006 Sb., kterým se mění některé zákony v souvislosti s přijetím zákoníku práce, zpřísnila pravidla týkající se povinnosti př</w:t>
      </w:r>
      <w:r w:rsidR="004B30B5">
        <w:rPr>
          <w:rFonts w:cs="Arial"/>
          <w:iCs/>
          <w:color w:val="000000"/>
        </w:rPr>
        <w:t>íjemce návrhu na něj odpovědět.</w:t>
      </w:r>
    </w:p>
    <w:p w:rsidR="004B30B5" w:rsidRDefault="00CA2F1F" w:rsidP="0015466E">
      <w:pPr>
        <w:spacing w:before="240" w:after="240"/>
        <w:rPr>
          <w:rFonts w:cs="Arial"/>
          <w:iCs/>
          <w:color w:val="000000"/>
        </w:rPr>
      </w:pPr>
      <w:r>
        <w:rPr>
          <w:rFonts w:cs="Arial"/>
          <w:iCs/>
          <w:color w:val="000000"/>
        </w:rPr>
        <w:t>Podle § 8 odst. 3 zákona o kolektivním vyjednávání jsou s</w:t>
      </w:r>
      <w:r w:rsidRPr="00CA2F1F">
        <w:rPr>
          <w:rFonts w:cs="Arial"/>
          <w:iCs/>
          <w:color w:val="000000"/>
        </w:rPr>
        <w:t>mluvní strany povinny vzájemně spolu jednat a poskytovat si další požadovanou součinnost, pokud nebude v rozporu s</w:t>
      </w:r>
      <w:r w:rsidR="00442E3A">
        <w:rPr>
          <w:rFonts w:cs="Arial"/>
          <w:iCs/>
          <w:color w:val="000000"/>
        </w:rPr>
        <w:t> </w:t>
      </w:r>
      <w:r w:rsidRPr="00CA2F1F">
        <w:rPr>
          <w:rFonts w:cs="Arial"/>
          <w:iCs/>
          <w:color w:val="000000"/>
        </w:rPr>
        <w:t>jejich oprávněnými zájmy</w:t>
      </w:r>
      <w:r>
        <w:rPr>
          <w:rFonts w:cs="Arial"/>
          <w:iCs/>
          <w:color w:val="000000"/>
        </w:rPr>
        <w:t xml:space="preserve">. </w:t>
      </w:r>
      <w:r w:rsidR="00830E90">
        <w:rPr>
          <w:rFonts w:cs="Arial"/>
          <w:iCs/>
          <w:color w:val="000000"/>
        </w:rPr>
        <w:t>Podle Šubrta (2007) lze z tohoto dovozovat povinnost smluvních stran vzájemně reagovat na návrhy a protinávrhy druhého partnera (a vyměňovat si informace vč. ekonomických rozborů).</w:t>
      </w:r>
    </w:p>
    <w:p w:rsidR="00BA32F1" w:rsidRPr="00BA32F1" w:rsidRDefault="00BA32F1" w:rsidP="00BA32F1">
      <w:pPr>
        <w:spacing w:before="240" w:after="240"/>
        <w:ind w:left="357" w:hanging="357"/>
        <w:rPr>
          <w:rFonts w:cs="Arial"/>
          <w:b/>
          <w:iCs/>
          <w:color w:val="000000"/>
        </w:rPr>
      </w:pPr>
      <w:r>
        <w:rPr>
          <w:rFonts w:cs="Arial"/>
          <w:b/>
          <w:iCs/>
          <w:color w:val="000000"/>
        </w:rPr>
        <w:t>Kolektivní smlouva</w:t>
      </w:r>
    </w:p>
    <w:p w:rsidR="004D3952" w:rsidRPr="00B55355" w:rsidRDefault="00B55355" w:rsidP="00B55355">
      <w:pPr>
        <w:spacing w:before="240" w:after="240"/>
        <w:rPr>
          <w:rFonts w:cs="Arial"/>
          <w:iCs/>
          <w:color w:val="000000"/>
        </w:rPr>
      </w:pPr>
      <w:r>
        <w:rPr>
          <w:rFonts w:cs="Arial"/>
          <w:iCs/>
          <w:color w:val="000000"/>
        </w:rPr>
        <w:t>Problematiku kolektivních smluv upravuje primárně zákon č. 262</w:t>
      </w:r>
      <w:r w:rsidRPr="0053564F">
        <w:rPr>
          <w:rFonts w:cs="Arial"/>
          <w:iCs/>
          <w:color w:val="000000"/>
        </w:rPr>
        <w:t>/</w:t>
      </w:r>
      <w:r>
        <w:rPr>
          <w:rFonts w:cs="Arial"/>
          <w:iCs/>
          <w:color w:val="000000"/>
        </w:rPr>
        <w:t>2006 Sb., zákoník práce v § 22 až 29.</w:t>
      </w:r>
    </w:p>
    <w:p w:rsidR="008C0FDA" w:rsidRDefault="00CD303C" w:rsidP="00CD303C">
      <w:pPr>
        <w:spacing w:before="240" w:after="240"/>
        <w:rPr>
          <w:rFonts w:cs="Arial"/>
          <w:iCs/>
          <w:color w:val="000000"/>
        </w:rPr>
      </w:pPr>
      <w:r w:rsidRPr="00CD303C">
        <w:rPr>
          <w:rFonts w:cs="Arial"/>
          <w:iCs/>
          <w:color w:val="000000"/>
        </w:rPr>
        <w:t>Podle § 22 zákoníku práce smí k</w:t>
      </w:r>
      <w:r w:rsidR="00B55355" w:rsidRPr="00CD303C">
        <w:rPr>
          <w:rFonts w:cs="Arial"/>
          <w:iCs/>
          <w:color w:val="000000"/>
        </w:rPr>
        <w:t>ol</w:t>
      </w:r>
      <w:r w:rsidRPr="00CD303C">
        <w:rPr>
          <w:rFonts w:cs="Arial"/>
          <w:iCs/>
          <w:color w:val="000000"/>
        </w:rPr>
        <w:t xml:space="preserve">ektivní smlouvu </w:t>
      </w:r>
      <w:r w:rsidR="00B55355" w:rsidRPr="00CD303C">
        <w:rPr>
          <w:rFonts w:cs="Arial"/>
          <w:iCs/>
          <w:color w:val="000000"/>
        </w:rPr>
        <w:t xml:space="preserve">za zaměstnance </w:t>
      </w:r>
      <w:r w:rsidR="00B55355" w:rsidRPr="0085442F">
        <w:rPr>
          <w:rFonts w:cs="Arial"/>
          <w:b/>
          <w:iCs/>
          <w:color w:val="000000"/>
        </w:rPr>
        <w:t>uzavřít pouze odborová organizace</w:t>
      </w:r>
      <w:r w:rsidR="00B55355" w:rsidRPr="00CD303C">
        <w:rPr>
          <w:rFonts w:cs="Arial"/>
          <w:iCs/>
          <w:color w:val="000000"/>
        </w:rPr>
        <w:t>.</w:t>
      </w:r>
      <w:r w:rsidRPr="00CD303C">
        <w:rPr>
          <w:rFonts w:cs="Arial"/>
          <w:iCs/>
          <w:color w:val="000000"/>
        </w:rPr>
        <w:t xml:space="preserve"> </w:t>
      </w:r>
      <w:r>
        <w:rPr>
          <w:rFonts w:cs="Arial"/>
          <w:iCs/>
          <w:color w:val="000000"/>
        </w:rPr>
        <w:t xml:space="preserve">Tato organizace však podle § 24 odst. 1 zákoníku práce automaticky uzavírá kolektivní smlouvu také za zaměstnance, kteří nejsou odborově organizováni. Nově nemůže být podle Šubrta (2007) účastníkem kolektivní smlouvy </w:t>
      </w:r>
      <w:r w:rsidRPr="00CD303C">
        <w:rPr>
          <w:rFonts w:cs="Arial"/>
          <w:iCs/>
          <w:color w:val="000000"/>
        </w:rPr>
        <w:t>ten, kdo nemá povahu odborové organizace, vytvořené a evidované podle zákona</w:t>
      </w:r>
      <w:r w:rsidRPr="00CD303C">
        <w:rPr>
          <w:iCs/>
          <w:color w:val="000000"/>
        </w:rPr>
        <w:t> </w:t>
      </w:r>
      <w:hyperlink r:id="rId15" w:tooltip=" [Odkaz se otevře v novém okně]" w:history="1">
        <w:r w:rsidRPr="00CD303C">
          <w:rPr>
            <w:iCs/>
            <w:color w:val="000000"/>
          </w:rPr>
          <w:t>č. 83/1990 Sb.</w:t>
        </w:r>
      </w:hyperlink>
      <w:r w:rsidRPr="00CD303C">
        <w:rPr>
          <w:rFonts w:cs="Arial"/>
          <w:iCs/>
          <w:color w:val="000000"/>
        </w:rPr>
        <w:t>, o sdružování občanů, ve znění pozdějších předpisů</w:t>
      </w:r>
      <w:r w:rsidR="00215635">
        <w:rPr>
          <w:rFonts w:cs="Arial"/>
          <w:iCs/>
          <w:color w:val="000000"/>
        </w:rPr>
        <w:t xml:space="preserve"> (omezení vyplývající z § 23 odst. 2 a § 2 odst. 1 zákoníku práce)</w:t>
      </w:r>
      <w:r w:rsidRPr="00CD303C">
        <w:rPr>
          <w:rFonts w:cs="Arial"/>
          <w:iCs/>
          <w:color w:val="000000"/>
        </w:rPr>
        <w:t>. Nemůže ji proto za zaměstnance uzavřít např. rada zaměstnanců (nemá ani právní subjektivitu)</w:t>
      </w:r>
      <w:r>
        <w:rPr>
          <w:rFonts w:cs="Arial"/>
          <w:iCs/>
          <w:color w:val="000000"/>
        </w:rPr>
        <w:t>, ani</w:t>
      </w:r>
      <w:r w:rsidRPr="00CD303C">
        <w:rPr>
          <w:rFonts w:cs="Arial"/>
          <w:iCs/>
          <w:color w:val="000000"/>
        </w:rPr>
        <w:t xml:space="preserve"> profesní sdružení (není-li </w:t>
      </w:r>
      <w:r w:rsidR="00215635">
        <w:rPr>
          <w:rFonts w:cs="Arial"/>
          <w:iCs/>
          <w:color w:val="000000"/>
        </w:rPr>
        <w:t xml:space="preserve">však </w:t>
      </w:r>
      <w:r w:rsidRPr="00CD303C">
        <w:rPr>
          <w:rFonts w:cs="Arial"/>
          <w:iCs/>
          <w:color w:val="000000"/>
        </w:rPr>
        <w:t>současně evidováno jako odborová organizace).</w:t>
      </w:r>
      <w:r w:rsidR="00D636DC">
        <w:rPr>
          <w:rFonts w:cs="Arial"/>
          <w:iCs/>
          <w:color w:val="000000"/>
        </w:rPr>
        <w:t xml:space="preserve"> Působí-li u zaměstnavatele více </w:t>
      </w:r>
      <w:r w:rsidR="00D636DC" w:rsidRPr="00D636DC">
        <w:rPr>
          <w:rFonts w:cs="Arial"/>
          <w:iCs/>
          <w:color w:val="000000"/>
        </w:rPr>
        <w:t>odborových organizací, musí podle § 24 odst. 2 zákoníku práce zaměstnavatel jednat o uzavření kolektivní smlouvy se všemi odborovými organizacemi. Podle toh</w:t>
      </w:r>
      <w:r w:rsidR="00626F42">
        <w:rPr>
          <w:rFonts w:cs="Arial"/>
          <w:iCs/>
          <w:color w:val="000000"/>
        </w:rPr>
        <w:t>o</w:t>
      </w:r>
      <w:r w:rsidR="00D636DC" w:rsidRPr="00D636DC">
        <w:rPr>
          <w:rFonts w:cs="Arial"/>
          <w:iCs/>
          <w:color w:val="000000"/>
        </w:rPr>
        <w:t>to ustanovení odborové organizace vystupují a jednají s právními důsledky pro všechny zaměstnance společně a ve vzájemné shodě, nedohodnou-li se mezi sebou a zaměstnavatelem jinak</w:t>
      </w:r>
      <w:r w:rsidR="00D636DC">
        <w:rPr>
          <w:rFonts w:cs="Arial"/>
          <w:iCs/>
          <w:color w:val="000000"/>
        </w:rPr>
        <w:t>.</w:t>
      </w:r>
    </w:p>
    <w:p w:rsidR="00632FD7" w:rsidRDefault="00626F42" w:rsidP="00CD303C">
      <w:pPr>
        <w:spacing w:before="240" w:after="240"/>
        <w:rPr>
          <w:rFonts w:cs="Arial"/>
          <w:iCs/>
          <w:color w:val="000000"/>
        </w:rPr>
      </w:pPr>
      <w:r>
        <w:rPr>
          <w:rFonts w:cs="Arial"/>
          <w:iCs/>
          <w:color w:val="000000"/>
        </w:rPr>
        <w:t xml:space="preserve">Stávající právní úprava kolektivního vyjednávání neobsahuje </w:t>
      </w:r>
      <w:r w:rsidRPr="005D414E">
        <w:rPr>
          <w:rFonts w:cs="Arial"/>
          <w:b/>
          <w:iCs/>
          <w:color w:val="000000"/>
        </w:rPr>
        <w:t>definici kolektivní smlouvy</w:t>
      </w:r>
      <w:r>
        <w:rPr>
          <w:rFonts w:cs="Arial"/>
          <w:iCs/>
          <w:color w:val="000000"/>
        </w:rPr>
        <w:t>. Kolektivní smlouvu však lze definovat podle Šubrta (2007) jako „</w:t>
      </w:r>
      <w:r w:rsidRPr="00626F42">
        <w:rPr>
          <w:rFonts w:cs="Arial"/>
          <w:iCs/>
          <w:color w:val="000000"/>
        </w:rPr>
        <w:t xml:space="preserve">dvoustranný písemný pracovněprávní úkon, mající zároveň povahu normativního aktu, který je výsledkem </w:t>
      </w:r>
      <w:r w:rsidRPr="00626F42">
        <w:rPr>
          <w:rFonts w:cs="Arial"/>
          <w:iCs/>
          <w:color w:val="000000"/>
        </w:rPr>
        <w:lastRenderedPageBreak/>
        <w:t>kolektivního vyjednávání mezi smluvními stranami a který upravuje individuální a kolektivní vztahy mezi zaměstnavateli a zaměstnanci a práva a povinnosti smluvních stran (účastníků kolektivní smlouvy)</w:t>
      </w:r>
      <w:r>
        <w:rPr>
          <w:rFonts w:cs="Arial"/>
          <w:iCs/>
          <w:color w:val="000000"/>
        </w:rPr>
        <w:t>“</w:t>
      </w:r>
      <w:r w:rsidRPr="00626F42">
        <w:rPr>
          <w:rFonts w:cs="Arial"/>
          <w:iCs/>
          <w:color w:val="000000"/>
        </w:rPr>
        <w:t>.</w:t>
      </w:r>
      <w:r w:rsidR="00C562FF">
        <w:rPr>
          <w:rFonts w:cs="Arial"/>
          <w:iCs/>
          <w:color w:val="000000"/>
        </w:rPr>
        <w:t xml:space="preserve"> </w:t>
      </w:r>
      <w:r w:rsidR="00C562FF" w:rsidRPr="005D414E">
        <w:rPr>
          <w:rFonts w:cs="Arial"/>
          <w:b/>
          <w:iCs/>
          <w:color w:val="000000"/>
        </w:rPr>
        <w:t>V zákoníku práce</w:t>
      </w:r>
      <w:r w:rsidR="00C562FF">
        <w:rPr>
          <w:rFonts w:cs="Arial"/>
          <w:iCs/>
          <w:color w:val="000000"/>
        </w:rPr>
        <w:t xml:space="preserve"> je v současné době </w:t>
      </w:r>
      <w:r w:rsidR="00C562FF" w:rsidRPr="005D414E">
        <w:rPr>
          <w:rFonts w:cs="Arial"/>
          <w:b/>
          <w:iCs/>
          <w:color w:val="000000"/>
        </w:rPr>
        <w:t>vymezen pouze obsah</w:t>
      </w:r>
      <w:r w:rsidR="00C562FF">
        <w:rPr>
          <w:rFonts w:cs="Arial"/>
          <w:iCs/>
          <w:color w:val="000000"/>
        </w:rPr>
        <w:t xml:space="preserve"> kolektivních smluv. Podle § 23 odst. 1 zákoníku práce je možné v kolektivní smlouvě upravit </w:t>
      </w:r>
      <w:r w:rsidR="00C562FF" w:rsidRPr="00C562FF">
        <w:rPr>
          <w:rFonts w:cs="Arial"/>
          <w:iCs/>
          <w:color w:val="000000"/>
        </w:rPr>
        <w:t xml:space="preserve">práva zaměstnanců v pracovněprávních vztazích, jakož i práva nebo povinnosti smluvních stran této smlouvy. </w:t>
      </w:r>
    </w:p>
    <w:p w:rsidR="00096A9B" w:rsidRDefault="009C0778" w:rsidP="00CD303C">
      <w:pPr>
        <w:spacing w:before="240" w:after="240"/>
        <w:rPr>
          <w:rFonts w:cs="Arial"/>
          <w:iCs/>
          <w:color w:val="000000"/>
        </w:rPr>
      </w:pPr>
      <w:r>
        <w:rPr>
          <w:rFonts w:cs="Arial"/>
          <w:iCs/>
          <w:color w:val="000000"/>
        </w:rPr>
        <w:t>Zákoník práce dále rozlišuje dva typy kolektivních smluv, a to smlouvy podnikové a smlouvy vyššího stupně.</w:t>
      </w:r>
    </w:p>
    <w:p w:rsidR="00096A9B" w:rsidRDefault="00F50661" w:rsidP="00CD303C">
      <w:pPr>
        <w:spacing w:before="240" w:after="240"/>
        <w:rPr>
          <w:rFonts w:cs="Arial"/>
          <w:iCs/>
          <w:color w:val="000000"/>
        </w:rPr>
      </w:pPr>
      <w:r w:rsidRPr="00096A9B">
        <w:rPr>
          <w:rFonts w:cs="Arial"/>
          <w:b/>
          <w:iCs/>
          <w:color w:val="000000"/>
        </w:rPr>
        <w:t>Podniková kolektivní smlouva</w:t>
      </w:r>
      <w:r>
        <w:rPr>
          <w:rFonts w:cs="Arial"/>
          <w:iCs/>
          <w:color w:val="000000"/>
        </w:rPr>
        <w:t xml:space="preserve"> je podle § 23 odst. 3 písm. a) uzavřena mezi </w:t>
      </w:r>
      <w:r w:rsidRPr="00F50661">
        <w:rPr>
          <w:rFonts w:cs="Arial"/>
          <w:iCs/>
          <w:color w:val="000000"/>
        </w:rPr>
        <w:t xml:space="preserve">zaměstnavatelem nebo více zaměstnavateli a odborovou organizací nebo více odborovými organizacemi působícími u zaměstnavatele. </w:t>
      </w:r>
      <w:r w:rsidR="00CB1FE1">
        <w:rPr>
          <w:rFonts w:cs="Arial"/>
          <w:iCs/>
          <w:color w:val="000000"/>
        </w:rPr>
        <w:t xml:space="preserve">Díky této úpravě mohou být uzavírány skupinové kolektivní smlouvy, které umožňují podle Šubrta (2007) „stanovovat shodné pracovní podmínky zaměstnancům </w:t>
      </w:r>
      <w:r w:rsidR="00CB1FE1" w:rsidRPr="00CB1FE1">
        <w:rPr>
          <w:rFonts w:cs="Arial"/>
          <w:iCs/>
          <w:color w:val="000000"/>
        </w:rPr>
        <w:t>zaměstnavatelů začleněných ve skupinách podniků, např. koncernového typu</w:t>
      </w:r>
      <w:r w:rsidR="00CB1FE1">
        <w:rPr>
          <w:rFonts w:cs="Arial"/>
          <w:iCs/>
          <w:color w:val="000000"/>
        </w:rPr>
        <w:t>“, ale na druhou stranu není nijak omezena možnost uzavřít vlastní podnikové kolektivní smlouvy v rámci podniků začleněných do skupiny.</w:t>
      </w:r>
    </w:p>
    <w:p w:rsidR="00632FD7" w:rsidRDefault="00F50661" w:rsidP="00CD303C">
      <w:pPr>
        <w:spacing w:before="240" w:after="240"/>
        <w:rPr>
          <w:rFonts w:cs="Arial"/>
          <w:iCs/>
          <w:color w:val="000000"/>
        </w:rPr>
      </w:pPr>
      <w:r w:rsidRPr="00096A9B">
        <w:rPr>
          <w:rFonts w:cs="Arial"/>
          <w:b/>
          <w:iCs/>
          <w:color w:val="000000"/>
        </w:rPr>
        <w:t>Kolektivní smlouva vyššího stupně</w:t>
      </w:r>
      <w:r w:rsidRPr="00F50661">
        <w:rPr>
          <w:rFonts w:cs="Arial"/>
          <w:iCs/>
          <w:color w:val="000000"/>
        </w:rPr>
        <w:t xml:space="preserve"> je podle </w:t>
      </w:r>
      <w:r>
        <w:rPr>
          <w:rFonts w:cs="Arial"/>
          <w:iCs/>
          <w:color w:val="000000"/>
        </w:rPr>
        <w:t xml:space="preserve">23 odst. 3 písm. b) uzavřena </w:t>
      </w:r>
      <w:r w:rsidRPr="00F50661">
        <w:rPr>
          <w:rFonts w:cs="Arial"/>
          <w:iCs/>
          <w:color w:val="000000"/>
        </w:rPr>
        <w:t>mezi organizací nebo organizacemi zaměstnavatelů</w:t>
      </w:r>
      <w:r w:rsidR="00246981">
        <w:rPr>
          <w:rFonts w:cs="Arial"/>
          <w:iCs/>
          <w:color w:val="000000"/>
        </w:rPr>
        <w:t xml:space="preserve"> </w:t>
      </w:r>
      <w:r w:rsidRPr="00F50661">
        <w:rPr>
          <w:rFonts w:cs="Arial"/>
          <w:iCs/>
          <w:color w:val="000000"/>
        </w:rPr>
        <w:t>a odborovou organizací nebo odborovými organizacemi</w:t>
      </w:r>
      <w:r w:rsidR="004C75F7">
        <w:rPr>
          <w:rFonts w:cs="Arial"/>
          <w:iCs/>
          <w:color w:val="000000"/>
        </w:rPr>
        <w:t>.</w:t>
      </w:r>
      <w:r w:rsidR="00246981">
        <w:rPr>
          <w:rFonts w:cs="Arial"/>
          <w:iCs/>
          <w:color w:val="000000"/>
        </w:rPr>
        <w:t xml:space="preserve"> V současné době je podle § 25 odst. 2 písm. a) zákoníku práce kolektivní smlouva vyššího stupně závazná i pro </w:t>
      </w:r>
      <w:r w:rsidR="00246981" w:rsidRPr="00246981">
        <w:rPr>
          <w:rFonts w:cs="Arial"/>
          <w:iCs/>
          <w:color w:val="000000"/>
        </w:rPr>
        <w:t xml:space="preserve">zaměstnavatele, kteří jsou členy organizace zaměstnavatelů, která uzavřela kolektivní smlouvu vyššího stupně. Podle Šubrta (2007) však tato úprava neznamená, že by stanovy svazu nebo sama vyšší kolektivní smlouva nemohly vymezit okruh zaměstnavatelů, pro které se uzavírá (např. pro hospodářské pododvětví). Jestliže např. organizace zaměstnavatelů uzavírá více vyšších kolektivních smluv, nebudou všechny </w:t>
      </w:r>
      <w:r w:rsidR="00246981">
        <w:rPr>
          <w:rFonts w:cs="Arial"/>
          <w:iCs/>
          <w:color w:val="000000"/>
        </w:rPr>
        <w:t xml:space="preserve">logicky </w:t>
      </w:r>
      <w:r w:rsidR="00246981" w:rsidRPr="00246981">
        <w:rPr>
          <w:rFonts w:cs="Arial"/>
          <w:iCs/>
          <w:color w:val="000000"/>
        </w:rPr>
        <w:t>uzavírány pro všechny členy.</w:t>
      </w:r>
      <w:r w:rsidR="00246981">
        <w:rPr>
          <w:rFonts w:cs="Arial"/>
          <w:iCs/>
          <w:color w:val="000000"/>
        </w:rPr>
        <w:t xml:space="preserve"> Podle § 25 odst. 2 písm. a) je kolektivní smlouva vyššího stupně závazná i pro zaměstnavatele, kteří </w:t>
      </w:r>
      <w:r w:rsidR="00246981" w:rsidRPr="00246981">
        <w:rPr>
          <w:rFonts w:cs="Arial"/>
          <w:iCs/>
          <w:color w:val="000000"/>
        </w:rPr>
        <w:t>v době účinnosti kolektivní smlouvy z organizace zaměstnavatelů vystoupili, a nemohou se tak vyvázat z účinnosti kolektivní smlouvy vyššího stupně vystoupením ze svazu.</w:t>
      </w:r>
    </w:p>
    <w:p w:rsidR="00246981" w:rsidRDefault="009E4A52" w:rsidP="00CD303C">
      <w:pPr>
        <w:spacing w:before="240" w:after="240"/>
        <w:rPr>
          <w:rFonts w:cs="Arial"/>
          <w:iCs/>
          <w:color w:val="000000"/>
        </w:rPr>
      </w:pPr>
      <w:r>
        <w:rPr>
          <w:rFonts w:cs="Arial"/>
          <w:iCs/>
          <w:color w:val="000000"/>
        </w:rPr>
        <w:t xml:space="preserve">Podle současné právní úpravy se </w:t>
      </w:r>
      <w:r w:rsidRPr="00716DD5">
        <w:rPr>
          <w:rFonts w:cs="Arial"/>
          <w:iCs/>
          <w:color w:val="000000"/>
        </w:rPr>
        <w:t>kolektivní smlouva</w:t>
      </w:r>
      <w:r w:rsidRPr="00716DD5">
        <w:rPr>
          <w:rFonts w:cs="Arial"/>
          <w:b/>
          <w:iCs/>
          <w:color w:val="000000"/>
        </w:rPr>
        <w:t xml:space="preserve"> vztahuje</w:t>
      </w:r>
      <w:r>
        <w:rPr>
          <w:rFonts w:cs="Arial"/>
          <w:iCs/>
          <w:color w:val="000000"/>
        </w:rPr>
        <w:t xml:space="preserve"> i </w:t>
      </w:r>
      <w:r w:rsidRPr="00716DD5">
        <w:rPr>
          <w:rFonts w:cs="Arial"/>
          <w:b/>
          <w:iCs/>
          <w:color w:val="000000"/>
        </w:rPr>
        <w:t>na</w:t>
      </w:r>
      <w:r>
        <w:rPr>
          <w:rFonts w:cs="Arial"/>
          <w:iCs/>
          <w:color w:val="000000"/>
        </w:rPr>
        <w:t xml:space="preserve"> </w:t>
      </w:r>
      <w:r w:rsidRPr="00716DD5">
        <w:rPr>
          <w:rFonts w:cs="Arial"/>
          <w:b/>
          <w:iCs/>
          <w:color w:val="000000"/>
        </w:rPr>
        <w:t>zaměstnance pracující na základě dohod o pracích konaných mimo pracovní poměr</w:t>
      </w:r>
      <w:r>
        <w:rPr>
          <w:rFonts w:cs="Arial"/>
          <w:iCs/>
          <w:color w:val="000000"/>
        </w:rPr>
        <w:t xml:space="preserve"> (tj. dohody o</w:t>
      </w:r>
      <w:r w:rsidR="00442E3A">
        <w:rPr>
          <w:rFonts w:cs="Arial"/>
          <w:iCs/>
          <w:color w:val="000000"/>
        </w:rPr>
        <w:t> </w:t>
      </w:r>
      <w:r>
        <w:rPr>
          <w:rFonts w:cs="Arial"/>
          <w:iCs/>
          <w:color w:val="000000"/>
        </w:rPr>
        <w:t xml:space="preserve">provedení práce a dohody o pracovní činnosti uzavírané podle části III. zákoníku práce). Podle § 77 odst. 2 zákoníku práce se totiž na práci konanou na základě dohod vztahuje úprava pro výkon práce v pracovním poměru, není-li v zákoně uvedeno jinak. </w:t>
      </w:r>
      <w:r w:rsidR="00EB7DBE">
        <w:rPr>
          <w:rFonts w:cs="Arial"/>
          <w:iCs/>
          <w:color w:val="000000"/>
        </w:rPr>
        <w:t xml:space="preserve">V souvislosti s kolektivními smlouvami lze podle Šubrta (2007) přiznat osobám pracujícím na základě dohod o pracích konaných mimo pracovní poměr </w:t>
      </w:r>
      <w:r w:rsidR="00DE0B7E">
        <w:rPr>
          <w:rFonts w:cs="Arial"/>
          <w:iCs/>
          <w:color w:val="000000"/>
        </w:rPr>
        <w:t xml:space="preserve">např. </w:t>
      </w:r>
      <w:r w:rsidR="00EB7DBE">
        <w:rPr>
          <w:rFonts w:cs="Arial"/>
          <w:iCs/>
          <w:color w:val="000000"/>
        </w:rPr>
        <w:t>následující práva:</w:t>
      </w:r>
    </w:p>
    <w:p w:rsidR="00DE0B7E" w:rsidRPr="002C59F3" w:rsidRDefault="002003D9" w:rsidP="006B4CF0">
      <w:pPr>
        <w:pStyle w:val="Odstavecseseznamem"/>
        <w:numPr>
          <w:ilvl w:val="0"/>
          <w:numId w:val="7"/>
        </w:numPr>
        <w:spacing w:before="240" w:after="240"/>
        <w:rPr>
          <w:rFonts w:cs="Arial"/>
          <w:iCs/>
        </w:rPr>
      </w:pPr>
      <w:r w:rsidRPr="002C59F3">
        <w:rPr>
          <w:rFonts w:cs="Arial"/>
          <w:b/>
        </w:rPr>
        <w:t>P</w:t>
      </w:r>
      <w:r w:rsidR="00DE0B7E" w:rsidRPr="002C59F3">
        <w:rPr>
          <w:rFonts w:cs="Arial"/>
          <w:b/>
        </w:rPr>
        <w:t>rávo na stejnou odměnu za práci stejnou a práci stejné hodnoty.</w:t>
      </w:r>
      <w:r w:rsidR="00DE0B7E" w:rsidRPr="002C59F3">
        <w:rPr>
          <w:rFonts w:cs="Arial"/>
        </w:rPr>
        <w:t xml:space="preserve"> Nárok zaměstnance na odměnu z dohody nemůže být upraven kolektivní smlouvou, protože z § 138 zákoníku práce vyplývá, že výše odměny a podmínky pro její poskytování se sjednávají přímo v dohodě o provedení práce nebo v dohodě o</w:t>
      </w:r>
      <w:r w:rsidR="00442E3A">
        <w:rPr>
          <w:rFonts w:cs="Arial"/>
        </w:rPr>
        <w:t> </w:t>
      </w:r>
      <w:r w:rsidR="00DE0B7E" w:rsidRPr="002C59F3">
        <w:rPr>
          <w:rFonts w:cs="Arial"/>
        </w:rPr>
        <w:t xml:space="preserve">pracovní činnosti. Ze zásady o stejné mzdě, platu či odměně za práci stejnou a práci stejné hodnoty podle § 110 zákoníku práce však vyplývá, že zaměstnanec zaměstnaný na základě dohody si musí za stejných podmínek vydělat stejně jako zaměstnanec v pracovním poměru, ačkoli tato odměna nemusí být poskytována ve struktuře, v níž přísluší mzda či plat. Nemusí proto zahrnovat jednotlivé složky, jako jsou tarifní odměna, příplatky, prémie, benefity či odměny, avšak </w:t>
      </w:r>
      <w:r w:rsidR="00DE0B7E" w:rsidRPr="002C59F3">
        <w:rPr>
          <w:rFonts w:cs="Arial"/>
          <w:b/>
        </w:rPr>
        <w:t xml:space="preserve">z hlediska </w:t>
      </w:r>
      <w:r w:rsidR="00DE0B7E" w:rsidRPr="002C59F3">
        <w:rPr>
          <w:rFonts w:cs="Arial"/>
          <w:b/>
        </w:rPr>
        <w:lastRenderedPageBreak/>
        <w:t>celkové výše musí být za stejných podmínek tato odměna totožná</w:t>
      </w:r>
      <w:r w:rsidR="00DE0B7E" w:rsidRPr="002C59F3">
        <w:rPr>
          <w:rFonts w:cs="Arial"/>
        </w:rPr>
        <w:t xml:space="preserve">. Kolektivní smlouva tak bude </w:t>
      </w:r>
      <w:r w:rsidR="00DE0B7E" w:rsidRPr="002C59F3">
        <w:rPr>
          <w:rFonts w:cs="Arial"/>
          <w:b/>
        </w:rPr>
        <w:t>výši odměny ovlivňovat nepřímo</w:t>
      </w:r>
      <w:r w:rsidR="00DE0B7E" w:rsidRPr="002C59F3">
        <w:rPr>
          <w:rFonts w:cs="Arial"/>
        </w:rPr>
        <w:t>, pokud stanov</w:t>
      </w:r>
      <w:r w:rsidR="00206235" w:rsidRPr="002C59F3">
        <w:rPr>
          <w:rFonts w:cs="Arial"/>
        </w:rPr>
        <w:t>í výši jednotlivých složek mzdy</w:t>
      </w:r>
      <w:r w:rsidR="00C97E39" w:rsidRPr="002C59F3">
        <w:rPr>
          <w:rFonts w:cs="Arial"/>
        </w:rPr>
        <w:t>;</w:t>
      </w:r>
    </w:p>
    <w:p w:rsidR="00C97E39" w:rsidRPr="002C59F3" w:rsidRDefault="002003D9" w:rsidP="006B4CF0">
      <w:pPr>
        <w:pStyle w:val="Odstavecseseznamem"/>
        <w:numPr>
          <w:ilvl w:val="0"/>
          <w:numId w:val="7"/>
        </w:numPr>
        <w:spacing w:before="240" w:after="240"/>
        <w:rPr>
          <w:rFonts w:cs="Arial"/>
          <w:iCs/>
        </w:rPr>
      </w:pPr>
      <w:r w:rsidRPr="002C59F3">
        <w:rPr>
          <w:rFonts w:cs="Arial"/>
        </w:rPr>
        <w:t>Právo</w:t>
      </w:r>
      <w:r w:rsidR="00C97E39" w:rsidRPr="002C59F3">
        <w:rPr>
          <w:rFonts w:cs="Arial"/>
        </w:rPr>
        <w:t xml:space="preserve"> na cenově zvýhodněné závodní stravování jako zaměstnancům v pracovním poměru (v opačném případě je porušována zásada rovnosti v pracovních podmínkách zaměstnanců);</w:t>
      </w:r>
    </w:p>
    <w:p w:rsidR="00206235" w:rsidRPr="002C59F3" w:rsidRDefault="00206235" w:rsidP="006B4CF0">
      <w:pPr>
        <w:pStyle w:val="Odstavecseseznamem"/>
        <w:numPr>
          <w:ilvl w:val="0"/>
          <w:numId w:val="7"/>
        </w:numPr>
        <w:spacing w:before="240" w:after="240"/>
        <w:rPr>
          <w:rFonts w:cs="Arial"/>
          <w:iCs/>
        </w:rPr>
      </w:pPr>
      <w:r w:rsidRPr="002C59F3">
        <w:rPr>
          <w:rFonts w:cs="Arial"/>
          <w:b/>
        </w:rPr>
        <w:t>Právo zaměstnance na jiné důležité osobní překážky v práci a na dovolenou.</w:t>
      </w:r>
      <w:r w:rsidRPr="002C59F3">
        <w:rPr>
          <w:rFonts w:cs="Arial"/>
        </w:rPr>
        <w:t xml:space="preserve"> Přímo v dohodě o pracovní činnosti je možné sjednat, popřípadě vnitřním předpisem stanovit právo zaměstnance na jiné důležité osobní překážky v práci a na dovolenou, a to za stejných podmínek, jaké přísluší zaměstnancům v pracovním poměru. Kolektivní smlouva tak nemůže přímo založit nárok zaměstnance pracujícího na základě dohody o pracovní činnosti na pracovní volno při překážkách v práci na straně zaměstnance a nárok na dovolenou</w:t>
      </w:r>
      <w:r w:rsidR="009A4AC1" w:rsidRPr="002C59F3">
        <w:rPr>
          <w:rFonts w:cs="Arial"/>
        </w:rPr>
        <w:t>, ale může zde</w:t>
      </w:r>
      <w:r w:rsidRPr="002C59F3">
        <w:rPr>
          <w:rFonts w:cs="Arial"/>
        </w:rPr>
        <w:t xml:space="preserve"> působit nepřímo </w:t>
      </w:r>
      <w:r w:rsidR="009A4AC1" w:rsidRPr="002C59F3">
        <w:rPr>
          <w:rFonts w:cs="Arial"/>
        </w:rPr>
        <w:t>(</w:t>
      </w:r>
      <w:r w:rsidRPr="002C59F3">
        <w:rPr>
          <w:rFonts w:cs="Arial"/>
        </w:rPr>
        <w:t>jestliže budou příslušná práva zaměstnance dohodnuta v dohodě o</w:t>
      </w:r>
      <w:r w:rsidR="00442E3A">
        <w:rPr>
          <w:rFonts w:cs="Arial"/>
        </w:rPr>
        <w:t> </w:t>
      </w:r>
      <w:r w:rsidRPr="002C59F3">
        <w:rPr>
          <w:rFonts w:cs="Arial"/>
        </w:rPr>
        <w:t>pracovní činnosti, přísluší ve výši a v rozsahu daném kolektivní smlouvou</w:t>
      </w:r>
      <w:r w:rsidR="009A4AC1" w:rsidRPr="002C59F3">
        <w:rPr>
          <w:rFonts w:cs="Arial"/>
        </w:rPr>
        <w:t>)</w:t>
      </w:r>
      <w:r w:rsidR="00C97E39" w:rsidRPr="0053564F">
        <w:rPr>
          <w:rFonts w:cs="Arial"/>
        </w:rPr>
        <w:t>;</w:t>
      </w:r>
    </w:p>
    <w:p w:rsidR="00C97E39" w:rsidRPr="002C59F3" w:rsidRDefault="002003D9" w:rsidP="006B4CF0">
      <w:pPr>
        <w:pStyle w:val="Odstavecseseznamem"/>
        <w:numPr>
          <w:ilvl w:val="0"/>
          <w:numId w:val="7"/>
        </w:numPr>
        <w:spacing w:before="240" w:after="240"/>
        <w:rPr>
          <w:rFonts w:cs="Arial"/>
          <w:iCs/>
        </w:rPr>
      </w:pPr>
      <w:r w:rsidRPr="002C59F3">
        <w:rPr>
          <w:rFonts w:cs="Arial"/>
          <w:b/>
          <w:iCs/>
        </w:rPr>
        <w:t>Ú</w:t>
      </w:r>
      <w:r w:rsidR="00C97E39" w:rsidRPr="002C59F3">
        <w:rPr>
          <w:rFonts w:cs="Arial"/>
          <w:b/>
          <w:iCs/>
        </w:rPr>
        <w:t>prava pracovní doby.</w:t>
      </w:r>
      <w:r w:rsidR="00C97E39" w:rsidRPr="002C59F3">
        <w:rPr>
          <w:rFonts w:cs="Arial"/>
          <w:iCs/>
        </w:rPr>
        <w:t xml:space="preserve"> </w:t>
      </w:r>
      <w:r w:rsidR="00C97E39" w:rsidRPr="002C59F3">
        <w:rPr>
          <w:rFonts w:cs="Arial"/>
        </w:rPr>
        <w:t>Na základě kolektivní smlouvy je možné na dohody vztáhnout právní úpravu pracovní doby, popřípadě některé její segmenty (např. přestávky v práci na jídlo a oddech, omezení délky směny nebo doby nepřetržitého odpočinku).</w:t>
      </w:r>
    </w:p>
    <w:p w:rsidR="00246981" w:rsidRDefault="00246981" w:rsidP="00CD303C">
      <w:pPr>
        <w:spacing w:before="240" w:after="240"/>
        <w:rPr>
          <w:rFonts w:cs="Arial"/>
          <w:iCs/>
          <w:color w:val="000000"/>
        </w:rPr>
      </w:pPr>
    </w:p>
    <w:p w:rsidR="003F0A66" w:rsidRDefault="003F0A66">
      <w:pPr>
        <w:spacing w:before="240"/>
        <w:ind w:left="357" w:hanging="357"/>
      </w:pPr>
      <w:r>
        <w:br w:type="page"/>
      </w:r>
    </w:p>
    <w:p w:rsidR="003F0A66" w:rsidRPr="00820766" w:rsidRDefault="003D327C" w:rsidP="00820766">
      <w:pPr>
        <w:pStyle w:val="Nadpis1"/>
      </w:pPr>
      <w:bookmarkStart w:id="6" w:name="_Toc436143410"/>
      <w:r>
        <w:lastRenderedPageBreak/>
        <w:t>V</w:t>
      </w:r>
      <w:r w:rsidR="003F0A66" w:rsidRPr="00820766">
        <w:t>yužití kolektivního vyjednávání v jednotlivých odvětvích ČR</w:t>
      </w:r>
      <w:bookmarkEnd w:id="6"/>
    </w:p>
    <w:p w:rsidR="005B4646" w:rsidRDefault="00F65617" w:rsidP="005B4646">
      <w:r>
        <w:t xml:space="preserve">Kolektivní vyjednávání v České republice vychází ve většině případů z legislativního rámce, který byl analyzován v předchozí kapitole. </w:t>
      </w:r>
      <w:r w:rsidR="00D62E0F">
        <w:t>Výsledky kolektivního vyjednávání respektují zákonné normy, nicméně v mnoha případech přesahují ujednání v kolektivních smlouvách zákonné požadavky na příslušnou oblast. Tato kapitola bude proto věnována analýze využití kolektivního vyjednávání v České republice, přičemž bude hlavní důraz kladen na odvětvové hledisko. První část kapitoly bude věnována problematice datových zdrojů. Druhá část se bude zabývat výsledky kolektivního vyjednávání v oblasti podmínek činnosti odborových organizací u příslušných zaměstnavatelů. Třetí část bude věnována vybraným ujednáním v kolektivních smlouvách, která se týkají trhu práce.</w:t>
      </w:r>
    </w:p>
    <w:p w:rsidR="003F0A66" w:rsidRDefault="00AB71DC" w:rsidP="00055950">
      <w:pPr>
        <w:pStyle w:val="Nadpis2"/>
        <w:spacing w:before="480" w:after="480"/>
      </w:pPr>
      <w:bookmarkStart w:id="7" w:name="_Ref436081841"/>
      <w:bookmarkStart w:id="8" w:name="_Toc436143411"/>
      <w:r>
        <w:t>Metodika a d</w:t>
      </w:r>
      <w:r w:rsidR="0053564F">
        <w:t>atové zdroje</w:t>
      </w:r>
      <w:bookmarkEnd w:id="7"/>
      <w:bookmarkEnd w:id="8"/>
    </w:p>
    <w:p w:rsidR="0053564F" w:rsidRPr="0053564F" w:rsidRDefault="0053564F" w:rsidP="00DF6736">
      <w:pPr>
        <w:rPr>
          <w:lang w:eastAsia="cs-CZ"/>
        </w:rPr>
      </w:pPr>
      <w:r>
        <w:rPr>
          <w:lang w:eastAsia="cs-CZ"/>
        </w:rPr>
        <w:t xml:space="preserve">Informace o kolektivním vyjednávání </w:t>
      </w:r>
      <w:r w:rsidR="001F7FC5">
        <w:rPr>
          <w:lang w:eastAsia="cs-CZ"/>
        </w:rPr>
        <w:t xml:space="preserve">v ČR lze získat z porovnání kolektivních smluv, které </w:t>
      </w:r>
      <w:r w:rsidR="00B96A48">
        <w:rPr>
          <w:lang w:eastAsia="cs-CZ"/>
        </w:rPr>
        <w:t>zpracovává</w:t>
      </w:r>
      <w:r w:rsidR="001F7FC5">
        <w:rPr>
          <w:lang w:eastAsia="cs-CZ"/>
        </w:rPr>
        <w:t xml:space="preserve"> šetření </w:t>
      </w:r>
      <w:r w:rsidR="001F7FC5" w:rsidRPr="00B96A48">
        <w:rPr>
          <w:b/>
          <w:lang w:eastAsia="cs-CZ"/>
        </w:rPr>
        <w:t>Informace o pracovních podmínkách</w:t>
      </w:r>
      <w:r w:rsidR="00DF6736">
        <w:rPr>
          <w:b/>
          <w:lang w:eastAsia="cs-CZ"/>
        </w:rPr>
        <w:t xml:space="preserve"> (IPP)</w:t>
      </w:r>
      <w:r w:rsidR="00B96A48">
        <w:rPr>
          <w:lang w:eastAsia="cs-CZ"/>
        </w:rPr>
        <w:t xml:space="preserve">. </w:t>
      </w:r>
      <w:r w:rsidR="00422FC7">
        <w:rPr>
          <w:lang w:eastAsia="cs-CZ"/>
        </w:rPr>
        <w:t>V gesci</w:t>
      </w:r>
      <w:r>
        <w:rPr>
          <w:lang w:eastAsia="cs-CZ"/>
        </w:rPr>
        <w:t xml:space="preserve"> </w:t>
      </w:r>
      <w:r w:rsidR="00DF6736" w:rsidRPr="007D7277">
        <w:t>Ministerstva práce a sociálních věcí</w:t>
      </w:r>
      <w:r w:rsidR="00DF6736">
        <w:t xml:space="preserve"> mapuje a analyzuje kolektivní vyjednávání v České republice pravidelně již od roku 1993 (dříve jako Informační systém o pracovních podmínkách). Cílem šetření je poskytovat státu a dalším institucím přehled o trendech kolektivního vyjednávání a smluvním partnerům odpovídající informace pro další vyjednávání na podnikové úrovni nebo při vyjednávání kolektivní smlouvy vyššího stupně.</w:t>
      </w:r>
    </w:p>
    <w:p w:rsidR="00DF6736" w:rsidRPr="00DF6736" w:rsidRDefault="00DF6736" w:rsidP="009C43F3">
      <w:pPr>
        <w:spacing w:after="0"/>
        <w:rPr>
          <w:lang w:eastAsia="cs-CZ" w:bidi="ar-SA"/>
        </w:rPr>
      </w:pPr>
      <w:r w:rsidRPr="00DF6736">
        <w:rPr>
          <w:lang w:eastAsia="cs-CZ" w:bidi="ar-SA"/>
        </w:rPr>
        <w:t>Šetření se zaměřuje na ujednání sociálních partnerů v oblasti:</w:t>
      </w:r>
    </w:p>
    <w:p w:rsidR="009C43F3" w:rsidRPr="00DF6736" w:rsidRDefault="009C43F3" w:rsidP="009C43F3">
      <w:pPr>
        <w:pStyle w:val="Odstavecseseznamem"/>
        <w:numPr>
          <w:ilvl w:val="0"/>
          <w:numId w:val="12"/>
        </w:numPr>
        <w:spacing w:before="0"/>
        <w:ind w:left="714" w:hanging="357"/>
        <w:rPr>
          <w:lang w:eastAsia="cs-CZ" w:bidi="ar-SA"/>
        </w:rPr>
      </w:pPr>
      <w:r w:rsidRPr="00DF6736">
        <w:rPr>
          <w:lang w:eastAsia="cs-CZ" w:bidi="ar-SA"/>
        </w:rPr>
        <w:t>odměňování zaměstnanců</w:t>
      </w:r>
    </w:p>
    <w:p w:rsidR="00DF6736" w:rsidRPr="00DF6736" w:rsidRDefault="00DF6736" w:rsidP="009C43F3">
      <w:pPr>
        <w:pStyle w:val="Odstavecseseznamem"/>
        <w:numPr>
          <w:ilvl w:val="0"/>
          <w:numId w:val="12"/>
        </w:numPr>
        <w:spacing w:before="0"/>
        <w:ind w:left="714" w:hanging="357"/>
        <w:rPr>
          <w:lang w:eastAsia="cs-CZ" w:bidi="ar-SA"/>
        </w:rPr>
      </w:pPr>
      <w:r w:rsidRPr="00DF6736">
        <w:rPr>
          <w:lang w:eastAsia="cs-CZ" w:bidi="ar-SA"/>
        </w:rPr>
        <w:t>spolupráce smluvních stran</w:t>
      </w:r>
    </w:p>
    <w:p w:rsidR="00DF6736" w:rsidRPr="00DF6736" w:rsidRDefault="00DF6736" w:rsidP="009C43F3">
      <w:pPr>
        <w:pStyle w:val="Odstavecseseznamem"/>
        <w:numPr>
          <w:ilvl w:val="0"/>
          <w:numId w:val="12"/>
        </w:numPr>
        <w:spacing w:before="60"/>
        <w:ind w:left="714" w:hanging="357"/>
        <w:rPr>
          <w:lang w:eastAsia="cs-CZ" w:bidi="ar-SA"/>
        </w:rPr>
      </w:pPr>
      <w:r w:rsidRPr="00DF6736">
        <w:rPr>
          <w:lang w:eastAsia="cs-CZ" w:bidi="ar-SA"/>
        </w:rPr>
        <w:t>délky pracovní doby</w:t>
      </w:r>
      <w:r w:rsidR="009C43F3">
        <w:rPr>
          <w:lang w:eastAsia="cs-CZ" w:bidi="ar-SA"/>
        </w:rPr>
        <w:t xml:space="preserve"> a prodloužené dovolené, </w:t>
      </w:r>
      <w:r w:rsidRPr="00DF6736">
        <w:rPr>
          <w:lang w:eastAsia="cs-CZ" w:bidi="ar-SA"/>
        </w:rPr>
        <w:t>změn pracovního poměru</w:t>
      </w:r>
    </w:p>
    <w:p w:rsidR="00DF6736" w:rsidRPr="00DF6736" w:rsidRDefault="009C43F3" w:rsidP="009C43F3">
      <w:pPr>
        <w:pStyle w:val="Odstavecseseznamem"/>
        <w:numPr>
          <w:ilvl w:val="0"/>
          <w:numId w:val="12"/>
        </w:numPr>
        <w:spacing w:before="60"/>
        <w:ind w:left="714" w:hanging="357"/>
        <w:rPr>
          <w:lang w:eastAsia="cs-CZ" w:bidi="ar-SA"/>
        </w:rPr>
      </w:pPr>
      <w:r>
        <w:rPr>
          <w:lang w:eastAsia="cs-CZ" w:bidi="ar-SA"/>
        </w:rPr>
        <w:t>zaměstnanosti</w:t>
      </w:r>
    </w:p>
    <w:p w:rsidR="009C43F3" w:rsidRDefault="009C43F3" w:rsidP="009C43F3">
      <w:pPr>
        <w:pStyle w:val="Odstavecseseznamem"/>
        <w:numPr>
          <w:ilvl w:val="0"/>
          <w:numId w:val="12"/>
        </w:numPr>
        <w:spacing w:before="60"/>
        <w:ind w:left="714" w:hanging="357"/>
        <w:rPr>
          <w:lang w:eastAsia="cs-CZ" w:bidi="ar-SA"/>
        </w:rPr>
      </w:pPr>
      <w:r w:rsidRPr="00DF6736">
        <w:rPr>
          <w:lang w:eastAsia="cs-CZ" w:bidi="ar-SA"/>
        </w:rPr>
        <w:t>poskytování benefitů</w:t>
      </w:r>
      <w:r>
        <w:rPr>
          <w:lang w:eastAsia="cs-CZ" w:bidi="ar-SA"/>
        </w:rPr>
        <w:t xml:space="preserve"> a</w:t>
      </w:r>
      <w:r w:rsidRPr="00DF6736">
        <w:rPr>
          <w:lang w:eastAsia="cs-CZ" w:bidi="ar-SA"/>
        </w:rPr>
        <w:t xml:space="preserve"> </w:t>
      </w:r>
      <w:r w:rsidR="00DF6736" w:rsidRPr="00DF6736">
        <w:rPr>
          <w:lang w:eastAsia="cs-CZ" w:bidi="ar-SA"/>
        </w:rPr>
        <w:t>pracovních podmínek zaměstnanců</w:t>
      </w:r>
    </w:p>
    <w:p w:rsidR="00DF6736" w:rsidRPr="00DF6736" w:rsidRDefault="009C43F3" w:rsidP="009C43F3">
      <w:pPr>
        <w:pStyle w:val="Odstavecseseznamem"/>
        <w:numPr>
          <w:ilvl w:val="0"/>
          <w:numId w:val="12"/>
        </w:numPr>
        <w:spacing w:before="60"/>
        <w:ind w:left="714" w:hanging="357"/>
        <w:rPr>
          <w:lang w:eastAsia="cs-CZ" w:bidi="ar-SA"/>
        </w:rPr>
      </w:pPr>
      <w:r>
        <w:rPr>
          <w:lang w:eastAsia="cs-CZ" w:bidi="ar-SA"/>
        </w:rPr>
        <w:t>překážek v práci</w:t>
      </w:r>
      <w:r w:rsidR="00DF6736" w:rsidRPr="00DF6736">
        <w:rPr>
          <w:lang w:eastAsia="cs-CZ" w:bidi="ar-SA"/>
        </w:rPr>
        <w:t xml:space="preserve"> </w:t>
      </w:r>
    </w:p>
    <w:p w:rsidR="00DF6736" w:rsidRDefault="009C43F3" w:rsidP="009C43F3">
      <w:pPr>
        <w:pStyle w:val="Odstavecseseznamem"/>
        <w:numPr>
          <w:ilvl w:val="0"/>
          <w:numId w:val="12"/>
        </w:numPr>
        <w:spacing w:before="60"/>
        <w:ind w:left="714" w:hanging="357"/>
        <w:rPr>
          <w:lang w:eastAsia="cs-CZ" w:bidi="ar-SA"/>
        </w:rPr>
      </w:pPr>
      <w:r w:rsidRPr="00DF6736">
        <w:rPr>
          <w:lang w:eastAsia="cs-CZ" w:bidi="ar-SA"/>
        </w:rPr>
        <w:t>odborného rozvoje zaměstnanců</w:t>
      </w:r>
      <w:r>
        <w:rPr>
          <w:lang w:eastAsia="cs-CZ" w:bidi="ar-SA"/>
        </w:rPr>
        <w:t xml:space="preserve">, </w:t>
      </w:r>
      <w:r w:rsidR="00DF6736" w:rsidRPr="00DF6736">
        <w:rPr>
          <w:lang w:eastAsia="cs-CZ" w:bidi="ar-SA"/>
        </w:rPr>
        <w:t>rovného zacházení a BOZP</w:t>
      </w:r>
    </w:p>
    <w:p w:rsidR="007610BC" w:rsidRDefault="0057360D" w:rsidP="00A6338B">
      <w:r>
        <w:t xml:space="preserve">Šetření monitoruje kolektivní smlouvy na podnikové úrovni i kolektivní smlouvy vyššího stupně. Výsledky šetření podnikových kolektivních smluv </w:t>
      </w:r>
      <w:r w:rsidR="00D11966">
        <w:t>se člení</w:t>
      </w:r>
      <w:r>
        <w:t xml:space="preserve"> </w:t>
      </w:r>
      <w:r w:rsidR="00D11966">
        <w:t xml:space="preserve">primárně podle </w:t>
      </w:r>
      <w:r>
        <w:t>příslušnost</w:t>
      </w:r>
      <w:r w:rsidR="00D11966">
        <w:t>i</w:t>
      </w:r>
      <w:r>
        <w:t xml:space="preserve"> šetřeného ekonomického subjektu k podnikatelské, nebo nepodnikatelské sféře. Do podnikatelské sféry se zařazují ekonomické subjekty, které odměňují mzdou podle § 109 odst. 2 zákona č. 262/2006 Sb. zákoníku práce (ZP), do nepodnikatelské sféry organizace, které odměňují platem podle § 109 odst. 3 ZP, ve znění pozdějších předpisů.</w:t>
      </w:r>
      <w:r w:rsidR="00D11966">
        <w:t xml:space="preserve"> Vstupní data jsou získávána elektronicky pomocí pořizovacího programu „EKS“ nebo přímým sběrem kolektivních smluv.</w:t>
      </w:r>
    </w:p>
    <w:p w:rsidR="000F1D2C" w:rsidRPr="007D7277" w:rsidRDefault="00506E79" w:rsidP="0053564F">
      <w:pPr>
        <w:rPr>
          <w:lang w:eastAsia="cs-CZ"/>
        </w:rPr>
      </w:pPr>
      <w:r>
        <w:rPr>
          <w:lang w:eastAsia="cs-CZ"/>
        </w:rPr>
        <w:t xml:space="preserve">Výsledky šetření jsou k dispozici na stránkách </w:t>
      </w:r>
      <w:r w:rsidRPr="007D7277">
        <w:rPr>
          <w:lang w:eastAsia="cs-CZ"/>
        </w:rPr>
        <w:t>MPSV (</w:t>
      </w:r>
      <w:hyperlink r:id="rId16" w:history="1">
        <w:r w:rsidRPr="007D7277">
          <w:rPr>
            <w:rStyle w:val="Hypertextovodkaz"/>
            <w:color w:val="auto"/>
            <w:lang w:eastAsia="cs-CZ"/>
          </w:rPr>
          <w:t>www.mpsv.cz</w:t>
        </w:r>
      </w:hyperlink>
      <w:r w:rsidRPr="007D7277">
        <w:rPr>
          <w:lang w:eastAsia="cs-CZ"/>
        </w:rPr>
        <w:t xml:space="preserve">) v sekci </w:t>
      </w:r>
      <w:r w:rsidRPr="007D7277">
        <w:rPr>
          <w:i/>
          <w:lang w:eastAsia="cs-CZ"/>
        </w:rPr>
        <w:t>Příjmy a životní úroveň</w:t>
      </w:r>
      <w:r w:rsidRPr="007D7277">
        <w:rPr>
          <w:lang w:eastAsia="cs-CZ"/>
        </w:rPr>
        <w:t xml:space="preserve"> nebo na stránkách </w:t>
      </w:r>
      <w:hyperlink r:id="rId17" w:history="1">
        <w:r w:rsidRPr="007D7277">
          <w:rPr>
            <w:rStyle w:val="Hypertextovodkaz"/>
            <w:color w:val="auto"/>
            <w:lang w:eastAsia="cs-CZ"/>
          </w:rPr>
          <w:t>www.kolektivnismlouvy.cz</w:t>
        </w:r>
      </w:hyperlink>
      <w:r w:rsidRPr="007D7277">
        <w:rPr>
          <w:sz w:val="20"/>
          <w:szCs w:val="20"/>
          <w:lang w:eastAsia="cs-CZ"/>
        </w:rPr>
        <w:t>.</w:t>
      </w:r>
    </w:p>
    <w:p w:rsidR="001750E0" w:rsidRPr="007D7277" w:rsidRDefault="00506E79" w:rsidP="0053564F">
      <w:r>
        <w:rPr>
          <w:lang w:eastAsia="cs-CZ"/>
        </w:rPr>
        <w:t xml:space="preserve">Pro analýzu vztahu kolektivního vyjednávání a minimální mzdy se využívají statistiky trhu práce ČSÚ </w:t>
      </w:r>
      <w:r w:rsidR="00487016">
        <w:rPr>
          <w:lang w:eastAsia="cs-CZ"/>
        </w:rPr>
        <w:t xml:space="preserve">a </w:t>
      </w:r>
      <w:r>
        <w:rPr>
          <w:lang w:eastAsia="cs-CZ"/>
        </w:rPr>
        <w:t xml:space="preserve">mzdové údaje </w:t>
      </w:r>
      <w:r w:rsidRPr="00487016">
        <w:rPr>
          <w:b/>
          <w:lang w:eastAsia="cs-CZ"/>
        </w:rPr>
        <w:t>Informačního systému o průměrném výdělku</w:t>
      </w:r>
      <w:r>
        <w:rPr>
          <w:lang w:eastAsia="cs-CZ"/>
        </w:rPr>
        <w:t xml:space="preserve"> </w:t>
      </w:r>
      <w:r w:rsidR="00487016">
        <w:rPr>
          <w:lang w:eastAsia="cs-CZ"/>
        </w:rPr>
        <w:t>(</w:t>
      </w:r>
      <w:r>
        <w:rPr>
          <w:lang w:eastAsia="cs-CZ"/>
        </w:rPr>
        <w:t>ISPV</w:t>
      </w:r>
      <w:r w:rsidR="00487016">
        <w:rPr>
          <w:lang w:eastAsia="cs-CZ"/>
        </w:rPr>
        <w:t>).</w:t>
      </w:r>
      <w:r>
        <w:rPr>
          <w:lang w:eastAsia="cs-CZ"/>
        </w:rPr>
        <w:t xml:space="preserve"> </w:t>
      </w:r>
      <w:r w:rsidR="00F47A9A">
        <w:rPr>
          <w:lang w:eastAsia="cs-CZ"/>
        </w:rPr>
        <w:t xml:space="preserve">Statistiky ČSÚ informují čtvrtletně o </w:t>
      </w:r>
      <w:r w:rsidR="00AF5C79">
        <w:t>vývoji průměrných mezd</w:t>
      </w:r>
      <w:r w:rsidR="00F47A9A">
        <w:t xml:space="preserve"> na základě </w:t>
      </w:r>
      <w:r w:rsidR="00F47A9A">
        <w:rPr>
          <w:b/>
          <w:bCs/>
        </w:rPr>
        <w:t>podnikového výkaznictví.</w:t>
      </w:r>
      <w:r w:rsidR="00F47A9A">
        <w:t xml:space="preserve"> To poskytuje spolehlivé údaje o průměrných mzdách v národním </w:t>
      </w:r>
      <w:r w:rsidR="00F47A9A">
        <w:lastRenderedPageBreak/>
        <w:t xml:space="preserve">hospodářství, které lze třídit podle podnikových charakteristik. </w:t>
      </w:r>
      <w:r w:rsidR="00F47A9A">
        <w:br/>
        <w:t>Vedle toho výsledky šetření ISPV (</w:t>
      </w:r>
      <w:r w:rsidR="00F47A9A">
        <w:rPr>
          <w:b/>
          <w:bCs/>
        </w:rPr>
        <w:t>strukturální statistiky)</w:t>
      </w:r>
      <w:r w:rsidR="00F47A9A">
        <w:t xml:space="preserve"> mají za cíl poskytovat co nejpodrobnější informace o mzdách jednotlivých zaměstnanců </w:t>
      </w:r>
      <w:r w:rsidR="00AF5C79">
        <w:t xml:space="preserve">a odpracované době </w:t>
      </w:r>
      <w:r w:rsidR="001750E0">
        <w:t>v</w:t>
      </w:r>
      <w:r w:rsidR="00AF5C79">
        <w:t> </w:t>
      </w:r>
      <w:r w:rsidR="001750E0">
        <w:t>třídění</w:t>
      </w:r>
      <w:r w:rsidR="00F47A9A">
        <w:t xml:space="preserve"> podle </w:t>
      </w:r>
      <w:r w:rsidR="001750E0">
        <w:t>osobnost</w:t>
      </w:r>
      <w:r w:rsidR="00F47A9A">
        <w:t xml:space="preserve">ních charakteristik </w:t>
      </w:r>
      <w:r w:rsidR="00F47A9A" w:rsidRPr="00AF5C79">
        <w:t xml:space="preserve">zaměstnanců. </w:t>
      </w:r>
      <w:r w:rsidR="00AF5C79" w:rsidRPr="00AF5C79">
        <w:t xml:space="preserve">Hlavními sledovanými ukazateli jsou z hlediska výdělkové úrovně </w:t>
      </w:r>
      <w:r w:rsidR="00AF5C79" w:rsidRPr="00EE42F4">
        <w:rPr>
          <w:bCs/>
        </w:rPr>
        <w:t>hrubá měsíční mzda (plat)</w:t>
      </w:r>
      <w:r w:rsidR="00AF5C79" w:rsidRPr="00EE42F4">
        <w:t xml:space="preserve"> a</w:t>
      </w:r>
      <w:r w:rsidR="00AF5C79" w:rsidRPr="00AF5C79">
        <w:t xml:space="preserve"> hodinový výdělek. Kromě diferenciace hrubé měsíční mzdy (platu) jsou zjišťovány i složky mzdy (platu), tj. odměny, příplatky a náhrady. U pracovní doby je sledována úroveň i struktura odpracované (např. přesčas) a neodpracované doby (např. nemoc a dovolená). </w:t>
      </w:r>
      <w:r w:rsidR="00F47A9A" w:rsidRPr="00AF5C79">
        <w:t>Podrobný popis ISPV a jeho</w:t>
      </w:r>
      <w:r w:rsidR="00F47A9A">
        <w:t xml:space="preserve"> výsledky jsou publikovány na </w:t>
      </w:r>
      <w:r w:rsidR="00F47A9A" w:rsidRPr="007D7277">
        <w:t xml:space="preserve">stránkách </w:t>
      </w:r>
      <w:hyperlink r:id="rId18" w:history="1">
        <w:r w:rsidR="002A0562" w:rsidRPr="007D7277">
          <w:rPr>
            <w:rStyle w:val="Hypertextovodkaz"/>
            <w:color w:val="auto"/>
          </w:rPr>
          <w:t>www.ispv.cz</w:t>
        </w:r>
      </w:hyperlink>
      <w:r w:rsidR="002A0562" w:rsidRPr="007D7277">
        <w:t xml:space="preserve">. </w:t>
      </w:r>
    </w:p>
    <w:p w:rsidR="00052D14" w:rsidRPr="007D7277" w:rsidRDefault="002A0562" w:rsidP="0053564F">
      <w:r w:rsidRPr="007D7277">
        <w:t>Specifické údaje o nízkovýdělkových zaměstnancích, struktuře nízkovýdělkových zaměstnanců,</w:t>
      </w:r>
      <w:r w:rsidR="001750E0" w:rsidRPr="007D7277">
        <w:t xml:space="preserve"> vývoji mzdové nerovnosti a fluktuaci poskytuje certifikovaná metodika</w:t>
      </w:r>
      <w:r w:rsidR="00AF5C79" w:rsidRPr="007D7277">
        <w:t xml:space="preserve"> </w:t>
      </w:r>
      <w:r w:rsidR="001750E0" w:rsidRPr="007D7277">
        <w:t>“Hodnocení vlivu minimální mzdy na sociálně ekonomický vývoj ČR“ (</w:t>
      </w:r>
      <w:hyperlink r:id="rId19" w:history="1">
        <w:r w:rsidR="001750E0" w:rsidRPr="007D7277">
          <w:rPr>
            <w:rStyle w:val="Hypertextovodkaz"/>
            <w:color w:val="auto"/>
          </w:rPr>
          <w:t>http://www.mpsv.cz/files/clanky/17709/vliv_minimalni_mzdy.pdf</w:t>
        </w:r>
      </w:hyperlink>
      <w:r w:rsidR="001750E0" w:rsidRPr="007D7277">
        <w:t>).</w:t>
      </w:r>
    </w:p>
    <w:p w:rsidR="001750E0" w:rsidRDefault="00490C3C" w:rsidP="00BD52BE">
      <w:pPr>
        <w:pStyle w:val="Nadpis2"/>
        <w:spacing w:before="480" w:after="480"/>
      </w:pPr>
      <w:bookmarkStart w:id="9" w:name="_Toc436143412"/>
      <w:r>
        <w:t>Podmínky činnosti odborových organizací</w:t>
      </w:r>
      <w:bookmarkEnd w:id="9"/>
    </w:p>
    <w:p w:rsidR="00C83782" w:rsidRDefault="00B90B55" w:rsidP="00B90B55">
      <w:pPr>
        <w:rPr>
          <w:lang w:eastAsia="cs-CZ" w:bidi="ar-SA"/>
        </w:rPr>
      </w:pPr>
      <w:r>
        <w:t xml:space="preserve">V roce 2015 byly v rámci šetření </w:t>
      </w:r>
      <w:r w:rsidR="00C83782">
        <w:t xml:space="preserve">IPP </w:t>
      </w:r>
      <w:r>
        <w:t xml:space="preserve">analyzovány vybrané údaje o mzdových a pracovních podmínkách </w:t>
      </w:r>
      <w:r w:rsidRPr="00A6338B">
        <w:t>z 1 627</w:t>
      </w:r>
      <w:r w:rsidRPr="00A6338B">
        <w:rPr>
          <w:color w:val="FF0000"/>
        </w:rPr>
        <w:t xml:space="preserve"> </w:t>
      </w:r>
      <w:r w:rsidRPr="00A6338B">
        <w:t>podnikových kolektivních smluv z</w:t>
      </w:r>
      <w:r>
        <w:rPr>
          <w:color w:val="FF0000"/>
        </w:rPr>
        <w:t> </w:t>
      </w:r>
      <w:r w:rsidR="000D142B" w:rsidRPr="00C664CD">
        <w:t>26</w:t>
      </w:r>
      <w:r w:rsidRPr="00A6338B">
        <w:rPr>
          <w:color w:val="FF0000"/>
        </w:rPr>
        <w:t xml:space="preserve"> </w:t>
      </w:r>
      <w:r w:rsidRPr="00A6338B">
        <w:t>různých odborových svazů (OS), které zastupovaly více než</w:t>
      </w:r>
      <w:r w:rsidRPr="00A6338B">
        <w:rPr>
          <w:color w:val="FF0000"/>
        </w:rPr>
        <w:t xml:space="preserve"> </w:t>
      </w:r>
      <w:r w:rsidR="000D142B" w:rsidRPr="00C664CD">
        <w:t>816</w:t>
      </w:r>
      <w:r w:rsidRPr="00A6338B">
        <w:rPr>
          <w:color w:val="FF0000"/>
        </w:rPr>
        <w:t xml:space="preserve"> </w:t>
      </w:r>
      <w:r w:rsidRPr="00A6338B">
        <w:t xml:space="preserve">tisíc zaměstnanců. Dále bylo v roce 2015 analyzováno a vyhodnoceno </w:t>
      </w:r>
      <w:r w:rsidR="000D142B" w:rsidRPr="00C664CD">
        <w:t>19</w:t>
      </w:r>
      <w:r w:rsidRPr="001424DB">
        <w:t xml:space="preserve"> </w:t>
      </w:r>
      <w:r w:rsidRPr="00A6338B">
        <w:t>kolektivních smluv vyššího stupně.</w:t>
      </w:r>
    </w:p>
    <w:p w:rsidR="00B90B55" w:rsidRDefault="00B90B55" w:rsidP="00B90B55">
      <w:r>
        <w:t>Odvětvovou strukturu souboru kolektivních smluv IPP za rok 2015 ukazuje </w:t>
      </w:r>
      <w:r w:rsidR="00C048AD">
        <w:t>tabulka 1</w:t>
      </w:r>
      <w:r>
        <w:t>.</w:t>
      </w:r>
      <w:r w:rsidR="00C83782">
        <w:t xml:space="preserve"> Z této tabulky je patrné, že téměř polovina analyzovaných smluv byla sjednána ve zpracovatelském průmyslu (44 % smluv). Mezi další odvětví, kde byl analyzován větší počet smluv, patřily především veřejná správa, obrana a sociální zabezpečení (9 % smluv), zdravotní a sociální péče (6 % smluv), profesní, vědecké a technické činnosti (6 % smluv) a vzdělávání (5 % smluv)</w:t>
      </w:r>
      <w:r w:rsidR="005C707D">
        <w:t>. V ostatních odvětvích se pohyboval podíl analyzovaných kolektivních smluv pod úrovní 5 %.</w:t>
      </w:r>
    </w:p>
    <w:p w:rsidR="00696695" w:rsidRDefault="00696695" w:rsidP="00B90B55">
      <w:r>
        <w:t>V rámci podnikatelské sféry pocházely kolektivní smlouvy nejčastěji ze zpracovatelského průmyslu (56 % smluv). Dalším</w:t>
      </w:r>
      <w:r w:rsidR="00A01140">
        <w:t>i</w:t>
      </w:r>
      <w:r>
        <w:t xml:space="preserve"> významněji zastoupeným</w:t>
      </w:r>
      <w:r w:rsidR="00A01140">
        <w:t>i</w:t>
      </w:r>
      <w:r>
        <w:t xml:space="preserve"> odvětvím</w:t>
      </w:r>
      <w:r w:rsidR="00A01140">
        <w:t>i</w:t>
      </w:r>
      <w:r>
        <w:t xml:space="preserve"> z hlediska analyzovaných kolektivních smluv byl</w:t>
      </w:r>
      <w:r w:rsidR="00A01140">
        <w:t>a</w:t>
      </w:r>
      <w:r>
        <w:t xml:space="preserve"> odvětví profesních, vědeckých a technických či</w:t>
      </w:r>
      <w:r w:rsidR="00A01140">
        <w:t>nností (7 % smluv) a doprava a skladování (5 % smluv).</w:t>
      </w:r>
      <w:r w:rsidR="00256C56">
        <w:t xml:space="preserve"> Podíl ostatních odvětvích na analyzovaných kolektivních smlouvách nedosahoval úrovně 5 %.</w:t>
      </w:r>
    </w:p>
    <w:p w:rsidR="0069382C" w:rsidRDefault="007D7277" w:rsidP="00B90B55">
      <w:r>
        <w:t>Obsah kolektivních smluv v podnikatelské sféře často upravuje postavení odborové organizace u příslušného zaměstnavatele. V kolektivních smlouvách je většinou upraveno právo odborové organizace (a případně i zaměstnanců) na informování, spolurozhodování, projednávání, kontrolu i právo na řádný výkon činnosti organizace (viz kapitola týkající se legislativního rámce kolektivního vyjednávání v České republice).</w:t>
      </w:r>
    </w:p>
    <w:p w:rsidR="004A4E14" w:rsidRDefault="004A4E14" w:rsidP="00B90B55">
      <w:r>
        <w:t>Přehled o kolektivních smlouvách, ve kterých bylo sjednáno právo odborových organizací na informování, projednávání a kontrolu, uvádí tabulka 2.</w:t>
      </w:r>
    </w:p>
    <w:p w:rsidR="005319E2" w:rsidRPr="005319E2" w:rsidRDefault="005319E2" w:rsidP="00094537">
      <w:pPr>
        <w:pStyle w:val="Titulek"/>
        <w:keepNext/>
        <w:keepLines/>
        <w:spacing w:before="480" w:after="60"/>
        <w:rPr>
          <w:b w:val="0"/>
          <w:i/>
          <w:sz w:val="22"/>
          <w:szCs w:val="22"/>
        </w:rPr>
      </w:pPr>
      <w:r w:rsidRPr="005319E2">
        <w:rPr>
          <w:b w:val="0"/>
          <w:i/>
          <w:sz w:val="22"/>
          <w:szCs w:val="22"/>
        </w:rPr>
        <w:lastRenderedPageBreak/>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1</w:t>
      </w:r>
      <w:r w:rsidR="008A3262" w:rsidRPr="005319E2">
        <w:rPr>
          <w:b w:val="0"/>
          <w:i/>
          <w:sz w:val="22"/>
          <w:szCs w:val="22"/>
        </w:rPr>
        <w:fldChar w:fldCharType="end"/>
      </w:r>
      <w:r w:rsidRPr="005319E2">
        <w:rPr>
          <w:b w:val="0"/>
          <w:i/>
          <w:sz w:val="22"/>
          <w:szCs w:val="22"/>
        </w:rPr>
        <w:t>: Počet kolektivních smluv analyzovaných v rámci šetření IPP v roce 2015</w:t>
      </w:r>
    </w:p>
    <w:tbl>
      <w:tblPr>
        <w:tblW w:w="9356" w:type="dxa"/>
        <w:tblInd w:w="70" w:type="dxa"/>
        <w:tblCellMar>
          <w:left w:w="70" w:type="dxa"/>
          <w:right w:w="70" w:type="dxa"/>
        </w:tblCellMar>
        <w:tblLook w:val="04A0" w:firstRow="1" w:lastRow="0" w:firstColumn="1" w:lastColumn="0" w:noHBand="0" w:noVBand="1"/>
      </w:tblPr>
      <w:tblGrid>
        <w:gridCol w:w="318"/>
        <w:gridCol w:w="3338"/>
        <w:gridCol w:w="360"/>
        <w:gridCol w:w="946"/>
        <w:gridCol w:w="1842"/>
        <w:gridCol w:w="1276"/>
        <w:gridCol w:w="1276"/>
      </w:tblGrid>
      <w:tr w:rsidR="005319E2" w:rsidRPr="005319E2" w:rsidTr="005319E2">
        <w:trPr>
          <w:trHeight w:val="263"/>
        </w:trPr>
        <w:tc>
          <w:tcPr>
            <w:tcW w:w="4016"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5319E2" w:rsidRPr="005319E2" w:rsidRDefault="005319E2" w:rsidP="005319E2">
            <w:pPr>
              <w:keepNext/>
              <w:spacing w:before="0" w:after="0"/>
              <w:jc w:val="center"/>
              <w:rPr>
                <w:rFonts w:cs="Arial"/>
                <w:b/>
                <w:sz w:val="20"/>
                <w:szCs w:val="20"/>
                <w:lang w:eastAsia="cs-CZ" w:bidi="ar-SA"/>
              </w:rPr>
            </w:pPr>
            <w:r w:rsidRPr="005319E2">
              <w:rPr>
                <w:rFonts w:cs="Arial"/>
                <w:b/>
                <w:sz w:val="20"/>
                <w:szCs w:val="20"/>
                <w:lang w:eastAsia="cs-CZ" w:bidi="ar-SA"/>
              </w:rPr>
              <w:t>Odvětví ekonomické činnosti</w:t>
            </w:r>
          </w:p>
          <w:p w:rsidR="007679AE" w:rsidRPr="005319E2" w:rsidRDefault="005319E2" w:rsidP="005319E2">
            <w:pPr>
              <w:keepNext/>
              <w:spacing w:before="0" w:after="0"/>
              <w:jc w:val="center"/>
              <w:rPr>
                <w:rFonts w:cs="Arial"/>
                <w:b/>
                <w:sz w:val="20"/>
                <w:szCs w:val="20"/>
                <w:lang w:eastAsia="cs-CZ" w:bidi="ar-SA"/>
              </w:rPr>
            </w:pPr>
            <w:r w:rsidRPr="005319E2">
              <w:rPr>
                <w:rFonts w:cs="Arial"/>
                <w:b/>
                <w:sz w:val="20"/>
                <w:szCs w:val="20"/>
                <w:lang w:eastAsia="cs-CZ" w:bidi="ar-SA"/>
              </w:rPr>
              <w:t>(s</w:t>
            </w:r>
            <w:r w:rsidR="007679AE" w:rsidRPr="005319E2">
              <w:rPr>
                <w:rFonts w:cs="Arial"/>
                <w:b/>
                <w:sz w:val="20"/>
                <w:szCs w:val="20"/>
                <w:lang w:eastAsia="cs-CZ" w:bidi="ar-SA"/>
              </w:rPr>
              <w:t>ekce CZ</w:t>
            </w:r>
            <w:r w:rsidRPr="005319E2">
              <w:rPr>
                <w:rFonts w:cs="Arial"/>
                <w:b/>
                <w:sz w:val="20"/>
                <w:szCs w:val="20"/>
                <w:lang w:eastAsia="cs-CZ" w:bidi="ar-SA"/>
              </w:rPr>
              <w:noBreakHyphen/>
            </w:r>
            <w:r w:rsidR="007679AE" w:rsidRPr="005319E2">
              <w:rPr>
                <w:rFonts w:cs="Arial"/>
                <w:b/>
                <w:sz w:val="20"/>
                <w:szCs w:val="20"/>
                <w:lang w:eastAsia="cs-CZ" w:bidi="ar-SA"/>
              </w:rPr>
              <w:t>NACE</w:t>
            </w:r>
            <w:r w:rsidRPr="005319E2">
              <w:rPr>
                <w:rFonts w:cs="Arial"/>
                <w:b/>
                <w:sz w:val="20"/>
                <w:szCs w:val="20"/>
                <w:lang w:eastAsia="cs-CZ" w:bidi="ar-SA"/>
              </w:rPr>
              <w:t>)</w:t>
            </w:r>
          </w:p>
        </w:tc>
        <w:tc>
          <w:tcPr>
            <w:tcW w:w="53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 xml:space="preserve">Počet kolektivních smluv </w:t>
            </w:r>
          </w:p>
        </w:tc>
      </w:tr>
      <w:tr w:rsidR="005319E2" w:rsidRPr="005319E2" w:rsidTr="005319E2">
        <w:trPr>
          <w:trHeight w:val="263"/>
        </w:trPr>
        <w:tc>
          <w:tcPr>
            <w:tcW w:w="4016"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7679AE" w:rsidRPr="005319E2" w:rsidRDefault="007679AE" w:rsidP="00915BF3">
            <w:pPr>
              <w:keepNext/>
              <w:spacing w:before="0" w:after="0"/>
              <w:rPr>
                <w:rFonts w:cs="Arial"/>
                <w:b/>
                <w:sz w:val="20"/>
                <w:szCs w:val="20"/>
                <w:lang w:eastAsia="cs-CZ" w:bidi="ar-SA"/>
              </w:rPr>
            </w:pPr>
          </w:p>
        </w:tc>
        <w:tc>
          <w:tcPr>
            <w:tcW w:w="9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Celkem</w:t>
            </w:r>
          </w:p>
        </w:tc>
        <w:tc>
          <w:tcPr>
            <w:tcW w:w="184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Podnikatelská sféra</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Veřejná služba a správa</w:t>
            </w:r>
          </w:p>
        </w:tc>
      </w:tr>
      <w:tr w:rsidR="005319E2" w:rsidRPr="005319E2" w:rsidTr="005319E2">
        <w:trPr>
          <w:trHeight w:val="263"/>
        </w:trPr>
        <w:tc>
          <w:tcPr>
            <w:tcW w:w="4016"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7679AE" w:rsidRPr="005319E2" w:rsidRDefault="007679AE" w:rsidP="00915BF3">
            <w:pPr>
              <w:keepNext/>
              <w:spacing w:before="0" w:after="0"/>
              <w:rPr>
                <w:rFonts w:cs="Arial"/>
                <w:b/>
                <w:sz w:val="20"/>
                <w:szCs w:val="20"/>
                <w:lang w:eastAsia="cs-CZ" w:bidi="ar-SA"/>
              </w:rPr>
            </w:pPr>
          </w:p>
        </w:tc>
        <w:tc>
          <w:tcPr>
            <w:tcW w:w="9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7679AE" w:rsidRPr="005319E2" w:rsidRDefault="007679AE" w:rsidP="00915BF3">
            <w:pPr>
              <w:keepNext/>
              <w:spacing w:before="0" w:after="0"/>
              <w:rPr>
                <w:rFonts w:cs="Arial"/>
                <w:b/>
                <w:sz w:val="20"/>
                <w:szCs w:val="20"/>
                <w:lang w:eastAsia="cs-CZ" w:bidi="ar-SA"/>
              </w:rPr>
            </w:pPr>
          </w:p>
        </w:tc>
        <w:tc>
          <w:tcPr>
            <w:tcW w:w="184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7679AE" w:rsidRPr="005319E2" w:rsidRDefault="007679AE" w:rsidP="00915BF3">
            <w:pPr>
              <w:keepNext/>
              <w:spacing w:before="0" w:after="0"/>
              <w:rPr>
                <w:rFonts w:cs="Arial"/>
                <w:b/>
                <w:sz w:val="20"/>
                <w:szCs w:val="20"/>
                <w:lang w:eastAsia="cs-CZ" w:bidi="ar-SA"/>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celkem</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7679AE" w:rsidRPr="005319E2" w:rsidRDefault="007679AE" w:rsidP="00915BF3">
            <w:pPr>
              <w:keepNext/>
              <w:spacing w:before="0" w:after="0"/>
              <w:jc w:val="center"/>
              <w:rPr>
                <w:rFonts w:cs="Arial"/>
                <w:b/>
                <w:sz w:val="20"/>
                <w:szCs w:val="20"/>
                <w:lang w:eastAsia="cs-CZ" w:bidi="ar-SA"/>
              </w:rPr>
            </w:pPr>
            <w:r w:rsidRPr="005319E2">
              <w:rPr>
                <w:rFonts w:cs="Arial"/>
                <w:b/>
                <w:sz w:val="20"/>
                <w:szCs w:val="20"/>
                <w:lang w:eastAsia="cs-CZ" w:bidi="ar-SA"/>
              </w:rPr>
              <w:t>z toho obce</w:t>
            </w:r>
          </w:p>
        </w:tc>
      </w:tr>
      <w:tr w:rsidR="005319E2" w:rsidRPr="005319E2" w:rsidTr="005319E2">
        <w:trPr>
          <w:trHeight w:val="45"/>
        </w:trPr>
        <w:tc>
          <w:tcPr>
            <w:tcW w:w="318" w:type="dxa"/>
            <w:tcBorders>
              <w:top w:val="single" w:sz="4" w:space="0" w:color="FFFFFF" w:themeColor="background1"/>
            </w:tcBorders>
            <w:shd w:val="clear" w:color="auto" w:fill="auto"/>
            <w:noWrap/>
            <w:vAlign w:val="bottom"/>
            <w:hideMark/>
          </w:tcPr>
          <w:p w:rsidR="007679AE" w:rsidRPr="005319E2" w:rsidRDefault="007679AE" w:rsidP="00915BF3">
            <w:pPr>
              <w:keepNext/>
              <w:spacing w:before="0" w:after="0"/>
              <w:jc w:val="right"/>
              <w:rPr>
                <w:rFonts w:cs="Arial"/>
                <w:b/>
                <w:bCs/>
                <w:sz w:val="20"/>
                <w:szCs w:val="20"/>
                <w:lang w:eastAsia="cs-CZ" w:bidi="ar-SA"/>
              </w:rPr>
            </w:pPr>
          </w:p>
        </w:tc>
        <w:tc>
          <w:tcPr>
            <w:tcW w:w="3338" w:type="dxa"/>
            <w:tcBorders>
              <w:top w:val="single" w:sz="4" w:space="0" w:color="FFFFFF" w:themeColor="background1"/>
            </w:tcBorders>
            <w:shd w:val="clear" w:color="auto" w:fill="auto"/>
            <w:noWrap/>
            <w:vAlign w:val="bottom"/>
            <w:hideMark/>
          </w:tcPr>
          <w:p w:rsidR="007679AE" w:rsidRPr="005319E2" w:rsidRDefault="007679AE" w:rsidP="00915BF3">
            <w:pPr>
              <w:keepNext/>
              <w:spacing w:before="0" w:after="0"/>
              <w:rPr>
                <w:rFonts w:cs="Arial"/>
                <w:sz w:val="20"/>
                <w:szCs w:val="20"/>
                <w:lang w:eastAsia="cs-CZ" w:bidi="ar-SA"/>
              </w:rPr>
            </w:pPr>
          </w:p>
        </w:tc>
        <w:tc>
          <w:tcPr>
            <w:tcW w:w="360" w:type="dxa"/>
            <w:tcBorders>
              <w:top w:val="single" w:sz="4" w:space="0" w:color="FFFFFF" w:themeColor="background1"/>
            </w:tcBorders>
            <w:shd w:val="clear" w:color="auto" w:fill="auto"/>
            <w:noWrap/>
            <w:vAlign w:val="bottom"/>
            <w:hideMark/>
          </w:tcPr>
          <w:p w:rsidR="007679AE" w:rsidRPr="005319E2" w:rsidRDefault="007679AE" w:rsidP="00915BF3">
            <w:pPr>
              <w:keepNext/>
              <w:spacing w:before="0" w:after="0"/>
              <w:rPr>
                <w:rFonts w:cs="Arial"/>
                <w:sz w:val="20"/>
                <w:szCs w:val="20"/>
                <w:lang w:eastAsia="cs-CZ" w:bidi="ar-SA"/>
              </w:rPr>
            </w:pPr>
          </w:p>
        </w:tc>
        <w:tc>
          <w:tcPr>
            <w:tcW w:w="946" w:type="dxa"/>
            <w:tcBorders>
              <w:top w:val="single" w:sz="4" w:space="0" w:color="FFFFFF" w:themeColor="background1"/>
            </w:tcBorders>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p>
        </w:tc>
        <w:tc>
          <w:tcPr>
            <w:tcW w:w="1842" w:type="dxa"/>
            <w:tcBorders>
              <w:top w:val="single" w:sz="4" w:space="0" w:color="FFFFFF" w:themeColor="background1"/>
            </w:tcBorders>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p>
        </w:tc>
        <w:tc>
          <w:tcPr>
            <w:tcW w:w="1276" w:type="dxa"/>
            <w:tcBorders>
              <w:top w:val="single" w:sz="4" w:space="0" w:color="FFFFFF" w:themeColor="background1"/>
            </w:tcBorders>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p>
        </w:tc>
        <w:tc>
          <w:tcPr>
            <w:tcW w:w="1276" w:type="dxa"/>
            <w:tcBorders>
              <w:top w:val="single" w:sz="4" w:space="0" w:color="FFFFFF" w:themeColor="background1"/>
            </w:tcBorders>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A</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Zemědělství, lesnictví a rybářství</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19</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16</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3</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B</w:t>
            </w:r>
          </w:p>
        </w:tc>
        <w:tc>
          <w:tcPr>
            <w:tcW w:w="3338"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Těžba a dobývání</w:t>
            </w:r>
          </w:p>
        </w:tc>
        <w:tc>
          <w:tcPr>
            <w:tcW w:w="360"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 </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23</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23</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C</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Zpracovatelský průmysl</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723</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723</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D</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Výroba a rozvod elektřiny, plynu, tepla</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49</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49</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E</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Zásobování vodou, činnosti související s odpady</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55</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48</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F</w:t>
            </w:r>
          </w:p>
        </w:tc>
        <w:tc>
          <w:tcPr>
            <w:tcW w:w="3338"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Stavebnictví</w:t>
            </w:r>
          </w:p>
        </w:tc>
        <w:tc>
          <w:tcPr>
            <w:tcW w:w="360"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 </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54</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54</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G</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Obchod, opravy motorových vozidel</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47</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47</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H</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Doprava a skladování</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66</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66</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I</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 xml:space="preserve">Ubytování, stravování a pohostinství </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20</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20</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J</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Informační a komunikační činnosti</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13</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13</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K</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Peněžnictví a pojišťovnictví</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L</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Činnosti v oblasti nemovitostí</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46</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45</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M</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Profesní, vědecké a technické činnosti</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93</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91</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N</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Administrativní a podpůrné činnosti</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19</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19</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O</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Veřejná správa, obrana, sociální zabezpečení</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142</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7</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135</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122</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P</w:t>
            </w:r>
          </w:p>
        </w:tc>
        <w:tc>
          <w:tcPr>
            <w:tcW w:w="3338"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Vzdělávání</w:t>
            </w:r>
          </w:p>
        </w:tc>
        <w:tc>
          <w:tcPr>
            <w:tcW w:w="360" w:type="dxa"/>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 </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87</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21</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66</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Q</w:t>
            </w:r>
          </w:p>
        </w:tc>
        <w:tc>
          <w:tcPr>
            <w:tcW w:w="3698" w:type="dxa"/>
            <w:gridSpan w:val="2"/>
            <w:shd w:val="clear" w:color="auto" w:fill="auto"/>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Zdravotní a sociální péče</w:t>
            </w:r>
          </w:p>
        </w:tc>
        <w:tc>
          <w:tcPr>
            <w:tcW w:w="94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105</w:t>
            </w:r>
          </w:p>
        </w:tc>
        <w:tc>
          <w:tcPr>
            <w:tcW w:w="1842"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24</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81</w:t>
            </w:r>
          </w:p>
        </w:tc>
        <w:tc>
          <w:tcPr>
            <w:tcW w:w="1276" w:type="dxa"/>
            <w:shd w:val="clear" w:color="auto" w:fill="auto"/>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5319E2">
        <w:trPr>
          <w:trHeight w:val="334"/>
        </w:trPr>
        <w:tc>
          <w:tcPr>
            <w:tcW w:w="318" w:type="dxa"/>
            <w:shd w:val="clear" w:color="auto" w:fill="F2F2F2" w:themeFill="background1" w:themeFillShade="F2"/>
            <w:noWrap/>
            <w:vAlign w:val="center"/>
            <w:hideMark/>
          </w:tcPr>
          <w:p w:rsidR="007679AE" w:rsidRPr="005319E2" w:rsidRDefault="007679AE" w:rsidP="00915BF3">
            <w:pPr>
              <w:keepNext/>
              <w:spacing w:before="0" w:after="0"/>
              <w:jc w:val="center"/>
              <w:rPr>
                <w:rFonts w:cs="Arial"/>
                <w:sz w:val="20"/>
                <w:szCs w:val="20"/>
                <w:lang w:eastAsia="cs-CZ" w:bidi="ar-SA"/>
              </w:rPr>
            </w:pPr>
            <w:r w:rsidRPr="005319E2">
              <w:rPr>
                <w:rFonts w:cs="Arial"/>
                <w:sz w:val="20"/>
                <w:szCs w:val="20"/>
                <w:lang w:eastAsia="cs-CZ" w:bidi="ar-SA"/>
              </w:rPr>
              <w:t>R</w:t>
            </w:r>
          </w:p>
        </w:tc>
        <w:tc>
          <w:tcPr>
            <w:tcW w:w="3698" w:type="dxa"/>
            <w:gridSpan w:val="2"/>
            <w:shd w:val="clear" w:color="auto" w:fill="F2F2F2" w:themeFill="background1" w:themeFillShade="F2"/>
            <w:noWrap/>
            <w:vAlign w:val="center"/>
            <w:hideMark/>
          </w:tcPr>
          <w:p w:rsidR="007679AE" w:rsidRPr="005319E2" w:rsidRDefault="007679AE" w:rsidP="00915BF3">
            <w:pPr>
              <w:keepNext/>
              <w:spacing w:before="0" w:after="0"/>
              <w:jc w:val="left"/>
              <w:rPr>
                <w:rFonts w:cs="Arial"/>
                <w:sz w:val="20"/>
                <w:szCs w:val="20"/>
                <w:lang w:eastAsia="cs-CZ" w:bidi="ar-SA"/>
              </w:rPr>
            </w:pPr>
            <w:r w:rsidRPr="005319E2">
              <w:rPr>
                <w:rFonts w:cs="Arial"/>
                <w:sz w:val="20"/>
                <w:szCs w:val="20"/>
                <w:lang w:eastAsia="cs-CZ" w:bidi="ar-SA"/>
              </w:rPr>
              <w:t>Kulturní, zábavní a rekreační činnosti</w:t>
            </w:r>
          </w:p>
        </w:tc>
        <w:tc>
          <w:tcPr>
            <w:tcW w:w="94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47</w:t>
            </w:r>
          </w:p>
        </w:tc>
        <w:tc>
          <w:tcPr>
            <w:tcW w:w="1842"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5</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42</w:t>
            </w:r>
          </w:p>
        </w:tc>
        <w:tc>
          <w:tcPr>
            <w:tcW w:w="1276" w:type="dxa"/>
            <w:shd w:val="clear" w:color="auto" w:fill="F2F2F2" w:themeFill="background1" w:themeFillShade="F2"/>
            <w:noWrap/>
            <w:vAlign w:val="center"/>
            <w:hideMark/>
          </w:tcPr>
          <w:p w:rsidR="007679AE" w:rsidRPr="005319E2" w:rsidRDefault="007679AE" w:rsidP="00915BF3">
            <w:pPr>
              <w:keepNext/>
              <w:spacing w:before="0" w:after="0"/>
              <w:jc w:val="right"/>
              <w:rPr>
                <w:rFonts w:cs="Arial"/>
                <w:sz w:val="20"/>
                <w:szCs w:val="20"/>
                <w:lang w:eastAsia="cs-CZ" w:bidi="ar-SA"/>
              </w:rPr>
            </w:pPr>
            <w:r w:rsidRPr="005319E2">
              <w:rPr>
                <w:rFonts w:cs="Arial"/>
                <w:sz w:val="20"/>
                <w:szCs w:val="20"/>
                <w:lang w:eastAsia="cs-CZ" w:bidi="ar-SA"/>
              </w:rPr>
              <w:t>1</w:t>
            </w:r>
          </w:p>
        </w:tc>
      </w:tr>
      <w:tr w:rsidR="005319E2" w:rsidRPr="005319E2" w:rsidTr="005319E2">
        <w:trPr>
          <w:trHeight w:val="334"/>
        </w:trPr>
        <w:tc>
          <w:tcPr>
            <w:tcW w:w="318" w:type="dxa"/>
            <w:shd w:val="clear" w:color="auto" w:fill="auto"/>
            <w:noWrap/>
            <w:vAlign w:val="center"/>
            <w:hideMark/>
          </w:tcPr>
          <w:p w:rsidR="007679AE" w:rsidRPr="005319E2" w:rsidRDefault="007679AE" w:rsidP="00915BF3">
            <w:pPr>
              <w:spacing w:before="0" w:after="0"/>
              <w:jc w:val="center"/>
              <w:rPr>
                <w:rFonts w:cs="Arial"/>
                <w:sz w:val="20"/>
                <w:szCs w:val="20"/>
                <w:lang w:eastAsia="cs-CZ" w:bidi="ar-SA"/>
              </w:rPr>
            </w:pPr>
            <w:r w:rsidRPr="005319E2">
              <w:rPr>
                <w:rFonts w:cs="Arial"/>
                <w:sz w:val="20"/>
                <w:szCs w:val="20"/>
                <w:lang w:eastAsia="cs-CZ" w:bidi="ar-SA"/>
              </w:rPr>
              <w:t>S</w:t>
            </w:r>
          </w:p>
        </w:tc>
        <w:tc>
          <w:tcPr>
            <w:tcW w:w="3338" w:type="dxa"/>
            <w:shd w:val="clear" w:color="auto" w:fill="auto"/>
            <w:noWrap/>
            <w:vAlign w:val="center"/>
            <w:hideMark/>
          </w:tcPr>
          <w:p w:rsidR="007679AE" w:rsidRPr="005319E2" w:rsidRDefault="007679AE" w:rsidP="00915BF3">
            <w:pPr>
              <w:spacing w:before="0" w:after="0"/>
              <w:jc w:val="left"/>
              <w:rPr>
                <w:rFonts w:cs="Arial"/>
                <w:sz w:val="20"/>
                <w:szCs w:val="20"/>
                <w:lang w:eastAsia="cs-CZ" w:bidi="ar-SA"/>
              </w:rPr>
            </w:pPr>
            <w:r w:rsidRPr="005319E2">
              <w:rPr>
                <w:rFonts w:cs="Arial"/>
                <w:sz w:val="20"/>
                <w:szCs w:val="20"/>
                <w:lang w:eastAsia="cs-CZ" w:bidi="ar-SA"/>
              </w:rPr>
              <w:t>Ostatní činnosti</w:t>
            </w:r>
          </w:p>
        </w:tc>
        <w:tc>
          <w:tcPr>
            <w:tcW w:w="360" w:type="dxa"/>
            <w:shd w:val="clear" w:color="auto" w:fill="auto"/>
            <w:noWrap/>
            <w:vAlign w:val="center"/>
            <w:hideMark/>
          </w:tcPr>
          <w:p w:rsidR="007679AE" w:rsidRPr="005319E2" w:rsidRDefault="007679AE" w:rsidP="00915BF3">
            <w:pPr>
              <w:spacing w:before="0" w:after="0"/>
              <w:jc w:val="left"/>
              <w:rPr>
                <w:rFonts w:cs="Arial"/>
                <w:sz w:val="20"/>
                <w:szCs w:val="20"/>
                <w:lang w:eastAsia="cs-CZ" w:bidi="ar-SA"/>
              </w:rPr>
            </w:pPr>
            <w:r w:rsidRPr="005319E2">
              <w:rPr>
                <w:rFonts w:cs="Arial"/>
                <w:sz w:val="20"/>
                <w:szCs w:val="20"/>
                <w:lang w:eastAsia="cs-CZ" w:bidi="ar-SA"/>
              </w:rPr>
              <w:t> </w:t>
            </w:r>
          </w:p>
        </w:tc>
        <w:tc>
          <w:tcPr>
            <w:tcW w:w="946" w:type="dxa"/>
            <w:shd w:val="clear" w:color="auto" w:fill="auto"/>
            <w:noWrap/>
            <w:vAlign w:val="center"/>
            <w:hideMark/>
          </w:tcPr>
          <w:p w:rsidR="007679AE" w:rsidRPr="005319E2" w:rsidRDefault="007679AE" w:rsidP="00915BF3">
            <w:pPr>
              <w:spacing w:before="0" w:after="0"/>
              <w:jc w:val="right"/>
              <w:rPr>
                <w:rFonts w:cs="Arial"/>
                <w:sz w:val="20"/>
                <w:szCs w:val="20"/>
                <w:lang w:eastAsia="cs-CZ" w:bidi="ar-SA"/>
              </w:rPr>
            </w:pPr>
            <w:r w:rsidRPr="005319E2">
              <w:rPr>
                <w:rFonts w:cs="Arial"/>
                <w:sz w:val="20"/>
                <w:szCs w:val="20"/>
                <w:lang w:eastAsia="cs-CZ" w:bidi="ar-SA"/>
              </w:rPr>
              <w:t>12</w:t>
            </w:r>
          </w:p>
        </w:tc>
        <w:tc>
          <w:tcPr>
            <w:tcW w:w="1842" w:type="dxa"/>
            <w:shd w:val="clear" w:color="auto" w:fill="auto"/>
            <w:noWrap/>
            <w:vAlign w:val="center"/>
            <w:hideMark/>
          </w:tcPr>
          <w:p w:rsidR="007679AE" w:rsidRPr="005319E2" w:rsidRDefault="007679AE" w:rsidP="00915BF3">
            <w:pPr>
              <w:spacing w:before="0" w:after="0"/>
              <w:jc w:val="right"/>
              <w:rPr>
                <w:rFonts w:cs="Arial"/>
                <w:sz w:val="20"/>
                <w:szCs w:val="20"/>
                <w:lang w:eastAsia="cs-CZ" w:bidi="ar-SA"/>
              </w:rPr>
            </w:pPr>
            <w:r w:rsidRPr="005319E2">
              <w:rPr>
                <w:rFonts w:cs="Arial"/>
                <w:sz w:val="20"/>
                <w:szCs w:val="20"/>
                <w:lang w:eastAsia="cs-CZ" w:bidi="ar-SA"/>
              </w:rPr>
              <w:t>10</w:t>
            </w:r>
          </w:p>
        </w:tc>
        <w:tc>
          <w:tcPr>
            <w:tcW w:w="1276" w:type="dxa"/>
            <w:shd w:val="clear" w:color="auto" w:fill="auto"/>
            <w:noWrap/>
            <w:vAlign w:val="center"/>
            <w:hideMark/>
          </w:tcPr>
          <w:p w:rsidR="007679AE" w:rsidRPr="005319E2" w:rsidRDefault="007679AE" w:rsidP="00915BF3">
            <w:pPr>
              <w:spacing w:before="0" w:after="0"/>
              <w:jc w:val="right"/>
              <w:rPr>
                <w:rFonts w:cs="Arial"/>
                <w:sz w:val="20"/>
                <w:szCs w:val="20"/>
                <w:lang w:eastAsia="cs-CZ" w:bidi="ar-SA"/>
              </w:rPr>
            </w:pPr>
            <w:r w:rsidRPr="005319E2">
              <w:rPr>
                <w:rFonts w:cs="Arial"/>
                <w:sz w:val="20"/>
                <w:szCs w:val="20"/>
                <w:lang w:eastAsia="cs-CZ" w:bidi="ar-SA"/>
              </w:rPr>
              <w:t>2</w:t>
            </w:r>
          </w:p>
        </w:tc>
        <w:tc>
          <w:tcPr>
            <w:tcW w:w="1276" w:type="dxa"/>
            <w:shd w:val="clear" w:color="auto" w:fill="auto"/>
            <w:noWrap/>
            <w:vAlign w:val="center"/>
            <w:hideMark/>
          </w:tcPr>
          <w:p w:rsidR="007679AE" w:rsidRPr="005319E2" w:rsidRDefault="007679AE" w:rsidP="00915BF3">
            <w:pPr>
              <w:spacing w:before="0" w:after="0"/>
              <w:jc w:val="right"/>
              <w:rPr>
                <w:rFonts w:cs="Arial"/>
                <w:sz w:val="20"/>
                <w:szCs w:val="20"/>
                <w:lang w:eastAsia="cs-CZ" w:bidi="ar-SA"/>
              </w:rPr>
            </w:pPr>
            <w:r w:rsidRPr="005319E2">
              <w:rPr>
                <w:rFonts w:cs="Arial"/>
                <w:sz w:val="20"/>
                <w:szCs w:val="20"/>
                <w:lang w:eastAsia="cs-CZ" w:bidi="ar-SA"/>
              </w:rPr>
              <w:t> </w:t>
            </w:r>
          </w:p>
        </w:tc>
      </w:tr>
      <w:tr w:rsidR="005319E2" w:rsidRPr="005319E2" w:rsidTr="00915BF3">
        <w:trPr>
          <w:trHeight w:val="334"/>
        </w:trPr>
        <w:tc>
          <w:tcPr>
            <w:tcW w:w="3656" w:type="dxa"/>
            <w:gridSpan w:val="2"/>
            <w:shd w:val="clear" w:color="auto" w:fill="E5B8B7" w:themeFill="accent2" w:themeFillTint="66"/>
            <w:noWrap/>
            <w:vAlign w:val="center"/>
          </w:tcPr>
          <w:p w:rsidR="005319E2" w:rsidRPr="005319E2" w:rsidRDefault="005319E2" w:rsidP="005319E2">
            <w:pPr>
              <w:spacing w:before="0" w:after="0"/>
              <w:jc w:val="left"/>
              <w:rPr>
                <w:rFonts w:cs="Arial"/>
                <w:b/>
                <w:sz w:val="20"/>
                <w:szCs w:val="20"/>
                <w:lang w:eastAsia="cs-CZ" w:bidi="ar-SA"/>
              </w:rPr>
            </w:pPr>
            <w:r w:rsidRPr="005319E2">
              <w:rPr>
                <w:rFonts w:cs="Arial"/>
                <w:b/>
                <w:sz w:val="20"/>
                <w:szCs w:val="20"/>
                <w:lang w:eastAsia="cs-CZ" w:bidi="ar-SA"/>
              </w:rPr>
              <w:t>Celkem</w:t>
            </w:r>
          </w:p>
        </w:tc>
        <w:tc>
          <w:tcPr>
            <w:tcW w:w="360" w:type="dxa"/>
            <w:shd w:val="clear" w:color="auto" w:fill="E5B8B7" w:themeFill="accent2" w:themeFillTint="66"/>
            <w:noWrap/>
            <w:vAlign w:val="center"/>
          </w:tcPr>
          <w:p w:rsidR="005319E2" w:rsidRPr="005319E2" w:rsidRDefault="005319E2" w:rsidP="005319E2">
            <w:pPr>
              <w:spacing w:before="0" w:after="0"/>
              <w:jc w:val="left"/>
              <w:rPr>
                <w:rFonts w:cs="Arial"/>
                <w:sz w:val="20"/>
                <w:szCs w:val="20"/>
                <w:lang w:eastAsia="cs-CZ" w:bidi="ar-SA"/>
              </w:rPr>
            </w:pPr>
          </w:p>
        </w:tc>
        <w:tc>
          <w:tcPr>
            <w:tcW w:w="946" w:type="dxa"/>
            <w:shd w:val="clear" w:color="auto" w:fill="E5B8B7" w:themeFill="accent2" w:themeFillTint="66"/>
            <w:noWrap/>
            <w:vAlign w:val="center"/>
          </w:tcPr>
          <w:p w:rsidR="005319E2" w:rsidRPr="005319E2" w:rsidRDefault="005319E2" w:rsidP="005319E2">
            <w:pPr>
              <w:keepNext/>
              <w:spacing w:before="0" w:after="0"/>
              <w:jc w:val="right"/>
              <w:rPr>
                <w:rFonts w:cs="Arial"/>
                <w:b/>
                <w:bCs/>
                <w:sz w:val="20"/>
                <w:szCs w:val="20"/>
                <w:lang w:eastAsia="cs-CZ" w:bidi="ar-SA"/>
              </w:rPr>
            </w:pPr>
            <w:r w:rsidRPr="005319E2">
              <w:rPr>
                <w:rFonts w:cs="Arial"/>
                <w:b/>
                <w:bCs/>
                <w:sz w:val="20"/>
                <w:szCs w:val="20"/>
                <w:lang w:eastAsia="cs-CZ" w:bidi="ar-SA"/>
              </w:rPr>
              <w:t>1 627</w:t>
            </w:r>
          </w:p>
        </w:tc>
        <w:tc>
          <w:tcPr>
            <w:tcW w:w="1842" w:type="dxa"/>
            <w:shd w:val="clear" w:color="auto" w:fill="E5B8B7" w:themeFill="accent2" w:themeFillTint="66"/>
            <w:noWrap/>
            <w:vAlign w:val="center"/>
          </w:tcPr>
          <w:p w:rsidR="005319E2" w:rsidRPr="005319E2" w:rsidRDefault="005319E2" w:rsidP="005319E2">
            <w:pPr>
              <w:keepNext/>
              <w:spacing w:before="0" w:after="0"/>
              <w:jc w:val="right"/>
              <w:rPr>
                <w:rFonts w:cs="Arial"/>
                <w:b/>
                <w:bCs/>
                <w:sz w:val="20"/>
                <w:szCs w:val="20"/>
                <w:lang w:eastAsia="cs-CZ" w:bidi="ar-SA"/>
              </w:rPr>
            </w:pPr>
            <w:r w:rsidRPr="005319E2">
              <w:rPr>
                <w:rFonts w:cs="Arial"/>
                <w:b/>
                <w:bCs/>
                <w:sz w:val="20"/>
                <w:szCs w:val="20"/>
                <w:lang w:eastAsia="cs-CZ" w:bidi="ar-SA"/>
              </w:rPr>
              <w:t>1 288</w:t>
            </w:r>
          </w:p>
        </w:tc>
        <w:tc>
          <w:tcPr>
            <w:tcW w:w="1276" w:type="dxa"/>
            <w:shd w:val="clear" w:color="auto" w:fill="E5B8B7" w:themeFill="accent2" w:themeFillTint="66"/>
            <w:noWrap/>
            <w:vAlign w:val="center"/>
          </w:tcPr>
          <w:p w:rsidR="005319E2" w:rsidRPr="005319E2" w:rsidRDefault="005319E2" w:rsidP="005319E2">
            <w:pPr>
              <w:keepNext/>
              <w:spacing w:before="0" w:after="0"/>
              <w:jc w:val="right"/>
              <w:rPr>
                <w:rFonts w:cs="Arial"/>
                <w:b/>
                <w:bCs/>
                <w:sz w:val="20"/>
                <w:szCs w:val="20"/>
                <w:lang w:eastAsia="cs-CZ" w:bidi="ar-SA"/>
              </w:rPr>
            </w:pPr>
            <w:r w:rsidRPr="005319E2">
              <w:rPr>
                <w:rFonts w:cs="Arial"/>
                <w:b/>
                <w:bCs/>
                <w:sz w:val="20"/>
                <w:szCs w:val="20"/>
                <w:lang w:eastAsia="cs-CZ" w:bidi="ar-SA"/>
              </w:rPr>
              <w:t>339</w:t>
            </w:r>
          </w:p>
        </w:tc>
        <w:tc>
          <w:tcPr>
            <w:tcW w:w="1276" w:type="dxa"/>
            <w:shd w:val="clear" w:color="auto" w:fill="E5B8B7" w:themeFill="accent2" w:themeFillTint="66"/>
            <w:noWrap/>
            <w:vAlign w:val="center"/>
          </w:tcPr>
          <w:p w:rsidR="005319E2" w:rsidRPr="005319E2" w:rsidRDefault="005319E2" w:rsidP="005319E2">
            <w:pPr>
              <w:keepNext/>
              <w:spacing w:before="0" w:after="0"/>
              <w:jc w:val="right"/>
              <w:rPr>
                <w:rFonts w:cs="Arial"/>
                <w:b/>
                <w:bCs/>
                <w:sz w:val="20"/>
                <w:szCs w:val="20"/>
                <w:lang w:eastAsia="cs-CZ" w:bidi="ar-SA"/>
              </w:rPr>
            </w:pPr>
            <w:r w:rsidRPr="005319E2">
              <w:rPr>
                <w:rFonts w:cs="Arial"/>
                <w:b/>
                <w:bCs/>
                <w:sz w:val="20"/>
                <w:szCs w:val="20"/>
                <w:lang w:eastAsia="cs-CZ" w:bidi="ar-SA"/>
              </w:rPr>
              <w:t>123</w:t>
            </w:r>
          </w:p>
        </w:tc>
      </w:tr>
    </w:tbl>
    <w:p w:rsidR="007679AE" w:rsidRPr="002C4494" w:rsidRDefault="007679AE" w:rsidP="007E10E0">
      <w:pPr>
        <w:spacing w:after="480"/>
        <w:rPr>
          <w:sz w:val="20"/>
          <w:szCs w:val="20"/>
          <w:lang w:eastAsia="cs-CZ"/>
        </w:rPr>
      </w:pPr>
      <w:r w:rsidRPr="002C4494">
        <w:rPr>
          <w:sz w:val="20"/>
          <w:szCs w:val="20"/>
          <w:lang w:eastAsia="cs-CZ"/>
        </w:rPr>
        <w:t>Zdroj:</w:t>
      </w:r>
      <w:r>
        <w:rPr>
          <w:sz w:val="20"/>
          <w:szCs w:val="20"/>
          <w:lang w:eastAsia="cs-CZ"/>
        </w:rPr>
        <w:t xml:space="preserve"> </w:t>
      </w:r>
      <w:r w:rsidR="00CB4A4D">
        <w:rPr>
          <w:sz w:val="20"/>
          <w:szCs w:val="20"/>
          <w:lang w:eastAsia="cs-CZ"/>
        </w:rPr>
        <w:t>Informace o pracovních podmínkách (IPP).</w:t>
      </w:r>
    </w:p>
    <w:p w:rsidR="00000B11" w:rsidRDefault="00F53548" w:rsidP="0053564F">
      <w:r w:rsidRPr="00F53548">
        <w:rPr>
          <w:b/>
        </w:rPr>
        <w:t>Právo na informování</w:t>
      </w:r>
      <w:r>
        <w:t xml:space="preserve"> bylo upraveno dvěma způsoby – v 77,9 % kolektivních smluv byl </w:t>
      </w:r>
      <w:r w:rsidR="006634FB">
        <w:t xml:space="preserve">konkretizován </w:t>
      </w:r>
      <w:r>
        <w:t>postup z hlediska informování odborové organizace zaměstnavatelem, u</w:t>
      </w:r>
      <w:r w:rsidR="00512824">
        <w:t> </w:t>
      </w:r>
      <w:r>
        <w:t>25,2 % kolektivních smluv byl sjednán rozsah sdílených informací</w:t>
      </w:r>
      <w:r w:rsidR="006634FB">
        <w:t xml:space="preserve"> nad rámec § 279 odst. 1 ZP a § 287 odst. 1 ZP</w:t>
      </w:r>
      <w:r>
        <w:t>. Pro úplnost uveďme, že v některých kolektivních smlouvách bylo upraveno hledisko rozsahu i postupu.</w:t>
      </w:r>
      <w:r w:rsidR="00000B11">
        <w:t xml:space="preserve"> Z odvětvového hlediska </w:t>
      </w:r>
      <w:r w:rsidR="006634FB">
        <w:t>byly bližší podmínky postupu informovování odborové organizace</w:t>
      </w:r>
      <w:r w:rsidR="00000B11">
        <w:t xml:space="preserve"> </w:t>
      </w:r>
      <w:r w:rsidR="006634FB">
        <w:t xml:space="preserve">sjednávány </w:t>
      </w:r>
      <w:r w:rsidR="00000B11">
        <w:t>nejčastěji v odvětví kulturních zábavních a rekreačních činností (100</w:t>
      </w:r>
      <w:r w:rsidR="00A45FBD">
        <w:t>,0</w:t>
      </w:r>
      <w:r w:rsidR="00000B11">
        <w:t xml:space="preserve"> % analyzovaných smluv)</w:t>
      </w:r>
      <w:r w:rsidR="00A45FBD">
        <w:t>, ve výrobě a rozvodu elektřiny, plynu a tepla (98,0 % smluv) a v činnostech v oblasti nemovitostí (95,6 % smluv).</w:t>
      </w:r>
      <w:r w:rsidR="00DE5D28">
        <w:t xml:space="preserve"> V ostatních odvětvích se pohyboval podíl smluv, které obsahovaly ujednání o postupu informování odborové organizace zaměstnavatelem, kolem 80 %. Výjimku tvořilo pouze zemědělství, lesnictví a rybářství, kde byl postup informování sjednán pouze ve 37,5 % smluv.</w:t>
      </w:r>
      <w:r w:rsidR="004D55C0">
        <w:t xml:space="preserve"> </w:t>
      </w:r>
      <w:r w:rsidR="006634FB">
        <w:t>Větší r</w:t>
      </w:r>
      <w:r w:rsidR="004D55C0">
        <w:t>ozsah informování byl v kolektivních smlouvách sjednáván méně často ve srovnání s</w:t>
      </w:r>
      <w:r w:rsidR="006634FB">
        <w:t xml:space="preserve"> konkrétním </w:t>
      </w:r>
      <w:r w:rsidR="004D55C0">
        <w:t xml:space="preserve">postupem. Nejčastěji byl rozsah informování sjednáván v kolektivních smlouvách v peněžnictví a pojišťovnictví (57,1 %) a ve veřejné správě, obraně a sociálním zabezpečení (57,1 %). V ostatních odvětvích se podíl smluv upravujících rozsah informování pohyboval nejčastěji mezi 10 a 30 %. Pouze ve třech </w:t>
      </w:r>
      <w:r w:rsidR="004D55C0">
        <w:lastRenderedPageBreak/>
        <w:t>odvětvích byl tento podíl nižší než 10 %, a to ve vzdělávání (4,8 % smluv), zemědělství, lesnictví a rybářství (6,3 % smluv) a v činnostech v oblasti nemovitostí (6,7 %).</w:t>
      </w:r>
    </w:p>
    <w:p w:rsidR="002D0AE4" w:rsidRPr="008F22BD" w:rsidRDefault="002D0AE4" w:rsidP="00094537">
      <w:pPr>
        <w:pStyle w:val="Titulek"/>
        <w:keepNext/>
        <w:keepLines/>
        <w:spacing w:before="480" w:after="60"/>
        <w:rPr>
          <w:b w:val="0"/>
          <w:i/>
          <w:sz w:val="22"/>
          <w:szCs w:val="22"/>
        </w:rPr>
      </w:pPr>
      <w:r w:rsidRPr="005319E2">
        <w:rPr>
          <w:b w:val="0"/>
          <w:i/>
          <w:sz w:val="22"/>
          <w:szCs w:val="22"/>
        </w:rPr>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2</w:t>
      </w:r>
      <w:r w:rsidR="008A3262" w:rsidRPr="005319E2">
        <w:rPr>
          <w:b w:val="0"/>
          <w:i/>
          <w:sz w:val="22"/>
          <w:szCs w:val="22"/>
        </w:rPr>
        <w:fldChar w:fldCharType="end"/>
      </w:r>
      <w:r w:rsidRPr="005319E2">
        <w:rPr>
          <w:b w:val="0"/>
          <w:i/>
          <w:sz w:val="22"/>
          <w:szCs w:val="22"/>
        </w:rPr>
        <w:t xml:space="preserve">: </w:t>
      </w:r>
      <w:r>
        <w:rPr>
          <w:b w:val="0"/>
          <w:i/>
          <w:sz w:val="22"/>
          <w:szCs w:val="22"/>
        </w:rPr>
        <w:t>Právo odborových organizací na informování, projednávání a kontrolu v podnikatelské sféře ČR v roce 2015</w:t>
      </w:r>
    </w:p>
    <w:tbl>
      <w:tblPr>
        <w:tblW w:w="9923" w:type="dxa"/>
        <w:tblInd w:w="70" w:type="dxa"/>
        <w:tblLayout w:type="fixed"/>
        <w:tblCellMar>
          <w:left w:w="70" w:type="dxa"/>
          <w:right w:w="70" w:type="dxa"/>
        </w:tblCellMar>
        <w:tblLook w:val="04A0" w:firstRow="1" w:lastRow="0" w:firstColumn="1" w:lastColumn="0" w:noHBand="0" w:noVBand="1"/>
      </w:tblPr>
      <w:tblGrid>
        <w:gridCol w:w="292"/>
        <w:gridCol w:w="3110"/>
        <w:gridCol w:w="709"/>
        <w:gridCol w:w="709"/>
        <w:gridCol w:w="567"/>
        <w:gridCol w:w="709"/>
        <w:gridCol w:w="567"/>
        <w:gridCol w:w="708"/>
        <w:gridCol w:w="635"/>
        <w:gridCol w:w="641"/>
        <w:gridCol w:w="567"/>
        <w:gridCol w:w="709"/>
      </w:tblGrid>
      <w:tr w:rsidR="002D0AE4" w:rsidRPr="008F22BD" w:rsidTr="00F65617">
        <w:trPr>
          <w:trHeight w:val="664"/>
        </w:trPr>
        <w:tc>
          <w:tcPr>
            <w:tcW w:w="3402"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spacing w:before="0" w:after="0"/>
              <w:jc w:val="center"/>
              <w:rPr>
                <w:rFonts w:cs="Arial"/>
                <w:b/>
                <w:sz w:val="20"/>
                <w:szCs w:val="20"/>
                <w:lang w:eastAsia="cs-CZ" w:bidi="ar-SA"/>
              </w:rPr>
            </w:pPr>
            <w:r w:rsidRPr="008F22BD">
              <w:rPr>
                <w:rFonts w:cs="Arial"/>
                <w:b/>
                <w:sz w:val="20"/>
                <w:szCs w:val="20"/>
                <w:lang w:eastAsia="cs-CZ" w:bidi="ar-SA"/>
              </w:rPr>
              <w:t>Odvětví ekonomické činnosti</w:t>
            </w:r>
          </w:p>
          <w:p w:rsidR="002D0AE4" w:rsidRPr="008F22BD" w:rsidRDefault="002D0AE4" w:rsidP="00F65617">
            <w:pPr>
              <w:keepNext/>
              <w:keepLines/>
              <w:spacing w:before="0" w:after="0"/>
              <w:jc w:val="center"/>
              <w:rPr>
                <w:rFonts w:cs="Arial"/>
                <w:sz w:val="20"/>
                <w:szCs w:val="20"/>
                <w:lang w:eastAsia="cs-CZ" w:bidi="ar-SA"/>
              </w:rPr>
            </w:pPr>
            <w:r w:rsidRPr="008F22BD">
              <w:rPr>
                <w:rFonts w:cs="Arial"/>
                <w:b/>
                <w:sz w:val="20"/>
                <w:szCs w:val="20"/>
                <w:lang w:eastAsia="cs-CZ" w:bidi="ar-SA"/>
              </w:rPr>
              <w:t>(sekce CZ</w:t>
            </w:r>
            <w:r w:rsidRPr="008F22BD">
              <w:rPr>
                <w:rFonts w:cs="Arial"/>
                <w:b/>
                <w:sz w:val="20"/>
                <w:szCs w:val="20"/>
                <w:lang w:eastAsia="cs-CZ" w:bidi="ar-SA"/>
              </w:rPr>
              <w:noBreakHyphen/>
              <w:t>NACE)</w:t>
            </w:r>
          </w:p>
        </w:tc>
        <w:tc>
          <w:tcPr>
            <w:tcW w:w="269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Informování</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Projednávání</w:t>
            </w:r>
          </w:p>
        </w:tc>
        <w:tc>
          <w:tcPr>
            <w:tcW w:w="127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B56702" w:rsidRDefault="002D0AE4" w:rsidP="00F65617">
            <w:pPr>
              <w:keepNext/>
              <w:keepLines/>
              <w:spacing w:before="0" w:after="0"/>
              <w:jc w:val="center"/>
              <w:rPr>
                <w:rFonts w:cs="Arial"/>
                <w:b/>
                <w:sz w:val="20"/>
                <w:szCs w:val="20"/>
                <w:lang w:eastAsia="cs-CZ" w:bidi="ar-SA"/>
              </w:rPr>
            </w:pPr>
            <w:r w:rsidRPr="00B56702">
              <w:rPr>
                <w:rFonts w:cs="Arial"/>
                <w:b/>
                <w:sz w:val="20"/>
                <w:szCs w:val="20"/>
                <w:lang w:eastAsia="cs-CZ" w:bidi="ar-SA"/>
              </w:rPr>
              <w:t>Vytvoření komise pro výklad a plnění závazků z KS</w:t>
            </w:r>
          </w:p>
        </w:tc>
      </w:tr>
      <w:tr w:rsidR="002D0AE4" w:rsidRPr="008F22BD" w:rsidTr="00F65617">
        <w:trPr>
          <w:trHeight w:val="300"/>
        </w:trPr>
        <w:tc>
          <w:tcPr>
            <w:tcW w:w="340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center"/>
              <w:rPr>
                <w:rFonts w:cs="Arial"/>
                <w:sz w:val="20"/>
                <w:szCs w:val="20"/>
                <w:lang w:eastAsia="cs-CZ" w:bidi="ar-SA"/>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Postup</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Rozsah</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Postup</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8F22BD" w:rsidRDefault="002D0AE4" w:rsidP="00F65617">
            <w:pPr>
              <w:keepNext/>
              <w:keepLines/>
              <w:spacing w:before="0" w:after="0"/>
              <w:jc w:val="center"/>
              <w:rPr>
                <w:rFonts w:cs="Arial"/>
                <w:b/>
                <w:sz w:val="20"/>
                <w:szCs w:val="20"/>
                <w:lang w:eastAsia="cs-CZ" w:bidi="ar-SA"/>
              </w:rPr>
            </w:pPr>
            <w:r w:rsidRPr="008F22BD">
              <w:rPr>
                <w:rFonts w:cs="Arial"/>
                <w:b/>
                <w:sz w:val="20"/>
                <w:szCs w:val="20"/>
                <w:lang w:eastAsia="cs-CZ" w:bidi="ar-SA"/>
              </w:rPr>
              <w:t>Rozsah</w:t>
            </w:r>
          </w:p>
        </w:tc>
        <w:tc>
          <w:tcPr>
            <w:tcW w:w="127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D0AE4" w:rsidRPr="008F22BD" w:rsidRDefault="002D0AE4" w:rsidP="00F65617">
            <w:pPr>
              <w:keepNext/>
              <w:keepLines/>
              <w:spacing w:before="0" w:after="0"/>
              <w:jc w:val="center"/>
              <w:rPr>
                <w:rFonts w:cs="Arial"/>
                <w:sz w:val="20"/>
                <w:szCs w:val="20"/>
                <w:lang w:eastAsia="cs-CZ" w:bidi="ar-SA"/>
              </w:rPr>
            </w:pPr>
          </w:p>
        </w:tc>
      </w:tr>
      <w:tr w:rsidR="002D0AE4" w:rsidRPr="008F22BD" w:rsidTr="00F65617">
        <w:trPr>
          <w:trHeight w:val="270"/>
        </w:trPr>
        <w:tc>
          <w:tcPr>
            <w:tcW w:w="340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center"/>
              <w:rPr>
                <w:rFonts w:cs="Arial"/>
                <w:sz w:val="20"/>
                <w:szCs w:val="20"/>
                <w:lang w:eastAsia="cs-CZ" w:bidi="ar-SA"/>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sz w:val="20"/>
                <w:szCs w:val="20"/>
                <w:lang w:eastAsia="cs-CZ" w:bidi="ar-SA"/>
              </w:rPr>
            </w:pPr>
            <w:r w:rsidRPr="008F22BD">
              <w:rPr>
                <w:rFonts w:cs="Arial"/>
                <w:sz w:val="20"/>
                <w:szCs w:val="20"/>
                <w:lang w:eastAsia="cs-CZ" w:bidi="ar-SA"/>
              </w:rPr>
              <w:t>PKS</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2D0AE4" w:rsidRDefault="002D0AE4" w:rsidP="00F65617">
            <w:pPr>
              <w:keepNext/>
              <w:keepLines/>
              <w:spacing w:before="0" w:after="0"/>
              <w:jc w:val="center"/>
              <w:rPr>
                <w:rFonts w:cs="Arial"/>
                <w:i/>
                <w:sz w:val="20"/>
                <w:szCs w:val="20"/>
                <w:lang w:eastAsia="cs-CZ" w:bidi="ar-SA"/>
              </w:rPr>
            </w:pPr>
            <w:r w:rsidRPr="002D0AE4">
              <w:rPr>
                <w:rFonts w:cs="Arial"/>
                <w:i/>
                <w:sz w:val="20"/>
                <w:szCs w:val="20"/>
                <w:lang w:eastAsia="cs-CZ" w:bidi="ar-SA"/>
              </w:rPr>
              <w:t>% KS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sz w:val="20"/>
                <w:szCs w:val="20"/>
                <w:lang w:eastAsia="cs-CZ" w:bidi="ar-SA"/>
              </w:rPr>
            </w:pPr>
            <w:r w:rsidRPr="008F22BD">
              <w:rPr>
                <w:rFonts w:cs="Arial"/>
                <w:sz w:val="20"/>
                <w:szCs w:val="20"/>
                <w:lang w:eastAsia="cs-CZ" w:bidi="ar-SA"/>
              </w:rPr>
              <w:t>PKS</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2D0AE4" w:rsidRDefault="002D0AE4" w:rsidP="00F65617">
            <w:pPr>
              <w:keepNext/>
              <w:keepLines/>
              <w:spacing w:before="0" w:after="0"/>
              <w:jc w:val="center"/>
              <w:rPr>
                <w:rFonts w:cs="Arial"/>
                <w:i/>
                <w:sz w:val="20"/>
                <w:szCs w:val="20"/>
                <w:lang w:eastAsia="cs-CZ" w:bidi="ar-SA"/>
              </w:rPr>
            </w:pPr>
            <w:r w:rsidRPr="002D0AE4">
              <w:rPr>
                <w:rFonts w:cs="Arial"/>
                <w:i/>
                <w:sz w:val="20"/>
                <w:szCs w:val="20"/>
                <w:lang w:eastAsia="cs-CZ" w:bidi="ar-SA"/>
              </w:rPr>
              <w:t>% KS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sz w:val="20"/>
                <w:szCs w:val="20"/>
                <w:lang w:eastAsia="cs-CZ" w:bidi="ar-SA"/>
              </w:rPr>
            </w:pPr>
            <w:r w:rsidRPr="008F22BD">
              <w:rPr>
                <w:rFonts w:cs="Arial"/>
                <w:sz w:val="20"/>
                <w:szCs w:val="20"/>
                <w:lang w:eastAsia="cs-CZ" w:bidi="ar-SA"/>
              </w:rPr>
              <w:t>PKS</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2D0AE4" w:rsidRDefault="002D0AE4" w:rsidP="00F65617">
            <w:pPr>
              <w:keepNext/>
              <w:keepLines/>
              <w:spacing w:before="0" w:after="0"/>
              <w:jc w:val="center"/>
              <w:rPr>
                <w:rFonts w:cs="Arial"/>
                <w:i/>
                <w:sz w:val="20"/>
                <w:szCs w:val="20"/>
                <w:lang w:eastAsia="cs-CZ" w:bidi="ar-SA"/>
              </w:rPr>
            </w:pPr>
            <w:r w:rsidRPr="002D0AE4">
              <w:rPr>
                <w:rFonts w:cs="Arial"/>
                <w:i/>
                <w:sz w:val="20"/>
                <w:szCs w:val="20"/>
                <w:lang w:eastAsia="cs-CZ" w:bidi="ar-SA"/>
              </w:rPr>
              <w:t>% KS</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sz w:val="20"/>
                <w:szCs w:val="20"/>
                <w:lang w:eastAsia="cs-CZ" w:bidi="ar-SA"/>
              </w:rPr>
            </w:pPr>
            <w:r w:rsidRPr="008F22BD">
              <w:rPr>
                <w:rFonts w:cs="Arial"/>
                <w:sz w:val="20"/>
                <w:szCs w:val="20"/>
                <w:lang w:eastAsia="cs-CZ" w:bidi="ar-SA"/>
              </w:rPr>
              <w:t>PKS</w:t>
            </w:r>
          </w:p>
        </w:tc>
        <w:tc>
          <w:tcPr>
            <w:tcW w:w="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2D0AE4" w:rsidRDefault="002D0AE4" w:rsidP="00F65617">
            <w:pPr>
              <w:keepNext/>
              <w:keepLines/>
              <w:spacing w:before="0" w:after="0"/>
              <w:jc w:val="center"/>
              <w:rPr>
                <w:rFonts w:cs="Arial"/>
                <w:i/>
                <w:sz w:val="20"/>
                <w:szCs w:val="20"/>
                <w:lang w:eastAsia="cs-CZ" w:bidi="ar-SA"/>
              </w:rPr>
            </w:pPr>
            <w:r w:rsidRPr="002D0AE4">
              <w:rPr>
                <w:rFonts w:cs="Arial"/>
                <w:i/>
                <w:sz w:val="20"/>
                <w:szCs w:val="20"/>
                <w:lang w:eastAsia="cs-CZ" w:bidi="ar-SA"/>
              </w:rPr>
              <w:t>% KS</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8F22BD" w:rsidRDefault="002D0AE4" w:rsidP="00F65617">
            <w:pPr>
              <w:keepNext/>
              <w:keepLines/>
              <w:spacing w:before="0" w:after="0"/>
              <w:jc w:val="center"/>
              <w:rPr>
                <w:rFonts w:cs="Arial"/>
                <w:sz w:val="20"/>
                <w:szCs w:val="20"/>
                <w:lang w:eastAsia="cs-CZ" w:bidi="ar-SA"/>
              </w:rPr>
            </w:pPr>
            <w:r w:rsidRPr="008F22BD">
              <w:rPr>
                <w:rFonts w:cs="Arial"/>
                <w:sz w:val="20"/>
                <w:szCs w:val="20"/>
                <w:lang w:eastAsia="cs-CZ" w:bidi="ar-SA"/>
              </w:rPr>
              <w:t>PKS</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D0AE4" w:rsidRPr="002D0AE4" w:rsidRDefault="002D0AE4" w:rsidP="00F65617">
            <w:pPr>
              <w:keepNext/>
              <w:keepLines/>
              <w:spacing w:before="0" w:after="0"/>
              <w:jc w:val="center"/>
              <w:rPr>
                <w:rFonts w:cs="Arial"/>
                <w:i/>
                <w:sz w:val="20"/>
                <w:szCs w:val="20"/>
                <w:lang w:eastAsia="cs-CZ" w:bidi="ar-SA"/>
              </w:rPr>
            </w:pPr>
            <w:r w:rsidRPr="002D0AE4">
              <w:rPr>
                <w:rFonts w:cs="Arial"/>
                <w:i/>
                <w:sz w:val="20"/>
                <w:szCs w:val="20"/>
                <w:lang w:eastAsia="cs-CZ" w:bidi="ar-SA"/>
              </w:rPr>
              <w:t>% KS</w:t>
            </w:r>
          </w:p>
        </w:tc>
      </w:tr>
      <w:tr w:rsidR="002D0AE4" w:rsidRPr="008F22BD" w:rsidTr="00F65617">
        <w:trPr>
          <w:trHeight w:val="334"/>
        </w:trPr>
        <w:tc>
          <w:tcPr>
            <w:tcW w:w="292"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A</w:t>
            </w:r>
          </w:p>
        </w:tc>
        <w:tc>
          <w:tcPr>
            <w:tcW w:w="3110"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Zemědělství, lesnictví a rybářství</w:t>
            </w:r>
          </w:p>
        </w:tc>
        <w:tc>
          <w:tcPr>
            <w:tcW w:w="709"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6</w:t>
            </w:r>
          </w:p>
        </w:tc>
        <w:tc>
          <w:tcPr>
            <w:tcW w:w="709" w:type="dxa"/>
            <w:tcBorders>
              <w:top w:val="single" w:sz="4" w:space="0" w:color="FFFFFF" w:themeColor="background1"/>
            </w:tcBorders>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37,5</w:t>
            </w:r>
          </w:p>
        </w:tc>
        <w:tc>
          <w:tcPr>
            <w:tcW w:w="567"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tcBorders>
              <w:top w:val="single" w:sz="4" w:space="0" w:color="FFFFFF" w:themeColor="background1"/>
            </w:tcBorders>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6,3</w:t>
            </w:r>
          </w:p>
        </w:tc>
        <w:tc>
          <w:tcPr>
            <w:tcW w:w="567"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6</w:t>
            </w:r>
          </w:p>
        </w:tc>
        <w:tc>
          <w:tcPr>
            <w:tcW w:w="708" w:type="dxa"/>
            <w:tcBorders>
              <w:top w:val="single" w:sz="4" w:space="0" w:color="FFFFFF" w:themeColor="background1"/>
            </w:tcBorders>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37,5</w:t>
            </w:r>
          </w:p>
        </w:tc>
        <w:tc>
          <w:tcPr>
            <w:tcW w:w="635"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641" w:type="dxa"/>
            <w:tcBorders>
              <w:top w:val="single" w:sz="4" w:space="0" w:color="FFFFFF" w:themeColor="background1"/>
            </w:tcBorders>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6,3</w:t>
            </w:r>
          </w:p>
        </w:tc>
        <w:tc>
          <w:tcPr>
            <w:tcW w:w="567" w:type="dxa"/>
            <w:tcBorders>
              <w:top w:val="single" w:sz="4" w:space="0" w:color="FFFFFF" w:themeColor="background1"/>
            </w:tcBorders>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tcBorders>
              <w:top w:val="single" w:sz="4" w:space="0" w:color="FFFFFF" w:themeColor="background1"/>
            </w:tcBorders>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18,8</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B</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Těžba a dobývání</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14</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60,9</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8</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34,8</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16</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69,6</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7</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30,4</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21,7</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C</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Zpracovatelský průmysl</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548</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75,8</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211</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29,2</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476</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65,8</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155</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21,4</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316</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43,7</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D</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Výroba a rozvod elektřiny, plynu, tepla</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48</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98,0</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30,6</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45</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91,8</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14</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28,6</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18</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36,7</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E</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Zásob. vodou, činnosti související s odpady</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43</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89,6</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9</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18,8</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31</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64,6</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6,3</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6,3</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F</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Stavebnictví</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36</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66,7</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8</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14,8</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31</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57,4</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9,3</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9</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16,7</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G</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Obchod, opravy motorových vozidel</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29</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61,7</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10</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21,3</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29</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61,7</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9</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19,1</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22</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46,8</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H</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Doprava a skladování</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83,3</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7</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10,6</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55</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83,3</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13</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19,7</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20</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30,3</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I</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 xml:space="preserve">Ubytování, stravování a pohostinství </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18</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90,0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15,0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18</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90,0</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15,0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25,0</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J</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Informační a komunikační činnosti</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12</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92,3</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38,5</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8</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61,5</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15,4</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7,7</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K</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Peněžnictví a pojišťovnictví</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71,4</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57,1</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6</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85,7</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14,3</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14,3</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L</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Činnosti v oblasti nemovitostí</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43</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95,6</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6,7</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41</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91,1</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 </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 </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6</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13,3</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M</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Profesní, vědecké a technické činnosti</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74</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81,3</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28</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30,8</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57</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62,6</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32</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35,2</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28</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30,8</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N</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Administrativní a podpůrné činnosti</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78,9</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15,8</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15</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78,9</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21,1</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8</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42,1</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O</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Veřejná správa, obrana, sociální zabezpečení</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6</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85,7</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57,1</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7</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100,0</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28,6</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28,6</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P</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Vzdělávání</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17</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81,0</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4,8</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15</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71,4</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23,8</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23,8</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Q</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Zdravotní a sociální péče</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20</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83,3</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3</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12,5</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7</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29,2</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20,8</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4,2</w:t>
            </w:r>
          </w:p>
        </w:tc>
      </w:tr>
      <w:tr w:rsidR="002D0AE4" w:rsidRPr="008F22BD" w:rsidTr="00F65617">
        <w:trPr>
          <w:trHeight w:val="334"/>
        </w:trPr>
        <w:tc>
          <w:tcPr>
            <w:tcW w:w="292"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R</w:t>
            </w:r>
          </w:p>
        </w:tc>
        <w:tc>
          <w:tcPr>
            <w:tcW w:w="3110" w:type="dxa"/>
            <w:shd w:val="clear" w:color="auto" w:fill="F2F2F2" w:themeFill="background1" w:themeFillShade="F2"/>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Kulturní, zábavní a rekreační činnosti</w:t>
            </w:r>
          </w:p>
        </w:tc>
        <w:tc>
          <w:tcPr>
            <w:tcW w:w="709"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5</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100,0</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20,0</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4</w:t>
            </w:r>
          </w:p>
        </w:tc>
        <w:tc>
          <w:tcPr>
            <w:tcW w:w="708"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80,0</w:t>
            </w:r>
          </w:p>
        </w:tc>
        <w:tc>
          <w:tcPr>
            <w:tcW w:w="635"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 </w:t>
            </w:r>
          </w:p>
        </w:tc>
        <w:tc>
          <w:tcPr>
            <w:tcW w:w="641"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 </w:t>
            </w:r>
          </w:p>
        </w:tc>
        <w:tc>
          <w:tcPr>
            <w:tcW w:w="567" w:type="dxa"/>
            <w:shd w:val="clear" w:color="auto" w:fill="F2F2F2" w:themeFill="background1" w:themeFillShade="F2"/>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F2F2F2" w:themeFill="background1" w:themeFillShade="F2"/>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20,0</w:t>
            </w:r>
          </w:p>
        </w:tc>
      </w:tr>
      <w:tr w:rsidR="002D0AE4" w:rsidRPr="008F22BD" w:rsidTr="00F65617">
        <w:trPr>
          <w:trHeight w:val="334"/>
        </w:trPr>
        <w:tc>
          <w:tcPr>
            <w:tcW w:w="292"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S</w:t>
            </w:r>
          </w:p>
        </w:tc>
        <w:tc>
          <w:tcPr>
            <w:tcW w:w="3110" w:type="dxa"/>
            <w:shd w:val="clear" w:color="auto" w:fill="auto"/>
            <w:noWrap/>
            <w:vAlign w:val="center"/>
            <w:hideMark/>
          </w:tcPr>
          <w:p w:rsidR="002D0AE4" w:rsidRPr="008F22BD" w:rsidRDefault="002D0AE4" w:rsidP="00F65617">
            <w:pPr>
              <w:keepNext/>
              <w:keepLines/>
              <w:spacing w:before="0" w:after="0"/>
              <w:jc w:val="left"/>
              <w:rPr>
                <w:rFonts w:cs="Arial"/>
                <w:sz w:val="20"/>
                <w:szCs w:val="20"/>
                <w:lang w:eastAsia="cs-CZ" w:bidi="ar-SA"/>
              </w:rPr>
            </w:pPr>
            <w:r w:rsidRPr="008F22BD">
              <w:rPr>
                <w:rFonts w:cs="Arial"/>
                <w:sz w:val="20"/>
                <w:szCs w:val="20"/>
                <w:lang w:eastAsia="cs-CZ" w:bidi="ar-SA"/>
              </w:rPr>
              <w:t>Ostatní činnosti</w:t>
            </w:r>
          </w:p>
        </w:tc>
        <w:tc>
          <w:tcPr>
            <w:tcW w:w="709"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9</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90,0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10,0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9</w:t>
            </w:r>
          </w:p>
        </w:tc>
        <w:tc>
          <w:tcPr>
            <w:tcW w:w="708"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90,0</w:t>
            </w:r>
          </w:p>
        </w:tc>
        <w:tc>
          <w:tcPr>
            <w:tcW w:w="635"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1</w:t>
            </w:r>
          </w:p>
        </w:tc>
        <w:tc>
          <w:tcPr>
            <w:tcW w:w="641"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10,0</w:t>
            </w:r>
          </w:p>
        </w:tc>
        <w:tc>
          <w:tcPr>
            <w:tcW w:w="567" w:type="dxa"/>
            <w:shd w:val="clear" w:color="auto" w:fill="auto"/>
            <w:noWrap/>
            <w:vAlign w:val="center"/>
            <w:hideMark/>
          </w:tcPr>
          <w:p w:rsidR="002D0AE4" w:rsidRPr="008F22BD" w:rsidRDefault="002D0AE4" w:rsidP="00F65617">
            <w:pPr>
              <w:keepNext/>
              <w:keepLines/>
              <w:spacing w:before="0" w:after="0"/>
              <w:jc w:val="right"/>
              <w:rPr>
                <w:rFonts w:cs="Arial"/>
                <w:sz w:val="20"/>
                <w:szCs w:val="20"/>
                <w:lang w:eastAsia="cs-CZ" w:bidi="ar-SA"/>
              </w:rPr>
            </w:pPr>
            <w:r w:rsidRPr="008F22BD">
              <w:rPr>
                <w:rFonts w:cs="Arial"/>
                <w:sz w:val="20"/>
                <w:szCs w:val="20"/>
                <w:lang w:eastAsia="cs-CZ" w:bidi="ar-SA"/>
              </w:rPr>
              <w:t> </w:t>
            </w:r>
          </w:p>
        </w:tc>
        <w:tc>
          <w:tcPr>
            <w:tcW w:w="709" w:type="dxa"/>
            <w:shd w:val="clear" w:color="auto" w:fill="auto"/>
            <w:noWrap/>
            <w:vAlign w:val="center"/>
            <w:hideMark/>
          </w:tcPr>
          <w:p w:rsidR="002D0AE4" w:rsidRPr="002D0AE4" w:rsidRDefault="002D0AE4" w:rsidP="00F65617">
            <w:pPr>
              <w:keepNext/>
              <w:keepLines/>
              <w:spacing w:before="0" w:after="0"/>
              <w:jc w:val="right"/>
              <w:rPr>
                <w:rFonts w:cs="Arial"/>
                <w:i/>
                <w:sz w:val="20"/>
                <w:szCs w:val="20"/>
                <w:lang w:eastAsia="cs-CZ" w:bidi="ar-SA"/>
              </w:rPr>
            </w:pPr>
            <w:r w:rsidRPr="002D0AE4">
              <w:rPr>
                <w:rFonts w:cs="Arial"/>
                <w:i/>
                <w:sz w:val="20"/>
                <w:szCs w:val="20"/>
                <w:lang w:eastAsia="cs-CZ" w:bidi="ar-SA"/>
              </w:rPr>
              <w:t> </w:t>
            </w:r>
          </w:p>
        </w:tc>
      </w:tr>
      <w:tr w:rsidR="002D0AE4" w:rsidRPr="008F22BD" w:rsidTr="00F65617">
        <w:trPr>
          <w:trHeight w:val="334"/>
        </w:trPr>
        <w:tc>
          <w:tcPr>
            <w:tcW w:w="3402" w:type="dxa"/>
            <w:gridSpan w:val="2"/>
            <w:shd w:val="clear" w:color="auto" w:fill="E5B8B7" w:themeFill="accent2" w:themeFillTint="66"/>
            <w:noWrap/>
            <w:vAlign w:val="center"/>
            <w:hideMark/>
          </w:tcPr>
          <w:p w:rsidR="002D0AE4" w:rsidRPr="008F22BD" w:rsidRDefault="002D0AE4" w:rsidP="00F65617">
            <w:pPr>
              <w:keepNext/>
              <w:keepLines/>
              <w:spacing w:before="0" w:after="0"/>
              <w:jc w:val="left"/>
              <w:rPr>
                <w:rFonts w:cs="Arial"/>
                <w:b/>
                <w:bCs/>
                <w:sz w:val="20"/>
                <w:szCs w:val="20"/>
                <w:lang w:eastAsia="cs-CZ" w:bidi="ar-SA"/>
              </w:rPr>
            </w:pPr>
            <w:r w:rsidRPr="008F22BD">
              <w:rPr>
                <w:rFonts w:cs="Arial"/>
                <w:b/>
                <w:bCs/>
                <w:sz w:val="20"/>
                <w:szCs w:val="20"/>
                <w:lang w:eastAsia="cs-CZ" w:bidi="ar-SA"/>
              </w:rPr>
              <w:t>Celkem</w:t>
            </w:r>
          </w:p>
        </w:tc>
        <w:tc>
          <w:tcPr>
            <w:tcW w:w="709" w:type="dxa"/>
            <w:shd w:val="clear" w:color="auto" w:fill="E5B8B7" w:themeFill="accent2" w:themeFillTint="66"/>
            <w:noWrap/>
            <w:vAlign w:val="center"/>
            <w:hideMark/>
          </w:tcPr>
          <w:p w:rsidR="002D0AE4" w:rsidRPr="008F22BD" w:rsidRDefault="002D0AE4" w:rsidP="00F65617">
            <w:pPr>
              <w:keepNext/>
              <w:keepLines/>
              <w:spacing w:before="0" w:after="0"/>
              <w:jc w:val="right"/>
              <w:rPr>
                <w:rFonts w:cs="Arial"/>
                <w:b/>
                <w:bCs/>
                <w:sz w:val="20"/>
                <w:szCs w:val="20"/>
                <w:lang w:eastAsia="cs-CZ" w:bidi="ar-SA"/>
              </w:rPr>
            </w:pPr>
            <w:r w:rsidRPr="008F22BD">
              <w:rPr>
                <w:rFonts w:cs="Arial"/>
                <w:b/>
                <w:bCs/>
                <w:sz w:val="20"/>
                <w:szCs w:val="20"/>
                <w:lang w:eastAsia="cs-CZ" w:bidi="ar-SA"/>
              </w:rPr>
              <w:t>1</w:t>
            </w:r>
            <w:r>
              <w:rPr>
                <w:rFonts w:cs="Arial"/>
                <w:b/>
                <w:bCs/>
                <w:sz w:val="20"/>
                <w:szCs w:val="20"/>
                <w:lang w:eastAsia="cs-CZ" w:bidi="ar-SA"/>
              </w:rPr>
              <w:t xml:space="preserve"> </w:t>
            </w:r>
            <w:r w:rsidRPr="008F22BD">
              <w:rPr>
                <w:rFonts w:cs="Arial"/>
                <w:b/>
                <w:bCs/>
                <w:sz w:val="20"/>
                <w:szCs w:val="20"/>
                <w:lang w:eastAsia="cs-CZ" w:bidi="ar-SA"/>
              </w:rPr>
              <w:t>003</w:t>
            </w:r>
          </w:p>
        </w:tc>
        <w:tc>
          <w:tcPr>
            <w:tcW w:w="709" w:type="dxa"/>
            <w:shd w:val="clear" w:color="auto" w:fill="E5B8B7" w:themeFill="accent2" w:themeFillTint="66"/>
            <w:noWrap/>
            <w:vAlign w:val="center"/>
            <w:hideMark/>
          </w:tcPr>
          <w:p w:rsidR="002D0AE4" w:rsidRPr="002D0AE4" w:rsidRDefault="002D0AE4" w:rsidP="00F65617">
            <w:pPr>
              <w:keepNext/>
              <w:keepLines/>
              <w:spacing w:before="0" w:after="0"/>
              <w:jc w:val="right"/>
              <w:rPr>
                <w:rFonts w:cs="Arial"/>
                <w:b/>
                <w:bCs/>
                <w:i/>
                <w:sz w:val="20"/>
                <w:szCs w:val="20"/>
                <w:lang w:eastAsia="cs-CZ" w:bidi="ar-SA"/>
              </w:rPr>
            </w:pPr>
            <w:r w:rsidRPr="002D0AE4">
              <w:rPr>
                <w:rFonts w:cs="Arial"/>
                <w:b/>
                <w:bCs/>
                <w:i/>
                <w:sz w:val="20"/>
                <w:szCs w:val="20"/>
                <w:lang w:eastAsia="cs-CZ" w:bidi="ar-SA"/>
              </w:rPr>
              <w:t>77,9</w:t>
            </w:r>
          </w:p>
        </w:tc>
        <w:tc>
          <w:tcPr>
            <w:tcW w:w="567" w:type="dxa"/>
            <w:shd w:val="clear" w:color="auto" w:fill="E5B8B7" w:themeFill="accent2" w:themeFillTint="66"/>
            <w:noWrap/>
            <w:vAlign w:val="center"/>
            <w:hideMark/>
          </w:tcPr>
          <w:p w:rsidR="002D0AE4" w:rsidRPr="008F22BD" w:rsidRDefault="002D0AE4" w:rsidP="00F65617">
            <w:pPr>
              <w:keepNext/>
              <w:keepLines/>
              <w:spacing w:before="0" w:after="0"/>
              <w:jc w:val="right"/>
              <w:rPr>
                <w:rFonts w:cs="Arial"/>
                <w:b/>
                <w:bCs/>
                <w:sz w:val="20"/>
                <w:szCs w:val="20"/>
                <w:lang w:eastAsia="cs-CZ" w:bidi="ar-SA"/>
              </w:rPr>
            </w:pPr>
            <w:r w:rsidRPr="008F22BD">
              <w:rPr>
                <w:rFonts w:cs="Arial"/>
                <w:b/>
                <w:bCs/>
                <w:sz w:val="20"/>
                <w:szCs w:val="20"/>
                <w:lang w:eastAsia="cs-CZ" w:bidi="ar-SA"/>
              </w:rPr>
              <w:t>325</w:t>
            </w:r>
          </w:p>
        </w:tc>
        <w:tc>
          <w:tcPr>
            <w:tcW w:w="709" w:type="dxa"/>
            <w:shd w:val="clear" w:color="auto" w:fill="E5B8B7" w:themeFill="accent2" w:themeFillTint="66"/>
            <w:noWrap/>
            <w:vAlign w:val="center"/>
            <w:hideMark/>
          </w:tcPr>
          <w:p w:rsidR="002D0AE4" w:rsidRPr="002D0AE4" w:rsidRDefault="002D0AE4" w:rsidP="00F65617">
            <w:pPr>
              <w:keepNext/>
              <w:keepLines/>
              <w:spacing w:before="0" w:after="0"/>
              <w:jc w:val="right"/>
              <w:rPr>
                <w:rFonts w:cs="Arial"/>
                <w:b/>
                <w:bCs/>
                <w:i/>
                <w:sz w:val="20"/>
                <w:szCs w:val="20"/>
                <w:lang w:eastAsia="cs-CZ" w:bidi="ar-SA"/>
              </w:rPr>
            </w:pPr>
            <w:r w:rsidRPr="002D0AE4">
              <w:rPr>
                <w:rFonts w:cs="Arial"/>
                <w:b/>
                <w:bCs/>
                <w:i/>
                <w:sz w:val="20"/>
                <w:szCs w:val="20"/>
                <w:lang w:eastAsia="cs-CZ" w:bidi="ar-SA"/>
              </w:rPr>
              <w:t>25,2</w:t>
            </w:r>
          </w:p>
        </w:tc>
        <w:tc>
          <w:tcPr>
            <w:tcW w:w="567" w:type="dxa"/>
            <w:shd w:val="clear" w:color="auto" w:fill="E5B8B7" w:themeFill="accent2" w:themeFillTint="66"/>
            <w:noWrap/>
            <w:vAlign w:val="center"/>
            <w:hideMark/>
          </w:tcPr>
          <w:p w:rsidR="002D0AE4" w:rsidRPr="008F22BD" w:rsidRDefault="002D0AE4" w:rsidP="00F65617">
            <w:pPr>
              <w:keepNext/>
              <w:keepLines/>
              <w:spacing w:before="0" w:after="0"/>
              <w:jc w:val="right"/>
              <w:rPr>
                <w:rFonts w:cs="Arial"/>
                <w:b/>
                <w:bCs/>
                <w:sz w:val="20"/>
                <w:szCs w:val="20"/>
                <w:lang w:eastAsia="cs-CZ" w:bidi="ar-SA"/>
              </w:rPr>
            </w:pPr>
            <w:r w:rsidRPr="008F22BD">
              <w:rPr>
                <w:rFonts w:cs="Arial"/>
                <w:b/>
                <w:bCs/>
                <w:sz w:val="20"/>
                <w:szCs w:val="20"/>
                <w:lang w:eastAsia="cs-CZ" w:bidi="ar-SA"/>
              </w:rPr>
              <w:t>876</w:t>
            </w:r>
          </w:p>
        </w:tc>
        <w:tc>
          <w:tcPr>
            <w:tcW w:w="708" w:type="dxa"/>
            <w:shd w:val="clear" w:color="auto" w:fill="E5B8B7" w:themeFill="accent2" w:themeFillTint="66"/>
            <w:noWrap/>
            <w:vAlign w:val="center"/>
            <w:hideMark/>
          </w:tcPr>
          <w:p w:rsidR="002D0AE4" w:rsidRPr="002D0AE4" w:rsidRDefault="002D0AE4" w:rsidP="00F65617">
            <w:pPr>
              <w:keepNext/>
              <w:keepLines/>
              <w:spacing w:before="0" w:after="0"/>
              <w:jc w:val="right"/>
              <w:rPr>
                <w:rFonts w:cs="Arial"/>
                <w:b/>
                <w:bCs/>
                <w:i/>
                <w:sz w:val="20"/>
                <w:szCs w:val="20"/>
                <w:lang w:eastAsia="cs-CZ" w:bidi="ar-SA"/>
              </w:rPr>
            </w:pPr>
            <w:r w:rsidRPr="002D0AE4">
              <w:rPr>
                <w:rFonts w:cs="Arial"/>
                <w:b/>
                <w:bCs/>
                <w:i/>
                <w:sz w:val="20"/>
                <w:szCs w:val="20"/>
                <w:lang w:eastAsia="cs-CZ" w:bidi="ar-SA"/>
              </w:rPr>
              <w:t>68,0</w:t>
            </w:r>
          </w:p>
        </w:tc>
        <w:tc>
          <w:tcPr>
            <w:tcW w:w="635" w:type="dxa"/>
            <w:shd w:val="clear" w:color="auto" w:fill="E5B8B7" w:themeFill="accent2" w:themeFillTint="66"/>
            <w:noWrap/>
            <w:vAlign w:val="center"/>
            <w:hideMark/>
          </w:tcPr>
          <w:p w:rsidR="002D0AE4" w:rsidRPr="008F22BD" w:rsidRDefault="002D0AE4" w:rsidP="00F65617">
            <w:pPr>
              <w:keepNext/>
              <w:keepLines/>
              <w:spacing w:before="0" w:after="0"/>
              <w:jc w:val="right"/>
              <w:rPr>
                <w:rFonts w:cs="Arial"/>
                <w:b/>
                <w:bCs/>
                <w:sz w:val="20"/>
                <w:szCs w:val="20"/>
                <w:lang w:eastAsia="cs-CZ" w:bidi="ar-SA"/>
              </w:rPr>
            </w:pPr>
            <w:r w:rsidRPr="008F22BD">
              <w:rPr>
                <w:rFonts w:cs="Arial"/>
                <w:b/>
                <w:bCs/>
                <w:sz w:val="20"/>
                <w:szCs w:val="20"/>
                <w:lang w:eastAsia="cs-CZ" w:bidi="ar-SA"/>
              </w:rPr>
              <w:t>262</w:t>
            </w:r>
          </w:p>
        </w:tc>
        <w:tc>
          <w:tcPr>
            <w:tcW w:w="641" w:type="dxa"/>
            <w:shd w:val="clear" w:color="auto" w:fill="E5B8B7" w:themeFill="accent2" w:themeFillTint="66"/>
            <w:noWrap/>
            <w:vAlign w:val="center"/>
            <w:hideMark/>
          </w:tcPr>
          <w:p w:rsidR="002D0AE4" w:rsidRPr="002D0AE4" w:rsidRDefault="002D0AE4" w:rsidP="00F65617">
            <w:pPr>
              <w:keepNext/>
              <w:keepLines/>
              <w:spacing w:before="0" w:after="0"/>
              <w:jc w:val="right"/>
              <w:rPr>
                <w:rFonts w:cs="Arial"/>
                <w:b/>
                <w:bCs/>
                <w:i/>
                <w:sz w:val="20"/>
                <w:szCs w:val="20"/>
                <w:lang w:eastAsia="cs-CZ" w:bidi="ar-SA"/>
              </w:rPr>
            </w:pPr>
            <w:r w:rsidRPr="002D0AE4">
              <w:rPr>
                <w:rFonts w:cs="Arial"/>
                <w:b/>
                <w:bCs/>
                <w:i/>
                <w:sz w:val="20"/>
                <w:szCs w:val="20"/>
                <w:lang w:eastAsia="cs-CZ" w:bidi="ar-SA"/>
              </w:rPr>
              <w:t>20,3</w:t>
            </w:r>
          </w:p>
        </w:tc>
        <w:tc>
          <w:tcPr>
            <w:tcW w:w="567" w:type="dxa"/>
            <w:shd w:val="clear" w:color="auto" w:fill="E5B8B7" w:themeFill="accent2" w:themeFillTint="66"/>
            <w:noWrap/>
            <w:vAlign w:val="center"/>
            <w:hideMark/>
          </w:tcPr>
          <w:p w:rsidR="002D0AE4" w:rsidRPr="008F22BD" w:rsidRDefault="002D0AE4" w:rsidP="00F65617">
            <w:pPr>
              <w:keepNext/>
              <w:keepLines/>
              <w:spacing w:before="0" w:after="0"/>
              <w:jc w:val="right"/>
              <w:rPr>
                <w:rFonts w:cs="Arial"/>
                <w:b/>
                <w:bCs/>
                <w:sz w:val="20"/>
                <w:szCs w:val="20"/>
                <w:lang w:eastAsia="cs-CZ" w:bidi="ar-SA"/>
              </w:rPr>
            </w:pPr>
            <w:r w:rsidRPr="008F22BD">
              <w:rPr>
                <w:rFonts w:cs="Arial"/>
                <w:b/>
                <w:bCs/>
                <w:sz w:val="20"/>
                <w:szCs w:val="20"/>
                <w:lang w:eastAsia="cs-CZ" w:bidi="ar-SA"/>
              </w:rPr>
              <w:t>454</w:t>
            </w:r>
          </w:p>
        </w:tc>
        <w:tc>
          <w:tcPr>
            <w:tcW w:w="709" w:type="dxa"/>
            <w:shd w:val="clear" w:color="auto" w:fill="E5B8B7" w:themeFill="accent2" w:themeFillTint="66"/>
            <w:noWrap/>
            <w:vAlign w:val="center"/>
            <w:hideMark/>
          </w:tcPr>
          <w:p w:rsidR="002D0AE4" w:rsidRPr="002D0AE4" w:rsidRDefault="002D0AE4" w:rsidP="00F65617">
            <w:pPr>
              <w:keepNext/>
              <w:keepLines/>
              <w:spacing w:before="0" w:after="0"/>
              <w:jc w:val="right"/>
              <w:rPr>
                <w:rFonts w:cs="Arial"/>
                <w:b/>
                <w:bCs/>
                <w:i/>
                <w:sz w:val="20"/>
                <w:szCs w:val="20"/>
                <w:lang w:eastAsia="cs-CZ" w:bidi="ar-SA"/>
              </w:rPr>
            </w:pPr>
            <w:r w:rsidRPr="002D0AE4">
              <w:rPr>
                <w:rFonts w:cs="Arial"/>
                <w:b/>
                <w:bCs/>
                <w:i/>
                <w:sz w:val="20"/>
                <w:szCs w:val="20"/>
                <w:lang w:eastAsia="cs-CZ" w:bidi="ar-SA"/>
              </w:rPr>
              <w:t>35,2</w:t>
            </w:r>
          </w:p>
        </w:tc>
      </w:tr>
    </w:tbl>
    <w:p w:rsidR="002D0AE4" w:rsidRPr="002C4494" w:rsidRDefault="002D0AE4" w:rsidP="00F65617">
      <w:pPr>
        <w:spacing w:after="480"/>
        <w:rPr>
          <w:sz w:val="20"/>
          <w:szCs w:val="20"/>
          <w:lang w:eastAsia="cs-CZ"/>
        </w:rPr>
      </w:pPr>
      <w:r w:rsidRPr="002C4494">
        <w:rPr>
          <w:sz w:val="20"/>
          <w:szCs w:val="20"/>
          <w:lang w:eastAsia="cs-CZ"/>
        </w:rPr>
        <w:t>Zdroj:</w:t>
      </w:r>
      <w:r>
        <w:rPr>
          <w:sz w:val="20"/>
          <w:szCs w:val="20"/>
          <w:lang w:eastAsia="cs-CZ"/>
        </w:rPr>
        <w:t xml:space="preserve"> </w:t>
      </w:r>
      <w:r w:rsidR="00CB4A4D">
        <w:rPr>
          <w:sz w:val="20"/>
          <w:szCs w:val="20"/>
          <w:lang w:eastAsia="cs-CZ"/>
        </w:rPr>
        <w:t>Informace o pracovních podmínkách (IPP).</w:t>
      </w:r>
    </w:p>
    <w:p w:rsidR="006D20E4" w:rsidRDefault="006D20E4" w:rsidP="006D20E4">
      <w:r w:rsidRPr="00F53548">
        <w:rPr>
          <w:b/>
        </w:rPr>
        <w:t>Právo na projednávání</w:t>
      </w:r>
      <w:r>
        <w:t xml:space="preserve"> bylo sjednáno opět dvěma způsoby – v 68,0 % kolektivních smluv byl</w:t>
      </w:r>
      <w:r w:rsidR="001E28E3">
        <w:t>y</w:t>
      </w:r>
      <w:r>
        <w:t xml:space="preserve"> upraven</w:t>
      </w:r>
      <w:r w:rsidR="001E28E3">
        <w:t>y bližší podmínky</w:t>
      </w:r>
      <w:r>
        <w:t xml:space="preserve"> postup</w:t>
      </w:r>
      <w:r w:rsidR="001E28E3">
        <w:t>u</w:t>
      </w:r>
      <w:r>
        <w:t xml:space="preserve"> projednávání příslušných záležitostí s odborovou organizací</w:t>
      </w:r>
      <w:r w:rsidR="001E28E3">
        <w:t xml:space="preserve"> (přesné postupy, termíny, forma)</w:t>
      </w:r>
      <w:r>
        <w:t>, v 20,3 % kolektivních smluv byl upraven</w:t>
      </w:r>
      <w:r w:rsidR="001E28E3">
        <w:t xml:space="preserve"> vyšší</w:t>
      </w:r>
      <w:r>
        <w:t xml:space="preserve"> rozsah projednáv</w:t>
      </w:r>
      <w:r w:rsidR="001E28E3">
        <w:t>aných informací s odborovou organizací nad rámec § 280 odst. 1 ZP a § 287 odst. 2 ZP</w:t>
      </w:r>
      <w:r>
        <w:t xml:space="preserve">. </w:t>
      </w:r>
      <w:r w:rsidR="007D3114">
        <w:t xml:space="preserve">Právo na projednávání bylo sjednáváno méně často ve srovnání </w:t>
      </w:r>
      <w:r w:rsidR="007D3114">
        <w:lastRenderedPageBreak/>
        <w:t>s právem na informování. Z odvětvového hlediska odpovídá ve většině případů struktura kolektivních smluv sjednávajících postup projednávání struktuře charakteristické pro informování. Postup projednávání byl nejméně často sjednáván v odvětví zdravotní a sociální péče (29,2 % smluv). Rozsah projednávání byl sjednáván v jednotlivých odvětvích maximálně v jedné třetině smluv.</w:t>
      </w:r>
    </w:p>
    <w:p w:rsidR="002D0AE4" w:rsidRDefault="006D20E4" w:rsidP="0053564F">
      <w:r>
        <w:t xml:space="preserve">Kromě zmíněných práv bylo ve 35,2 % kolektivních smluv sjednáno </w:t>
      </w:r>
      <w:r w:rsidRPr="006D20E4">
        <w:rPr>
          <w:b/>
        </w:rPr>
        <w:t>vytvoření komise pro výklad a plnění závazků</w:t>
      </w:r>
      <w:r>
        <w:t xml:space="preserve"> z kolektivní smlouvy.</w:t>
      </w:r>
      <w:r w:rsidR="002A5FE2">
        <w:t xml:space="preserve"> Nejčastěji </w:t>
      </w:r>
      <w:r w:rsidR="00512824">
        <w:t>působí</w:t>
      </w:r>
      <w:r w:rsidR="002A5FE2">
        <w:t xml:space="preserve"> zmíněné komise v odvětví obchodu a oprav motorových vozidel (46,8 % smluv).</w:t>
      </w:r>
      <w:r w:rsidR="008D4745">
        <w:t xml:space="preserve"> </w:t>
      </w:r>
      <w:r w:rsidR="001E28E3">
        <w:t>Podle šetřených kolektivních smluv je působení takové komise</w:t>
      </w:r>
      <w:r w:rsidR="008D4745">
        <w:t xml:space="preserve"> </w:t>
      </w:r>
      <w:r w:rsidR="001E28E3">
        <w:t xml:space="preserve">nejméně časté </w:t>
      </w:r>
      <w:r w:rsidR="008D4745">
        <w:t>v odvětví zdravotní a sociální péče (4,2 % smluv).</w:t>
      </w:r>
    </w:p>
    <w:p w:rsidR="00585AE8" w:rsidRPr="00630D4B" w:rsidRDefault="00630D4B" w:rsidP="00094537">
      <w:pPr>
        <w:pStyle w:val="Titulek"/>
        <w:keepNext/>
        <w:keepLines/>
        <w:spacing w:before="480" w:after="60"/>
        <w:rPr>
          <w:b w:val="0"/>
          <w:i/>
          <w:sz w:val="22"/>
          <w:szCs w:val="22"/>
        </w:rPr>
      </w:pPr>
      <w:r w:rsidRPr="005319E2">
        <w:rPr>
          <w:b w:val="0"/>
          <w:i/>
          <w:sz w:val="22"/>
          <w:szCs w:val="22"/>
        </w:rPr>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3</w:t>
      </w:r>
      <w:r w:rsidR="008A3262" w:rsidRPr="005319E2">
        <w:rPr>
          <w:b w:val="0"/>
          <w:i/>
          <w:sz w:val="22"/>
          <w:szCs w:val="22"/>
        </w:rPr>
        <w:fldChar w:fldCharType="end"/>
      </w:r>
      <w:r w:rsidRPr="005319E2">
        <w:rPr>
          <w:b w:val="0"/>
          <w:i/>
          <w:sz w:val="22"/>
          <w:szCs w:val="22"/>
        </w:rPr>
        <w:t xml:space="preserve">: </w:t>
      </w:r>
      <w:r>
        <w:rPr>
          <w:b w:val="0"/>
          <w:i/>
          <w:sz w:val="22"/>
          <w:szCs w:val="22"/>
        </w:rPr>
        <w:t>Podmínky pro řádný výkon činnosti odborových organizac</w:t>
      </w:r>
      <w:r w:rsidR="0016064F">
        <w:rPr>
          <w:b w:val="0"/>
          <w:i/>
          <w:sz w:val="22"/>
          <w:szCs w:val="22"/>
        </w:rPr>
        <w:t xml:space="preserve">í v podnikatelské sféře </w:t>
      </w:r>
      <w:r>
        <w:rPr>
          <w:b w:val="0"/>
          <w:i/>
          <w:sz w:val="22"/>
          <w:szCs w:val="22"/>
        </w:rPr>
        <w:t>ČR v roce 2015</w:t>
      </w:r>
    </w:p>
    <w:tbl>
      <w:tblPr>
        <w:tblW w:w="9658" w:type="dxa"/>
        <w:tblInd w:w="75" w:type="dxa"/>
        <w:tblCellMar>
          <w:left w:w="70" w:type="dxa"/>
          <w:right w:w="70" w:type="dxa"/>
        </w:tblCellMar>
        <w:tblLook w:val="04A0" w:firstRow="1" w:lastRow="0" w:firstColumn="1" w:lastColumn="0" w:noHBand="0" w:noVBand="1"/>
      </w:tblPr>
      <w:tblGrid>
        <w:gridCol w:w="307"/>
        <w:gridCol w:w="3516"/>
        <w:gridCol w:w="708"/>
        <w:gridCol w:w="727"/>
        <w:gridCol w:w="1119"/>
        <w:gridCol w:w="1084"/>
        <w:gridCol w:w="1134"/>
        <w:gridCol w:w="1063"/>
      </w:tblGrid>
      <w:tr w:rsidR="005E3B24" w:rsidRPr="00F33A60" w:rsidTr="005E3B24">
        <w:trPr>
          <w:trHeight w:val="263"/>
        </w:trPr>
        <w:tc>
          <w:tcPr>
            <w:tcW w:w="382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E3B24" w:rsidRPr="005E3B24" w:rsidRDefault="005E3B24" w:rsidP="005E3B24">
            <w:pPr>
              <w:keepNext/>
              <w:spacing w:before="0" w:after="0"/>
              <w:jc w:val="center"/>
              <w:rPr>
                <w:rFonts w:cs="Arial"/>
                <w:b/>
                <w:sz w:val="20"/>
                <w:szCs w:val="20"/>
                <w:lang w:eastAsia="cs-CZ" w:bidi="ar-SA"/>
              </w:rPr>
            </w:pPr>
            <w:r w:rsidRPr="005E3B24">
              <w:rPr>
                <w:rFonts w:cs="Arial"/>
                <w:b/>
                <w:sz w:val="20"/>
                <w:szCs w:val="20"/>
                <w:lang w:eastAsia="cs-CZ" w:bidi="ar-SA"/>
              </w:rPr>
              <w:t>Odvětví ekonomické činnosti</w:t>
            </w:r>
          </w:p>
          <w:p w:rsidR="005E3B24" w:rsidRPr="005E3B24" w:rsidRDefault="005E3B24" w:rsidP="005E3B24">
            <w:pPr>
              <w:keepNext/>
              <w:keepLines/>
              <w:spacing w:before="0" w:after="0"/>
              <w:jc w:val="center"/>
              <w:rPr>
                <w:rFonts w:cs="Arial"/>
                <w:b/>
                <w:sz w:val="20"/>
                <w:szCs w:val="20"/>
                <w:lang w:eastAsia="cs-CZ" w:bidi="ar-SA"/>
              </w:rPr>
            </w:pPr>
            <w:r w:rsidRPr="005E3B24">
              <w:rPr>
                <w:rFonts w:cs="Arial"/>
                <w:b/>
                <w:sz w:val="20"/>
                <w:szCs w:val="20"/>
                <w:lang w:eastAsia="cs-CZ" w:bidi="ar-SA"/>
              </w:rPr>
              <w:t>(sekce CZ</w:t>
            </w:r>
            <w:r w:rsidRPr="005E3B24">
              <w:rPr>
                <w:rFonts w:cs="Arial"/>
                <w:b/>
                <w:sz w:val="20"/>
                <w:szCs w:val="20"/>
                <w:lang w:eastAsia="cs-CZ" w:bidi="ar-SA"/>
              </w:rPr>
              <w:noBreakHyphen/>
              <w:t>NACE)</w:t>
            </w:r>
          </w:p>
        </w:tc>
        <w:tc>
          <w:tcPr>
            <w:tcW w:w="1435"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E3B24" w:rsidRPr="005E3B24" w:rsidRDefault="005E3B24" w:rsidP="00515EC5">
            <w:pPr>
              <w:keepNext/>
              <w:keepLines/>
              <w:spacing w:before="0" w:after="0"/>
              <w:jc w:val="center"/>
              <w:rPr>
                <w:rFonts w:cs="Arial"/>
                <w:b/>
                <w:sz w:val="20"/>
                <w:szCs w:val="20"/>
                <w:lang w:eastAsia="cs-CZ" w:bidi="ar-SA"/>
              </w:rPr>
            </w:pPr>
            <w:r w:rsidRPr="005E3B24">
              <w:rPr>
                <w:rFonts w:cs="Arial"/>
                <w:b/>
                <w:sz w:val="20"/>
                <w:szCs w:val="20"/>
                <w:lang w:eastAsia="cs-CZ" w:bidi="ar-SA"/>
              </w:rPr>
              <w:t>Konkretizace podmínek</w:t>
            </w:r>
          </w:p>
        </w:tc>
        <w:tc>
          <w:tcPr>
            <w:tcW w:w="44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E3B24" w:rsidRPr="005E3B24" w:rsidRDefault="005E3B24" w:rsidP="00F33A60">
            <w:pPr>
              <w:keepNext/>
              <w:keepLines/>
              <w:spacing w:before="0" w:after="0"/>
              <w:jc w:val="center"/>
              <w:rPr>
                <w:rFonts w:cs="Arial"/>
                <w:b/>
                <w:sz w:val="20"/>
                <w:szCs w:val="20"/>
                <w:lang w:eastAsia="cs-CZ" w:bidi="ar-SA"/>
              </w:rPr>
            </w:pPr>
            <w:r w:rsidRPr="005E3B24">
              <w:rPr>
                <w:rFonts w:cs="Arial"/>
                <w:b/>
                <w:sz w:val="20"/>
                <w:szCs w:val="20"/>
                <w:lang w:eastAsia="cs-CZ" w:bidi="ar-SA"/>
              </w:rPr>
              <w:t>z toho:</w:t>
            </w:r>
          </w:p>
        </w:tc>
      </w:tr>
      <w:tr w:rsidR="005E3B24" w:rsidRPr="00F33A60" w:rsidTr="005E3B24">
        <w:trPr>
          <w:trHeight w:val="263"/>
        </w:trPr>
        <w:tc>
          <w:tcPr>
            <w:tcW w:w="382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5E3B24" w:rsidRPr="00515EC5" w:rsidRDefault="005E3B24" w:rsidP="00F33A60">
            <w:pPr>
              <w:keepNext/>
              <w:keepLines/>
              <w:spacing w:before="0" w:after="0"/>
              <w:jc w:val="left"/>
              <w:rPr>
                <w:rFonts w:cs="Arial"/>
                <w:b/>
                <w:sz w:val="20"/>
                <w:szCs w:val="20"/>
                <w:lang w:eastAsia="cs-CZ" w:bidi="ar-SA"/>
              </w:rPr>
            </w:pPr>
          </w:p>
        </w:tc>
        <w:tc>
          <w:tcPr>
            <w:tcW w:w="1435"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E3B24" w:rsidRPr="00515EC5" w:rsidRDefault="005E3B24" w:rsidP="00515EC5">
            <w:pPr>
              <w:keepNext/>
              <w:keepLines/>
              <w:spacing w:before="0" w:after="0"/>
              <w:jc w:val="center"/>
              <w:rPr>
                <w:rFonts w:cs="Arial"/>
                <w:b/>
                <w:sz w:val="20"/>
                <w:szCs w:val="20"/>
                <w:lang w:eastAsia="cs-CZ" w:bidi="ar-SA"/>
              </w:rPr>
            </w:pPr>
          </w:p>
        </w:tc>
        <w:tc>
          <w:tcPr>
            <w:tcW w:w="1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5E3B24" w:rsidRPr="00515EC5" w:rsidRDefault="005E3B24" w:rsidP="00F33A60">
            <w:pPr>
              <w:keepNext/>
              <w:keepLines/>
              <w:spacing w:before="0" w:after="0"/>
              <w:jc w:val="center"/>
              <w:rPr>
                <w:rFonts w:cs="Arial"/>
                <w:b/>
                <w:sz w:val="20"/>
                <w:szCs w:val="20"/>
                <w:lang w:eastAsia="cs-CZ" w:bidi="ar-SA"/>
              </w:rPr>
            </w:pPr>
            <w:r w:rsidRPr="00515EC5">
              <w:rPr>
                <w:rFonts w:cs="Arial"/>
                <w:b/>
                <w:sz w:val="20"/>
                <w:szCs w:val="20"/>
                <w:lang w:eastAsia="cs-CZ" w:bidi="ar-SA"/>
              </w:rPr>
              <w:t>pou</w:t>
            </w:r>
            <w:r w:rsidRPr="005E3B24">
              <w:rPr>
                <w:rFonts w:cs="Arial"/>
                <w:b/>
                <w:sz w:val="20"/>
                <w:szCs w:val="20"/>
                <w:lang w:eastAsia="cs-CZ" w:bidi="ar-SA"/>
              </w:rPr>
              <w:t>žívání místností zaměstna-vatele</w:t>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tcPr>
          <w:p w:rsidR="005E3B24" w:rsidRPr="00515EC5" w:rsidRDefault="005E3B24" w:rsidP="00F33A60">
            <w:pPr>
              <w:keepNext/>
              <w:keepLines/>
              <w:spacing w:before="0" w:after="0"/>
              <w:jc w:val="center"/>
              <w:rPr>
                <w:rFonts w:cs="Arial"/>
                <w:b/>
                <w:sz w:val="20"/>
                <w:szCs w:val="20"/>
                <w:lang w:eastAsia="cs-CZ" w:bidi="ar-SA"/>
              </w:rPr>
            </w:pPr>
            <w:r w:rsidRPr="00515EC5">
              <w:rPr>
                <w:rFonts w:cs="Arial"/>
                <w:b/>
                <w:sz w:val="20"/>
                <w:szCs w:val="20"/>
                <w:lang w:eastAsia="cs-CZ" w:bidi="ar-SA"/>
              </w:rPr>
              <w:t>vybavení místností</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5E3B24" w:rsidRPr="00515EC5" w:rsidRDefault="005E3B24" w:rsidP="00F33A60">
            <w:pPr>
              <w:keepNext/>
              <w:keepLines/>
              <w:spacing w:before="0" w:after="0"/>
              <w:jc w:val="center"/>
              <w:rPr>
                <w:rFonts w:cs="Arial"/>
                <w:b/>
                <w:sz w:val="20"/>
                <w:szCs w:val="20"/>
                <w:lang w:eastAsia="cs-CZ" w:bidi="ar-SA"/>
              </w:rPr>
            </w:pPr>
            <w:r w:rsidRPr="00515EC5">
              <w:rPr>
                <w:rFonts w:cs="Arial"/>
                <w:b/>
                <w:sz w:val="20"/>
                <w:szCs w:val="20"/>
                <w:lang w:eastAsia="cs-CZ" w:bidi="ar-SA"/>
              </w:rPr>
              <w:t>příspěvek zaměstna</w:t>
            </w:r>
            <w:r w:rsidRPr="005E3B24">
              <w:rPr>
                <w:rFonts w:cs="Arial"/>
                <w:b/>
                <w:sz w:val="20"/>
                <w:szCs w:val="20"/>
                <w:lang w:eastAsia="cs-CZ" w:bidi="ar-SA"/>
              </w:rPr>
              <w:t>-</w:t>
            </w:r>
            <w:r w:rsidRPr="00515EC5">
              <w:rPr>
                <w:rFonts w:cs="Arial"/>
                <w:b/>
                <w:sz w:val="20"/>
                <w:szCs w:val="20"/>
                <w:lang w:eastAsia="cs-CZ" w:bidi="ar-SA"/>
              </w:rPr>
              <w:t>vatele na činnost ZO</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5E3B24" w:rsidRPr="00515EC5" w:rsidRDefault="005E3B24" w:rsidP="00F33A60">
            <w:pPr>
              <w:keepNext/>
              <w:keepLines/>
              <w:spacing w:before="0" w:after="0"/>
              <w:jc w:val="center"/>
              <w:rPr>
                <w:rFonts w:cs="Arial"/>
                <w:b/>
                <w:sz w:val="20"/>
                <w:szCs w:val="20"/>
                <w:lang w:eastAsia="cs-CZ" w:bidi="ar-SA"/>
              </w:rPr>
            </w:pPr>
            <w:r w:rsidRPr="00515EC5">
              <w:rPr>
                <w:rFonts w:cs="Arial"/>
                <w:b/>
                <w:sz w:val="20"/>
                <w:szCs w:val="20"/>
                <w:lang w:eastAsia="cs-CZ" w:bidi="ar-SA"/>
              </w:rPr>
              <w:t>potřebné podklady (odborná literatura)</w:t>
            </w:r>
          </w:p>
        </w:tc>
      </w:tr>
      <w:tr w:rsidR="008C5BA7" w:rsidRPr="00F33A60" w:rsidTr="00891D49">
        <w:trPr>
          <w:trHeight w:val="270"/>
        </w:trPr>
        <w:tc>
          <w:tcPr>
            <w:tcW w:w="382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8C5BA7" w:rsidRPr="00515EC5" w:rsidRDefault="008C5BA7" w:rsidP="00F33A60">
            <w:pPr>
              <w:keepNext/>
              <w:keepLines/>
              <w:spacing w:before="0" w:after="0"/>
              <w:jc w:val="left"/>
              <w:rPr>
                <w:rFonts w:cs="Arial"/>
                <w:b/>
                <w:sz w:val="20"/>
                <w:szCs w:val="20"/>
                <w:lang w:eastAsia="cs-CZ" w:bidi="ar-SA"/>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8C5BA7" w:rsidRPr="00515EC5" w:rsidRDefault="008C5BA7" w:rsidP="00F33A60">
            <w:pPr>
              <w:keepNext/>
              <w:keepLines/>
              <w:spacing w:before="0" w:after="0"/>
              <w:jc w:val="center"/>
              <w:rPr>
                <w:rFonts w:cs="Arial"/>
                <w:sz w:val="20"/>
                <w:szCs w:val="20"/>
                <w:lang w:eastAsia="cs-CZ" w:bidi="ar-SA"/>
              </w:rPr>
            </w:pPr>
            <w:r w:rsidRPr="00515EC5">
              <w:rPr>
                <w:rFonts w:cs="Arial"/>
                <w:sz w:val="20"/>
                <w:szCs w:val="20"/>
                <w:lang w:eastAsia="cs-CZ" w:bidi="ar-SA"/>
              </w:rPr>
              <w:t>PKS</w:t>
            </w:r>
          </w:p>
        </w:tc>
        <w:tc>
          <w:tcPr>
            <w:tcW w:w="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8C5BA7" w:rsidRPr="00515EC5" w:rsidRDefault="008C5BA7" w:rsidP="00F33A60">
            <w:pPr>
              <w:keepNext/>
              <w:keepLines/>
              <w:spacing w:before="0" w:after="0"/>
              <w:jc w:val="center"/>
              <w:rPr>
                <w:rFonts w:cs="Arial"/>
                <w:i/>
                <w:sz w:val="20"/>
                <w:szCs w:val="20"/>
                <w:lang w:eastAsia="cs-CZ" w:bidi="ar-SA"/>
              </w:rPr>
            </w:pPr>
            <w:r w:rsidRPr="00515EC5">
              <w:rPr>
                <w:rFonts w:cs="Arial"/>
                <w:i/>
                <w:sz w:val="20"/>
                <w:szCs w:val="20"/>
                <w:lang w:eastAsia="cs-CZ" w:bidi="ar-SA"/>
              </w:rPr>
              <w:t>% KS</w:t>
            </w:r>
          </w:p>
        </w:tc>
        <w:tc>
          <w:tcPr>
            <w:tcW w:w="440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bottom"/>
            <w:hideMark/>
          </w:tcPr>
          <w:p w:rsidR="008C5BA7" w:rsidRPr="00515EC5" w:rsidRDefault="008C5BA7" w:rsidP="008C5BA7">
            <w:pPr>
              <w:keepNext/>
              <w:keepLines/>
              <w:spacing w:before="0" w:after="0"/>
              <w:jc w:val="center"/>
              <w:rPr>
                <w:rFonts w:cs="Arial"/>
                <w:sz w:val="20"/>
                <w:szCs w:val="20"/>
                <w:lang w:eastAsia="cs-CZ" w:bidi="ar-SA"/>
              </w:rPr>
            </w:pPr>
            <w:r w:rsidRPr="00515EC5">
              <w:rPr>
                <w:rFonts w:cs="Arial"/>
                <w:sz w:val="20"/>
                <w:szCs w:val="20"/>
                <w:lang w:eastAsia="cs-CZ" w:bidi="ar-SA"/>
              </w:rPr>
              <w:t>PKS</w:t>
            </w:r>
          </w:p>
        </w:tc>
      </w:tr>
      <w:tr w:rsidR="005E3B24" w:rsidRPr="00F33A60" w:rsidTr="00630D4B">
        <w:trPr>
          <w:trHeight w:val="334"/>
        </w:trPr>
        <w:tc>
          <w:tcPr>
            <w:tcW w:w="307"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A</w:t>
            </w:r>
          </w:p>
        </w:tc>
        <w:tc>
          <w:tcPr>
            <w:tcW w:w="3516"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Zemědělství, lesnictví a rybářství</w:t>
            </w:r>
          </w:p>
        </w:tc>
        <w:tc>
          <w:tcPr>
            <w:tcW w:w="708"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13</w:t>
            </w:r>
          </w:p>
        </w:tc>
        <w:tc>
          <w:tcPr>
            <w:tcW w:w="727"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81,3</w:t>
            </w:r>
          </w:p>
        </w:tc>
        <w:tc>
          <w:tcPr>
            <w:tcW w:w="1119"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12</w:t>
            </w:r>
          </w:p>
        </w:tc>
        <w:tc>
          <w:tcPr>
            <w:tcW w:w="1084" w:type="dxa"/>
            <w:tcBorders>
              <w:top w:val="single" w:sz="4" w:space="0" w:color="FFFFFF" w:themeColor="background1"/>
            </w:tcBorders>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10</w:t>
            </w:r>
          </w:p>
        </w:tc>
        <w:tc>
          <w:tcPr>
            <w:tcW w:w="1134"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063" w:type="dxa"/>
            <w:tcBorders>
              <w:top w:val="single" w:sz="4" w:space="0" w:color="FFFFFF" w:themeColor="background1"/>
            </w:tcBorders>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w:t>
            </w:r>
          </w:p>
        </w:tc>
      </w:tr>
      <w:tr w:rsidR="00630D4B"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B</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Těžba a dobývání</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21</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91,3</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20</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13</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15</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C</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Zpracovatelský průmysl</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631</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87,3</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545</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396</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257</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297</w:t>
            </w:r>
          </w:p>
        </w:tc>
      </w:tr>
      <w:tr w:rsidR="00630D4B"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D</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Výroba a rozvod elektřiny, plynu, tepla</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48</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98,0</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44</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29</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21</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22</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E</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Zásob. vodou, činnosti související s odpady</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44</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91,7</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41</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28</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14</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F</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Stavebnictví</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50</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92,6</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46</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26</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19</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26</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G</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Obchod, opravy motorových vozidel</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42</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89,4</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37</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28</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21</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23</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H</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Doprava a skladování</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56</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84,8</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51</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33</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24</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37</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I</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 xml:space="preserve">Ubytování, stravování a pohostinství </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19</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95,0</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17</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12</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11</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12</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J</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Informační a komunikační činnosti</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12</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92,3</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10</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9</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K</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Peněžnictví a pojišťovnictví</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100,0</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L</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Činnosti v oblasti nemovitostí</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37</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82,2</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33</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24</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9</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9</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M</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Profesní, vědecké a technické činnosti</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80</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87,9</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74</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63</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27</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32</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N</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Administrativní a podpůrné činnosti</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16</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84,2</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13</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14</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O</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Veřejná správa, obrana, sociální zabezpečení</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100,0</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4</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P</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Vzdělávání</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18</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85,7</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18</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17</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Q</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Zdravotní a sociální péče</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21</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87,5</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21</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16</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7</w:t>
            </w:r>
          </w:p>
        </w:tc>
      </w:tr>
      <w:tr w:rsidR="005E3B24" w:rsidRPr="00F33A60" w:rsidTr="00630D4B">
        <w:trPr>
          <w:trHeight w:val="334"/>
        </w:trPr>
        <w:tc>
          <w:tcPr>
            <w:tcW w:w="307"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R</w:t>
            </w:r>
          </w:p>
        </w:tc>
        <w:tc>
          <w:tcPr>
            <w:tcW w:w="3516" w:type="dxa"/>
            <w:shd w:val="clear" w:color="auto" w:fill="F2F2F2" w:themeFill="background1" w:themeFillShade="F2"/>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Kulturní, zábavní a rekreační činnosti</w:t>
            </w:r>
          </w:p>
        </w:tc>
        <w:tc>
          <w:tcPr>
            <w:tcW w:w="708"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w:t>
            </w:r>
          </w:p>
        </w:tc>
        <w:tc>
          <w:tcPr>
            <w:tcW w:w="727"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60,0</w:t>
            </w:r>
          </w:p>
        </w:tc>
        <w:tc>
          <w:tcPr>
            <w:tcW w:w="1119"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w:t>
            </w:r>
          </w:p>
        </w:tc>
        <w:tc>
          <w:tcPr>
            <w:tcW w:w="1084" w:type="dxa"/>
            <w:shd w:val="clear" w:color="auto" w:fill="F2F2F2" w:themeFill="background1" w:themeFillShade="F2"/>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3</w:t>
            </w:r>
          </w:p>
        </w:tc>
        <w:tc>
          <w:tcPr>
            <w:tcW w:w="1134"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1</w:t>
            </w:r>
          </w:p>
        </w:tc>
        <w:tc>
          <w:tcPr>
            <w:tcW w:w="1063" w:type="dxa"/>
            <w:shd w:val="clear" w:color="auto" w:fill="F2F2F2" w:themeFill="background1" w:themeFillShade="F2"/>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2</w:t>
            </w:r>
          </w:p>
        </w:tc>
      </w:tr>
      <w:tr w:rsidR="005E3B24" w:rsidRPr="00F33A60" w:rsidTr="00630D4B">
        <w:trPr>
          <w:trHeight w:val="334"/>
        </w:trPr>
        <w:tc>
          <w:tcPr>
            <w:tcW w:w="307"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S</w:t>
            </w:r>
          </w:p>
        </w:tc>
        <w:tc>
          <w:tcPr>
            <w:tcW w:w="3516" w:type="dxa"/>
            <w:shd w:val="clear" w:color="auto" w:fill="auto"/>
            <w:noWrap/>
            <w:vAlign w:val="center"/>
            <w:hideMark/>
          </w:tcPr>
          <w:p w:rsidR="00F33A60" w:rsidRPr="00515EC5" w:rsidRDefault="00F33A60" w:rsidP="00630D4B">
            <w:pPr>
              <w:keepNext/>
              <w:keepLines/>
              <w:spacing w:before="0" w:after="0"/>
              <w:jc w:val="left"/>
              <w:rPr>
                <w:rFonts w:cs="Arial"/>
                <w:sz w:val="20"/>
                <w:szCs w:val="20"/>
                <w:lang w:eastAsia="cs-CZ" w:bidi="ar-SA"/>
              </w:rPr>
            </w:pPr>
            <w:r w:rsidRPr="00515EC5">
              <w:rPr>
                <w:rFonts w:cs="Arial"/>
                <w:sz w:val="20"/>
                <w:szCs w:val="20"/>
                <w:lang w:eastAsia="cs-CZ" w:bidi="ar-SA"/>
              </w:rPr>
              <w:t>Ostatní činnosti</w:t>
            </w:r>
          </w:p>
        </w:tc>
        <w:tc>
          <w:tcPr>
            <w:tcW w:w="708"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8</w:t>
            </w:r>
          </w:p>
        </w:tc>
        <w:tc>
          <w:tcPr>
            <w:tcW w:w="727" w:type="dxa"/>
            <w:shd w:val="clear" w:color="auto" w:fill="auto"/>
            <w:noWrap/>
            <w:vAlign w:val="center"/>
            <w:hideMark/>
          </w:tcPr>
          <w:p w:rsidR="00F33A60" w:rsidRPr="00515EC5" w:rsidRDefault="00F33A60" w:rsidP="00630D4B">
            <w:pPr>
              <w:keepNext/>
              <w:keepLines/>
              <w:spacing w:before="0" w:after="0"/>
              <w:jc w:val="right"/>
              <w:rPr>
                <w:rFonts w:cs="Arial"/>
                <w:i/>
                <w:sz w:val="20"/>
                <w:szCs w:val="20"/>
                <w:lang w:eastAsia="cs-CZ" w:bidi="ar-SA"/>
              </w:rPr>
            </w:pPr>
            <w:r w:rsidRPr="00515EC5">
              <w:rPr>
                <w:rFonts w:cs="Arial"/>
                <w:i/>
                <w:sz w:val="20"/>
                <w:szCs w:val="20"/>
                <w:lang w:eastAsia="cs-CZ" w:bidi="ar-SA"/>
              </w:rPr>
              <w:t>80,0</w:t>
            </w:r>
          </w:p>
        </w:tc>
        <w:tc>
          <w:tcPr>
            <w:tcW w:w="1119"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w:t>
            </w:r>
          </w:p>
        </w:tc>
        <w:tc>
          <w:tcPr>
            <w:tcW w:w="1084" w:type="dxa"/>
            <w:vAlign w:val="center"/>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6</w:t>
            </w:r>
          </w:p>
        </w:tc>
        <w:tc>
          <w:tcPr>
            <w:tcW w:w="1134"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w:t>
            </w:r>
          </w:p>
        </w:tc>
        <w:tc>
          <w:tcPr>
            <w:tcW w:w="1063" w:type="dxa"/>
            <w:shd w:val="clear" w:color="auto" w:fill="auto"/>
            <w:noWrap/>
            <w:vAlign w:val="center"/>
            <w:hideMark/>
          </w:tcPr>
          <w:p w:rsidR="00F33A60" w:rsidRPr="00515EC5" w:rsidRDefault="00F33A60" w:rsidP="00630D4B">
            <w:pPr>
              <w:keepNext/>
              <w:keepLines/>
              <w:spacing w:before="0" w:after="0"/>
              <w:jc w:val="right"/>
              <w:rPr>
                <w:rFonts w:cs="Arial"/>
                <w:sz w:val="20"/>
                <w:szCs w:val="20"/>
                <w:lang w:eastAsia="cs-CZ" w:bidi="ar-SA"/>
              </w:rPr>
            </w:pPr>
            <w:r w:rsidRPr="00515EC5">
              <w:rPr>
                <w:rFonts w:cs="Arial"/>
                <w:sz w:val="20"/>
                <w:szCs w:val="20"/>
                <w:lang w:eastAsia="cs-CZ" w:bidi="ar-SA"/>
              </w:rPr>
              <w:t>5</w:t>
            </w:r>
          </w:p>
        </w:tc>
      </w:tr>
      <w:tr w:rsidR="005E3B24" w:rsidRPr="00F33A60" w:rsidTr="00630D4B">
        <w:trPr>
          <w:trHeight w:val="334"/>
        </w:trPr>
        <w:tc>
          <w:tcPr>
            <w:tcW w:w="3823" w:type="dxa"/>
            <w:gridSpan w:val="2"/>
            <w:shd w:val="clear" w:color="auto" w:fill="E5B8B7" w:themeFill="accent2" w:themeFillTint="66"/>
            <w:noWrap/>
            <w:vAlign w:val="center"/>
            <w:hideMark/>
          </w:tcPr>
          <w:p w:rsidR="00F33A60" w:rsidRPr="00515EC5" w:rsidRDefault="00F33A60" w:rsidP="00630D4B">
            <w:pPr>
              <w:keepNext/>
              <w:keepLines/>
              <w:spacing w:before="0" w:after="0"/>
              <w:jc w:val="left"/>
              <w:rPr>
                <w:rFonts w:cs="Arial"/>
                <w:b/>
                <w:bCs/>
                <w:sz w:val="20"/>
                <w:szCs w:val="20"/>
                <w:lang w:eastAsia="cs-CZ" w:bidi="ar-SA"/>
              </w:rPr>
            </w:pPr>
            <w:r w:rsidRPr="00515EC5">
              <w:rPr>
                <w:rFonts w:cs="Arial"/>
                <w:b/>
                <w:bCs/>
                <w:sz w:val="20"/>
                <w:szCs w:val="20"/>
                <w:lang w:eastAsia="cs-CZ" w:bidi="ar-SA"/>
              </w:rPr>
              <w:t>Celkem</w:t>
            </w:r>
          </w:p>
        </w:tc>
        <w:tc>
          <w:tcPr>
            <w:tcW w:w="708" w:type="dxa"/>
            <w:shd w:val="clear" w:color="auto" w:fill="E5B8B7" w:themeFill="accent2" w:themeFillTint="66"/>
            <w:noWrap/>
            <w:vAlign w:val="center"/>
            <w:hideMark/>
          </w:tcPr>
          <w:p w:rsidR="00F33A60" w:rsidRPr="00515EC5" w:rsidRDefault="00F33A60" w:rsidP="00630D4B">
            <w:pPr>
              <w:keepNext/>
              <w:keepLines/>
              <w:spacing w:before="0" w:after="0"/>
              <w:jc w:val="right"/>
              <w:rPr>
                <w:rFonts w:cs="Arial"/>
                <w:b/>
                <w:bCs/>
                <w:sz w:val="20"/>
                <w:szCs w:val="20"/>
                <w:lang w:eastAsia="cs-CZ" w:bidi="ar-SA"/>
              </w:rPr>
            </w:pPr>
            <w:r w:rsidRPr="00515EC5">
              <w:rPr>
                <w:rFonts w:cs="Arial"/>
                <w:b/>
                <w:bCs/>
                <w:sz w:val="20"/>
                <w:szCs w:val="20"/>
                <w:lang w:eastAsia="cs-CZ" w:bidi="ar-SA"/>
              </w:rPr>
              <w:t>1</w:t>
            </w:r>
            <w:r w:rsidR="00630D4B">
              <w:rPr>
                <w:rFonts w:cs="Arial"/>
                <w:b/>
                <w:bCs/>
                <w:sz w:val="20"/>
                <w:szCs w:val="20"/>
                <w:lang w:eastAsia="cs-CZ" w:bidi="ar-SA"/>
              </w:rPr>
              <w:t xml:space="preserve"> </w:t>
            </w:r>
            <w:r w:rsidRPr="00515EC5">
              <w:rPr>
                <w:rFonts w:cs="Arial"/>
                <w:b/>
                <w:bCs/>
                <w:sz w:val="20"/>
                <w:szCs w:val="20"/>
                <w:lang w:eastAsia="cs-CZ" w:bidi="ar-SA"/>
              </w:rPr>
              <w:t>133</w:t>
            </w:r>
          </w:p>
        </w:tc>
        <w:tc>
          <w:tcPr>
            <w:tcW w:w="727" w:type="dxa"/>
            <w:shd w:val="clear" w:color="auto" w:fill="E5B8B7" w:themeFill="accent2" w:themeFillTint="66"/>
            <w:noWrap/>
            <w:vAlign w:val="center"/>
            <w:hideMark/>
          </w:tcPr>
          <w:p w:rsidR="00F33A60" w:rsidRPr="00515EC5" w:rsidRDefault="00F33A60" w:rsidP="00630D4B">
            <w:pPr>
              <w:keepNext/>
              <w:keepLines/>
              <w:spacing w:before="0" w:after="0"/>
              <w:jc w:val="right"/>
              <w:rPr>
                <w:rFonts w:cs="Arial"/>
                <w:b/>
                <w:bCs/>
                <w:i/>
                <w:sz w:val="20"/>
                <w:szCs w:val="20"/>
                <w:lang w:eastAsia="cs-CZ" w:bidi="ar-SA"/>
              </w:rPr>
            </w:pPr>
            <w:r w:rsidRPr="00515EC5">
              <w:rPr>
                <w:rFonts w:cs="Arial"/>
                <w:b/>
                <w:bCs/>
                <w:i/>
                <w:sz w:val="20"/>
                <w:szCs w:val="20"/>
                <w:lang w:eastAsia="cs-CZ" w:bidi="ar-SA"/>
              </w:rPr>
              <w:t>88,0</w:t>
            </w:r>
          </w:p>
        </w:tc>
        <w:tc>
          <w:tcPr>
            <w:tcW w:w="1119" w:type="dxa"/>
            <w:shd w:val="clear" w:color="auto" w:fill="E5B8B7" w:themeFill="accent2" w:themeFillTint="66"/>
            <w:noWrap/>
            <w:vAlign w:val="center"/>
            <w:hideMark/>
          </w:tcPr>
          <w:p w:rsidR="00F33A60" w:rsidRPr="00515EC5" w:rsidRDefault="00F33A60" w:rsidP="00630D4B">
            <w:pPr>
              <w:keepNext/>
              <w:keepLines/>
              <w:spacing w:before="0" w:after="0"/>
              <w:jc w:val="right"/>
              <w:rPr>
                <w:rFonts w:cs="Arial"/>
                <w:b/>
                <w:bCs/>
                <w:sz w:val="20"/>
                <w:szCs w:val="20"/>
                <w:lang w:eastAsia="cs-CZ" w:bidi="ar-SA"/>
              </w:rPr>
            </w:pPr>
            <w:r w:rsidRPr="00515EC5">
              <w:rPr>
                <w:rFonts w:cs="Arial"/>
                <w:b/>
                <w:bCs/>
                <w:sz w:val="20"/>
                <w:szCs w:val="20"/>
                <w:lang w:eastAsia="cs-CZ" w:bidi="ar-SA"/>
              </w:rPr>
              <w:t>1</w:t>
            </w:r>
            <w:r w:rsidR="00630D4B">
              <w:rPr>
                <w:rFonts w:cs="Arial"/>
                <w:b/>
                <w:bCs/>
                <w:sz w:val="20"/>
                <w:szCs w:val="20"/>
                <w:lang w:eastAsia="cs-CZ" w:bidi="ar-SA"/>
              </w:rPr>
              <w:t xml:space="preserve"> </w:t>
            </w:r>
            <w:r w:rsidRPr="00515EC5">
              <w:rPr>
                <w:rFonts w:cs="Arial"/>
                <w:b/>
                <w:bCs/>
                <w:sz w:val="20"/>
                <w:szCs w:val="20"/>
                <w:lang w:eastAsia="cs-CZ" w:bidi="ar-SA"/>
              </w:rPr>
              <w:t>005</w:t>
            </w:r>
          </w:p>
        </w:tc>
        <w:tc>
          <w:tcPr>
            <w:tcW w:w="1084" w:type="dxa"/>
            <w:shd w:val="clear" w:color="auto" w:fill="E5B8B7" w:themeFill="accent2" w:themeFillTint="66"/>
            <w:vAlign w:val="center"/>
          </w:tcPr>
          <w:p w:rsidR="00F33A60" w:rsidRPr="00F33A60" w:rsidRDefault="00F33A60" w:rsidP="00630D4B">
            <w:pPr>
              <w:keepNext/>
              <w:keepLines/>
              <w:spacing w:before="0" w:after="0"/>
              <w:jc w:val="right"/>
              <w:rPr>
                <w:rFonts w:cs="Arial"/>
                <w:b/>
                <w:bCs/>
                <w:sz w:val="20"/>
                <w:szCs w:val="20"/>
                <w:lang w:eastAsia="cs-CZ" w:bidi="ar-SA"/>
              </w:rPr>
            </w:pPr>
            <w:r w:rsidRPr="00515EC5">
              <w:rPr>
                <w:rFonts w:cs="Arial"/>
                <w:b/>
                <w:bCs/>
                <w:sz w:val="20"/>
                <w:szCs w:val="20"/>
                <w:lang w:eastAsia="cs-CZ" w:bidi="ar-SA"/>
              </w:rPr>
              <w:t>740</w:t>
            </w:r>
          </w:p>
        </w:tc>
        <w:tc>
          <w:tcPr>
            <w:tcW w:w="1134" w:type="dxa"/>
            <w:shd w:val="clear" w:color="auto" w:fill="E5B8B7" w:themeFill="accent2" w:themeFillTint="66"/>
            <w:noWrap/>
            <w:vAlign w:val="center"/>
            <w:hideMark/>
          </w:tcPr>
          <w:p w:rsidR="00F33A60" w:rsidRPr="00515EC5" w:rsidRDefault="00AE1959" w:rsidP="00630D4B">
            <w:pPr>
              <w:keepNext/>
              <w:keepLines/>
              <w:spacing w:before="0" w:after="0"/>
              <w:jc w:val="right"/>
              <w:rPr>
                <w:rFonts w:cs="Arial"/>
                <w:b/>
                <w:bCs/>
                <w:sz w:val="20"/>
                <w:szCs w:val="20"/>
                <w:lang w:eastAsia="cs-CZ" w:bidi="ar-SA"/>
              </w:rPr>
            </w:pPr>
            <w:r>
              <w:rPr>
                <w:rFonts w:cs="Arial"/>
                <w:b/>
                <w:bCs/>
                <w:sz w:val="20"/>
                <w:szCs w:val="20"/>
                <w:lang w:eastAsia="cs-CZ" w:bidi="ar-SA"/>
              </w:rPr>
              <w:t>446</w:t>
            </w:r>
          </w:p>
        </w:tc>
        <w:tc>
          <w:tcPr>
            <w:tcW w:w="1063" w:type="dxa"/>
            <w:shd w:val="clear" w:color="auto" w:fill="E5B8B7" w:themeFill="accent2" w:themeFillTint="66"/>
            <w:vAlign w:val="center"/>
          </w:tcPr>
          <w:p w:rsidR="00F33A60" w:rsidRPr="00515EC5" w:rsidRDefault="00A251A3" w:rsidP="00630D4B">
            <w:pPr>
              <w:keepNext/>
              <w:keepLines/>
              <w:spacing w:before="0" w:after="0"/>
              <w:jc w:val="right"/>
              <w:rPr>
                <w:rFonts w:cs="Arial"/>
                <w:b/>
                <w:bCs/>
                <w:sz w:val="20"/>
                <w:szCs w:val="20"/>
                <w:lang w:eastAsia="cs-CZ" w:bidi="ar-SA"/>
              </w:rPr>
            </w:pPr>
            <w:r>
              <w:rPr>
                <w:rFonts w:cs="Arial"/>
                <w:b/>
                <w:bCs/>
                <w:sz w:val="20"/>
                <w:szCs w:val="20"/>
                <w:lang w:eastAsia="cs-CZ" w:bidi="ar-SA"/>
              </w:rPr>
              <w:t>519</w:t>
            </w:r>
          </w:p>
        </w:tc>
      </w:tr>
    </w:tbl>
    <w:p w:rsidR="006C3340" w:rsidRPr="002C4494" w:rsidRDefault="006C3340" w:rsidP="00CF357E">
      <w:pPr>
        <w:spacing w:after="480"/>
        <w:rPr>
          <w:sz w:val="20"/>
          <w:szCs w:val="20"/>
          <w:lang w:eastAsia="cs-CZ"/>
        </w:rPr>
      </w:pPr>
      <w:r w:rsidRPr="002C4494">
        <w:rPr>
          <w:sz w:val="20"/>
          <w:szCs w:val="20"/>
          <w:lang w:eastAsia="cs-CZ"/>
        </w:rPr>
        <w:t>Zdroj:</w:t>
      </w:r>
      <w:r>
        <w:rPr>
          <w:sz w:val="20"/>
          <w:szCs w:val="20"/>
          <w:lang w:eastAsia="cs-CZ"/>
        </w:rPr>
        <w:t xml:space="preserve"> </w:t>
      </w:r>
      <w:r w:rsidR="00CB4A4D">
        <w:rPr>
          <w:sz w:val="20"/>
          <w:szCs w:val="20"/>
          <w:lang w:eastAsia="cs-CZ"/>
        </w:rPr>
        <w:t>Informace o pracovních podmínkách (IPP).</w:t>
      </w:r>
    </w:p>
    <w:p w:rsidR="00585AE8" w:rsidRDefault="00FA4E11" w:rsidP="0053564F">
      <w:r>
        <w:lastRenderedPageBreak/>
        <w:t>Výběr ujednání v kolektivních smlouvách, kter</w:t>
      </w:r>
      <w:r w:rsidR="00392DA0">
        <w:t>á</w:t>
      </w:r>
      <w:r>
        <w:t xml:space="preserve"> se týkají </w:t>
      </w:r>
      <w:r w:rsidR="001E28E3">
        <w:t xml:space="preserve">vytváření </w:t>
      </w:r>
      <w:r w:rsidRPr="00107063">
        <w:rPr>
          <w:b/>
        </w:rPr>
        <w:t>podmínek pro řádnou činnost odborové organizace</w:t>
      </w:r>
      <w:r>
        <w:t xml:space="preserve"> u zaměstnavatele, znázorňuje tabulka 3.</w:t>
      </w:r>
      <w:r w:rsidR="00C13018">
        <w:t xml:space="preserve"> Z tabulky je zřejmé, že převážná většina</w:t>
      </w:r>
      <w:r w:rsidR="00500453">
        <w:t xml:space="preserve"> (88,0 %)</w:t>
      </w:r>
      <w:r w:rsidR="00C13018">
        <w:t xml:space="preserve"> kolektivních smluv podmínky pro řádný výkon činnosti odborové organizace konkretizuje. </w:t>
      </w:r>
      <w:r w:rsidR="00A229B2">
        <w:t>Nejčastěji je v kolektivních smlouvách zmiňována možnost využívání místností zaměstnavatele (</w:t>
      </w:r>
      <w:r w:rsidR="00E46F46">
        <w:t>78,0 %</w:t>
      </w:r>
      <w:r w:rsidR="00A229B2">
        <w:t xml:space="preserve"> smluv) a poskytnutí potřebného vybavení, např. v podobě počítače, kopírky, telefonu, faxu či připojení k internetu (</w:t>
      </w:r>
      <w:r w:rsidR="00E46F46">
        <w:t>57,5 %</w:t>
      </w:r>
      <w:r w:rsidR="00A229B2">
        <w:t xml:space="preserve"> smluv). </w:t>
      </w:r>
      <w:r w:rsidR="00E46F46">
        <w:t>40,3 %</w:t>
      </w:r>
      <w:r w:rsidR="00A229B2">
        <w:t xml:space="preserve"> kolektivních smluv obsahovalo závazek zaměstnavatele přispívat odborové organizaci na nákup potřebných podkladů v podobě </w:t>
      </w:r>
      <w:r w:rsidR="000445A3">
        <w:t xml:space="preserve">odborné literatury a </w:t>
      </w:r>
      <w:r w:rsidR="00E46F46">
        <w:t>34,6 %</w:t>
      </w:r>
      <w:r w:rsidR="000445A3">
        <w:t xml:space="preserve"> kolektivních smluv definovalo podmínky příspěvku zaměstnavatele na činnost základní org</w:t>
      </w:r>
      <w:r w:rsidR="00107063">
        <w:t>a</w:t>
      </w:r>
      <w:r w:rsidR="000445A3">
        <w:t>nizace.</w:t>
      </w:r>
      <w:r w:rsidR="00A229B2">
        <w:t xml:space="preserve"> </w:t>
      </w:r>
      <w:r w:rsidR="00107063">
        <w:t xml:space="preserve">Z odvětvového hlediska byla ujednání z hlediska využívání místností zaměstnavatele a příslušného vybavení součástí nadpoloviční většiny smluv ve všech odvětvích. Ujednání v oblasti úhrady nákladů na získání potřebných podkladů byla ve všech odvětvích sjednávána méně často ve srovnání s využíváním místností, což je z hlediska základních potřeb odborových organizací pochopitelné. Ve většině odvětví však obsahuje třetina až polovina kolektivních smluv i ujednání o nákladech na potřebné podklady. </w:t>
      </w:r>
      <w:r w:rsidR="006C3EDB">
        <w:t>Příspěvek zaměstnavatele na činnost základní organizace byl ve většině odvětví sjednán ve 20-50 % smluv. Výjimkou bylo pouze vzdělávání, kde byl tento závazek sjednán ve 4,8 % smluv v podnikatelské sféře.</w:t>
      </w:r>
    </w:p>
    <w:p w:rsidR="00490C3C" w:rsidRDefault="004F0F29" w:rsidP="00E023A3">
      <w:pPr>
        <w:pStyle w:val="Nadpis2"/>
        <w:spacing w:before="480" w:after="480"/>
      </w:pPr>
      <w:bookmarkStart w:id="10" w:name="_Toc436143413"/>
      <w:r>
        <w:t xml:space="preserve">Kolektivní vyjednávání </w:t>
      </w:r>
      <w:r w:rsidR="002E33B2">
        <w:t>s přímým dopadem na</w:t>
      </w:r>
      <w:r>
        <w:t xml:space="preserve"> trh práce</w:t>
      </w:r>
      <w:bookmarkEnd w:id="10"/>
    </w:p>
    <w:p w:rsidR="00F93D22" w:rsidRPr="00F93D22" w:rsidRDefault="00F93D22" w:rsidP="003E492B">
      <w:r>
        <w:t>Kolektivní smlouvy se kromě ujednání týkajících se podmínek činnosti odborových organizací u zaměstnavatelů zabývají velmi často další skupinou ujednání, které se týkají trhu práce. V kolektivních smlouvách bývá obvykle řešena jak oblast zaměstnanosti, tak oblast odměňování zaměstnanců.</w:t>
      </w:r>
      <w:r w:rsidR="00042716">
        <w:t xml:space="preserve"> V této kapitole bude pozornost zaměřena na rámcová ujednání v oblasti trhu práce, a to otázce způsobu smluvního sjednání odměňování zaměstnanců, mzdového vývoje, úpravě pracovní doby a podmínkám z hlediska vývoje zaměstnanosti. Problematika mzdových tarifů bude řešena v následující kapitole, která bude otázku mzdových tarifů rozebírat do větší hloubky v souvislosti s minimální mzdou.</w:t>
      </w:r>
    </w:p>
    <w:p w:rsidR="00A27DE9" w:rsidRDefault="000757E7" w:rsidP="0053564F">
      <w:r>
        <w:t xml:space="preserve">Jednotliví zaměstnavatelé sjednávají </w:t>
      </w:r>
      <w:r w:rsidRPr="00191499">
        <w:rPr>
          <w:b/>
        </w:rPr>
        <w:t>odměňování zaměstnanců</w:t>
      </w:r>
      <w:r>
        <w:t xml:space="preserve"> buď v kolektivní smlouvě, vnitřním mzdovým předpisem, individuální smlouvou nebo kombinací zmíněných způsobů. Z tabulky 4 je patrné, že </w:t>
      </w:r>
      <w:r w:rsidRPr="00191499">
        <w:t>otázka odměňování</w:t>
      </w:r>
      <w:r>
        <w:t xml:space="preserve"> je řešena ve většině analyzovaných smluv v podnikatelské sféře (96,2 % smluv). Velké rozdíly nebyly v této otázce identifikovány ani mezi jednotlivými odvětvími – ve všech odvětvích se této otázce věnují příslušná ustanovení v 85-100 % kolektivních smluv.</w:t>
      </w:r>
      <w:r w:rsidR="007B2724">
        <w:t xml:space="preserve"> Z hlediska konkrétní formy smluvního sjednání odmě</w:t>
      </w:r>
      <w:r w:rsidR="00A27DE9">
        <w:t>ňování lze říci, že</w:t>
      </w:r>
      <w:r w:rsidR="007B2724">
        <w:t xml:space="preserve"> velká část zaměstnavatelů sjednává konkrétní podmínky odměňování zaměstnanců</w:t>
      </w:r>
      <w:r w:rsidR="00A27DE9">
        <w:t xml:space="preserve"> </w:t>
      </w:r>
      <w:r w:rsidR="00A27DE9" w:rsidRPr="003D1C8D">
        <w:rPr>
          <w:b/>
        </w:rPr>
        <w:t>v kolektivních smlouvách</w:t>
      </w:r>
      <w:r w:rsidR="00A27DE9">
        <w:t xml:space="preserve"> (87,0 % smluv). Ve většině odvětví je způsob odměňování stanoven v minimálně 80 % kolektivních smluv. Výjimkou jsou odvětví vzdělávání (42,9 % smluv), veřejné správy, obrany a sociálního zabezpečení (57,1 % smluv) a profesních, vědeckých a technických činností (61,5 % smluv). </w:t>
      </w:r>
      <w:r w:rsidR="0040684C">
        <w:t xml:space="preserve">Využití </w:t>
      </w:r>
      <w:r w:rsidR="0040684C" w:rsidRPr="0040684C">
        <w:rPr>
          <w:b/>
        </w:rPr>
        <w:t>vnitřního mzdového předpisu</w:t>
      </w:r>
      <w:r w:rsidR="0040684C">
        <w:t xml:space="preserve"> je zmíněno v 53,4 % kolektivních smluv. Ve většině odvětví využívá </w:t>
      </w:r>
      <w:r w:rsidR="0095375C">
        <w:t xml:space="preserve">vnitřní </w:t>
      </w:r>
      <w:r w:rsidR="0040684C">
        <w:t xml:space="preserve">mzdový předpis nadpoloviční většina, výjimkou jsou především odvětví ubytování, stravování a pohostinství (20,0 % smluv) a doprava a skladování (24,2 % smluv). </w:t>
      </w:r>
      <w:r w:rsidR="007A0565">
        <w:t xml:space="preserve">Polovina smluv (49,8 %) sjednává možnost stanovit podmínky odměňování </w:t>
      </w:r>
      <w:r w:rsidR="007A0565" w:rsidRPr="005D42F3">
        <w:rPr>
          <w:b/>
        </w:rPr>
        <w:t>individuální smlouvou</w:t>
      </w:r>
      <w:r w:rsidR="007A0565">
        <w:t xml:space="preserve">. Tuto možnost využívá nejvíce kolektivních smluv v odvětví výroby a rozvodu elektřiny, plynu a tepla (77,6 % smluv). Na druhou stranu je tato možnost </w:t>
      </w:r>
      <w:r w:rsidR="007A0565">
        <w:lastRenderedPageBreak/>
        <w:t>využívána nejméně v odvětvích informačních a komunikačních činností (30,8 %) a dopravy a skladování (31,8 % smluv).</w:t>
      </w:r>
      <w:r w:rsidR="0040684C">
        <w:t xml:space="preserve"> </w:t>
      </w:r>
    </w:p>
    <w:p w:rsidR="002566FB" w:rsidRPr="00FA79A0" w:rsidRDefault="00FA79A0" w:rsidP="007A0565">
      <w:pPr>
        <w:pStyle w:val="Titulek"/>
        <w:keepNext/>
        <w:keepLines/>
        <w:spacing w:before="480" w:after="60"/>
        <w:rPr>
          <w:b w:val="0"/>
          <w:i/>
          <w:sz w:val="22"/>
          <w:szCs w:val="22"/>
        </w:rPr>
      </w:pPr>
      <w:r w:rsidRPr="005319E2">
        <w:rPr>
          <w:b w:val="0"/>
          <w:i/>
          <w:sz w:val="22"/>
          <w:szCs w:val="22"/>
        </w:rPr>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4</w:t>
      </w:r>
      <w:r w:rsidR="008A3262" w:rsidRPr="005319E2">
        <w:rPr>
          <w:b w:val="0"/>
          <w:i/>
          <w:sz w:val="22"/>
          <w:szCs w:val="22"/>
        </w:rPr>
        <w:fldChar w:fldCharType="end"/>
      </w:r>
      <w:r w:rsidRPr="005319E2">
        <w:rPr>
          <w:b w:val="0"/>
          <w:i/>
          <w:sz w:val="22"/>
          <w:szCs w:val="22"/>
        </w:rPr>
        <w:t xml:space="preserve">: </w:t>
      </w:r>
      <w:r w:rsidR="000757E7">
        <w:rPr>
          <w:b w:val="0"/>
          <w:i/>
          <w:sz w:val="22"/>
          <w:szCs w:val="22"/>
        </w:rPr>
        <w:t>Forma</w:t>
      </w:r>
      <w:r w:rsidR="00217A24">
        <w:rPr>
          <w:b w:val="0"/>
          <w:i/>
          <w:sz w:val="22"/>
          <w:szCs w:val="22"/>
        </w:rPr>
        <w:t xml:space="preserve"> smluvního sjednání odměňování zaměstnanců v podnikatelské sféře ČR </w:t>
      </w:r>
      <w:r>
        <w:rPr>
          <w:b w:val="0"/>
          <w:i/>
          <w:sz w:val="22"/>
          <w:szCs w:val="22"/>
        </w:rPr>
        <w:t>v roce 2015</w:t>
      </w:r>
    </w:p>
    <w:tbl>
      <w:tblPr>
        <w:tblW w:w="5169" w:type="pct"/>
        <w:jc w:val="center"/>
        <w:tblLayout w:type="fixed"/>
        <w:tblCellMar>
          <w:left w:w="70" w:type="dxa"/>
          <w:right w:w="70" w:type="dxa"/>
        </w:tblCellMar>
        <w:tblLook w:val="04A0" w:firstRow="1" w:lastRow="0" w:firstColumn="1" w:lastColumn="0" w:noHBand="0" w:noVBand="1"/>
      </w:tblPr>
      <w:tblGrid>
        <w:gridCol w:w="274"/>
        <w:gridCol w:w="3362"/>
        <w:gridCol w:w="710"/>
        <w:gridCol w:w="710"/>
        <w:gridCol w:w="708"/>
        <w:gridCol w:w="694"/>
        <w:gridCol w:w="544"/>
        <w:gridCol w:w="641"/>
        <w:gridCol w:w="544"/>
        <w:gridCol w:w="641"/>
        <w:gridCol w:w="544"/>
        <w:gridCol w:w="738"/>
      </w:tblGrid>
      <w:tr w:rsidR="00FA79A0" w:rsidRPr="00AC10DC" w:rsidTr="00FA79A0">
        <w:trPr>
          <w:trHeight w:val="263"/>
          <w:jc w:val="center"/>
        </w:trPr>
        <w:tc>
          <w:tcPr>
            <w:tcW w:w="1799"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FA79A0" w:rsidRPr="008F22BD" w:rsidRDefault="00FA79A0" w:rsidP="00FA79A0">
            <w:pPr>
              <w:keepNext/>
              <w:spacing w:before="0" w:after="0"/>
              <w:jc w:val="center"/>
              <w:rPr>
                <w:rFonts w:cs="Arial"/>
                <w:b/>
                <w:sz w:val="20"/>
                <w:szCs w:val="20"/>
                <w:lang w:eastAsia="cs-CZ" w:bidi="ar-SA"/>
              </w:rPr>
            </w:pPr>
            <w:r w:rsidRPr="008F22BD">
              <w:rPr>
                <w:rFonts w:cs="Arial"/>
                <w:b/>
                <w:sz w:val="20"/>
                <w:szCs w:val="20"/>
                <w:lang w:eastAsia="cs-CZ" w:bidi="ar-SA"/>
              </w:rPr>
              <w:t>Odvětví ekonomické činnosti</w:t>
            </w:r>
          </w:p>
          <w:p w:rsidR="00FA79A0" w:rsidRPr="00AC10DC" w:rsidRDefault="00FA79A0" w:rsidP="00FA79A0">
            <w:pPr>
              <w:keepNext/>
              <w:keepLines/>
              <w:spacing w:before="0" w:after="0"/>
              <w:jc w:val="center"/>
              <w:rPr>
                <w:rFonts w:cs="Arial"/>
                <w:sz w:val="20"/>
                <w:szCs w:val="20"/>
                <w:lang w:eastAsia="cs-CZ" w:bidi="ar-SA"/>
              </w:rPr>
            </w:pPr>
            <w:r w:rsidRPr="008F22BD">
              <w:rPr>
                <w:rFonts w:cs="Arial"/>
                <w:b/>
                <w:sz w:val="20"/>
                <w:szCs w:val="20"/>
                <w:lang w:eastAsia="cs-CZ" w:bidi="ar-SA"/>
              </w:rPr>
              <w:t>(sekce CZ</w:t>
            </w:r>
            <w:r w:rsidRPr="008F22BD">
              <w:rPr>
                <w:rFonts w:cs="Arial"/>
                <w:b/>
                <w:sz w:val="20"/>
                <w:szCs w:val="20"/>
                <w:lang w:eastAsia="cs-CZ" w:bidi="ar-SA"/>
              </w:rPr>
              <w:noBreakHyphen/>
              <w:t>NACE)</w:t>
            </w:r>
          </w:p>
        </w:tc>
        <w:tc>
          <w:tcPr>
            <w:tcW w:w="702"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FA79A0" w:rsidRPr="00FA79A0" w:rsidRDefault="00FA79A0" w:rsidP="00FA79A0">
            <w:pPr>
              <w:keepNext/>
              <w:keepLines/>
              <w:spacing w:before="0" w:after="0"/>
              <w:jc w:val="center"/>
              <w:rPr>
                <w:rFonts w:cs="Arial"/>
                <w:b/>
                <w:sz w:val="20"/>
                <w:szCs w:val="20"/>
                <w:lang w:eastAsia="cs-CZ" w:bidi="ar-SA"/>
              </w:rPr>
            </w:pPr>
            <w:r w:rsidRPr="00FA79A0">
              <w:rPr>
                <w:rFonts w:cs="Arial"/>
                <w:b/>
                <w:sz w:val="20"/>
                <w:szCs w:val="20"/>
                <w:lang w:eastAsia="cs-CZ" w:bidi="ar-SA"/>
              </w:rPr>
              <w:t>Odměňování zaměstnanců sjednáno</w:t>
            </w:r>
          </w:p>
        </w:tc>
        <w:tc>
          <w:tcPr>
            <w:tcW w:w="2499"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tcPr>
          <w:p w:rsidR="00FA79A0" w:rsidRPr="00FA79A0" w:rsidRDefault="00FA79A0" w:rsidP="00FA79A0">
            <w:pPr>
              <w:keepNext/>
              <w:keepLines/>
              <w:spacing w:before="0" w:after="0"/>
              <w:jc w:val="center"/>
              <w:rPr>
                <w:rFonts w:cs="Arial"/>
                <w:b/>
                <w:sz w:val="20"/>
                <w:szCs w:val="20"/>
                <w:lang w:eastAsia="cs-CZ" w:bidi="ar-SA"/>
              </w:rPr>
            </w:pPr>
            <w:r w:rsidRPr="00FA79A0">
              <w:rPr>
                <w:rFonts w:cs="Arial"/>
                <w:b/>
                <w:sz w:val="20"/>
                <w:szCs w:val="20"/>
                <w:lang w:eastAsia="cs-CZ" w:bidi="ar-SA"/>
              </w:rPr>
              <w:t>z toho odměňování sjednáno:</w:t>
            </w:r>
          </w:p>
        </w:tc>
      </w:tr>
      <w:tr w:rsidR="00FA79A0" w:rsidRPr="00AC10DC" w:rsidTr="00FA79A0">
        <w:trPr>
          <w:trHeight w:val="263"/>
          <w:jc w:val="center"/>
        </w:trPr>
        <w:tc>
          <w:tcPr>
            <w:tcW w:w="179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AC10DC">
            <w:pPr>
              <w:keepNext/>
              <w:keepLines/>
              <w:spacing w:before="0" w:after="0"/>
              <w:jc w:val="left"/>
              <w:rPr>
                <w:rFonts w:cs="Arial"/>
                <w:sz w:val="20"/>
                <w:szCs w:val="20"/>
                <w:lang w:eastAsia="cs-CZ" w:bidi="ar-SA"/>
              </w:rPr>
            </w:pPr>
          </w:p>
        </w:tc>
        <w:tc>
          <w:tcPr>
            <w:tcW w:w="702"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FA79A0" w:rsidRPr="00AC10DC" w:rsidRDefault="00FA79A0" w:rsidP="00FA79A0">
            <w:pPr>
              <w:keepNext/>
              <w:keepLines/>
              <w:spacing w:before="0" w:after="0"/>
              <w:jc w:val="center"/>
              <w:rPr>
                <w:rFonts w:cs="Arial"/>
                <w:b/>
                <w:sz w:val="20"/>
                <w:szCs w:val="20"/>
                <w:lang w:eastAsia="cs-CZ" w:bidi="ar-SA"/>
              </w:rPr>
            </w:pPr>
          </w:p>
        </w:tc>
        <w:tc>
          <w:tcPr>
            <w:tcW w:w="6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FA79A0" w:rsidRPr="00AC10DC" w:rsidRDefault="00FA79A0" w:rsidP="00FA79A0">
            <w:pPr>
              <w:keepNext/>
              <w:keepLines/>
              <w:spacing w:before="0" w:after="0"/>
              <w:jc w:val="center"/>
              <w:rPr>
                <w:rFonts w:cs="Arial"/>
                <w:b/>
                <w:sz w:val="20"/>
                <w:szCs w:val="20"/>
                <w:lang w:eastAsia="cs-CZ" w:bidi="ar-SA"/>
              </w:rPr>
            </w:pPr>
            <w:r w:rsidRPr="00AC10DC">
              <w:rPr>
                <w:rFonts w:cs="Arial"/>
                <w:b/>
                <w:sz w:val="20"/>
                <w:szCs w:val="20"/>
                <w:lang w:eastAsia="cs-CZ" w:bidi="ar-SA"/>
              </w:rPr>
              <w:t>kolektivní smlouvou</w:t>
            </w:r>
          </w:p>
        </w:tc>
        <w:tc>
          <w:tcPr>
            <w:tcW w:w="5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FA79A0" w:rsidRPr="00AC10DC" w:rsidRDefault="00FA79A0" w:rsidP="00FA79A0">
            <w:pPr>
              <w:keepNext/>
              <w:keepLines/>
              <w:spacing w:before="0" w:after="0"/>
              <w:jc w:val="center"/>
              <w:rPr>
                <w:rFonts w:cs="Arial"/>
                <w:b/>
                <w:sz w:val="20"/>
                <w:szCs w:val="20"/>
                <w:lang w:eastAsia="cs-CZ" w:bidi="ar-SA"/>
              </w:rPr>
            </w:pPr>
            <w:r w:rsidRPr="00AC10DC">
              <w:rPr>
                <w:rFonts w:cs="Arial"/>
                <w:b/>
                <w:sz w:val="20"/>
                <w:szCs w:val="20"/>
                <w:lang w:eastAsia="cs-CZ" w:bidi="ar-SA"/>
              </w:rPr>
              <w:t>vnitřním mzdovým předpisem</w:t>
            </w:r>
          </w:p>
        </w:tc>
        <w:tc>
          <w:tcPr>
            <w:tcW w:w="5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FA79A0" w:rsidRPr="00AC10DC" w:rsidRDefault="00FA79A0" w:rsidP="00217A24">
            <w:pPr>
              <w:keepNext/>
              <w:keepLines/>
              <w:spacing w:before="0" w:after="0"/>
              <w:jc w:val="center"/>
              <w:rPr>
                <w:rFonts w:cs="Arial"/>
                <w:b/>
                <w:sz w:val="20"/>
                <w:szCs w:val="20"/>
                <w:lang w:eastAsia="cs-CZ" w:bidi="ar-SA"/>
              </w:rPr>
            </w:pPr>
            <w:r w:rsidRPr="00AC10DC">
              <w:rPr>
                <w:rFonts w:cs="Arial"/>
                <w:b/>
                <w:sz w:val="20"/>
                <w:szCs w:val="20"/>
                <w:lang w:eastAsia="cs-CZ" w:bidi="ar-SA"/>
              </w:rPr>
              <w:t>individ</w:t>
            </w:r>
            <w:r w:rsidR="00217A24">
              <w:rPr>
                <w:rFonts w:cs="Arial"/>
                <w:b/>
                <w:sz w:val="20"/>
                <w:szCs w:val="20"/>
                <w:lang w:eastAsia="cs-CZ" w:bidi="ar-SA"/>
              </w:rPr>
              <w:t>.</w:t>
            </w:r>
            <w:r w:rsidRPr="00AC10DC">
              <w:rPr>
                <w:rFonts w:cs="Arial"/>
                <w:b/>
                <w:sz w:val="20"/>
                <w:szCs w:val="20"/>
                <w:lang w:eastAsia="cs-CZ" w:bidi="ar-SA"/>
              </w:rPr>
              <w:t xml:space="preserve"> smlouvou</w:t>
            </w:r>
          </w:p>
        </w:tc>
        <w:tc>
          <w:tcPr>
            <w:tcW w:w="6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FA79A0" w:rsidRPr="00AC10DC" w:rsidRDefault="00FA79A0" w:rsidP="00FA79A0">
            <w:pPr>
              <w:keepNext/>
              <w:keepLines/>
              <w:spacing w:before="0" w:after="0"/>
              <w:jc w:val="center"/>
              <w:rPr>
                <w:rFonts w:cs="Arial"/>
                <w:b/>
                <w:sz w:val="20"/>
                <w:szCs w:val="20"/>
                <w:lang w:eastAsia="cs-CZ" w:bidi="ar-SA"/>
              </w:rPr>
            </w:pPr>
            <w:r w:rsidRPr="00FA79A0">
              <w:rPr>
                <w:rFonts w:cs="Arial"/>
                <w:b/>
                <w:sz w:val="20"/>
                <w:szCs w:val="20"/>
                <w:lang w:eastAsia="cs-CZ" w:bidi="ar-SA"/>
              </w:rPr>
              <w:t>kombinací uvedených</w:t>
            </w:r>
          </w:p>
        </w:tc>
      </w:tr>
      <w:tr w:rsidR="00FA79A0" w:rsidRPr="00FA79A0" w:rsidTr="00FA79A0">
        <w:trPr>
          <w:trHeight w:val="270"/>
          <w:jc w:val="center"/>
        </w:trPr>
        <w:tc>
          <w:tcPr>
            <w:tcW w:w="1799"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AC10DC">
            <w:pPr>
              <w:keepNext/>
              <w:keepLines/>
              <w:spacing w:before="0" w:after="0"/>
              <w:jc w:val="left"/>
              <w:rPr>
                <w:rFonts w:cs="Arial"/>
                <w:sz w:val="20"/>
                <w:szCs w:val="20"/>
                <w:lang w:eastAsia="cs-CZ" w:bidi="ar-SA"/>
              </w:rPr>
            </w:pP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sz w:val="20"/>
                <w:szCs w:val="20"/>
                <w:lang w:eastAsia="cs-CZ" w:bidi="ar-SA"/>
              </w:rPr>
            </w:pPr>
            <w:r w:rsidRPr="00AC10DC">
              <w:rPr>
                <w:rFonts w:cs="Arial"/>
                <w:sz w:val="20"/>
                <w:szCs w:val="20"/>
                <w:lang w:eastAsia="cs-CZ" w:bidi="ar-SA"/>
              </w:rPr>
              <w:t>PKS</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i/>
                <w:sz w:val="20"/>
                <w:szCs w:val="20"/>
                <w:lang w:eastAsia="cs-CZ" w:bidi="ar-SA"/>
              </w:rPr>
            </w:pPr>
            <w:r w:rsidRPr="00AC10DC">
              <w:rPr>
                <w:rFonts w:cs="Arial"/>
                <w:i/>
                <w:sz w:val="20"/>
                <w:szCs w:val="20"/>
                <w:lang w:eastAsia="cs-CZ" w:bidi="ar-SA"/>
              </w:rPr>
              <w:t>% KS</w:t>
            </w:r>
          </w:p>
        </w:tc>
        <w:tc>
          <w:tcPr>
            <w:tcW w:w="3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sz w:val="20"/>
                <w:szCs w:val="20"/>
                <w:lang w:eastAsia="cs-CZ" w:bidi="ar-SA"/>
              </w:rPr>
            </w:pPr>
            <w:r w:rsidRPr="00AC10DC">
              <w:rPr>
                <w:rFonts w:cs="Arial"/>
                <w:sz w:val="20"/>
                <w:szCs w:val="20"/>
                <w:lang w:eastAsia="cs-CZ" w:bidi="ar-SA"/>
              </w:rPr>
              <w:t>PKS</w:t>
            </w:r>
          </w:p>
        </w:tc>
        <w:tc>
          <w:tcPr>
            <w:tcW w:w="3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i/>
                <w:sz w:val="20"/>
                <w:szCs w:val="20"/>
                <w:lang w:eastAsia="cs-CZ" w:bidi="ar-SA"/>
              </w:rPr>
            </w:pPr>
            <w:r w:rsidRPr="00AC10DC">
              <w:rPr>
                <w:rFonts w:cs="Arial"/>
                <w:i/>
                <w:sz w:val="20"/>
                <w:szCs w:val="20"/>
                <w:lang w:eastAsia="cs-CZ" w:bidi="ar-SA"/>
              </w:rPr>
              <w:t>% KS</w:t>
            </w:r>
          </w:p>
        </w:t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sz w:val="20"/>
                <w:szCs w:val="20"/>
                <w:lang w:eastAsia="cs-CZ" w:bidi="ar-SA"/>
              </w:rPr>
            </w:pPr>
            <w:r w:rsidRPr="00AC10DC">
              <w:rPr>
                <w:rFonts w:cs="Arial"/>
                <w:sz w:val="20"/>
                <w:szCs w:val="20"/>
                <w:lang w:eastAsia="cs-CZ" w:bidi="ar-SA"/>
              </w:rPr>
              <w:t>PKS</w:t>
            </w:r>
          </w:p>
        </w:tc>
        <w:tc>
          <w:tcPr>
            <w:tcW w:w="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i/>
                <w:sz w:val="20"/>
                <w:szCs w:val="20"/>
                <w:lang w:eastAsia="cs-CZ" w:bidi="ar-SA"/>
              </w:rPr>
            </w:pPr>
            <w:r w:rsidRPr="00AC10DC">
              <w:rPr>
                <w:rFonts w:cs="Arial"/>
                <w:i/>
                <w:sz w:val="20"/>
                <w:szCs w:val="20"/>
                <w:lang w:eastAsia="cs-CZ" w:bidi="ar-SA"/>
              </w:rPr>
              <w:t>% KS</w:t>
            </w:r>
          </w:p>
        </w:t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sz w:val="20"/>
                <w:szCs w:val="20"/>
                <w:lang w:eastAsia="cs-CZ" w:bidi="ar-SA"/>
              </w:rPr>
            </w:pPr>
            <w:r w:rsidRPr="00AC10DC">
              <w:rPr>
                <w:rFonts w:cs="Arial"/>
                <w:sz w:val="20"/>
                <w:szCs w:val="20"/>
                <w:lang w:eastAsia="cs-CZ" w:bidi="ar-SA"/>
              </w:rPr>
              <w:t>PKS</w:t>
            </w:r>
          </w:p>
        </w:tc>
        <w:tc>
          <w:tcPr>
            <w:tcW w:w="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i/>
                <w:sz w:val="20"/>
                <w:szCs w:val="20"/>
                <w:lang w:eastAsia="cs-CZ" w:bidi="ar-SA"/>
              </w:rPr>
            </w:pPr>
            <w:r w:rsidRPr="00AC10DC">
              <w:rPr>
                <w:rFonts w:cs="Arial"/>
                <w:i/>
                <w:sz w:val="20"/>
                <w:szCs w:val="20"/>
                <w:lang w:eastAsia="cs-CZ" w:bidi="ar-SA"/>
              </w:rPr>
              <w:t>% KS</w:t>
            </w:r>
          </w:p>
        </w:t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sz w:val="20"/>
                <w:szCs w:val="20"/>
                <w:lang w:eastAsia="cs-CZ" w:bidi="ar-SA"/>
              </w:rPr>
            </w:pPr>
            <w:r w:rsidRPr="00AC10DC">
              <w:rPr>
                <w:rFonts w:cs="Arial"/>
                <w:sz w:val="20"/>
                <w:szCs w:val="20"/>
                <w:lang w:eastAsia="cs-CZ" w:bidi="ar-SA"/>
              </w:rPr>
              <w:t>PKS</w:t>
            </w:r>
          </w:p>
        </w:tc>
        <w:tc>
          <w:tcPr>
            <w:tcW w:w="3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FA79A0" w:rsidRPr="00AC10DC" w:rsidRDefault="00FA79A0" w:rsidP="00FA79A0">
            <w:pPr>
              <w:keepNext/>
              <w:keepLines/>
              <w:spacing w:before="0" w:after="0"/>
              <w:jc w:val="center"/>
              <w:rPr>
                <w:rFonts w:cs="Arial"/>
                <w:i/>
                <w:sz w:val="20"/>
                <w:szCs w:val="20"/>
                <w:lang w:eastAsia="cs-CZ" w:bidi="ar-SA"/>
              </w:rPr>
            </w:pPr>
            <w:r w:rsidRPr="00AC10DC">
              <w:rPr>
                <w:rFonts w:cs="Arial"/>
                <w:i/>
                <w:sz w:val="20"/>
                <w:szCs w:val="20"/>
                <w:lang w:eastAsia="cs-CZ" w:bidi="ar-SA"/>
              </w:rPr>
              <w:t>% KS</w:t>
            </w:r>
          </w:p>
        </w:tc>
      </w:tr>
      <w:tr w:rsidR="00FA79A0" w:rsidRPr="00FA79A0" w:rsidTr="00FA79A0">
        <w:trPr>
          <w:trHeight w:val="334"/>
          <w:jc w:val="center"/>
        </w:trPr>
        <w:tc>
          <w:tcPr>
            <w:tcW w:w="136"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A</w:t>
            </w:r>
          </w:p>
        </w:tc>
        <w:tc>
          <w:tcPr>
            <w:tcW w:w="1663"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Zemědělství, lesnictví a rybářství</w:t>
            </w:r>
          </w:p>
        </w:tc>
        <w:tc>
          <w:tcPr>
            <w:tcW w:w="351"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15</w:t>
            </w:r>
          </w:p>
        </w:tc>
        <w:tc>
          <w:tcPr>
            <w:tcW w:w="351"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93,8</w:t>
            </w:r>
          </w:p>
        </w:tc>
        <w:tc>
          <w:tcPr>
            <w:tcW w:w="350"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14</w:t>
            </w:r>
          </w:p>
        </w:tc>
        <w:tc>
          <w:tcPr>
            <w:tcW w:w="343"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87,5</w:t>
            </w:r>
          </w:p>
        </w:tc>
        <w:tc>
          <w:tcPr>
            <w:tcW w:w="269"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8</w:t>
            </w:r>
          </w:p>
        </w:tc>
        <w:tc>
          <w:tcPr>
            <w:tcW w:w="317"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50,0</w:t>
            </w:r>
          </w:p>
        </w:tc>
        <w:tc>
          <w:tcPr>
            <w:tcW w:w="269"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17"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43,8</w:t>
            </w:r>
          </w:p>
        </w:tc>
        <w:tc>
          <w:tcPr>
            <w:tcW w:w="269"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10</w:t>
            </w:r>
          </w:p>
        </w:tc>
        <w:tc>
          <w:tcPr>
            <w:tcW w:w="365" w:type="pct"/>
            <w:tcBorders>
              <w:top w:val="single" w:sz="4" w:space="0" w:color="FFFFFF" w:themeColor="background1"/>
            </w:tcBorders>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62,5</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B</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Těžba a dobývání</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23</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22</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95,7</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16</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69,6</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13</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56,5</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19</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82,6</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C</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Zpracovatelský průmysl</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692</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95,7</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643</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88,9</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380</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52,6</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356</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49,2</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508</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70,3</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D</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Výroba a rozvod elektřiny, plynu, tepla</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49</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49</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26</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53,1</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38</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77,6</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44</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89,8</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E</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Zásob. vodou, činnosti související s odpady</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48</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46</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95,8</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26</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54,2</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34</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70,8</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42</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87,5</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F</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Stavebnictví</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54</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50</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92,6</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23</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42,6</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18</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33,3</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26</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48,1</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G</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Obchod, opravy motorových vozidel</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44</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93,6</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38</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80,9</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31</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66,0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19</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40,4</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29</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61,7</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H</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Doprava a skladování</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66</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64</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97,0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16</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24,2</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21</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31,8</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24</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36,4</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I</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 xml:space="preserve">Ubytování, stravování a pohostinství </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18</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90,0</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16</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20,0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13</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65,0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12</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60,0</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J</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Informační a komunikační činnosti</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12</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92,3</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11</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84,6</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53,8</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30,8</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53,8</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K</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Peněžnictví a pojišťovnictví</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42,9</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L</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Činnosti v oblasti nemovitostí</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44</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97,8</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41</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91,1</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22</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48,9</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28</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62,2</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33</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73,3</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M</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Profesní, vědecké a technické činnosti</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85</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93,4</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56</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61,5</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63</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69,2</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42</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46,2</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52</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57,1</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N</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Administrativní a podpůrné činnosti</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17</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89,5</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16</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84,2</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12</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63,2</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9</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47,4</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15</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78,9</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O</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Veřejná správa, obrana, sociální zabezpečení</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85,7</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57,1</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85,7</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42,9</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71,4</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P</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Vzdělávání</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21</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9</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42,9</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21</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14</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66,7</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15</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71,4</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Q</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Zdravotní a sociální péče</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24</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22</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91,7</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12</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11</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45,8</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17</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70,8</w:t>
            </w:r>
          </w:p>
        </w:tc>
      </w:tr>
      <w:tr w:rsidR="00222088" w:rsidRPr="00FA79A0" w:rsidTr="00222088">
        <w:trPr>
          <w:trHeight w:val="334"/>
          <w:jc w:val="center"/>
        </w:trPr>
        <w:tc>
          <w:tcPr>
            <w:tcW w:w="136"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R</w:t>
            </w:r>
          </w:p>
        </w:tc>
        <w:tc>
          <w:tcPr>
            <w:tcW w:w="1663" w:type="pct"/>
            <w:shd w:val="clear" w:color="auto" w:fill="F2F2F2" w:themeFill="background1" w:themeFillShade="F2"/>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Kulturní, zábavní a rekreační činnosti</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w:t>
            </w:r>
          </w:p>
        </w:tc>
        <w:tc>
          <w:tcPr>
            <w:tcW w:w="351"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100,0</w:t>
            </w:r>
          </w:p>
        </w:tc>
        <w:tc>
          <w:tcPr>
            <w:tcW w:w="350"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4</w:t>
            </w:r>
          </w:p>
        </w:tc>
        <w:tc>
          <w:tcPr>
            <w:tcW w:w="343"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80,0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60,0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w:t>
            </w:r>
          </w:p>
        </w:tc>
        <w:tc>
          <w:tcPr>
            <w:tcW w:w="317"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60,0</w:t>
            </w:r>
          </w:p>
        </w:tc>
        <w:tc>
          <w:tcPr>
            <w:tcW w:w="269"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3</w:t>
            </w:r>
          </w:p>
        </w:tc>
        <w:tc>
          <w:tcPr>
            <w:tcW w:w="365" w:type="pct"/>
            <w:shd w:val="clear" w:color="auto" w:fill="F2F2F2" w:themeFill="background1" w:themeFillShade="F2"/>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60,0</w:t>
            </w:r>
          </w:p>
        </w:tc>
      </w:tr>
      <w:tr w:rsidR="00FA79A0" w:rsidRPr="00FA79A0" w:rsidTr="00FA79A0">
        <w:trPr>
          <w:trHeight w:val="334"/>
          <w:jc w:val="center"/>
        </w:trPr>
        <w:tc>
          <w:tcPr>
            <w:tcW w:w="136"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S</w:t>
            </w:r>
          </w:p>
        </w:tc>
        <w:tc>
          <w:tcPr>
            <w:tcW w:w="1663" w:type="pct"/>
            <w:shd w:val="clear" w:color="auto" w:fill="auto"/>
            <w:noWrap/>
            <w:vAlign w:val="center"/>
            <w:hideMark/>
          </w:tcPr>
          <w:p w:rsidR="00AC10DC" w:rsidRPr="00AC10DC" w:rsidRDefault="00AC10DC" w:rsidP="00FA79A0">
            <w:pPr>
              <w:keepNext/>
              <w:keepLines/>
              <w:spacing w:before="0" w:after="0"/>
              <w:jc w:val="left"/>
              <w:rPr>
                <w:rFonts w:cs="Arial"/>
                <w:sz w:val="20"/>
                <w:szCs w:val="20"/>
                <w:lang w:eastAsia="cs-CZ" w:bidi="ar-SA"/>
              </w:rPr>
            </w:pPr>
            <w:r w:rsidRPr="00AC10DC">
              <w:rPr>
                <w:rFonts w:cs="Arial"/>
                <w:sz w:val="20"/>
                <w:szCs w:val="20"/>
                <w:lang w:eastAsia="cs-CZ" w:bidi="ar-SA"/>
              </w:rPr>
              <w:t>Ostatní činnosti</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9</w:t>
            </w:r>
          </w:p>
        </w:tc>
        <w:tc>
          <w:tcPr>
            <w:tcW w:w="351"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90,0</w:t>
            </w:r>
          </w:p>
        </w:tc>
        <w:tc>
          <w:tcPr>
            <w:tcW w:w="350"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9</w:t>
            </w:r>
          </w:p>
        </w:tc>
        <w:tc>
          <w:tcPr>
            <w:tcW w:w="343"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90,0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5</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50,0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6</w:t>
            </w:r>
          </w:p>
        </w:tc>
        <w:tc>
          <w:tcPr>
            <w:tcW w:w="317"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60,0</w:t>
            </w:r>
          </w:p>
        </w:tc>
        <w:tc>
          <w:tcPr>
            <w:tcW w:w="269" w:type="pct"/>
            <w:shd w:val="clear" w:color="auto" w:fill="auto"/>
            <w:noWrap/>
            <w:vAlign w:val="center"/>
            <w:hideMark/>
          </w:tcPr>
          <w:p w:rsidR="00AC10DC" w:rsidRPr="00AC10DC" w:rsidRDefault="00AC10DC" w:rsidP="00FA79A0">
            <w:pPr>
              <w:keepNext/>
              <w:keepLines/>
              <w:spacing w:before="0" w:after="0"/>
              <w:jc w:val="right"/>
              <w:rPr>
                <w:rFonts w:cs="Arial"/>
                <w:sz w:val="20"/>
                <w:szCs w:val="20"/>
                <w:lang w:eastAsia="cs-CZ" w:bidi="ar-SA"/>
              </w:rPr>
            </w:pPr>
            <w:r w:rsidRPr="00AC10DC">
              <w:rPr>
                <w:rFonts w:cs="Arial"/>
                <w:sz w:val="20"/>
                <w:szCs w:val="20"/>
                <w:lang w:eastAsia="cs-CZ" w:bidi="ar-SA"/>
              </w:rPr>
              <w:t>7</w:t>
            </w:r>
          </w:p>
        </w:tc>
        <w:tc>
          <w:tcPr>
            <w:tcW w:w="365" w:type="pct"/>
            <w:shd w:val="clear" w:color="auto" w:fill="auto"/>
            <w:noWrap/>
            <w:vAlign w:val="center"/>
            <w:hideMark/>
          </w:tcPr>
          <w:p w:rsidR="00AC10DC" w:rsidRPr="00AC10DC" w:rsidRDefault="00AC10DC" w:rsidP="00FA79A0">
            <w:pPr>
              <w:keepNext/>
              <w:keepLines/>
              <w:spacing w:before="0" w:after="0"/>
              <w:jc w:val="right"/>
              <w:rPr>
                <w:rFonts w:cs="Arial"/>
                <w:i/>
                <w:sz w:val="20"/>
                <w:szCs w:val="20"/>
                <w:lang w:eastAsia="cs-CZ" w:bidi="ar-SA"/>
              </w:rPr>
            </w:pPr>
            <w:r w:rsidRPr="00AC10DC">
              <w:rPr>
                <w:rFonts w:cs="Arial"/>
                <w:i/>
                <w:sz w:val="20"/>
                <w:szCs w:val="20"/>
                <w:lang w:eastAsia="cs-CZ" w:bidi="ar-SA"/>
              </w:rPr>
              <w:t>70,0</w:t>
            </w:r>
          </w:p>
        </w:tc>
      </w:tr>
      <w:tr w:rsidR="00FA79A0" w:rsidRPr="00FA79A0" w:rsidTr="00FA79A0">
        <w:trPr>
          <w:trHeight w:val="334"/>
          <w:jc w:val="center"/>
        </w:trPr>
        <w:tc>
          <w:tcPr>
            <w:tcW w:w="1799" w:type="pct"/>
            <w:gridSpan w:val="2"/>
            <w:shd w:val="clear" w:color="auto" w:fill="E5B8B7" w:themeFill="accent2" w:themeFillTint="66"/>
            <w:noWrap/>
            <w:vAlign w:val="center"/>
            <w:hideMark/>
          </w:tcPr>
          <w:p w:rsidR="00AC10DC" w:rsidRPr="00AC10DC" w:rsidRDefault="00AC10DC" w:rsidP="00FA79A0">
            <w:pPr>
              <w:keepNext/>
              <w:keepLines/>
              <w:spacing w:before="0" w:after="0"/>
              <w:jc w:val="left"/>
              <w:rPr>
                <w:rFonts w:cs="Arial"/>
                <w:b/>
                <w:bCs/>
                <w:sz w:val="20"/>
                <w:szCs w:val="20"/>
                <w:lang w:eastAsia="cs-CZ" w:bidi="ar-SA"/>
              </w:rPr>
            </w:pPr>
            <w:r w:rsidRPr="00AC10DC">
              <w:rPr>
                <w:rFonts w:cs="Arial"/>
                <w:b/>
                <w:bCs/>
                <w:sz w:val="20"/>
                <w:szCs w:val="20"/>
                <w:lang w:eastAsia="cs-CZ" w:bidi="ar-SA"/>
              </w:rPr>
              <w:t>Celkem</w:t>
            </w:r>
          </w:p>
        </w:tc>
        <w:tc>
          <w:tcPr>
            <w:tcW w:w="351"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1</w:t>
            </w:r>
            <w:r>
              <w:rPr>
                <w:rFonts w:cs="Arial"/>
                <w:b/>
                <w:bCs/>
                <w:sz w:val="20"/>
                <w:szCs w:val="20"/>
                <w:lang w:eastAsia="cs-CZ" w:bidi="ar-SA"/>
              </w:rPr>
              <w:t xml:space="preserve"> </w:t>
            </w:r>
            <w:r w:rsidRPr="00AC10DC">
              <w:rPr>
                <w:rFonts w:cs="Arial"/>
                <w:b/>
                <w:bCs/>
                <w:sz w:val="20"/>
                <w:szCs w:val="20"/>
                <w:lang w:eastAsia="cs-CZ" w:bidi="ar-SA"/>
              </w:rPr>
              <w:t>239</w:t>
            </w:r>
          </w:p>
        </w:tc>
        <w:tc>
          <w:tcPr>
            <w:tcW w:w="351"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96,2</w:t>
            </w:r>
          </w:p>
        </w:tc>
        <w:tc>
          <w:tcPr>
            <w:tcW w:w="350"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1</w:t>
            </w:r>
            <w:r w:rsidR="00FA79A0" w:rsidRPr="00FA79A0">
              <w:rPr>
                <w:rFonts w:cs="Arial"/>
                <w:bCs/>
                <w:sz w:val="20"/>
                <w:szCs w:val="20"/>
                <w:lang w:eastAsia="cs-CZ" w:bidi="ar-SA"/>
              </w:rPr>
              <w:t> </w:t>
            </w:r>
            <w:r w:rsidRPr="00AC10DC">
              <w:rPr>
                <w:rFonts w:cs="Arial"/>
                <w:b/>
                <w:bCs/>
                <w:sz w:val="20"/>
                <w:szCs w:val="20"/>
                <w:lang w:eastAsia="cs-CZ" w:bidi="ar-SA"/>
              </w:rPr>
              <w:t>121</w:t>
            </w:r>
          </w:p>
        </w:tc>
        <w:tc>
          <w:tcPr>
            <w:tcW w:w="343"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i/>
                <w:sz w:val="20"/>
                <w:szCs w:val="20"/>
                <w:lang w:eastAsia="cs-CZ" w:bidi="ar-SA"/>
              </w:rPr>
            </w:pPr>
            <w:r w:rsidRPr="00AC10DC">
              <w:rPr>
                <w:rFonts w:cs="Arial"/>
                <w:b/>
                <w:bCs/>
                <w:i/>
                <w:sz w:val="20"/>
                <w:szCs w:val="20"/>
                <w:lang w:eastAsia="cs-CZ" w:bidi="ar-SA"/>
              </w:rPr>
              <w:t>87,0</w:t>
            </w:r>
          </w:p>
        </w:tc>
        <w:tc>
          <w:tcPr>
            <w:tcW w:w="269"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688</w:t>
            </w:r>
          </w:p>
        </w:tc>
        <w:tc>
          <w:tcPr>
            <w:tcW w:w="317"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i/>
                <w:sz w:val="20"/>
                <w:szCs w:val="20"/>
                <w:lang w:eastAsia="cs-CZ" w:bidi="ar-SA"/>
              </w:rPr>
            </w:pPr>
            <w:r w:rsidRPr="00AC10DC">
              <w:rPr>
                <w:rFonts w:cs="Arial"/>
                <w:b/>
                <w:bCs/>
                <w:i/>
                <w:sz w:val="20"/>
                <w:szCs w:val="20"/>
                <w:lang w:eastAsia="cs-CZ" w:bidi="ar-SA"/>
              </w:rPr>
              <w:t>53,4</w:t>
            </w:r>
          </w:p>
        </w:tc>
        <w:tc>
          <w:tcPr>
            <w:tcW w:w="269"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642</w:t>
            </w:r>
          </w:p>
        </w:tc>
        <w:tc>
          <w:tcPr>
            <w:tcW w:w="317"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i/>
                <w:sz w:val="20"/>
                <w:szCs w:val="20"/>
                <w:lang w:eastAsia="cs-CZ" w:bidi="ar-SA"/>
              </w:rPr>
            </w:pPr>
            <w:r w:rsidRPr="00AC10DC">
              <w:rPr>
                <w:rFonts w:cs="Arial"/>
                <w:b/>
                <w:bCs/>
                <w:i/>
                <w:sz w:val="20"/>
                <w:szCs w:val="20"/>
                <w:lang w:eastAsia="cs-CZ" w:bidi="ar-SA"/>
              </w:rPr>
              <w:t>49,8</w:t>
            </w:r>
          </w:p>
        </w:tc>
        <w:tc>
          <w:tcPr>
            <w:tcW w:w="269"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sz w:val="20"/>
                <w:szCs w:val="20"/>
                <w:lang w:eastAsia="cs-CZ" w:bidi="ar-SA"/>
              </w:rPr>
            </w:pPr>
            <w:r w:rsidRPr="00AC10DC">
              <w:rPr>
                <w:rFonts w:cs="Arial"/>
                <w:b/>
                <w:bCs/>
                <w:sz w:val="20"/>
                <w:szCs w:val="20"/>
                <w:lang w:eastAsia="cs-CZ" w:bidi="ar-SA"/>
              </w:rPr>
              <w:t>875</w:t>
            </w:r>
          </w:p>
        </w:tc>
        <w:tc>
          <w:tcPr>
            <w:tcW w:w="365" w:type="pct"/>
            <w:shd w:val="clear" w:color="auto" w:fill="E5B8B7" w:themeFill="accent2" w:themeFillTint="66"/>
            <w:noWrap/>
            <w:vAlign w:val="center"/>
            <w:hideMark/>
          </w:tcPr>
          <w:p w:rsidR="00AC10DC" w:rsidRPr="00AC10DC" w:rsidRDefault="00AC10DC" w:rsidP="00FA79A0">
            <w:pPr>
              <w:keepNext/>
              <w:keepLines/>
              <w:spacing w:before="0" w:after="0"/>
              <w:jc w:val="right"/>
              <w:rPr>
                <w:rFonts w:cs="Arial"/>
                <w:b/>
                <w:bCs/>
                <w:i/>
                <w:sz w:val="20"/>
                <w:szCs w:val="20"/>
                <w:lang w:eastAsia="cs-CZ" w:bidi="ar-SA"/>
              </w:rPr>
            </w:pPr>
            <w:r w:rsidRPr="00AC10DC">
              <w:rPr>
                <w:rFonts w:cs="Arial"/>
                <w:b/>
                <w:bCs/>
                <w:i/>
                <w:sz w:val="20"/>
                <w:szCs w:val="20"/>
                <w:lang w:eastAsia="cs-CZ" w:bidi="ar-SA"/>
              </w:rPr>
              <w:t>67,9</w:t>
            </w:r>
          </w:p>
        </w:tc>
      </w:tr>
    </w:tbl>
    <w:p w:rsidR="002566FB" w:rsidRPr="00866C54" w:rsidRDefault="00AC10DC" w:rsidP="00866C54">
      <w:pPr>
        <w:keepNext/>
        <w:keepLines/>
        <w:spacing w:before="60" w:after="0"/>
        <w:ind w:left="709" w:hanging="709"/>
        <w:rPr>
          <w:sz w:val="20"/>
          <w:szCs w:val="20"/>
        </w:rPr>
      </w:pPr>
      <w:r w:rsidRPr="00866C54">
        <w:rPr>
          <w:sz w:val="20"/>
          <w:szCs w:val="20"/>
        </w:rPr>
        <w:t>Pozn.: Smlouvy kombinující více způsobů sjednání odměňování jsou zahrnuty i v součtu za jednotlivé způsoby sjednání.</w:t>
      </w:r>
    </w:p>
    <w:p w:rsidR="00AC10DC" w:rsidRPr="00866C54" w:rsidRDefault="00AC10DC" w:rsidP="00213673">
      <w:pPr>
        <w:spacing w:before="0" w:after="480"/>
        <w:rPr>
          <w:sz w:val="20"/>
          <w:szCs w:val="20"/>
          <w:lang w:eastAsia="cs-CZ"/>
        </w:rPr>
      </w:pPr>
      <w:r w:rsidRPr="00866C54">
        <w:rPr>
          <w:sz w:val="20"/>
          <w:szCs w:val="20"/>
          <w:lang w:eastAsia="cs-CZ"/>
        </w:rPr>
        <w:t xml:space="preserve">Zdroj: </w:t>
      </w:r>
      <w:r w:rsidR="00CB4A4D" w:rsidRPr="00866C54">
        <w:rPr>
          <w:sz w:val="20"/>
          <w:szCs w:val="20"/>
          <w:lang w:eastAsia="cs-CZ"/>
        </w:rPr>
        <w:t>Informace o pracovních podmínkách (IPP).</w:t>
      </w:r>
    </w:p>
    <w:p w:rsidR="00350D75" w:rsidRPr="00E025F5" w:rsidRDefault="00354105" w:rsidP="00E025F5">
      <w:r>
        <w:t xml:space="preserve">Otázce </w:t>
      </w:r>
      <w:r w:rsidRPr="00354105">
        <w:rPr>
          <w:b/>
        </w:rPr>
        <w:t>mzdového vývoje</w:t>
      </w:r>
      <w:r>
        <w:t xml:space="preserve"> se v podnikatelské sféře v roce 2015 věnovalo 61,2 % kolektivních smluv. </w:t>
      </w:r>
      <w:r w:rsidR="002D6B3A">
        <w:t xml:space="preserve">Z tabulky 5 vyplývá, že </w:t>
      </w:r>
      <w:r w:rsidR="00B2793A">
        <w:t>otázce vývoje odměňování se věnuje nejvíce kolektivních smluv v odvětví výroby a rozvodu elektřiny, plynu a tepla (85,7 % smluv) a těžba a dobývání (82,6 % smluv). Vývoji odměňování se téměř vůbec nevěnují kolektivní smlouvy v odvětví vzdělávání (4,8 % smluv)</w:t>
      </w:r>
      <w:r w:rsidR="0095375C">
        <w:t>, které v šetření zastupují většinou vysoké školy</w:t>
      </w:r>
      <w:r w:rsidR="00B2793A">
        <w:t>.</w:t>
      </w:r>
    </w:p>
    <w:p w:rsidR="00AC10DC" w:rsidRPr="00350D75" w:rsidRDefault="00350D75" w:rsidP="00213673">
      <w:pPr>
        <w:pStyle w:val="Titulek"/>
        <w:keepNext/>
        <w:keepLines/>
        <w:spacing w:before="480" w:after="60"/>
        <w:rPr>
          <w:b w:val="0"/>
          <w:i/>
          <w:sz w:val="22"/>
          <w:szCs w:val="22"/>
        </w:rPr>
      </w:pPr>
      <w:bookmarkStart w:id="11" w:name="_Ref436082269"/>
      <w:r w:rsidRPr="005319E2">
        <w:rPr>
          <w:b w:val="0"/>
          <w:i/>
          <w:sz w:val="22"/>
          <w:szCs w:val="22"/>
        </w:rPr>
        <w:lastRenderedPageBreak/>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5</w:t>
      </w:r>
      <w:r w:rsidR="008A3262" w:rsidRPr="005319E2">
        <w:rPr>
          <w:b w:val="0"/>
          <w:i/>
          <w:sz w:val="22"/>
          <w:szCs w:val="22"/>
        </w:rPr>
        <w:fldChar w:fldCharType="end"/>
      </w:r>
      <w:r w:rsidRPr="005319E2">
        <w:rPr>
          <w:b w:val="0"/>
          <w:i/>
          <w:sz w:val="22"/>
          <w:szCs w:val="22"/>
        </w:rPr>
        <w:t xml:space="preserve">: </w:t>
      </w:r>
      <w:r>
        <w:rPr>
          <w:b w:val="0"/>
          <w:i/>
          <w:sz w:val="22"/>
          <w:szCs w:val="22"/>
        </w:rPr>
        <w:t>Mzdový vývoj sjednaný v kolektivních smlouvách v podnikatelské sféře v roce 2015</w:t>
      </w:r>
      <w:bookmarkEnd w:id="11"/>
    </w:p>
    <w:tbl>
      <w:tblPr>
        <w:tblW w:w="9704" w:type="dxa"/>
        <w:tblInd w:w="75" w:type="dxa"/>
        <w:tblCellMar>
          <w:left w:w="70" w:type="dxa"/>
          <w:right w:w="70" w:type="dxa"/>
        </w:tblCellMar>
        <w:tblLook w:val="04A0" w:firstRow="1" w:lastRow="0" w:firstColumn="1" w:lastColumn="0" w:noHBand="0" w:noVBand="1"/>
      </w:tblPr>
      <w:tblGrid>
        <w:gridCol w:w="307"/>
        <w:gridCol w:w="3374"/>
        <w:gridCol w:w="709"/>
        <w:gridCol w:w="708"/>
        <w:gridCol w:w="1134"/>
        <w:gridCol w:w="1276"/>
        <w:gridCol w:w="1143"/>
        <w:gridCol w:w="1053"/>
      </w:tblGrid>
      <w:tr w:rsidR="00AC4F10" w:rsidRPr="00367F51" w:rsidTr="00350D75">
        <w:trPr>
          <w:trHeight w:val="334"/>
        </w:trPr>
        <w:tc>
          <w:tcPr>
            <w:tcW w:w="3681"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E5B8B7" w:themeFill="accent2" w:themeFillTint="66"/>
            <w:noWrap/>
            <w:vAlign w:val="center"/>
          </w:tcPr>
          <w:p w:rsidR="00AC4F10" w:rsidRPr="008F22BD" w:rsidRDefault="00AC4F10" w:rsidP="00AC4F10">
            <w:pPr>
              <w:keepNext/>
              <w:spacing w:before="0" w:after="0"/>
              <w:jc w:val="center"/>
              <w:rPr>
                <w:rFonts w:cs="Arial"/>
                <w:b/>
                <w:sz w:val="20"/>
                <w:szCs w:val="20"/>
                <w:lang w:eastAsia="cs-CZ" w:bidi="ar-SA"/>
              </w:rPr>
            </w:pPr>
            <w:r w:rsidRPr="008F22BD">
              <w:rPr>
                <w:rFonts w:cs="Arial"/>
                <w:b/>
                <w:sz w:val="20"/>
                <w:szCs w:val="20"/>
                <w:lang w:eastAsia="cs-CZ" w:bidi="ar-SA"/>
              </w:rPr>
              <w:t>Odvětví ekonomické činnosti</w:t>
            </w:r>
          </w:p>
          <w:p w:rsidR="00AC4F10" w:rsidRPr="008F22BD" w:rsidRDefault="00AC4F10" w:rsidP="00AC4F10">
            <w:pPr>
              <w:keepNext/>
              <w:keepLines/>
              <w:spacing w:before="0" w:after="0"/>
              <w:jc w:val="center"/>
              <w:rPr>
                <w:rFonts w:cs="Arial"/>
                <w:b/>
                <w:sz w:val="20"/>
                <w:szCs w:val="20"/>
                <w:lang w:eastAsia="cs-CZ" w:bidi="ar-SA"/>
              </w:rPr>
            </w:pPr>
            <w:r w:rsidRPr="008F22BD">
              <w:rPr>
                <w:rFonts w:cs="Arial"/>
                <w:b/>
                <w:sz w:val="20"/>
                <w:szCs w:val="20"/>
                <w:lang w:eastAsia="cs-CZ" w:bidi="ar-SA"/>
              </w:rPr>
              <w:t>(sekce CZ</w:t>
            </w:r>
            <w:r w:rsidRPr="008F22BD">
              <w:rPr>
                <w:rFonts w:cs="Arial"/>
                <w:b/>
                <w:sz w:val="20"/>
                <w:szCs w:val="20"/>
                <w:lang w:eastAsia="cs-CZ" w:bidi="ar-SA"/>
              </w:rPr>
              <w:noBreakHyphen/>
              <w:t>NACE)</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0D75" w:rsidRDefault="00AC4F10" w:rsidP="00350D75">
            <w:pPr>
              <w:keepNext/>
              <w:keepLines/>
              <w:spacing w:before="0" w:after="0"/>
              <w:jc w:val="center"/>
              <w:rPr>
                <w:rFonts w:cs="Arial"/>
                <w:b/>
                <w:sz w:val="20"/>
                <w:szCs w:val="20"/>
                <w:lang w:eastAsia="cs-CZ" w:bidi="ar-SA"/>
              </w:rPr>
            </w:pPr>
            <w:r w:rsidRPr="00350D75">
              <w:rPr>
                <w:rFonts w:cs="Arial"/>
                <w:b/>
                <w:sz w:val="20"/>
                <w:szCs w:val="20"/>
                <w:lang w:eastAsia="cs-CZ" w:bidi="ar-SA"/>
              </w:rPr>
              <w:t>Mzdový vývoj sjednán</w:t>
            </w:r>
          </w:p>
        </w:tc>
        <w:tc>
          <w:tcPr>
            <w:tcW w:w="460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0D75" w:rsidRDefault="00AC4F10" w:rsidP="00350D75">
            <w:pPr>
              <w:keepNext/>
              <w:keepLines/>
              <w:spacing w:before="0" w:after="0"/>
              <w:jc w:val="center"/>
              <w:rPr>
                <w:rFonts w:cs="Arial"/>
                <w:b/>
                <w:sz w:val="20"/>
                <w:szCs w:val="20"/>
                <w:lang w:eastAsia="cs-CZ" w:bidi="ar-SA"/>
              </w:rPr>
            </w:pPr>
            <w:r w:rsidRPr="00350D75">
              <w:rPr>
                <w:rFonts w:cs="Arial"/>
                <w:b/>
                <w:sz w:val="20"/>
                <w:szCs w:val="20"/>
                <w:lang w:eastAsia="cs-CZ" w:bidi="ar-SA"/>
              </w:rPr>
              <w:t>z toho:</w:t>
            </w:r>
          </w:p>
        </w:tc>
      </w:tr>
      <w:tr w:rsidR="00AC4F10" w:rsidRPr="00367F51" w:rsidTr="00350D75">
        <w:trPr>
          <w:trHeight w:val="334"/>
        </w:trPr>
        <w:tc>
          <w:tcPr>
            <w:tcW w:w="3681" w:type="dxa"/>
            <w:gridSpan w:val="2"/>
            <w:vMerge/>
            <w:tcBorders>
              <w:left w:val="single" w:sz="4" w:space="0" w:color="FFFFFF" w:themeColor="background1"/>
              <w:right w:val="single" w:sz="4" w:space="0" w:color="FFFFFF" w:themeColor="background1"/>
            </w:tcBorders>
            <w:shd w:val="clear" w:color="auto" w:fill="E5B8B7" w:themeFill="accent2" w:themeFillTint="66"/>
            <w:noWrap/>
            <w:vAlign w:val="bottom"/>
          </w:tcPr>
          <w:p w:rsidR="00AC4F10" w:rsidRPr="00357F73" w:rsidRDefault="00AC4F10" w:rsidP="00AC4F10">
            <w:pPr>
              <w:keepNext/>
              <w:keepLines/>
              <w:spacing w:before="0" w:after="0"/>
              <w:jc w:val="left"/>
              <w:rPr>
                <w:rFonts w:cs="Arial"/>
                <w:sz w:val="20"/>
                <w:szCs w:val="20"/>
                <w:lang w:eastAsia="cs-CZ" w:bidi="ar-SA"/>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0D75" w:rsidRDefault="00AC4F10" w:rsidP="00350D75">
            <w:pPr>
              <w:keepNext/>
              <w:keepLines/>
              <w:spacing w:before="0" w:after="0"/>
              <w:jc w:val="center"/>
              <w:rPr>
                <w:rFonts w:cs="Arial"/>
                <w:b/>
                <w:i/>
                <w:sz w:val="20"/>
                <w:szCs w:val="20"/>
                <w:lang w:eastAsia="cs-CZ" w:bidi="ar-SA"/>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7F73" w:rsidRDefault="00AC4F10" w:rsidP="00350D75">
            <w:pPr>
              <w:keepNext/>
              <w:keepLines/>
              <w:spacing w:before="0" w:after="0"/>
              <w:jc w:val="center"/>
              <w:rPr>
                <w:rFonts w:cs="Arial"/>
                <w:b/>
                <w:sz w:val="20"/>
                <w:szCs w:val="20"/>
                <w:lang w:eastAsia="cs-CZ" w:bidi="ar-SA"/>
              </w:rPr>
            </w:pPr>
            <w:r w:rsidRPr="00357F73">
              <w:rPr>
                <w:rFonts w:cs="Arial"/>
                <w:b/>
                <w:sz w:val="20"/>
                <w:szCs w:val="20"/>
                <w:lang w:eastAsia="cs-CZ" w:bidi="ar-SA"/>
              </w:rPr>
              <w:t>zvýšením mzdových tarifů</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7F73" w:rsidRDefault="00AC4F10" w:rsidP="00350D75">
            <w:pPr>
              <w:keepNext/>
              <w:keepLines/>
              <w:spacing w:before="0" w:after="0"/>
              <w:jc w:val="center"/>
              <w:rPr>
                <w:rFonts w:cs="Arial"/>
                <w:b/>
                <w:sz w:val="20"/>
                <w:szCs w:val="20"/>
                <w:lang w:eastAsia="cs-CZ" w:bidi="ar-SA"/>
              </w:rPr>
            </w:pPr>
            <w:r w:rsidRPr="00357F73">
              <w:rPr>
                <w:rFonts w:cs="Arial"/>
                <w:b/>
                <w:sz w:val="20"/>
                <w:szCs w:val="20"/>
                <w:lang w:eastAsia="cs-CZ" w:bidi="ar-SA"/>
              </w:rPr>
              <w:t>zvýš</w:t>
            </w:r>
            <w:r w:rsidRPr="00350D75">
              <w:rPr>
                <w:rFonts w:cs="Arial"/>
                <w:b/>
                <w:sz w:val="20"/>
                <w:szCs w:val="20"/>
                <w:lang w:eastAsia="cs-CZ" w:bidi="ar-SA"/>
              </w:rPr>
              <w:t xml:space="preserve">ením </w:t>
            </w:r>
            <w:r w:rsidRPr="00357F73">
              <w:rPr>
                <w:rFonts w:cs="Arial"/>
                <w:b/>
                <w:sz w:val="20"/>
                <w:szCs w:val="20"/>
                <w:lang w:eastAsia="cs-CZ" w:bidi="ar-SA"/>
              </w:rPr>
              <w:t>celk</w:t>
            </w:r>
            <w:r w:rsidRPr="00350D75">
              <w:rPr>
                <w:rFonts w:cs="Arial"/>
                <w:b/>
                <w:sz w:val="20"/>
                <w:szCs w:val="20"/>
                <w:lang w:eastAsia="cs-CZ" w:bidi="ar-SA"/>
              </w:rPr>
              <w:t>ového objemu mzdových prostředků</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7F73" w:rsidRDefault="00AC4F10" w:rsidP="00350D75">
            <w:pPr>
              <w:keepNext/>
              <w:keepLines/>
              <w:spacing w:before="0" w:after="0"/>
              <w:jc w:val="center"/>
              <w:rPr>
                <w:rFonts w:cs="Arial"/>
                <w:b/>
                <w:sz w:val="20"/>
                <w:szCs w:val="20"/>
                <w:lang w:eastAsia="cs-CZ" w:bidi="ar-SA"/>
              </w:rPr>
            </w:pPr>
            <w:r w:rsidRPr="00357F73">
              <w:rPr>
                <w:rFonts w:cs="Arial"/>
                <w:b/>
                <w:sz w:val="20"/>
                <w:szCs w:val="20"/>
                <w:lang w:eastAsia="cs-CZ" w:bidi="ar-SA"/>
              </w:rPr>
              <w:t>zvýšením průměrné nominální mzdy</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AC4F10" w:rsidRPr="00357F73" w:rsidRDefault="00AC4F10" w:rsidP="00350D75">
            <w:pPr>
              <w:keepNext/>
              <w:keepLines/>
              <w:spacing w:before="0" w:after="0"/>
              <w:jc w:val="center"/>
              <w:rPr>
                <w:rFonts w:cs="Arial"/>
                <w:b/>
                <w:sz w:val="20"/>
                <w:szCs w:val="20"/>
                <w:lang w:eastAsia="cs-CZ" w:bidi="ar-SA"/>
              </w:rPr>
            </w:pPr>
            <w:r w:rsidRPr="00357F73">
              <w:rPr>
                <w:rFonts w:cs="Arial"/>
                <w:b/>
                <w:sz w:val="20"/>
                <w:szCs w:val="20"/>
                <w:lang w:eastAsia="cs-CZ" w:bidi="ar-SA"/>
              </w:rPr>
              <w:t>udržením reálné mzdy</w:t>
            </w:r>
          </w:p>
        </w:tc>
      </w:tr>
      <w:tr w:rsidR="005441B6" w:rsidRPr="00367F51" w:rsidTr="004E1EBE">
        <w:trPr>
          <w:trHeight w:val="334"/>
        </w:trPr>
        <w:tc>
          <w:tcPr>
            <w:tcW w:w="3681" w:type="dxa"/>
            <w:gridSpan w:val="2"/>
            <w:vMerge/>
            <w:tcBorders>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bottom"/>
          </w:tcPr>
          <w:p w:rsidR="005441B6" w:rsidRPr="00357F73" w:rsidRDefault="005441B6" w:rsidP="00AC4F10">
            <w:pPr>
              <w:keepNext/>
              <w:keepLines/>
              <w:spacing w:before="0" w:after="0"/>
              <w:jc w:val="left"/>
              <w:rPr>
                <w:rFonts w:cs="Arial"/>
                <w:sz w:val="20"/>
                <w:szCs w:val="20"/>
                <w:lang w:eastAsia="cs-CZ" w:bidi="ar-SA"/>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441B6" w:rsidRPr="00357F73" w:rsidRDefault="005441B6" w:rsidP="00AC4F10">
            <w:pPr>
              <w:keepNext/>
              <w:keepLines/>
              <w:spacing w:before="0" w:after="0"/>
              <w:jc w:val="center"/>
              <w:rPr>
                <w:rFonts w:cs="Arial"/>
                <w:sz w:val="20"/>
                <w:szCs w:val="20"/>
                <w:lang w:eastAsia="cs-CZ" w:bidi="ar-SA"/>
              </w:rPr>
            </w:pPr>
            <w:r w:rsidRPr="00357F73">
              <w:rPr>
                <w:rFonts w:cs="Arial"/>
                <w:sz w:val="20"/>
                <w:szCs w:val="20"/>
                <w:lang w:eastAsia="cs-CZ" w:bidi="ar-SA"/>
              </w:rPr>
              <w:t>PKS</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441B6" w:rsidRPr="00357F73" w:rsidRDefault="005441B6" w:rsidP="00AC4F10">
            <w:pPr>
              <w:keepNext/>
              <w:keepLines/>
              <w:spacing w:before="0" w:after="0"/>
              <w:jc w:val="center"/>
              <w:rPr>
                <w:rFonts w:cs="Arial"/>
                <w:i/>
                <w:sz w:val="20"/>
                <w:szCs w:val="20"/>
                <w:lang w:eastAsia="cs-CZ" w:bidi="ar-SA"/>
              </w:rPr>
            </w:pPr>
            <w:r w:rsidRPr="00357F73">
              <w:rPr>
                <w:rFonts w:cs="Arial"/>
                <w:i/>
                <w:sz w:val="20"/>
                <w:szCs w:val="20"/>
                <w:lang w:eastAsia="cs-CZ" w:bidi="ar-SA"/>
              </w:rPr>
              <w:t>% KS</w:t>
            </w:r>
          </w:p>
        </w:tc>
        <w:tc>
          <w:tcPr>
            <w:tcW w:w="460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5441B6" w:rsidRPr="00357F73" w:rsidRDefault="005441B6" w:rsidP="005441B6">
            <w:pPr>
              <w:keepNext/>
              <w:keepLines/>
              <w:spacing w:before="0" w:after="0"/>
              <w:jc w:val="center"/>
              <w:rPr>
                <w:rFonts w:cs="Arial"/>
                <w:sz w:val="20"/>
                <w:szCs w:val="20"/>
                <w:lang w:eastAsia="cs-CZ" w:bidi="ar-SA"/>
              </w:rPr>
            </w:pPr>
            <w:r w:rsidRPr="00357F73">
              <w:rPr>
                <w:rFonts w:cs="Arial"/>
                <w:sz w:val="20"/>
                <w:szCs w:val="20"/>
                <w:lang w:eastAsia="cs-CZ" w:bidi="ar-SA"/>
              </w:rPr>
              <w:t>PKS</w:t>
            </w:r>
          </w:p>
        </w:tc>
      </w:tr>
      <w:tr w:rsidR="00AC4F10" w:rsidRPr="00367F51" w:rsidTr="005441B6">
        <w:trPr>
          <w:trHeight w:val="334"/>
        </w:trPr>
        <w:tc>
          <w:tcPr>
            <w:tcW w:w="307" w:type="dxa"/>
            <w:tcBorders>
              <w:top w:val="single" w:sz="4" w:space="0" w:color="FFFFFF" w:themeColor="background1"/>
            </w:tcBorders>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A</w:t>
            </w:r>
          </w:p>
        </w:tc>
        <w:tc>
          <w:tcPr>
            <w:tcW w:w="3374" w:type="dxa"/>
            <w:tcBorders>
              <w:top w:val="single" w:sz="4" w:space="0" w:color="FFFFFF" w:themeColor="background1"/>
            </w:tcBorders>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Zemědělství, lesnictví a rybářství</w:t>
            </w:r>
          </w:p>
        </w:tc>
        <w:tc>
          <w:tcPr>
            <w:tcW w:w="709" w:type="dxa"/>
            <w:tcBorders>
              <w:top w:val="single" w:sz="4" w:space="0" w:color="FFFFFF" w:themeColor="background1"/>
            </w:tcBorders>
            <w:shd w:val="clear" w:color="auto" w:fill="auto"/>
            <w:noWrap/>
            <w:vAlign w:val="center"/>
          </w:tcPr>
          <w:p w:rsidR="00AC4F10" w:rsidRPr="00AC4F10" w:rsidRDefault="00AC4F10" w:rsidP="00350D75">
            <w:pPr>
              <w:keepNext/>
              <w:keepLines/>
              <w:spacing w:before="0" w:after="0"/>
              <w:jc w:val="right"/>
              <w:rPr>
                <w:rFonts w:cs="Arial"/>
                <w:sz w:val="20"/>
                <w:szCs w:val="20"/>
                <w:lang w:eastAsia="cs-CZ" w:bidi="ar-SA"/>
              </w:rPr>
            </w:pPr>
            <w:r w:rsidRPr="00AC4F10">
              <w:rPr>
                <w:rFonts w:cs="Arial"/>
                <w:sz w:val="20"/>
                <w:szCs w:val="20"/>
                <w:lang w:eastAsia="cs-CZ" w:bidi="ar-SA"/>
              </w:rPr>
              <w:t>7</w:t>
            </w:r>
          </w:p>
        </w:tc>
        <w:tc>
          <w:tcPr>
            <w:tcW w:w="708" w:type="dxa"/>
            <w:tcBorders>
              <w:top w:val="single" w:sz="4" w:space="0" w:color="FFFFFF" w:themeColor="background1"/>
            </w:tcBorders>
            <w:shd w:val="clear" w:color="auto" w:fill="auto"/>
            <w:noWrap/>
            <w:vAlign w:val="center"/>
          </w:tcPr>
          <w:p w:rsidR="00AC4F10" w:rsidRPr="00AC4F10" w:rsidRDefault="00AC4F10" w:rsidP="005441B6">
            <w:pPr>
              <w:keepNext/>
              <w:keepLines/>
              <w:spacing w:before="0" w:after="0"/>
              <w:jc w:val="right"/>
              <w:rPr>
                <w:rFonts w:cs="Arial"/>
                <w:sz w:val="20"/>
                <w:szCs w:val="20"/>
                <w:lang w:eastAsia="cs-CZ" w:bidi="ar-SA"/>
              </w:rPr>
            </w:pPr>
            <w:r w:rsidRPr="00AC4F10">
              <w:rPr>
                <w:rFonts w:cs="Arial"/>
                <w:sz w:val="20"/>
                <w:szCs w:val="20"/>
                <w:lang w:eastAsia="cs-CZ" w:bidi="ar-SA"/>
              </w:rPr>
              <w:t>43,8</w:t>
            </w:r>
          </w:p>
        </w:tc>
        <w:tc>
          <w:tcPr>
            <w:tcW w:w="1134" w:type="dxa"/>
            <w:tcBorders>
              <w:top w:val="single" w:sz="4" w:space="0" w:color="FFFFFF" w:themeColor="background1"/>
            </w:tcBorders>
            <w:shd w:val="clear" w:color="auto" w:fill="auto"/>
            <w:noWrap/>
            <w:vAlign w:val="center"/>
            <w:hideMark/>
          </w:tcPr>
          <w:p w:rsidR="00AC4F10" w:rsidRPr="00AC4F10" w:rsidRDefault="00AC4F10" w:rsidP="005441B6">
            <w:pPr>
              <w:keepNext/>
              <w:keepLines/>
              <w:spacing w:before="0" w:after="0"/>
              <w:jc w:val="right"/>
              <w:rPr>
                <w:rFonts w:cs="Arial"/>
                <w:sz w:val="20"/>
                <w:szCs w:val="20"/>
                <w:lang w:eastAsia="cs-CZ" w:bidi="ar-SA"/>
              </w:rPr>
            </w:pPr>
            <w:r w:rsidRPr="00AC4F10">
              <w:rPr>
                <w:rFonts w:cs="Arial"/>
                <w:sz w:val="20"/>
                <w:szCs w:val="20"/>
                <w:lang w:eastAsia="cs-CZ" w:bidi="ar-SA"/>
              </w:rPr>
              <w:t>1</w:t>
            </w:r>
          </w:p>
        </w:tc>
        <w:tc>
          <w:tcPr>
            <w:tcW w:w="1276" w:type="dxa"/>
            <w:tcBorders>
              <w:top w:val="single" w:sz="4" w:space="0" w:color="FFFFFF" w:themeColor="background1"/>
            </w:tcBorders>
            <w:shd w:val="clear" w:color="auto" w:fill="auto"/>
            <w:noWrap/>
            <w:vAlign w:val="center"/>
            <w:hideMark/>
          </w:tcPr>
          <w:p w:rsidR="00AC4F10" w:rsidRPr="00AC4F10" w:rsidRDefault="00AC4F10" w:rsidP="005441B6">
            <w:pPr>
              <w:keepNext/>
              <w:keepLines/>
              <w:spacing w:before="0" w:after="0"/>
              <w:jc w:val="right"/>
              <w:rPr>
                <w:rFonts w:cs="Arial"/>
                <w:sz w:val="20"/>
                <w:szCs w:val="20"/>
                <w:lang w:eastAsia="cs-CZ" w:bidi="ar-SA"/>
              </w:rPr>
            </w:pPr>
            <w:r w:rsidRPr="00AC4F10">
              <w:rPr>
                <w:rFonts w:cs="Arial"/>
                <w:sz w:val="20"/>
                <w:szCs w:val="20"/>
                <w:lang w:eastAsia="cs-CZ" w:bidi="ar-SA"/>
              </w:rPr>
              <w:t> </w:t>
            </w:r>
          </w:p>
        </w:tc>
        <w:tc>
          <w:tcPr>
            <w:tcW w:w="1143" w:type="dxa"/>
            <w:tcBorders>
              <w:top w:val="single" w:sz="4" w:space="0" w:color="FFFFFF" w:themeColor="background1"/>
            </w:tcBorders>
            <w:shd w:val="clear" w:color="auto" w:fill="auto"/>
            <w:noWrap/>
            <w:vAlign w:val="center"/>
            <w:hideMark/>
          </w:tcPr>
          <w:p w:rsidR="00AC4F10" w:rsidRPr="00AC4F10" w:rsidRDefault="00AC4F10" w:rsidP="005441B6">
            <w:pPr>
              <w:keepNext/>
              <w:keepLines/>
              <w:spacing w:before="0" w:after="0"/>
              <w:jc w:val="right"/>
              <w:rPr>
                <w:rFonts w:cs="Arial"/>
                <w:sz w:val="20"/>
                <w:szCs w:val="20"/>
                <w:lang w:eastAsia="cs-CZ" w:bidi="ar-SA"/>
              </w:rPr>
            </w:pPr>
            <w:r w:rsidRPr="00AC4F10">
              <w:rPr>
                <w:rFonts w:cs="Arial"/>
                <w:sz w:val="20"/>
                <w:szCs w:val="20"/>
                <w:lang w:eastAsia="cs-CZ" w:bidi="ar-SA"/>
              </w:rPr>
              <w:t>4</w:t>
            </w:r>
          </w:p>
        </w:tc>
        <w:tc>
          <w:tcPr>
            <w:tcW w:w="1053" w:type="dxa"/>
            <w:tcBorders>
              <w:top w:val="single" w:sz="4" w:space="0" w:color="FFFFFF" w:themeColor="background1"/>
            </w:tcBorders>
            <w:shd w:val="clear" w:color="auto" w:fill="auto"/>
            <w:noWrap/>
            <w:vAlign w:val="center"/>
            <w:hideMark/>
          </w:tcPr>
          <w:p w:rsidR="00AC4F10" w:rsidRPr="00AC4F10" w:rsidRDefault="00AC4F10" w:rsidP="005441B6">
            <w:pPr>
              <w:keepNext/>
              <w:keepLines/>
              <w:spacing w:before="0" w:after="0"/>
              <w:jc w:val="right"/>
              <w:rPr>
                <w:rFonts w:cs="Arial"/>
                <w:sz w:val="20"/>
                <w:szCs w:val="20"/>
                <w:lang w:eastAsia="cs-CZ" w:bidi="ar-SA"/>
              </w:rPr>
            </w:pPr>
            <w:r w:rsidRPr="00AC4F10">
              <w:rPr>
                <w:rFonts w:cs="Arial"/>
                <w:sz w:val="20"/>
                <w:szCs w:val="20"/>
                <w:lang w:eastAsia="cs-CZ" w:bidi="ar-SA"/>
              </w:rPr>
              <w:t>3</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B</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Těžba a dobývání</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19</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82,6</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10</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8</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C</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Zpracovatelský průmysl</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475</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65,7</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202</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47</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180</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98</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D</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Výroba a rozvod elektřiny, plynu, tepla</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42</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85,7</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21</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13</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13</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E</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Zásob. vodou, činnosti související s odpady</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34</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70,8</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13</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5</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14</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F</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Stavebnictví</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29</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53,7</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15</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9</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G</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Obchod, opravy motorových vozidel</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18</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38,3</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7</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6</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H</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Doprava a skladování</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38</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57,6</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22</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8</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8</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I</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 xml:space="preserve">Ubytování, stravování a pohostinství </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9</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45,0</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6</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J</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Informační a komunikační činnosti</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9</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69,2</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K</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Peněžnictví a pojišťovnictví</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5</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71,4</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L</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Činnosti v oblasti nemovitostí</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25</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55,6</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7</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12</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7</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M</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Profesní, vědecké a technické činnosti</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43</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47,3</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15</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20</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14</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N</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Administrativní a podpůrné činnosti</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8</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42,1</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5</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O</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Veřejná správa, obrana, sociální zabezpečení</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4</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57,1</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P</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Vzdělávání</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4,8</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Q</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Zdravotní a sociální péče</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11</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45,8</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6</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r>
      <w:tr w:rsidR="00AC4F10" w:rsidRPr="00367F51" w:rsidTr="005441B6">
        <w:trPr>
          <w:trHeight w:val="334"/>
        </w:trPr>
        <w:tc>
          <w:tcPr>
            <w:tcW w:w="307"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R</w:t>
            </w:r>
          </w:p>
        </w:tc>
        <w:tc>
          <w:tcPr>
            <w:tcW w:w="3374" w:type="dxa"/>
            <w:shd w:val="clear" w:color="auto" w:fill="F2F2F2" w:themeFill="background1" w:themeFillShade="F2"/>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Kulturní, zábavní a rekreační činnosti</w:t>
            </w:r>
          </w:p>
        </w:tc>
        <w:tc>
          <w:tcPr>
            <w:tcW w:w="709" w:type="dxa"/>
            <w:shd w:val="clear" w:color="auto" w:fill="F2F2F2" w:themeFill="background1" w:themeFillShade="F2"/>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3</w:t>
            </w:r>
          </w:p>
        </w:tc>
        <w:tc>
          <w:tcPr>
            <w:tcW w:w="708"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60,0</w:t>
            </w:r>
          </w:p>
        </w:tc>
        <w:tc>
          <w:tcPr>
            <w:tcW w:w="1134"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276"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053" w:type="dxa"/>
            <w:shd w:val="clear" w:color="auto" w:fill="F2F2F2" w:themeFill="background1" w:themeFillShade="F2"/>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r>
      <w:tr w:rsidR="00AC4F10" w:rsidRPr="00367F51" w:rsidTr="005441B6">
        <w:trPr>
          <w:trHeight w:val="334"/>
        </w:trPr>
        <w:tc>
          <w:tcPr>
            <w:tcW w:w="307"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S</w:t>
            </w:r>
          </w:p>
        </w:tc>
        <w:tc>
          <w:tcPr>
            <w:tcW w:w="3374" w:type="dxa"/>
            <w:shd w:val="clear" w:color="auto" w:fill="auto"/>
            <w:noWrap/>
            <w:vAlign w:val="center"/>
            <w:hideMark/>
          </w:tcPr>
          <w:p w:rsidR="00AC4F10" w:rsidRPr="00357F73" w:rsidRDefault="00AC4F10" w:rsidP="00350D75">
            <w:pPr>
              <w:keepNext/>
              <w:keepLines/>
              <w:spacing w:before="0" w:after="0"/>
              <w:jc w:val="left"/>
              <w:rPr>
                <w:rFonts w:cs="Arial"/>
                <w:sz w:val="20"/>
                <w:szCs w:val="20"/>
                <w:lang w:eastAsia="cs-CZ" w:bidi="ar-SA"/>
              </w:rPr>
            </w:pPr>
            <w:r w:rsidRPr="00357F73">
              <w:rPr>
                <w:rFonts w:cs="Arial"/>
                <w:sz w:val="20"/>
                <w:szCs w:val="20"/>
                <w:lang w:eastAsia="cs-CZ" w:bidi="ar-SA"/>
              </w:rPr>
              <w:t>Ostatní činnosti</w:t>
            </w:r>
          </w:p>
        </w:tc>
        <w:tc>
          <w:tcPr>
            <w:tcW w:w="709" w:type="dxa"/>
            <w:shd w:val="clear" w:color="auto" w:fill="auto"/>
            <w:noWrap/>
            <w:vAlign w:val="center"/>
            <w:hideMark/>
          </w:tcPr>
          <w:p w:rsidR="00AC4F10" w:rsidRPr="00357F73" w:rsidRDefault="00AC4F10" w:rsidP="00350D75">
            <w:pPr>
              <w:keepNext/>
              <w:keepLines/>
              <w:spacing w:before="0" w:after="0"/>
              <w:jc w:val="right"/>
              <w:rPr>
                <w:rFonts w:cs="Arial"/>
                <w:sz w:val="20"/>
                <w:szCs w:val="20"/>
                <w:lang w:eastAsia="cs-CZ" w:bidi="ar-SA"/>
              </w:rPr>
            </w:pPr>
            <w:r w:rsidRPr="00357F73">
              <w:rPr>
                <w:rFonts w:cs="Arial"/>
                <w:sz w:val="20"/>
                <w:szCs w:val="20"/>
                <w:lang w:eastAsia="cs-CZ" w:bidi="ar-SA"/>
              </w:rPr>
              <w:t>8</w:t>
            </w:r>
          </w:p>
        </w:tc>
        <w:tc>
          <w:tcPr>
            <w:tcW w:w="708" w:type="dxa"/>
            <w:shd w:val="clear" w:color="auto" w:fill="auto"/>
            <w:noWrap/>
            <w:vAlign w:val="center"/>
            <w:hideMark/>
          </w:tcPr>
          <w:p w:rsidR="00AC4F10" w:rsidRPr="00357F73" w:rsidRDefault="00AC4F10" w:rsidP="005441B6">
            <w:pPr>
              <w:keepNext/>
              <w:keepLines/>
              <w:spacing w:before="0" w:after="0"/>
              <w:jc w:val="right"/>
              <w:rPr>
                <w:rFonts w:cs="Arial"/>
                <w:i/>
                <w:sz w:val="20"/>
                <w:szCs w:val="20"/>
                <w:lang w:eastAsia="cs-CZ" w:bidi="ar-SA"/>
              </w:rPr>
            </w:pPr>
            <w:r w:rsidRPr="00357F73">
              <w:rPr>
                <w:rFonts w:cs="Arial"/>
                <w:i/>
                <w:sz w:val="20"/>
                <w:szCs w:val="20"/>
                <w:lang w:eastAsia="cs-CZ" w:bidi="ar-SA"/>
              </w:rPr>
              <w:t>80,0</w:t>
            </w:r>
          </w:p>
        </w:tc>
        <w:tc>
          <w:tcPr>
            <w:tcW w:w="1134"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5</w:t>
            </w:r>
          </w:p>
        </w:tc>
        <w:tc>
          <w:tcPr>
            <w:tcW w:w="1276"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 </w:t>
            </w:r>
          </w:p>
        </w:tc>
        <w:tc>
          <w:tcPr>
            <w:tcW w:w="114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1</w:t>
            </w:r>
          </w:p>
        </w:tc>
        <w:tc>
          <w:tcPr>
            <w:tcW w:w="1053" w:type="dxa"/>
            <w:shd w:val="clear" w:color="auto" w:fill="auto"/>
            <w:noWrap/>
            <w:vAlign w:val="center"/>
            <w:hideMark/>
          </w:tcPr>
          <w:p w:rsidR="00AC4F10" w:rsidRPr="00357F73" w:rsidRDefault="00AC4F10" w:rsidP="005441B6">
            <w:pPr>
              <w:keepNext/>
              <w:keepLines/>
              <w:spacing w:before="0" w:after="0"/>
              <w:jc w:val="right"/>
              <w:rPr>
                <w:rFonts w:cs="Arial"/>
                <w:sz w:val="20"/>
                <w:szCs w:val="20"/>
                <w:lang w:eastAsia="cs-CZ" w:bidi="ar-SA"/>
              </w:rPr>
            </w:pPr>
            <w:r w:rsidRPr="00357F73">
              <w:rPr>
                <w:rFonts w:cs="Arial"/>
                <w:sz w:val="20"/>
                <w:szCs w:val="20"/>
                <w:lang w:eastAsia="cs-CZ" w:bidi="ar-SA"/>
              </w:rPr>
              <w:t>2</w:t>
            </w:r>
          </w:p>
        </w:tc>
      </w:tr>
      <w:tr w:rsidR="00AC4F10" w:rsidRPr="00367F51" w:rsidTr="005441B6">
        <w:trPr>
          <w:trHeight w:val="334"/>
        </w:trPr>
        <w:tc>
          <w:tcPr>
            <w:tcW w:w="3681" w:type="dxa"/>
            <w:gridSpan w:val="2"/>
            <w:shd w:val="clear" w:color="auto" w:fill="E5B8B7" w:themeFill="accent2" w:themeFillTint="66"/>
            <w:noWrap/>
            <w:vAlign w:val="center"/>
            <w:hideMark/>
          </w:tcPr>
          <w:p w:rsidR="00AC4F10" w:rsidRPr="00357F73" w:rsidRDefault="00AC4F10" w:rsidP="00350D75">
            <w:pPr>
              <w:keepNext/>
              <w:keepLines/>
              <w:spacing w:before="0" w:after="0"/>
              <w:jc w:val="left"/>
              <w:rPr>
                <w:rFonts w:cs="Arial"/>
                <w:b/>
                <w:bCs/>
                <w:sz w:val="20"/>
                <w:szCs w:val="20"/>
                <w:lang w:eastAsia="cs-CZ" w:bidi="ar-SA"/>
              </w:rPr>
            </w:pPr>
            <w:r w:rsidRPr="00357F73">
              <w:rPr>
                <w:rFonts w:cs="Arial"/>
                <w:b/>
                <w:bCs/>
                <w:sz w:val="20"/>
                <w:szCs w:val="20"/>
                <w:lang w:eastAsia="cs-CZ" w:bidi="ar-SA"/>
              </w:rPr>
              <w:t>Celkem</w:t>
            </w:r>
          </w:p>
        </w:tc>
        <w:tc>
          <w:tcPr>
            <w:tcW w:w="709" w:type="dxa"/>
            <w:shd w:val="clear" w:color="auto" w:fill="E5B8B7" w:themeFill="accent2" w:themeFillTint="66"/>
            <w:noWrap/>
            <w:vAlign w:val="center"/>
            <w:hideMark/>
          </w:tcPr>
          <w:p w:rsidR="00AC4F10" w:rsidRPr="00357F73" w:rsidRDefault="00AC4F10" w:rsidP="00350D75">
            <w:pPr>
              <w:keepNext/>
              <w:keepLines/>
              <w:spacing w:before="0" w:after="0"/>
              <w:jc w:val="right"/>
              <w:rPr>
                <w:rFonts w:cs="Arial"/>
                <w:b/>
                <w:bCs/>
                <w:sz w:val="20"/>
                <w:szCs w:val="20"/>
                <w:lang w:eastAsia="cs-CZ" w:bidi="ar-SA"/>
              </w:rPr>
            </w:pPr>
            <w:r w:rsidRPr="00357F73">
              <w:rPr>
                <w:rFonts w:cs="Arial"/>
                <w:b/>
                <w:bCs/>
                <w:sz w:val="20"/>
                <w:szCs w:val="20"/>
                <w:lang w:eastAsia="cs-CZ" w:bidi="ar-SA"/>
              </w:rPr>
              <w:t>788</w:t>
            </w:r>
          </w:p>
        </w:tc>
        <w:tc>
          <w:tcPr>
            <w:tcW w:w="708" w:type="dxa"/>
            <w:shd w:val="clear" w:color="auto" w:fill="E5B8B7" w:themeFill="accent2" w:themeFillTint="66"/>
            <w:noWrap/>
            <w:vAlign w:val="center"/>
            <w:hideMark/>
          </w:tcPr>
          <w:p w:rsidR="00AC4F10" w:rsidRPr="00357F73" w:rsidRDefault="00AC4F10" w:rsidP="005441B6">
            <w:pPr>
              <w:keepNext/>
              <w:keepLines/>
              <w:spacing w:before="0" w:after="0"/>
              <w:jc w:val="right"/>
              <w:rPr>
                <w:rFonts w:cs="Arial"/>
                <w:b/>
                <w:bCs/>
                <w:i/>
                <w:sz w:val="20"/>
                <w:szCs w:val="20"/>
                <w:lang w:eastAsia="cs-CZ" w:bidi="ar-SA"/>
              </w:rPr>
            </w:pPr>
            <w:r w:rsidRPr="00357F73">
              <w:rPr>
                <w:rFonts w:cs="Arial"/>
                <w:b/>
                <w:bCs/>
                <w:i/>
                <w:sz w:val="20"/>
                <w:szCs w:val="20"/>
                <w:lang w:eastAsia="cs-CZ" w:bidi="ar-SA"/>
              </w:rPr>
              <w:t>61,2</w:t>
            </w:r>
          </w:p>
        </w:tc>
        <w:tc>
          <w:tcPr>
            <w:tcW w:w="1134" w:type="dxa"/>
            <w:shd w:val="clear" w:color="auto" w:fill="E5B8B7" w:themeFill="accent2" w:themeFillTint="66"/>
            <w:noWrap/>
            <w:vAlign w:val="center"/>
            <w:hideMark/>
          </w:tcPr>
          <w:p w:rsidR="00AC4F10" w:rsidRPr="00357F73" w:rsidRDefault="00AC4F10" w:rsidP="005441B6">
            <w:pPr>
              <w:keepNext/>
              <w:keepLines/>
              <w:spacing w:before="0" w:after="0"/>
              <w:jc w:val="right"/>
              <w:rPr>
                <w:rFonts w:cs="Arial"/>
                <w:b/>
                <w:bCs/>
                <w:sz w:val="20"/>
                <w:szCs w:val="20"/>
                <w:lang w:eastAsia="cs-CZ" w:bidi="ar-SA"/>
              </w:rPr>
            </w:pPr>
            <w:r w:rsidRPr="00357F73">
              <w:rPr>
                <w:rFonts w:cs="Arial"/>
                <w:b/>
                <w:bCs/>
                <w:sz w:val="20"/>
                <w:szCs w:val="20"/>
                <w:lang w:eastAsia="cs-CZ" w:bidi="ar-SA"/>
              </w:rPr>
              <w:t>333</w:t>
            </w:r>
          </w:p>
        </w:tc>
        <w:tc>
          <w:tcPr>
            <w:tcW w:w="1276" w:type="dxa"/>
            <w:shd w:val="clear" w:color="auto" w:fill="E5B8B7" w:themeFill="accent2" w:themeFillTint="66"/>
            <w:noWrap/>
            <w:vAlign w:val="center"/>
            <w:hideMark/>
          </w:tcPr>
          <w:p w:rsidR="00AC4F10" w:rsidRPr="00357F73" w:rsidRDefault="00AC4F10" w:rsidP="005441B6">
            <w:pPr>
              <w:keepNext/>
              <w:keepLines/>
              <w:spacing w:before="0" w:after="0"/>
              <w:jc w:val="right"/>
              <w:rPr>
                <w:rFonts w:cs="Arial"/>
                <w:b/>
                <w:bCs/>
                <w:sz w:val="20"/>
                <w:szCs w:val="20"/>
                <w:lang w:eastAsia="cs-CZ" w:bidi="ar-SA"/>
              </w:rPr>
            </w:pPr>
            <w:r w:rsidRPr="00357F73">
              <w:rPr>
                <w:rFonts w:cs="Arial"/>
                <w:b/>
                <w:bCs/>
                <w:sz w:val="20"/>
                <w:szCs w:val="20"/>
                <w:lang w:eastAsia="cs-CZ" w:bidi="ar-SA"/>
              </w:rPr>
              <w:t>79</w:t>
            </w:r>
          </w:p>
        </w:tc>
        <w:tc>
          <w:tcPr>
            <w:tcW w:w="1143" w:type="dxa"/>
            <w:shd w:val="clear" w:color="auto" w:fill="E5B8B7" w:themeFill="accent2" w:themeFillTint="66"/>
            <w:noWrap/>
            <w:vAlign w:val="center"/>
            <w:hideMark/>
          </w:tcPr>
          <w:p w:rsidR="00AC4F10" w:rsidRPr="00357F73" w:rsidRDefault="00AC4F10" w:rsidP="005441B6">
            <w:pPr>
              <w:keepNext/>
              <w:keepLines/>
              <w:spacing w:before="0" w:after="0"/>
              <w:jc w:val="right"/>
              <w:rPr>
                <w:rFonts w:cs="Arial"/>
                <w:b/>
                <w:bCs/>
                <w:sz w:val="20"/>
                <w:szCs w:val="20"/>
                <w:lang w:eastAsia="cs-CZ" w:bidi="ar-SA"/>
              </w:rPr>
            </w:pPr>
            <w:r w:rsidRPr="00357F73">
              <w:rPr>
                <w:rFonts w:cs="Arial"/>
                <w:b/>
                <w:bCs/>
                <w:sz w:val="20"/>
                <w:szCs w:val="20"/>
                <w:lang w:eastAsia="cs-CZ" w:bidi="ar-SA"/>
              </w:rPr>
              <w:t>300</w:t>
            </w:r>
          </w:p>
        </w:tc>
        <w:tc>
          <w:tcPr>
            <w:tcW w:w="1053" w:type="dxa"/>
            <w:shd w:val="clear" w:color="auto" w:fill="E5B8B7" w:themeFill="accent2" w:themeFillTint="66"/>
            <w:noWrap/>
            <w:vAlign w:val="center"/>
            <w:hideMark/>
          </w:tcPr>
          <w:p w:rsidR="00AC4F10" w:rsidRPr="00357F73" w:rsidRDefault="00AC4F10" w:rsidP="005441B6">
            <w:pPr>
              <w:keepNext/>
              <w:keepLines/>
              <w:spacing w:before="0" w:after="0"/>
              <w:jc w:val="right"/>
              <w:rPr>
                <w:rFonts w:cs="Arial"/>
                <w:b/>
                <w:bCs/>
                <w:sz w:val="20"/>
                <w:szCs w:val="20"/>
                <w:lang w:eastAsia="cs-CZ" w:bidi="ar-SA"/>
              </w:rPr>
            </w:pPr>
            <w:r w:rsidRPr="00357F73">
              <w:rPr>
                <w:rFonts w:cs="Arial"/>
                <w:b/>
                <w:bCs/>
                <w:sz w:val="20"/>
                <w:szCs w:val="20"/>
                <w:lang w:eastAsia="cs-CZ" w:bidi="ar-SA"/>
              </w:rPr>
              <w:t>166</w:t>
            </w:r>
          </w:p>
        </w:tc>
      </w:tr>
    </w:tbl>
    <w:p w:rsidR="00350D75" w:rsidRPr="00FA79A0" w:rsidRDefault="00350D75" w:rsidP="00217A24">
      <w:pPr>
        <w:spacing w:before="60" w:after="360"/>
        <w:rPr>
          <w:sz w:val="22"/>
          <w:szCs w:val="22"/>
          <w:lang w:eastAsia="cs-CZ"/>
        </w:rPr>
      </w:pPr>
      <w:r w:rsidRPr="00FA79A0">
        <w:rPr>
          <w:sz w:val="22"/>
          <w:szCs w:val="22"/>
          <w:lang w:eastAsia="cs-CZ"/>
        </w:rPr>
        <w:t xml:space="preserve">Zdroj: </w:t>
      </w:r>
      <w:r w:rsidR="00CB4A4D">
        <w:rPr>
          <w:sz w:val="20"/>
          <w:szCs w:val="20"/>
          <w:lang w:eastAsia="cs-CZ"/>
        </w:rPr>
        <w:t>Informace o pracovních podmínkách (IPP).</w:t>
      </w:r>
    </w:p>
    <w:p w:rsidR="008C499A" w:rsidRDefault="00124411" w:rsidP="0053564F">
      <w:r>
        <w:t xml:space="preserve">Způsob navyšování úrovně odměňování je nejčastěji sjednáván formou </w:t>
      </w:r>
      <w:r w:rsidRPr="002849B9">
        <w:rPr>
          <w:b/>
        </w:rPr>
        <w:t>zvýšení mzdových tarifů</w:t>
      </w:r>
      <w:r>
        <w:t xml:space="preserve"> (25,9 % smluv). Zvýšení tarifů v procentech uvádí 303 kolektivních smluv, přičemž se zaměstnavatelé zavázali k průměrném</w:t>
      </w:r>
      <w:r w:rsidR="00001D4C">
        <w:t>u zvýšení mzdových tarifů o 2,6 </w:t>
      </w:r>
      <w:r>
        <w:t>%. 30 kolektivních smluv obsahuje závazek zvyšovat mzdové tarify pevnou částk</w:t>
      </w:r>
      <w:r w:rsidR="0095375C">
        <w:t>ou</w:t>
      </w:r>
      <w:r>
        <w:t xml:space="preserve">, přičemž průměrná částka za všechny kolektivní smlouvy činila 411 Kč. Druhým nejčastějším způsobem navyšování mezd bylo </w:t>
      </w:r>
      <w:r w:rsidRPr="008E216A">
        <w:rPr>
          <w:b/>
        </w:rPr>
        <w:t>zvyšování průměrné nominální mzdy</w:t>
      </w:r>
      <w:r>
        <w:t xml:space="preserve">. Tento způsob je stanoven ve 23,3 % kolektivních smluv. Zvýšení průměrné nominální mzdy v procentech bylo využito ve 281 kolektivních smlouvách, přičemž průměrný závazek činil průměrné zvýšení nominální mzdy o 2,6 %. Nominální průměrná mzda by měla být </w:t>
      </w:r>
      <w:r w:rsidRPr="00233514">
        <w:rPr>
          <w:b/>
        </w:rPr>
        <w:t>navýšena absolutní částkou</w:t>
      </w:r>
      <w:r>
        <w:t xml:space="preserve"> podle 19 kolektivních smluv, přičemž průměrná částka činila 534 Kč. Celkem 12,9 % kolektivních smluv </w:t>
      </w:r>
      <w:r w:rsidR="0095375C">
        <w:t>řešilo růst mezd  formou</w:t>
      </w:r>
      <w:r>
        <w:t xml:space="preserve"> </w:t>
      </w:r>
      <w:r w:rsidRPr="00233514">
        <w:rPr>
          <w:b/>
        </w:rPr>
        <w:t xml:space="preserve">udržení </w:t>
      </w:r>
      <w:r w:rsidRPr="00233514">
        <w:rPr>
          <w:b/>
        </w:rPr>
        <w:lastRenderedPageBreak/>
        <w:t>reálné mzdy</w:t>
      </w:r>
      <w:r>
        <w:t xml:space="preserve"> a pouze 1,5 % kolektivních smluv form</w:t>
      </w:r>
      <w:r w:rsidR="0095375C">
        <w:t>ou</w:t>
      </w:r>
      <w:r>
        <w:t xml:space="preserve"> </w:t>
      </w:r>
      <w:r w:rsidRPr="00233514">
        <w:rPr>
          <w:b/>
        </w:rPr>
        <w:t>zvýšení průměrné reálné mzdy</w:t>
      </w:r>
      <w:r>
        <w:t xml:space="preserve"> v průměru o 1,9 %. Celkem 135 kolektivních smluv definovalo mzdový vývoj komplexněji a využívalo </w:t>
      </w:r>
      <w:r w:rsidRPr="00233514">
        <w:rPr>
          <w:b/>
        </w:rPr>
        <w:t>kombinaci</w:t>
      </w:r>
      <w:r>
        <w:t xml:space="preserve"> všech výše uvedených způsobů. Zajímavé je, že </w:t>
      </w:r>
      <w:r w:rsidRPr="00233514">
        <w:rPr>
          <w:b/>
        </w:rPr>
        <w:t>podmínky mzdového vývoje</w:t>
      </w:r>
      <w:r>
        <w:t xml:space="preserve"> byly </w:t>
      </w:r>
      <w:r w:rsidRPr="00233514">
        <w:rPr>
          <w:b/>
        </w:rPr>
        <w:t xml:space="preserve">navázány na ekonomické ukazatele </w:t>
      </w:r>
      <w:r>
        <w:t xml:space="preserve">jen ve 156 kolektivních smlouvách v podnikatelské sféře (12,1 % smluv). </w:t>
      </w:r>
    </w:p>
    <w:p w:rsidR="007679AE" w:rsidRDefault="00CC7393" w:rsidP="0053564F">
      <w:r>
        <w:t xml:space="preserve">Kromě otázky odměňování se </w:t>
      </w:r>
      <w:r w:rsidR="00DE6B5A">
        <w:t xml:space="preserve">93,8 % </w:t>
      </w:r>
      <w:r>
        <w:t>kolektivní</w:t>
      </w:r>
      <w:r w:rsidR="00DE6B5A">
        <w:t>ch</w:t>
      </w:r>
      <w:r>
        <w:t xml:space="preserve"> sml</w:t>
      </w:r>
      <w:r w:rsidR="00DE6B5A">
        <w:t>uv</w:t>
      </w:r>
      <w:r>
        <w:t xml:space="preserve"> věnuj</w:t>
      </w:r>
      <w:r w:rsidR="00DE6B5A">
        <w:t xml:space="preserve">e </w:t>
      </w:r>
      <w:r>
        <w:t xml:space="preserve">i </w:t>
      </w:r>
      <w:r w:rsidRPr="00DE6B5A">
        <w:rPr>
          <w:b/>
        </w:rPr>
        <w:t>úpravě pracovní doby</w:t>
      </w:r>
      <w:r>
        <w:t xml:space="preserve"> zaměstnanců (viz tabulka 6).</w:t>
      </w:r>
      <w:r w:rsidR="00B70FD2">
        <w:t xml:space="preserve"> V jednotlivých odvětvích upravuje pracovní dobu více než 80</w:t>
      </w:r>
      <w:r w:rsidR="00001D4C">
        <w:t> </w:t>
      </w:r>
      <w:r w:rsidR="00B70FD2">
        <w:t>% smluv. Výjimkou je pouze odvětví zdravotní a sociální péče, kde se této otázce věnuje pouze 75,0 % smluv</w:t>
      </w:r>
      <w:r w:rsidR="00D56F0F">
        <w:t xml:space="preserve"> v podnikatelské sféře</w:t>
      </w:r>
      <w:r w:rsidR="00B70FD2">
        <w:t>.</w:t>
      </w:r>
    </w:p>
    <w:p w:rsidR="00621339" w:rsidRPr="00EC60AF" w:rsidRDefault="00EC60AF" w:rsidP="004971F9">
      <w:pPr>
        <w:pStyle w:val="Titulek"/>
        <w:keepNext/>
        <w:keepLines/>
        <w:spacing w:before="480" w:after="60"/>
        <w:rPr>
          <w:b w:val="0"/>
          <w:i/>
          <w:sz w:val="22"/>
          <w:szCs w:val="22"/>
        </w:rPr>
      </w:pPr>
      <w:r w:rsidRPr="005319E2">
        <w:rPr>
          <w:b w:val="0"/>
          <w:i/>
          <w:sz w:val="22"/>
          <w:szCs w:val="22"/>
        </w:rPr>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6</w:t>
      </w:r>
      <w:r w:rsidR="008A3262" w:rsidRPr="005319E2">
        <w:rPr>
          <w:b w:val="0"/>
          <w:i/>
          <w:sz w:val="22"/>
          <w:szCs w:val="22"/>
        </w:rPr>
        <w:fldChar w:fldCharType="end"/>
      </w:r>
      <w:r w:rsidRPr="005319E2">
        <w:rPr>
          <w:b w:val="0"/>
          <w:i/>
          <w:sz w:val="22"/>
          <w:szCs w:val="22"/>
        </w:rPr>
        <w:t xml:space="preserve">: </w:t>
      </w:r>
      <w:r>
        <w:rPr>
          <w:b w:val="0"/>
          <w:i/>
          <w:sz w:val="22"/>
          <w:szCs w:val="22"/>
        </w:rPr>
        <w:t>Úprava pracovní doby sjednaná v kolektivních smlouvách v podnikatelské sféře v roce 2015</w:t>
      </w:r>
    </w:p>
    <w:tbl>
      <w:tblPr>
        <w:tblW w:w="10355" w:type="dxa"/>
        <w:jc w:val="center"/>
        <w:tblCellMar>
          <w:left w:w="70" w:type="dxa"/>
          <w:right w:w="70" w:type="dxa"/>
        </w:tblCellMar>
        <w:tblLook w:val="04A0" w:firstRow="1" w:lastRow="0" w:firstColumn="1" w:lastColumn="0" w:noHBand="0" w:noVBand="1"/>
      </w:tblPr>
      <w:tblGrid>
        <w:gridCol w:w="307"/>
        <w:gridCol w:w="3472"/>
        <w:gridCol w:w="18"/>
        <w:gridCol w:w="690"/>
        <w:gridCol w:w="18"/>
        <w:gridCol w:w="691"/>
        <w:gridCol w:w="18"/>
        <w:gridCol w:w="934"/>
        <w:gridCol w:w="18"/>
        <w:gridCol w:w="992"/>
        <w:gridCol w:w="18"/>
        <w:gridCol w:w="990"/>
        <w:gridCol w:w="18"/>
        <w:gridCol w:w="990"/>
        <w:gridCol w:w="18"/>
        <w:gridCol w:w="1145"/>
        <w:gridCol w:w="18"/>
      </w:tblGrid>
      <w:tr w:rsidR="00284904" w:rsidRPr="00284904" w:rsidTr="00696650">
        <w:trPr>
          <w:gridAfter w:val="1"/>
          <w:wAfter w:w="18" w:type="dxa"/>
          <w:trHeight w:val="263"/>
          <w:jc w:val="center"/>
        </w:trPr>
        <w:tc>
          <w:tcPr>
            <w:tcW w:w="377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284904" w:rsidRPr="00284904" w:rsidRDefault="00284904" w:rsidP="00284904">
            <w:pPr>
              <w:keepNext/>
              <w:spacing w:before="0" w:after="0"/>
              <w:jc w:val="center"/>
              <w:rPr>
                <w:rFonts w:cs="Arial"/>
                <w:b/>
                <w:sz w:val="20"/>
                <w:szCs w:val="20"/>
                <w:lang w:eastAsia="cs-CZ" w:bidi="ar-SA"/>
              </w:rPr>
            </w:pPr>
            <w:r w:rsidRPr="00284904">
              <w:rPr>
                <w:rFonts w:cs="Arial"/>
                <w:b/>
                <w:sz w:val="20"/>
                <w:szCs w:val="20"/>
                <w:lang w:eastAsia="cs-CZ" w:bidi="ar-SA"/>
              </w:rPr>
              <w:t>Odvětví ekonomické činnosti</w:t>
            </w:r>
          </w:p>
          <w:p w:rsidR="00284904" w:rsidRPr="00284904" w:rsidRDefault="00284904" w:rsidP="00284904">
            <w:pPr>
              <w:keepNext/>
              <w:keepLines/>
              <w:spacing w:before="0" w:after="0"/>
              <w:jc w:val="center"/>
              <w:rPr>
                <w:rFonts w:cs="Arial"/>
                <w:sz w:val="20"/>
                <w:szCs w:val="20"/>
                <w:lang w:eastAsia="cs-CZ" w:bidi="ar-SA"/>
              </w:rPr>
            </w:pPr>
            <w:r w:rsidRPr="00284904">
              <w:rPr>
                <w:rFonts w:cs="Arial"/>
                <w:b/>
                <w:sz w:val="20"/>
                <w:szCs w:val="20"/>
                <w:lang w:eastAsia="cs-CZ" w:bidi="ar-SA"/>
              </w:rPr>
              <w:t>(sekce CZ</w:t>
            </w:r>
            <w:r w:rsidRPr="00284904">
              <w:rPr>
                <w:rFonts w:cs="Arial"/>
                <w:b/>
                <w:sz w:val="20"/>
                <w:szCs w:val="20"/>
                <w:lang w:eastAsia="cs-CZ" w:bidi="ar-SA"/>
              </w:rPr>
              <w:noBreakHyphen/>
              <w:t>NACE)</w:t>
            </w:r>
          </w:p>
        </w:tc>
        <w:tc>
          <w:tcPr>
            <w:tcW w:w="1417" w:type="dxa"/>
            <w:gridSpan w:val="4"/>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Pracovní doba sjednána</w:t>
            </w:r>
          </w:p>
        </w:tc>
        <w:tc>
          <w:tcPr>
            <w:tcW w:w="514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tcPr>
          <w:p w:rsidR="00284904" w:rsidRPr="00284904" w:rsidRDefault="00E35281" w:rsidP="00E35281">
            <w:pPr>
              <w:keepNext/>
              <w:keepLines/>
              <w:spacing w:before="0" w:after="0"/>
              <w:jc w:val="center"/>
              <w:rPr>
                <w:rFonts w:cs="Arial"/>
                <w:b/>
                <w:sz w:val="20"/>
                <w:szCs w:val="20"/>
                <w:lang w:eastAsia="cs-CZ" w:bidi="ar-SA"/>
              </w:rPr>
            </w:pPr>
            <w:r>
              <w:rPr>
                <w:rFonts w:cs="Arial"/>
                <w:b/>
                <w:sz w:val="20"/>
                <w:szCs w:val="20"/>
                <w:lang w:eastAsia="cs-CZ" w:bidi="ar-SA"/>
              </w:rPr>
              <w:t>Sjednaná d</w:t>
            </w:r>
            <w:r w:rsidR="00290768">
              <w:rPr>
                <w:rFonts w:cs="Arial"/>
                <w:b/>
                <w:sz w:val="20"/>
                <w:szCs w:val="20"/>
                <w:lang w:eastAsia="cs-CZ" w:bidi="ar-SA"/>
              </w:rPr>
              <w:t>élka pracovní doby</w:t>
            </w:r>
          </w:p>
        </w:tc>
      </w:tr>
      <w:tr w:rsidR="00284904" w:rsidRPr="00284904" w:rsidTr="00696650">
        <w:trPr>
          <w:gridAfter w:val="1"/>
          <w:wAfter w:w="18" w:type="dxa"/>
          <w:trHeight w:val="263"/>
          <w:jc w:val="center"/>
        </w:trPr>
        <w:tc>
          <w:tcPr>
            <w:tcW w:w="377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left"/>
              <w:rPr>
                <w:rFonts w:cs="Arial"/>
                <w:sz w:val="20"/>
                <w:szCs w:val="20"/>
                <w:lang w:eastAsia="cs-CZ" w:bidi="ar-SA"/>
              </w:rPr>
            </w:pPr>
          </w:p>
        </w:tc>
        <w:tc>
          <w:tcPr>
            <w:tcW w:w="1417" w:type="dxa"/>
            <w:gridSpan w:val="4"/>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84904" w:rsidRPr="00284904" w:rsidRDefault="00284904" w:rsidP="00284904">
            <w:pPr>
              <w:keepNext/>
              <w:keepLines/>
              <w:spacing w:before="0" w:after="0"/>
              <w:jc w:val="center"/>
              <w:rPr>
                <w:rFonts w:cs="Arial"/>
                <w:b/>
                <w:sz w:val="20"/>
                <w:szCs w:val="20"/>
                <w:lang w:eastAsia="cs-CZ" w:bidi="ar-SA"/>
              </w:rPr>
            </w:pPr>
          </w:p>
        </w:tc>
        <w:tc>
          <w:tcPr>
            <w:tcW w:w="952"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obecně bez rozlišení</w:t>
            </w:r>
          </w:p>
        </w:tc>
        <w:tc>
          <w:tcPr>
            <w:tcW w:w="418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v pracovních režimech</w:t>
            </w:r>
          </w:p>
        </w:tc>
      </w:tr>
      <w:tr w:rsidR="00284904" w:rsidRPr="00284904" w:rsidTr="00696650">
        <w:trPr>
          <w:gridAfter w:val="1"/>
          <w:wAfter w:w="18" w:type="dxa"/>
          <w:trHeight w:val="263"/>
          <w:jc w:val="center"/>
        </w:trPr>
        <w:tc>
          <w:tcPr>
            <w:tcW w:w="377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left"/>
              <w:rPr>
                <w:rFonts w:cs="Arial"/>
                <w:sz w:val="20"/>
                <w:szCs w:val="20"/>
                <w:lang w:eastAsia="cs-CZ" w:bidi="ar-SA"/>
              </w:rPr>
            </w:pPr>
          </w:p>
        </w:tc>
        <w:tc>
          <w:tcPr>
            <w:tcW w:w="1417" w:type="dxa"/>
            <w:gridSpan w:val="4"/>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284904" w:rsidRPr="00284904" w:rsidRDefault="00284904" w:rsidP="00284904">
            <w:pPr>
              <w:keepNext/>
              <w:keepLines/>
              <w:spacing w:before="0" w:after="0"/>
              <w:jc w:val="center"/>
              <w:rPr>
                <w:rFonts w:cs="Arial"/>
                <w:b/>
                <w:sz w:val="20"/>
                <w:szCs w:val="20"/>
                <w:lang w:eastAsia="cs-CZ" w:bidi="ar-SA"/>
              </w:rPr>
            </w:pPr>
          </w:p>
        </w:tc>
        <w:tc>
          <w:tcPr>
            <w:tcW w:w="95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p>
        </w:tc>
        <w:tc>
          <w:tcPr>
            <w:tcW w:w="10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1směnný</w:t>
            </w:r>
          </w:p>
        </w:tc>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2směnný</w:t>
            </w:r>
          </w:p>
        </w:tc>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3směnný</w:t>
            </w:r>
          </w:p>
        </w:tc>
        <w:tc>
          <w:tcPr>
            <w:tcW w:w="1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b/>
                <w:sz w:val="20"/>
                <w:szCs w:val="20"/>
                <w:lang w:eastAsia="cs-CZ" w:bidi="ar-SA"/>
              </w:rPr>
            </w:pPr>
            <w:r w:rsidRPr="00284904">
              <w:rPr>
                <w:rFonts w:cs="Arial"/>
                <w:b/>
                <w:sz w:val="20"/>
                <w:szCs w:val="20"/>
                <w:lang w:eastAsia="cs-CZ" w:bidi="ar-SA"/>
              </w:rPr>
              <w:t>nepřetržitý</w:t>
            </w:r>
          </w:p>
        </w:tc>
      </w:tr>
      <w:tr w:rsidR="00284904" w:rsidRPr="00284904" w:rsidTr="00696650">
        <w:trPr>
          <w:gridAfter w:val="1"/>
          <w:wAfter w:w="18" w:type="dxa"/>
          <w:trHeight w:val="270"/>
          <w:jc w:val="center"/>
        </w:trPr>
        <w:tc>
          <w:tcPr>
            <w:tcW w:w="377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left"/>
              <w:rPr>
                <w:rFonts w:cs="Arial"/>
                <w:sz w:val="20"/>
                <w:szCs w:val="20"/>
                <w:lang w:eastAsia="cs-CZ" w:bidi="ar-SA"/>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sz w:val="20"/>
                <w:szCs w:val="20"/>
                <w:lang w:eastAsia="cs-CZ" w:bidi="ar-SA"/>
              </w:rPr>
            </w:pPr>
            <w:r w:rsidRPr="00284904">
              <w:rPr>
                <w:rFonts w:cs="Arial"/>
                <w:sz w:val="20"/>
                <w:szCs w:val="20"/>
                <w:lang w:eastAsia="cs-CZ" w:bidi="ar-SA"/>
              </w:rPr>
              <w:t>PKS</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1D00B4" w:rsidRDefault="00284904" w:rsidP="00284904">
            <w:pPr>
              <w:keepNext/>
              <w:keepLines/>
              <w:spacing w:before="0" w:after="0"/>
              <w:jc w:val="center"/>
              <w:rPr>
                <w:rFonts w:cs="Arial"/>
                <w:i/>
                <w:sz w:val="20"/>
                <w:szCs w:val="20"/>
                <w:lang w:eastAsia="cs-CZ" w:bidi="ar-SA"/>
              </w:rPr>
            </w:pPr>
            <w:r w:rsidRPr="001D00B4">
              <w:rPr>
                <w:rFonts w:cs="Arial"/>
                <w:i/>
                <w:sz w:val="20"/>
                <w:szCs w:val="20"/>
                <w:lang w:eastAsia="cs-CZ" w:bidi="ar-SA"/>
              </w:rPr>
              <w:t>% KS</w:t>
            </w:r>
          </w:p>
        </w:tc>
        <w:tc>
          <w:tcPr>
            <w:tcW w:w="514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284904" w:rsidRPr="00284904" w:rsidRDefault="00284904" w:rsidP="00284904">
            <w:pPr>
              <w:keepNext/>
              <w:keepLines/>
              <w:spacing w:before="0" w:after="0"/>
              <w:jc w:val="center"/>
              <w:rPr>
                <w:rFonts w:cs="Arial"/>
                <w:sz w:val="20"/>
                <w:szCs w:val="20"/>
                <w:lang w:eastAsia="cs-CZ" w:bidi="ar-SA"/>
              </w:rPr>
            </w:pPr>
            <w:r w:rsidRPr="00284904">
              <w:rPr>
                <w:rFonts w:cs="Arial"/>
                <w:sz w:val="20"/>
                <w:szCs w:val="20"/>
                <w:lang w:val="en-US" w:eastAsia="cs-CZ" w:bidi="ar-SA"/>
              </w:rPr>
              <w:t>[</w:t>
            </w:r>
            <w:r w:rsidRPr="00284904">
              <w:rPr>
                <w:rFonts w:cs="Arial"/>
                <w:sz w:val="20"/>
                <w:szCs w:val="20"/>
                <w:lang w:eastAsia="cs-CZ" w:bidi="ar-SA"/>
              </w:rPr>
              <w:t>hod</w:t>
            </w:r>
            <w:r w:rsidRPr="00284904">
              <w:rPr>
                <w:rFonts w:cs="Arial"/>
                <w:sz w:val="20"/>
                <w:szCs w:val="20"/>
                <w:lang w:val="en-US" w:eastAsia="cs-CZ" w:bidi="ar-SA"/>
              </w:rPr>
              <w:t>/</w:t>
            </w:r>
            <w:r w:rsidRPr="00284904">
              <w:rPr>
                <w:rFonts w:cs="Arial"/>
                <w:sz w:val="20"/>
                <w:szCs w:val="20"/>
                <w:lang w:eastAsia="cs-CZ" w:bidi="ar-SA"/>
              </w:rPr>
              <w:t>týden]</w:t>
            </w:r>
          </w:p>
        </w:tc>
      </w:tr>
      <w:tr w:rsidR="00284904" w:rsidRPr="00284904" w:rsidTr="00696650">
        <w:trPr>
          <w:trHeight w:val="334"/>
          <w:jc w:val="center"/>
        </w:trPr>
        <w:tc>
          <w:tcPr>
            <w:tcW w:w="307" w:type="dxa"/>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A</w:t>
            </w:r>
          </w:p>
        </w:tc>
        <w:tc>
          <w:tcPr>
            <w:tcW w:w="3490"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Zemědělství, lesnictví a rybářství</w:t>
            </w:r>
          </w:p>
        </w:tc>
        <w:tc>
          <w:tcPr>
            <w:tcW w:w="708"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16</w:t>
            </w:r>
          </w:p>
        </w:tc>
        <w:tc>
          <w:tcPr>
            <w:tcW w:w="709" w:type="dxa"/>
            <w:gridSpan w:val="2"/>
            <w:tcBorders>
              <w:top w:val="single" w:sz="4" w:space="0" w:color="FFFFFF" w:themeColor="background1"/>
            </w:tcBorders>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100,0</w:t>
            </w:r>
          </w:p>
        </w:tc>
        <w:tc>
          <w:tcPr>
            <w:tcW w:w="952"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39,6</w:t>
            </w:r>
          </w:p>
        </w:tc>
        <w:tc>
          <w:tcPr>
            <w:tcW w:w="1010"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39,2</w:t>
            </w:r>
          </w:p>
        </w:tc>
        <w:tc>
          <w:tcPr>
            <w:tcW w:w="1008"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37,50</w:t>
            </w:r>
          </w:p>
        </w:tc>
        <w:tc>
          <w:tcPr>
            <w:tcW w:w="1008"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36,3</w:t>
            </w:r>
          </w:p>
        </w:tc>
        <w:tc>
          <w:tcPr>
            <w:tcW w:w="1163" w:type="dxa"/>
            <w:gridSpan w:val="2"/>
            <w:tcBorders>
              <w:top w:val="single" w:sz="4" w:space="0" w:color="FFFFFF" w:themeColor="background1"/>
            </w:tcBorders>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35,0</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B</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Těžba a dobývání</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21</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91,3</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40,0</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38,75</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C</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Zpracovatelský průmysl</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682</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94,3</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37,8</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39,7</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38,26</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37,4</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37,3</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D</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Výroba a rozvod elektřiny, plynu, tepla</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49</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100,0</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37,7</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38,2</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37,20</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37,0</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36,6</w:t>
            </w:r>
          </w:p>
        </w:tc>
      </w:tr>
      <w:tr w:rsidR="00284904" w:rsidRPr="00284904" w:rsidTr="000C27F4">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E</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Zásob. vodou, činnosti související s odpady</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47</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97,9</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38,3</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39,8</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38,47</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37,3</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F</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Stavebnictví</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53</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98,1</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39,2</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39,9</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38,53</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37,4</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G</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Obchod, opravy motorových vozidel</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44</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93,6</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38,4</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39,7</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38,28</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37,1</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36,9</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H</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Doprava a skladování</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63</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95,5</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38,5</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38,2</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37,69</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37,3</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36,7</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I</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 xml:space="preserve">Ubytování, stravování a pohostinství </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19</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95,0</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40,0</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38,70</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37,4</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J</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Informační a komunikační činnosti</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12</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92,3</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38,5</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38,6</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37,62</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37,2</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37,0</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K</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Peněžnictví a pojišťovnictví</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7</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100,0</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40,0</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39,5</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37,85</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36,8</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L</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Činnosti v oblasti nemovitostí</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45</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100,0</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38,3</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39,6</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38,33</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37,2</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M</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Profesní, vědecké a technické činnosti</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76</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83,5</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38,6</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38,9</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37,89</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37,1</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N</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Administrativní a podpůrné činnosti</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18</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94,7</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38,5</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39,5</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38,31</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37,3</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O</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Veřejná správa, obrana, sociální zabezpečení</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6</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85,7</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38,8</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P</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Vzdělávání</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18</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85,7</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39,3</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40,0</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38,75</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Q</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Zdravotní a sociální péče</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18</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75,0</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39,6</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38,56</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37,4</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37,4</w:t>
            </w:r>
          </w:p>
        </w:tc>
      </w:tr>
      <w:tr w:rsidR="00284904" w:rsidRPr="00284904" w:rsidTr="00696650">
        <w:trPr>
          <w:trHeight w:val="334"/>
          <w:jc w:val="center"/>
        </w:trPr>
        <w:tc>
          <w:tcPr>
            <w:tcW w:w="307" w:type="dxa"/>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R</w:t>
            </w:r>
          </w:p>
        </w:tc>
        <w:tc>
          <w:tcPr>
            <w:tcW w:w="349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Kulturní, zábavní a rekreační činnosti</w:t>
            </w:r>
          </w:p>
        </w:tc>
        <w:tc>
          <w:tcPr>
            <w:tcW w:w="7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w:t>
            </w:r>
          </w:p>
        </w:tc>
        <w:tc>
          <w:tcPr>
            <w:tcW w:w="709" w:type="dxa"/>
            <w:gridSpan w:val="2"/>
            <w:shd w:val="clear" w:color="auto" w:fill="F2F2F2" w:themeFill="background1" w:themeFillShade="F2"/>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80,0</w:t>
            </w:r>
          </w:p>
        </w:tc>
        <w:tc>
          <w:tcPr>
            <w:tcW w:w="952"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39,2</w:t>
            </w:r>
          </w:p>
        </w:tc>
        <w:tc>
          <w:tcPr>
            <w:tcW w:w="1010"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008"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c>
          <w:tcPr>
            <w:tcW w:w="1163" w:type="dxa"/>
            <w:gridSpan w:val="2"/>
            <w:shd w:val="clear" w:color="auto" w:fill="F2F2F2" w:themeFill="background1" w:themeFillShade="F2"/>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 </w:t>
            </w:r>
          </w:p>
        </w:tc>
      </w:tr>
      <w:tr w:rsidR="00284904" w:rsidRPr="00284904" w:rsidTr="00696650">
        <w:trPr>
          <w:trHeight w:val="334"/>
          <w:jc w:val="center"/>
        </w:trPr>
        <w:tc>
          <w:tcPr>
            <w:tcW w:w="307" w:type="dxa"/>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S</w:t>
            </w:r>
          </w:p>
        </w:tc>
        <w:tc>
          <w:tcPr>
            <w:tcW w:w="3490" w:type="dxa"/>
            <w:gridSpan w:val="2"/>
            <w:shd w:val="clear" w:color="auto" w:fill="auto"/>
            <w:noWrap/>
            <w:vAlign w:val="center"/>
            <w:hideMark/>
          </w:tcPr>
          <w:p w:rsidR="00284904" w:rsidRPr="00284904" w:rsidRDefault="00284904" w:rsidP="00284904">
            <w:pPr>
              <w:keepNext/>
              <w:keepLines/>
              <w:spacing w:before="0" w:after="0"/>
              <w:jc w:val="left"/>
              <w:rPr>
                <w:rFonts w:cs="Arial"/>
                <w:sz w:val="20"/>
                <w:szCs w:val="20"/>
                <w:lang w:eastAsia="cs-CZ" w:bidi="ar-SA"/>
              </w:rPr>
            </w:pPr>
            <w:r w:rsidRPr="00284904">
              <w:rPr>
                <w:rFonts w:cs="Arial"/>
                <w:sz w:val="20"/>
                <w:szCs w:val="20"/>
                <w:lang w:eastAsia="cs-CZ" w:bidi="ar-SA"/>
              </w:rPr>
              <w:t>Ostatní činnosti</w:t>
            </w:r>
          </w:p>
        </w:tc>
        <w:tc>
          <w:tcPr>
            <w:tcW w:w="7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10</w:t>
            </w:r>
          </w:p>
        </w:tc>
        <w:tc>
          <w:tcPr>
            <w:tcW w:w="709" w:type="dxa"/>
            <w:gridSpan w:val="2"/>
            <w:shd w:val="clear" w:color="auto" w:fill="auto"/>
            <w:noWrap/>
            <w:vAlign w:val="center"/>
            <w:hideMark/>
          </w:tcPr>
          <w:p w:rsidR="00284904" w:rsidRPr="001D00B4" w:rsidRDefault="00284904" w:rsidP="00284904">
            <w:pPr>
              <w:keepNext/>
              <w:keepLines/>
              <w:spacing w:before="0" w:after="0"/>
              <w:jc w:val="right"/>
              <w:rPr>
                <w:rFonts w:cs="Arial"/>
                <w:i/>
                <w:sz w:val="20"/>
                <w:szCs w:val="20"/>
                <w:lang w:eastAsia="cs-CZ" w:bidi="ar-SA"/>
              </w:rPr>
            </w:pPr>
            <w:r w:rsidRPr="001D00B4">
              <w:rPr>
                <w:rFonts w:cs="Arial"/>
                <w:i/>
                <w:sz w:val="20"/>
                <w:szCs w:val="20"/>
                <w:lang w:eastAsia="cs-CZ" w:bidi="ar-SA"/>
              </w:rPr>
              <w:t>100,0</w:t>
            </w:r>
          </w:p>
        </w:tc>
        <w:tc>
          <w:tcPr>
            <w:tcW w:w="952"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38,2</w:t>
            </w:r>
          </w:p>
        </w:tc>
        <w:tc>
          <w:tcPr>
            <w:tcW w:w="1010"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40,0</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38,33</w:t>
            </w:r>
          </w:p>
        </w:tc>
        <w:tc>
          <w:tcPr>
            <w:tcW w:w="1008"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c>
          <w:tcPr>
            <w:tcW w:w="1163" w:type="dxa"/>
            <w:gridSpan w:val="2"/>
            <w:shd w:val="clear" w:color="auto" w:fill="auto"/>
            <w:noWrap/>
            <w:vAlign w:val="center"/>
            <w:hideMark/>
          </w:tcPr>
          <w:p w:rsidR="00284904" w:rsidRPr="00284904" w:rsidRDefault="00284904" w:rsidP="00284904">
            <w:pPr>
              <w:keepNext/>
              <w:keepLines/>
              <w:spacing w:before="0" w:after="0"/>
              <w:jc w:val="right"/>
              <w:rPr>
                <w:rFonts w:cs="Arial"/>
                <w:sz w:val="20"/>
                <w:szCs w:val="20"/>
                <w:lang w:eastAsia="cs-CZ" w:bidi="ar-SA"/>
              </w:rPr>
            </w:pPr>
            <w:r w:rsidRPr="00284904">
              <w:rPr>
                <w:rFonts w:cs="Arial"/>
                <w:sz w:val="20"/>
                <w:szCs w:val="20"/>
                <w:lang w:eastAsia="cs-CZ" w:bidi="ar-SA"/>
              </w:rPr>
              <w:t>37,5</w:t>
            </w:r>
          </w:p>
        </w:tc>
      </w:tr>
      <w:tr w:rsidR="00284904" w:rsidRPr="00284904" w:rsidTr="00696650">
        <w:trPr>
          <w:gridAfter w:val="1"/>
          <w:wAfter w:w="18" w:type="dxa"/>
          <w:trHeight w:val="334"/>
          <w:jc w:val="center"/>
        </w:trPr>
        <w:tc>
          <w:tcPr>
            <w:tcW w:w="3779" w:type="dxa"/>
            <w:gridSpan w:val="2"/>
            <w:shd w:val="clear" w:color="auto" w:fill="E5B8B7" w:themeFill="accent2" w:themeFillTint="66"/>
            <w:noWrap/>
            <w:vAlign w:val="center"/>
            <w:hideMark/>
          </w:tcPr>
          <w:p w:rsidR="00284904" w:rsidRPr="00284904" w:rsidRDefault="00284904" w:rsidP="00284904">
            <w:pPr>
              <w:keepNext/>
              <w:keepLines/>
              <w:spacing w:before="0" w:after="0"/>
              <w:jc w:val="left"/>
              <w:rPr>
                <w:rFonts w:cs="Arial"/>
                <w:b/>
                <w:bCs/>
                <w:sz w:val="20"/>
                <w:szCs w:val="20"/>
                <w:lang w:eastAsia="cs-CZ" w:bidi="ar-SA"/>
              </w:rPr>
            </w:pPr>
            <w:r w:rsidRPr="00284904">
              <w:rPr>
                <w:rFonts w:cs="Arial"/>
                <w:b/>
                <w:bCs/>
                <w:sz w:val="20"/>
                <w:szCs w:val="20"/>
                <w:lang w:eastAsia="cs-CZ" w:bidi="ar-SA"/>
              </w:rPr>
              <w:t>Celkem</w:t>
            </w:r>
          </w:p>
        </w:tc>
        <w:tc>
          <w:tcPr>
            <w:tcW w:w="708"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1 208</w:t>
            </w:r>
          </w:p>
        </w:tc>
        <w:tc>
          <w:tcPr>
            <w:tcW w:w="709" w:type="dxa"/>
            <w:gridSpan w:val="2"/>
            <w:shd w:val="clear" w:color="auto" w:fill="E5B8B7" w:themeFill="accent2" w:themeFillTint="66"/>
            <w:noWrap/>
            <w:vAlign w:val="center"/>
            <w:hideMark/>
          </w:tcPr>
          <w:p w:rsidR="00284904" w:rsidRPr="001D00B4" w:rsidRDefault="00284904" w:rsidP="00284904">
            <w:pPr>
              <w:keepNext/>
              <w:keepLines/>
              <w:spacing w:before="0" w:after="0"/>
              <w:jc w:val="right"/>
              <w:rPr>
                <w:rFonts w:cs="Arial"/>
                <w:b/>
                <w:bCs/>
                <w:i/>
                <w:sz w:val="20"/>
                <w:szCs w:val="20"/>
                <w:lang w:eastAsia="cs-CZ" w:bidi="ar-SA"/>
              </w:rPr>
            </w:pPr>
            <w:r w:rsidRPr="001D00B4">
              <w:rPr>
                <w:rFonts w:cs="Arial"/>
                <w:b/>
                <w:bCs/>
                <w:i/>
                <w:sz w:val="20"/>
                <w:szCs w:val="20"/>
                <w:lang w:eastAsia="cs-CZ" w:bidi="ar-SA"/>
              </w:rPr>
              <w:t>93,8</w:t>
            </w:r>
          </w:p>
        </w:tc>
        <w:tc>
          <w:tcPr>
            <w:tcW w:w="952"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38,1</w:t>
            </w:r>
          </w:p>
        </w:tc>
        <w:tc>
          <w:tcPr>
            <w:tcW w:w="1010"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39,5</w:t>
            </w:r>
          </w:p>
        </w:tc>
        <w:tc>
          <w:tcPr>
            <w:tcW w:w="1008"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38,23</w:t>
            </w:r>
          </w:p>
        </w:tc>
        <w:tc>
          <w:tcPr>
            <w:tcW w:w="1008"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37,4</w:t>
            </w:r>
          </w:p>
        </w:tc>
        <w:tc>
          <w:tcPr>
            <w:tcW w:w="1163" w:type="dxa"/>
            <w:gridSpan w:val="2"/>
            <w:shd w:val="clear" w:color="auto" w:fill="E5B8B7" w:themeFill="accent2" w:themeFillTint="66"/>
            <w:noWrap/>
            <w:vAlign w:val="center"/>
            <w:hideMark/>
          </w:tcPr>
          <w:p w:rsidR="00284904" w:rsidRPr="00284904" w:rsidRDefault="00284904" w:rsidP="00284904">
            <w:pPr>
              <w:keepNext/>
              <w:keepLines/>
              <w:spacing w:before="0" w:after="0"/>
              <w:jc w:val="right"/>
              <w:rPr>
                <w:rFonts w:cs="Arial"/>
                <w:b/>
                <w:bCs/>
                <w:sz w:val="20"/>
                <w:szCs w:val="20"/>
                <w:lang w:eastAsia="cs-CZ" w:bidi="ar-SA"/>
              </w:rPr>
            </w:pPr>
            <w:r w:rsidRPr="00284904">
              <w:rPr>
                <w:rFonts w:cs="Arial"/>
                <w:b/>
                <w:bCs/>
                <w:sz w:val="20"/>
                <w:szCs w:val="20"/>
                <w:lang w:eastAsia="cs-CZ" w:bidi="ar-SA"/>
              </w:rPr>
              <w:t>37,2</w:t>
            </w:r>
          </w:p>
        </w:tc>
      </w:tr>
    </w:tbl>
    <w:p w:rsidR="00696650" w:rsidRPr="00FA79A0" w:rsidRDefault="00696650" w:rsidP="004971F9">
      <w:pPr>
        <w:spacing w:before="60" w:after="480"/>
        <w:rPr>
          <w:sz w:val="22"/>
          <w:szCs w:val="22"/>
          <w:lang w:eastAsia="cs-CZ"/>
        </w:rPr>
      </w:pPr>
      <w:r w:rsidRPr="00FA79A0">
        <w:rPr>
          <w:sz w:val="22"/>
          <w:szCs w:val="22"/>
          <w:lang w:eastAsia="cs-CZ"/>
        </w:rPr>
        <w:t xml:space="preserve">Zdroj: </w:t>
      </w:r>
      <w:r w:rsidR="00CB4A4D">
        <w:rPr>
          <w:sz w:val="20"/>
          <w:szCs w:val="20"/>
          <w:lang w:eastAsia="cs-CZ"/>
        </w:rPr>
        <w:t>Informace o pracovních podmínkách (IPP).</w:t>
      </w:r>
    </w:p>
    <w:p w:rsidR="00B81B8A" w:rsidRDefault="00022616" w:rsidP="0053564F">
      <w:r w:rsidRPr="005270C3">
        <w:lastRenderedPageBreak/>
        <w:t xml:space="preserve">Pracovní dobu upravovalo </w:t>
      </w:r>
      <w:r w:rsidRPr="005270C3">
        <w:rPr>
          <w:b/>
        </w:rPr>
        <w:t>obecně bez rozlišení</w:t>
      </w:r>
      <w:r w:rsidRPr="005270C3">
        <w:t xml:space="preserve"> 65,3 % kolektivních smluv a průměrná délka sjednané pracovní doby činila 38,1 hod</w:t>
      </w:r>
      <w:r w:rsidR="005270C3" w:rsidRPr="005270C3">
        <w:t>in za týden</w:t>
      </w:r>
      <w:r w:rsidRPr="005270C3">
        <w:t xml:space="preserve">. </w:t>
      </w:r>
      <w:r w:rsidR="005270C3" w:rsidRPr="005270C3">
        <w:t xml:space="preserve">Celkem 28,5 % kolektivních smluv upravovalo pracovní dobu </w:t>
      </w:r>
      <w:r w:rsidR="005270C3" w:rsidRPr="005270C3">
        <w:rPr>
          <w:b/>
        </w:rPr>
        <w:t>v pracovních režimech</w:t>
      </w:r>
      <w:r w:rsidR="005270C3" w:rsidRPr="005270C3">
        <w:t xml:space="preserve">. </w:t>
      </w:r>
      <w:r w:rsidR="008C499A">
        <w:t>V</w:t>
      </w:r>
      <w:r w:rsidR="008C499A">
        <w:rPr>
          <w:rFonts w:cs="Arial"/>
        </w:rPr>
        <w:t> </w:t>
      </w:r>
      <w:r w:rsidR="008C499A" w:rsidRPr="00C20E78">
        <w:rPr>
          <w:rFonts w:cs="Arial"/>
        </w:rPr>
        <w:t>76,</w:t>
      </w:r>
      <w:r w:rsidR="008C499A">
        <w:rPr>
          <w:rFonts w:cs="Arial"/>
        </w:rPr>
        <w:t>1 %</w:t>
      </w:r>
      <w:r w:rsidR="008C499A" w:rsidRPr="00C20E78">
        <w:rPr>
          <w:rFonts w:cs="Arial"/>
        </w:rPr>
        <w:t xml:space="preserve"> podnikových kolektivních smluv, které uvádí délku pracovní doby </w:t>
      </w:r>
      <w:r w:rsidR="008C499A">
        <w:rPr>
          <w:rFonts w:cs="Arial"/>
        </w:rPr>
        <w:t xml:space="preserve">obecně </w:t>
      </w:r>
      <w:r w:rsidR="008C499A" w:rsidRPr="00C20E78">
        <w:rPr>
          <w:rFonts w:cs="Arial"/>
        </w:rPr>
        <w:t>pro celou organizaci, je sjednán týdenní fond pracovní doby</w:t>
      </w:r>
      <w:r w:rsidR="008C499A">
        <w:rPr>
          <w:rFonts w:cs="Arial"/>
        </w:rPr>
        <w:t xml:space="preserve"> v </w:t>
      </w:r>
      <w:r w:rsidR="008C499A" w:rsidRPr="00C20E78">
        <w:rPr>
          <w:rFonts w:cs="Arial"/>
        </w:rPr>
        <w:t>délce 37,5 hod/týden, zatímco týdenní fond pracovní doby</w:t>
      </w:r>
      <w:r w:rsidR="008C499A">
        <w:rPr>
          <w:rFonts w:cs="Arial"/>
        </w:rPr>
        <w:t xml:space="preserve"> v </w:t>
      </w:r>
      <w:r w:rsidR="008C499A" w:rsidRPr="00C20E78">
        <w:rPr>
          <w:rFonts w:cs="Arial"/>
        </w:rPr>
        <w:t>délce 40 hod/týden je využíván pouze</w:t>
      </w:r>
      <w:r w:rsidR="008C499A">
        <w:rPr>
          <w:rFonts w:cs="Arial"/>
        </w:rPr>
        <w:t xml:space="preserve"> v </w:t>
      </w:r>
      <w:r w:rsidR="008C499A" w:rsidRPr="00C20E78">
        <w:rPr>
          <w:rFonts w:cs="Arial"/>
        </w:rPr>
        <w:t>22,</w:t>
      </w:r>
      <w:r w:rsidR="008C499A">
        <w:rPr>
          <w:rFonts w:cs="Arial"/>
        </w:rPr>
        <w:t>6 %</w:t>
      </w:r>
      <w:r w:rsidR="008C499A" w:rsidRPr="00C20E78">
        <w:rPr>
          <w:rFonts w:cs="Arial"/>
        </w:rPr>
        <w:t xml:space="preserve"> podnikových kolektivních smluv</w:t>
      </w:r>
      <w:r w:rsidR="008C499A">
        <w:rPr>
          <w:rFonts w:cs="Arial"/>
        </w:rPr>
        <w:t xml:space="preserve">. </w:t>
      </w:r>
      <w:r w:rsidR="005270C3" w:rsidRPr="005270C3">
        <w:t>Délka sjednané pracovní doby byla nepřímo úměrná počtu směn, tj. průměrná délka pracovní doby v nepřetržitém režimu činila 37,2 hodin týdně, zatímco v 1směnném režimu činila 39,5 hodin/týden. 26,1 % kolektivních smluv obs</w:t>
      </w:r>
      <w:r w:rsidR="005270C3">
        <w:t xml:space="preserve">ahovalo ujednání týkající se </w:t>
      </w:r>
      <w:r w:rsidR="005270C3" w:rsidRPr="005270C3">
        <w:rPr>
          <w:b/>
        </w:rPr>
        <w:t>pružného rozvržení pracovní doby</w:t>
      </w:r>
      <w:r w:rsidR="005270C3" w:rsidRPr="005270C3">
        <w:t>.</w:t>
      </w:r>
    </w:p>
    <w:p w:rsidR="008C633A" w:rsidRPr="005270C3" w:rsidRDefault="008C633A" w:rsidP="0053564F">
      <w:r w:rsidRPr="008C633A">
        <w:rPr>
          <w:b/>
        </w:rPr>
        <w:t>Podmínky vývoje zaměstnanosti</w:t>
      </w:r>
      <w:r>
        <w:t xml:space="preserve"> definovalo v podnikatelské sféře 32,8 % kolektivních smluv</w:t>
      </w:r>
      <w:r w:rsidR="00492787">
        <w:t xml:space="preserve"> (viz tabulka 7)</w:t>
      </w:r>
      <w:r>
        <w:t>. Podmínky vývoje zaměstnanosti byly nejčastěji řešeny v odvětví peněžnictví a pojišťovnictví (71,4 % smluv) a ve výrobě a rozvodu elektřiny, plynu a tepla (67,3 % smluv). Vývoji zaměstnanosti se věnovalo nejméně kolektivních smluv v odvětví zdravotní a sociální péče (12,5 % smluv).</w:t>
      </w:r>
    </w:p>
    <w:p w:rsidR="00B81B8A" w:rsidRPr="008A72E8" w:rsidRDefault="008A72E8" w:rsidP="004971F9">
      <w:pPr>
        <w:pStyle w:val="Titulek"/>
        <w:keepNext/>
        <w:keepLines/>
        <w:spacing w:before="480" w:after="60"/>
        <w:rPr>
          <w:b w:val="0"/>
          <w:i/>
          <w:sz w:val="22"/>
          <w:szCs w:val="22"/>
        </w:rPr>
      </w:pPr>
      <w:r w:rsidRPr="005319E2">
        <w:rPr>
          <w:b w:val="0"/>
          <w:i/>
          <w:sz w:val="22"/>
          <w:szCs w:val="22"/>
        </w:rPr>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7</w:t>
      </w:r>
      <w:r w:rsidR="008A3262" w:rsidRPr="005319E2">
        <w:rPr>
          <w:b w:val="0"/>
          <w:i/>
          <w:sz w:val="22"/>
          <w:szCs w:val="22"/>
        </w:rPr>
        <w:fldChar w:fldCharType="end"/>
      </w:r>
      <w:r w:rsidRPr="005319E2">
        <w:rPr>
          <w:b w:val="0"/>
          <w:i/>
          <w:sz w:val="22"/>
          <w:szCs w:val="22"/>
        </w:rPr>
        <w:t xml:space="preserve">: </w:t>
      </w:r>
      <w:r>
        <w:rPr>
          <w:b w:val="0"/>
          <w:i/>
          <w:sz w:val="22"/>
          <w:szCs w:val="22"/>
        </w:rPr>
        <w:t>Podmínky vývoje zaměstnanosti sjednané v kolektivních smlouvách v podnikatelské sféře v roce 2015</w:t>
      </w:r>
    </w:p>
    <w:tbl>
      <w:tblPr>
        <w:tblW w:w="8930" w:type="dxa"/>
        <w:jc w:val="center"/>
        <w:tblCellMar>
          <w:left w:w="70" w:type="dxa"/>
          <w:right w:w="70" w:type="dxa"/>
        </w:tblCellMar>
        <w:tblLook w:val="04A0" w:firstRow="1" w:lastRow="0" w:firstColumn="1" w:lastColumn="0" w:noHBand="0" w:noVBand="1"/>
      </w:tblPr>
      <w:tblGrid>
        <w:gridCol w:w="425"/>
        <w:gridCol w:w="4253"/>
        <w:gridCol w:w="1146"/>
        <w:gridCol w:w="1105"/>
        <w:gridCol w:w="1009"/>
        <w:gridCol w:w="992"/>
      </w:tblGrid>
      <w:tr w:rsidR="00E30E2A" w:rsidRPr="00E30E2A" w:rsidTr="00266D57">
        <w:trPr>
          <w:trHeight w:val="529"/>
          <w:jc w:val="center"/>
        </w:trPr>
        <w:tc>
          <w:tcPr>
            <w:tcW w:w="467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E30E2A" w:rsidRPr="00E30E2A" w:rsidRDefault="00E30E2A" w:rsidP="00E30E2A">
            <w:pPr>
              <w:keepNext/>
              <w:keepLines/>
              <w:spacing w:before="0" w:after="0"/>
              <w:jc w:val="center"/>
              <w:rPr>
                <w:rFonts w:cs="Arial"/>
                <w:b/>
                <w:sz w:val="20"/>
                <w:szCs w:val="20"/>
                <w:lang w:eastAsia="cs-CZ" w:bidi="ar-SA"/>
              </w:rPr>
            </w:pPr>
            <w:r w:rsidRPr="00E30E2A">
              <w:rPr>
                <w:rFonts w:cs="Arial"/>
                <w:b/>
                <w:sz w:val="20"/>
                <w:szCs w:val="20"/>
                <w:lang w:eastAsia="cs-CZ" w:bidi="ar-SA"/>
              </w:rPr>
              <w:t>Odvětví ekonomické činnosti</w:t>
            </w:r>
          </w:p>
          <w:p w:rsidR="00E30E2A" w:rsidRPr="00A17E12" w:rsidRDefault="00E30E2A" w:rsidP="00E30E2A">
            <w:pPr>
              <w:keepNext/>
              <w:keepLines/>
              <w:spacing w:before="0" w:after="0"/>
              <w:jc w:val="center"/>
              <w:rPr>
                <w:rFonts w:cs="Arial"/>
                <w:sz w:val="20"/>
                <w:szCs w:val="20"/>
                <w:lang w:eastAsia="cs-CZ" w:bidi="ar-SA"/>
              </w:rPr>
            </w:pPr>
            <w:r w:rsidRPr="00E30E2A">
              <w:rPr>
                <w:rFonts w:cs="Arial"/>
                <w:b/>
                <w:sz w:val="20"/>
                <w:szCs w:val="20"/>
                <w:lang w:eastAsia="cs-CZ" w:bidi="ar-SA"/>
              </w:rPr>
              <w:t>(sekce CZ</w:t>
            </w:r>
            <w:r w:rsidRPr="00E30E2A">
              <w:rPr>
                <w:rFonts w:cs="Arial"/>
                <w:b/>
                <w:sz w:val="20"/>
                <w:szCs w:val="20"/>
                <w:lang w:eastAsia="cs-CZ" w:bidi="ar-SA"/>
              </w:rPr>
              <w:noBreakHyphen/>
              <w:t>NACE)</w:t>
            </w:r>
          </w:p>
        </w:tc>
        <w:tc>
          <w:tcPr>
            <w:tcW w:w="22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E30E2A" w:rsidRPr="00A17E12" w:rsidRDefault="00E30E2A" w:rsidP="00266D57">
            <w:pPr>
              <w:keepNext/>
              <w:keepLines/>
              <w:spacing w:before="0" w:after="0"/>
              <w:jc w:val="center"/>
              <w:rPr>
                <w:rFonts w:cs="Arial"/>
                <w:b/>
                <w:sz w:val="20"/>
                <w:szCs w:val="20"/>
                <w:lang w:eastAsia="cs-CZ" w:bidi="ar-SA"/>
              </w:rPr>
            </w:pPr>
            <w:r w:rsidRPr="00E30E2A">
              <w:rPr>
                <w:rFonts w:cs="Arial"/>
                <w:b/>
                <w:sz w:val="20"/>
                <w:szCs w:val="20"/>
                <w:lang w:eastAsia="cs-CZ" w:bidi="ar-SA"/>
              </w:rPr>
              <w:t>Podmínky vývoje zaměstnanosti</w:t>
            </w:r>
          </w:p>
        </w:tc>
        <w:tc>
          <w:tcPr>
            <w:tcW w:w="20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hideMark/>
          </w:tcPr>
          <w:p w:rsidR="00E30E2A" w:rsidRPr="00E30E2A" w:rsidRDefault="00E30E2A" w:rsidP="00E30E2A">
            <w:pPr>
              <w:keepNext/>
              <w:keepLines/>
              <w:spacing w:before="0" w:after="0"/>
              <w:jc w:val="center"/>
              <w:rPr>
                <w:rFonts w:cs="Arial"/>
                <w:b/>
                <w:sz w:val="20"/>
                <w:szCs w:val="20"/>
                <w:lang w:eastAsia="cs-CZ" w:bidi="ar-SA"/>
              </w:rPr>
            </w:pPr>
            <w:r>
              <w:rPr>
                <w:rFonts w:cs="Arial"/>
                <w:b/>
                <w:sz w:val="20"/>
                <w:szCs w:val="20"/>
                <w:lang w:eastAsia="cs-CZ" w:bidi="ar-SA"/>
              </w:rPr>
              <w:t>M</w:t>
            </w:r>
            <w:r w:rsidRPr="00A17E12">
              <w:rPr>
                <w:rFonts w:cs="Arial"/>
                <w:b/>
                <w:sz w:val="20"/>
                <w:szCs w:val="20"/>
                <w:lang w:eastAsia="cs-CZ" w:bidi="ar-SA"/>
              </w:rPr>
              <w:t>etodik</w:t>
            </w:r>
            <w:r w:rsidRPr="00E30E2A">
              <w:rPr>
                <w:rFonts w:cs="Arial"/>
                <w:b/>
                <w:sz w:val="20"/>
                <w:szCs w:val="20"/>
                <w:lang w:eastAsia="cs-CZ" w:bidi="ar-SA"/>
              </w:rPr>
              <w:t>a</w:t>
            </w:r>
            <w:r w:rsidRPr="00A17E12">
              <w:rPr>
                <w:rFonts w:cs="Arial"/>
                <w:b/>
                <w:sz w:val="20"/>
                <w:szCs w:val="20"/>
                <w:lang w:eastAsia="cs-CZ" w:bidi="ar-SA"/>
              </w:rPr>
              <w:t xml:space="preserve"> obsazování volných míst</w:t>
            </w:r>
          </w:p>
        </w:tc>
      </w:tr>
      <w:tr w:rsidR="00E30E2A" w:rsidRPr="00E30E2A" w:rsidTr="005441B6">
        <w:trPr>
          <w:trHeight w:val="270"/>
          <w:jc w:val="center"/>
        </w:trPr>
        <w:tc>
          <w:tcPr>
            <w:tcW w:w="467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center"/>
            <w:hideMark/>
          </w:tcPr>
          <w:p w:rsidR="00E30E2A" w:rsidRPr="00A17E12" w:rsidRDefault="00E30E2A" w:rsidP="00E30E2A">
            <w:pPr>
              <w:keepNext/>
              <w:keepLines/>
              <w:spacing w:before="0" w:after="0"/>
              <w:jc w:val="left"/>
              <w:rPr>
                <w:rFonts w:cs="Arial"/>
                <w:sz w:val="20"/>
                <w:szCs w:val="20"/>
                <w:lang w:eastAsia="cs-CZ" w:bidi="ar-SA"/>
              </w:rPr>
            </w:pP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bottom"/>
            <w:hideMark/>
          </w:tcPr>
          <w:p w:rsidR="00E30E2A" w:rsidRPr="00A17E12" w:rsidRDefault="00E30E2A" w:rsidP="00E30E2A">
            <w:pPr>
              <w:keepNext/>
              <w:keepLines/>
              <w:spacing w:before="0" w:after="0"/>
              <w:jc w:val="center"/>
              <w:rPr>
                <w:rFonts w:cs="Arial"/>
                <w:sz w:val="20"/>
                <w:szCs w:val="20"/>
                <w:lang w:eastAsia="cs-CZ" w:bidi="ar-SA"/>
              </w:rPr>
            </w:pPr>
            <w:r w:rsidRPr="00A17E12">
              <w:rPr>
                <w:rFonts w:cs="Arial"/>
                <w:sz w:val="20"/>
                <w:szCs w:val="20"/>
                <w:lang w:eastAsia="cs-CZ" w:bidi="ar-SA"/>
              </w:rPr>
              <w:t>PKS</w:t>
            </w:r>
          </w:p>
        </w:tc>
        <w:tc>
          <w:tcPr>
            <w:tcW w:w="1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bottom"/>
            <w:hideMark/>
          </w:tcPr>
          <w:p w:rsidR="00E30E2A" w:rsidRPr="00BE230D" w:rsidRDefault="00E30E2A" w:rsidP="00E30E2A">
            <w:pPr>
              <w:keepNext/>
              <w:keepLines/>
              <w:spacing w:before="0" w:after="0"/>
              <w:jc w:val="center"/>
              <w:rPr>
                <w:rFonts w:cs="Arial"/>
                <w:i/>
                <w:sz w:val="20"/>
                <w:szCs w:val="20"/>
                <w:lang w:eastAsia="cs-CZ" w:bidi="ar-SA"/>
              </w:rPr>
            </w:pPr>
            <w:r w:rsidRPr="00BE230D">
              <w:rPr>
                <w:rFonts w:cs="Arial"/>
                <w:i/>
                <w:sz w:val="20"/>
                <w:szCs w:val="20"/>
                <w:lang w:eastAsia="cs-CZ" w:bidi="ar-SA"/>
              </w:rPr>
              <w:t>% KS</w:t>
            </w:r>
          </w:p>
        </w:tc>
        <w:tc>
          <w:tcPr>
            <w:tcW w:w="1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noWrap/>
            <w:vAlign w:val="bottom"/>
            <w:hideMark/>
          </w:tcPr>
          <w:p w:rsidR="00E30E2A" w:rsidRPr="00A17E12" w:rsidRDefault="00E30E2A" w:rsidP="00E30E2A">
            <w:pPr>
              <w:keepNext/>
              <w:keepLines/>
              <w:spacing w:before="0" w:after="0"/>
              <w:jc w:val="center"/>
              <w:rPr>
                <w:rFonts w:cs="Arial"/>
                <w:sz w:val="20"/>
                <w:szCs w:val="20"/>
                <w:lang w:eastAsia="cs-CZ" w:bidi="ar-SA"/>
              </w:rPr>
            </w:pPr>
            <w:r w:rsidRPr="00A17E12">
              <w:rPr>
                <w:rFonts w:cs="Arial"/>
                <w:sz w:val="20"/>
                <w:szCs w:val="20"/>
                <w:lang w:eastAsia="cs-CZ" w:bidi="ar-SA"/>
              </w:rPr>
              <w:t>PKS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B8B7" w:themeFill="accent2" w:themeFillTint="66"/>
            <w:vAlign w:val="center"/>
          </w:tcPr>
          <w:p w:rsidR="00E30E2A" w:rsidRPr="00BE230D" w:rsidRDefault="00E30E2A" w:rsidP="005441B6">
            <w:pPr>
              <w:keepNext/>
              <w:keepLines/>
              <w:spacing w:before="0" w:after="0"/>
              <w:jc w:val="center"/>
              <w:rPr>
                <w:rFonts w:cs="Arial"/>
                <w:i/>
                <w:sz w:val="20"/>
                <w:szCs w:val="20"/>
                <w:lang w:eastAsia="cs-CZ" w:bidi="ar-SA"/>
              </w:rPr>
            </w:pPr>
            <w:r w:rsidRPr="00BE230D">
              <w:rPr>
                <w:rFonts w:cs="Arial"/>
                <w:i/>
                <w:sz w:val="20"/>
                <w:szCs w:val="20"/>
                <w:lang w:eastAsia="cs-CZ" w:bidi="ar-SA"/>
              </w:rPr>
              <w:t>% KS</w:t>
            </w:r>
          </w:p>
        </w:tc>
      </w:tr>
      <w:tr w:rsidR="00E30E2A" w:rsidRPr="00E30E2A" w:rsidTr="00E30E2A">
        <w:trPr>
          <w:trHeight w:val="334"/>
          <w:jc w:val="center"/>
        </w:trPr>
        <w:tc>
          <w:tcPr>
            <w:tcW w:w="425" w:type="dxa"/>
            <w:tcBorders>
              <w:top w:val="single" w:sz="4" w:space="0" w:color="FFFFFF" w:themeColor="background1"/>
            </w:tcBorders>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A</w:t>
            </w:r>
          </w:p>
        </w:tc>
        <w:tc>
          <w:tcPr>
            <w:tcW w:w="4253" w:type="dxa"/>
            <w:tcBorders>
              <w:top w:val="single" w:sz="4" w:space="0" w:color="FFFFFF" w:themeColor="background1"/>
            </w:tcBorders>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Zemědělství, lesnictví a rybářství</w:t>
            </w:r>
          </w:p>
        </w:tc>
        <w:tc>
          <w:tcPr>
            <w:tcW w:w="1146" w:type="dxa"/>
            <w:tcBorders>
              <w:top w:val="single" w:sz="4" w:space="0" w:color="FFFFFF" w:themeColor="background1"/>
            </w:tcBorders>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1105" w:type="dxa"/>
            <w:tcBorders>
              <w:top w:val="single" w:sz="4" w:space="0" w:color="FFFFFF" w:themeColor="background1"/>
            </w:tcBorders>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31,3</w:t>
            </w:r>
          </w:p>
        </w:tc>
        <w:tc>
          <w:tcPr>
            <w:tcW w:w="1009" w:type="dxa"/>
            <w:tcBorders>
              <w:top w:val="single" w:sz="4" w:space="0" w:color="FFFFFF" w:themeColor="background1"/>
            </w:tcBorders>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992" w:type="dxa"/>
            <w:tcBorders>
              <w:top w:val="single" w:sz="4" w:space="0" w:color="FFFFFF" w:themeColor="background1"/>
            </w:tcBorders>
            <w:vAlign w:val="center"/>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rPr>
              <w:t>31,3</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B</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Těžba a dobývání</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8</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34,8</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8</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34,8</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C</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Zpracovatelský průmysl</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207</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28,6</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203</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28,1</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D</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Výroba a rozvod elektřiny, plynu, tepla</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33</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67,3</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32</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65,3</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E</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Zásob. vodou, činnosti související s odpady</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30</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62,5</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30</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62,5</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F</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Stavebnictví</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15</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27,8</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15</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27,8</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G</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Obchod, opravy motorových vozidel</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15</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31,9</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15</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31,9</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H</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Doprava a skladování</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22</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33,3</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20</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30,3</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I</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 xml:space="preserve">Ubytování, stravování a pohostinství </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25,0</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25,0</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J</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Informační a komunikační činnosti</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8</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61,5</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8</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61,5</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K</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Peněžnictví a pojišťovnictví</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71,4</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5</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71,4</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L</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Činnosti v oblasti nemovitostí</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14</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31,1</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14</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31,1</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M</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Profesní, vědecké a technické činnosti</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24</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26,4</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24</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26,4</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N</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Administrativní a podpůrné činnosti</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10</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52,6</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10</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52,6</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O</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Veřejná správa, obrana, sociální zabezpečení</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14,3</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14,3</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P</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Vzdělávání</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12</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57,1</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12</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57,1</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Q</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Zdravotní a sociální péče</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12,5</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3</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12,5</w:t>
            </w:r>
          </w:p>
        </w:tc>
      </w:tr>
      <w:tr w:rsidR="00E30E2A" w:rsidRPr="00E30E2A" w:rsidTr="00E30E2A">
        <w:trPr>
          <w:trHeight w:val="334"/>
          <w:jc w:val="center"/>
        </w:trPr>
        <w:tc>
          <w:tcPr>
            <w:tcW w:w="425"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R</w:t>
            </w:r>
          </w:p>
        </w:tc>
        <w:tc>
          <w:tcPr>
            <w:tcW w:w="4253" w:type="dxa"/>
            <w:shd w:val="clear" w:color="auto" w:fill="F2F2F2" w:themeFill="background1" w:themeFillShade="F2"/>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Kulturní, zábavní a rekreační činnosti</w:t>
            </w:r>
          </w:p>
        </w:tc>
        <w:tc>
          <w:tcPr>
            <w:tcW w:w="1146"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w:t>
            </w:r>
          </w:p>
        </w:tc>
        <w:tc>
          <w:tcPr>
            <w:tcW w:w="1105" w:type="dxa"/>
            <w:shd w:val="clear" w:color="auto" w:fill="F2F2F2" w:themeFill="background1" w:themeFillShade="F2"/>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20,0</w:t>
            </w:r>
          </w:p>
        </w:tc>
        <w:tc>
          <w:tcPr>
            <w:tcW w:w="1009" w:type="dxa"/>
            <w:shd w:val="clear" w:color="auto" w:fill="F2F2F2" w:themeFill="background1" w:themeFillShade="F2"/>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1</w:t>
            </w:r>
          </w:p>
        </w:tc>
        <w:tc>
          <w:tcPr>
            <w:tcW w:w="992" w:type="dxa"/>
            <w:shd w:val="clear" w:color="auto" w:fill="F2F2F2" w:themeFill="background1" w:themeFillShade="F2"/>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20,0</w:t>
            </w:r>
          </w:p>
        </w:tc>
      </w:tr>
      <w:tr w:rsidR="00E30E2A" w:rsidRPr="00E30E2A" w:rsidTr="00E30E2A">
        <w:trPr>
          <w:trHeight w:val="334"/>
          <w:jc w:val="center"/>
        </w:trPr>
        <w:tc>
          <w:tcPr>
            <w:tcW w:w="425"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S</w:t>
            </w:r>
          </w:p>
        </w:tc>
        <w:tc>
          <w:tcPr>
            <w:tcW w:w="4253" w:type="dxa"/>
            <w:shd w:val="clear" w:color="auto" w:fill="auto"/>
            <w:noWrap/>
            <w:vAlign w:val="center"/>
            <w:hideMark/>
          </w:tcPr>
          <w:p w:rsidR="00E30E2A" w:rsidRPr="00A17E12" w:rsidRDefault="00E30E2A" w:rsidP="00E30E2A">
            <w:pPr>
              <w:keepNext/>
              <w:keepLines/>
              <w:spacing w:before="0" w:after="0"/>
              <w:jc w:val="left"/>
              <w:rPr>
                <w:rFonts w:cs="Arial"/>
                <w:sz w:val="20"/>
                <w:szCs w:val="20"/>
                <w:lang w:eastAsia="cs-CZ" w:bidi="ar-SA"/>
              </w:rPr>
            </w:pPr>
            <w:r w:rsidRPr="00A17E12">
              <w:rPr>
                <w:rFonts w:cs="Arial"/>
                <w:sz w:val="20"/>
                <w:szCs w:val="20"/>
                <w:lang w:eastAsia="cs-CZ" w:bidi="ar-SA"/>
              </w:rPr>
              <w:t>Ostatní činnosti</w:t>
            </w:r>
          </w:p>
        </w:tc>
        <w:tc>
          <w:tcPr>
            <w:tcW w:w="1146"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4</w:t>
            </w:r>
          </w:p>
        </w:tc>
        <w:tc>
          <w:tcPr>
            <w:tcW w:w="1105" w:type="dxa"/>
            <w:shd w:val="clear" w:color="auto" w:fill="auto"/>
            <w:noWrap/>
            <w:vAlign w:val="center"/>
            <w:hideMark/>
          </w:tcPr>
          <w:p w:rsidR="00E30E2A" w:rsidRPr="00BE230D" w:rsidRDefault="00E30E2A" w:rsidP="00E30E2A">
            <w:pPr>
              <w:keepNext/>
              <w:keepLines/>
              <w:spacing w:before="0" w:after="0"/>
              <w:jc w:val="right"/>
              <w:rPr>
                <w:rFonts w:cs="Arial"/>
                <w:i/>
                <w:sz w:val="20"/>
                <w:szCs w:val="20"/>
                <w:lang w:eastAsia="cs-CZ" w:bidi="ar-SA"/>
              </w:rPr>
            </w:pPr>
            <w:r w:rsidRPr="00BE230D">
              <w:rPr>
                <w:rFonts w:cs="Arial"/>
                <w:i/>
                <w:sz w:val="20"/>
                <w:szCs w:val="20"/>
                <w:lang w:eastAsia="cs-CZ" w:bidi="ar-SA"/>
              </w:rPr>
              <w:t>40,0</w:t>
            </w:r>
          </w:p>
        </w:tc>
        <w:tc>
          <w:tcPr>
            <w:tcW w:w="1009" w:type="dxa"/>
            <w:shd w:val="clear" w:color="auto" w:fill="auto"/>
            <w:noWrap/>
            <w:vAlign w:val="center"/>
            <w:hideMark/>
          </w:tcPr>
          <w:p w:rsidR="00E30E2A" w:rsidRPr="00A17E12" w:rsidRDefault="00E30E2A" w:rsidP="00E30E2A">
            <w:pPr>
              <w:keepNext/>
              <w:keepLines/>
              <w:spacing w:before="0" w:after="0"/>
              <w:jc w:val="right"/>
              <w:rPr>
                <w:rFonts w:cs="Arial"/>
                <w:sz w:val="20"/>
                <w:szCs w:val="20"/>
                <w:lang w:eastAsia="cs-CZ" w:bidi="ar-SA"/>
              </w:rPr>
            </w:pPr>
            <w:r w:rsidRPr="00A17E12">
              <w:rPr>
                <w:rFonts w:cs="Arial"/>
                <w:sz w:val="20"/>
                <w:szCs w:val="20"/>
                <w:lang w:eastAsia="cs-CZ" w:bidi="ar-SA"/>
              </w:rPr>
              <w:t>4</w:t>
            </w:r>
          </w:p>
        </w:tc>
        <w:tc>
          <w:tcPr>
            <w:tcW w:w="992" w:type="dxa"/>
            <w:vAlign w:val="center"/>
          </w:tcPr>
          <w:p w:rsidR="00E30E2A" w:rsidRPr="00BE230D" w:rsidRDefault="00E30E2A" w:rsidP="00E30E2A">
            <w:pPr>
              <w:keepNext/>
              <w:keepLines/>
              <w:spacing w:before="0" w:after="0"/>
              <w:jc w:val="right"/>
              <w:rPr>
                <w:rFonts w:cs="Arial"/>
                <w:i/>
                <w:sz w:val="20"/>
                <w:szCs w:val="20"/>
              </w:rPr>
            </w:pPr>
            <w:r w:rsidRPr="00BE230D">
              <w:rPr>
                <w:rFonts w:cs="Arial"/>
                <w:i/>
                <w:sz w:val="20"/>
                <w:szCs w:val="20"/>
              </w:rPr>
              <w:t>40,0</w:t>
            </w:r>
          </w:p>
        </w:tc>
      </w:tr>
      <w:tr w:rsidR="00E30E2A" w:rsidRPr="00E30E2A" w:rsidTr="00E30E2A">
        <w:trPr>
          <w:trHeight w:val="334"/>
          <w:jc w:val="center"/>
        </w:trPr>
        <w:tc>
          <w:tcPr>
            <w:tcW w:w="4678" w:type="dxa"/>
            <w:gridSpan w:val="2"/>
            <w:shd w:val="clear" w:color="auto" w:fill="E5B8B7" w:themeFill="accent2" w:themeFillTint="66"/>
            <w:noWrap/>
            <w:vAlign w:val="center"/>
            <w:hideMark/>
          </w:tcPr>
          <w:p w:rsidR="00E30E2A" w:rsidRPr="00A17E12" w:rsidRDefault="00E30E2A" w:rsidP="00E30E2A">
            <w:pPr>
              <w:keepNext/>
              <w:keepLines/>
              <w:spacing w:before="0" w:after="0"/>
              <w:jc w:val="left"/>
              <w:rPr>
                <w:rFonts w:cs="Arial"/>
                <w:b/>
                <w:bCs/>
                <w:sz w:val="20"/>
                <w:szCs w:val="20"/>
                <w:lang w:eastAsia="cs-CZ" w:bidi="ar-SA"/>
              </w:rPr>
            </w:pPr>
            <w:r w:rsidRPr="00A17E12">
              <w:rPr>
                <w:rFonts w:cs="Arial"/>
                <w:b/>
                <w:bCs/>
                <w:sz w:val="20"/>
                <w:szCs w:val="20"/>
                <w:lang w:eastAsia="cs-CZ" w:bidi="ar-SA"/>
              </w:rPr>
              <w:t>Celkem</w:t>
            </w:r>
          </w:p>
        </w:tc>
        <w:tc>
          <w:tcPr>
            <w:tcW w:w="1146" w:type="dxa"/>
            <w:shd w:val="clear" w:color="auto" w:fill="E5B8B7" w:themeFill="accent2" w:themeFillTint="66"/>
            <w:noWrap/>
            <w:vAlign w:val="center"/>
            <w:hideMark/>
          </w:tcPr>
          <w:p w:rsidR="00E30E2A" w:rsidRPr="00A17E12" w:rsidRDefault="00E30E2A" w:rsidP="00E30E2A">
            <w:pPr>
              <w:keepNext/>
              <w:keepLines/>
              <w:spacing w:before="0" w:after="0"/>
              <w:jc w:val="right"/>
              <w:rPr>
                <w:rFonts w:cs="Arial"/>
                <w:b/>
                <w:bCs/>
                <w:sz w:val="20"/>
                <w:szCs w:val="20"/>
                <w:lang w:eastAsia="cs-CZ" w:bidi="ar-SA"/>
              </w:rPr>
            </w:pPr>
            <w:r w:rsidRPr="00A17E12">
              <w:rPr>
                <w:rFonts w:cs="Arial"/>
                <w:b/>
                <w:bCs/>
                <w:sz w:val="20"/>
                <w:szCs w:val="20"/>
                <w:lang w:eastAsia="cs-CZ" w:bidi="ar-SA"/>
              </w:rPr>
              <w:t>422</w:t>
            </w:r>
          </w:p>
        </w:tc>
        <w:tc>
          <w:tcPr>
            <w:tcW w:w="1105" w:type="dxa"/>
            <w:shd w:val="clear" w:color="auto" w:fill="E5B8B7" w:themeFill="accent2" w:themeFillTint="66"/>
            <w:noWrap/>
            <w:vAlign w:val="center"/>
            <w:hideMark/>
          </w:tcPr>
          <w:p w:rsidR="00E30E2A" w:rsidRPr="00BE230D" w:rsidRDefault="00E30E2A" w:rsidP="00E30E2A">
            <w:pPr>
              <w:keepNext/>
              <w:keepLines/>
              <w:spacing w:before="0" w:after="0"/>
              <w:jc w:val="right"/>
              <w:rPr>
                <w:rFonts w:cs="Arial"/>
                <w:b/>
                <w:bCs/>
                <w:i/>
                <w:sz w:val="20"/>
                <w:szCs w:val="20"/>
                <w:lang w:eastAsia="cs-CZ" w:bidi="ar-SA"/>
              </w:rPr>
            </w:pPr>
            <w:r w:rsidRPr="00BE230D">
              <w:rPr>
                <w:rFonts w:cs="Arial"/>
                <w:b/>
                <w:bCs/>
                <w:i/>
                <w:sz w:val="20"/>
                <w:szCs w:val="20"/>
                <w:lang w:eastAsia="cs-CZ" w:bidi="ar-SA"/>
              </w:rPr>
              <w:t>32,8</w:t>
            </w:r>
          </w:p>
        </w:tc>
        <w:tc>
          <w:tcPr>
            <w:tcW w:w="1009" w:type="dxa"/>
            <w:shd w:val="clear" w:color="auto" w:fill="E5B8B7" w:themeFill="accent2" w:themeFillTint="66"/>
            <w:noWrap/>
            <w:vAlign w:val="center"/>
            <w:hideMark/>
          </w:tcPr>
          <w:p w:rsidR="00E30E2A" w:rsidRPr="00A17E12" w:rsidRDefault="00E30E2A" w:rsidP="00E30E2A">
            <w:pPr>
              <w:keepNext/>
              <w:keepLines/>
              <w:spacing w:before="0" w:after="0"/>
              <w:jc w:val="right"/>
              <w:rPr>
                <w:rFonts w:cs="Arial"/>
                <w:b/>
                <w:bCs/>
                <w:sz w:val="20"/>
                <w:szCs w:val="20"/>
                <w:lang w:eastAsia="cs-CZ" w:bidi="ar-SA"/>
              </w:rPr>
            </w:pPr>
            <w:r w:rsidRPr="00A17E12">
              <w:rPr>
                <w:rFonts w:cs="Arial"/>
                <w:b/>
                <w:bCs/>
                <w:sz w:val="20"/>
                <w:szCs w:val="20"/>
                <w:lang w:eastAsia="cs-CZ" w:bidi="ar-SA"/>
              </w:rPr>
              <w:t>415</w:t>
            </w:r>
          </w:p>
        </w:tc>
        <w:tc>
          <w:tcPr>
            <w:tcW w:w="992" w:type="dxa"/>
            <w:shd w:val="clear" w:color="auto" w:fill="E5B8B7" w:themeFill="accent2" w:themeFillTint="66"/>
            <w:vAlign w:val="center"/>
          </w:tcPr>
          <w:p w:rsidR="00E30E2A" w:rsidRPr="00BE230D" w:rsidRDefault="00E30E2A" w:rsidP="00E30E2A">
            <w:pPr>
              <w:keepNext/>
              <w:keepLines/>
              <w:spacing w:before="0" w:after="0"/>
              <w:jc w:val="right"/>
              <w:rPr>
                <w:rFonts w:cs="Arial"/>
                <w:b/>
                <w:bCs/>
                <w:i/>
                <w:sz w:val="20"/>
                <w:szCs w:val="20"/>
                <w:lang w:eastAsia="cs-CZ" w:bidi="ar-SA"/>
              </w:rPr>
            </w:pPr>
            <w:r w:rsidRPr="00BE230D">
              <w:rPr>
                <w:rFonts w:cs="Arial"/>
                <w:b/>
                <w:bCs/>
                <w:i/>
                <w:sz w:val="20"/>
                <w:szCs w:val="20"/>
              </w:rPr>
              <w:t>32,2</w:t>
            </w:r>
          </w:p>
        </w:tc>
      </w:tr>
    </w:tbl>
    <w:p w:rsidR="008A72E8" w:rsidRPr="00FA79A0" w:rsidRDefault="008A72E8" w:rsidP="004971F9">
      <w:pPr>
        <w:spacing w:before="60" w:after="480"/>
        <w:rPr>
          <w:sz w:val="22"/>
          <w:szCs w:val="22"/>
          <w:lang w:eastAsia="cs-CZ"/>
        </w:rPr>
      </w:pPr>
      <w:r w:rsidRPr="00FA79A0">
        <w:rPr>
          <w:sz w:val="22"/>
          <w:szCs w:val="22"/>
          <w:lang w:eastAsia="cs-CZ"/>
        </w:rPr>
        <w:t xml:space="preserve">Zdroj: </w:t>
      </w:r>
      <w:r w:rsidR="00CB4A4D">
        <w:rPr>
          <w:sz w:val="20"/>
          <w:szCs w:val="20"/>
          <w:lang w:eastAsia="cs-CZ"/>
        </w:rPr>
        <w:t>Informace o pracovních podmínkách (IPP).</w:t>
      </w:r>
    </w:p>
    <w:p w:rsidR="00367F51" w:rsidRDefault="0014200C" w:rsidP="0053564F">
      <w:r>
        <w:lastRenderedPageBreak/>
        <w:t>Podmínky vývoje zaměstnanosti byly v analyzovaných kolektivních smlouvách doprovázeny i metodikou obsazování pracovních míst (32,2 % smluv), kariérními plány zaměstnanců (1,2 % smluv) a ustanoveními týkajícími se zajištění podmínek pro práci mimo firmu (0,4 % smluv).</w:t>
      </w:r>
      <w:r w:rsidR="003251B2">
        <w:t xml:space="preserve"> Ve 2,5 % kolektivních smluv bylo upraveno omezení rozsahu agenturního zaměstnávání.</w:t>
      </w:r>
      <w:r w:rsidR="00A854C8">
        <w:t xml:space="preserve"> Menší část kolektivních smluv se rovněž věnovala vytvoření specifických programů pro zaměstnance starší 50 let (2,6 % smluv), zaměstnance se zdravotním postižením (3,3 % smluv) a zaměstnance vracející se do zaměstnání po skončení rodičovské dovolené (5,5 % smluv).</w:t>
      </w:r>
    </w:p>
    <w:p w:rsidR="00A17E12" w:rsidRPr="00AE30F1" w:rsidRDefault="003251B2" w:rsidP="00AE30F1">
      <w:r>
        <w:t xml:space="preserve">Závěrem lze říci, že </w:t>
      </w:r>
      <w:r w:rsidR="00531733">
        <w:t>v souladu se zjištěními uvedenými v druhé kapitole je i</w:t>
      </w:r>
      <w:r w:rsidR="009D4047">
        <w:t> </w:t>
      </w:r>
      <w:r>
        <w:t xml:space="preserve">v podnikatelské </w:t>
      </w:r>
      <w:r w:rsidR="00531733">
        <w:t>sféře České republiky</w:t>
      </w:r>
      <w:r>
        <w:t xml:space="preserve"> větší pozornost věnována problematice odměňování zaměstnanců, a méně prostoru je v kolektivních smlouvách věnováno podmínkám vývoje zaměstnanosti. </w:t>
      </w:r>
      <w:r w:rsidR="00AE30F1">
        <w:t>Z hlediska vlivu kolektivního vyjednávání na trh práce by bylo vhodnější, aby byly oba směry kolektivního vyjednávání vyvážené a</w:t>
      </w:r>
      <w:r w:rsidR="009D4047">
        <w:t> </w:t>
      </w:r>
      <w:r w:rsidR="00AE30F1">
        <w:t>minimalizovaly riziko snižování zaměstnanosti u vybraných zaměstnavatelů, a s tím spojené negativní dopady ze sociálního hlediska.</w:t>
      </w:r>
    </w:p>
    <w:p w:rsidR="008E582C" w:rsidRPr="0086426E" w:rsidRDefault="008E582C" w:rsidP="00CF4D7F">
      <w:pPr>
        <w:spacing w:before="240"/>
        <w:jc w:val="left"/>
        <w:rPr>
          <w:b/>
          <w:bCs/>
          <w:kern w:val="32"/>
          <w:sz w:val="32"/>
          <w:szCs w:val="32"/>
          <w:lang w:eastAsia="cs-CZ"/>
        </w:rPr>
      </w:pPr>
      <w:r>
        <w:br w:type="page"/>
      </w:r>
    </w:p>
    <w:p w:rsidR="00503834" w:rsidRPr="00820766" w:rsidRDefault="00503834" w:rsidP="00820766">
      <w:pPr>
        <w:pStyle w:val="Nadpis1"/>
      </w:pPr>
      <w:bookmarkStart w:id="12" w:name="_Toc436143414"/>
      <w:r w:rsidRPr="00820766">
        <w:lastRenderedPageBreak/>
        <w:t>Vliv zvyšování minimální mzdy na požadavky v kolektivních smlouvách</w:t>
      </w:r>
      <w:bookmarkEnd w:id="12"/>
    </w:p>
    <w:p w:rsidR="00094F43" w:rsidRPr="003E335F" w:rsidRDefault="003E335F" w:rsidP="003E335F">
      <w:r>
        <w:t>Minimální mzda i kolektivní vyjednávání jsou instituty trhu práce, které ovlivňují systém tvorby mezd v národním hospodářství. Současně s minimální mzdou a kolektivním vyjednáváním však na trhu práce fungují další instituty, které mohou významným způsobem ovlivňovat dopady obou institutů jak z hlediska úrovně odměňování, tak z hlediska vývoje zaměstnanosti. Tato kapitola proto bude zaměřena na vzájemný vztah institutů minimální mzdy a kolektivního vyjednávání, čemuž bude odpovídat i struktura celé kapitoly. První podkapitola bude věnována dopadu minimální mzdy na úroveň odměňování zaměstnanců. Ve druhé části bude analyzován vztah minimální mzdy a kolektivního vyjednávání a budou identifikovány faktory, které mohou významným způsobem narušit soulad mezi zmíněnými mzdotvornými instituty. Třetí podkapitola bude věnována vztahu institutu minimální mzdy a kolektivního vyjednávání v České republice. Poslední část nabídne možná vysvětlení, proč trh práce reaguje na změny vybraných parametrů velmi umírněným způsobem.</w:t>
      </w:r>
    </w:p>
    <w:p w:rsidR="00094F43" w:rsidRDefault="00094F43" w:rsidP="00094F43">
      <w:pPr>
        <w:pStyle w:val="Nadpis2"/>
        <w:spacing w:before="480" w:after="480"/>
      </w:pPr>
      <w:bookmarkStart w:id="13" w:name="_Toc436143415"/>
      <w:r>
        <w:t>Vliv minimální mzdy na odměňování zaměstnanců</w:t>
      </w:r>
      <w:bookmarkEnd w:id="13"/>
    </w:p>
    <w:p w:rsidR="00EA3C42" w:rsidRDefault="00EA3C42" w:rsidP="00EA3C42">
      <w:r>
        <w:t>Dopad minimální mzdy na úroveň odměňování a rozdělení mezd v ekonomice je jedním z nejčastěji zmiňovaných efektů minimální mzdy. Tato problematika úzce souvisí s otázkou oceňování jednotlivých výrobních faktorů v ekonomice, a je tedy součástí širší výzkumné oblasti v podobě alokace zdrojů v ekonomice. Pozornost ekonomů je často zaměřena na</w:t>
      </w:r>
      <w:r w:rsidRPr="007942E1">
        <w:t xml:space="preserve"> cenu práce (tzn. úroveň odměňování), neboť hlavním cílem minimální mzdy by mělo být omezit chudobu a zvýšit příjmy pracovníků se mzdami na dolním konci mzdového rozdělení</w:t>
      </w:r>
      <w:r>
        <w:t>.</w:t>
      </w:r>
    </w:p>
    <w:p w:rsidR="00EA3C42" w:rsidRPr="007942E1" w:rsidRDefault="00EA3C42" w:rsidP="00EA3C42">
      <w:r>
        <w:t xml:space="preserve">Působení minimální mzdy na rozdělení mezd v ekonomice ukazuje obrázek 3, který zobrazuje mzdové rozdělení v případě, kdy v ekonomice neexistuje minimální mzda (hustota pravděpodobnosti </w:t>
      </w:r>
      <w:r w:rsidRPr="008D4F9E">
        <w:rPr>
          <w:position w:val="-10"/>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20" o:title=""/>
          </v:shape>
          <o:OLEObject Type="Embed" ProgID="Equation.3" ShapeID="_x0000_i1025" DrawAspect="Content" ObjectID="_1509898103" r:id="rId21"/>
        </w:object>
      </w:r>
      <w:r>
        <w:t xml:space="preserve">), a mzdové rozdělení po zavedení minimální mzdy na úrovni </w:t>
      </w:r>
      <w:r w:rsidRPr="008D4F9E">
        <w:rPr>
          <w:position w:val="-4"/>
        </w:rPr>
        <w:object w:dxaOrig="320" w:dyaOrig="260">
          <v:shape id="_x0000_i1026" type="#_x0000_t75" style="width:15.75pt;height:12pt" o:ole="">
            <v:imagedata r:id="rId22" o:title=""/>
          </v:shape>
          <o:OLEObject Type="Embed" ProgID="Equation.3" ShapeID="_x0000_i1026" DrawAspect="Content" ObjectID="_1509898104" r:id="rId23"/>
        </w:object>
      </w:r>
      <w:r>
        <w:t xml:space="preserve"> (hustota pravděpodobnosti </w:t>
      </w:r>
      <w:r w:rsidRPr="008D4F9E">
        <w:rPr>
          <w:position w:val="-10"/>
        </w:rPr>
        <w:object w:dxaOrig="580" w:dyaOrig="320">
          <v:shape id="_x0000_i1027" type="#_x0000_t75" style="width:29.25pt;height:15.75pt" o:ole="">
            <v:imagedata r:id="rId24" o:title=""/>
          </v:shape>
          <o:OLEObject Type="Embed" ProgID="Equation.3" ShapeID="_x0000_i1027" DrawAspect="Content" ObjectID="_1509898105" r:id="rId25"/>
        </w:object>
      </w:r>
      <w:r>
        <w:t>). Z obrázku 3 je patrné, že po zavedení minimální mzdy dochází k deformaci mzdového rozdělení. V</w:t>
      </w:r>
      <w:r w:rsidRPr="00BF2094">
        <w:t xml:space="preserve"> blízkosti minimální mzdy je totiž patrný shluk zaměstnanců, kteří byli dříve odměňováni nižší mzdou, než činí aktuální minimum, a nyní se jejich mzda zvýšila na úroveň minima. Dále dochází k </w:t>
      </w:r>
      <w:r w:rsidRPr="00081B01">
        <w:rPr>
          <w:b/>
        </w:rPr>
        <w:t>posunu mzdového rozdělení doprava</w:t>
      </w:r>
      <w:r w:rsidRPr="00BF2094">
        <w:t xml:space="preserve"> – důvodem může být např. vyjednávání zaměstnanců s</w:t>
      </w:r>
      <w:r w:rsidR="00442E3A">
        <w:t> </w:t>
      </w:r>
      <w:r w:rsidRPr="00BF2094">
        <w:t xml:space="preserve">vyšší mzdou se zaměstnavateli, aby byl zachován poměr mezi jejich produktivitou a mzdou (tzv. </w:t>
      </w:r>
      <w:r w:rsidRPr="00BF2094">
        <w:rPr>
          <w:i/>
        </w:rPr>
        <w:t>spill-over effect</w:t>
      </w:r>
      <w:r w:rsidRPr="00BF2094">
        <w:t>).</w:t>
      </w:r>
      <w:r>
        <w:t xml:space="preserve"> Empirické výzkumy (např. Dickens a kol., 1994) potvrzují, že tímto způsobem působí na mzdové rozdělení zvyšování minimální mzdy v zemích, kde je minimální mzda standardním nástrojem sociální politiky.</w:t>
      </w:r>
    </w:p>
    <w:p w:rsidR="00EA3C42" w:rsidRPr="00866C54" w:rsidRDefault="00EA3C42" w:rsidP="00EA3C42">
      <w:pPr>
        <w:keepNext/>
        <w:spacing w:before="480"/>
        <w:rPr>
          <w:bCs/>
          <w:i/>
          <w:iCs/>
          <w:sz w:val="22"/>
          <w:szCs w:val="22"/>
        </w:rPr>
      </w:pPr>
      <w:r w:rsidRPr="00866C54">
        <w:rPr>
          <w:bCs/>
          <w:i/>
          <w:sz w:val="22"/>
          <w:szCs w:val="22"/>
        </w:rPr>
        <w:lastRenderedPageBreak/>
        <w:t xml:space="preserve">Obrázek </w:t>
      </w:r>
      <w:r w:rsidR="008A3262" w:rsidRPr="00866C54">
        <w:rPr>
          <w:bCs/>
          <w:i/>
          <w:sz w:val="22"/>
          <w:szCs w:val="22"/>
        </w:rPr>
        <w:fldChar w:fldCharType="begin"/>
      </w:r>
      <w:r w:rsidRPr="00866C54">
        <w:rPr>
          <w:bCs/>
          <w:i/>
          <w:sz w:val="22"/>
          <w:szCs w:val="22"/>
        </w:rPr>
        <w:instrText xml:space="preserve"> SEQ Obrázek \* ARABIC </w:instrText>
      </w:r>
      <w:r w:rsidR="008A3262" w:rsidRPr="00866C54">
        <w:rPr>
          <w:bCs/>
          <w:i/>
          <w:sz w:val="22"/>
          <w:szCs w:val="22"/>
        </w:rPr>
        <w:fldChar w:fldCharType="separate"/>
      </w:r>
      <w:r w:rsidR="00001D4C">
        <w:rPr>
          <w:bCs/>
          <w:i/>
          <w:noProof/>
          <w:sz w:val="22"/>
          <w:szCs w:val="22"/>
        </w:rPr>
        <w:t>3</w:t>
      </w:r>
      <w:r w:rsidR="008A3262" w:rsidRPr="00866C54">
        <w:rPr>
          <w:sz w:val="22"/>
          <w:szCs w:val="22"/>
        </w:rPr>
        <w:fldChar w:fldCharType="end"/>
      </w:r>
      <w:r w:rsidRPr="00866C54">
        <w:rPr>
          <w:bCs/>
          <w:i/>
          <w:sz w:val="22"/>
          <w:szCs w:val="22"/>
        </w:rPr>
        <w:t>: Vliv minimální mzdy na rozdělení mezd v ekonomice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EA3C42" w:rsidTr="00B26FFE">
        <w:tc>
          <w:tcPr>
            <w:tcW w:w="9779" w:type="dxa"/>
          </w:tcPr>
          <w:p w:rsidR="00EA3C42" w:rsidRDefault="00EA3C42" w:rsidP="00B26FFE">
            <w:pPr>
              <w:autoSpaceDE w:val="0"/>
              <w:autoSpaceDN w:val="0"/>
              <w:adjustRightInd w:val="0"/>
              <w:spacing w:before="0"/>
              <w:jc w:val="left"/>
              <w:rPr>
                <w:rFonts w:cs="Arial"/>
                <w:i/>
                <w:iCs/>
                <w:color w:val="000000"/>
                <w:sz w:val="22"/>
                <w:szCs w:val="22"/>
                <w:lang w:eastAsia="cs-CZ" w:bidi="ar-SA"/>
              </w:rPr>
            </w:pPr>
            <w:r w:rsidRPr="00085462">
              <w:rPr>
                <w:rFonts w:cs="Arial"/>
                <w:i/>
                <w:iCs/>
                <w:noProof/>
                <w:color w:val="000000"/>
                <w:sz w:val="22"/>
                <w:szCs w:val="22"/>
                <w:lang w:eastAsia="cs-CZ" w:bidi="ar-SA"/>
              </w:rPr>
              <w:drawing>
                <wp:anchor distT="0" distB="0" distL="114300" distR="114300" simplePos="0" relativeHeight="251665408" behindDoc="0" locked="0" layoutInCell="1" allowOverlap="1">
                  <wp:simplePos x="0" y="0"/>
                  <wp:positionH relativeFrom="column">
                    <wp:posOffset>203835</wp:posOffset>
                  </wp:positionH>
                  <wp:positionV relativeFrom="paragraph">
                    <wp:posOffset>152400</wp:posOffset>
                  </wp:positionV>
                  <wp:extent cx="5705475" cy="2495550"/>
                  <wp:effectExtent l="0" t="0" r="0" b="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05475" cy="2495550"/>
                          </a:xfrm>
                          <a:prstGeom prst="rect">
                            <a:avLst/>
                          </a:prstGeom>
                          <a:noFill/>
                          <a:ln>
                            <a:noFill/>
                          </a:ln>
                        </pic:spPr>
                      </pic:pic>
                    </a:graphicData>
                  </a:graphic>
                </wp:anchor>
              </w:drawing>
            </w:r>
          </w:p>
        </w:tc>
      </w:tr>
    </w:tbl>
    <w:p w:rsidR="00EA3C42" w:rsidRPr="00866C54" w:rsidRDefault="00EA3C42" w:rsidP="00EA3C42">
      <w:pPr>
        <w:autoSpaceDE w:val="0"/>
        <w:autoSpaceDN w:val="0"/>
        <w:adjustRightInd w:val="0"/>
        <w:spacing w:before="0" w:after="480"/>
        <w:jc w:val="left"/>
        <w:rPr>
          <w:rFonts w:cs="Arial"/>
          <w:color w:val="000000"/>
          <w:sz w:val="20"/>
          <w:szCs w:val="20"/>
          <w:lang w:eastAsia="cs-CZ" w:bidi="ar-SA"/>
        </w:rPr>
      </w:pPr>
      <w:r w:rsidRPr="00866C54">
        <w:rPr>
          <w:rFonts w:cs="Arial"/>
          <w:color w:val="000000"/>
          <w:sz w:val="20"/>
          <w:szCs w:val="20"/>
          <w:lang w:eastAsia="cs-CZ" w:bidi="ar-SA"/>
        </w:rPr>
        <w:t>Zdroj: Meyer &amp; Wise (1983).</w:t>
      </w:r>
    </w:p>
    <w:p w:rsidR="00EA3C42" w:rsidRPr="00296755" w:rsidRDefault="00EA3C42" w:rsidP="00EA3C42">
      <w:r>
        <w:t>V empirickém výzkumu není dopadům minimální mzdy na odměňování věnována taková pozornost jako dopadům minimální mzdy na zaměstnanost. Přesto se v posledních desetiletích objevily studie, jejichž poznatky přispěly k rozvoji empirického výzkumu v oblasti přizpůsobování mzdového rozdělení úpravám minimální mzdy. Ze zmíněných studií jmenujme především následující studie:</w:t>
      </w:r>
    </w:p>
    <w:p w:rsidR="00EA3C42" w:rsidRPr="00D57A73" w:rsidRDefault="00EA3C42" w:rsidP="00EA3C42">
      <w:pPr>
        <w:numPr>
          <w:ilvl w:val="0"/>
          <w:numId w:val="6"/>
        </w:numPr>
      </w:pPr>
      <w:r w:rsidRPr="00081B01">
        <w:t>Machin a kol. (2002) dokládá</w:t>
      </w:r>
      <w:r w:rsidRPr="00D57A73">
        <w:t xml:space="preserve"> působení institutu minimální mzdy na rozdělení mezd pomocí indikátoru v podobě mzdové mezery (</w:t>
      </w:r>
      <w:r w:rsidRPr="00D57A73">
        <w:rPr>
          <w:i/>
        </w:rPr>
        <w:t>wage gap</w:t>
      </w:r>
      <w:r w:rsidRPr="00D57A73">
        <w:t xml:space="preserve">). </w:t>
      </w:r>
      <w:r w:rsidRPr="00081B01">
        <w:rPr>
          <w:b/>
        </w:rPr>
        <w:t>Ve Velké Británii</w:t>
      </w:r>
      <w:r w:rsidRPr="00D57A73">
        <w:t xml:space="preserve"> mělo podle Machina a kol. (2002) </w:t>
      </w:r>
      <w:r w:rsidRPr="00081B01">
        <w:rPr>
          <w:b/>
        </w:rPr>
        <w:t>zavedení minimální mzdy vliv na rozdělení mezd</w:t>
      </w:r>
      <w:r w:rsidRPr="00D57A73">
        <w:t>, neboť se snížila mezera mezi mediánem a 1. decilem. Na druhou stranu však nedošlo k žádné změně v distribuci mezd v horní polovině rozdělení, tzn. mezera mezi 9. decilem a mediánem zůstala na stejné úrovni.</w:t>
      </w:r>
    </w:p>
    <w:p w:rsidR="00EA3C42" w:rsidRPr="006C3FB9" w:rsidRDefault="00EA3C42" w:rsidP="00EA3C42">
      <w:pPr>
        <w:numPr>
          <w:ilvl w:val="0"/>
          <w:numId w:val="6"/>
        </w:numPr>
      </w:pPr>
      <w:r w:rsidRPr="00D57A73">
        <w:t>Machin a kol. (2001, 2002) uvádí</w:t>
      </w:r>
      <w:r w:rsidRPr="006C3FB9">
        <w:t xml:space="preserve">, že </w:t>
      </w:r>
      <w:r w:rsidRPr="00081B01">
        <w:rPr>
          <w:b/>
        </w:rPr>
        <w:t>mzdy rostly po zavedení minimální mzdy rychleji ve firmách, které měly před zavedením příslušného opatření nižší úroveň mezd</w:t>
      </w:r>
      <w:r w:rsidRPr="006C3FB9">
        <w:t>. Na základě tohoto výsledku očekáva</w:t>
      </w:r>
      <w:r>
        <w:t xml:space="preserve">jí, že mzdy porostou rychleji </w:t>
      </w:r>
      <w:r w:rsidRPr="006C3FB9">
        <w:t>v regionech s nižší úrovní mezd (tj. analogicky s vývojem mezd zaměstnanců v</w:t>
      </w:r>
      <w:r>
        <w:t>e</w:t>
      </w:r>
      <w:r w:rsidRPr="006C3FB9">
        <w:t xml:space="preserve"> firmách</w:t>
      </w:r>
      <w:r>
        <w:t>, v nichž jsou zaměstnanci placeni hůře</w:t>
      </w:r>
      <w:r w:rsidRPr="006C3FB9">
        <w:t>).</w:t>
      </w:r>
    </w:p>
    <w:p w:rsidR="00EA3C42" w:rsidRPr="003B0B09" w:rsidRDefault="00EA3C42" w:rsidP="00EA3C42">
      <w:pPr>
        <w:numPr>
          <w:ilvl w:val="0"/>
          <w:numId w:val="6"/>
        </w:numPr>
      </w:pPr>
      <w:r w:rsidRPr="00CC17CC">
        <w:t>Neumark a kol. (2000) zkoumají dopady minimální mzdy komplexně – na jednu stranu hodnotí dopad z</w:t>
      </w:r>
      <w:r w:rsidRPr="003B0B09">
        <w:t xml:space="preserve"> hlediska mezd, ale na druhou stranu z hlediska zaměstnanosti, odpracované doby, celkových příjmů, a potažmo i blahobytu zaměstnanců. Na zaměstnance, jejichž mzdy se před zavedením minimální mzdy pohybovaly na úrovni aktuálního minima, působí minimální mzda nepříznivě, zatímco na zaměstnance s vyššími mzdami nemá vliv téměř žádný. </w:t>
      </w:r>
      <w:r w:rsidRPr="00081B01">
        <w:rPr>
          <w:b/>
        </w:rPr>
        <w:t xml:space="preserve">Mzdy </w:t>
      </w:r>
      <w:r w:rsidRPr="00081B01">
        <w:t>nejhůře placených zaměstnanců sice</w:t>
      </w:r>
      <w:r w:rsidRPr="00081B01">
        <w:rPr>
          <w:b/>
        </w:rPr>
        <w:t xml:space="preserve"> </w:t>
      </w:r>
      <w:r w:rsidRPr="00081B01">
        <w:t>po zavedení minimální mzdy</w:t>
      </w:r>
      <w:r w:rsidRPr="00081B01">
        <w:rPr>
          <w:b/>
        </w:rPr>
        <w:t xml:space="preserve"> vzrostou, ale odpracovaná doba a zaměstnanost klesají</w:t>
      </w:r>
      <w:r w:rsidRPr="00081B01">
        <w:t>, přičemž kombinace obou těchto efektů vede v konečném důsledku ke</w:t>
      </w:r>
      <w:r w:rsidRPr="00081B01">
        <w:rPr>
          <w:b/>
        </w:rPr>
        <w:t xml:space="preserve"> snížení příjmů </w:t>
      </w:r>
      <w:r w:rsidRPr="00081B01">
        <w:t>těchto zaměstnanců.</w:t>
      </w:r>
      <w:r w:rsidRPr="003B0B09">
        <w:t xml:space="preserve"> Neumark a kol. (2000) </w:t>
      </w:r>
      <w:r>
        <w:t>přispěli k empirickému výzkumu i z hlediska politického modelu</w:t>
      </w:r>
      <w:r w:rsidRPr="003B0B09">
        <w:t xml:space="preserve">, </w:t>
      </w:r>
      <w:r>
        <w:t>neboť se zabývali</w:t>
      </w:r>
      <w:r w:rsidRPr="003B0B09">
        <w:t xml:space="preserve"> rolí odborových svazů při vyjednávání o minimální mzdě. </w:t>
      </w:r>
      <w:r>
        <w:lastRenderedPageBreak/>
        <w:t>Z tohoto hlediska došli k závěru</w:t>
      </w:r>
      <w:r w:rsidRPr="003B0B09">
        <w:t>, že členové odborových svazů s relativně nízkou mzdou profitují ze zvýšení minimální mzdy na úkor zaměstnanců s nejnižšími mzdami, kteří nejsou členy odborových svazů.</w:t>
      </w:r>
    </w:p>
    <w:p w:rsidR="00EA3C42" w:rsidRPr="00296755" w:rsidRDefault="00EA3C42" w:rsidP="00EA3C42">
      <w:pPr>
        <w:numPr>
          <w:ilvl w:val="0"/>
          <w:numId w:val="6"/>
        </w:numPr>
      </w:pPr>
      <w:r w:rsidRPr="00E47DEA">
        <w:t xml:space="preserve">Samostatnou odnož výzkumu dopadů minimální mzdy tvoří oblast dopadů minimální mzdy na mladistvé zaměstnance. Machin a kol. (2002) ukazují, že ve </w:t>
      </w:r>
      <w:r w:rsidRPr="00081B01">
        <w:rPr>
          <w:b/>
        </w:rPr>
        <w:t>mzdovém rozdělení mladistvých</w:t>
      </w:r>
      <w:r w:rsidRPr="00E47DEA">
        <w:t xml:space="preserve"> je </w:t>
      </w:r>
      <w:r w:rsidRPr="00081B01">
        <w:rPr>
          <w:b/>
        </w:rPr>
        <w:t>lokální maximum na úrovni nesnížené sazby pro dospělé</w:t>
      </w:r>
      <w:r w:rsidRPr="00E47DEA">
        <w:t xml:space="preserve">. Stejně </w:t>
      </w:r>
      <w:r w:rsidRPr="00C902CA">
        <w:t>jako Katz a Krueger (1992) v USA tak i v případě Velké Británie prokazují, že se zřídka kdy používá snížená</w:t>
      </w:r>
      <w:r w:rsidRPr="00E47DEA">
        <w:t xml:space="preserve"> sazba pro mladistvé. Sazbu pro dospělé lze tedy považovat za efektivnostní minimální mzdu (</w:t>
      </w:r>
      <w:r w:rsidRPr="00E47DEA">
        <w:rPr>
          <w:i/>
        </w:rPr>
        <w:t>effective minimum</w:t>
      </w:r>
      <w:r>
        <w:t xml:space="preserve"> wage</w:t>
      </w:r>
      <w:r w:rsidRPr="00E47DEA">
        <w:t>).</w:t>
      </w:r>
    </w:p>
    <w:p w:rsidR="00EA3C42" w:rsidRDefault="00EA3C42" w:rsidP="00EA3C42">
      <w:pPr>
        <w:spacing w:before="360" w:after="360"/>
      </w:pPr>
      <w:r w:rsidRPr="00081B01">
        <w:rPr>
          <w:b/>
        </w:rPr>
        <w:t>Dopady minimální mzdy na diferenciaci mezd</w:t>
      </w:r>
      <w:r>
        <w:t xml:space="preserve"> lze zkoumat prostřednictvím několika ukazatelů. Pro sledování vývoje mzdové nerovnosti jsou nejčastěji používány logaritmy </w:t>
      </w:r>
      <w:r w:rsidRPr="00081B01">
        <w:rPr>
          <w:b/>
        </w:rPr>
        <w:t>podílu kvantilových charakteristik</w:t>
      </w:r>
      <w:r>
        <w:t>. Podíly mediánu a 1. decilu nebo 5. percentilu ukazují vývoj v dolní polovině mzdového rozdělení, podíl 9. decilu a mediánu ukazuje vývoj nerovnosti v horní části mzdového rozdělení. Čím vyšší jsou tyto míry, tím větší je relativní rozdíl mezi kvantilovými charakteristikami</w:t>
      </w:r>
      <w:r w:rsidRPr="00081B01">
        <w:t>. V České republice vykazují všechny tři zmíněné ukazatele rostoucí trend, přičemž největší rozdíly jsou mezi 5. percentilem a mediánem měsíčních hrubých mezd, a tyto rozdíly se stále zvětšují</w:t>
      </w:r>
      <w:r>
        <w:t xml:space="preserve"> (viz obrázek 4). </w:t>
      </w:r>
    </w:p>
    <w:p w:rsidR="00EA3C42" w:rsidRPr="00866C54" w:rsidRDefault="00EA3C42" w:rsidP="00EA3C42">
      <w:pPr>
        <w:keepNext/>
        <w:spacing w:before="480"/>
        <w:rPr>
          <w:bCs/>
          <w:i/>
          <w:iCs/>
          <w:sz w:val="22"/>
          <w:szCs w:val="22"/>
        </w:rPr>
      </w:pPr>
      <w:r w:rsidRPr="00866C54">
        <w:rPr>
          <w:bCs/>
          <w:i/>
          <w:sz w:val="22"/>
          <w:szCs w:val="22"/>
        </w:rPr>
        <w:t xml:space="preserve">Obrázek </w:t>
      </w:r>
      <w:r w:rsidR="008A3262" w:rsidRPr="00866C54">
        <w:rPr>
          <w:bCs/>
          <w:i/>
          <w:sz w:val="22"/>
          <w:szCs w:val="22"/>
        </w:rPr>
        <w:fldChar w:fldCharType="begin"/>
      </w:r>
      <w:r w:rsidRPr="00866C54">
        <w:rPr>
          <w:bCs/>
          <w:i/>
          <w:sz w:val="22"/>
          <w:szCs w:val="22"/>
        </w:rPr>
        <w:instrText xml:space="preserve"> SEQ Obrázek \* ARABIC </w:instrText>
      </w:r>
      <w:r w:rsidR="008A3262" w:rsidRPr="00866C54">
        <w:rPr>
          <w:bCs/>
          <w:i/>
          <w:sz w:val="22"/>
          <w:szCs w:val="22"/>
        </w:rPr>
        <w:fldChar w:fldCharType="separate"/>
      </w:r>
      <w:r w:rsidR="00001D4C">
        <w:rPr>
          <w:bCs/>
          <w:i/>
          <w:noProof/>
          <w:sz w:val="22"/>
          <w:szCs w:val="22"/>
        </w:rPr>
        <w:t>4</w:t>
      </w:r>
      <w:r w:rsidR="008A3262" w:rsidRPr="00866C54">
        <w:rPr>
          <w:sz w:val="22"/>
          <w:szCs w:val="22"/>
        </w:rPr>
        <w:fldChar w:fldCharType="end"/>
      </w:r>
      <w:r w:rsidRPr="00866C54">
        <w:rPr>
          <w:bCs/>
          <w:i/>
          <w:sz w:val="22"/>
          <w:szCs w:val="22"/>
        </w:rPr>
        <w:t xml:space="preserve">: </w:t>
      </w:r>
      <w:r w:rsidRPr="00866C54">
        <w:rPr>
          <w:i/>
          <w:sz w:val="22"/>
          <w:szCs w:val="22"/>
        </w:rPr>
        <w:t>Výdělková nerovnost ve mzdové sféře České republiky (ekonomické subjekty s 10 a více zaměstnanci)</w:t>
      </w:r>
    </w:p>
    <w:p w:rsidR="00EA3C42" w:rsidRDefault="00EA3C42" w:rsidP="00866C54">
      <w:pPr>
        <w:jc w:val="center"/>
      </w:pPr>
      <w:r w:rsidRPr="00AA67DF">
        <w:rPr>
          <w:noProof/>
          <w:lang w:eastAsia="cs-CZ" w:bidi="ar-SA"/>
        </w:rPr>
        <w:drawing>
          <wp:inline distT="0" distB="0" distL="0" distR="0">
            <wp:extent cx="5762625" cy="3400425"/>
            <wp:effectExtent l="0" t="0" r="0" b="0"/>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3C42" w:rsidRPr="00866C54" w:rsidRDefault="00EA3C42" w:rsidP="00EA3C42">
      <w:pPr>
        <w:spacing w:after="480"/>
        <w:rPr>
          <w:sz w:val="20"/>
          <w:szCs w:val="20"/>
        </w:rPr>
      </w:pPr>
      <w:r w:rsidRPr="00866C54">
        <w:rPr>
          <w:sz w:val="20"/>
          <w:szCs w:val="20"/>
        </w:rPr>
        <w:t xml:space="preserve">Zdroj: </w:t>
      </w:r>
      <w:r w:rsidR="00866C54">
        <w:rPr>
          <w:sz w:val="20"/>
          <w:szCs w:val="20"/>
        </w:rPr>
        <w:t>Informační systém o průměrném výdělku (</w:t>
      </w:r>
      <w:r w:rsidRPr="00866C54">
        <w:rPr>
          <w:sz w:val="20"/>
          <w:szCs w:val="20"/>
        </w:rPr>
        <w:t>ISPV</w:t>
      </w:r>
      <w:r w:rsidR="00866C54">
        <w:rPr>
          <w:sz w:val="20"/>
          <w:szCs w:val="20"/>
        </w:rPr>
        <w:t>)</w:t>
      </w:r>
      <w:r w:rsidRPr="00866C54">
        <w:rPr>
          <w:sz w:val="20"/>
          <w:szCs w:val="20"/>
        </w:rPr>
        <w:t>.</w:t>
      </w:r>
    </w:p>
    <w:p w:rsidR="00EA3C42" w:rsidRDefault="00EA3C42" w:rsidP="003E335F">
      <w:pPr>
        <w:keepLines/>
      </w:pPr>
      <w:r>
        <w:lastRenderedPageBreak/>
        <w:t xml:space="preserve">Z obrázku 4 je patrné, že se </w:t>
      </w:r>
      <w:r w:rsidRPr="00081B01">
        <w:rPr>
          <w:b/>
        </w:rPr>
        <w:t>v České republice nedaří prostřednictvím minimální mzdy snižovat mzdovou nerovnost</w:t>
      </w:r>
      <w:r>
        <w:t>. Tendence v podobě vzdalování mediánu od nejnižších mezd ve mzdové sféře naznačuje, že v České republice roste diferenciace mezd, a dochází tak ke zvyšování mzdové nerovnosti. Přestože není pracovní příjem jediným zdrojem příjmů domácností, může se zvyšování mzdové nerovnosti dále projevit i zvyšováním příjmové nerovnosti ve společnosti, a to se všemi negativními dopady s tím spojenými.</w:t>
      </w:r>
    </w:p>
    <w:p w:rsidR="00EA3C42" w:rsidRDefault="00EA3C42" w:rsidP="00094F43">
      <w:r>
        <w:t xml:space="preserve">Zahraniční zkušenosti však ukazují, že minimální mzda může působit (a v praxi skutečně působí) proti zvyšování příjmové nerovnosti ve společnosti. Příkladem může být Velká Británie, kde došlo po zavedení minimální mzdy v roce 1999 ke zlomu ve vývoji ukazatelů nerovnosti – strmý růst ukazatelů nerovnosti se změnil v pozvolný pokles a začala se snižovat mezera mezi 1. decilem a </w:t>
      </w:r>
      <w:r w:rsidRPr="00C902CA">
        <w:t>mediánem (Manning, 2012). Ve</w:t>
      </w:r>
      <w:r>
        <w:t xml:space="preserve"> Velké Británii tak má minimální mzda dopad na snižování mzdové nerovnosti v dolní polovině mzdového rozdělení, kdy podle očekávání ovlivňuje hodnotu 5. percentilu hrubých mezd a jako vedlejší efekt zřejmě i hodnotu 1. decilu hrubých mezd. Vývoj mzdové diferenciace ve Velké Británii však nelze jednoduše srovnávat s vývojem v České republice. Česká republika je totiž stále tranzitivní ekonomikou, kde je vývoj (nejen) mzdové diferenciace stále ovlivňován jejím přechodem z centrálně plánované na tržní ekonomiku. Zamýšlený pozitivní efekt minimální mzdy v podobě snižování mzdové nerovnosti tak může být anulován zcela jinými efekty. Tyto efekty mohou být mj. způsobeny strukturálními změnami v ekonomice, a jejich ovlivňování tak nemusí být z hlediska udržování dlouhodobé makroekonomické rovnováhy optimální.</w:t>
      </w:r>
    </w:p>
    <w:p w:rsidR="00094F43" w:rsidRDefault="009A3C02" w:rsidP="00094F43">
      <w:pPr>
        <w:pStyle w:val="Nadpis2"/>
        <w:spacing w:before="480" w:after="480"/>
      </w:pPr>
      <w:bookmarkStart w:id="14" w:name="_Toc436143416"/>
      <w:r>
        <w:t>Vztah mezi minimální mzdou a kolektivním vyjednáváním</w:t>
      </w:r>
      <w:bookmarkEnd w:id="14"/>
    </w:p>
    <w:p w:rsidR="00EA3C42" w:rsidRDefault="00EA3C42" w:rsidP="00EA3C42">
      <w:r>
        <w:t xml:space="preserve">Kolektivní vyjednávání a minimální mzda jsou dva instituty trhu práce, které nepochybně ovlivňují nastavení mezd v ekonomice. Působení těchto institutů se projevuje ve mzdovém rozdělení v dané zemi, nicméně každý ze zmíněných institutů může působit různými směry. Analýza dopadů jednotlivých institutů na rozdělení mezd by proto měla být zasazena do širšího rámce a měla by zkoumat dopady komplexně. </w:t>
      </w:r>
      <w:r w:rsidRPr="00DF61A7">
        <w:rPr>
          <w:b/>
        </w:rPr>
        <w:t>Vztahy mezi instituty</w:t>
      </w:r>
      <w:r>
        <w:t xml:space="preserve"> v podobě </w:t>
      </w:r>
      <w:r w:rsidRPr="00DF61A7">
        <w:rPr>
          <w:b/>
        </w:rPr>
        <w:t>minimální mzdy a kolektivního vyjednávání</w:t>
      </w:r>
      <w:r>
        <w:t xml:space="preserve"> mohou být:</w:t>
      </w:r>
    </w:p>
    <w:p w:rsidR="00EA3C42" w:rsidRDefault="00EA3C42" w:rsidP="00EA3C42">
      <w:pPr>
        <w:pStyle w:val="Odstavecseseznamem"/>
        <w:numPr>
          <w:ilvl w:val="0"/>
          <w:numId w:val="26"/>
        </w:numPr>
      </w:pPr>
      <w:r w:rsidRPr="00DF61A7">
        <w:rPr>
          <w:b/>
        </w:rPr>
        <w:t>komplementární</w:t>
      </w:r>
      <w:r>
        <w:t>, kdy působení jednoho institutu podporuje působení druhého,</w:t>
      </w:r>
    </w:p>
    <w:p w:rsidR="00EA3C42" w:rsidRDefault="00EA3C42" w:rsidP="00EA3C42">
      <w:pPr>
        <w:pStyle w:val="Odstavecseseznamem"/>
        <w:numPr>
          <w:ilvl w:val="0"/>
          <w:numId w:val="26"/>
        </w:numPr>
      </w:pPr>
      <w:r w:rsidRPr="00DF61A7">
        <w:rPr>
          <w:b/>
        </w:rPr>
        <w:t>protichůdné</w:t>
      </w:r>
      <w:r>
        <w:t>, kdy jeden institut působí v opačném směru než druhý,</w:t>
      </w:r>
    </w:p>
    <w:p w:rsidR="00EA3C42" w:rsidRDefault="00EA3C42" w:rsidP="00EA3C42">
      <w:pPr>
        <w:pStyle w:val="Odstavecseseznamem"/>
        <w:numPr>
          <w:ilvl w:val="0"/>
          <w:numId w:val="26"/>
        </w:numPr>
      </w:pPr>
      <w:r w:rsidRPr="00DF61A7">
        <w:rPr>
          <w:b/>
        </w:rPr>
        <w:t>zahrnuty v jednu množinu</w:t>
      </w:r>
      <w:r>
        <w:t>, kdy je jeden institut podmnožinou druhého (např. pokud je minimální mzda stanovena pouze prostřednictvím kolektivního vyjednávání, nemůže ze své podstaty působit proti výsledkům kolektivního vyjednávání, neboť je jejich nedílnou součástí).</w:t>
      </w:r>
    </w:p>
    <w:p w:rsidR="00EA3C42" w:rsidRDefault="00EA3C42" w:rsidP="00EA3C42">
      <w:r>
        <w:t>Z Ko</w:t>
      </w:r>
      <w:r w:rsidRPr="001E2BCB">
        <w:t>ç</w:t>
      </w:r>
      <w:r>
        <w:t xml:space="preserve">erova a Visserova (2009) výzkumu je zřejmé, že rozdíly mezi zeměmi nevyplývají jen z rozdílného postavení jednotlivých institutů mezi zeměmi, ale že se </w:t>
      </w:r>
      <w:r w:rsidRPr="00DF61A7">
        <w:t>vztah</w:t>
      </w:r>
      <w:r>
        <w:t xml:space="preserve"> mezi instituty v podobě minimální mzdy a kolektivního vyjednávání může </w:t>
      </w:r>
      <w:r w:rsidRPr="00DF61A7">
        <w:rPr>
          <w:b/>
        </w:rPr>
        <w:t>měnit v čase</w:t>
      </w:r>
      <w:r>
        <w:t xml:space="preserve"> i v rámci jedné země. Hodnocení dopadů je pak mnohem složitější a musí být nezbytně zasazeno do širšího rámce, aby bylo možné tyto dopady hodnotit ve své komplexnosti.</w:t>
      </w:r>
    </w:p>
    <w:p w:rsidR="00EA3C42" w:rsidRDefault="00EA3C42" w:rsidP="0015538D">
      <w:pPr>
        <w:keepLines/>
      </w:pPr>
      <w:r>
        <w:lastRenderedPageBreak/>
        <w:t xml:space="preserve">Jak již bylo zmíněno výše, se zvýšením minimální mzdy jsou spojeny dva efekty – primárně dochází k jednorázovému navýšení mezd těch zaměstnanců, jejichž mzdy by byly pod úrovní nového zákonného minima. Druhotným efektem je potom </w:t>
      </w:r>
      <w:r w:rsidRPr="00DF61A7">
        <w:rPr>
          <w:b/>
        </w:rPr>
        <w:t>mzdové vzlínání</w:t>
      </w:r>
      <w:r>
        <w:t xml:space="preserve">, tj. přizpůsobení celého mzdového rozdělení nové úrovni minimální mzdy. Proces přizpůsobování mzdového rozdělení je pozvolný, a proto je často označován i termínem vlnění mezd. </w:t>
      </w:r>
      <w:r w:rsidRPr="00DF61A7">
        <w:rPr>
          <w:b/>
        </w:rPr>
        <w:t>Přizpůsobovací efekt v podobě vlnění mezd</w:t>
      </w:r>
      <w:r>
        <w:t xml:space="preserve"> se však </w:t>
      </w:r>
      <w:r w:rsidRPr="00DF61A7">
        <w:rPr>
          <w:b/>
        </w:rPr>
        <w:t>mezi jednotlivými zeměmi liší</w:t>
      </w:r>
      <w:r>
        <w:t xml:space="preserve">, přičemž podle Freemana (1996) hraje velkou roli </w:t>
      </w:r>
      <w:r w:rsidRPr="00DF61A7">
        <w:rPr>
          <w:b/>
        </w:rPr>
        <w:t>nastavení parametrů konkrétního trhu práce</w:t>
      </w:r>
      <w:r>
        <w:t>, fungování stávajícího systému přerozdělování ve společnosti, úroveň minimální mzdy a mj. i vynutitelnost dodržování minimální mzdy. Kombinace všech těchto faktorů pak vede k tomu, že v některých zemích může minimální mzda působit pozitivně z hlediska snižování mzdové nerovnosti, v jiných zemích může přispívat k redukci podílu nízkopříjmových zaměstnanců (tj. přispívat k jejich přechodu do kategorie nezaměstnaných či mimo trh práce), a zvyšovat tak rozdíly mezi chudou a bohatou částí společnosti. Grimshaw a kol. (2014) ilustrují rozdíly mezi zeměmi na třech příkladech Velké Británie, USA a Francie, a dochází k následujícím závěrům:</w:t>
      </w:r>
    </w:p>
    <w:p w:rsidR="00EA3C42" w:rsidRDefault="00EA3C42" w:rsidP="00EA3C42">
      <w:pPr>
        <w:pStyle w:val="Odstavecseseznamem"/>
        <w:numPr>
          <w:ilvl w:val="0"/>
          <w:numId w:val="26"/>
        </w:numPr>
      </w:pPr>
      <w:r w:rsidRPr="00DF61A7">
        <w:rPr>
          <w:b/>
        </w:rPr>
        <w:t>Ve Francii</w:t>
      </w:r>
      <w:r>
        <w:t xml:space="preserve"> je efekt v podobě vlnění mezd silný a projevuje se v různé intenzitě až do úrovně 6. decilu mzdového rozdělení. </w:t>
      </w:r>
      <w:r w:rsidRPr="00DF61A7">
        <w:rPr>
          <w:b/>
        </w:rPr>
        <w:t>Silné projevy vlnění mezd</w:t>
      </w:r>
      <w:r>
        <w:t xml:space="preserve"> po navýšení zákonné úrovně minimální mzdy souvisí se </w:t>
      </w:r>
      <w:r w:rsidRPr="00DF61A7">
        <w:rPr>
          <w:b/>
        </w:rPr>
        <w:t>silným postavením</w:t>
      </w:r>
      <w:r>
        <w:t xml:space="preserve"> francouzských </w:t>
      </w:r>
      <w:r w:rsidRPr="00DF61A7">
        <w:rPr>
          <w:b/>
        </w:rPr>
        <w:t>odborových organizací</w:t>
      </w:r>
      <w:r>
        <w:t>. V rámci kolektivního vyjednávání jsou totiž mzdové tabulky upraveny v souladu s platnou sazbou minimální mzdy, přičemž je kladen důraz na zachování mzdové diferenciace podle kvalifikační náročnosti pracovních míst. Velká část kolektivních smluv je ve Francii obecně závazná, a proto je zde vlnění mezd v podstatě institucionalizováno prostřednictvím kolektivního vyjednávání. Jinými slovy lze ve Francii považovat vztah mezi instituty v podobě minimální mzdy a kolektivního vyjednávání za komplementární. Závěry empirických studií provedených pro Francii v této oblasti lze shrnout pomocí 3 následujících tezí:</w:t>
      </w:r>
    </w:p>
    <w:p w:rsidR="00EA3C42" w:rsidRDefault="00EA3C42" w:rsidP="00EA3C42">
      <w:pPr>
        <w:pStyle w:val="Odstavecseseznamem"/>
        <w:numPr>
          <w:ilvl w:val="1"/>
          <w:numId w:val="26"/>
        </w:numPr>
      </w:pPr>
      <w:r>
        <w:t>přizpůsobení mzdového rozdělení následuje ve Francii velmi rychle po úpravě plošné minimální mzdy,</w:t>
      </w:r>
    </w:p>
    <w:p w:rsidR="00EA3C42" w:rsidRDefault="00EA3C42" w:rsidP="00EA3C42">
      <w:pPr>
        <w:pStyle w:val="Odstavecseseznamem"/>
        <w:numPr>
          <w:ilvl w:val="1"/>
          <w:numId w:val="26"/>
        </w:numPr>
      </w:pPr>
      <w:r>
        <w:t>změny se týkají velké části zaměstnanců a</w:t>
      </w:r>
    </w:p>
    <w:p w:rsidR="00EA3C42" w:rsidRDefault="00EA3C42" w:rsidP="00EA3C42">
      <w:pPr>
        <w:pStyle w:val="Odstavecseseznamem"/>
        <w:numPr>
          <w:ilvl w:val="1"/>
          <w:numId w:val="26"/>
        </w:numPr>
      </w:pPr>
      <w:r>
        <w:t>reakce trhu práce jsou ve srovnání s ostatními zeměmi velmi silné.</w:t>
      </w:r>
    </w:p>
    <w:p w:rsidR="00EA3C42" w:rsidRDefault="00EA3C42" w:rsidP="00EA3C42">
      <w:pPr>
        <w:pStyle w:val="Odstavecseseznamem"/>
        <w:numPr>
          <w:ilvl w:val="0"/>
          <w:numId w:val="26"/>
        </w:numPr>
      </w:pPr>
      <w:r w:rsidRPr="00DF61A7">
        <w:rPr>
          <w:b/>
        </w:rPr>
        <w:t>V USA</w:t>
      </w:r>
      <w:r>
        <w:t xml:space="preserve"> se projevuje vlnění mezd v mnohem menší intenzitě a týká se pouze mezd v intervalu mezi minimální mzdou a 1,25násobkem minimální mzdy (Wicks-Lim, 2006). Důvodem </w:t>
      </w:r>
      <w:r w:rsidRPr="00DF61A7">
        <w:rPr>
          <w:b/>
        </w:rPr>
        <w:t>velmi slabého dopadu změn minimální mzdy na rozdělení mezd</w:t>
      </w:r>
      <w:r>
        <w:t xml:space="preserve"> je slabší postavení odborových organizací v USA a nižší úroveň pokrytí amerických zaměstnanců kolektivními smlouvami.</w:t>
      </w:r>
    </w:p>
    <w:p w:rsidR="00EA3C42" w:rsidRDefault="00EA3C42" w:rsidP="00EA3C42">
      <w:pPr>
        <w:pStyle w:val="Odstavecseseznamem"/>
        <w:numPr>
          <w:ilvl w:val="0"/>
          <w:numId w:val="26"/>
        </w:numPr>
      </w:pPr>
      <w:r w:rsidRPr="00DF61A7">
        <w:rPr>
          <w:b/>
        </w:rPr>
        <w:t>Ve Velké Británii</w:t>
      </w:r>
      <w:r>
        <w:t xml:space="preserve"> se projevuje mzdové vlnění specifickým způsobem, neboť na dolním konci mzdového rozdělení dochází k </w:t>
      </w:r>
      <w:r w:rsidRPr="00DF61A7">
        <w:rPr>
          <w:b/>
        </w:rPr>
        <w:t>vlnění směrem doleva</w:t>
      </w:r>
      <w:r>
        <w:t xml:space="preserve"> (Stewart, 2010). Jinými slovy u nejnižších mezd přistoupili mnozí zaměstnavatelé k nivelizaci, tj. zvýšili mzdy zaměstnancům, jejichž mzdy byly pod úrovní minima, a zároveň snížili mzdy těm, jejichž mzdy novou úroveň minimální mzdy mírně přesahovaly. Díky přesunu mzdových nákladů v rámci kategorie zaměstnanců s nejnižšími mzdami nebyli zaměstnavatelé nuceni provádět plošné úpravy ve mzdových tabulkách (kvůli zachování spravedlnosti odměňování podle náročnosti vykonávaného zaměstnání), nicméně dopad z hlediska spravedlnosti rozdělení mezd v ekonomice je v tomto případě diskutabilní.</w:t>
      </w:r>
    </w:p>
    <w:p w:rsidR="00EA3C42" w:rsidRDefault="00EA3C42" w:rsidP="0015538D">
      <w:pPr>
        <w:keepLines/>
      </w:pPr>
      <w:r>
        <w:lastRenderedPageBreak/>
        <w:t xml:space="preserve">Na základě zkušeností z jednotlivých zemí poukazuje Grimshaw a kol. (2014) na </w:t>
      </w:r>
      <w:r w:rsidRPr="00DF61A7">
        <w:rPr>
          <w:b/>
        </w:rPr>
        <w:t>dvě extrémní varianty působení minimální mzdy a kolektivního vyjednávání</w:t>
      </w:r>
      <w:r>
        <w:t xml:space="preserve">. Pro první skupinu zemí je charakteristická </w:t>
      </w:r>
      <w:r w:rsidRPr="00DF61A7">
        <w:rPr>
          <w:b/>
        </w:rPr>
        <w:t>vysoká úroveň minimální mzdy a silná pozice odborových organizací</w:t>
      </w:r>
      <w:r>
        <w:t xml:space="preserve">. Spolupůsobení obou institutů na trhu práce v těchto zemích vede jak ke snižování podílu nízkopříjmových zaměstnanců, tak k silnému mzdovému vzlínání po zvýšení minimální mzdy. Na druhém konci potom stojí země, kde je </w:t>
      </w:r>
      <w:r w:rsidRPr="00DF61A7">
        <w:rPr>
          <w:b/>
        </w:rPr>
        <w:t>minimální mzda nastavena</w:t>
      </w:r>
      <w:r>
        <w:t xml:space="preserve"> relativně </w:t>
      </w:r>
      <w:r w:rsidRPr="00DF61A7">
        <w:rPr>
          <w:b/>
        </w:rPr>
        <w:t>vysoko, ale pozice odborových organizací</w:t>
      </w:r>
      <w:r>
        <w:t xml:space="preserve"> je velmi </w:t>
      </w:r>
      <w:r w:rsidRPr="00DF61A7">
        <w:rPr>
          <w:b/>
        </w:rPr>
        <w:t>slabá</w:t>
      </w:r>
      <w:r>
        <w:t>. V těchto zemích pak dochází ke zvyšování podílu nízkopříjmových zaměstnanců i ke vzniku lokálních maxim na úrovni minimální mzdy na dolním konci mzdového rozdělení. Akumulace neúměrně vysokého počtu zaměstnanců odměňovaných mzdou blízkou minimální mzdě je způsobena překážkami, na které naráží snahy o udržení diferenciace mezd podle schopností zaměstnance a</w:t>
      </w:r>
      <w:r>
        <w:rPr>
          <w:lang w:val="en-US"/>
        </w:rPr>
        <w:t>/</w:t>
      </w:r>
      <w:r>
        <w:t>nebo náročnosti daného pracovního místa.</w:t>
      </w:r>
    </w:p>
    <w:p w:rsidR="00EA3C42" w:rsidRDefault="00EA3C42" w:rsidP="00EA3C42">
      <w:r>
        <w:t xml:space="preserve">Souhrnně lze říci, že kombinace dvou faktorů v podobě úrovně minimální mzdy a role kolektivního vyjednávání hraje klíčovou roli z hlediska naplnění cílů minimální mzdy v jednotlivých zemích. V zemích, ve kterých dochází v dobré víře ke zvyšování úrovně minimální mzdy, ale zároveň nedisponují dostatečně silným komplementárním institutem (např. v podobě kolektivního vyjednávání), jsou pozitivní efekty minimální mzdy velmi omezené. Pokud lze v těchto zemích pozitivní efekty působení minimální mzdy identifikovat, pak jsou tyto efekty omezeny pouze na nízkopříjmové zaměstnance (tj. zaměstnanci s vyššími mzdami ze mzdového vzlínání neprofitují). </w:t>
      </w:r>
      <w:r w:rsidRPr="00DF61A7">
        <w:rPr>
          <w:b/>
        </w:rPr>
        <w:t>Z hlediska snižování mzdové nerovnosti hraje větší roli postavení odborových organizací než existence institutu minimální mzdy</w:t>
      </w:r>
      <w:r>
        <w:t>. Pokud je v zemi vysoké pokrytí kolektivními smlouvami, může kolektivní vyjednávání suplovat roli minimální mzdy a podíl nízkopříjmových zaměstnanců je udržován na nízké úrovni (např. Dánsko, Švédsko, Rakousko). Na druhou stranu však nemůže minimální mzda suplovat roli kolektivního vyjednávání, a proto se země s oslabenou pozicí odborových organizací potýkají s vyšším podílem nízkopříjmových zaměstnanců (viz tabulka 8).</w:t>
      </w:r>
    </w:p>
    <w:p w:rsidR="00EA3C42" w:rsidRPr="008A72E8" w:rsidRDefault="00EA3C42" w:rsidP="00EA3C42">
      <w:pPr>
        <w:pStyle w:val="Titulek"/>
        <w:keepNext/>
        <w:keepLines/>
        <w:spacing w:before="480" w:after="60"/>
        <w:rPr>
          <w:b w:val="0"/>
          <w:i/>
          <w:sz w:val="22"/>
          <w:szCs w:val="22"/>
        </w:rPr>
      </w:pPr>
      <w:r w:rsidRPr="005319E2">
        <w:rPr>
          <w:b w:val="0"/>
          <w:i/>
          <w:sz w:val="22"/>
          <w:szCs w:val="22"/>
        </w:rPr>
        <w:lastRenderedPageBreak/>
        <w:t xml:space="preserve">Tabulka </w:t>
      </w:r>
      <w:r w:rsidR="008A3262" w:rsidRPr="005319E2">
        <w:rPr>
          <w:b w:val="0"/>
          <w:i/>
          <w:sz w:val="22"/>
          <w:szCs w:val="22"/>
        </w:rPr>
        <w:fldChar w:fldCharType="begin"/>
      </w:r>
      <w:r w:rsidRPr="005319E2">
        <w:rPr>
          <w:b w:val="0"/>
          <w:i/>
          <w:sz w:val="22"/>
          <w:szCs w:val="22"/>
        </w:rPr>
        <w:instrText xml:space="preserve"> SEQ Tabulka \* ARABIC </w:instrText>
      </w:r>
      <w:r w:rsidR="008A3262" w:rsidRPr="005319E2">
        <w:rPr>
          <w:b w:val="0"/>
          <w:i/>
          <w:sz w:val="22"/>
          <w:szCs w:val="22"/>
        </w:rPr>
        <w:fldChar w:fldCharType="separate"/>
      </w:r>
      <w:r w:rsidR="00001D4C">
        <w:rPr>
          <w:b w:val="0"/>
          <w:i/>
          <w:noProof/>
          <w:sz w:val="22"/>
          <w:szCs w:val="22"/>
        </w:rPr>
        <w:t>8</w:t>
      </w:r>
      <w:r w:rsidR="008A3262" w:rsidRPr="005319E2">
        <w:rPr>
          <w:b w:val="0"/>
          <w:i/>
          <w:sz w:val="22"/>
          <w:szCs w:val="22"/>
        </w:rPr>
        <w:fldChar w:fldCharType="end"/>
      </w:r>
      <w:r w:rsidRPr="005319E2">
        <w:rPr>
          <w:b w:val="0"/>
          <w:i/>
          <w:sz w:val="22"/>
          <w:szCs w:val="22"/>
        </w:rPr>
        <w:t xml:space="preserve">: </w:t>
      </w:r>
      <w:r>
        <w:rPr>
          <w:b w:val="0"/>
          <w:i/>
          <w:sz w:val="22"/>
          <w:szCs w:val="22"/>
        </w:rPr>
        <w:t>Vliv minimální mzdy a kolektivního vyjednávání na podíl nízkopříjmových zaměstnanců ve vybraných zemích v roce 2006</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3260"/>
        <w:gridCol w:w="3119"/>
      </w:tblGrid>
      <w:tr w:rsidR="00EA3C42" w:rsidRPr="00BB5F95" w:rsidTr="00B26FFE">
        <w:trPr>
          <w:trHeight w:val="517"/>
          <w:jc w:val="center"/>
        </w:trPr>
        <w:tc>
          <w:tcPr>
            <w:tcW w:w="1384" w:type="dxa"/>
            <w:gridSpan w:val="2"/>
            <w:vMerge w:val="restart"/>
            <w:tcBorders>
              <w:right w:val="single" w:sz="4" w:space="0" w:color="E5B8B7" w:themeColor="accent2" w:themeTint="66"/>
            </w:tcBorders>
          </w:tcPr>
          <w:p w:rsidR="00EA3C42" w:rsidRPr="00BB5F95" w:rsidRDefault="00EA3C42" w:rsidP="00B26FFE">
            <w:pPr>
              <w:keepNext/>
              <w:keepLines/>
              <w:spacing w:before="0"/>
              <w:rPr>
                <w:rFonts w:cs="Arial"/>
                <w:sz w:val="22"/>
                <w:szCs w:val="22"/>
              </w:rPr>
            </w:pPr>
          </w:p>
        </w:tc>
        <w:tc>
          <w:tcPr>
            <w:tcW w:w="6379" w:type="dxa"/>
            <w:gridSpan w:val="2"/>
            <w:tcBorders>
              <w:top w:val="single" w:sz="4" w:space="0" w:color="E5B8B7" w:themeColor="accent2" w:themeTint="66"/>
              <w:left w:val="single" w:sz="4" w:space="0" w:color="E5B8B7" w:themeColor="accent2" w:themeTint="66"/>
              <w:bottom w:val="single" w:sz="4" w:space="0" w:color="FFFFFF" w:themeColor="background1"/>
              <w:right w:val="single" w:sz="4" w:space="0" w:color="E5B8B7" w:themeColor="accent2" w:themeTint="66"/>
            </w:tcBorders>
            <w:shd w:val="clear" w:color="auto" w:fill="E5B8B7" w:themeFill="accent2" w:themeFillTint="66"/>
            <w:vAlign w:val="center"/>
          </w:tcPr>
          <w:p w:rsidR="00EA3C42" w:rsidRPr="009B692F" w:rsidRDefault="00EA3C42" w:rsidP="00B26FFE">
            <w:pPr>
              <w:keepNext/>
              <w:keepLines/>
              <w:spacing w:before="0"/>
              <w:jc w:val="center"/>
              <w:rPr>
                <w:rFonts w:cs="Arial"/>
                <w:b/>
                <w:sz w:val="22"/>
                <w:szCs w:val="22"/>
              </w:rPr>
            </w:pPr>
            <w:r w:rsidRPr="009B692F">
              <w:rPr>
                <w:rFonts w:cs="Arial"/>
                <w:b/>
                <w:sz w:val="22"/>
                <w:szCs w:val="22"/>
              </w:rPr>
              <w:t>Institut minimální mzdy</w:t>
            </w:r>
          </w:p>
        </w:tc>
      </w:tr>
      <w:tr w:rsidR="00EA3C42" w:rsidRPr="00BB5F95" w:rsidTr="00B26FFE">
        <w:trPr>
          <w:trHeight w:val="567"/>
          <w:jc w:val="center"/>
        </w:trPr>
        <w:tc>
          <w:tcPr>
            <w:tcW w:w="1384" w:type="dxa"/>
            <w:gridSpan w:val="2"/>
            <w:vMerge/>
            <w:tcBorders>
              <w:bottom w:val="single" w:sz="4" w:space="0" w:color="E5B8B7" w:themeColor="accent2" w:themeTint="66"/>
              <w:right w:val="single" w:sz="4" w:space="0" w:color="E5B8B7" w:themeColor="accent2" w:themeTint="66"/>
            </w:tcBorders>
          </w:tcPr>
          <w:p w:rsidR="00EA3C42" w:rsidRPr="00BB5F95" w:rsidRDefault="00EA3C42" w:rsidP="00B26FFE">
            <w:pPr>
              <w:keepNext/>
              <w:keepLines/>
              <w:spacing w:before="0"/>
              <w:rPr>
                <w:rFonts w:cs="Arial"/>
                <w:sz w:val="22"/>
                <w:szCs w:val="22"/>
              </w:rPr>
            </w:pPr>
          </w:p>
        </w:tc>
        <w:tc>
          <w:tcPr>
            <w:tcW w:w="3260" w:type="dxa"/>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vAlign w:val="center"/>
          </w:tcPr>
          <w:p w:rsidR="00EA3C42" w:rsidRPr="009B692F" w:rsidRDefault="00EA3C42" w:rsidP="00B26FFE">
            <w:pPr>
              <w:keepNext/>
              <w:keepLines/>
              <w:spacing w:before="0"/>
              <w:jc w:val="center"/>
              <w:rPr>
                <w:rFonts w:cs="Arial"/>
                <w:b/>
                <w:sz w:val="22"/>
                <w:szCs w:val="22"/>
              </w:rPr>
            </w:pPr>
            <w:r w:rsidRPr="009B692F">
              <w:rPr>
                <w:rFonts w:cs="Arial"/>
                <w:b/>
                <w:sz w:val="22"/>
                <w:szCs w:val="22"/>
              </w:rPr>
              <w:t>Vysoká úroveň</w:t>
            </w:r>
          </w:p>
        </w:tc>
        <w:tc>
          <w:tcPr>
            <w:tcW w:w="3119" w:type="dxa"/>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vAlign w:val="center"/>
          </w:tcPr>
          <w:p w:rsidR="00EA3C42" w:rsidRPr="009B692F" w:rsidRDefault="00EA3C42" w:rsidP="00B26FFE">
            <w:pPr>
              <w:keepNext/>
              <w:keepLines/>
              <w:spacing w:before="0"/>
              <w:jc w:val="center"/>
              <w:rPr>
                <w:rFonts w:cs="Arial"/>
                <w:b/>
                <w:sz w:val="22"/>
                <w:szCs w:val="22"/>
              </w:rPr>
            </w:pPr>
            <w:r w:rsidRPr="009B692F">
              <w:rPr>
                <w:rFonts w:cs="Arial"/>
                <w:b/>
                <w:sz w:val="22"/>
                <w:szCs w:val="22"/>
              </w:rPr>
              <w:t xml:space="preserve">Nízká úroveň nebo </w:t>
            </w:r>
            <w:r w:rsidRPr="009158B0">
              <w:rPr>
                <w:rFonts w:cs="Arial"/>
                <w:b/>
                <w:i/>
                <w:sz w:val="22"/>
                <w:szCs w:val="22"/>
              </w:rPr>
              <w:t>neexistuje plošná MM</w:t>
            </w:r>
          </w:p>
        </w:tc>
      </w:tr>
      <w:tr w:rsidR="00EA3C42" w:rsidRPr="00BB5F95" w:rsidTr="00B26FFE">
        <w:trPr>
          <w:jc w:val="center"/>
        </w:trPr>
        <w:tc>
          <w:tcPr>
            <w:tcW w:w="675" w:type="dxa"/>
            <w:vMerge w:val="restart"/>
            <w:tcBorders>
              <w:top w:val="single" w:sz="4" w:space="0" w:color="E5B8B7" w:themeColor="accent2" w:themeTint="66"/>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r w:rsidRPr="009B692F">
              <w:rPr>
                <w:rFonts w:cs="Arial"/>
                <w:b/>
                <w:sz w:val="22"/>
                <w:szCs w:val="22"/>
              </w:rPr>
              <w:t>Kolektivní vyjednávání</w:t>
            </w:r>
          </w:p>
        </w:tc>
        <w:tc>
          <w:tcPr>
            <w:tcW w:w="709" w:type="dxa"/>
            <w:vMerge w:val="restart"/>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r w:rsidRPr="009B692F">
              <w:rPr>
                <w:rFonts w:cs="Arial"/>
                <w:b/>
                <w:sz w:val="22"/>
                <w:szCs w:val="22"/>
              </w:rPr>
              <w:t>Vysoká úroveň pokrytí</w:t>
            </w:r>
          </w:p>
        </w:tc>
        <w:tc>
          <w:tcPr>
            <w:tcW w:w="3260" w:type="dxa"/>
            <w:tcBorders>
              <w:top w:val="single" w:sz="4" w:space="0" w:color="E5B8B7" w:themeColor="accent2" w:themeTint="66"/>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Belgie (7,0 %)</w:t>
            </w:r>
          </w:p>
        </w:tc>
        <w:tc>
          <w:tcPr>
            <w:tcW w:w="3119" w:type="dxa"/>
            <w:tcBorders>
              <w:top w:val="single" w:sz="4" w:space="0" w:color="E5B8B7" w:themeColor="accent2" w:themeTint="66"/>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sidRPr="0074087B">
              <w:rPr>
                <w:rFonts w:cs="Arial"/>
                <w:i/>
                <w:sz w:val="22"/>
                <w:szCs w:val="22"/>
              </w:rPr>
              <w:t>Rakousko</w:t>
            </w:r>
            <w:r>
              <w:rPr>
                <w:rFonts w:cs="Arial"/>
                <w:sz w:val="22"/>
                <w:szCs w:val="22"/>
              </w:rPr>
              <w:t xml:space="preserve"> (14,5 %)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Řecko (16,8 %)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sidRPr="0074087B">
              <w:rPr>
                <w:rFonts w:cs="Arial"/>
                <w:i/>
                <w:sz w:val="22"/>
                <w:szCs w:val="22"/>
              </w:rPr>
              <w:t>Německo</w:t>
            </w:r>
            <w:r>
              <w:rPr>
                <w:rFonts w:cs="Arial"/>
                <w:sz w:val="22"/>
                <w:szCs w:val="22"/>
              </w:rPr>
              <w:t xml:space="preserve"> (19,6 %)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Francie (8,8 %)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sidRPr="0074087B">
              <w:rPr>
                <w:rFonts w:cs="Arial"/>
                <w:i/>
                <w:sz w:val="22"/>
                <w:szCs w:val="22"/>
              </w:rPr>
              <w:t>Dánsko</w:t>
            </w:r>
            <w:r>
              <w:rPr>
                <w:rFonts w:cs="Arial"/>
                <w:sz w:val="22"/>
                <w:szCs w:val="22"/>
              </w:rPr>
              <w:t xml:space="preserve"> (8,0 %)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Portugalsko (20,3 %)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Španělsko (15,2 %)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Slovinsko (16,4 %)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Lucembursko (15,2 %)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Nizozemí (13,9 %)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sidRPr="0074087B">
              <w:rPr>
                <w:rFonts w:cs="Arial"/>
                <w:i/>
                <w:sz w:val="22"/>
                <w:szCs w:val="22"/>
              </w:rPr>
              <w:t>Švédsko</w:t>
            </w:r>
            <w:r>
              <w:rPr>
                <w:rFonts w:cs="Arial"/>
                <w:sz w:val="22"/>
                <w:szCs w:val="22"/>
              </w:rPr>
              <w:t xml:space="preserve"> (10,5 %)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sidRPr="0074087B">
              <w:rPr>
                <w:rFonts w:cs="Arial"/>
                <w:i/>
                <w:sz w:val="22"/>
                <w:szCs w:val="22"/>
              </w:rPr>
              <w:t>Itálie</w:t>
            </w:r>
            <w:r>
              <w:rPr>
                <w:rFonts w:cs="Arial"/>
                <w:sz w:val="22"/>
                <w:szCs w:val="22"/>
              </w:rPr>
              <w:t xml:space="preserve"> (21,5 %)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tcBorders>
              <w:top w:val="single" w:sz="4" w:space="0" w:color="E5B8B7" w:themeColor="accent2" w:themeTint="66"/>
              <w:left w:val="single" w:sz="4" w:space="0" w:color="FFFFFF" w:themeColor="background1"/>
              <w:bottom w:val="single" w:sz="4" w:space="0" w:color="FFFFFF"/>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p>
        </w:tc>
        <w:tc>
          <w:tcPr>
            <w:tcW w:w="3260" w:type="dxa"/>
            <w:tcBorders>
              <w:left w:val="single" w:sz="4" w:space="0" w:color="E5B8B7" w:themeColor="accent2" w:themeTint="66"/>
              <w:bottom w:val="single" w:sz="4" w:space="0" w:color="E5B8B7" w:themeColor="accent2" w:themeTint="66"/>
              <w:right w:val="single" w:sz="4" w:space="0" w:color="E5B8B7" w:themeColor="accent2" w:themeTint="66"/>
            </w:tcBorders>
            <w:shd w:val="clear" w:color="auto" w:fill="F2F2F2" w:themeFill="background1" w:themeFillShade="F2"/>
            <w:vAlign w:val="center"/>
          </w:tcPr>
          <w:p w:rsidR="00EA3C42" w:rsidRPr="00A01CF8" w:rsidRDefault="00EA3C42" w:rsidP="00B26FFE">
            <w:pPr>
              <w:keepNext/>
              <w:keepLines/>
              <w:spacing w:before="20" w:after="20"/>
              <w:jc w:val="left"/>
              <w:rPr>
                <w:rFonts w:cs="Arial"/>
                <w:b/>
                <w:sz w:val="22"/>
                <w:szCs w:val="22"/>
              </w:rPr>
            </w:pPr>
            <w:r w:rsidRPr="00A01CF8">
              <w:rPr>
                <w:rFonts w:cs="Arial"/>
                <w:b/>
                <w:sz w:val="22"/>
                <w:szCs w:val="22"/>
              </w:rPr>
              <w:t xml:space="preserve">PRŮMĚR </w:t>
            </w:r>
            <w:r>
              <w:rPr>
                <w:rFonts w:cs="Arial"/>
                <w:b/>
                <w:sz w:val="22"/>
                <w:szCs w:val="22"/>
              </w:rPr>
              <w:t>(</w:t>
            </w:r>
            <w:r w:rsidRPr="00A01CF8">
              <w:rPr>
                <w:rFonts w:cs="Arial"/>
                <w:b/>
                <w:sz w:val="22"/>
                <w:szCs w:val="22"/>
              </w:rPr>
              <w:t>13,9 %</w:t>
            </w:r>
            <w:r>
              <w:rPr>
                <w:rFonts w:cs="Arial"/>
                <w:b/>
                <w:sz w:val="22"/>
                <w:szCs w:val="22"/>
              </w:rPr>
              <w:t>)</w:t>
            </w:r>
          </w:p>
        </w:tc>
        <w:tc>
          <w:tcPr>
            <w:tcW w:w="3119" w:type="dxa"/>
            <w:tcBorders>
              <w:left w:val="single" w:sz="4" w:space="0" w:color="E5B8B7" w:themeColor="accent2" w:themeTint="66"/>
              <w:bottom w:val="single" w:sz="4" w:space="0" w:color="E5B8B7" w:themeColor="accent2" w:themeTint="66"/>
              <w:right w:val="single" w:sz="4" w:space="0" w:color="E5B8B7" w:themeColor="accent2" w:themeTint="66"/>
            </w:tcBorders>
            <w:shd w:val="clear" w:color="auto" w:fill="F2F2F2" w:themeFill="background1" w:themeFillShade="F2"/>
            <w:vAlign w:val="center"/>
          </w:tcPr>
          <w:p w:rsidR="00EA3C42" w:rsidRPr="00A01CF8" w:rsidRDefault="00EA3C42" w:rsidP="00B26FFE">
            <w:pPr>
              <w:keepNext/>
              <w:keepLines/>
              <w:spacing w:before="20" w:after="20"/>
              <w:jc w:val="left"/>
              <w:rPr>
                <w:rFonts w:cs="Arial"/>
                <w:b/>
                <w:sz w:val="22"/>
                <w:szCs w:val="22"/>
              </w:rPr>
            </w:pPr>
            <w:r w:rsidRPr="00A01CF8">
              <w:rPr>
                <w:rFonts w:cs="Arial"/>
                <w:b/>
                <w:sz w:val="22"/>
                <w:szCs w:val="22"/>
              </w:rPr>
              <w:t xml:space="preserve">PRŮMĚR </w:t>
            </w:r>
            <w:r>
              <w:rPr>
                <w:rFonts w:cs="Arial"/>
                <w:b/>
                <w:sz w:val="22"/>
                <w:szCs w:val="22"/>
              </w:rPr>
              <w:t>(</w:t>
            </w:r>
            <w:r w:rsidRPr="00A01CF8">
              <w:rPr>
                <w:rFonts w:cs="Arial"/>
                <w:b/>
                <w:sz w:val="22"/>
                <w:szCs w:val="22"/>
              </w:rPr>
              <w:t>14,8 %</w:t>
            </w:r>
            <w:r>
              <w:rPr>
                <w:rFonts w:cs="Arial"/>
                <w:b/>
                <w:sz w:val="22"/>
                <w:szCs w:val="22"/>
              </w:rPr>
              <w:t>)</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extDirection w:val="btLr"/>
          </w:tcPr>
          <w:p w:rsidR="00EA3C42" w:rsidRPr="009B692F" w:rsidRDefault="00EA3C42" w:rsidP="00B26FFE">
            <w:pPr>
              <w:keepNext/>
              <w:keepLines/>
              <w:spacing w:before="0"/>
              <w:ind w:left="113" w:right="113"/>
              <w:rPr>
                <w:rFonts w:cs="Arial"/>
                <w:b/>
                <w:sz w:val="22"/>
                <w:szCs w:val="22"/>
              </w:rPr>
            </w:pPr>
          </w:p>
        </w:tc>
        <w:tc>
          <w:tcPr>
            <w:tcW w:w="709" w:type="dxa"/>
            <w:vMerge w:val="restart"/>
            <w:tcBorders>
              <w:top w:val="single" w:sz="4" w:space="0" w:color="FFFFFF"/>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extDirection w:val="btLr"/>
            <w:vAlign w:val="center"/>
          </w:tcPr>
          <w:p w:rsidR="00EA3C42" w:rsidRPr="009B692F" w:rsidRDefault="00EA3C42" w:rsidP="00B26FFE">
            <w:pPr>
              <w:keepNext/>
              <w:keepLines/>
              <w:spacing w:before="0"/>
              <w:ind w:left="113" w:right="113"/>
              <w:jc w:val="center"/>
              <w:rPr>
                <w:rFonts w:cs="Arial"/>
                <w:b/>
                <w:sz w:val="22"/>
                <w:szCs w:val="22"/>
              </w:rPr>
            </w:pPr>
            <w:r w:rsidRPr="009B692F">
              <w:rPr>
                <w:rFonts w:cs="Arial"/>
                <w:b/>
                <w:sz w:val="22"/>
                <w:szCs w:val="22"/>
              </w:rPr>
              <w:t>Nízká úroveň pokrytí</w:t>
            </w:r>
          </w:p>
        </w:tc>
        <w:tc>
          <w:tcPr>
            <w:tcW w:w="3260" w:type="dxa"/>
            <w:tcBorders>
              <w:top w:val="single" w:sz="4" w:space="0" w:color="E5B8B7" w:themeColor="accent2" w:themeTint="66"/>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Maďarsko (23,5 %)</w:t>
            </w:r>
          </w:p>
        </w:tc>
        <w:tc>
          <w:tcPr>
            <w:tcW w:w="3119" w:type="dxa"/>
            <w:tcBorders>
              <w:top w:val="single" w:sz="4" w:space="0" w:color="E5B8B7" w:themeColor="accent2" w:themeTint="66"/>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Česká republika (16,3 %)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Irsko (21,5 %)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Estonsko (21,5 %)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Lotyšsko (30,9 %)</w:t>
            </w: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Litva (27,7 %)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Polsko (21,9 %)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Slovensko (17,4 %)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p>
        </w:tc>
        <w:tc>
          <w:tcPr>
            <w:tcW w:w="3119" w:type="dxa"/>
            <w:tcBorders>
              <w:left w:val="single" w:sz="4" w:space="0" w:color="E5B8B7" w:themeColor="accent2" w:themeTint="66"/>
              <w:right w:val="single" w:sz="4" w:space="0" w:color="E5B8B7" w:themeColor="accent2" w:themeTint="66"/>
            </w:tcBorders>
            <w:vAlign w:val="center"/>
          </w:tcPr>
          <w:p w:rsidR="00EA3C42" w:rsidRPr="00BB5F95" w:rsidRDefault="00EA3C42" w:rsidP="00B26FFE">
            <w:pPr>
              <w:keepNext/>
              <w:keepLines/>
              <w:spacing w:before="20" w:after="20"/>
              <w:jc w:val="left"/>
              <w:rPr>
                <w:rFonts w:cs="Arial"/>
                <w:sz w:val="22"/>
                <w:szCs w:val="22"/>
              </w:rPr>
            </w:pPr>
            <w:r>
              <w:rPr>
                <w:rFonts w:cs="Arial"/>
                <w:sz w:val="22"/>
                <w:szCs w:val="22"/>
              </w:rPr>
              <w:t>Velká Británie (21,6 %)</w:t>
            </w:r>
          </w:p>
        </w:tc>
      </w:tr>
      <w:tr w:rsidR="00EA3C42" w:rsidRPr="00BB5F95" w:rsidTr="00B26FFE">
        <w:trPr>
          <w:jc w:val="center"/>
        </w:trPr>
        <w:tc>
          <w:tcPr>
            <w:tcW w:w="675" w:type="dxa"/>
            <w:vMerge/>
            <w:tcBorders>
              <w:top w:val="single" w:sz="4" w:space="0" w:color="FFFFFF" w:themeColor="background1"/>
              <w:left w:val="single" w:sz="4" w:space="0" w:color="E5B8B7" w:themeColor="accent2" w:themeTint="66"/>
              <w:bottom w:val="single" w:sz="4" w:space="0" w:color="E5B8B7" w:themeColor="accent2" w:themeTint="66"/>
              <w:right w:val="single" w:sz="4" w:space="0" w:color="FFFFFF" w:themeColor="background1"/>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709" w:type="dxa"/>
            <w:vMerge/>
            <w:tcBorders>
              <w:top w:val="single" w:sz="4" w:space="0" w:color="FFFFFF" w:themeColor="background1"/>
              <w:left w:val="single" w:sz="4" w:space="0" w:color="FFFFFF" w:themeColor="background1"/>
              <w:bottom w:val="single" w:sz="4" w:space="0" w:color="E5B8B7" w:themeColor="accent2" w:themeTint="66"/>
              <w:right w:val="single" w:sz="4" w:space="0" w:color="E5B8B7" w:themeColor="accent2" w:themeTint="66"/>
            </w:tcBorders>
            <w:shd w:val="clear" w:color="auto" w:fill="E5B8B7" w:themeFill="accent2" w:themeFillTint="66"/>
          </w:tcPr>
          <w:p w:rsidR="00EA3C42" w:rsidRPr="00BB5F95" w:rsidRDefault="00EA3C42" w:rsidP="00B26FFE">
            <w:pPr>
              <w:keepNext/>
              <w:keepLines/>
              <w:spacing w:before="0"/>
              <w:rPr>
                <w:rFonts w:cs="Arial"/>
                <w:sz w:val="22"/>
                <w:szCs w:val="22"/>
              </w:rPr>
            </w:pPr>
          </w:p>
        </w:tc>
        <w:tc>
          <w:tcPr>
            <w:tcW w:w="3260" w:type="dxa"/>
            <w:tcBorders>
              <w:left w:val="single" w:sz="4" w:space="0" w:color="E5B8B7" w:themeColor="accent2" w:themeTint="66"/>
              <w:bottom w:val="single" w:sz="4" w:space="0" w:color="E5B8B7" w:themeColor="accent2" w:themeTint="66"/>
              <w:right w:val="single" w:sz="4" w:space="0" w:color="E5B8B7" w:themeColor="accent2" w:themeTint="66"/>
            </w:tcBorders>
            <w:shd w:val="clear" w:color="auto" w:fill="F2F2F2" w:themeFill="background1" w:themeFillShade="F2"/>
            <w:vAlign w:val="center"/>
          </w:tcPr>
          <w:p w:rsidR="00EA3C42" w:rsidRPr="00A01CF8" w:rsidRDefault="00EA3C42" w:rsidP="00B26FFE">
            <w:pPr>
              <w:keepNext/>
              <w:keepLines/>
              <w:spacing w:before="20" w:after="20"/>
              <w:jc w:val="left"/>
              <w:rPr>
                <w:rFonts w:cs="Arial"/>
                <w:b/>
                <w:sz w:val="22"/>
                <w:szCs w:val="22"/>
              </w:rPr>
            </w:pPr>
            <w:r w:rsidRPr="00A01CF8">
              <w:rPr>
                <w:rFonts w:cs="Arial"/>
                <w:b/>
                <w:sz w:val="22"/>
                <w:szCs w:val="22"/>
              </w:rPr>
              <w:t>PRŮMĚR (25,3 %)</w:t>
            </w:r>
          </w:p>
        </w:tc>
        <w:tc>
          <w:tcPr>
            <w:tcW w:w="3119" w:type="dxa"/>
            <w:tcBorders>
              <w:left w:val="single" w:sz="4" w:space="0" w:color="E5B8B7" w:themeColor="accent2" w:themeTint="66"/>
              <w:bottom w:val="single" w:sz="4" w:space="0" w:color="E5B8B7" w:themeColor="accent2" w:themeTint="66"/>
              <w:right w:val="single" w:sz="4" w:space="0" w:color="E5B8B7" w:themeColor="accent2" w:themeTint="66"/>
            </w:tcBorders>
            <w:shd w:val="clear" w:color="auto" w:fill="F2F2F2" w:themeFill="background1" w:themeFillShade="F2"/>
            <w:vAlign w:val="center"/>
          </w:tcPr>
          <w:p w:rsidR="00EA3C42" w:rsidRPr="00A01CF8" w:rsidRDefault="00EA3C42" w:rsidP="00B26FFE">
            <w:pPr>
              <w:keepNext/>
              <w:keepLines/>
              <w:spacing w:before="20" w:after="20"/>
              <w:jc w:val="left"/>
              <w:rPr>
                <w:rFonts w:cs="Arial"/>
                <w:b/>
                <w:sz w:val="22"/>
                <w:szCs w:val="22"/>
              </w:rPr>
            </w:pPr>
            <w:r w:rsidRPr="00A01CF8">
              <w:rPr>
                <w:rFonts w:cs="Arial"/>
                <w:b/>
                <w:sz w:val="22"/>
                <w:szCs w:val="22"/>
              </w:rPr>
              <w:t>PRŮMĚR (21,1 %)</w:t>
            </w:r>
          </w:p>
        </w:tc>
      </w:tr>
    </w:tbl>
    <w:p w:rsidR="00EA3C42" w:rsidRPr="00866C54" w:rsidRDefault="00EA3C42" w:rsidP="00EA3C42">
      <w:pPr>
        <w:keepNext/>
        <w:keepLines/>
        <w:spacing w:after="0"/>
        <w:ind w:left="709" w:hanging="709"/>
        <w:rPr>
          <w:sz w:val="20"/>
          <w:szCs w:val="20"/>
        </w:rPr>
      </w:pPr>
      <w:r w:rsidRPr="00866C54">
        <w:rPr>
          <w:sz w:val="20"/>
          <w:szCs w:val="20"/>
        </w:rPr>
        <w:t xml:space="preserve">Pozn.: </w:t>
      </w:r>
      <w:r w:rsidR="00866C54">
        <w:rPr>
          <w:sz w:val="20"/>
          <w:szCs w:val="20"/>
        </w:rPr>
        <w:tab/>
      </w:r>
      <w:r w:rsidRPr="00866C54">
        <w:rPr>
          <w:sz w:val="20"/>
          <w:szCs w:val="20"/>
        </w:rPr>
        <w:t>Země je klasifikována do kategorie s nízkou úrovní pokrytí kolektivními smlouvami, pokud je podíl zaměstnanců nižší než 50 %. Vysoká úroveň pokrytí kolektivními smlouvami je v zemích, kde je pokryto 50 % a více zaměstnanců. Úroveň minimální mzdy je dána Kaitzovým indexem. Země s vysokou úrovní minimální mzdy mají hodnotu Kaitzova indexu vyšší než 47,2, země s nízkou úrovní minimální mzdy mají hodnotu Kaitzova indexu naopak rovnu nebo nižší než 47,2 (pozn. hodnota Kaitzova indexu ve výši 47,2 odpovídá průměru zemí). V závorkách je uveden podíl zaměstnanců s nízkou mzdou (tj. mzdou nižší než 2</w:t>
      </w:r>
      <w:r w:rsidRPr="00866C54">
        <w:rPr>
          <w:sz w:val="20"/>
          <w:szCs w:val="20"/>
          <w:lang w:val="en-US"/>
        </w:rPr>
        <w:t>/</w:t>
      </w:r>
      <w:r w:rsidRPr="00866C54">
        <w:rPr>
          <w:sz w:val="20"/>
          <w:szCs w:val="20"/>
        </w:rPr>
        <w:t>3 mediánu hrubé měsíční mzdy v dané zemi). Kurzívou jsou označeny země, ve kterých neexistovala ve sledovaném období plošná úprava minimální mzdy.</w:t>
      </w:r>
    </w:p>
    <w:p w:rsidR="00EA3C42" w:rsidRPr="00866C54" w:rsidRDefault="00EA3C42" w:rsidP="00EA3C42">
      <w:pPr>
        <w:spacing w:before="0" w:after="480"/>
        <w:rPr>
          <w:sz w:val="20"/>
          <w:szCs w:val="20"/>
        </w:rPr>
      </w:pPr>
      <w:r w:rsidRPr="00866C54">
        <w:rPr>
          <w:sz w:val="20"/>
          <w:szCs w:val="20"/>
        </w:rPr>
        <w:t>Zdroj: Grimshaw a kol. (2014).</w:t>
      </w:r>
    </w:p>
    <w:p w:rsidR="00EA3C42" w:rsidRDefault="00EA3C42" w:rsidP="00EA3C42">
      <w:r w:rsidRPr="00DF61A7">
        <w:rPr>
          <w:b/>
        </w:rPr>
        <w:t>Vzájemné působení institutů minimální mzdy a kolektivního vyjednávání</w:t>
      </w:r>
      <w:r w:rsidRPr="00501099">
        <w:t xml:space="preserve"> </w:t>
      </w:r>
      <w:r w:rsidRPr="00DF61A7">
        <w:rPr>
          <w:b/>
        </w:rPr>
        <w:t xml:space="preserve">ovlivňují </w:t>
      </w:r>
      <w:r w:rsidRPr="00501099">
        <w:t xml:space="preserve">podle Grimshawa a kol. (2014) </w:t>
      </w:r>
      <w:r w:rsidRPr="00DF61A7">
        <w:rPr>
          <w:b/>
        </w:rPr>
        <w:t>čtyři zásadní faktory</w:t>
      </w:r>
      <w:r>
        <w:t xml:space="preserve"> </w:t>
      </w:r>
      <w:r w:rsidRPr="00501099">
        <w:t>(viz obrázek 5).</w:t>
      </w:r>
      <w:r>
        <w:t xml:space="preserve"> Komplementarita minimální mzdy a kolektivního vyjednávání byla ve sledovaných zemích ovlivněna především:</w:t>
      </w:r>
    </w:p>
    <w:p w:rsidR="00EA3C42" w:rsidRDefault="00EA3C42" w:rsidP="00EA3C42">
      <w:pPr>
        <w:pStyle w:val="Odstavecseseznamem"/>
        <w:numPr>
          <w:ilvl w:val="0"/>
          <w:numId w:val="28"/>
        </w:numPr>
      </w:pPr>
      <w:r w:rsidRPr="00501099">
        <w:rPr>
          <w:b/>
        </w:rPr>
        <w:t>úrovní tarifů sjednaných v kolektivních smlouvách ve vztahu k výši minimální mzdy</w:t>
      </w:r>
      <w:r>
        <w:t xml:space="preserve">. Nevhodně nastavená úroveň minimální mzdy negativně ovlivňuje využívání tohoto institutu v rámci kolektivního vyjednávání. V tomto ohledu mohou nastat (a v evropské praxi i nastávají) dvě krajní situace, kdy je </w:t>
      </w:r>
    </w:p>
    <w:p w:rsidR="00EA3C42" w:rsidRDefault="00EA3C42" w:rsidP="00EA3C42">
      <w:pPr>
        <w:pStyle w:val="Odstavecseseznamem"/>
        <w:numPr>
          <w:ilvl w:val="1"/>
          <w:numId w:val="28"/>
        </w:numPr>
      </w:pPr>
      <w:r w:rsidRPr="00DF61A7">
        <w:rPr>
          <w:i/>
        </w:rPr>
        <w:t>úroveň minimální mzdy nastavena příliš nízko</w:t>
      </w:r>
      <w:r>
        <w:t>. V tomto případě je využití institutu minimální mzdy z pohledu kolektivního vyjednávání irelevantní</w:t>
      </w:r>
      <w:r>
        <w:rPr>
          <w:lang w:val="en-US"/>
        </w:rPr>
        <w:t>;</w:t>
      </w:r>
    </w:p>
    <w:p w:rsidR="00EA3C42" w:rsidRDefault="00EA3C42" w:rsidP="00EA3C42">
      <w:pPr>
        <w:pStyle w:val="Odstavecseseznamem"/>
        <w:numPr>
          <w:ilvl w:val="1"/>
          <w:numId w:val="28"/>
        </w:numPr>
      </w:pPr>
      <w:r w:rsidRPr="00DF61A7">
        <w:rPr>
          <w:i/>
        </w:rPr>
        <w:t>úroveň minimální mzdy příliš vysoká</w:t>
      </w:r>
      <w:r>
        <w:t xml:space="preserve">. V tomto případě jsou často mzdové tarify sjednávané pod úrovní zákonné minimální mzdy (např. v Chorvatsku). Minimální mzda dále působí jako demotivující prvek z hlediska dalšího </w:t>
      </w:r>
      <w:r>
        <w:lastRenderedPageBreak/>
        <w:t>rozšiřování působnosti kolektivních smluv. Z pohledu ekonomických subjektů (především v odvětvích charakteristických nízkou úrovní mezd) je totiž obtížné dodržet zákonnou úroveň minimální mzdy, a další zvyšování mezd (např. na úroveň tarifů sjednaných v kolektivních smlouvách) tak může být v</w:t>
      </w:r>
      <w:r w:rsidR="00442E3A">
        <w:t> </w:t>
      </w:r>
      <w:r>
        <w:t>konkrétním podniku neudržitelné.</w:t>
      </w:r>
    </w:p>
    <w:p w:rsidR="00EA3C42" w:rsidRDefault="00EA3C42" w:rsidP="00EA3C42">
      <w:pPr>
        <w:pStyle w:val="Odstavecseseznamem"/>
        <w:numPr>
          <w:ilvl w:val="0"/>
          <w:numId w:val="28"/>
        </w:numPr>
      </w:pPr>
      <w:r>
        <w:rPr>
          <w:b/>
        </w:rPr>
        <w:t>rolí sociálního dialogu</w:t>
      </w:r>
      <w:r w:rsidRPr="00501099">
        <w:t>.</w:t>
      </w:r>
      <w:r>
        <w:t xml:space="preserve"> Soulad mezi působením institutů minimální mzdy a kolektivního vyjednávání je snáze dosahován v zemích, kde hraje sociální dialog významnější roli. </w:t>
      </w:r>
    </w:p>
    <w:p w:rsidR="00EA3C42" w:rsidRDefault="00EA3C42" w:rsidP="00EA3C42">
      <w:pPr>
        <w:pStyle w:val="Odstavecseseznamem"/>
        <w:numPr>
          <w:ilvl w:val="0"/>
          <w:numId w:val="28"/>
        </w:numPr>
      </w:pPr>
      <w:r>
        <w:rPr>
          <w:b/>
        </w:rPr>
        <w:t>dalšími</w:t>
      </w:r>
      <w:r w:rsidRPr="00501099">
        <w:rPr>
          <w:b/>
        </w:rPr>
        <w:t xml:space="preserve"> cíli hospodářské politiky</w:t>
      </w:r>
      <w:r>
        <w:t>. Navzájem si konkurující cíle hospodářské politiky mohou negativně ovlivňovat roli minimální mzdy i kolektivního vyjednávání. Příkladem může být Maďarsko, kde došlo v období 2000</w:t>
      </w:r>
      <w:r>
        <w:noBreakHyphen/>
        <w:t>2002 k nadstandardnímu nárůstu minimální mzdy (meziroční růsty ve výši 57 % a 25 %). Tvůrci hospodářské politiky chtěli pomocí tohoto kroku dosáhnout dvou cílů – jednak motivovat příjemce podpory v nezaměstnanosti ke vstupu na trh práce narovnáním poměru mezi dávkami a případným výdělkem, jednak omezit do té doby rozšířené vyplácení mezd na ruku, a tím zvýšit daňové příjmy. Ani jeden z cílů nebyl zcela naplněn, neboť systém stanovování mezd v maďarské ekonomice ovlivňují významným způsobem všechny faktory zmíněné v této části. V evropském kontextu je dalším atypickým příkladem Španělsko, kde byla výše sociálních dávek navázána na minimální mzdu až do roku 2004. Aby nedocházelo k neúměrnému zvyšování veřejných výdajů z titulu výplaty sociálních dávek, nebyla výrazným způsobem zvyšována ani minimální mzda. Navázání sociálních dávek na minimální mzdu rovněž vysvětluje, proč byla minimální mzda ve Španělsku stanovena do roku 2004 nízké úrovni, přestože je zde postavení odborů velmi silné.</w:t>
      </w:r>
    </w:p>
    <w:p w:rsidR="00EA3C42" w:rsidRDefault="00EA3C42" w:rsidP="00EA3C42">
      <w:pPr>
        <w:pStyle w:val="Odstavecseseznamem"/>
        <w:numPr>
          <w:ilvl w:val="0"/>
          <w:numId w:val="28"/>
        </w:numPr>
      </w:pPr>
      <w:r>
        <w:rPr>
          <w:b/>
        </w:rPr>
        <w:t>dodržováním sazeb minimální mzdy</w:t>
      </w:r>
      <w:r w:rsidRPr="00501099">
        <w:t>.</w:t>
      </w:r>
      <w:r>
        <w:t xml:space="preserve"> Všechny země se potýkají s neochotou zaměstnavatelů respektovat zákonné sazby minimální mzdy, nicméně prevalence tohoto jevu se mezi zeměmi značně liší. Obecně lze důvody, proč jednotlivé subjekty nedodržují ustanovení o minimální mzdě, rozdělit do tří skupin, které vesměs reflektují celospolečenské postoje a hodnoty. Důvody jsou následující:</w:t>
      </w:r>
    </w:p>
    <w:p w:rsidR="00EA3C42" w:rsidRDefault="00EA3C42" w:rsidP="00EA3C42">
      <w:pPr>
        <w:pStyle w:val="Odstavecseseznamem"/>
        <w:numPr>
          <w:ilvl w:val="1"/>
          <w:numId w:val="28"/>
        </w:numPr>
      </w:pPr>
      <w:r>
        <w:t xml:space="preserve">minimální mzda je chápána jako </w:t>
      </w:r>
      <w:r w:rsidRPr="00E71ADD">
        <w:rPr>
          <w:b/>
        </w:rPr>
        <w:t>část celkové mzdy</w:t>
      </w:r>
      <w:r>
        <w:t xml:space="preserve">, ze které jsou </w:t>
      </w:r>
      <w:r w:rsidRPr="00E71ADD">
        <w:rPr>
          <w:b/>
        </w:rPr>
        <w:t>odváděny daně a povinné pojistné</w:t>
      </w:r>
      <w:r>
        <w:t>, a zbytek je vyplácen na černo,</w:t>
      </w:r>
    </w:p>
    <w:p w:rsidR="00EA3C42" w:rsidRDefault="00EA3C42" w:rsidP="00EA3C42">
      <w:pPr>
        <w:pStyle w:val="Odstavecseseznamem"/>
        <w:numPr>
          <w:ilvl w:val="1"/>
          <w:numId w:val="28"/>
        </w:numPr>
      </w:pPr>
      <w:r w:rsidRPr="00E71ADD">
        <w:rPr>
          <w:b/>
        </w:rPr>
        <w:t>vědomé nedodržování zákona</w:t>
      </w:r>
      <w:r>
        <w:t xml:space="preserve"> a výplata nižších mezd ve srovnání s minimální mzdou (zvláště v případech, kdy je oslabena role kolektivního vyjednávání),</w:t>
      </w:r>
    </w:p>
    <w:p w:rsidR="00EA3C42" w:rsidRDefault="00EA3C42" w:rsidP="00EA3C42">
      <w:pPr>
        <w:pStyle w:val="Odstavecseseznamem"/>
        <w:numPr>
          <w:ilvl w:val="1"/>
          <w:numId w:val="28"/>
        </w:numPr>
      </w:pPr>
      <w:r>
        <w:t xml:space="preserve">zaměstnavatelé dodržují nejnižší sazbu minimální mzdy, ale </w:t>
      </w:r>
      <w:r w:rsidRPr="00E71ADD">
        <w:rPr>
          <w:b/>
        </w:rPr>
        <w:t>nerespektují diferenciaci mezd</w:t>
      </w:r>
      <w:r>
        <w:t xml:space="preserve"> podle náročnosti daného zaměstnání v případech, kdy je diferenciace mezd dána zákonem, nebo vyplývá ze mzdových tarifů sjednaných v kolektivních smlouvách.</w:t>
      </w:r>
    </w:p>
    <w:p w:rsidR="00EA3C42" w:rsidRDefault="00EA3C42" w:rsidP="00EA3C42"/>
    <w:p w:rsidR="00EA3C42" w:rsidRPr="0034114F" w:rsidRDefault="00EA3C42" w:rsidP="00EA3C42">
      <w:pPr>
        <w:keepNext/>
        <w:spacing w:after="240"/>
        <w:rPr>
          <w:bCs/>
          <w:i/>
          <w:iCs/>
        </w:rPr>
      </w:pPr>
      <w:r w:rsidRPr="0034114F">
        <w:rPr>
          <w:bCs/>
          <w:i/>
          <w:sz w:val="22"/>
          <w:szCs w:val="22"/>
        </w:rPr>
        <w:lastRenderedPageBreak/>
        <w:t xml:space="preserve">Obrázek </w:t>
      </w:r>
      <w:r w:rsidR="008A3262" w:rsidRPr="0034114F">
        <w:rPr>
          <w:bCs/>
          <w:i/>
          <w:sz w:val="22"/>
          <w:szCs w:val="22"/>
        </w:rPr>
        <w:fldChar w:fldCharType="begin"/>
      </w:r>
      <w:r w:rsidRPr="0034114F">
        <w:rPr>
          <w:bCs/>
          <w:i/>
          <w:sz w:val="22"/>
          <w:szCs w:val="22"/>
        </w:rPr>
        <w:instrText xml:space="preserve"> SEQ Obrázek \* ARABIC </w:instrText>
      </w:r>
      <w:r w:rsidR="008A3262" w:rsidRPr="0034114F">
        <w:rPr>
          <w:bCs/>
          <w:i/>
          <w:sz w:val="22"/>
          <w:szCs w:val="22"/>
        </w:rPr>
        <w:fldChar w:fldCharType="separate"/>
      </w:r>
      <w:r w:rsidR="00001D4C">
        <w:rPr>
          <w:bCs/>
          <w:i/>
          <w:noProof/>
          <w:sz w:val="22"/>
          <w:szCs w:val="22"/>
        </w:rPr>
        <w:t>5</w:t>
      </w:r>
      <w:r w:rsidR="008A3262" w:rsidRPr="0034114F">
        <w:rPr>
          <w:sz w:val="22"/>
          <w:szCs w:val="22"/>
        </w:rPr>
        <w:fldChar w:fldCharType="end"/>
      </w:r>
      <w:r w:rsidR="00801865">
        <w:rPr>
          <w:bCs/>
          <w:i/>
          <w:sz w:val="22"/>
          <w:szCs w:val="22"/>
        </w:rPr>
        <w:t>:</w:t>
      </w:r>
      <w:r w:rsidRPr="0034114F">
        <w:rPr>
          <w:bCs/>
          <w:i/>
          <w:sz w:val="22"/>
          <w:szCs w:val="22"/>
        </w:rPr>
        <w:t xml:space="preserve"> </w:t>
      </w:r>
      <w:r w:rsidRPr="0034114F">
        <w:rPr>
          <w:i/>
          <w:sz w:val="22"/>
          <w:szCs w:val="22"/>
        </w:rPr>
        <w:t>Faktory ovlivňující komplementaritu institutů kolektivního vyjednávání a minimální mzdy</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547"/>
        <w:gridCol w:w="2855"/>
        <w:gridCol w:w="614"/>
        <w:gridCol w:w="2187"/>
      </w:tblGrid>
      <w:tr w:rsidR="00EA3C42" w:rsidRPr="0034114F" w:rsidTr="00B26FFE">
        <w:trPr>
          <w:trHeight w:val="220"/>
          <w:jc w:val="center"/>
        </w:trPr>
        <w:tc>
          <w:tcPr>
            <w:tcW w:w="2709" w:type="dxa"/>
            <w:vAlign w:val="center"/>
          </w:tcPr>
          <w:p w:rsidR="00EA3C42" w:rsidRPr="0034114F" w:rsidRDefault="00EA3C42" w:rsidP="00B26FFE">
            <w:pPr>
              <w:keepNext/>
              <w:keepLines/>
              <w:spacing w:before="0"/>
              <w:jc w:val="center"/>
              <w:rPr>
                <w:sz w:val="22"/>
                <w:szCs w:val="22"/>
              </w:rPr>
            </w:pPr>
          </w:p>
        </w:tc>
        <w:tc>
          <w:tcPr>
            <w:tcW w:w="547" w:type="dxa"/>
          </w:tcPr>
          <w:p w:rsidR="00EA3C42" w:rsidRDefault="00EA3C42" w:rsidP="00B26FFE">
            <w:pPr>
              <w:keepNext/>
              <w:keepLines/>
              <w:spacing w:before="0"/>
              <w:jc w:val="center"/>
              <w:rPr>
                <w:sz w:val="22"/>
                <w:szCs w:val="22"/>
              </w:rPr>
            </w:pPr>
          </w:p>
        </w:tc>
        <w:tc>
          <w:tcPr>
            <w:tcW w:w="2855" w:type="dxa"/>
            <w:vAlign w:val="center"/>
          </w:tcPr>
          <w:p w:rsidR="00EA3C42" w:rsidRPr="00997A19" w:rsidRDefault="00951E4B" w:rsidP="00B26FFE">
            <w:pPr>
              <w:keepNext/>
              <w:keepLines/>
              <w:spacing w:before="0"/>
              <w:jc w:val="center"/>
              <w:rPr>
                <w:color w:val="808080" w:themeColor="background1" w:themeShade="80"/>
                <w:sz w:val="22"/>
                <w:szCs w:val="22"/>
              </w:rPr>
            </w:pPr>
            <w:r>
              <w:rPr>
                <w:noProof/>
                <w:color w:val="808080" w:themeColor="background1" w:themeShade="80"/>
                <w:sz w:val="22"/>
                <w:szCs w:val="22"/>
                <w:lang w:eastAsia="cs-CZ" w:bidi="ar-SA"/>
              </w:rPr>
              <mc:AlternateContent>
                <mc:Choice Requires="wps">
                  <w:drawing>
                    <wp:anchor distT="0" distB="0" distL="114300" distR="114300" simplePos="0" relativeHeight="251668480" behindDoc="1" locked="0" layoutInCell="1" allowOverlap="1">
                      <wp:simplePos x="0" y="0"/>
                      <wp:positionH relativeFrom="column">
                        <wp:posOffset>774065</wp:posOffset>
                      </wp:positionH>
                      <wp:positionV relativeFrom="paragraph">
                        <wp:posOffset>153670</wp:posOffset>
                      </wp:positionV>
                      <wp:extent cx="171450" cy="972185"/>
                      <wp:effectExtent l="21590" t="20320" r="16510" b="1714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72185"/>
                              </a:xfrm>
                              <a:prstGeom prst="upDownArrow">
                                <a:avLst>
                                  <a:gd name="adj1" fmla="val 49630"/>
                                  <a:gd name="adj2" fmla="val 59171"/>
                                </a:avLst>
                              </a:prstGeom>
                              <a:solidFill>
                                <a:schemeClr val="accent2">
                                  <a:lumMod val="40000"/>
                                  <a:lumOff val="60000"/>
                                </a:schemeClr>
                              </a:solidFill>
                              <a:ln w="9525">
                                <a:solidFill>
                                  <a:schemeClr val="accent2">
                                    <a:lumMod val="40000"/>
                                    <a:lumOff val="6000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 o:spid="_x0000_s1026" type="#_x0000_t70" style="position:absolute;margin-left:60.95pt;margin-top:12.1pt;width:13.5pt;height:7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" adj="5440,2254" fillcolor="#e5b8b7 [1301]" strokecolor="#e5b8b7 [1301]">
                      <v:textbox style="layout-flow:vertical-ideographic"/>
                    </v:shape>
                  </w:pict>
                </mc:Fallback>
              </mc:AlternateContent>
            </w:r>
            <w:r w:rsidR="00EA3C42">
              <w:rPr>
                <w:color w:val="808080" w:themeColor="background1" w:themeShade="80"/>
                <w:sz w:val="22"/>
                <w:szCs w:val="22"/>
              </w:rPr>
              <w:t xml:space="preserve">   </w:t>
            </w:r>
            <w:r w:rsidR="00EA3C42" w:rsidRPr="00997A19">
              <w:rPr>
                <w:color w:val="808080" w:themeColor="background1" w:themeShade="80"/>
                <w:sz w:val="22"/>
                <w:szCs w:val="22"/>
              </w:rPr>
              <w:t>cíle hospodářské politiky</w:t>
            </w:r>
          </w:p>
        </w:tc>
        <w:tc>
          <w:tcPr>
            <w:tcW w:w="614" w:type="dxa"/>
          </w:tcPr>
          <w:p w:rsidR="00EA3C42" w:rsidRDefault="00EA3C42" w:rsidP="00B26FFE">
            <w:pPr>
              <w:keepNext/>
              <w:keepLines/>
              <w:spacing w:before="0"/>
              <w:jc w:val="center"/>
              <w:rPr>
                <w:sz w:val="22"/>
                <w:szCs w:val="22"/>
              </w:rPr>
            </w:pPr>
          </w:p>
        </w:tc>
        <w:tc>
          <w:tcPr>
            <w:tcW w:w="2187" w:type="dxa"/>
            <w:vAlign w:val="center"/>
          </w:tcPr>
          <w:p w:rsidR="00EA3C42" w:rsidRPr="0034114F" w:rsidRDefault="00EA3C42" w:rsidP="00B26FFE">
            <w:pPr>
              <w:keepNext/>
              <w:keepLines/>
              <w:spacing w:before="0"/>
              <w:jc w:val="center"/>
              <w:rPr>
                <w:sz w:val="22"/>
                <w:szCs w:val="22"/>
              </w:rPr>
            </w:pPr>
          </w:p>
        </w:tc>
      </w:tr>
      <w:tr w:rsidR="00EA3C42" w:rsidRPr="0034114F" w:rsidTr="00B26FFE">
        <w:trPr>
          <w:trHeight w:val="252"/>
          <w:jc w:val="center"/>
        </w:trPr>
        <w:tc>
          <w:tcPr>
            <w:tcW w:w="2709" w:type="dxa"/>
            <w:vAlign w:val="center"/>
          </w:tcPr>
          <w:p w:rsidR="00EA3C42" w:rsidRDefault="00EA3C42" w:rsidP="00B26FFE">
            <w:pPr>
              <w:keepNext/>
              <w:keepLines/>
              <w:spacing w:before="0"/>
              <w:jc w:val="center"/>
              <w:rPr>
                <w:sz w:val="22"/>
                <w:szCs w:val="22"/>
              </w:rPr>
            </w:pPr>
          </w:p>
        </w:tc>
        <w:tc>
          <w:tcPr>
            <w:tcW w:w="547" w:type="dxa"/>
          </w:tcPr>
          <w:p w:rsidR="00EA3C42" w:rsidRDefault="00EA3C42" w:rsidP="00B26FFE">
            <w:pPr>
              <w:keepNext/>
              <w:keepLines/>
              <w:spacing w:before="0"/>
              <w:rPr>
                <w:sz w:val="22"/>
                <w:szCs w:val="22"/>
              </w:rPr>
            </w:pPr>
          </w:p>
        </w:tc>
        <w:tc>
          <w:tcPr>
            <w:tcW w:w="2855" w:type="dxa"/>
            <w:vAlign w:val="center"/>
          </w:tcPr>
          <w:p w:rsidR="00EA3C42" w:rsidRDefault="00EA3C42" w:rsidP="00B26FFE">
            <w:pPr>
              <w:keepNext/>
              <w:keepLines/>
              <w:spacing w:before="0"/>
              <w:rPr>
                <w:noProof/>
                <w:sz w:val="22"/>
                <w:szCs w:val="22"/>
                <w:lang w:eastAsia="cs-CZ" w:bidi="ar-SA"/>
              </w:rPr>
            </w:pPr>
          </w:p>
        </w:tc>
        <w:tc>
          <w:tcPr>
            <w:tcW w:w="614" w:type="dxa"/>
          </w:tcPr>
          <w:p w:rsidR="00EA3C42" w:rsidRDefault="00EA3C42" w:rsidP="00B26FFE">
            <w:pPr>
              <w:keepNext/>
              <w:keepLines/>
              <w:spacing w:before="0"/>
              <w:jc w:val="center"/>
              <w:rPr>
                <w:sz w:val="22"/>
                <w:szCs w:val="22"/>
              </w:rPr>
            </w:pPr>
          </w:p>
        </w:tc>
        <w:tc>
          <w:tcPr>
            <w:tcW w:w="2187" w:type="dxa"/>
            <w:vAlign w:val="center"/>
          </w:tcPr>
          <w:p w:rsidR="00EA3C42" w:rsidRDefault="00EA3C42" w:rsidP="00B26FFE">
            <w:pPr>
              <w:keepNext/>
              <w:keepLines/>
              <w:spacing w:before="0"/>
              <w:jc w:val="center"/>
              <w:rPr>
                <w:sz w:val="22"/>
                <w:szCs w:val="22"/>
              </w:rPr>
            </w:pPr>
          </w:p>
        </w:tc>
      </w:tr>
      <w:tr w:rsidR="00EA3C42" w:rsidRPr="0034114F" w:rsidTr="00B26FFE">
        <w:trPr>
          <w:trHeight w:val="979"/>
          <w:jc w:val="center"/>
        </w:trPr>
        <w:tc>
          <w:tcPr>
            <w:tcW w:w="2709" w:type="dxa"/>
            <w:vAlign w:val="center"/>
          </w:tcPr>
          <w:p w:rsidR="00EA3C42" w:rsidRPr="00997A19" w:rsidRDefault="00951E4B" w:rsidP="00B26FFE">
            <w:pPr>
              <w:keepNext/>
              <w:keepLines/>
              <w:spacing w:before="0"/>
              <w:jc w:val="center"/>
              <w:rPr>
                <w:color w:val="808080" w:themeColor="background1" w:themeShade="80"/>
                <w:sz w:val="22"/>
                <w:szCs w:val="22"/>
              </w:rPr>
            </w:pPr>
            <w:r>
              <w:rPr>
                <w:noProof/>
                <w:color w:val="808080" w:themeColor="background1" w:themeShade="80"/>
                <w:sz w:val="22"/>
                <w:szCs w:val="22"/>
                <w:lang w:eastAsia="cs-CZ" w:bidi="ar-SA"/>
              </w:rPr>
              <mc:AlternateContent>
                <mc:Choice Requires="wps">
                  <w:drawing>
                    <wp:anchor distT="0" distB="0" distL="114300" distR="114300" simplePos="0" relativeHeight="251667456" behindDoc="1" locked="0" layoutInCell="1" allowOverlap="1">
                      <wp:simplePos x="0" y="0"/>
                      <wp:positionH relativeFrom="column">
                        <wp:posOffset>1532890</wp:posOffset>
                      </wp:positionH>
                      <wp:positionV relativeFrom="paragraph">
                        <wp:posOffset>125730</wp:posOffset>
                      </wp:positionV>
                      <wp:extent cx="2690495" cy="190500"/>
                      <wp:effectExtent l="18415" t="20955" r="15240" b="1714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190500"/>
                              </a:xfrm>
                              <a:prstGeom prst="leftRightArrow">
                                <a:avLst>
                                  <a:gd name="adj1" fmla="val 55333"/>
                                  <a:gd name="adj2" fmla="val 67347"/>
                                </a:avLst>
                              </a:prstGeom>
                              <a:solidFill>
                                <a:schemeClr val="accent2">
                                  <a:lumMod val="40000"/>
                                  <a:lumOff val="60000"/>
                                </a:schemeClr>
                              </a:solidFill>
                              <a:ln w="9525">
                                <a:solidFill>
                                  <a:schemeClr val="accent2">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 o:spid="_x0000_s1026" type="#_x0000_t69" style="position:absolute;margin-left:120.7pt;margin-top:9.9pt;width:211.8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" adj="1030,4824" fillcolor="#e5b8b7 [1301]" strokecolor="#e5b8b7 [1301]"/>
                  </w:pict>
                </mc:Fallback>
              </mc:AlternateContent>
            </w:r>
            <w:r w:rsidR="00EA3C42" w:rsidRPr="00997A19">
              <w:rPr>
                <w:color w:val="808080" w:themeColor="background1" w:themeShade="80"/>
                <w:sz w:val="22"/>
                <w:szCs w:val="22"/>
              </w:rPr>
              <w:t xml:space="preserve">výše minimální mzdy </w:t>
            </w:r>
            <w:r w:rsidR="00EA3C42">
              <w:rPr>
                <w:color w:val="808080" w:themeColor="background1" w:themeShade="80"/>
                <w:sz w:val="22"/>
                <w:szCs w:val="22"/>
              </w:rPr>
              <w:t>vs. úroveň</w:t>
            </w:r>
            <w:r w:rsidR="00EA3C42" w:rsidRPr="00997A19">
              <w:rPr>
                <w:color w:val="808080" w:themeColor="background1" w:themeShade="80"/>
                <w:sz w:val="22"/>
                <w:szCs w:val="22"/>
              </w:rPr>
              <w:t xml:space="preserve"> </w:t>
            </w:r>
            <w:r w:rsidR="00EA3C42">
              <w:rPr>
                <w:color w:val="808080" w:themeColor="background1" w:themeShade="80"/>
                <w:sz w:val="22"/>
                <w:szCs w:val="22"/>
              </w:rPr>
              <w:t>tarifů</w:t>
            </w:r>
            <w:r w:rsidR="00EA3C42" w:rsidRPr="00997A19">
              <w:rPr>
                <w:color w:val="808080" w:themeColor="background1" w:themeShade="80"/>
                <w:sz w:val="22"/>
                <w:szCs w:val="22"/>
              </w:rPr>
              <w:t xml:space="preserve"> v kolektivních smlouvách</w:t>
            </w:r>
          </w:p>
        </w:tc>
        <w:tc>
          <w:tcPr>
            <w:tcW w:w="547" w:type="dxa"/>
          </w:tcPr>
          <w:p w:rsidR="00EA3C42" w:rsidRDefault="00EA3C42" w:rsidP="00B26FFE">
            <w:pPr>
              <w:keepNext/>
              <w:keepLines/>
              <w:spacing w:before="0"/>
              <w:rPr>
                <w:sz w:val="22"/>
                <w:szCs w:val="22"/>
              </w:rPr>
            </w:pPr>
          </w:p>
        </w:tc>
        <w:tc>
          <w:tcPr>
            <w:tcW w:w="2855" w:type="dxa"/>
            <w:shd w:val="clear" w:color="auto" w:fill="E5B8B7" w:themeFill="accent2" w:themeFillTint="66"/>
            <w:vAlign w:val="center"/>
          </w:tcPr>
          <w:p w:rsidR="00EA3C42" w:rsidRPr="00997A19" w:rsidRDefault="00EA3C42" w:rsidP="00B26FFE">
            <w:pPr>
              <w:keepNext/>
              <w:keepLines/>
              <w:spacing w:before="0"/>
              <w:jc w:val="center"/>
              <w:rPr>
                <w:i/>
                <w:sz w:val="22"/>
                <w:szCs w:val="22"/>
              </w:rPr>
            </w:pPr>
            <w:r w:rsidRPr="00997A19">
              <w:rPr>
                <w:i/>
                <w:sz w:val="22"/>
                <w:szCs w:val="22"/>
              </w:rPr>
              <w:t>vzájemně se doplňující instituty minimální mzdy a kolektivního vyjednávání</w:t>
            </w:r>
          </w:p>
        </w:tc>
        <w:tc>
          <w:tcPr>
            <w:tcW w:w="614" w:type="dxa"/>
          </w:tcPr>
          <w:p w:rsidR="00EA3C42" w:rsidRDefault="00EA3C42" w:rsidP="00B26FFE">
            <w:pPr>
              <w:keepNext/>
              <w:keepLines/>
              <w:spacing w:before="0"/>
              <w:jc w:val="center"/>
              <w:rPr>
                <w:sz w:val="22"/>
                <w:szCs w:val="22"/>
              </w:rPr>
            </w:pPr>
          </w:p>
        </w:tc>
        <w:tc>
          <w:tcPr>
            <w:tcW w:w="2187" w:type="dxa"/>
            <w:vAlign w:val="center"/>
          </w:tcPr>
          <w:p w:rsidR="00EA3C42" w:rsidRPr="00D6700B" w:rsidRDefault="00EA3C42" w:rsidP="00B26FFE">
            <w:pPr>
              <w:keepNext/>
              <w:keepLines/>
              <w:spacing w:before="0"/>
              <w:jc w:val="center"/>
              <w:rPr>
                <w:color w:val="808080" w:themeColor="background1" w:themeShade="80"/>
                <w:sz w:val="22"/>
                <w:szCs w:val="22"/>
              </w:rPr>
            </w:pPr>
            <w:r w:rsidRPr="00D6700B">
              <w:rPr>
                <w:color w:val="808080" w:themeColor="background1" w:themeShade="80"/>
                <w:sz w:val="22"/>
                <w:szCs w:val="22"/>
              </w:rPr>
              <w:t>dodržování zákonné minimální mzdy</w:t>
            </w:r>
          </w:p>
        </w:tc>
      </w:tr>
      <w:tr w:rsidR="00EA3C42" w:rsidRPr="0034114F" w:rsidTr="00B26FFE">
        <w:trPr>
          <w:trHeight w:val="297"/>
          <w:jc w:val="center"/>
        </w:trPr>
        <w:tc>
          <w:tcPr>
            <w:tcW w:w="2709" w:type="dxa"/>
            <w:vAlign w:val="center"/>
          </w:tcPr>
          <w:p w:rsidR="00EA3C42" w:rsidRDefault="00EA3C42" w:rsidP="00B26FFE">
            <w:pPr>
              <w:keepNext/>
              <w:keepLines/>
              <w:spacing w:before="0"/>
              <w:jc w:val="center"/>
              <w:rPr>
                <w:sz w:val="22"/>
                <w:szCs w:val="22"/>
              </w:rPr>
            </w:pPr>
          </w:p>
        </w:tc>
        <w:tc>
          <w:tcPr>
            <w:tcW w:w="547" w:type="dxa"/>
          </w:tcPr>
          <w:p w:rsidR="00EA3C42" w:rsidRDefault="00EA3C42" w:rsidP="00B26FFE">
            <w:pPr>
              <w:keepNext/>
              <w:keepLines/>
              <w:spacing w:before="0"/>
              <w:rPr>
                <w:sz w:val="22"/>
                <w:szCs w:val="22"/>
              </w:rPr>
            </w:pPr>
          </w:p>
        </w:tc>
        <w:tc>
          <w:tcPr>
            <w:tcW w:w="2855" w:type="dxa"/>
            <w:vAlign w:val="center"/>
          </w:tcPr>
          <w:p w:rsidR="00EA3C42" w:rsidRDefault="00EA3C42" w:rsidP="00B26FFE">
            <w:pPr>
              <w:keepNext/>
              <w:keepLines/>
              <w:spacing w:before="0"/>
              <w:rPr>
                <w:noProof/>
                <w:sz w:val="22"/>
                <w:szCs w:val="22"/>
                <w:lang w:eastAsia="cs-CZ" w:bidi="ar-SA"/>
              </w:rPr>
            </w:pPr>
          </w:p>
        </w:tc>
        <w:tc>
          <w:tcPr>
            <w:tcW w:w="614" w:type="dxa"/>
          </w:tcPr>
          <w:p w:rsidR="00EA3C42" w:rsidRDefault="00EA3C42" w:rsidP="00B26FFE">
            <w:pPr>
              <w:keepNext/>
              <w:keepLines/>
              <w:spacing w:before="0"/>
              <w:jc w:val="center"/>
              <w:rPr>
                <w:sz w:val="22"/>
                <w:szCs w:val="22"/>
              </w:rPr>
            </w:pPr>
          </w:p>
        </w:tc>
        <w:tc>
          <w:tcPr>
            <w:tcW w:w="2187" w:type="dxa"/>
            <w:vAlign w:val="center"/>
          </w:tcPr>
          <w:p w:rsidR="00EA3C42" w:rsidRDefault="00EA3C42" w:rsidP="00B26FFE">
            <w:pPr>
              <w:keepNext/>
              <w:keepLines/>
              <w:spacing w:before="0"/>
              <w:jc w:val="center"/>
              <w:rPr>
                <w:sz w:val="22"/>
                <w:szCs w:val="22"/>
              </w:rPr>
            </w:pPr>
          </w:p>
        </w:tc>
      </w:tr>
      <w:tr w:rsidR="00EA3C42" w:rsidRPr="0034114F" w:rsidTr="00B26FFE">
        <w:trPr>
          <w:trHeight w:val="259"/>
          <w:jc w:val="center"/>
        </w:trPr>
        <w:tc>
          <w:tcPr>
            <w:tcW w:w="2709" w:type="dxa"/>
            <w:vAlign w:val="center"/>
          </w:tcPr>
          <w:p w:rsidR="00EA3C42" w:rsidRPr="0034114F" w:rsidRDefault="00EA3C42" w:rsidP="00B26FFE">
            <w:pPr>
              <w:keepNext/>
              <w:keepLines/>
              <w:spacing w:before="0"/>
              <w:jc w:val="center"/>
              <w:rPr>
                <w:sz w:val="22"/>
                <w:szCs w:val="22"/>
              </w:rPr>
            </w:pPr>
          </w:p>
        </w:tc>
        <w:tc>
          <w:tcPr>
            <w:tcW w:w="547" w:type="dxa"/>
          </w:tcPr>
          <w:p w:rsidR="00EA3C42" w:rsidRDefault="00EA3C42" w:rsidP="00B26FFE">
            <w:pPr>
              <w:keepNext/>
              <w:keepLines/>
              <w:spacing w:before="0"/>
              <w:jc w:val="center"/>
              <w:rPr>
                <w:sz w:val="22"/>
                <w:szCs w:val="22"/>
              </w:rPr>
            </w:pPr>
          </w:p>
        </w:tc>
        <w:tc>
          <w:tcPr>
            <w:tcW w:w="2855" w:type="dxa"/>
            <w:vAlign w:val="center"/>
          </w:tcPr>
          <w:p w:rsidR="00EA3C42" w:rsidRPr="00997A19" w:rsidRDefault="00EA3C42" w:rsidP="00B26FFE">
            <w:pPr>
              <w:keepNext/>
              <w:keepLines/>
              <w:spacing w:before="0"/>
              <w:jc w:val="center"/>
              <w:rPr>
                <w:color w:val="808080" w:themeColor="background1" w:themeShade="80"/>
                <w:sz w:val="22"/>
                <w:szCs w:val="22"/>
              </w:rPr>
            </w:pPr>
            <w:r>
              <w:rPr>
                <w:color w:val="808080" w:themeColor="background1" w:themeShade="80"/>
                <w:sz w:val="22"/>
                <w:szCs w:val="22"/>
              </w:rPr>
              <w:t xml:space="preserve"> </w:t>
            </w:r>
            <w:r w:rsidRPr="00997A19">
              <w:rPr>
                <w:color w:val="808080" w:themeColor="background1" w:themeShade="80"/>
                <w:sz w:val="22"/>
                <w:szCs w:val="22"/>
              </w:rPr>
              <w:t>sociální dialog</w:t>
            </w:r>
          </w:p>
        </w:tc>
        <w:tc>
          <w:tcPr>
            <w:tcW w:w="614" w:type="dxa"/>
          </w:tcPr>
          <w:p w:rsidR="00EA3C42" w:rsidRDefault="00EA3C42" w:rsidP="00B26FFE">
            <w:pPr>
              <w:keepNext/>
              <w:keepLines/>
              <w:spacing w:before="0"/>
              <w:jc w:val="center"/>
              <w:rPr>
                <w:sz w:val="22"/>
                <w:szCs w:val="22"/>
              </w:rPr>
            </w:pPr>
          </w:p>
        </w:tc>
        <w:tc>
          <w:tcPr>
            <w:tcW w:w="2187" w:type="dxa"/>
            <w:vAlign w:val="center"/>
          </w:tcPr>
          <w:p w:rsidR="00EA3C42" w:rsidRPr="0034114F" w:rsidRDefault="00EA3C42" w:rsidP="00B26FFE">
            <w:pPr>
              <w:keepNext/>
              <w:keepLines/>
              <w:spacing w:before="0"/>
              <w:jc w:val="center"/>
              <w:rPr>
                <w:sz w:val="22"/>
                <w:szCs w:val="22"/>
              </w:rPr>
            </w:pPr>
          </w:p>
        </w:tc>
      </w:tr>
    </w:tbl>
    <w:p w:rsidR="00EA3C42" w:rsidRPr="00866C54" w:rsidRDefault="00EA3C42" w:rsidP="00D84E11">
      <w:pPr>
        <w:spacing w:after="720"/>
        <w:rPr>
          <w:sz w:val="20"/>
          <w:szCs w:val="20"/>
        </w:rPr>
      </w:pPr>
      <w:r w:rsidRPr="00866C54">
        <w:rPr>
          <w:sz w:val="20"/>
          <w:szCs w:val="20"/>
        </w:rPr>
        <w:t>Zdroj: vlastní zpracování podle Grimshawa a kol. (2014).</w:t>
      </w:r>
    </w:p>
    <w:p w:rsidR="00094F43" w:rsidRDefault="00094F43" w:rsidP="00094F43">
      <w:pPr>
        <w:pStyle w:val="Nadpis2"/>
      </w:pPr>
      <w:bookmarkStart w:id="15" w:name="_Toc435087393"/>
      <w:bookmarkStart w:id="16" w:name="_Ref436034530"/>
      <w:bookmarkStart w:id="17" w:name="_Ref436034539"/>
      <w:bookmarkStart w:id="18" w:name="_Toc436143417"/>
      <w:r>
        <w:t>Kolektivní vyjednávání ve vztahu k minimální mzdě</w:t>
      </w:r>
      <w:bookmarkEnd w:id="15"/>
      <w:r>
        <w:t xml:space="preserve"> v České republice</w:t>
      </w:r>
      <w:bookmarkEnd w:id="16"/>
      <w:bookmarkEnd w:id="17"/>
      <w:bookmarkEnd w:id="18"/>
    </w:p>
    <w:p w:rsidR="00CF293B" w:rsidRPr="00465753" w:rsidRDefault="00CF293B" w:rsidP="00CF293B">
      <w:pPr>
        <w:rPr>
          <w:rFonts w:cs="Arial"/>
        </w:rPr>
      </w:pPr>
      <w:r w:rsidRPr="00465753">
        <w:t xml:space="preserve">Vztah mezi kolektivním vyjednáváním a minimální mzdou v ČR je dán mechanismem (modelem) stanovení minimální mzdy a skutečností, že minimální mzda v ČR je univerzální, tj. vztahuje se na </w:t>
      </w:r>
      <w:r w:rsidRPr="00465753">
        <w:rPr>
          <w:rFonts w:cs="Arial"/>
        </w:rPr>
        <w:t>všechny zaměstnance v pracovním poměru i na osoby vykonávající práci na základě dohod o pracích konaných mimo pracovní poměr. Mechanismus stanovení mi</w:t>
      </w:r>
      <w:r>
        <w:rPr>
          <w:rFonts w:cs="Arial"/>
        </w:rPr>
        <w:t>n</w:t>
      </w:r>
      <w:r w:rsidRPr="00465753">
        <w:rPr>
          <w:rFonts w:cs="Arial"/>
        </w:rPr>
        <w:t>imální mzdy je určen zákoníkem práce</w:t>
      </w:r>
      <w:r>
        <w:rPr>
          <w:rFonts w:cs="Arial"/>
        </w:rPr>
        <w:t>, který</w:t>
      </w:r>
      <w:r w:rsidRPr="00465753">
        <w:rPr>
          <w:rFonts w:cs="Arial"/>
        </w:rPr>
        <w:t xml:space="preserve"> </w:t>
      </w:r>
      <w:r w:rsidRPr="00654109">
        <w:rPr>
          <w:rFonts w:cs="Arial"/>
        </w:rPr>
        <w:t xml:space="preserve">svěřuje </w:t>
      </w:r>
      <w:r w:rsidRPr="00465753">
        <w:rPr>
          <w:rFonts w:cs="Arial"/>
        </w:rPr>
        <w:t>hlavní roli při stanovení výše minimální mzdy vládě</w:t>
      </w:r>
      <w:r w:rsidRPr="00465753">
        <w:rPr>
          <w:rStyle w:val="Znakapoznpodarou"/>
          <w:rFonts w:cs="Arial"/>
        </w:rPr>
        <w:footnoteReference w:id="2"/>
      </w:r>
      <w:r w:rsidRPr="00465753">
        <w:rPr>
          <w:rFonts w:cs="Arial"/>
        </w:rPr>
        <w:t>. Přestože Rada hospodářské a sociální dohody ČR (tripartita) poskytuje sociálním partnerům fórum pro prezentaci názorů sociálních partnerů na mechanismus stanovení minimální mzdy, primárně se uplat</w:t>
      </w:r>
      <w:r>
        <w:rPr>
          <w:rFonts w:cs="Arial"/>
        </w:rPr>
        <w:t>ňuje</w:t>
      </w:r>
      <w:r w:rsidRPr="00465753">
        <w:rPr>
          <w:rFonts w:cs="Arial"/>
        </w:rPr>
        <w:t xml:space="preserve"> vliv vlády. </w:t>
      </w:r>
    </w:p>
    <w:p w:rsidR="00B26FFE" w:rsidRPr="005D4E22" w:rsidRDefault="00B26FFE" w:rsidP="00B26FFE">
      <w:r>
        <w:t xml:space="preserve">Aktuální stav a vývoj posledních let ukážeme na některých základních indikátorech, které poskytují statistická šetření o výdělcích (ISPV) a šetření o pracovních podmínkách (IPP), podrobněji popsaná v kapitole </w:t>
      </w:r>
      <w:r w:rsidR="008A3262">
        <w:fldChar w:fldCharType="begin"/>
      </w:r>
      <w:r>
        <w:instrText xml:space="preserve"> REF _Ref436081841 \r \h </w:instrText>
      </w:r>
      <w:r w:rsidR="008A3262">
        <w:fldChar w:fldCharType="separate"/>
      </w:r>
      <w:r w:rsidR="00001D4C">
        <w:t>3.1</w:t>
      </w:r>
      <w:r w:rsidR="008A3262">
        <w:fldChar w:fldCharType="end"/>
      </w:r>
      <w:r>
        <w:t xml:space="preserve">. Míru vlivu kolektivního vyjednávání na mzdy ukazuje </w:t>
      </w:r>
      <w:r w:rsidRPr="005D4E22">
        <w:rPr>
          <w:b/>
        </w:rPr>
        <w:t>hustota odborové organizovanosti</w:t>
      </w:r>
      <w:r>
        <w:t xml:space="preserve"> (podíl počtu členů odborových organizací na celkové zaměstnanecké populaci) a </w:t>
      </w:r>
      <w:r w:rsidRPr="005D4E22">
        <w:rPr>
          <w:b/>
        </w:rPr>
        <w:t>pokrytí kolektivními smlouvami</w:t>
      </w:r>
      <w:r>
        <w:t xml:space="preserve"> (podíl počtu zaměstnanců, na které se vztahují kolektivní smlouvy k celko</w:t>
      </w:r>
      <w:r w:rsidR="000F7F4D">
        <w:t>vému počtu zaměstnanců). Hustotu</w:t>
      </w:r>
      <w:r>
        <w:t xml:space="preserve"> odborové organizovanosti v ČR udávají pouze zahraniční zdroje, </w:t>
      </w:r>
      <w:r w:rsidRPr="00390928">
        <w:t>ETU</w:t>
      </w:r>
      <w:r w:rsidRPr="00390928">
        <w:rPr>
          <w:rFonts w:cs="Arial"/>
        </w:rPr>
        <w:t>I (2015) uvádí</w:t>
      </w:r>
      <w:r>
        <w:rPr>
          <w:rFonts w:cs="Arial"/>
          <w:sz w:val="22"/>
          <w:szCs w:val="22"/>
        </w:rPr>
        <w:t xml:space="preserve"> </w:t>
      </w:r>
      <w:r w:rsidRPr="00390928">
        <w:rPr>
          <w:rFonts w:cs="Arial"/>
        </w:rPr>
        <w:t>hodnotu  17,3</w:t>
      </w:r>
      <w:r w:rsidR="000F7F4D">
        <w:rPr>
          <w:rFonts w:cs="Arial"/>
        </w:rPr>
        <w:t xml:space="preserve"> </w:t>
      </w:r>
      <w:r w:rsidRPr="00390928">
        <w:rPr>
          <w:rFonts w:cs="Arial"/>
        </w:rPr>
        <w:t>% v</w:t>
      </w:r>
      <w:r w:rsidRPr="005D4E22">
        <w:rPr>
          <w:rFonts w:cs="Arial"/>
        </w:rPr>
        <w:t xml:space="preserve"> roce 2013. </w:t>
      </w:r>
      <w:r>
        <w:rPr>
          <w:rFonts w:cs="Arial"/>
        </w:rPr>
        <w:t xml:space="preserve">Pokrytí kolektivními smlouvami ukazuje </w:t>
      </w:r>
      <w:r w:rsidR="00235816">
        <w:fldChar w:fldCharType="begin"/>
      </w:r>
      <w:r w:rsidR="00235816">
        <w:instrText xml:space="preserve"> REF _Ref436082062 \h  \* MERGEFORMAT </w:instrText>
      </w:r>
      <w:r w:rsidR="00235816">
        <w:fldChar w:fldCharType="separate"/>
      </w:r>
      <w:r w:rsidR="00001D4C" w:rsidRPr="00442E3A">
        <w:rPr>
          <w:bCs/>
          <w:lang w:bidi="ar-SA"/>
        </w:rPr>
        <w:t>Tabulka 9</w:t>
      </w:r>
      <w:r w:rsidR="00235816">
        <w:fldChar w:fldCharType="end"/>
      </w:r>
      <w:r w:rsidR="000F7F4D" w:rsidRPr="00442E3A">
        <w:rPr>
          <w:rFonts w:cs="Arial"/>
        </w:rPr>
        <w:t>.</w:t>
      </w:r>
    </w:p>
    <w:p w:rsidR="00CF293B" w:rsidRDefault="00CF293B" w:rsidP="00CF293B"/>
    <w:p w:rsidR="00CF293B" w:rsidRPr="00A441B3" w:rsidRDefault="00CF293B" w:rsidP="00A441B3">
      <w:pPr>
        <w:keepNext/>
        <w:rPr>
          <w:bCs/>
          <w:i/>
          <w:sz w:val="22"/>
          <w:szCs w:val="22"/>
          <w:lang w:bidi="ar-SA"/>
        </w:rPr>
      </w:pPr>
      <w:bookmarkStart w:id="19" w:name="_Ref436082062"/>
      <w:r w:rsidRPr="00A441B3">
        <w:rPr>
          <w:bCs/>
          <w:i/>
          <w:sz w:val="22"/>
          <w:szCs w:val="22"/>
          <w:lang w:bidi="ar-SA"/>
        </w:rPr>
        <w:lastRenderedPageBreak/>
        <w:t xml:space="preserve">Tabulka </w:t>
      </w:r>
      <w:r w:rsidR="008A3262" w:rsidRPr="00A441B3">
        <w:rPr>
          <w:bCs/>
          <w:i/>
          <w:sz w:val="22"/>
          <w:szCs w:val="22"/>
          <w:lang w:bidi="ar-SA"/>
        </w:rPr>
        <w:fldChar w:fldCharType="begin"/>
      </w:r>
      <w:r w:rsidRPr="00A441B3">
        <w:rPr>
          <w:bCs/>
          <w:i/>
          <w:sz w:val="22"/>
          <w:szCs w:val="22"/>
          <w:lang w:bidi="ar-SA"/>
        </w:rPr>
        <w:instrText xml:space="preserve"> SEQ Tabulka \* ARABIC </w:instrText>
      </w:r>
      <w:r w:rsidR="008A3262" w:rsidRPr="00A441B3">
        <w:rPr>
          <w:bCs/>
          <w:i/>
          <w:sz w:val="22"/>
          <w:szCs w:val="22"/>
          <w:lang w:bidi="ar-SA"/>
        </w:rPr>
        <w:fldChar w:fldCharType="separate"/>
      </w:r>
      <w:r w:rsidR="00001D4C">
        <w:rPr>
          <w:bCs/>
          <w:i/>
          <w:noProof/>
          <w:sz w:val="22"/>
          <w:szCs w:val="22"/>
          <w:lang w:bidi="ar-SA"/>
        </w:rPr>
        <w:t>9</w:t>
      </w:r>
      <w:r w:rsidR="008A3262" w:rsidRPr="00A441B3">
        <w:rPr>
          <w:bCs/>
          <w:i/>
          <w:noProof/>
          <w:sz w:val="22"/>
          <w:szCs w:val="22"/>
          <w:lang w:bidi="ar-SA"/>
        </w:rPr>
        <w:fldChar w:fldCharType="end"/>
      </w:r>
      <w:bookmarkEnd w:id="19"/>
      <w:r w:rsidR="00801865">
        <w:rPr>
          <w:bCs/>
          <w:i/>
          <w:noProof/>
          <w:sz w:val="22"/>
          <w:szCs w:val="22"/>
          <w:lang w:bidi="ar-SA"/>
        </w:rPr>
        <w:t>:</w:t>
      </w:r>
      <w:r w:rsidRPr="00A441B3">
        <w:rPr>
          <w:bCs/>
          <w:i/>
          <w:sz w:val="22"/>
          <w:szCs w:val="22"/>
          <w:lang w:bidi="ar-SA"/>
        </w:rPr>
        <w:t xml:space="preserve"> Podíly zaměstnanců, placený čas a hrubé měsíční mzdy podle kolektivní smlouvy v roce 2014</w:t>
      </w:r>
    </w:p>
    <w:tbl>
      <w:tblPr>
        <w:tblW w:w="9057" w:type="dxa"/>
        <w:jc w:val="center"/>
        <w:tblCellMar>
          <w:left w:w="70" w:type="dxa"/>
          <w:right w:w="70" w:type="dxa"/>
        </w:tblCellMar>
        <w:tblLook w:val="04A0" w:firstRow="1" w:lastRow="0" w:firstColumn="1" w:lastColumn="0" w:noHBand="0" w:noVBand="1"/>
      </w:tblPr>
      <w:tblGrid>
        <w:gridCol w:w="2657"/>
        <w:gridCol w:w="1860"/>
        <w:gridCol w:w="1440"/>
        <w:gridCol w:w="1660"/>
        <w:gridCol w:w="1440"/>
      </w:tblGrid>
      <w:tr w:rsidR="00CF293B" w:rsidRPr="005A4D0D" w:rsidTr="000F7F4D">
        <w:trPr>
          <w:trHeight w:val="292"/>
          <w:jc w:val="center"/>
        </w:trPr>
        <w:tc>
          <w:tcPr>
            <w:tcW w:w="2657" w:type="dxa"/>
            <w:vMerge w:val="restart"/>
            <w:tcBorders>
              <w:top w:val="nil"/>
              <w:left w:val="nil"/>
              <w:bottom w:val="nil"/>
              <w:right w:val="single" w:sz="4" w:space="0" w:color="FFFFFF"/>
            </w:tcBorders>
            <w:shd w:val="clear" w:color="000000" w:fill="E0B8B7"/>
            <w:noWrap/>
            <w:vAlign w:val="center"/>
            <w:hideMark/>
          </w:tcPr>
          <w:p w:rsidR="00CF293B" w:rsidRPr="000F7F4D" w:rsidRDefault="00CF293B" w:rsidP="000F7F4D">
            <w:pPr>
              <w:keepNext/>
              <w:jc w:val="center"/>
              <w:rPr>
                <w:rFonts w:cs="Arial"/>
                <w:b/>
                <w:bCs/>
                <w:color w:val="000000"/>
                <w:sz w:val="20"/>
                <w:szCs w:val="20"/>
                <w:lang w:eastAsia="cs-CZ" w:bidi="ar-SA"/>
              </w:rPr>
            </w:pPr>
            <w:r w:rsidRPr="000F7F4D">
              <w:rPr>
                <w:rFonts w:cs="Arial"/>
                <w:b/>
                <w:bCs/>
                <w:color w:val="000000"/>
                <w:sz w:val="20"/>
                <w:szCs w:val="20"/>
                <w:lang w:eastAsia="cs-CZ" w:bidi="ar-SA"/>
              </w:rPr>
              <w:t>Kolektivní smlouva</w:t>
            </w:r>
          </w:p>
        </w:tc>
        <w:tc>
          <w:tcPr>
            <w:tcW w:w="1860" w:type="dxa"/>
            <w:tcBorders>
              <w:top w:val="nil"/>
              <w:left w:val="nil"/>
              <w:bottom w:val="nil"/>
              <w:right w:val="single" w:sz="4" w:space="0" w:color="FFFFFF"/>
            </w:tcBorders>
            <w:shd w:val="clear" w:color="000000" w:fill="E0B8B7"/>
            <w:noWrap/>
            <w:vAlign w:val="center"/>
            <w:hideMark/>
          </w:tcPr>
          <w:p w:rsidR="00CF293B" w:rsidRPr="000F7F4D" w:rsidRDefault="00CF293B" w:rsidP="000F7F4D">
            <w:pPr>
              <w:keepNext/>
              <w:jc w:val="center"/>
              <w:rPr>
                <w:rFonts w:cs="Arial"/>
                <w:b/>
                <w:bCs/>
                <w:sz w:val="20"/>
                <w:szCs w:val="20"/>
                <w:lang w:eastAsia="cs-CZ" w:bidi="ar-SA"/>
              </w:rPr>
            </w:pPr>
            <w:r w:rsidRPr="000F7F4D">
              <w:rPr>
                <w:rFonts w:cs="Arial"/>
                <w:b/>
                <w:bCs/>
                <w:sz w:val="20"/>
                <w:szCs w:val="20"/>
                <w:lang w:eastAsia="cs-CZ" w:bidi="ar-SA"/>
              </w:rPr>
              <w:t>Podíly</w:t>
            </w:r>
          </w:p>
        </w:tc>
        <w:tc>
          <w:tcPr>
            <w:tcW w:w="1440" w:type="dxa"/>
            <w:tcBorders>
              <w:top w:val="nil"/>
              <w:left w:val="nil"/>
              <w:bottom w:val="nil"/>
              <w:right w:val="single" w:sz="4" w:space="0" w:color="FFFFFF"/>
            </w:tcBorders>
            <w:shd w:val="clear" w:color="000000" w:fill="E0B8B7"/>
            <w:noWrap/>
            <w:vAlign w:val="center"/>
            <w:hideMark/>
          </w:tcPr>
          <w:p w:rsidR="00CF293B" w:rsidRPr="000F7F4D" w:rsidRDefault="00CF293B" w:rsidP="000F7F4D">
            <w:pPr>
              <w:keepNext/>
              <w:jc w:val="center"/>
              <w:rPr>
                <w:rFonts w:cs="Arial"/>
                <w:b/>
                <w:bCs/>
                <w:sz w:val="20"/>
                <w:szCs w:val="20"/>
                <w:lang w:eastAsia="cs-CZ" w:bidi="ar-SA"/>
              </w:rPr>
            </w:pPr>
            <w:r w:rsidRPr="000F7F4D">
              <w:rPr>
                <w:rFonts w:cs="Arial"/>
                <w:b/>
                <w:bCs/>
                <w:sz w:val="20"/>
                <w:szCs w:val="20"/>
                <w:lang w:eastAsia="cs-CZ" w:bidi="ar-SA"/>
              </w:rPr>
              <w:t>Placený čas</w:t>
            </w:r>
          </w:p>
        </w:tc>
        <w:tc>
          <w:tcPr>
            <w:tcW w:w="1660" w:type="dxa"/>
            <w:tcBorders>
              <w:top w:val="nil"/>
              <w:left w:val="nil"/>
              <w:bottom w:val="nil"/>
              <w:right w:val="single" w:sz="4" w:space="0" w:color="FFFFFF"/>
            </w:tcBorders>
            <w:shd w:val="clear" w:color="000000" w:fill="E0B8B7"/>
            <w:noWrap/>
            <w:vAlign w:val="center"/>
            <w:hideMark/>
          </w:tcPr>
          <w:p w:rsidR="00CF293B" w:rsidRPr="000F7F4D" w:rsidRDefault="00CF293B" w:rsidP="000F7F4D">
            <w:pPr>
              <w:keepNext/>
              <w:jc w:val="center"/>
              <w:rPr>
                <w:rFonts w:cs="Arial"/>
                <w:b/>
                <w:bCs/>
                <w:sz w:val="20"/>
                <w:szCs w:val="20"/>
                <w:lang w:eastAsia="cs-CZ" w:bidi="ar-SA"/>
              </w:rPr>
            </w:pPr>
            <w:r w:rsidRPr="000F7F4D">
              <w:rPr>
                <w:rFonts w:cs="Arial"/>
                <w:b/>
                <w:bCs/>
                <w:sz w:val="20"/>
                <w:szCs w:val="20"/>
                <w:lang w:eastAsia="cs-CZ" w:bidi="ar-SA"/>
              </w:rPr>
              <w:t>Průměrná mzda</w:t>
            </w:r>
          </w:p>
        </w:tc>
        <w:tc>
          <w:tcPr>
            <w:tcW w:w="1440" w:type="dxa"/>
            <w:tcBorders>
              <w:top w:val="nil"/>
              <w:left w:val="nil"/>
              <w:bottom w:val="nil"/>
              <w:right w:val="nil"/>
            </w:tcBorders>
            <w:shd w:val="clear" w:color="000000" w:fill="E0B8B7"/>
            <w:noWrap/>
            <w:vAlign w:val="center"/>
            <w:hideMark/>
          </w:tcPr>
          <w:p w:rsidR="00CF293B" w:rsidRPr="000F7F4D" w:rsidRDefault="00CF293B" w:rsidP="000F7F4D">
            <w:pPr>
              <w:keepNext/>
              <w:jc w:val="center"/>
              <w:rPr>
                <w:rFonts w:cs="Arial"/>
                <w:b/>
                <w:bCs/>
                <w:sz w:val="20"/>
                <w:szCs w:val="20"/>
                <w:lang w:eastAsia="cs-CZ" w:bidi="ar-SA"/>
              </w:rPr>
            </w:pPr>
            <w:r w:rsidRPr="000F7F4D">
              <w:rPr>
                <w:rFonts w:cs="Arial"/>
                <w:b/>
                <w:bCs/>
                <w:sz w:val="20"/>
                <w:szCs w:val="20"/>
                <w:lang w:eastAsia="cs-CZ" w:bidi="ar-SA"/>
              </w:rPr>
              <w:t>Medián mezd</w:t>
            </w:r>
          </w:p>
        </w:tc>
      </w:tr>
      <w:tr w:rsidR="00CF293B" w:rsidRPr="005A4D0D" w:rsidTr="000F7F4D">
        <w:trPr>
          <w:trHeight w:val="300"/>
          <w:jc w:val="center"/>
        </w:trPr>
        <w:tc>
          <w:tcPr>
            <w:tcW w:w="2657" w:type="dxa"/>
            <w:vMerge/>
            <w:tcBorders>
              <w:top w:val="nil"/>
              <w:left w:val="nil"/>
              <w:bottom w:val="nil"/>
              <w:right w:val="single" w:sz="4" w:space="0" w:color="FFFFFF"/>
            </w:tcBorders>
            <w:vAlign w:val="center"/>
            <w:hideMark/>
          </w:tcPr>
          <w:p w:rsidR="00CF293B" w:rsidRPr="000F7F4D" w:rsidRDefault="00CF293B" w:rsidP="000F7F4D">
            <w:pPr>
              <w:keepNext/>
              <w:jc w:val="center"/>
              <w:rPr>
                <w:rFonts w:cs="Arial"/>
                <w:b/>
                <w:bCs/>
                <w:color w:val="000000"/>
                <w:sz w:val="20"/>
                <w:szCs w:val="20"/>
                <w:lang w:eastAsia="cs-CZ" w:bidi="ar-SA"/>
              </w:rPr>
            </w:pPr>
          </w:p>
        </w:tc>
        <w:tc>
          <w:tcPr>
            <w:tcW w:w="1860" w:type="dxa"/>
            <w:tcBorders>
              <w:top w:val="nil"/>
              <w:left w:val="nil"/>
              <w:bottom w:val="nil"/>
              <w:right w:val="single" w:sz="4" w:space="0" w:color="FFFFFF"/>
            </w:tcBorders>
            <w:shd w:val="clear" w:color="000000" w:fill="E0B8B7"/>
            <w:noWrap/>
            <w:vAlign w:val="center"/>
            <w:hideMark/>
          </w:tcPr>
          <w:p w:rsidR="00CF293B" w:rsidRPr="000F7F4D" w:rsidRDefault="00CF293B" w:rsidP="000F7F4D">
            <w:pPr>
              <w:keepNext/>
              <w:jc w:val="center"/>
              <w:rPr>
                <w:rFonts w:cs="Arial"/>
                <w:b/>
                <w:bCs/>
                <w:sz w:val="20"/>
                <w:szCs w:val="20"/>
                <w:lang w:eastAsia="cs-CZ" w:bidi="ar-SA"/>
              </w:rPr>
            </w:pPr>
            <w:r w:rsidRPr="000F7F4D">
              <w:rPr>
                <w:rFonts w:cs="Arial"/>
                <w:b/>
                <w:bCs/>
                <w:sz w:val="20"/>
                <w:szCs w:val="20"/>
                <w:lang w:eastAsia="cs-CZ" w:bidi="ar-SA"/>
              </w:rPr>
              <w:t xml:space="preserve">zaměstnanců </w:t>
            </w:r>
            <w:r w:rsidR="000F7F4D" w:rsidRPr="000F7F4D">
              <w:rPr>
                <w:rFonts w:cs="Arial"/>
                <w:bCs/>
                <w:sz w:val="20"/>
                <w:szCs w:val="20"/>
                <w:lang w:eastAsia="cs-CZ" w:bidi="ar-SA"/>
              </w:rPr>
              <w:t>[</w:t>
            </w:r>
            <w:r w:rsidRPr="000F7F4D">
              <w:rPr>
                <w:rFonts w:cs="Arial"/>
                <w:bCs/>
                <w:sz w:val="20"/>
                <w:szCs w:val="20"/>
                <w:lang w:eastAsia="cs-CZ" w:bidi="ar-SA"/>
              </w:rPr>
              <w:t>%</w:t>
            </w:r>
            <w:r w:rsidR="000F7F4D" w:rsidRPr="000F7F4D">
              <w:rPr>
                <w:rFonts w:cs="Arial"/>
                <w:bCs/>
                <w:sz w:val="20"/>
                <w:szCs w:val="20"/>
                <w:lang w:eastAsia="cs-CZ" w:bidi="ar-SA"/>
              </w:rPr>
              <w:t>]</w:t>
            </w:r>
          </w:p>
        </w:tc>
        <w:tc>
          <w:tcPr>
            <w:tcW w:w="1440" w:type="dxa"/>
            <w:tcBorders>
              <w:top w:val="nil"/>
              <w:left w:val="nil"/>
              <w:bottom w:val="nil"/>
              <w:right w:val="single" w:sz="4" w:space="0" w:color="FFFFFF"/>
            </w:tcBorders>
            <w:shd w:val="clear" w:color="000000" w:fill="E0B8B7"/>
            <w:noWrap/>
            <w:vAlign w:val="center"/>
            <w:hideMark/>
          </w:tcPr>
          <w:p w:rsidR="00CF293B" w:rsidRPr="000F7F4D" w:rsidRDefault="000F7F4D" w:rsidP="000F7F4D">
            <w:pPr>
              <w:keepNext/>
              <w:jc w:val="center"/>
              <w:rPr>
                <w:rFonts w:cs="Arial"/>
                <w:bCs/>
                <w:sz w:val="20"/>
                <w:szCs w:val="20"/>
                <w:lang w:eastAsia="cs-CZ" w:bidi="ar-SA"/>
              </w:rPr>
            </w:pPr>
            <w:r w:rsidRPr="000F7F4D">
              <w:rPr>
                <w:rFonts w:cs="Arial"/>
                <w:bCs/>
                <w:sz w:val="20"/>
                <w:szCs w:val="20"/>
                <w:lang w:eastAsia="cs-CZ" w:bidi="ar-SA"/>
              </w:rPr>
              <w:t>[</w:t>
            </w:r>
            <w:r w:rsidR="00CF293B" w:rsidRPr="000F7F4D">
              <w:rPr>
                <w:rFonts w:cs="Arial"/>
                <w:bCs/>
                <w:sz w:val="20"/>
                <w:szCs w:val="20"/>
                <w:lang w:eastAsia="cs-CZ" w:bidi="ar-SA"/>
              </w:rPr>
              <w:t>hod/měsíc</w:t>
            </w:r>
            <w:r w:rsidRPr="000F7F4D">
              <w:rPr>
                <w:rFonts w:cs="Arial"/>
                <w:bCs/>
                <w:sz w:val="20"/>
                <w:szCs w:val="20"/>
                <w:lang w:eastAsia="cs-CZ" w:bidi="ar-SA"/>
              </w:rPr>
              <w:t>]</w:t>
            </w:r>
          </w:p>
        </w:tc>
        <w:tc>
          <w:tcPr>
            <w:tcW w:w="1660" w:type="dxa"/>
            <w:tcBorders>
              <w:top w:val="nil"/>
              <w:left w:val="nil"/>
              <w:bottom w:val="nil"/>
              <w:right w:val="single" w:sz="4" w:space="0" w:color="FFFFFF"/>
            </w:tcBorders>
            <w:shd w:val="clear" w:color="000000" w:fill="E0B8B7"/>
            <w:noWrap/>
            <w:vAlign w:val="center"/>
            <w:hideMark/>
          </w:tcPr>
          <w:p w:rsidR="00CF293B" w:rsidRPr="000F7F4D" w:rsidRDefault="000F7F4D" w:rsidP="000F7F4D">
            <w:pPr>
              <w:keepNext/>
              <w:jc w:val="center"/>
              <w:rPr>
                <w:rFonts w:cs="Arial"/>
                <w:bCs/>
                <w:sz w:val="20"/>
                <w:szCs w:val="20"/>
                <w:lang w:eastAsia="cs-CZ" w:bidi="ar-SA"/>
              </w:rPr>
            </w:pPr>
            <w:r w:rsidRPr="000F7F4D">
              <w:rPr>
                <w:rFonts w:cs="Arial"/>
                <w:bCs/>
                <w:sz w:val="20"/>
                <w:szCs w:val="20"/>
                <w:lang w:val="en-US" w:eastAsia="cs-CZ" w:bidi="ar-SA"/>
              </w:rPr>
              <w:t>[</w:t>
            </w:r>
            <w:r w:rsidR="00CF293B" w:rsidRPr="000F7F4D">
              <w:rPr>
                <w:rFonts w:cs="Arial"/>
                <w:bCs/>
                <w:sz w:val="20"/>
                <w:szCs w:val="20"/>
                <w:lang w:eastAsia="cs-CZ" w:bidi="ar-SA"/>
              </w:rPr>
              <w:t>Kč</w:t>
            </w:r>
            <w:r w:rsidRPr="000F7F4D">
              <w:rPr>
                <w:rFonts w:cs="Arial"/>
                <w:bCs/>
                <w:sz w:val="20"/>
                <w:szCs w:val="20"/>
                <w:lang w:val="en-US" w:eastAsia="cs-CZ" w:bidi="ar-SA"/>
              </w:rPr>
              <w:t>/</w:t>
            </w:r>
            <w:r w:rsidRPr="000F7F4D">
              <w:rPr>
                <w:rFonts w:cs="Arial"/>
                <w:bCs/>
                <w:sz w:val="20"/>
                <w:szCs w:val="20"/>
                <w:lang w:eastAsia="cs-CZ" w:bidi="ar-SA"/>
              </w:rPr>
              <w:t>měs</w:t>
            </w:r>
            <w:r w:rsidRPr="000F7F4D">
              <w:rPr>
                <w:rFonts w:cs="Arial"/>
                <w:bCs/>
                <w:sz w:val="20"/>
                <w:szCs w:val="20"/>
                <w:lang w:val="en-US" w:eastAsia="cs-CZ" w:bidi="ar-SA"/>
              </w:rPr>
              <w:t>]</w:t>
            </w:r>
          </w:p>
        </w:tc>
        <w:tc>
          <w:tcPr>
            <w:tcW w:w="1440" w:type="dxa"/>
            <w:tcBorders>
              <w:top w:val="nil"/>
              <w:left w:val="nil"/>
              <w:bottom w:val="nil"/>
              <w:right w:val="nil"/>
            </w:tcBorders>
            <w:shd w:val="clear" w:color="000000" w:fill="E0B8B7"/>
            <w:noWrap/>
            <w:vAlign w:val="center"/>
            <w:hideMark/>
          </w:tcPr>
          <w:p w:rsidR="00CF293B" w:rsidRPr="000F7F4D" w:rsidRDefault="000F7F4D" w:rsidP="000F7F4D">
            <w:pPr>
              <w:keepNext/>
              <w:jc w:val="center"/>
              <w:rPr>
                <w:rFonts w:cs="Arial"/>
                <w:bCs/>
                <w:sz w:val="20"/>
                <w:szCs w:val="20"/>
                <w:lang w:eastAsia="cs-CZ" w:bidi="ar-SA"/>
              </w:rPr>
            </w:pPr>
            <w:r w:rsidRPr="000F7F4D">
              <w:rPr>
                <w:rFonts w:cs="Arial"/>
                <w:bCs/>
                <w:sz w:val="20"/>
                <w:szCs w:val="20"/>
                <w:lang w:val="en-US" w:eastAsia="cs-CZ" w:bidi="ar-SA"/>
              </w:rPr>
              <w:t>[</w:t>
            </w:r>
            <w:r w:rsidRPr="000F7F4D">
              <w:rPr>
                <w:rFonts w:cs="Arial"/>
                <w:bCs/>
                <w:sz w:val="20"/>
                <w:szCs w:val="20"/>
                <w:lang w:eastAsia="cs-CZ" w:bidi="ar-SA"/>
              </w:rPr>
              <w:t>Kč</w:t>
            </w:r>
            <w:r w:rsidRPr="000F7F4D">
              <w:rPr>
                <w:rFonts w:cs="Arial"/>
                <w:bCs/>
                <w:sz w:val="20"/>
                <w:szCs w:val="20"/>
                <w:lang w:val="en-US" w:eastAsia="cs-CZ" w:bidi="ar-SA"/>
              </w:rPr>
              <w:t>/</w:t>
            </w:r>
            <w:r w:rsidRPr="000F7F4D">
              <w:rPr>
                <w:rFonts w:cs="Arial"/>
                <w:bCs/>
                <w:sz w:val="20"/>
                <w:szCs w:val="20"/>
                <w:lang w:eastAsia="cs-CZ" w:bidi="ar-SA"/>
              </w:rPr>
              <w:t>měs</w:t>
            </w:r>
            <w:r w:rsidRPr="000F7F4D">
              <w:rPr>
                <w:rFonts w:cs="Arial"/>
                <w:bCs/>
                <w:sz w:val="20"/>
                <w:szCs w:val="20"/>
                <w:lang w:val="en-US" w:eastAsia="cs-CZ" w:bidi="ar-SA"/>
              </w:rPr>
              <w:t>]</w:t>
            </w:r>
          </w:p>
        </w:tc>
      </w:tr>
      <w:tr w:rsidR="00CF293B" w:rsidRPr="005A4D0D" w:rsidTr="000F7F4D">
        <w:trPr>
          <w:trHeight w:val="319"/>
          <w:jc w:val="center"/>
        </w:trPr>
        <w:tc>
          <w:tcPr>
            <w:tcW w:w="2657" w:type="dxa"/>
            <w:tcBorders>
              <w:top w:val="nil"/>
              <w:left w:val="nil"/>
              <w:bottom w:val="nil"/>
              <w:right w:val="nil"/>
            </w:tcBorders>
            <w:shd w:val="clear" w:color="auto" w:fill="auto"/>
            <w:noWrap/>
            <w:vAlign w:val="center"/>
            <w:hideMark/>
          </w:tcPr>
          <w:p w:rsidR="00CF293B" w:rsidRPr="005A4D0D" w:rsidRDefault="00CF293B" w:rsidP="00A441B3">
            <w:pPr>
              <w:keepNext/>
              <w:rPr>
                <w:rFonts w:cs="Arial"/>
                <w:sz w:val="22"/>
                <w:szCs w:val="22"/>
                <w:lang w:eastAsia="cs-CZ" w:bidi="ar-SA"/>
              </w:rPr>
            </w:pPr>
            <w:r w:rsidRPr="005A4D0D">
              <w:rPr>
                <w:rFonts w:cs="Arial"/>
                <w:sz w:val="22"/>
                <w:szCs w:val="22"/>
                <w:lang w:eastAsia="cs-CZ" w:bidi="ar-SA"/>
              </w:rPr>
              <w:t>C e l k e m</w:t>
            </w:r>
          </w:p>
        </w:tc>
        <w:tc>
          <w:tcPr>
            <w:tcW w:w="186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100,0</w:t>
            </w:r>
          </w:p>
        </w:tc>
        <w:tc>
          <w:tcPr>
            <w:tcW w:w="144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173,7</w:t>
            </w:r>
          </w:p>
        </w:tc>
        <w:tc>
          <w:tcPr>
            <w:tcW w:w="166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27 002</w:t>
            </w:r>
          </w:p>
        </w:tc>
        <w:tc>
          <w:tcPr>
            <w:tcW w:w="144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23 078</w:t>
            </w:r>
          </w:p>
        </w:tc>
      </w:tr>
      <w:tr w:rsidR="00CF293B" w:rsidRPr="005A4D0D" w:rsidTr="000F7F4D">
        <w:trPr>
          <w:trHeight w:val="319"/>
          <w:jc w:val="center"/>
        </w:trPr>
        <w:tc>
          <w:tcPr>
            <w:tcW w:w="2657" w:type="dxa"/>
            <w:tcBorders>
              <w:top w:val="nil"/>
              <w:left w:val="nil"/>
              <w:bottom w:val="nil"/>
              <w:right w:val="nil"/>
            </w:tcBorders>
            <w:shd w:val="clear" w:color="000000" w:fill="F2F2F2"/>
            <w:noWrap/>
            <w:vAlign w:val="center"/>
            <w:hideMark/>
          </w:tcPr>
          <w:p w:rsidR="00CF293B" w:rsidRPr="005A4D0D" w:rsidRDefault="00CF293B" w:rsidP="00A441B3">
            <w:pPr>
              <w:keepNext/>
              <w:rPr>
                <w:rFonts w:cs="Arial"/>
                <w:color w:val="000000"/>
                <w:sz w:val="22"/>
                <w:szCs w:val="22"/>
                <w:lang w:eastAsia="cs-CZ" w:bidi="ar-SA"/>
              </w:rPr>
            </w:pPr>
            <w:r w:rsidRPr="005A4D0D">
              <w:rPr>
                <w:rFonts w:cs="Arial"/>
                <w:color w:val="000000"/>
                <w:sz w:val="22"/>
                <w:szCs w:val="22"/>
                <w:lang w:eastAsia="cs-CZ" w:bidi="ar-SA"/>
              </w:rPr>
              <w:t xml:space="preserve">Kolektivní smlouva </w:t>
            </w:r>
            <w:r w:rsidRPr="005A4D0D">
              <w:rPr>
                <w:rFonts w:cs="Arial"/>
                <w:b/>
                <w:bCs/>
                <w:sz w:val="22"/>
                <w:szCs w:val="22"/>
                <w:lang w:eastAsia="cs-CZ" w:bidi="ar-SA"/>
              </w:rPr>
              <w:t>ano</w:t>
            </w:r>
          </w:p>
        </w:tc>
        <w:tc>
          <w:tcPr>
            <w:tcW w:w="1860" w:type="dxa"/>
            <w:tcBorders>
              <w:top w:val="nil"/>
              <w:left w:val="nil"/>
              <w:bottom w:val="nil"/>
              <w:right w:val="nil"/>
            </w:tcBorders>
            <w:shd w:val="clear" w:color="000000" w:fill="F2F2F2"/>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47,8</w:t>
            </w:r>
          </w:p>
        </w:tc>
        <w:tc>
          <w:tcPr>
            <w:tcW w:w="1440" w:type="dxa"/>
            <w:tcBorders>
              <w:top w:val="nil"/>
              <w:left w:val="nil"/>
              <w:bottom w:val="nil"/>
              <w:right w:val="nil"/>
            </w:tcBorders>
            <w:shd w:val="clear" w:color="000000" w:fill="F2F2F2"/>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173,2</w:t>
            </w:r>
          </w:p>
        </w:tc>
        <w:tc>
          <w:tcPr>
            <w:tcW w:w="1660" w:type="dxa"/>
            <w:tcBorders>
              <w:top w:val="nil"/>
              <w:left w:val="nil"/>
              <w:bottom w:val="nil"/>
              <w:right w:val="nil"/>
            </w:tcBorders>
            <w:shd w:val="clear" w:color="000000" w:fill="F2F2F2"/>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29 340</w:t>
            </w:r>
          </w:p>
        </w:tc>
        <w:tc>
          <w:tcPr>
            <w:tcW w:w="1440" w:type="dxa"/>
            <w:tcBorders>
              <w:top w:val="nil"/>
              <w:left w:val="nil"/>
              <w:bottom w:val="nil"/>
              <w:right w:val="nil"/>
            </w:tcBorders>
            <w:shd w:val="clear" w:color="000000" w:fill="F2F2F2"/>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25 423</w:t>
            </w:r>
          </w:p>
        </w:tc>
      </w:tr>
      <w:tr w:rsidR="00CF293B" w:rsidRPr="005A4D0D" w:rsidTr="000F7F4D">
        <w:trPr>
          <w:trHeight w:val="319"/>
          <w:jc w:val="center"/>
        </w:trPr>
        <w:tc>
          <w:tcPr>
            <w:tcW w:w="2657" w:type="dxa"/>
            <w:tcBorders>
              <w:top w:val="nil"/>
              <w:left w:val="nil"/>
              <w:bottom w:val="nil"/>
              <w:right w:val="nil"/>
            </w:tcBorders>
            <w:shd w:val="clear" w:color="auto" w:fill="auto"/>
            <w:noWrap/>
            <w:vAlign w:val="center"/>
            <w:hideMark/>
          </w:tcPr>
          <w:p w:rsidR="00CF293B" w:rsidRPr="005A4D0D" w:rsidRDefault="00CF293B" w:rsidP="00A441B3">
            <w:pPr>
              <w:keepNext/>
              <w:rPr>
                <w:rFonts w:cs="Arial"/>
                <w:sz w:val="22"/>
                <w:szCs w:val="22"/>
                <w:lang w:eastAsia="cs-CZ" w:bidi="ar-SA"/>
              </w:rPr>
            </w:pPr>
            <w:r w:rsidRPr="005A4D0D">
              <w:rPr>
                <w:rFonts w:cs="Arial"/>
                <w:sz w:val="22"/>
                <w:szCs w:val="22"/>
                <w:lang w:eastAsia="cs-CZ" w:bidi="ar-SA"/>
              </w:rPr>
              <w:t xml:space="preserve">Kolektivní smlouva </w:t>
            </w:r>
            <w:r w:rsidRPr="005A4D0D">
              <w:rPr>
                <w:rFonts w:cs="Arial"/>
                <w:b/>
                <w:bCs/>
                <w:sz w:val="22"/>
                <w:szCs w:val="22"/>
                <w:lang w:eastAsia="cs-CZ" w:bidi="ar-SA"/>
              </w:rPr>
              <w:t>ne</w:t>
            </w:r>
          </w:p>
        </w:tc>
        <w:tc>
          <w:tcPr>
            <w:tcW w:w="186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40,6</w:t>
            </w:r>
          </w:p>
        </w:tc>
        <w:tc>
          <w:tcPr>
            <w:tcW w:w="144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174,3</w:t>
            </w:r>
          </w:p>
        </w:tc>
        <w:tc>
          <w:tcPr>
            <w:tcW w:w="166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26 555</w:t>
            </w:r>
          </w:p>
        </w:tc>
        <w:tc>
          <w:tcPr>
            <w:tcW w:w="1440" w:type="dxa"/>
            <w:tcBorders>
              <w:top w:val="nil"/>
              <w:left w:val="nil"/>
              <w:bottom w:val="nil"/>
              <w:right w:val="nil"/>
            </w:tcBorders>
            <w:shd w:val="clear" w:color="auto" w:fill="auto"/>
            <w:noWrap/>
            <w:vAlign w:val="center"/>
            <w:hideMark/>
          </w:tcPr>
          <w:p w:rsidR="00CF293B" w:rsidRPr="005A4D0D" w:rsidRDefault="00CF293B" w:rsidP="000F7F4D">
            <w:pPr>
              <w:keepNext/>
              <w:jc w:val="center"/>
              <w:rPr>
                <w:rFonts w:cs="Arial"/>
                <w:color w:val="000000"/>
                <w:sz w:val="22"/>
                <w:szCs w:val="22"/>
                <w:lang w:eastAsia="cs-CZ" w:bidi="ar-SA"/>
              </w:rPr>
            </w:pPr>
            <w:r w:rsidRPr="005A4D0D">
              <w:rPr>
                <w:rFonts w:cs="Arial"/>
                <w:color w:val="000000"/>
                <w:sz w:val="22"/>
                <w:szCs w:val="22"/>
                <w:lang w:eastAsia="cs-CZ" w:bidi="ar-SA"/>
              </w:rPr>
              <w:t>21 654</w:t>
            </w:r>
          </w:p>
        </w:tc>
      </w:tr>
      <w:tr w:rsidR="00CF293B" w:rsidRPr="005A4D0D" w:rsidTr="000F7F4D">
        <w:trPr>
          <w:trHeight w:val="319"/>
          <w:jc w:val="center"/>
        </w:trPr>
        <w:tc>
          <w:tcPr>
            <w:tcW w:w="2657" w:type="dxa"/>
            <w:tcBorders>
              <w:top w:val="nil"/>
              <w:left w:val="nil"/>
              <w:bottom w:val="nil"/>
              <w:right w:val="nil"/>
            </w:tcBorders>
            <w:shd w:val="clear" w:color="000000" w:fill="F2F2F2"/>
            <w:noWrap/>
            <w:vAlign w:val="center"/>
            <w:hideMark/>
          </w:tcPr>
          <w:p w:rsidR="00CF293B" w:rsidRPr="005A4D0D" w:rsidRDefault="00CF293B" w:rsidP="00CF293B">
            <w:pPr>
              <w:rPr>
                <w:rFonts w:cs="Arial"/>
                <w:color w:val="000000"/>
                <w:sz w:val="22"/>
                <w:szCs w:val="22"/>
                <w:lang w:eastAsia="cs-CZ" w:bidi="ar-SA"/>
              </w:rPr>
            </w:pPr>
            <w:r w:rsidRPr="005A4D0D">
              <w:rPr>
                <w:rFonts w:cs="Arial"/>
                <w:color w:val="000000"/>
                <w:sz w:val="22"/>
                <w:szCs w:val="22"/>
                <w:lang w:eastAsia="cs-CZ" w:bidi="ar-SA"/>
              </w:rPr>
              <w:t>N e u v e d e n o</w:t>
            </w:r>
          </w:p>
        </w:tc>
        <w:tc>
          <w:tcPr>
            <w:tcW w:w="1860" w:type="dxa"/>
            <w:tcBorders>
              <w:top w:val="nil"/>
              <w:left w:val="nil"/>
              <w:bottom w:val="nil"/>
              <w:right w:val="nil"/>
            </w:tcBorders>
            <w:shd w:val="clear" w:color="000000" w:fill="F2F2F2"/>
            <w:noWrap/>
            <w:vAlign w:val="center"/>
            <w:hideMark/>
          </w:tcPr>
          <w:p w:rsidR="00CF293B" w:rsidRPr="005A4D0D" w:rsidRDefault="00CF293B" w:rsidP="000F7F4D">
            <w:pPr>
              <w:jc w:val="center"/>
              <w:rPr>
                <w:rFonts w:cs="Arial"/>
                <w:color w:val="000000"/>
                <w:sz w:val="22"/>
                <w:szCs w:val="22"/>
                <w:lang w:eastAsia="cs-CZ" w:bidi="ar-SA"/>
              </w:rPr>
            </w:pPr>
            <w:r w:rsidRPr="005A4D0D">
              <w:rPr>
                <w:rFonts w:cs="Arial"/>
                <w:color w:val="000000"/>
                <w:sz w:val="22"/>
                <w:szCs w:val="22"/>
                <w:lang w:eastAsia="cs-CZ" w:bidi="ar-SA"/>
              </w:rPr>
              <w:t>11,6</w:t>
            </w:r>
          </w:p>
        </w:tc>
        <w:tc>
          <w:tcPr>
            <w:tcW w:w="1440" w:type="dxa"/>
            <w:tcBorders>
              <w:top w:val="nil"/>
              <w:left w:val="nil"/>
              <w:bottom w:val="nil"/>
              <w:right w:val="nil"/>
            </w:tcBorders>
            <w:shd w:val="clear" w:color="000000" w:fill="F2F2F2"/>
            <w:noWrap/>
            <w:vAlign w:val="center"/>
            <w:hideMark/>
          </w:tcPr>
          <w:p w:rsidR="00CF293B" w:rsidRPr="005A4D0D" w:rsidRDefault="00CF293B" w:rsidP="000F7F4D">
            <w:pPr>
              <w:jc w:val="center"/>
              <w:rPr>
                <w:rFonts w:cs="Arial"/>
                <w:color w:val="000000"/>
                <w:sz w:val="22"/>
                <w:szCs w:val="22"/>
                <w:lang w:eastAsia="cs-CZ" w:bidi="ar-SA"/>
              </w:rPr>
            </w:pPr>
            <w:r w:rsidRPr="005A4D0D">
              <w:rPr>
                <w:rFonts w:cs="Arial"/>
                <w:color w:val="000000"/>
                <w:sz w:val="22"/>
                <w:szCs w:val="22"/>
                <w:lang w:eastAsia="cs-CZ" w:bidi="ar-SA"/>
              </w:rPr>
              <w:t>173,7</w:t>
            </w:r>
          </w:p>
        </w:tc>
        <w:tc>
          <w:tcPr>
            <w:tcW w:w="1660" w:type="dxa"/>
            <w:tcBorders>
              <w:top w:val="nil"/>
              <w:left w:val="nil"/>
              <w:bottom w:val="nil"/>
              <w:right w:val="nil"/>
            </w:tcBorders>
            <w:shd w:val="clear" w:color="000000" w:fill="F2F2F2"/>
            <w:noWrap/>
            <w:vAlign w:val="center"/>
            <w:hideMark/>
          </w:tcPr>
          <w:p w:rsidR="00CF293B" w:rsidRPr="005A4D0D" w:rsidRDefault="00CF293B" w:rsidP="000F7F4D">
            <w:pPr>
              <w:jc w:val="center"/>
              <w:rPr>
                <w:rFonts w:cs="Arial"/>
                <w:color w:val="000000"/>
                <w:sz w:val="22"/>
                <w:szCs w:val="22"/>
                <w:lang w:eastAsia="cs-CZ" w:bidi="ar-SA"/>
              </w:rPr>
            </w:pPr>
            <w:r w:rsidRPr="005A4D0D">
              <w:rPr>
                <w:rFonts w:cs="Arial"/>
                <w:color w:val="000000"/>
                <w:sz w:val="22"/>
                <w:szCs w:val="22"/>
                <w:lang w:eastAsia="cs-CZ" w:bidi="ar-SA"/>
              </w:rPr>
              <w:t>18 921</w:t>
            </w:r>
          </w:p>
        </w:tc>
        <w:tc>
          <w:tcPr>
            <w:tcW w:w="1440" w:type="dxa"/>
            <w:tcBorders>
              <w:top w:val="nil"/>
              <w:left w:val="nil"/>
              <w:bottom w:val="nil"/>
              <w:right w:val="nil"/>
            </w:tcBorders>
            <w:shd w:val="clear" w:color="000000" w:fill="F2F2F2"/>
            <w:noWrap/>
            <w:vAlign w:val="center"/>
            <w:hideMark/>
          </w:tcPr>
          <w:p w:rsidR="00CF293B" w:rsidRPr="005A4D0D" w:rsidRDefault="00CF293B" w:rsidP="000F7F4D">
            <w:pPr>
              <w:jc w:val="center"/>
              <w:rPr>
                <w:rFonts w:cs="Arial"/>
                <w:color w:val="000000"/>
                <w:sz w:val="22"/>
                <w:szCs w:val="22"/>
                <w:lang w:eastAsia="cs-CZ" w:bidi="ar-SA"/>
              </w:rPr>
            </w:pPr>
            <w:r w:rsidRPr="005A4D0D">
              <w:rPr>
                <w:rFonts w:cs="Arial"/>
                <w:color w:val="000000"/>
                <w:sz w:val="22"/>
                <w:szCs w:val="22"/>
                <w:lang w:eastAsia="cs-CZ" w:bidi="ar-SA"/>
              </w:rPr>
              <w:t>16 230</w:t>
            </w:r>
          </w:p>
        </w:tc>
      </w:tr>
    </w:tbl>
    <w:p w:rsidR="00CF293B" w:rsidRPr="00A441B3" w:rsidRDefault="00CF293B" w:rsidP="000F7F4D">
      <w:pPr>
        <w:spacing w:after="480"/>
        <w:rPr>
          <w:sz w:val="20"/>
          <w:szCs w:val="20"/>
          <w:lang w:bidi="ar-SA"/>
        </w:rPr>
      </w:pPr>
      <w:r w:rsidRPr="00A441B3">
        <w:rPr>
          <w:sz w:val="20"/>
          <w:szCs w:val="20"/>
          <w:lang w:bidi="ar-SA"/>
        </w:rPr>
        <w:t>Zdroj: Struktura mezd zaměstnanců</w:t>
      </w:r>
      <w:r w:rsidR="000F7F4D">
        <w:rPr>
          <w:sz w:val="20"/>
          <w:szCs w:val="20"/>
          <w:lang w:bidi="ar-SA"/>
        </w:rPr>
        <w:t xml:space="preserve"> 2014 (ČSÚ).</w:t>
      </w:r>
    </w:p>
    <w:p w:rsidR="00A441B3" w:rsidRDefault="00A441B3" w:rsidP="00A441B3">
      <w:r>
        <w:t>Strukturální výdělkové šetření je zřejmě nejspolehlivějším zdrojem informací o pokrytí kolektivními smlouvami. Aktuální statistiky roku 2014 ukazují pokrytí necelých 48</w:t>
      </w:r>
      <w:r w:rsidR="00352775">
        <w:t xml:space="preserve"> </w:t>
      </w:r>
      <w:r>
        <w:t>% a zároveň dokládají vyšší průměrnou (o 10,5</w:t>
      </w:r>
      <w:r w:rsidR="00352775">
        <w:t xml:space="preserve"> </w:t>
      </w:r>
      <w:r>
        <w:t>%) i mediánovou mzdu (o 11,7</w:t>
      </w:r>
      <w:r w:rsidR="00352775">
        <w:t xml:space="preserve"> </w:t>
      </w:r>
      <w:r>
        <w:t>%) ve firmách pokrytých kolektivními smlouvami.</w:t>
      </w:r>
    </w:p>
    <w:p w:rsidR="00A441B3" w:rsidRDefault="00A441B3" w:rsidP="00A441B3">
      <w:pPr>
        <w:rPr>
          <w:lang w:eastAsia="cs-CZ"/>
        </w:rPr>
      </w:pPr>
      <w:r>
        <w:rPr>
          <w:lang w:eastAsia="cs-CZ"/>
        </w:rPr>
        <w:t xml:space="preserve">Význam kolektivního vyjednávání pro mzdový vývoj lze posuzovat podle rozsahu kolektivních smluv s ustanovením o </w:t>
      </w:r>
      <w:r w:rsidRPr="001903D1">
        <w:rPr>
          <w:b/>
          <w:lang w:eastAsia="cs-CZ"/>
        </w:rPr>
        <w:t>mzdovém vývoji</w:t>
      </w:r>
      <w:r>
        <w:rPr>
          <w:lang w:eastAsia="cs-CZ"/>
        </w:rPr>
        <w:t xml:space="preserve">, úlohu minimálních mezd v kolektivním vyjednávání indikují </w:t>
      </w:r>
      <w:r w:rsidRPr="00C52F5A">
        <w:rPr>
          <w:b/>
          <w:lang w:eastAsia="cs-CZ"/>
        </w:rPr>
        <w:t>kolektivní smlouvy sjednávající</w:t>
      </w:r>
      <w:r>
        <w:rPr>
          <w:lang w:eastAsia="cs-CZ"/>
        </w:rPr>
        <w:t xml:space="preserve"> </w:t>
      </w:r>
      <w:r w:rsidRPr="001903D1">
        <w:rPr>
          <w:b/>
          <w:lang w:eastAsia="cs-CZ"/>
        </w:rPr>
        <w:t>minimální mzdy</w:t>
      </w:r>
      <w:r>
        <w:rPr>
          <w:lang w:eastAsia="cs-CZ"/>
        </w:rPr>
        <w:t xml:space="preserve">. Vzájemné působení minimální mzdy a kolektivního vyjednávání odráží úrovně sjednaných tarifů. Přehled o mzdovém vývoji v kolektivních smlouvách podnikatelské sféry je uveden v tabulce 5. Vývoj podílu kolektivních smluv sjednávajících mzdový </w:t>
      </w:r>
      <w:r w:rsidRPr="00352775">
        <w:rPr>
          <w:lang w:eastAsia="cs-CZ"/>
        </w:rPr>
        <w:t>vývoj (</w:t>
      </w:r>
      <w:r w:rsidR="00235816">
        <w:fldChar w:fldCharType="begin"/>
      </w:r>
      <w:r w:rsidR="00235816">
        <w:instrText xml:space="preserve"> REF _Ref436082645 \h  \* MERGEFORMAT </w:instrText>
      </w:r>
      <w:r w:rsidR="00235816">
        <w:fldChar w:fldCharType="separate"/>
      </w:r>
      <w:r w:rsidR="00001D4C" w:rsidRPr="00001D4C">
        <w:t xml:space="preserve">Tabulka </w:t>
      </w:r>
      <w:r w:rsidR="00001D4C" w:rsidRPr="00001D4C">
        <w:rPr>
          <w:noProof/>
        </w:rPr>
        <w:t>10</w:t>
      </w:r>
      <w:r w:rsidR="00235816">
        <w:fldChar w:fldCharType="end"/>
      </w:r>
      <w:r w:rsidRPr="00352775">
        <w:rPr>
          <w:lang w:eastAsia="cs-CZ"/>
        </w:rPr>
        <w:t>)</w:t>
      </w:r>
      <w:r>
        <w:rPr>
          <w:lang w:eastAsia="cs-CZ"/>
        </w:rPr>
        <w:t xml:space="preserve"> ukazuje pokles </w:t>
      </w:r>
      <w:r w:rsidRPr="00352775">
        <w:rPr>
          <w:lang w:eastAsia="cs-CZ"/>
        </w:rPr>
        <w:t>v souvislosti s průběhem krize</w:t>
      </w:r>
      <w:r w:rsidR="00C52F5A" w:rsidRPr="00352775">
        <w:rPr>
          <w:lang w:eastAsia="cs-CZ"/>
        </w:rPr>
        <w:t>,</w:t>
      </w:r>
      <w:r w:rsidRPr="00352775">
        <w:rPr>
          <w:lang w:eastAsia="cs-CZ"/>
        </w:rPr>
        <w:t xml:space="preserve"> obrat k mírnému vzestupu od roku 2011 a dokládá relativně stabilní kolektivní vyjednávání.</w:t>
      </w:r>
      <w:r>
        <w:rPr>
          <w:lang w:eastAsia="cs-CZ"/>
        </w:rPr>
        <w:t xml:space="preserve"> Vyšší měsíční minimální mzda je sice podstatně méně zastoupena v kolektivních smlouvách podnikatelské sféry, ale její podíl vcelku kontinuálně rostl od roku 2007 až do roku 2013</w:t>
      </w:r>
      <w:r w:rsidR="00352775">
        <w:rPr>
          <w:lang w:eastAsia="cs-CZ"/>
        </w:rPr>
        <w:t>. P</w:t>
      </w:r>
      <w:r>
        <w:rPr>
          <w:lang w:eastAsia="cs-CZ"/>
        </w:rPr>
        <w:t xml:space="preserve">okles hodnoty tohoto indikátoru pro rok 2015 může být reakcí na tempo růstu minimální mzdy od poloviny roku 2013. </w:t>
      </w:r>
    </w:p>
    <w:p w:rsidR="00A441B3" w:rsidRPr="00DD08A6" w:rsidRDefault="00235816" w:rsidP="00A441B3">
      <w:pPr>
        <w:rPr>
          <w:lang w:eastAsia="cs-CZ"/>
        </w:rPr>
      </w:pPr>
      <w:r>
        <w:fldChar w:fldCharType="begin"/>
      </w:r>
      <w:r>
        <w:instrText xml:space="preserve"> REF _Ref436082645 \h  \* MERGEFORMAT </w:instrText>
      </w:r>
      <w:r>
        <w:fldChar w:fldCharType="separate"/>
      </w:r>
      <w:r w:rsidR="00001D4C" w:rsidRPr="00001D4C">
        <w:t xml:space="preserve">Tabulka </w:t>
      </w:r>
      <w:r w:rsidR="00001D4C" w:rsidRPr="00001D4C">
        <w:rPr>
          <w:noProof/>
        </w:rPr>
        <w:t>10</w:t>
      </w:r>
      <w:r>
        <w:fldChar w:fldCharType="end"/>
      </w:r>
      <w:r w:rsidR="00A441B3" w:rsidRPr="00E7099F">
        <w:rPr>
          <w:lang w:eastAsia="cs-CZ"/>
        </w:rPr>
        <w:t xml:space="preserve"> </w:t>
      </w:r>
      <w:r w:rsidR="00A441B3" w:rsidRPr="00A441B3">
        <w:rPr>
          <w:lang w:eastAsia="cs-CZ"/>
        </w:rPr>
        <w:t>o</w:t>
      </w:r>
      <w:r w:rsidR="00A441B3">
        <w:rPr>
          <w:lang w:eastAsia="cs-CZ"/>
        </w:rPr>
        <w:t>bsahuje vývoj vybraných ukazatelů od roku 2007 do roku 2015. Indikátory mzdového vývoje a vyšších minimálních mezd v kolektivních smlouvách lze srovnat s vývojem průměrné měsíční nominální mzdy a minimální mzdy. Podíl minimální mzdy na průměrné mzdě (Kaitz</w:t>
      </w:r>
      <w:r w:rsidR="00352775">
        <w:rPr>
          <w:lang w:eastAsia="cs-CZ"/>
        </w:rPr>
        <w:t>ův</w:t>
      </w:r>
      <w:r w:rsidR="00A441B3">
        <w:rPr>
          <w:lang w:eastAsia="cs-CZ"/>
        </w:rPr>
        <w:t xml:space="preserve"> index) je ukazatelem, který by měl určovat vývoj minimální mzdy a přiblížit se </w:t>
      </w:r>
      <w:r w:rsidR="00A441B3">
        <w:t>postupně s ohledem na ekonomické a sociální souvislosti 40 % průměrné mzdy</w:t>
      </w:r>
      <w:r w:rsidR="00A441B3">
        <w:rPr>
          <w:rStyle w:val="Znakapoznpodarou"/>
        </w:rPr>
        <w:footnoteReference w:id="3"/>
      </w:r>
      <w:r w:rsidR="00A441B3">
        <w:t xml:space="preserve">. Je zřejmé, že pokles Kaitzova indexu v období stagnace minimální mzdy </w:t>
      </w:r>
      <w:r w:rsidR="00352775">
        <w:t>se nezmírnil</w:t>
      </w:r>
      <w:r w:rsidR="00A441B3">
        <w:t xml:space="preserve"> ani období krize a dvojí zvýšení minimální mzdy v posledních letech sledovaného období nestačilo klesající tendenci zvrátit.</w:t>
      </w:r>
      <w:r w:rsidR="00A441B3">
        <w:rPr>
          <w:lang w:eastAsia="cs-CZ"/>
        </w:rPr>
        <w:t xml:space="preserve">   </w:t>
      </w:r>
      <w:r w:rsidR="00A441B3" w:rsidRPr="00DD08A6">
        <w:rPr>
          <w:lang w:eastAsia="cs-CZ"/>
        </w:rPr>
        <w:t xml:space="preserve">  </w:t>
      </w:r>
    </w:p>
    <w:p w:rsidR="00A441B3" w:rsidRPr="00290C5E" w:rsidRDefault="00A441B3" w:rsidP="00352775">
      <w:pPr>
        <w:keepNext/>
        <w:keepLines/>
        <w:spacing w:after="120"/>
        <w:rPr>
          <w:rFonts w:cs="Arial"/>
          <w:i/>
          <w:sz w:val="22"/>
          <w:szCs w:val="22"/>
          <w:lang w:bidi="ar-SA"/>
        </w:rPr>
      </w:pPr>
      <w:bookmarkStart w:id="20" w:name="_Ref436082645"/>
      <w:r w:rsidRPr="00290C5E">
        <w:rPr>
          <w:i/>
          <w:sz w:val="22"/>
          <w:szCs w:val="22"/>
        </w:rPr>
        <w:lastRenderedPageBreak/>
        <w:t xml:space="preserve">Tabulka </w:t>
      </w:r>
      <w:r w:rsidR="008A3262" w:rsidRPr="00290C5E">
        <w:rPr>
          <w:i/>
          <w:sz w:val="22"/>
          <w:szCs w:val="22"/>
        </w:rPr>
        <w:fldChar w:fldCharType="begin"/>
      </w:r>
      <w:r w:rsidRPr="00290C5E">
        <w:rPr>
          <w:i/>
          <w:sz w:val="22"/>
          <w:szCs w:val="22"/>
        </w:rPr>
        <w:instrText xml:space="preserve"> SEQ Tabulka \* ARABIC </w:instrText>
      </w:r>
      <w:r w:rsidR="008A3262" w:rsidRPr="00290C5E">
        <w:rPr>
          <w:i/>
          <w:sz w:val="22"/>
          <w:szCs w:val="22"/>
        </w:rPr>
        <w:fldChar w:fldCharType="separate"/>
      </w:r>
      <w:r w:rsidR="00001D4C">
        <w:rPr>
          <w:i/>
          <w:noProof/>
          <w:sz w:val="22"/>
          <w:szCs w:val="22"/>
        </w:rPr>
        <w:t>10</w:t>
      </w:r>
      <w:r w:rsidR="008A3262" w:rsidRPr="00290C5E">
        <w:rPr>
          <w:i/>
          <w:sz w:val="22"/>
          <w:szCs w:val="22"/>
        </w:rPr>
        <w:fldChar w:fldCharType="end"/>
      </w:r>
      <w:bookmarkEnd w:id="20"/>
      <w:r w:rsidR="00801865">
        <w:rPr>
          <w:i/>
          <w:sz w:val="22"/>
          <w:szCs w:val="22"/>
        </w:rPr>
        <w:t>:</w:t>
      </w:r>
      <w:r w:rsidRPr="00290C5E">
        <w:rPr>
          <w:i/>
          <w:sz w:val="22"/>
          <w:szCs w:val="22"/>
        </w:rPr>
        <w:t xml:space="preserve"> Vývoj vybraných indikátorů minimální mzdy a kolektivního vyjednávání</w:t>
      </w:r>
    </w:p>
    <w:tbl>
      <w:tblPr>
        <w:tblW w:w="9860" w:type="dxa"/>
        <w:tblInd w:w="70" w:type="dxa"/>
        <w:tblCellMar>
          <w:left w:w="70" w:type="dxa"/>
          <w:right w:w="70" w:type="dxa"/>
        </w:tblCellMar>
        <w:tblLook w:val="04A0" w:firstRow="1" w:lastRow="0" w:firstColumn="1" w:lastColumn="0" w:noHBand="0" w:noVBand="1"/>
      </w:tblPr>
      <w:tblGrid>
        <w:gridCol w:w="2600"/>
        <w:gridCol w:w="820"/>
        <w:gridCol w:w="820"/>
        <w:gridCol w:w="820"/>
        <w:gridCol w:w="820"/>
        <w:gridCol w:w="820"/>
        <w:gridCol w:w="820"/>
        <w:gridCol w:w="820"/>
        <w:gridCol w:w="820"/>
        <w:gridCol w:w="700"/>
      </w:tblGrid>
      <w:tr w:rsidR="00A441B3" w:rsidRPr="005A4D0D" w:rsidTr="00A441B3">
        <w:trPr>
          <w:trHeight w:val="300"/>
        </w:trPr>
        <w:tc>
          <w:tcPr>
            <w:tcW w:w="2600" w:type="dxa"/>
            <w:tcBorders>
              <w:top w:val="nil"/>
              <w:left w:val="nil"/>
              <w:bottom w:val="nil"/>
              <w:right w:val="single" w:sz="4" w:space="0" w:color="FFFFFF"/>
            </w:tcBorders>
            <w:shd w:val="clear" w:color="000000" w:fill="E5B8B7"/>
            <w:vAlign w:val="center"/>
            <w:hideMark/>
          </w:tcPr>
          <w:p w:rsidR="00A441B3" w:rsidRPr="005A4D0D" w:rsidRDefault="00A441B3" w:rsidP="00A441B3">
            <w:pPr>
              <w:keepNext/>
              <w:keepLines/>
              <w:spacing w:before="0" w:after="0"/>
              <w:jc w:val="center"/>
              <w:rPr>
                <w:rFonts w:cs="Arial"/>
                <w:color w:val="000000"/>
                <w:sz w:val="18"/>
                <w:szCs w:val="18"/>
                <w:lang w:eastAsia="cs-CZ" w:bidi="ar-SA"/>
              </w:rPr>
            </w:pPr>
            <w:r w:rsidRPr="005A4D0D">
              <w:rPr>
                <w:rFonts w:cs="Arial"/>
                <w:color w:val="000000"/>
                <w:sz w:val="18"/>
                <w:szCs w:val="18"/>
                <w:lang w:eastAsia="cs-CZ" w:bidi="ar-SA"/>
              </w:rPr>
              <w:t> </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2007</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2008</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2009</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2010</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2011</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2012</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2013</w:t>
            </w:r>
          </w:p>
        </w:tc>
        <w:tc>
          <w:tcPr>
            <w:tcW w:w="820" w:type="dxa"/>
            <w:tcBorders>
              <w:top w:val="nil"/>
              <w:left w:val="nil"/>
              <w:bottom w:val="nil"/>
              <w:right w:val="single" w:sz="4" w:space="0" w:color="FFFFFF"/>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2014</w:t>
            </w:r>
          </w:p>
        </w:tc>
        <w:tc>
          <w:tcPr>
            <w:tcW w:w="700" w:type="dxa"/>
            <w:tcBorders>
              <w:top w:val="nil"/>
              <w:left w:val="nil"/>
              <w:bottom w:val="nil"/>
              <w:right w:val="nil"/>
            </w:tcBorders>
            <w:shd w:val="clear" w:color="000000" w:fill="E5B8B7"/>
            <w:vAlign w:val="center"/>
            <w:hideMark/>
          </w:tcPr>
          <w:p w:rsidR="00A441B3" w:rsidRPr="00352775" w:rsidRDefault="00A441B3" w:rsidP="00A441B3">
            <w:pPr>
              <w:keepNext/>
              <w:keepLines/>
              <w:spacing w:before="0" w:after="0"/>
              <w:jc w:val="center"/>
              <w:rPr>
                <w:rFonts w:cs="Arial"/>
                <w:b/>
                <w:color w:val="000000"/>
                <w:sz w:val="18"/>
                <w:szCs w:val="18"/>
                <w:lang w:eastAsia="cs-CZ" w:bidi="ar-SA"/>
              </w:rPr>
            </w:pPr>
            <w:r w:rsidRPr="00352775">
              <w:rPr>
                <w:rFonts w:cs="Arial"/>
                <w:b/>
                <w:color w:val="000000"/>
                <w:sz w:val="18"/>
                <w:szCs w:val="18"/>
                <w:lang w:eastAsia="cs-CZ" w:bidi="ar-SA"/>
              </w:rPr>
              <w:t>2015</w:t>
            </w:r>
          </w:p>
        </w:tc>
      </w:tr>
      <w:tr w:rsidR="00A441B3" w:rsidRPr="005A4D0D" w:rsidTr="00A441B3">
        <w:trPr>
          <w:trHeight w:val="300"/>
        </w:trPr>
        <w:tc>
          <w:tcPr>
            <w:tcW w:w="2600" w:type="dxa"/>
            <w:tcBorders>
              <w:top w:val="single" w:sz="4" w:space="0" w:color="808080"/>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left"/>
              <w:rPr>
                <w:rFonts w:cs="Arial"/>
                <w:color w:val="000000"/>
                <w:sz w:val="18"/>
                <w:szCs w:val="18"/>
                <w:lang w:eastAsia="cs-CZ" w:bidi="ar-SA"/>
              </w:rPr>
            </w:pPr>
            <w:r w:rsidRPr="005A4D0D">
              <w:rPr>
                <w:rFonts w:cs="Arial"/>
                <w:color w:val="000000"/>
                <w:sz w:val="18"/>
                <w:szCs w:val="18"/>
                <w:lang w:eastAsia="cs-CZ" w:bidi="ar-SA"/>
              </w:rPr>
              <w:t>Minimální mzda [Kč/měsíc]</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8 000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8 500</w:t>
            </w:r>
          </w:p>
        </w:tc>
        <w:tc>
          <w:tcPr>
            <w:tcW w:w="820" w:type="dxa"/>
            <w:tcBorders>
              <w:top w:val="single" w:sz="4" w:space="0" w:color="808080"/>
              <w:left w:val="nil"/>
              <w:bottom w:val="single" w:sz="4" w:space="0" w:color="808080"/>
              <w:right w:val="single" w:sz="4" w:space="0" w:color="808080"/>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8 500</w:t>
            </w:r>
          </w:p>
        </w:tc>
        <w:tc>
          <w:tcPr>
            <w:tcW w:w="700" w:type="dxa"/>
            <w:tcBorders>
              <w:top w:val="single" w:sz="4" w:space="0" w:color="808080"/>
              <w:left w:val="nil"/>
              <w:bottom w:val="single" w:sz="4" w:space="0" w:color="808080"/>
              <w:right w:val="nil"/>
            </w:tcBorders>
            <w:shd w:val="clear" w:color="auto" w:fill="auto"/>
            <w:noWrap/>
            <w:vAlign w:val="bottom"/>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9 200</w:t>
            </w:r>
          </w:p>
        </w:tc>
      </w:tr>
      <w:tr w:rsidR="00A441B3" w:rsidRPr="005A4D0D" w:rsidTr="00A441B3">
        <w:trPr>
          <w:trHeight w:val="559"/>
        </w:trPr>
        <w:tc>
          <w:tcPr>
            <w:tcW w:w="260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left"/>
              <w:rPr>
                <w:rFonts w:cs="Arial"/>
                <w:color w:val="000000"/>
                <w:sz w:val="18"/>
                <w:szCs w:val="18"/>
                <w:lang w:eastAsia="cs-CZ" w:bidi="ar-SA"/>
              </w:rPr>
            </w:pPr>
            <w:r w:rsidRPr="005A4D0D">
              <w:rPr>
                <w:rFonts w:cs="Arial"/>
                <w:color w:val="000000"/>
                <w:sz w:val="18"/>
                <w:szCs w:val="18"/>
                <w:lang w:eastAsia="cs-CZ" w:bidi="ar-SA"/>
              </w:rPr>
              <w:t>Průměrná nominální mzda</w:t>
            </w:r>
            <w:r w:rsidRPr="005A4D0D">
              <w:rPr>
                <w:rFonts w:cs="Arial"/>
                <w:color w:val="000000"/>
                <w:sz w:val="18"/>
                <w:szCs w:val="18"/>
                <w:lang w:eastAsia="cs-CZ" w:bidi="ar-SA"/>
              </w:rPr>
              <w:br/>
              <w:t>v ČR [Kč/měsíc]</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20 957</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22 592</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23 344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23 864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24 455</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25 067</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25 078</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25 686</w:t>
            </w:r>
          </w:p>
        </w:tc>
        <w:tc>
          <w:tcPr>
            <w:tcW w:w="700" w:type="dxa"/>
            <w:tcBorders>
              <w:top w:val="nil"/>
              <w:left w:val="nil"/>
              <w:bottom w:val="single" w:sz="4" w:space="0" w:color="808080"/>
              <w:right w:val="nil"/>
            </w:tcBorders>
            <w:shd w:val="clear" w:color="auto" w:fill="auto"/>
            <w:vAlign w:val="center"/>
            <w:hideMark/>
          </w:tcPr>
          <w:p w:rsidR="00A441B3" w:rsidRPr="005A4D0D" w:rsidRDefault="00352775" w:rsidP="00A441B3">
            <w:pPr>
              <w:keepNext/>
              <w:keepLines/>
              <w:spacing w:before="0" w:after="0"/>
              <w:jc w:val="right"/>
              <w:rPr>
                <w:rFonts w:cs="Arial"/>
                <w:b/>
                <w:bCs/>
                <w:color w:val="000000"/>
                <w:sz w:val="20"/>
                <w:szCs w:val="20"/>
                <w:lang w:eastAsia="cs-CZ" w:bidi="ar-SA"/>
              </w:rPr>
            </w:pPr>
            <w:r>
              <w:rPr>
                <w:rFonts w:cs="Arial"/>
                <w:b/>
                <w:bCs/>
                <w:color w:val="000000"/>
                <w:sz w:val="20"/>
                <w:szCs w:val="20"/>
                <w:lang w:eastAsia="cs-CZ" w:bidi="ar-SA"/>
              </w:rPr>
              <w:t>-</w:t>
            </w:r>
            <w:r w:rsidR="00A441B3" w:rsidRPr="005A4D0D">
              <w:rPr>
                <w:rFonts w:cs="Arial"/>
                <w:b/>
                <w:bCs/>
                <w:color w:val="000000"/>
                <w:sz w:val="20"/>
                <w:szCs w:val="20"/>
                <w:lang w:eastAsia="cs-CZ" w:bidi="ar-SA"/>
              </w:rPr>
              <w:t> </w:t>
            </w:r>
          </w:p>
        </w:tc>
      </w:tr>
      <w:tr w:rsidR="00A441B3" w:rsidRPr="005A4D0D" w:rsidTr="00A441B3">
        <w:trPr>
          <w:trHeight w:val="559"/>
        </w:trPr>
        <w:tc>
          <w:tcPr>
            <w:tcW w:w="260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left"/>
              <w:rPr>
                <w:rFonts w:cs="Arial"/>
                <w:color w:val="000000"/>
                <w:sz w:val="18"/>
                <w:szCs w:val="18"/>
                <w:lang w:eastAsia="cs-CZ" w:bidi="ar-SA"/>
              </w:rPr>
            </w:pPr>
            <w:r w:rsidRPr="005A4D0D">
              <w:rPr>
                <w:rFonts w:cs="Arial"/>
                <w:color w:val="000000"/>
                <w:sz w:val="18"/>
                <w:szCs w:val="18"/>
                <w:lang w:eastAsia="cs-CZ" w:bidi="ar-SA"/>
              </w:rPr>
              <w:t>Podíl minimální mzdy</w:t>
            </w:r>
            <w:r w:rsidRPr="005A4D0D">
              <w:rPr>
                <w:rFonts w:cs="Arial"/>
                <w:color w:val="000000"/>
                <w:sz w:val="18"/>
                <w:szCs w:val="18"/>
                <w:lang w:eastAsia="cs-CZ" w:bidi="ar-SA"/>
              </w:rPr>
              <w:br/>
              <w:t>na průměrné mzdě</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38,2</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35,4</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34,3</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33,5</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32,7</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31,9</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33,9</w:t>
            </w:r>
          </w:p>
        </w:tc>
        <w:tc>
          <w:tcPr>
            <w:tcW w:w="820" w:type="dxa"/>
            <w:tcBorders>
              <w:top w:val="nil"/>
              <w:left w:val="nil"/>
              <w:bottom w:val="single" w:sz="4" w:space="0" w:color="808080"/>
              <w:right w:val="single" w:sz="4" w:space="0" w:color="808080"/>
            </w:tcBorders>
            <w:shd w:val="clear" w:color="auto" w:fill="auto"/>
            <w:noWrap/>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33,1</w:t>
            </w:r>
          </w:p>
        </w:tc>
        <w:tc>
          <w:tcPr>
            <w:tcW w:w="700" w:type="dxa"/>
            <w:tcBorders>
              <w:top w:val="nil"/>
              <w:left w:val="nil"/>
              <w:bottom w:val="single" w:sz="4" w:space="0" w:color="808080"/>
              <w:right w:val="nil"/>
            </w:tcBorders>
            <w:shd w:val="clear" w:color="auto" w:fill="auto"/>
            <w:vAlign w:val="center"/>
            <w:hideMark/>
          </w:tcPr>
          <w:p w:rsidR="00A441B3" w:rsidRPr="005A4D0D" w:rsidRDefault="00A441B3" w:rsidP="00A441B3">
            <w:pPr>
              <w:keepNext/>
              <w:keepLines/>
              <w:spacing w:before="0" w:after="0"/>
              <w:jc w:val="right"/>
              <w:rPr>
                <w:rFonts w:cs="Arial"/>
                <w:b/>
                <w:bCs/>
                <w:color w:val="000000"/>
                <w:sz w:val="20"/>
                <w:szCs w:val="20"/>
                <w:lang w:eastAsia="cs-CZ" w:bidi="ar-SA"/>
              </w:rPr>
            </w:pPr>
            <w:r w:rsidRPr="005A4D0D">
              <w:rPr>
                <w:rFonts w:cs="Arial"/>
                <w:b/>
                <w:bCs/>
                <w:color w:val="000000"/>
                <w:sz w:val="20"/>
                <w:szCs w:val="20"/>
                <w:lang w:eastAsia="cs-CZ" w:bidi="ar-SA"/>
              </w:rPr>
              <w:t> </w:t>
            </w:r>
            <w:r w:rsidR="00352775">
              <w:rPr>
                <w:rFonts w:cs="Arial"/>
                <w:b/>
                <w:bCs/>
                <w:color w:val="000000"/>
                <w:sz w:val="20"/>
                <w:szCs w:val="20"/>
                <w:lang w:eastAsia="cs-CZ" w:bidi="ar-SA"/>
              </w:rPr>
              <w:t>-</w:t>
            </w:r>
          </w:p>
        </w:tc>
      </w:tr>
      <w:tr w:rsidR="00A441B3" w:rsidRPr="005A4D0D" w:rsidTr="00A441B3">
        <w:trPr>
          <w:trHeight w:val="559"/>
        </w:trPr>
        <w:tc>
          <w:tcPr>
            <w:tcW w:w="2600" w:type="dxa"/>
            <w:tcBorders>
              <w:top w:val="nil"/>
              <w:left w:val="nil"/>
              <w:bottom w:val="single" w:sz="4" w:space="0" w:color="808080"/>
              <w:right w:val="single" w:sz="4" w:space="0" w:color="808080"/>
            </w:tcBorders>
            <w:shd w:val="clear" w:color="auto" w:fill="auto"/>
            <w:vAlign w:val="center"/>
            <w:hideMark/>
          </w:tcPr>
          <w:p w:rsidR="00A441B3" w:rsidRPr="005A4D0D" w:rsidRDefault="002850D6" w:rsidP="00A441B3">
            <w:pPr>
              <w:keepNext/>
              <w:keepLines/>
              <w:spacing w:before="0" w:after="0"/>
              <w:jc w:val="left"/>
              <w:rPr>
                <w:rFonts w:cs="Arial"/>
                <w:color w:val="000000"/>
                <w:sz w:val="18"/>
                <w:szCs w:val="18"/>
                <w:lang w:eastAsia="cs-CZ" w:bidi="ar-SA"/>
              </w:rPr>
            </w:pPr>
            <w:r>
              <w:rPr>
                <w:rFonts w:cs="Arial"/>
                <w:color w:val="000000"/>
                <w:sz w:val="18"/>
                <w:szCs w:val="18"/>
                <w:lang w:eastAsia="cs-CZ" w:bidi="ar-SA"/>
              </w:rPr>
              <w:t>Počet PKS [%</w:t>
            </w:r>
            <w:r w:rsidR="00A441B3" w:rsidRPr="005A4D0D">
              <w:rPr>
                <w:rFonts w:cs="Arial"/>
                <w:color w:val="000000"/>
                <w:sz w:val="18"/>
                <w:szCs w:val="18"/>
                <w:lang w:eastAsia="cs-CZ" w:bidi="ar-SA"/>
              </w:rPr>
              <w:t>] obsahujících</w:t>
            </w:r>
            <w:r w:rsidR="00A441B3" w:rsidRPr="005A4D0D">
              <w:rPr>
                <w:rFonts w:cs="Arial"/>
                <w:color w:val="000000"/>
                <w:sz w:val="18"/>
                <w:szCs w:val="18"/>
                <w:lang w:eastAsia="cs-CZ" w:bidi="ar-SA"/>
              </w:rPr>
              <w:br/>
              <w:t>ustanovení o mzdovém vývoji</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66,4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74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56,2</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42,4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56,1</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59,7</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59,4</w:t>
            </w:r>
          </w:p>
        </w:tc>
        <w:tc>
          <w:tcPr>
            <w:tcW w:w="820" w:type="dxa"/>
            <w:tcBorders>
              <w:top w:val="nil"/>
              <w:left w:val="nil"/>
              <w:bottom w:val="single" w:sz="4" w:space="0" w:color="808080"/>
              <w:right w:val="single" w:sz="4" w:space="0" w:color="808080"/>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57,7</w:t>
            </w:r>
          </w:p>
        </w:tc>
        <w:tc>
          <w:tcPr>
            <w:tcW w:w="700" w:type="dxa"/>
            <w:tcBorders>
              <w:top w:val="nil"/>
              <w:left w:val="nil"/>
              <w:bottom w:val="single" w:sz="4" w:space="0" w:color="808080"/>
              <w:right w:val="nil"/>
            </w:tcBorders>
            <w:shd w:val="clear" w:color="auto" w:fill="auto"/>
            <w:vAlign w:val="center"/>
            <w:hideMark/>
          </w:tcPr>
          <w:p w:rsidR="00A441B3" w:rsidRPr="005A4D0D" w:rsidRDefault="00A441B3" w:rsidP="00A441B3">
            <w:pPr>
              <w:keepNext/>
              <w:keepLines/>
              <w:spacing w:before="0" w:after="0"/>
              <w:jc w:val="right"/>
              <w:rPr>
                <w:rFonts w:cs="Arial"/>
                <w:color w:val="000000"/>
                <w:sz w:val="20"/>
                <w:szCs w:val="20"/>
                <w:lang w:eastAsia="cs-CZ" w:bidi="ar-SA"/>
              </w:rPr>
            </w:pPr>
            <w:r w:rsidRPr="005A4D0D">
              <w:rPr>
                <w:rFonts w:cs="Arial"/>
                <w:color w:val="000000"/>
                <w:sz w:val="20"/>
                <w:szCs w:val="20"/>
                <w:lang w:eastAsia="cs-CZ" w:bidi="ar-SA"/>
              </w:rPr>
              <w:t>61,2</w:t>
            </w:r>
          </w:p>
        </w:tc>
      </w:tr>
      <w:tr w:rsidR="00A441B3" w:rsidRPr="005A4D0D" w:rsidTr="00A441B3">
        <w:trPr>
          <w:trHeight w:val="799"/>
        </w:trPr>
        <w:tc>
          <w:tcPr>
            <w:tcW w:w="2600" w:type="dxa"/>
            <w:tcBorders>
              <w:top w:val="nil"/>
              <w:left w:val="nil"/>
              <w:bottom w:val="nil"/>
              <w:right w:val="single" w:sz="4" w:space="0" w:color="808080"/>
            </w:tcBorders>
            <w:shd w:val="clear" w:color="auto" w:fill="auto"/>
            <w:vAlign w:val="center"/>
            <w:hideMark/>
          </w:tcPr>
          <w:p w:rsidR="00A441B3" w:rsidRPr="005A4D0D" w:rsidRDefault="002850D6" w:rsidP="00A441B3">
            <w:pPr>
              <w:keepLines/>
              <w:spacing w:before="0" w:after="0"/>
              <w:jc w:val="left"/>
              <w:rPr>
                <w:rFonts w:cs="Arial"/>
                <w:color w:val="000000"/>
                <w:sz w:val="18"/>
                <w:szCs w:val="18"/>
                <w:lang w:eastAsia="cs-CZ" w:bidi="ar-SA"/>
              </w:rPr>
            </w:pPr>
            <w:r>
              <w:rPr>
                <w:rFonts w:cs="Arial"/>
                <w:color w:val="000000"/>
                <w:sz w:val="18"/>
                <w:szCs w:val="18"/>
                <w:lang w:eastAsia="cs-CZ" w:bidi="ar-SA"/>
              </w:rPr>
              <w:t>Počet PKS [%</w:t>
            </w:r>
            <w:r w:rsidR="00A441B3" w:rsidRPr="005A4D0D">
              <w:rPr>
                <w:rFonts w:cs="Arial"/>
                <w:color w:val="000000"/>
                <w:sz w:val="18"/>
                <w:szCs w:val="18"/>
                <w:lang w:eastAsia="cs-CZ" w:bidi="ar-SA"/>
              </w:rPr>
              <w:t>], ve kterých</w:t>
            </w:r>
            <w:r w:rsidR="00A441B3" w:rsidRPr="005A4D0D">
              <w:rPr>
                <w:rFonts w:cs="Arial"/>
                <w:color w:val="000000"/>
                <w:sz w:val="18"/>
                <w:szCs w:val="18"/>
                <w:lang w:eastAsia="cs-CZ" w:bidi="ar-SA"/>
              </w:rPr>
              <w:br/>
              <w:t>je sjednána vyšší</w:t>
            </w:r>
            <w:r w:rsidR="00A441B3" w:rsidRPr="005A4D0D">
              <w:rPr>
                <w:rFonts w:cs="Arial"/>
                <w:color w:val="000000"/>
                <w:sz w:val="18"/>
                <w:szCs w:val="18"/>
                <w:lang w:eastAsia="cs-CZ" w:bidi="ar-SA"/>
              </w:rPr>
              <w:br/>
              <w:t>měsíční minimální mzda</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4,2</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5,7</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7,6</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8,1</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9,5</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8,5</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12,1</w:t>
            </w:r>
          </w:p>
        </w:tc>
        <w:tc>
          <w:tcPr>
            <w:tcW w:w="820" w:type="dxa"/>
            <w:tcBorders>
              <w:top w:val="nil"/>
              <w:left w:val="nil"/>
              <w:bottom w:val="nil"/>
              <w:right w:val="single" w:sz="4" w:space="0" w:color="808080"/>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12</w:t>
            </w:r>
          </w:p>
        </w:tc>
        <w:tc>
          <w:tcPr>
            <w:tcW w:w="700" w:type="dxa"/>
            <w:tcBorders>
              <w:top w:val="nil"/>
              <w:left w:val="nil"/>
              <w:bottom w:val="nil"/>
              <w:right w:val="nil"/>
            </w:tcBorders>
            <w:shd w:val="clear" w:color="auto" w:fill="auto"/>
            <w:vAlign w:val="center"/>
            <w:hideMark/>
          </w:tcPr>
          <w:p w:rsidR="00A441B3" w:rsidRPr="005A4D0D" w:rsidRDefault="00A441B3" w:rsidP="00A441B3">
            <w:pPr>
              <w:keepLines/>
              <w:spacing w:before="0" w:after="0"/>
              <w:jc w:val="right"/>
              <w:rPr>
                <w:rFonts w:cs="Arial"/>
                <w:color w:val="000000"/>
                <w:sz w:val="20"/>
                <w:szCs w:val="20"/>
                <w:lang w:eastAsia="cs-CZ" w:bidi="ar-SA"/>
              </w:rPr>
            </w:pPr>
            <w:r w:rsidRPr="005A4D0D">
              <w:rPr>
                <w:rFonts w:cs="Arial"/>
                <w:color w:val="000000"/>
                <w:sz w:val="20"/>
                <w:szCs w:val="20"/>
                <w:lang w:eastAsia="cs-CZ" w:bidi="ar-SA"/>
              </w:rPr>
              <w:t>9,1</w:t>
            </w:r>
          </w:p>
        </w:tc>
      </w:tr>
    </w:tbl>
    <w:p w:rsidR="00E7099F" w:rsidRPr="00DD08A6" w:rsidRDefault="002850D6" w:rsidP="00E7099F">
      <w:pPr>
        <w:spacing w:before="0" w:after="0"/>
        <w:rPr>
          <w:sz w:val="20"/>
          <w:szCs w:val="20"/>
          <w:lang w:eastAsia="cs-CZ"/>
        </w:rPr>
      </w:pPr>
      <w:r>
        <w:rPr>
          <w:sz w:val="20"/>
          <w:szCs w:val="20"/>
          <w:lang w:eastAsia="cs-CZ"/>
        </w:rPr>
        <w:t xml:space="preserve">Pozn.: Zkratka </w:t>
      </w:r>
      <w:r w:rsidR="00E7099F" w:rsidRPr="00DD08A6">
        <w:rPr>
          <w:sz w:val="20"/>
          <w:szCs w:val="20"/>
          <w:lang w:eastAsia="cs-CZ"/>
        </w:rPr>
        <w:t xml:space="preserve">PKS </w:t>
      </w:r>
      <w:r>
        <w:rPr>
          <w:sz w:val="20"/>
          <w:szCs w:val="20"/>
          <w:lang w:eastAsia="cs-CZ"/>
        </w:rPr>
        <w:t>znamená</w:t>
      </w:r>
      <w:r w:rsidR="00E7099F">
        <w:rPr>
          <w:sz w:val="20"/>
          <w:szCs w:val="20"/>
          <w:lang w:eastAsia="cs-CZ"/>
        </w:rPr>
        <w:t xml:space="preserve"> </w:t>
      </w:r>
      <w:r w:rsidR="00E7099F" w:rsidRPr="00DD08A6">
        <w:rPr>
          <w:sz w:val="20"/>
          <w:szCs w:val="20"/>
          <w:lang w:eastAsia="cs-CZ"/>
        </w:rPr>
        <w:t>podnikov</w:t>
      </w:r>
      <w:r>
        <w:rPr>
          <w:sz w:val="20"/>
          <w:szCs w:val="20"/>
          <w:lang w:eastAsia="cs-CZ"/>
        </w:rPr>
        <w:t>ou</w:t>
      </w:r>
      <w:r w:rsidR="00E7099F" w:rsidRPr="00DD08A6">
        <w:rPr>
          <w:sz w:val="20"/>
          <w:szCs w:val="20"/>
          <w:lang w:eastAsia="cs-CZ"/>
        </w:rPr>
        <w:t xml:space="preserve"> kolektivní smlouv</w:t>
      </w:r>
      <w:r>
        <w:rPr>
          <w:sz w:val="20"/>
          <w:szCs w:val="20"/>
          <w:lang w:eastAsia="cs-CZ"/>
        </w:rPr>
        <w:t>u.</w:t>
      </w:r>
    </w:p>
    <w:p w:rsidR="00E7099F" w:rsidRDefault="00E7099F" w:rsidP="00E7099F">
      <w:pPr>
        <w:spacing w:before="0" w:after="480"/>
        <w:rPr>
          <w:sz w:val="20"/>
          <w:szCs w:val="20"/>
          <w:lang w:eastAsia="cs-CZ"/>
        </w:rPr>
      </w:pPr>
      <w:r w:rsidRPr="002C4494">
        <w:rPr>
          <w:sz w:val="20"/>
          <w:szCs w:val="20"/>
          <w:lang w:eastAsia="cs-CZ"/>
        </w:rPr>
        <w:t>Zdroj:</w:t>
      </w:r>
      <w:r>
        <w:rPr>
          <w:sz w:val="20"/>
          <w:szCs w:val="20"/>
          <w:lang w:eastAsia="cs-CZ"/>
        </w:rPr>
        <w:t xml:space="preserve"> Informace o pracovních podmínkách (IPP).</w:t>
      </w:r>
    </w:p>
    <w:p w:rsidR="00E7099F" w:rsidRPr="00506F73" w:rsidRDefault="00E7099F" w:rsidP="00E7099F">
      <w:pPr>
        <w:rPr>
          <w:lang w:eastAsia="cs-CZ"/>
        </w:rPr>
      </w:pPr>
      <w:r>
        <w:rPr>
          <w:lang w:eastAsia="cs-CZ"/>
        </w:rPr>
        <w:t xml:space="preserve">Ve srovnání s ostatními evropskými zeměmi patří </w:t>
      </w:r>
      <w:r w:rsidRPr="002850D6">
        <w:rPr>
          <w:b/>
          <w:lang w:eastAsia="cs-CZ"/>
        </w:rPr>
        <w:t>ČR</w:t>
      </w:r>
      <w:r>
        <w:rPr>
          <w:lang w:eastAsia="cs-CZ"/>
        </w:rPr>
        <w:t xml:space="preserve"> k zemím se </w:t>
      </w:r>
      <w:r w:rsidRPr="002850D6">
        <w:rPr>
          <w:b/>
          <w:lang w:eastAsia="cs-CZ"/>
        </w:rPr>
        <w:t>střední úrovní centralizace</w:t>
      </w:r>
      <w:r>
        <w:rPr>
          <w:lang w:eastAsia="cs-CZ"/>
        </w:rPr>
        <w:t xml:space="preserve"> a </w:t>
      </w:r>
      <w:r w:rsidRPr="002850D6">
        <w:rPr>
          <w:b/>
          <w:lang w:eastAsia="cs-CZ"/>
        </w:rPr>
        <w:t>nízkou úrovní koordinace kolektivního vyjednávání o mzdách</w:t>
      </w:r>
      <w:r>
        <w:rPr>
          <w:rStyle w:val="Znakapoznpodarou"/>
          <w:lang w:eastAsia="cs-CZ"/>
        </w:rPr>
        <w:footnoteReference w:id="4"/>
      </w:r>
      <w:r>
        <w:rPr>
          <w:lang w:eastAsia="cs-CZ"/>
        </w:rPr>
        <w:t>. Kolektivní vyjednávání probíhá převážně na firemní úrovni, ale konzultace a jednání ke stanovení minimální mzdy probíhají na centrální úrovni. Stanovení minimální mzdy vychází ze souhrnných ukazatelů za celou ČR. Současné tempo růstu minimální mzdy klade vyšší nároky na koordinaci nejenom při vyjednávání o zvýšení minimální mzdy, ale i při reakci firem na novou úroveň minimální mzdy. Dalším podstatným zdrojem informací o</w:t>
      </w:r>
      <w:r w:rsidR="00442E3A">
        <w:rPr>
          <w:lang w:eastAsia="cs-CZ"/>
        </w:rPr>
        <w:t> </w:t>
      </w:r>
      <w:r>
        <w:rPr>
          <w:lang w:eastAsia="cs-CZ"/>
        </w:rPr>
        <w:t xml:space="preserve">dopadech zvýšení minimální mzdy jsou počty nízkovýdělkových zaměstnanců, počty zaměstnanců na úrovni minimální mzdy a údaje o struktuře těchto zaměstnanců podle osobnostních nebo firemních charakteristik. </w:t>
      </w:r>
      <w:r w:rsidR="00235816">
        <w:fldChar w:fldCharType="begin"/>
      </w:r>
      <w:r w:rsidR="00235816">
        <w:instrText xml:space="preserve"> REF _Ref436082394 \h  \* MERGEFORMAT </w:instrText>
      </w:r>
      <w:r w:rsidR="00235816">
        <w:fldChar w:fldCharType="separate"/>
      </w:r>
      <w:r w:rsidR="00001D4C" w:rsidRPr="00001D4C">
        <w:rPr>
          <w:rFonts w:cs="Arial"/>
          <w:bCs/>
          <w:lang w:eastAsia="cs-CZ" w:bidi="ar-SA"/>
        </w:rPr>
        <w:t xml:space="preserve">Tabulka </w:t>
      </w:r>
      <w:r w:rsidR="00001D4C" w:rsidRPr="00001D4C">
        <w:rPr>
          <w:rFonts w:cs="Arial"/>
          <w:bCs/>
          <w:noProof/>
          <w:lang w:eastAsia="cs-CZ" w:bidi="ar-SA"/>
        </w:rPr>
        <w:t>11</w:t>
      </w:r>
      <w:r w:rsidR="00235816">
        <w:fldChar w:fldCharType="end"/>
      </w:r>
      <w:r>
        <w:rPr>
          <w:lang w:eastAsia="cs-CZ"/>
        </w:rPr>
        <w:t xml:space="preserve"> </w:t>
      </w:r>
      <w:r w:rsidRPr="00E7099F">
        <w:rPr>
          <w:lang w:eastAsia="cs-CZ"/>
        </w:rPr>
        <w:t>i</w:t>
      </w:r>
      <w:r>
        <w:rPr>
          <w:lang w:eastAsia="cs-CZ"/>
        </w:rPr>
        <w:t xml:space="preserve">nformuje o celkovém počtu zaměstnanců s výdělkem na úrovni minimální mzdy, ale i o struktuře zaměstnanců na minimální mzdě v podnikatelské a nepodnikatelské sféře a podle sekcí CZ-NACE. Ukazuje se, že </w:t>
      </w:r>
      <w:r w:rsidR="002850D6">
        <w:rPr>
          <w:lang w:eastAsia="cs-CZ"/>
        </w:rPr>
        <w:t xml:space="preserve">otázka </w:t>
      </w:r>
      <w:r>
        <w:rPr>
          <w:lang w:eastAsia="cs-CZ"/>
        </w:rPr>
        <w:t xml:space="preserve">zaměstnanců </w:t>
      </w:r>
      <w:r w:rsidR="002850D6">
        <w:rPr>
          <w:lang w:eastAsia="cs-CZ"/>
        </w:rPr>
        <w:t>odměňovaných na úrovni</w:t>
      </w:r>
      <w:r>
        <w:rPr>
          <w:lang w:eastAsia="cs-CZ"/>
        </w:rPr>
        <w:t xml:space="preserve"> minimální mzd</w:t>
      </w:r>
      <w:r w:rsidR="002850D6">
        <w:rPr>
          <w:lang w:eastAsia="cs-CZ"/>
        </w:rPr>
        <w:t>y</w:t>
      </w:r>
      <w:r>
        <w:rPr>
          <w:lang w:eastAsia="cs-CZ"/>
        </w:rPr>
        <w:t xml:space="preserve"> je téměř z</w:t>
      </w:r>
      <w:r w:rsidR="002850D6">
        <w:rPr>
          <w:lang w:eastAsia="cs-CZ"/>
        </w:rPr>
        <w:t> </w:t>
      </w:r>
      <w:r>
        <w:rPr>
          <w:lang w:eastAsia="cs-CZ"/>
        </w:rPr>
        <w:t>94</w:t>
      </w:r>
      <w:r w:rsidR="002850D6">
        <w:rPr>
          <w:lang w:eastAsia="cs-CZ"/>
        </w:rPr>
        <w:t xml:space="preserve"> </w:t>
      </w:r>
      <w:r>
        <w:rPr>
          <w:lang w:eastAsia="cs-CZ"/>
        </w:rPr>
        <w:t>% zá</w:t>
      </w:r>
      <w:r w:rsidR="002850D6">
        <w:rPr>
          <w:lang w:eastAsia="cs-CZ"/>
        </w:rPr>
        <w:t xml:space="preserve">ležitostí podnikatelské sféry. </w:t>
      </w:r>
      <w:r>
        <w:rPr>
          <w:lang w:eastAsia="cs-CZ"/>
        </w:rPr>
        <w:t xml:space="preserve">Největší podíl zaměstnanců na minimální mzdě byl v roce 2013 v odvětví administrativních a podpůrných činností – </w:t>
      </w:r>
      <w:r w:rsidR="00C52F5A">
        <w:rPr>
          <w:lang w:eastAsia="cs-CZ"/>
        </w:rPr>
        <w:t>j</w:t>
      </w:r>
      <w:r w:rsidRPr="005D0842">
        <w:t>sou to převážně zaměstnanci z</w:t>
      </w:r>
      <w:r w:rsidR="00442E3A">
        <w:t> </w:t>
      </w:r>
      <w:r w:rsidRPr="005D0842">
        <w:t>bezpečnostních agentur, úklidových služeb a pracovních agentur</w:t>
      </w:r>
      <w:r>
        <w:t xml:space="preserve">. Za pozornost stojí dále odvětví </w:t>
      </w:r>
      <w:r w:rsidRPr="00506F73">
        <w:t>ubytování, stravování a pohostinství</w:t>
      </w:r>
      <w:r>
        <w:t>, v němž více než 71</w:t>
      </w:r>
      <w:r w:rsidR="00801865">
        <w:t xml:space="preserve"> </w:t>
      </w:r>
      <w:r>
        <w:t xml:space="preserve">% zaměstnanců patří do kategorie nízkovýdělkových se mzdou </w:t>
      </w:r>
      <w:r w:rsidRPr="005D0842">
        <w:t>menší než 2/3 m</w:t>
      </w:r>
      <w:r>
        <w:t>ediánu měsíčního výdělku v ČR.</w:t>
      </w:r>
      <w:r w:rsidRPr="00506F73">
        <w:rPr>
          <w:lang w:eastAsia="cs-CZ"/>
        </w:rPr>
        <w:t xml:space="preserve"> </w:t>
      </w:r>
      <w:r>
        <w:rPr>
          <w:lang w:eastAsia="cs-CZ"/>
        </w:rPr>
        <w:t xml:space="preserve">Počty zaměstnanců na minimální mzdě umožňují </w:t>
      </w:r>
      <w:r w:rsidR="00801865">
        <w:rPr>
          <w:lang w:eastAsia="cs-CZ"/>
        </w:rPr>
        <w:t xml:space="preserve">mj. </w:t>
      </w:r>
      <w:r>
        <w:rPr>
          <w:lang w:eastAsia="cs-CZ"/>
        </w:rPr>
        <w:t>odhadnout náklady a výnosy zvýšení minimální mzdy.</w:t>
      </w:r>
      <w:r w:rsidRPr="00506F73">
        <w:rPr>
          <w:lang w:eastAsia="cs-CZ"/>
        </w:rPr>
        <w:t xml:space="preserve"> </w:t>
      </w:r>
    </w:p>
    <w:p w:rsidR="00A441B3" w:rsidRDefault="00A441B3" w:rsidP="00A441B3">
      <w:pPr>
        <w:spacing w:before="0" w:after="0"/>
        <w:rPr>
          <w:sz w:val="20"/>
          <w:szCs w:val="20"/>
          <w:lang w:eastAsia="cs-CZ"/>
        </w:rPr>
      </w:pPr>
    </w:p>
    <w:p w:rsidR="00E7099F" w:rsidRDefault="00E7099F" w:rsidP="00A441B3">
      <w:pPr>
        <w:spacing w:before="0" w:after="0"/>
        <w:rPr>
          <w:sz w:val="20"/>
          <w:szCs w:val="20"/>
          <w:lang w:eastAsia="cs-CZ"/>
        </w:rPr>
      </w:pPr>
    </w:p>
    <w:p w:rsidR="00E7099F" w:rsidRPr="00B414DF" w:rsidRDefault="00E7099F" w:rsidP="00A441B3">
      <w:pPr>
        <w:spacing w:before="0" w:after="0"/>
        <w:rPr>
          <w:sz w:val="20"/>
          <w:szCs w:val="20"/>
          <w:lang w:eastAsia="cs-CZ"/>
        </w:rPr>
      </w:pPr>
    </w:p>
    <w:p w:rsidR="00CF293B" w:rsidRPr="005A4D0D" w:rsidRDefault="00CF293B" w:rsidP="00CF293B">
      <w:pPr>
        <w:keepNext/>
        <w:jc w:val="left"/>
        <w:rPr>
          <w:rFonts w:cs="Arial"/>
          <w:bCs/>
          <w:sz w:val="22"/>
          <w:szCs w:val="22"/>
          <w:lang w:eastAsia="cs-CZ" w:bidi="ar-SA"/>
        </w:rPr>
      </w:pPr>
      <w:bookmarkStart w:id="21" w:name="_Ref436082394"/>
      <w:r w:rsidRPr="005A4D0D">
        <w:rPr>
          <w:rFonts w:cs="Arial"/>
          <w:bCs/>
          <w:i/>
          <w:sz w:val="22"/>
          <w:szCs w:val="22"/>
          <w:lang w:eastAsia="cs-CZ" w:bidi="ar-SA"/>
        </w:rPr>
        <w:lastRenderedPageBreak/>
        <w:t xml:space="preserve">Tabulka </w:t>
      </w:r>
      <w:r w:rsidR="008A3262" w:rsidRPr="005A4D0D">
        <w:rPr>
          <w:rFonts w:cs="Arial"/>
          <w:bCs/>
          <w:i/>
          <w:sz w:val="22"/>
          <w:szCs w:val="22"/>
          <w:lang w:eastAsia="cs-CZ" w:bidi="ar-SA"/>
        </w:rPr>
        <w:fldChar w:fldCharType="begin"/>
      </w:r>
      <w:r w:rsidRPr="005A4D0D">
        <w:rPr>
          <w:rFonts w:cs="Arial"/>
          <w:bCs/>
          <w:i/>
          <w:sz w:val="22"/>
          <w:szCs w:val="22"/>
          <w:lang w:eastAsia="cs-CZ" w:bidi="ar-SA"/>
        </w:rPr>
        <w:instrText xml:space="preserve"> SEQ Tabulka \* ARABIC </w:instrText>
      </w:r>
      <w:r w:rsidR="008A3262" w:rsidRPr="005A4D0D">
        <w:rPr>
          <w:rFonts w:cs="Arial"/>
          <w:bCs/>
          <w:i/>
          <w:sz w:val="22"/>
          <w:szCs w:val="22"/>
          <w:lang w:eastAsia="cs-CZ" w:bidi="ar-SA"/>
        </w:rPr>
        <w:fldChar w:fldCharType="separate"/>
      </w:r>
      <w:r w:rsidR="00001D4C">
        <w:rPr>
          <w:rFonts w:cs="Arial"/>
          <w:bCs/>
          <w:i/>
          <w:noProof/>
          <w:sz w:val="22"/>
          <w:szCs w:val="22"/>
          <w:lang w:eastAsia="cs-CZ" w:bidi="ar-SA"/>
        </w:rPr>
        <w:t>11</w:t>
      </w:r>
      <w:r w:rsidR="008A3262" w:rsidRPr="005A4D0D">
        <w:rPr>
          <w:rFonts w:cs="Arial"/>
          <w:bCs/>
          <w:i/>
          <w:noProof/>
          <w:sz w:val="22"/>
          <w:szCs w:val="22"/>
          <w:lang w:eastAsia="cs-CZ" w:bidi="ar-SA"/>
        </w:rPr>
        <w:fldChar w:fldCharType="end"/>
      </w:r>
      <w:bookmarkEnd w:id="21"/>
      <w:r w:rsidR="00801865">
        <w:rPr>
          <w:rFonts w:cs="Arial"/>
          <w:bCs/>
          <w:i/>
          <w:noProof/>
          <w:sz w:val="22"/>
          <w:szCs w:val="22"/>
          <w:lang w:eastAsia="cs-CZ" w:bidi="ar-SA"/>
        </w:rPr>
        <w:t>:</w:t>
      </w:r>
      <w:r w:rsidRPr="005A4D0D">
        <w:rPr>
          <w:rFonts w:cs="Arial"/>
          <w:bCs/>
          <w:i/>
          <w:sz w:val="22"/>
          <w:szCs w:val="22"/>
          <w:lang w:eastAsia="cs-CZ" w:bidi="ar-SA"/>
        </w:rPr>
        <w:t xml:space="preserve"> Struktura nízkovýdělkových zaměstnanců podle ISPV </w:t>
      </w:r>
      <w:r w:rsidR="00801865">
        <w:rPr>
          <w:rFonts w:cs="Arial"/>
          <w:bCs/>
          <w:i/>
          <w:sz w:val="22"/>
          <w:szCs w:val="22"/>
          <w:lang w:eastAsia="cs-CZ" w:bidi="ar-SA"/>
        </w:rPr>
        <w:t>v roce</w:t>
      </w:r>
      <w:r w:rsidRPr="005A4D0D">
        <w:rPr>
          <w:rFonts w:cs="Arial"/>
          <w:bCs/>
          <w:i/>
          <w:sz w:val="22"/>
          <w:szCs w:val="22"/>
          <w:lang w:eastAsia="cs-CZ" w:bidi="ar-SA"/>
        </w:rPr>
        <w:t xml:space="preserve"> 2013</w:t>
      </w:r>
    </w:p>
    <w:p w:rsidR="00CF293B" w:rsidRDefault="00CF293B" w:rsidP="00CF293B">
      <w:pPr>
        <w:rPr>
          <w:lang w:eastAsia="cs-CZ"/>
        </w:rPr>
      </w:pPr>
      <w:r w:rsidRPr="00BF45B3">
        <w:rPr>
          <w:noProof/>
          <w:lang w:eastAsia="cs-CZ" w:bidi="ar-SA"/>
        </w:rPr>
        <w:drawing>
          <wp:inline distT="0" distB="0" distL="0" distR="0">
            <wp:extent cx="6120765" cy="509143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5091430"/>
                    </a:xfrm>
                    <a:prstGeom prst="rect">
                      <a:avLst/>
                    </a:prstGeom>
                    <a:noFill/>
                    <a:ln>
                      <a:noFill/>
                    </a:ln>
                  </pic:spPr>
                </pic:pic>
              </a:graphicData>
            </a:graphic>
          </wp:inline>
        </w:drawing>
      </w:r>
    </w:p>
    <w:p w:rsidR="00CF293B" w:rsidRPr="0072268D" w:rsidRDefault="00CF293B" w:rsidP="00801865">
      <w:pPr>
        <w:pStyle w:val="Normlnweb"/>
        <w:kinsoku w:val="0"/>
        <w:overflowPunct w:val="0"/>
        <w:spacing w:before="0" w:beforeAutospacing="0" w:after="360" w:afterAutospacing="0"/>
        <w:ind w:left="709" w:hanging="709"/>
        <w:textAlignment w:val="baseline"/>
        <w:rPr>
          <w:rFonts w:ascii="Arial" w:hAnsi="Arial" w:cs="Arial"/>
          <w:sz w:val="20"/>
          <w:szCs w:val="20"/>
        </w:rPr>
      </w:pPr>
      <w:r w:rsidRPr="0072268D">
        <w:rPr>
          <w:rFonts w:ascii="Arial" w:hAnsi="Arial" w:cs="Arial"/>
          <w:sz w:val="20"/>
          <w:szCs w:val="20"/>
        </w:rPr>
        <w:t>Zdroj:</w:t>
      </w:r>
      <w:r w:rsidRPr="0072268D">
        <w:rPr>
          <w:rFonts w:ascii="Arial" w:hAnsi="Arial" w:cs="Arial"/>
          <w:sz w:val="20"/>
          <w:szCs w:val="20"/>
        </w:rPr>
        <w:tab/>
        <w:t xml:space="preserve">Certifikovaná metodika </w:t>
      </w:r>
      <w:r w:rsidRPr="0072268D">
        <w:rPr>
          <w:rFonts w:ascii="Arial" w:eastAsia="+mn-ea" w:hAnsi="Arial" w:cs="Arial"/>
          <w:bCs/>
          <w:color w:val="000000"/>
          <w:kern w:val="24"/>
          <w:sz w:val="20"/>
          <w:szCs w:val="20"/>
        </w:rPr>
        <w:t xml:space="preserve">Vliv institutu minimální mzdy na sociálně ekonomický vývoj ČR, </w:t>
      </w:r>
      <w:hyperlink r:id="rId29" w:history="1">
        <w:r w:rsidRPr="00801865">
          <w:rPr>
            <w:rStyle w:val="Hypertextovodkaz"/>
            <w:rFonts w:ascii="Arial" w:hAnsi="Arial" w:cs="Arial"/>
            <w:color w:val="auto"/>
            <w:sz w:val="20"/>
            <w:szCs w:val="20"/>
          </w:rPr>
          <w:t>http://www.mpsv.cz/files/clanky/17709/vliv_minimalni_mzdy.pdf</w:t>
        </w:r>
      </w:hyperlink>
      <w:r w:rsidRPr="00801865">
        <w:rPr>
          <w:rFonts w:ascii="Arial" w:hAnsi="Arial" w:cs="Arial"/>
          <w:sz w:val="20"/>
          <w:szCs w:val="20"/>
        </w:rPr>
        <w:t>.</w:t>
      </w:r>
    </w:p>
    <w:p w:rsidR="00CF293B" w:rsidRDefault="00CF293B" w:rsidP="00CF293B">
      <w:pPr>
        <w:pStyle w:val="Normlnweb"/>
        <w:kinsoku w:val="0"/>
        <w:overflowPunct w:val="0"/>
        <w:spacing w:before="0" w:beforeAutospacing="0" w:after="0" w:afterAutospacing="0"/>
        <w:ind w:left="709" w:hanging="709"/>
        <w:textAlignment w:val="baseline"/>
        <w:rPr>
          <w:sz w:val="18"/>
          <w:szCs w:val="18"/>
        </w:rPr>
      </w:pPr>
    </w:p>
    <w:p w:rsidR="00D9764F" w:rsidRDefault="0083391F" w:rsidP="0083391F">
      <w:pPr>
        <w:rPr>
          <w:i/>
        </w:rPr>
      </w:pPr>
      <w:r>
        <w:rPr>
          <w:lang w:eastAsia="cs-CZ"/>
        </w:rPr>
        <w:t>Výše zmíněným</w:t>
      </w:r>
      <w:r w:rsidR="00193B0D">
        <w:rPr>
          <w:lang w:eastAsia="cs-CZ"/>
        </w:rPr>
        <w:t xml:space="preserve"> </w:t>
      </w:r>
      <w:r>
        <w:rPr>
          <w:lang w:eastAsia="cs-CZ"/>
        </w:rPr>
        <w:t>vztahem</w:t>
      </w:r>
      <w:r w:rsidR="00193B0D">
        <w:rPr>
          <w:lang w:eastAsia="cs-CZ"/>
        </w:rPr>
        <w:t xml:space="preserve"> </w:t>
      </w:r>
      <w:r>
        <w:rPr>
          <w:lang w:eastAsia="cs-CZ"/>
        </w:rPr>
        <w:t>minimální mzdy a kolektivního vyjednávání se zabývá</w:t>
      </w:r>
      <w:r w:rsidR="00B860A1">
        <w:rPr>
          <w:lang w:eastAsia="cs-CZ"/>
        </w:rPr>
        <w:t xml:space="preserve"> rovněž</w:t>
      </w:r>
      <w:r>
        <w:rPr>
          <w:lang w:eastAsia="cs-CZ"/>
        </w:rPr>
        <w:t xml:space="preserve"> </w:t>
      </w:r>
      <w:r>
        <w:t>Grimshaw</w:t>
      </w:r>
      <w:r w:rsidR="00D9764F">
        <w:t xml:space="preserve"> a kol. (2014)</w:t>
      </w:r>
      <w:r>
        <w:t>, podle kterého</w:t>
      </w:r>
      <w:r w:rsidR="00D9764F">
        <w:t xml:space="preserve"> existuje v mnoha zemích silná vazba mezi zvyšováním úrovně minimální mzdy a růstem mzdových tarifů sjednávaných v kolektivních smlouvách. Tento </w:t>
      </w:r>
      <w:r w:rsidR="00D9764F" w:rsidRPr="00281659">
        <w:rPr>
          <w:b/>
        </w:rPr>
        <w:t>dominový efekt</w:t>
      </w:r>
      <w:r w:rsidR="00D9764F">
        <w:t xml:space="preserve"> (</w:t>
      </w:r>
      <w:r w:rsidR="00D9764F" w:rsidRPr="00331A15">
        <w:rPr>
          <w:i/>
        </w:rPr>
        <w:t>ripple effect</w:t>
      </w:r>
      <w:r w:rsidR="00D9764F">
        <w:t xml:space="preserve">) </w:t>
      </w:r>
      <w:r w:rsidR="00D9764F" w:rsidRPr="00281659">
        <w:rPr>
          <w:b/>
        </w:rPr>
        <w:t>spojený s růstem minimální mzdy</w:t>
      </w:r>
      <w:r w:rsidR="00D9764F">
        <w:t xml:space="preserve"> by se měl ve výsledcích kolektivního vyjednávání o mzdách projevit v ideálním případě </w:t>
      </w:r>
      <w:r w:rsidR="00D9764F" w:rsidRPr="00281659">
        <w:rPr>
          <w:b/>
        </w:rPr>
        <w:t>ve všech tarifních stupních</w:t>
      </w:r>
      <w:r w:rsidR="00D9764F">
        <w:t xml:space="preserve">. I nadále by však měly být zachovány stabilní diference mezi jednotlivými tarifními stupni, aby byly i nadále zachovány proporce mezi jednotlivými pracemi z hlediska složitosti, odpovědnosti a namáhavosti. V praxi se zvyšování minimální mzdy projevuje u všech tarifních stupňů, nicméně dominový efekt postupuje odspodu a </w:t>
      </w:r>
      <w:r w:rsidR="00D9764F" w:rsidRPr="00281659">
        <w:rPr>
          <w:b/>
        </w:rPr>
        <w:t>intenzita s rostoucími stupni většinou klesá</w:t>
      </w:r>
      <w:r w:rsidR="00D9764F">
        <w:t xml:space="preserve">. Jinými slovy dochází k vyššímu procentnímu růstu nejnižších mezd, zatímco tempo růstu nejvyšších mezd je zpravidla nejnižší. V souladu se závěry Grimshawa a kol. (2014) je i vývoj minimálních měsíčních mzdových tarifů v České republice (viz obrázek 6). V období, kdy docházelo </w:t>
      </w:r>
      <w:r w:rsidR="00D9764F" w:rsidRPr="00281659">
        <w:rPr>
          <w:b/>
        </w:rPr>
        <w:t xml:space="preserve">v České </w:t>
      </w:r>
      <w:r w:rsidR="00D9764F" w:rsidRPr="00281659">
        <w:rPr>
          <w:b/>
        </w:rPr>
        <w:lastRenderedPageBreak/>
        <w:t>republice</w:t>
      </w:r>
      <w:r w:rsidR="00D9764F">
        <w:t xml:space="preserve"> ke </w:t>
      </w:r>
      <w:r w:rsidR="00D9764F" w:rsidRPr="00281659">
        <w:rPr>
          <w:b/>
        </w:rPr>
        <w:t>zvyšování minimální mzdy</w:t>
      </w:r>
      <w:r w:rsidR="00D9764F">
        <w:t xml:space="preserve">, </w:t>
      </w:r>
      <w:r w:rsidR="00D9764F" w:rsidRPr="00281659">
        <w:rPr>
          <w:b/>
        </w:rPr>
        <w:t>rostly nejrychleji nejnižší tarifní stupně</w:t>
      </w:r>
      <w:r w:rsidR="00D9764F">
        <w:t xml:space="preserve">, zatímco nejvyšší tarifní stupně z hlediska meziročního tempa růstu zaostávaly. V období, kdy sazba minimální mzdy stagnovala, rostly rychleji vyšší tarifní stupně. Vyšší mzdový růst vyšších tarifních stupňů byl přerušen ekonomickou krizí, která přinesla dočasné zastavení mzdového růstu mezi roky 2009 a 2010. Období dlouhé stagnace minimální mzdy bylo přerušeno v roce 2013, kdy byla minimální mzda – v porovnání s předchozími lety – skokově zvýšena. V posledních letech sledovaného období byly všechny tarifní stupně zvyšovány zhruba stejným tempem, nicméně se opět začínají prosazovat tendence v podobě vyššího růstu nižších tarifních stupňů a nižšího růstu vyšších tarifních stupňů. </w:t>
      </w:r>
    </w:p>
    <w:p w:rsidR="00D9764F" w:rsidRPr="005F4640" w:rsidRDefault="00D9764F" w:rsidP="00D9764F">
      <w:pPr>
        <w:keepNext/>
        <w:spacing w:before="480"/>
        <w:rPr>
          <w:bCs/>
          <w:i/>
          <w:sz w:val="22"/>
          <w:szCs w:val="22"/>
        </w:rPr>
      </w:pPr>
      <w:r w:rsidRPr="005F4640">
        <w:rPr>
          <w:bCs/>
          <w:i/>
          <w:sz w:val="22"/>
          <w:szCs w:val="22"/>
        </w:rPr>
        <w:t xml:space="preserve">Obrázek </w:t>
      </w:r>
      <w:r w:rsidR="008A3262" w:rsidRPr="005F4640">
        <w:rPr>
          <w:bCs/>
          <w:i/>
          <w:sz w:val="22"/>
          <w:szCs w:val="22"/>
        </w:rPr>
        <w:fldChar w:fldCharType="begin"/>
      </w:r>
      <w:r w:rsidRPr="005F4640">
        <w:rPr>
          <w:bCs/>
          <w:i/>
          <w:sz w:val="22"/>
          <w:szCs w:val="22"/>
        </w:rPr>
        <w:instrText xml:space="preserve"> SEQ Obrázek \* ARABIC </w:instrText>
      </w:r>
      <w:r w:rsidR="008A3262" w:rsidRPr="005F4640">
        <w:rPr>
          <w:bCs/>
          <w:i/>
          <w:sz w:val="22"/>
          <w:szCs w:val="22"/>
        </w:rPr>
        <w:fldChar w:fldCharType="separate"/>
      </w:r>
      <w:r w:rsidR="00001D4C">
        <w:rPr>
          <w:bCs/>
          <w:i/>
          <w:noProof/>
          <w:sz w:val="22"/>
          <w:szCs w:val="22"/>
        </w:rPr>
        <w:t>6</w:t>
      </w:r>
      <w:r w:rsidR="008A3262" w:rsidRPr="005F4640">
        <w:rPr>
          <w:sz w:val="22"/>
          <w:szCs w:val="22"/>
        </w:rPr>
        <w:fldChar w:fldCharType="end"/>
      </w:r>
      <w:r w:rsidRPr="005F4640">
        <w:rPr>
          <w:bCs/>
          <w:i/>
          <w:sz w:val="22"/>
          <w:szCs w:val="22"/>
        </w:rPr>
        <w:t>: Průměrný meziroční růst minimálních mzdových tarifů v podnikatelské sféře České republiky v období 1998</w:t>
      </w:r>
      <w:r w:rsidRPr="005F4640">
        <w:rPr>
          <w:bCs/>
          <w:i/>
          <w:sz w:val="22"/>
          <w:szCs w:val="22"/>
        </w:rPr>
        <w:noBreakHyphen/>
        <w:t>2015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9764F" w:rsidTr="00B26FFE">
        <w:tc>
          <w:tcPr>
            <w:tcW w:w="9779" w:type="dxa"/>
          </w:tcPr>
          <w:p w:rsidR="00D9764F" w:rsidRPr="000F3591" w:rsidRDefault="00D9764F" w:rsidP="00B26FFE">
            <w:pPr>
              <w:spacing w:before="0"/>
              <w:rPr>
                <w:bCs/>
                <w:i/>
                <w:color w:val="808080" w:themeColor="background1" w:themeShade="80"/>
                <w:sz w:val="2"/>
                <w:szCs w:val="2"/>
              </w:rPr>
            </w:pPr>
            <w:r w:rsidRPr="000F3591">
              <w:rPr>
                <w:noProof/>
                <w:color w:val="808080" w:themeColor="background1" w:themeShade="80"/>
                <w:sz w:val="2"/>
                <w:szCs w:val="2"/>
                <w:lang w:eastAsia="cs-CZ" w:bidi="ar-SA"/>
              </w:rPr>
              <w:drawing>
                <wp:anchor distT="0" distB="0" distL="114300" distR="114300" simplePos="0" relativeHeight="251670528" behindDoc="0" locked="0" layoutInCell="1" allowOverlap="1">
                  <wp:simplePos x="0" y="0"/>
                  <wp:positionH relativeFrom="column">
                    <wp:posOffset>-8255</wp:posOffset>
                  </wp:positionH>
                  <wp:positionV relativeFrom="paragraph">
                    <wp:posOffset>57785</wp:posOffset>
                  </wp:positionV>
                  <wp:extent cx="6120765" cy="3891280"/>
                  <wp:effectExtent l="0" t="0" r="0" b="0"/>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c>
      </w:tr>
    </w:tbl>
    <w:p w:rsidR="00D9764F" w:rsidRPr="005F4640" w:rsidRDefault="00D9764F" w:rsidP="00D9764F">
      <w:pPr>
        <w:spacing w:before="240"/>
        <w:ind w:left="357" w:hanging="357"/>
        <w:rPr>
          <w:sz w:val="20"/>
          <w:szCs w:val="20"/>
        </w:rPr>
      </w:pPr>
      <w:r w:rsidRPr="005F4640">
        <w:rPr>
          <w:sz w:val="20"/>
          <w:szCs w:val="20"/>
        </w:rPr>
        <w:t>Pozn.: Zkratka TS označuje tarifní stupeň.</w:t>
      </w:r>
    </w:p>
    <w:p w:rsidR="00D9764F" w:rsidRPr="005F4640" w:rsidRDefault="00D9764F" w:rsidP="00D9764F">
      <w:pPr>
        <w:spacing w:before="0" w:after="480"/>
        <w:ind w:left="357" w:hanging="357"/>
        <w:rPr>
          <w:sz w:val="20"/>
          <w:szCs w:val="20"/>
        </w:rPr>
      </w:pPr>
      <w:r w:rsidRPr="005F4640">
        <w:rPr>
          <w:sz w:val="20"/>
          <w:szCs w:val="20"/>
        </w:rPr>
        <w:t xml:space="preserve">Zdroj: </w:t>
      </w:r>
      <w:r>
        <w:rPr>
          <w:sz w:val="20"/>
          <w:szCs w:val="20"/>
        </w:rPr>
        <w:t>Informace o pracovních podmínkách (</w:t>
      </w:r>
      <w:r w:rsidRPr="005F4640">
        <w:rPr>
          <w:sz w:val="20"/>
          <w:szCs w:val="20"/>
        </w:rPr>
        <w:t>IPP</w:t>
      </w:r>
      <w:r>
        <w:rPr>
          <w:sz w:val="20"/>
          <w:szCs w:val="20"/>
        </w:rPr>
        <w:t>)</w:t>
      </w:r>
      <w:r w:rsidRPr="005F4640">
        <w:rPr>
          <w:sz w:val="20"/>
          <w:szCs w:val="20"/>
        </w:rPr>
        <w:t>, vlastní zpracování.</w:t>
      </w:r>
    </w:p>
    <w:p w:rsidR="00D9764F" w:rsidRPr="00EB2300" w:rsidRDefault="00D9764F" w:rsidP="00D9764F">
      <w:pPr>
        <w:spacing w:before="240"/>
      </w:pPr>
      <w:r>
        <w:t xml:space="preserve">Grimshaw a kol. (2014) dále zmiňuje možnost automatické úpravy tarifních stupňů po zvyšování minimální mzdy. Vhodně nastavená úprava tarifních stupňů totiž umožňuje zachovat diferenciaci mezi tarifními stupni, která vychází z výše zmíněných rozdílů mezi pracemi z hlediska náročnosti, a nedochází tak k narušování diferencí mezi tarifními stupni kvůli jejich rozdílným tempům růstu vlivem zvyšování minimální mzdy (viz obrázek 6). Z obrázku 7 je patrné, že i </w:t>
      </w:r>
      <w:r w:rsidRPr="00583ECC">
        <w:rPr>
          <w:b/>
        </w:rPr>
        <w:t>v České republice</w:t>
      </w:r>
      <w:r>
        <w:t xml:space="preserve"> se </w:t>
      </w:r>
      <w:r w:rsidRPr="00583ECC">
        <w:rPr>
          <w:b/>
        </w:rPr>
        <w:t>zvyšování minimální mzdy</w:t>
      </w:r>
      <w:r>
        <w:t xml:space="preserve"> projevuje snižováním diferenciace mezi tarifními stupni. </w:t>
      </w:r>
      <w:r w:rsidRPr="00583ECC">
        <w:rPr>
          <w:b/>
        </w:rPr>
        <w:t>Snižování diferencí mezi jednotlivými tarifními stupni z hlediska jejich poměru k minimální mzdě</w:t>
      </w:r>
      <w:r>
        <w:t xml:space="preserve"> bylo patrné především </w:t>
      </w:r>
      <w:r>
        <w:lastRenderedPageBreak/>
        <w:t>v období do roku 2006. Příkladem může být 12. tarifní stupeň, který v roce 1998 dosahoval téměř 5násobku minimální mzdy, zatímco v roce 2006 dosáhl pouze 2,5násobku minimální mzdy platné v daném roce. Během období stagnace minimální mzdy se začala diferenciace tarifních stupňů ve vztahu k minimální mzdě opět zvyšovat. Po roce 2013, tj. po zahájení období zvyšování minimální mzdy, začíná opět výrazněji klesat podíl nejvyšších tarifních stupňů na minimální mzdě ve srovnání s nižšími tarifními stupni.</w:t>
      </w:r>
    </w:p>
    <w:p w:rsidR="00D9764F" w:rsidRPr="005F4640" w:rsidRDefault="00D9764F" w:rsidP="00D9764F">
      <w:pPr>
        <w:keepNext/>
        <w:spacing w:before="480"/>
        <w:rPr>
          <w:bCs/>
          <w:i/>
          <w:sz w:val="22"/>
          <w:szCs w:val="22"/>
        </w:rPr>
      </w:pPr>
      <w:r w:rsidRPr="005F4640">
        <w:rPr>
          <w:bCs/>
          <w:i/>
          <w:sz w:val="22"/>
          <w:szCs w:val="22"/>
        </w:rPr>
        <w:t xml:space="preserve">Obrázek </w:t>
      </w:r>
      <w:r w:rsidR="008A3262" w:rsidRPr="005F4640">
        <w:rPr>
          <w:bCs/>
          <w:i/>
          <w:sz w:val="22"/>
          <w:szCs w:val="22"/>
        </w:rPr>
        <w:fldChar w:fldCharType="begin"/>
      </w:r>
      <w:r w:rsidRPr="005F4640">
        <w:rPr>
          <w:bCs/>
          <w:i/>
          <w:sz w:val="22"/>
          <w:szCs w:val="22"/>
        </w:rPr>
        <w:instrText xml:space="preserve"> SEQ Obrázek \* ARABIC </w:instrText>
      </w:r>
      <w:r w:rsidR="008A3262" w:rsidRPr="005F4640">
        <w:rPr>
          <w:bCs/>
          <w:i/>
          <w:sz w:val="22"/>
          <w:szCs w:val="22"/>
        </w:rPr>
        <w:fldChar w:fldCharType="separate"/>
      </w:r>
      <w:r w:rsidR="00001D4C">
        <w:rPr>
          <w:bCs/>
          <w:i/>
          <w:noProof/>
          <w:sz w:val="22"/>
          <w:szCs w:val="22"/>
        </w:rPr>
        <w:t>7</w:t>
      </w:r>
      <w:r w:rsidR="008A3262" w:rsidRPr="005F4640">
        <w:rPr>
          <w:sz w:val="22"/>
          <w:szCs w:val="22"/>
        </w:rPr>
        <w:fldChar w:fldCharType="end"/>
      </w:r>
      <w:r w:rsidRPr="005F4640">
        <w:rPr>
          <w:bCs/>
          <w:i/>
          <w:sz w:val="22"/>
          <w:szCs w:val="22"/>
        </w:rPr>
        <w:t>: Podíl minimálních mzdových tarifů na minimální mzdě platné v daném roce v podnikatelské sféře České republiky v období 1998</w:t>
      </w:r>
      <w:r w:rsidRPr="005F4640">
        <w:rPr>
          <w:bCs/>
          <w:i/>
          <w:sz w:val="22"/>
          <w:szCs w:val="22"/>
        </w:rPr>
        <w:noBreakHyphen/>
        <w:t>2015</w:t>
      </w:r>
    </w:p>
    <w:tbl>
      <w:tblPr>
        <w:tblStyle w:val="Mkatabulky"/>
        <w:tblW w:w="9779" w:type="dxa"/>
        <w:jc w:val="center"/>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830"/>
      </w:tblGrid>
      <w:tr w:rsidR="00D9764F" w:rsidTr="00D9764F">
        <w:trPr>
          <w:trHeight w:val="6072"/>
          <w:jc w:val="center"/>
        </w:trPr>
        <w:tc>
          <w:tcPr>
            <w:tcW w:w="9779" w:type="dxa"/>
          </w:tcPr>
          <w:p w:rsidR="00D9764F" w:rsidRPr="00D9764F" w:rsidRDefault="00D9764F" w:rsidP="00B26FFE">
            <w:pPr>
              <w:spacing w:before="0"/>
              <w:rPr>
                <w:i/>
                <w:color w:val="808080" w:themeColor="background1" w:themeShade="80"/>
                <w:sz w:val="2"/>
                <w:szCs w:val="2"/>
              </w:rPr>
            </w:pPr>
            <w:r w:rsidRPr="00D9764F">
              <w:rPr>
                <w:noProof/>
                <w:color w:val="808080" w:themeColor="background1" w:themeShade="80"/>
                <w:sz w:val="2"/>
                <w:szCs w:val="2"/>
                <w:lang w:eastAsia="cs-CZ" w:bidi="ar-SA"/>
              </w:rPr>
              <w:drawing>
                <wp:anchor distT="0" distB="0" distL="114300" distR="114300" simplePos="0" relativeHeight="251671552" behindDoc="0" locked="0" layoutInCell="1" allowOverlap="1">
                  <wp:simplePos x="0" y="0"/>
                  <wp:positionH relativeFrom="column">
                    <wp:posOffset>-91440</wp:posOffset>
                  </wp:positionH>
                  <wp:positionV relativeFrom="paragraph">
                    <wp:posOffset>42545</wp:posOffset>
                  </wp:positionV>
                  <wp:extent cx="6117590" cy="3740150"/>
                  <wp:effectExtent l="19050" t="0" r="16510" b="0"/>
                  <wp:wrapSquare wrapText="bothSides"/>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c>
      </w:tr>
    </w:tbl>
    <w:p w:rsidR="00D9764F" w:rsidRPr="005F4640" w:rsidRDefault="00D9764F" w:rsidP="00D9764F">
      <w:pPr>
        <w:spacing w:before="0"/>
        <w:ind w:left="357" w:hanging="357"/>
        <w:rPr>
          <w:sz w:val="20"/>
          <w:szCs w:val="20"/>
        </w:rPr>
      </w:pPr>
      <w:r w:rsidRPr="005F4640">
        <w:rPr>
          <w:sz w:val="20"/>
          <w:szCs w:val="20"/>
        </w:rPr>
        <w:t>Pozn.: Zkratka TS označuje tarifní stupeň.</w:t>
      </w:r>
    </w:p>
    <w:p w:rsidR="00D9764F" w:rsidRPr="005F4640" w:rsidRDefault="00D9764F" w:rsidP="00D9764F">
      <w:pPr>
        <w:spacing w:before="0" w:after="480"/>
        <w:ind w:left="357" w:hanging="357"/>
        <w:rPr>
          <w:sz w:val="20"/>
          <w:szCs w:val="20"/>
        </w:rPr>
      </w:pPr>
      <w:r w:rsidRPr="005F4640">
        <w:rPr>
          <w:sz w:val="20"/>
          <w:szCs w:val="20"/>
        </w:rPr>
        <w:t xml:space="preserve">Zdroj: </w:t>
      </w:r>
      <w:r>
        <w:rPr>
          <w:sz w:val="20"/>
          <w:szCs w:val="20"/>
        </w:rPr>
        <w:t>Informace o pracovních podmínkách (</w:t>
      </w:r>
      <w:r w:rsidRPr="005F4640">
        <w:rPr>
          <w:sz w:val="20"/>
          <w:szCs w:val="20"/>
        </w:rPr>
        <w:t>IPP</w:t>
      </w:r>
      <w:r>
        <w:rPr>
          <w:sz w:val="20"/>
          <w:szCs w:val="20"/>
        </w:rPr>
        <w:t>)</w:t>
      </w:r>
      <w:r w:rsidRPr="005F4640">
        <w:rPr>
          <w:sz w:val="20"/>
          <w:szCs w:val="20"/>
        </w:rPr>
        <w:t>, vlastní zpracování.</w:t>
      </w:r>
    </w:p>
    <w:p w:rsidR="00094F43" w:rsidRPr="00D86185" w:rsidRDefault="00094F43" w:rsidP="00B860A1">
      <w:pPr>
        <w:spacing w:before="240"/>
        <w:rPr>
          <w:i/>
        </w:rPr>
      </w:pPr>
    </w:p>
    <w:p w:rsidR="00094F43" w:rsidRPr="00446C8D" w:rsidRDefault="00094F43" w:rsidP="00094F43">
      <w:pPr>
        <w:pStyle w:val="Nadpis2"/>
      </w:pPr>
      <w:bookmarkStart w:id="22" w:name="_Toc435087395"/>
      <w:bookmarkStart w:id="23" w:name="_Toc436143418"/>
      <w:r>
        <w:t>Cesty přizpůsobení</w:t>
      </w:r>
      <w:bookmarkEnd w:id="22"/>
      <w:bookmarkEnd w:id="23"/>
    </w:p>
    <w:p w:rsidR="003E335F" w:rsidRDefault="003E335F" w:rsidP="003E335F">
      <w:r>
        <w:t xml:space="preserve">Kolektivní vyjednávání v období zvyšování minimální mzdy musí reagovat na klasické argumenty, tj. např. „zvýšení minimální mzdy znamená propouštění“ nebo „na zvýšení minimální mzdy nejvíc doplatí zaměstnanci s nejnižšími výdělky“. V tomto směru mohou být užitečné některé výsledky empirického výzkumu zaměřené na přizpůsobování zaměstnavatelů změnám minimální mzdy (Schmitt, 2013). </w:t>
      </w:r>
    </w:p>
    <w:p w:rsidR="003E335F" w:rsidRDefault="003E335F" w:rsidP="003E335F">
      <w:pPr>
        <w:spacing w:after="120"/>
      </w:pPr>
      <w:r>
        <w:t xml:space="preserve">Jestliže současné metody statistického dokazování potvrzují žádný nebo malý efekt na zaměstnanost, je na místě otázka, jakým způsobem se zaměstnavatelé vyrovnávají se zvýšením nákladů vyvolaných zvýšením minimální mzdy. Odpovědí na tuto otázku se </w:t>
      </w:r>
      <w:r>
        <w:lastRenderedPageBreak/>
        <w:t xml:space="preserve">zabývá např. studie </w:t>
      </w:r>
      <w:r>
        <w:rPr>
          <w:noProof/>
        </w:rPr>
        <w:t>Hirsche a kol. (2011</w:t>
      </w:r>
      <w:r>
        <w:t xml:space="preserve">). Význam studie spočívá v tom, že po desetiletích prokazování málo rozpoznatelných dopadů posouvá diskuzi směrem k porozumění, proč jsou dopady nezřetelné. Vysvětlení hledá v různých </w:t>
      </w:r>
      <w:r>
        <w:rPr>
          <w:b/>
        </w:rPr>
        <w:t>cestách přizpůsobení</w:t>
      </w:r>
      <w:r>
        <w:t xml:space="preserve"> (</w:t>
      </w:r>
      <w:r w:rsidRPr="0036422B">
        <w:rPr>
          <w:i/>
        </w:rPr>
        <w:t>adjustment channels</w:t>
      </w:r>
      <w:r>
        <w:t>) změně minimální mzdy. Vychází ze tří různých teoretických přístupů ke sledování dopadů (standardní model dokonalé konkurence, institucionální model, dynamický monopson) a předkládá řadu možností, které se nabízejí ke kompenzaci nákladů zvýšené minimální mzdy, a přitom nejsou v rozporu s teoretickými modely. Studie popisuje následující cesty přizpůsobení při zvýšení minimální mzdy:</w:t>
      </w:r>
    </w:p>
    <w:p w:rsidR="003E335F" w:rsidRPr="0036422B" w:rsidRDefault="003E335F" w:rsidP="003E335F">
      <w:pPr>
        <w:pStyle w:val="Odstavecseseznamem"/>
        <w:numPr>
          <w:ilvl w:val="0"/>
          <w:numId w:val="27"/>
        </w:numPr>
        <w:spacing w:after="120"/>
        <w:ind w:left="357" w:hanging="357"/>
        <w:rPr>
          <w:b/>
        </w:rPr>
      </w:pPr>
      <w:r w:rsidRPr="0036422B">
        <w:rPr>
          <w:b/>
        </w:rPr>
        <w:t>Zkrácení pracovní doby</w:t>
      </w:r>
    </w:p>
    <w:p w:rsidR="003E335F" w:rsidRDefault="003E335F" w:rsidP="003E335F">
      <w:pPr>
        <w:ind w:left="351"/>
      </w:pPr>
      <w:r>
        <w:t xml:space="preserve">Zkrácení pracovní doby je jednou z možných reakcí na zvýšení minimální mzdy. Pokud zkrácení nanejvýš odpovídá nákladům na zvýšení minimální mzdy, jsou na tom zaměstnanci lépe nebo stejně – vydělávají jako dřív, ale za kratší dobu. Větší zkrácení pracovní doby se na životním standardu zaměstnanců projeví negativně. </w:t>
      </w:r>
    </w:p>
    <w:p w:rsidR="003E335F" w:rsidRPr="0036422B" w:rsidRDefault="003E335F" w:rsidP="003E335F">
      <w:pPr>
        <w:pStyle w:val="Odstavecseseznamem"/>
        <w:numPr>
          <w:ilvl w:val="0"/>
          <w:numId w:val="27"/>
        </w:numPr>
        <w:spacing w:after="120"/>
        <w:ind w:left="357" w:hanging="357"/>
        <w:rPr>
          <w:b/>
        </w:rPr>
      </w:pPr>
      <w:r w:rsidRPr="0036422B">
        <w:rPr>
          <w:b/>
        </w:rPr>
        <w:t>Snížení nemzdových benefitů</w:t>
      </w:r>
    </w:p>
    <w:p w:rsidR="003E335F" w:rsidRDefault="003E335F" w:rsidP="003E335F">
      <w:pPr>
        <w:ind w:left="357"/>
      </w:pPr>
      <w:r>
        <w:t>Úspora na nemzdových benefitech (penzijní připojištění, zdravotní pojištění, nadstandardní dovolená, firemní auto) je sice jednou z možných reakcí na vyšší minimální mzdu, ale empirické důkazy svědčí o slabé tendenci k využívání této varianty.</w:t>
      </w:r>
    </w:p>
    <w:p w:rsidR="003E335F" w:rsidRPr="0036422B" w:rsidRDefault="003E335F" w:rsidP="003E335F">
      <w:pPr>
        <w:pStyle w:val="Odstavecseseznamem"/>
        <w:numPr>
          <w:ilvl w:val="0"/>
          <w:numId w:val="27"/>
        </w:numPr>
        <w:spacing w:after="120"/>
        <w:ind w:left="357" w:hanging="357"/>
        <w:rPr>
          <w:b/>
        </w:rPr>
      </w:pPr>
      <w:r w:rsidRPr="0036422B">
        <w:rPr>
          <w:b/>
        </w:rPr>
        <w:t>Omezení školení</w:t>
      </w:r>
    </w:p>
    <w:p w:rsidR="003E335F" w:rsidRDefault="003E335F" w:rsidP="003E335F">
      <w:pPr>
        <w:ind w:left="357"/>
      </w:pPr>
      <w:r>
        <w:t>Ani empirické důkazy o úsporách na firemním školení a tréninku nejsou průkazné. Malé nebo žádné efekty v tomto směru vysvětluje institucionální model možnou tendencí zaměstnavatelů rozšířit školení tak, aby se zvýšila produktivita nízkovýdělkových zaměstnanců na úroveň odpovídající zvýšené mzdě.</w:t>
      </w:r>
      <w:r w:rsidRPr="00B016F0">
        <w:t xml:space="preserve"> To je v souladu i s dalšími studiemi v této oblasti. Skutečnost, že studie nepotvrdily negativní dopad minimální mzdy na vzdělávání, vysvětlují např. Acemoglu a Pischke (1999) tím, že kvůli zavedení minimální mzdy jsou sice někteří zaměstnanci omezeni v oblasti svého vzdělávání (viz Becker, 1993), na druhou stranu jsou však mnohé vzdělávání akce iniciovány samotnými firmami. Důležitou roli totiž </w:t>
      </w:r>
      <w:r>
        <w:t xml:space="preserve">skutečně </w:t>
      </w:r>
      <w:r w:rsidRPr="00B016F0">
        <w:t xml:space="preserve">hraje zájem firem na zvýšení produktivity nejhůře placených zaměstnanců, takže investují </w:t>
      </w:r>
      <w:r>
        <w:t>vyšší prostředky na vzdělávání.</w:t>
      </w:r>
    </w:p>
    <w:p w:rsidR="003E335F" w:rsidRPr="0036422B" w:rsidRDefault="003E335F" w:rsidP="003E335F">
      <w:pPr>
        <w:pStyle w:val="Odstavecseseznamem"/>
        <w:numPr>
          <w:ilvl w:val="0"/>
          <w:numId w:val="27"/>
        </w:numPr>
        <w:spacing w:after="120"/>
        <w:ind w:left="357" w:hanging="357"/>
        <w:rPr>
          <w:b/>
        </w:rPr>
      </w:pPr>
      <w:r w:rsidRPr="0036422B">
        <w:rPr>
          <w:b/>
        </w:rPr>
        <w:t>Změny ve struktuře zaměstnanců</w:t>
      </w:r>
    </w:p>
    <w:p w:rsidR="003E335F" w:rsidRDefault="003E335F" w:rsidP="003E335F">
      <w:pPr>
        <w:ind w:left="357"/>
      </w:pPr>
      <w:r>
        <w:t>Zaměstnavatelé se mohou vyrovnávat se zvýšením minimální mzdy i zvýšenou poptávkou po pracovní síle s vyšší úrovní dovedností, což může mít vliv na určité skupiny znevýhodněné svým nízkým stupněm vzdělání. Dosavadní empirické výzkumy neprokázaly negativní ani pozitivní vliv na zaměstnaneckou strukturu vzhledem k věku, etnické příslušnosti nebo pohlaví.</w:t>
      </w:r>
    </w:p>
    <w:p w:rsidR="003E335F" w:rsidRPr="0036422B" w:rsidRDefault="003E335F" w:rsidP="003E335F">
      <w:pPr>
        <w:pStyle w:val="Odstavecseseznamem"/>
        <w:numPr>
          <w:ilvl w:val="0"/>
          <w:numId w:val="27"/>
        </w:numPr>
        <w:spacing w:after="120"/>
        <w:ind w:left="357" w:hanging="357"/>
        <w:rPr>
          <w:b/>
        </w:rPr>
      </w:pPr>
      <w:r w:rsidRPr="0036422B">
        <w:rPr>
          <w:b/>
        </w:rPr>
        <w:t>Zvýšení cen produkce</w:t>
      </w:r>
    </w:p>
    <w:p w:rsidR="003E335F" w:rsidRDefault="003E335F" w:rsidP="003E335F">
      <w:pPr>
        <w:ind w:left="357"/>
      </w:pPr>
      <w:r>
        <w:t xml:space="preserve">Teorie předpokládá, že náklady rostoucí v důsledku zvýšení minimální mzdy mohou přenést zaměstnavatelé na spotřebitele. Vyhodnocení několika desítek studií o vlivu minimální mzdy na ceny v USA (Lemos, 2008) ukázalo, že 10% zvýšení minimální mzdy mohlo zvýšit ceny potravin o méně než 4 % a celkové ceny maximálně o 0,4 %. Jedno z vysvětlení malého vlivu na ceny poukazuje na nízký podíl práce na úrovni minimální mzdy na celkových výrobních nákladech a malý vedlejší efekt zvýšení na jiné zaměstnance než ty, kteří byli na úrovni minimální mzdy. </w:t>
      </w:r>
    </w:p>
    <w:p w:rsidR="003E335F" w:rsidRPr="0036422B" w:rsidRDefault="003E335F" w:rsidP="003E335F">
      <w:pPr>
        <w:pStyle w:val="Odstavecseseznamem"/>
        <w:numPr>
          <w:ilvl w:val="0"/>
          <w:numId w:val="27"/>
        </w:numPr>
        <w:spacing w:after="120"/>
        <w:ind w:left="357" w:hanging="357"/>
        <w:rPr>
          <w:b/>
        </w:rPr>
      </w:pPr>
      <w:r w:rsidRPr="0036422B">
        <w:rPr>
          <w:b/>
        </w:rPr>
        <w:lastRenderedPageBreak/>
        <w:t>Zvýšení výkonnosti firem</w:t>
      </w:r>
    </w:p>
    <w:p w:rsidR="003E335F" w:rsidRDefault="003E335F" w:rsidP="003E335F">
      <w:pPr>
        <w:ind w:left="363"/>
      </w:pPr>
      <w:r>
        <w:t>Dotazování manažerů v prodejnách vedlo k závěru, že zvýšení minimální mzdy působilo jako katalyzátor manažerského úsilí o snížení nákladů dodržováním nebo zpevňováním výkonnostních norem (</w:t>
      </w:r>
      <w:r>
        <w:rPr>
          <w:noProof/>
        </w:rPr>
        <w:t>Hirsch, Kaufman, Zelenska, 2011</w:t>
      </w:r>
      <w:r>
        <w:t xml:space="preserve">). </w:t>
      </w:r>
    </w:p>
    <w:p w:rsidR="003E335F" w:rsidRPr="00B016F0" w:rsidRDefault="003E335F" w:rsidP="003E335F">
      <w:pPr>
        <w:pStyle w:val="Odstavecseseznamem"/>
        <w:numPr>
          <w:ilvl w:val="0"/>
          <w:numId w:val="27"/>
        </w:numPr>
        <w:spacing w:after="120"/>
        <w:ind w:left="357" w:hanging="357"/>
        <w:rPr>
          <w:b/>
        </w:rPr>
      </w:pPr>
      <w:r w:rsidRPr="00B016F0">
        <w:rPr>
          <w:b/>
        </w:rPr>
        <w:t>Zvýšení výkonu zaměstnanců</w:t>
      </w:r>
    </w:p>
    <w:p w:rsidR="003E335F" w:rsidRDefault="003E335F" w:rsidP="003E335F">
      <w:pPr>
        <w:ind w:left="363"/>
      </w:pPr>
      <w:r>
        <w:t>Vyšší minimální mzda může motivovat zaměstnance ke zvýšení produktivity v zájmu udržení svého pracovního místa nezávisle na úsilí zaměstnavatele o zvýšení produktivity.</w:t>
      </w:r>
    </w:p>
    <w:p w:rsidR="003E335F" w:rsidRPr="00B016F0" w:rsidRDefault="003E335F" w:rsidP="003E335F">
      <w:pPr>
        <w:pStyle w:val="Odstavecseseznamem"/>
        <w:numPr>
          <w:ilvl w:val="0"/>
          <w:numId w:val="27"/>
        </w:numPr>
        <w:spacing w:after="120"/>
        <w:ind w:left="357" w:hanging="357"/>
        <w:rPr>
          <w:b/>
        </w:rPr>
      </w:pPr>
      <w:r w:rsidRPr="00B016F0">
        <w:rPr>
          <w:b/>
        </w:rPr>
        <w:t>Komprese mezd</w:t>
      </w:r>
    </w:p>
    <w:p w:rsidR="003E335F" w:rsidRDefault="003E335F" w:rsidP="003E335F">
      <w:pPr>
        <w:ind w:left="363"/>
      </w:pPr>
      <w:r>
        <w:t xml:space="preserve">Další formou reakce zaměstnavatelů na vyšší náklady na zaměstnance dotčené změnou minimální mzdy může být úspora na mzdách ostatních zaměstnanců. Studie potvrzují, že značná část zaměstnavatelů reaguje omezením růstu výdělků nebo odměn kvalifikovanějších a lépe odměňovaných zaměstnanců, což má za následek kompresi celého výdělkového rozdělení.  </w:t>
      </w:r>
    </w:p>
    <w:p w:rsidR="003E335F" w:rsidRPr="00B016F0" w:rsidRDefault="003E335F" w:rsidP="003E335F">
      <w:pPr>
        <w:pStyle w:val="Odstavecseseznamem"/>
        <w:numPr>
          <w:ilvl w:val="0"/>
          <w:numId w:val="27"/>
        </w:numPr>
        <w:spacing w:after="120"/>
        <w:ind w:left="357" w:hanging="357"/>
        <w:rPr>
          <w:b/>
        </w:rPr>
      </w:pPr>
      <w:r w:rsidRPr="00B016F0">
        <w:rPr>
          <w:b/>
        </w:rPr>
        <w:t>Snížení zisku</w:t>
      </w:r>
    </w:p>
    <w:p w:rsidR="003E335F" w:rsidRDefault="003E335F" w:rsidP="003E335F">
      <w:pPr>
        <w:ind w:left="363"/>
      </w:pPr>
      <w:r>
        <w:t xml:space="preserve">Zaměstnavatelé mohou absorbovat náklady spojené se zvýšením minimální mzdy snížením zisku. Dosavadní studie ukazují na smíšený nebo nejistý dopad na zisk.  </w:t>
      </w:r>
    </w:p>
    <w:p w:rsidR="003E335F" w:rsidRPr="00B016F0" w:rsidRDefault="003E335F" w:rsidP="003E335F">
      <w:pPr>
        <w:pStyle w:val="Odstavecseseznamem"/>
        <w:numPr>
          <w:ilvl w:val="0"/>
          <w:numId w:val="27"/>
        </w:numPr>
        <w:spacing w:after="120"/>
        <w:ind w:left="357" w:hanging="357"/>
        <w:rPr>
          <w:b/>
        </w:rPr>
      </w:pPr>
      <w:r w:rsidRPr="00B016F0">
        <w:rPr>
          <w:b/>
        </w:rPr>
        <w:t xml:space="preserve"> Zvýšení poptávky</w:t>
      </w:r>
    </w:p>
    <w:p w:rsidR="003E335F" w:rsidRDefault="003E335F" w:rsidP="003E335F">
      <w:pPr>
        <w:ind w:left="363"/>
      </w:pPr>
      <w:r>
        <w:t xml:space="preserve">Zvlášť v období recese nebo vysoké nezaměstnanosti je zřejmé, že zvýšení nákladů zaměstnavatelů v důsledku zvýšení minimální mzdy je vyvažováno zvýšenou poptávkou po zboží a službách. Příjmy nízkovýdělkových zaměstnanců se bezprostředně promítnou do spotřeby.  </w:t>
      </w:r>
    </w:p>
    <w:p w:rsidR="003E335F" w:rsidRPr="00B016F0" w:rsidRDefault="003E335F" w:rsidP="003E335F">
      <w:pPr>
        <w:pStyle w:val="Odstavecseseznamem"/>
        <w:numPr>
          <w:ilvl w:val="0"/>
          <w:numId w:val="27"/>
        </w:numPr>
        <w:spacing w:after="120"/>
        <w:ind w:left="357" w:hanging="357"/>
        <w:rPr>
          <w:b/>
        </w:rPr>
      </w:pPr>
      <w:r>
        <w:t xml:space="preserve"> </w:t>
      </w:r>
      <w:r w:rsidRPr="00B016F0">
        <w:rPr>
          <w:b/>
        </w:rPr>
        <w:t>Omezení fluktuace</w:t>
      </w:r>
    </w:p>
    <w:p w:rsidR="003E335F" w:rsidRDefault="003E335F" w:rsidP="003E335F">
      <w:pPr>
        <w:spacing w:after="120"/>
        <w:ind w:left="363"/>
      </w:pPr>
      <w:r>
        <w:t>Praxe ukazuje, že nejvyšší fluktuace bývá v kategorii nízkovýdělkových zaměstnanců, což zaměstnavatelům zvyšuje náklady na nábor těchto zaměstnanců. Důvodem vyšší fluktuace bývají omezení, která nízkovýdělkovým zaměstnancům klade např. péče o</w:t>
      </w:r>
      <w:r w:rsidR="00442E3A">
        <w:t> </w:t>
      </w:r>
      <w:r>
        <w:t xml:space="preserve">děti, cena osobní dopravy nebo nedostatky veřejné dopravy nebo nedostatečné informace o nabídce práce. Výsledky studií na lokální i celostátní úrovni z USA ukazují, že v klasických skupinách nízkovýdělkových zaměstnanců ("náctiletých", zaměstnanců restaurací) počty propuštěných a počty nově najatých zaměstnanců (fluktuace) výrazně poklesly po zvýšení minimální mzdy. </w:t>
      </w:r>
    </w:p>
    <w:p w:rsidR="00887085" w:rsidRDefault="003E335F" w:rsidP="00001D4C">
      <w:pPr>
        <w:spacing w:before="0" w:after="0"/>
        <w:rPr>
          <w:b/>
          <w:bCs/>
          <w:color w:val="E53138"/>
          <w:kern w:val="32"/>
          <w:sz w:val="32"/>
          <w:szCs w:val="32"/>
          <w:lang w:eastAsia="cs-CZ"/>
        </w:rPr>
      </w:pPr>
      <w:r>
        <w:t>Většina empirických výzkumů zaměřených na jednotlivé cesty přizpůsobení vykazuje málo přesvědčivé důkazy, tzn. statisticky nevýznamné jak pozitivní, tak negativní výsledky. Věrohodné vysvětlení vychází ze skutečnosti, že zaměstnavatelé i zaměstnanci reagují na zvýšení minimální mzdy současně více způsoby. Zaměstnavatelé mohou na změnu minimální mzdy odpovědět zkrácením pracovní doby, jiní zaměstnavatelé zvýšením cen produktů, další reorganizací s cílem snížit náklady nebo kompresí výdělků. Data, která mají ekonomové k dispozici pro výzkum a vysvětlení těchto cest, mohou těžko postihnout rozmanitost a komplexnost reakcí na zvýšení minimální mzdy. S vědomím kladného i záporného působení jednotlivých cest přizpůsobení je zřejmé, že využití více cest podle konkrétních podmínek firmy může přispět k takovému přizpůsobení zvýšené minimální mzdě, které přinese pozitivní efekt pro nízkovýdělkové zaměstnance bez ohrožení zájmů zaměstnavatele.</w:t>
      </w:r>
      <w:r w:rsidR="00887085">
        <w:br w:type="page"/>
      </w:r>
    </w:p>
    <w:p w:rsidR="00503834" w:rsidRPr="00C664CD" w:rsidRDefault="00503834" w:rsidP="00077B08">
      <w:pPr>
        <w:pStyle w:val="Nadpis1"/>
        <w:numPr>
          <w:ilvl w:val="0"/>
          <w:numId w:val="0"/>
        </w:numPr>
        <w:ind w:left="567" w:hanging="567"/>
      </w:pPr>
      <w:bookmarkStart w:id="24" w:name="_Toc436143419"/>
      <w:r w:rsidRPr="00C664CD">
        <w:lastRenderedPageBreak/>
        <w:t>Závěr</w:t>
      </w:r>
      <w:bookmarkEnd w:id="24"/>
    </w:p>
    <w:p w:rsidR="00044DC5" w:rsidRPr="00157E8A" w:rsidRDefault="00044DC5" w:rsidP="00044DC5">
      <w:pPr>
        <w:spacing w:after="120"/>
        <w:rPr>
          <w:iCs/>
        </w:rPr>
      </w:pPr>
      <w:r>
        <w:rPr>
          <w:iCs/>
        </w:rPr>
        <w:t xml:space="preserve">Problematice vztahu kolektivního vyjednávání a minimální mzdy nebyla dosud v České republice věnována taková pozornost, jakou by si tato otázka zasloužila. Kolektivní vyjednávání i minimální mzda jsou významnými mzdotvornými instituty na českém trhu práce, a z tohoto důvodu nepochybně zasluhují </w:t>
      </w:r>
      <w:r w:rsidRPr="00D6641E">
        <w:rPr>
          <w:iCs/>
        </w:rPr>
        <w:t>náležitou pozornost</w:t>
      </w:r>
      <w:r>
        <w:rPr>
          <w:iCs/>
        </w:rPr>
        <w:t xml:space="preserve"> nejen odborné veřejnosti</w:t>
      </w:r>
      <w:r w:rsidRPr="00D6641E">
        <w:rPr>
          <w:iCs/>
        </w:rPr>
        <w:t xml:space="preserve">. </w:t>
      </w:r>
      <w:r>
        <w:rPr>
          <w:iCs/>
        </w:rPr>
        <w:t xml:space="preserve">Hlavním cílem této studie proto bylo vyplnit mezeru v této oblasti a poskytnout </w:t>
      </w:r>
      <w:r w:rsidRPr="00DC02F1">
        <w:rPr>
          <w:b/>
          <w:iCs/>
        </w:rPr>
        <w:t>komplexní pohled na problematiku fungování odborových organizací, výsledky kolektivního vyjednávání a jejich vztah k institutu minimální mzdy</w:t>
      </w:r>
      <w:r>
        <w:rPr>
          <w:iCs/>
        </w:rPr>
        <w:t xml:space="preserve"> v České republice. H</w:t>
      </w:r>
      <w:r w:rsidRPr="00D6641E">
        <w:rPr>
          <w:iCs/>
        </w:rPr>
        <w:t>odnocení dopadů minimální mzdy a kolektivního vyjednávání na trh práce</w:t>
      </w:r>
      <w:r>
        <w:rPr>
          <w:iCs/>
        </w:rPr>
        <w:t xml:space="preserve"> je</w:t>
      </w:r>
      <w:r w:rsidRPr="00D6641E">
        <w:rPr>
          <w:iCs/>
        </w:rPr>
        <w:t xml:space="preserve"> předmětem zahraničního teoretického i empirického výzkumu již několik desítek let</w:t>
      </w:r>
      <w:r>
        <w:rPr>
          <w:iCs/>
        </w:rPr>
        <w:t>. Z tohoto důvodu se studie zaměřuje nejen na výsledky analýz provedených pro Českou republiku, ale nabízí i souhrn přelomových výsledků zahraničního výzkumu a příkladů zahraniční praxe (ať už v pozitivním, nebo negativním slova smyslu)</w:t>
      </w:r>
      <w:r w:rsidRPr="00E04604">
        <w:rPr>
          <w:iCs/>
        </w:rPr>
        <w:t xml:space="preserve"> </w:t>
      </w:r>
      <w:r>
        <w:rPr>
          <w:iCs/>
        </w:rPr>
        <w:t xml:space="preserve">ve výše uvedené oblasti. Dále jsou uvedeny klíčové </w:t>
      </w:r>
      <w:r w:rsidRPr="00157E8A">
        <w:rPr>
          <w:iCs/>
        </w:rPr>
        <w:t>výsledky studie.</w:t>
      </w:r>
    </w:p>
    <w:p w:rsidR="00044DC5" w:rsidRPr="00157E8A" w:rsidRDefault="00044DC5" w:rsidP="00044DC5">
      <w:pPr>
        <w:rPr>
          <w:iCs/>
        </w:rPr>
      </w:pPr>
      <w:r w:rsidRPr="008D1365">
        <w:rPr>
          <w:b/>
          <w:iCs/>
        </w:rPr>
        <w:t>V ekonomické teorii</w:t>
      </w:r>
      <w:r w:rsidRPr="00157E8A">
        <w:rPr>
          <w:iCs/>
        </w:rPr>
        <w:t xml:space="preserve"> jsou odborové organizace považovány za kartely, jejichž primárním cílem je zvyšovat úroveň mezd nad rovnovážnou hladinu. Vyšší úrovně mezd </w:t>
      </w:r>
      <w:r>
        <w:rPr>
          <w:iCs/>
        </w:rPr>
        <w:t xml:space="preserve">mohou </w:t>
      </w:r>
      <w:r w:rsidRPr="00157E8A">
        <w:rPr>
          <w:iCs/>
        </w:rPr>
        <w:t>odborové organizace dosáhnou</w:t>
      </w:r>
      <w:r>
        <w:rPr>
          <w:iCs/>
        </w:rPr>
        <w:t>t</w:t>
      </w:r>
      <w:r w:rsidRPr="00157E8A">
        <w:rPr>
          <w:iCs/>
        </w:rPr>
        <w:t xml:space="preserve"> díky své monopolní síle.</w:t>
      </w:r>
      <w:r>
        <w:rPr>
          <w:iCs/>
        </w:rPr>
        <w:t xml:space="preserve"> </w:t>
      </w:r>
      <w:r w:rsidRPr="008D1365">
        <w:rPr>
          <w:b/>
          <w:iCs/>
        </w:rPr>
        <w:t>Empirický výzkum</w:t>
      </w:r>
      <w:r>
        <w:rPr>
          <w:iCs/>
        </w:rPr>
        <w:t xml:space="preserve"> se v zahraničí zabývá především dopadem kolektivního vyjednávání a minimální mzdy na úroveň odměňování, zaměstnanost, počet pracovních míst či produktivitu práce. Výsledky jednotlivých studií jsou často rozporuplné, nicméně v posledních letech se </w:t>
      </w:r>
      <w:r w:rsidRPr="009A4EFA">
        <w:rPr>
          <w:iCs/>
        </w:rPr>
        <w:t>výsledky studií příznivců i odpůrců organizace pracovních sil čím dál více přibližují jak z hlediska úrovně, tak z hlediska interpretace.</w:t>
      </w:r>
      <w:r>
        <w:rPr>
          <w:iCs/>
        </w:rPr>
        <w:t xml:space="preserve"> </w:t>
      </w:r>
      <w:r w:rsidRPr="008D1365">
        <w:rPr>
          <w:b/>
          <w:iCs/>
        </w:rPr>
        <w:t>K pozitivnímu vnímání role kolektivního vyjednávání</w:t>
      </w:r>
      <w:r>
        <w:rPr>
          <w:iCs/>
        </w:rPr>
        <w:t xml:space="preserve"> přispělo několik faktorů, např. postupné </w:t>
      </w:r>
      <w:r w:rsidRPr="008D1365">
        <w:rPr>
          <w:b/>
          <w:iCs/>
        </w:rPr>
        <w:t>snižování mzdové mezery</w:t>
      </w:r>
      <w:r>
        <w:rPr>
          <w:iCs/>
        </w:rPr>
        <w:t xml:space="preserve"> mezi odborově organizovanými a neorganizovanými pracovníky či nezastupitelná úloha odborových organizací v oblasti </w:t>
      </w:r>
      <w:r w:rsidRPr="008D1365">
        <w:rPr>
          <w:b/>
          <w:iCs/>
        </w:rPr>
        <w:t>pracovněprávní ochrany zaměstnanců v rozvojových zemích</w:t>
      </w:r>
      <w:r>
        <w:rPr>
          <w:iCs/>
        </w:rPr>
        <w:t xml:space="preserve">. Odborové organizace jsou však důležité i z hlediska udržování a </w:t>
      </w:r>
      <w:r w:rsidRPr="008D1365">
        <w:rPr>
          <w:b/>
          <w:iCs/>
        </w:rPr>
        <w:t>posilování hodnot demokratických společností</w:t>
      </w:r>
      <w:r>
        <w:rPr>
          <w:iCs/>
        </w:rPr>
        <w:t>, neboť dávají zaměstnancům prostor pro vyjádření jejich názorů a pomáhají zmírňovat příjmovou nerovnost ve společnosti.</w:t>
      </w:r>
    </w:p>
    <w:p w:rsidR="00044DC5" w:rsidRDefault="00044DC5" w:rsidP="00044DC5">
      <w:pPr>
        <w:spacing w:before="240" w:after="240"/>
        <w:rPr>
          <w:iCs/>
        </w:rPr>
      </w:pPr>
      <w:r w:rsidRPr="008D1365">
        <w:rPr>
          <w:rFonts w:cs="Arial"/>
          <w:b/>
          <w:iCs/>
          <w:color w:val="000000"/>
        </w:rPr>
        <w:t>Definici kolektivního vyjednávání</w:t>
      </w:r>
      <w:r>
        <w:rPr>
          <w:rFonts w:cs="Arial"/>
          <w:iCs/>
          <w:color w:val="000000"/>
        </w:rPr>
        <w:t xml:space="preserve"> stanoví úmluva </w:t>
      </w:r>
      <w:r w:rsidRPr="0094246B">
        <w:rPr>
          <w:rFonts w:cs="Arial"/>
          <w:iCs/>
          <w:color w:val="000000"/>
        </w:rPr>
        <w:t>Mezinárodní organizace práce (MOP) č. 154 z roku 1981. Podle článku 2 této úmluvy je za kolektivní vyjednávání považováno každé jednání a vyjednávání mezi zaměstnavatelem (resp. skupinou zaměstnavatelů) a odborovou organizací (resp. skupinou odborových organizací), jehož účelem je stanovení pracovních podmínek, pravidel zaměstnávání, úprava vztahů mezi zaměstnavateli a zaměstnanci resp. mezi zaměstnavateli a jejich organizacemi a jednou či několika organizacemi zaměstnanců (tj. mezi sociálními partnery). Tato úmluva nebyla dosud Českou republikou ratifikována, nicméně stávající právní</w:t>
      </w:r>
      <w:r w:rsidRPr="001706F9">
        <w:rPr>
          <w:rFonts w:cs="Arial"/>
          <w:iCs/>
          <w:color w:val="000000"/>
        </w:rPr>
        <w:t xml:space="preserve"> úprava kolektivního vyjednávání v České republice neopomíjí žádnou klíčovou otázku zmíněnou v úmluvě </w:t>
      </w:r>
      <w:r>
        <w:rPr>
          <w:rFonts w:cs="Arial"/>
          <w:iCs/>
          <w:color w:val="000000"/>
        </w:rPr>
        <w:t xml:space="preserve">MOP. </w:t>
      </w:r>
      <w:r w:rsidRPr="008D1365">
        <w:rPr>
          <w:b/>
          <w:iCs/>
        </w:rPr>
        <w:t>Legislativní rámec kolektivního vyjednávání</w:t>
      </w:r>
      <w:r>
        <w:rPr>
          <w:iCs/>
        </w:rPr>
        <w:t xml:space="preserve"> je v současné době </w:t>
      </w:r>
      <w:r w:rsidRPr="008D1365">
        <w:rPr>
          <w:b/>
          <w:iCs/>
        </w:rPr>
        <w:t>v České republice</w:t>
      </w:r>
      <w:r>
        <w:rPr>
          <w:iCs/>
        </w:rPr>
        <w:t xml:space="preserve"> vymezen dvěma právními normami, a to zákonem </w:t>
      </w:r>
      <w:r>
        <w:rPr>
          <w:rFonts w:cs="Arial"/>
          <w:iCs/>
          <w:color w:val="000000"/>
        </w:rPr>
        <w:t>č. 262</w:t>
      </w:r>
      <w:r w:rsidRPr="0053564F">
        <w:rPr>
          <w:rFonts w:cs="Arial"/>
          <w:iCs/>
          <w:color w:val="000000"/>
        </w:rPr>
        <w:t>/</w:t>
      </w:r>
      <w:r>
        <w:rPr>
          <w:rFonts w:cs="Arial"/>
          <w:iCs/>
          <w:color w:val="000000"/>
        </w:rPr>
        <w:t>2006 Sb., zákoníkem práce, v platném znění, a zákonem č. 2</w:t>
      </w:r>
      <w:r w:rsidRPr="0053564F">
        <w:rPr>
          <w:rFonts w:cs="Arial"/>
          <w:iCs/>
          <w:color w:val="000000"/>
        </w:rPr>
        <w:t>/</w:t>
      </w:r>
      <w:r>
        <w:rPr>
          <w:rFonts w:cs="Arial"/>
          <w:iCs/>
          <w:color w:val="000000"/>
        </w:rPr>
        <w:t xml:space="preserve">1991 Sb., o kolektivním vyjednávání, v platném znění. Postavením odborů a zaměstnavatelů v České republice se zabývá </w:t>
      </w:r>
      <w:r w:rsidRPr="00442E3A">
        <w:rPr>
          <w:rFonts w:cs="Arial"/>
          <w:iCs/>
          <w:color w:val="000000"/>
        </w:rPr>
        <w:t>především</w:t>
      </w:r>
      <w:r>
        <w:rPr>
          <w:rFonts w:cs="Arial"/>
          <w:iCs/>
          <w:color w:val="000000"/>
        </w:rPr>
        <w:t xml:space="preserve"> </w:t>
      </w:r>
      <w:r w:rsidRPr="008D1365">
        <w:rPr>
          <w:rFonts w:cs="Arial"/>
          <w:b/>
          <w:iCs/>
          <w:color w:val="000000"/>
        </w:rPr>
        <w:t>zákoník práce</w:t>
      </w:r>
      <w:r w:rsidRPr="008D1365">
        <w:rPr>
          <w:rFonts w:cs="Arial"/>
          <w:iCs/>
          <w:color w:val="000000"/>
        </w:rPr>
        <w:t xml:space="preserve">, </w:t>
      </w:r>
      <w:r>
        <w:rPr>
          <w:rFonts w:cs="Arial"/>
          <w:iCs/>
          <w:color w:val="000000"/>
        </w:rPr>
        <w:t xml:space="preserve">který upravuje </w:t>
      </w:r>
      <w:r w:rsidR="00CA19F5">
        <w:rPr>
          <w:rFonts w:cs="Arial"/>
          <w:iCs/>
          <w:color w:val="000000"/>
        </w:rPr>
        <w:t xml:space="preserve">zejména </w:t>
      </w:r>
      <w:r>
        <w:rPr>
          <w:rFonts w:cs="Arial"/>
          <w:iCs/>
          <w:color w:val="000000"/>
        </w:rPr>
        <w:t>právo na</w:t>
      </w:r>
      <w:r w:rsidRPr="001706F9">
        <w:rPr>
          <w:rFonts w:cs="Arial"/>
          <w:iCs/>
          <w:color w:val="000000"/>
        </w:rPr>
        <w:t xml:space="preserve"> </w:t>
      </w:r>
      <w:r>
        <w:rPr>
          <w:rFonts w:cs="Arial"/>
          <w:iCs/>
          <w:color w:val="000000"/>
        </w:rPr>
        <w:t>spolurozhodování obou sociálních partnerů, právo na projednávání, právo na informování či právo na kontrolu.</w:t>
      </w:r>
    </w:p>
    <w:p w:rsidR="00044DC5" w:rsidRDefault="00044DC5" w:rsidP="00044DC5">
      <w:pPr>
        <w:spacing w:after="120"/>
      </w:pPr>
      <w:r w:rsidRPr="008D1365">
        <w:rPr>
          <w:b/>
        </w:rPr>
        <w:lastRenderedPageBreak/>
        <w:t>Výsledky kolektivního vyjednávání</w:t>
      </w:r>
      <w:r>
        <w:t xml:space="preserve"> </w:t>
      </w:r>
      <w:r w:rsidRPr="008D1365">
        <w:rPr>
          <w:b/>
        </w:rPr>
        <w:t>v České republice</w:t>
      </w:r>
      <w:r>
        <w:t xml:space="preserve"> </w:t>
      </w:r>
      <w:r w:rsidRPr="008D1365">
        <w:rPr>
          <w:b/>
        </w:rPr>
        <w:t>respektují zákonné normy</w:t>
      </w:r>
      <w:r>
        <w:t xml:space="preserve"> a v mnoha případech přesahují ujednání v kolektivních smlouvách zákonné požadavky na příslušnou oblast. Z analýzy využití kolektivního vyjednávání v České republice vyplývá, že</w:t>
      </w:r>
      <w:r w:rsidRPr="00B71B0C">
        <w:t xml:space="preserve"> </w:t>
      </w:r>
      <w:r>
        <w:t>v kolektivních smlouvách v podnikatelské sféře je většinou upraveno právo odborové organizace (a případně i zaměstnanců) na informování, spolurozhodování, projednávání, kontrolu i právo na řádný výkon činnosti organizace. Kromě ujednání týkajících se podmínek činnosti odborových organizací u zaměstnavatelů se kolektivní smlouvy velmi často</w:t>
      </w:r>
      <w:r w:rsidRPr="00A36D21">
        <w:t xml:space="preserve"> </w:t>
      </w:r>
      <w:r>
        <w:t>zabývají</w:t>
      </w:r>
      <w:r w:rsidRPr="00A36D21">
        <w:t xml:space="preserve"> </w:t>
      </w:r>
      <w:r>
        <w:t xml:space="preserve">i skupinou ujednání v oblasti trhu práce a řeší obvykle jak oblast zaměstnanosti, tak oblast odměňování zaměstnanců. </w:t>
      </w:r>
      <w:r>
        <w:rPr>
          <w:iCs/>
        </w:rPr>
        <w:t xml:space="preserve">Výsledky analýzy kolektivních smluv v podnikatelské sféře ukázaly, že v roce 2015 řešilo </w:t>
      </w:r>
      <w:r w:rsidRPr="00FA1038">
        <w:rPr>
          <w:b/>
          <w:iCs/>
        </w:rPr>
        <w:t>otázku odměňování 96 %</w:t>
      </w:r>
      <w:r>
        <w:rPr>
          <w:iCs/>
        </w:rPr>
        <w:t xml:space="preserve"> analyzovaných </w:t>
      </w:r>
      <w:r w:rsidRPr="00FA1038">
        <w:rPr>
          <w:b/>
          <w:iCs/>
        </w:rPr>
        <w:t>smluv</w:t>
      </w:r>
      <w:r>
        <w:rPr>
          <w:iCs/>
        </w:rPr>
        <w:t xml:space="preserve">. </w:t>
      </w:r>
      <w:r>
        <w:t xml:space="preserve">Otázce </w:t>
      </w:r>
      <w:r w:rsidRPr="00354105">
        <w:rPr>
          <w:b/>
        </w:rPr>
        <w:t>mzdového vývoje</w:t>
      </w:r>
      <w:r>
        <w:t xml:space="preserve"> se v podnikatelské sféře v roce 2015 věnovalo </w:t>
      </w:r>
      <w:r>
        <w:rPr>
          <w:b/>
        </w:rPr>
        <w:t>61</w:t>
      </w:r>
      <w:r w:rsidRPr="008D1365">
        <w:rPr>
          <w:b/>
        </w:rPr>
        <w:t xml:space="preserve"> %</w:t>
      </w:r>
      <w:r>
        <w:t xml:space="preserve"> </w:t>
      </w:r>
      <w:r w:rsidRPr="008D1365">
        <w:rPr>
          <w:b/>
        </w:rPr>
        <w:t>kolektivních smluv</w:t>
      </w:r>
      <w:r>
        <w:t xml:space="preserve">, přičemž nejčastějším způsobem navyšování úrovně odměňování </w:t>
      </w:r>
      <w:r w:rsidRPr="008D1365">
        <w:t xml:space="preserve">bylo zvýšení mzdových tarifů. </w:t>
      </w:r>
      <w:r>
        <w:t xml:space="preserve">Kromě otázky odměňování se </w:t>
      </w:r>
      <w:r w:rsidRPr="00FA1038">
        <w:rPr>
          <w:b/>
        </w:rPr>
        <w:t>94 %</w:t>
      </w:r>
      <w:r>
        <w:t xml:space="preserve"> kolektivních smluv v podnikatelské sféře věnovalo i </w:t>
      </w:r>
      <w:r w:rsidRPr="00FA1038">
        <w:rPr>
          <w:b/>
        </w:rPr>
        <w:t>úpravě pracovní doby</w:t>
      </w:r>
      <w:r w:rsidRPr="00891D7B">
        <w:t xml:space="preserve"> zaměstnanců. Pracovní dobu upravovalo obecně bez rozlišení 65 % kolektivních smluv a 29 % kolektivních smluv upravovalo pracovní dobu v pracovních režimech.</w:t>
      </w:r>
      <w:r w:rsidRPr="00891D7B">
        <w:rPr>
          <w:b/>
        </w:rPr>
        <w:t xml:space="preserve"> </w:t>
      </w:r>
      <w:r w:rsidRPr="008C633A">
        <w:rPr>
          <w:b/>
        </w:rPr>
        <w:t>Podmínky vývoje zaměstnanosti</w:t>
      </w:r>
      <w:r>
        <w:t xml:space="preserve"> definovalo v podnikatelské sféře </w:t>
      </w:r>
      <w:r w:rsidRPr="00FA1038">
        <w:rPr>
          <w:b/>
        </w:rPr>
        <w:t>33 %</w:t>
      </w:r>
      <w:r>
        <w:t xml:space="preserve"> kolektivních smluv. Výsledky analýzy kolektivního vyjednávání v podnikatelské sféře ukázaly, že je během kolektivního vyjednávání kladen </w:t>
      </w:r>
      <w:r w:rsidRPr="00FA1038">
        <w:rPr>
          <w:b/>
        </w:rPr>
        <w:t>větší důraz na problematiku odměňování</w:t>
      </w:r>
      <w:r>
        <w:t xml:space="preserve"> zaměstnanců, a </w:t>
      </w:r>
      <w:r w:rsidRPr="00FA1038">
        <w:rPr>
          <w:b/>
        </w:rPr>
        <w:t>méně prostoru</w:t>
      </w:r>
      <w:r>
        <w:t xml:space="preserve"> je v kolektivních smlouvách věnováno </w:t>
      </w:r>
      <w:r w:rsidRPr="00FA1038">
        <w:rPr>
          <w:b/>
        </w:rPr>
        <w:t>podmínkám vývoje zaměstnanosti</w:t>
      </w:r>
      <w:r>
        <w:t>.</w:t>
      </w:r>
    </w:p>
    <w:p w:rsidR="00044DC5" w:rsidRDefault="00044DC5" w:rsidP="00044DC5">
      <w:r>
        <w:t xml:space="preserve">Z hlediska úrovně odměňování ukazují výsledky strukturálního výdělkového šetření </w:t>
      </w:r>
      <w:r w:rsidRPr="008E530B">
        <w:rPr>
          <w:b/>
        </w:rPr>
        <w:t>v České republice</w:t>
      </w:r>
      <w:r>
        <w:t xml:space="preserve">, že </w:t>
      </w:r>
      <w:r w:rsidRPr="008E530B">
        <w:rPr>
          <w:b/>
        </w:rPr>
        <w:t>v podnicích pokrytých kolektivními smlouvami</w:t>
      </w:r>
      <w:r>
        <w:t xml:space="preserve"> je </w:t>
      </w:r>
      <w:r w:rsidRPr="008E530B">
        <w:rPr>
          <w:b/>
        </w:rPr>
        <w:t xml:space="preserve">vyšší průměrná </w:t>
      </w:r>
      <w:r>
        <w:t xml:space="preserve">(o 10,5 %) </w:t>
      </w:r>
      <w:r w:rsidRPr="008E530B">
        <w:rPr>
          <w:b/>
        </w:rPr>
        <w:t>i mediánová mzda</w:t>
      </w:r>
      <w:r>
        <w:t xml:space="preserve"> (o 11,7 %) než v podnicích bez uzavřené kolektivní smlouvy.</w:t>
      </w:r>
    </w:p>
    <w:p w:rsidR="00044DC5" w:rsidRDefault="00044DC5" w:rsidP="00044DC5">
      <w:pPr>
        <w:spacing w:after="120"/>
      </w:pPr>
      <w:r>
        <w:rPr>
          <w:iCs/>
        </w:rPr>
        <w:t xml:space="preserve">Výsledky kolektivního vyjednávání v oblasti trhu práce nepochybně </w:t>
      </w:r>
      <w:r w:rsidRPr="00442E3A">
        <w:rPr>
          <w:iCs/>
        </w:rPr>
        <w:t>ovlivňuje</w:t>
      </w:r>
      <w:r>
        <w:rPr>
          <w:iCs/>
        </w:rPr>
        <w:t xml:space="preserve"> i institut minimální mzdy. </w:t>
      </w:r>
      <w:r w:rsidR="00CA19F5">
        <w:rPr>
          <w:iCs/>
        </w:rPr>
        <w:t xml:space="preserve">Oba instituty působí na </w:t>
      </w:r>
      <w:r>
        <w:rPr>
          <w:iCs/>
        </w:rPr>
        <w:t xml:space="preserve">mzdové rozdělení v dané zemi, nicméně směr působení obou institutů </w:t>
      </w:r>
      <w:r w:rsidR="00F95E9B">
        <w:rPr>
          <w:iCs/>
        </w:rPr>
        <w:t xml:space="preserve">určují </w:t>
      </w:r>
      <w:r>
        <w:rPr>
          <w:iCs/>
        </w:rPr>
        <w:t xml:space="preserve">především čtyři faktory – poměr výše minimální mzdy a úrovně tarifů sjednaných v kolektivních smlouvách, role sociálního dialogu v dané zemi, konkurující si cíle hospodářské politiky a v neposlední řadě i vynutitelnost dodržování zákonných sazeb minimální mzdy. Výsledkem spolupůsobení všech faktorů je potom </w:t>
      </w:r>
      <w:r w:rsidRPr="00287115">
        <w:rPr>
          <w:b/>
          <w:iCs/>
        </w:rPr>
        <w:t>vztah mezi kolektivním vyjednáváním a minimální mzdou</w:t>
      </w:r>
      <w:r>
        <w:rPr>
          <w:iCs/>
        </w:rPr>
        <w:t xml:space="preserve">, který se mění v čase, a jeho základní podoba spočívá buď v plné </w:t>
      </w:r>
      <w:r w:rsidRPr="00287115">
        <w:rPr>
          <w:b/>
          <w:iCs/>
        </w:rPr>
        <w:t>komplement</w:t>
      </w:r>
      <w:r>
        <w:rPr>
          <w:b/>
          <w:iCs/>
        </w:rPr>
        <w:t>aritě</w:t>
      </w:r>
      <w:r>
        <w:rPr>
          <w:iCs/>
        </w:rPr>
        <w:t xml:space="preserve">, </w:t>
      </w:r>
      <w:r w:rsidRPr="00287115">
        <w:rPr>
          <w:b/>
          <w:iCs/>
        </w:rPr>
        <w:t>nebo protichůdn</w:t>
      </w:r>
      <w:r>
        <w:rPr>
          <w:b/>
          <w:iCs/>
        </w:rPr>
        <w:t>osti</w:t>
      </w:r>
      <w:r>
        <w:rPr>
          <w:iCs/>
        </w:rPr>
        <w:t>.</w:t>
      </w:r>
    </w:p>
    <w:p w:rsidR="00044DC5" w:rsidRDefault="00044DC5" w:rsidP="00044DC5">
      <w:pPr>
        <w:spacing w:after="120"/>
      </w:pPr>
      <w:r>
        <w:t xml:space="preserve">Se </w:t>
      </w:r>
      <w:r w:rsidRPr="00287115">
        <w:rPr>
          <w:b/>
        </w:rPr>
        <w:t>zvyšováním minimální mzdy</w:t>
      </w:r>
      <w:r>
        <w:t xml:space="preserve"> jsou často spojovány dva efekty. V první řadě dochází k jednorázovému navýšení mezd těch zaměstnanců, jejichž mzdy by byly pod úrovní nového zákonného </w:t>
      </w:r>
      <w:r w:rsidRPr="00287115">
        <w:rPr>
          <w:iCs/>
        </w:rPr>
        <w:t>minima</w:t>
      </w:r>
      <w:r>
        <w:t xml:space="preserve">. Druhotným efektem je </w:t>
      </w:r>
      <w:r w:rsidRPr="00287115">
        <w:t>potom mzdové vzlínání (</w:t>
      </w:r>
      <w:r>
        <w:rPr>
          <w:b/>
        </w:rPr>
        <w:t>vlnění mezd</w:t>
      </w:r>
      <w:r w:rsidRPr="00287115">
        <w:t>),</w:t>
      </w:r>
      <w:r>
        <w:t xml:space="preserve"> tj. přizpůsobení celého mzdového rozdělení nové úrovni minimální mzdy. </w:t>
      </w:r>
      <w:r w:rsidRPr="00287115">
        <w:t xml:space="preserve">Přizpůsobovací efekt v podobě vlnění mezd se však mezi jednotlivými zeměmi liší, přičemž hraje velkou roli </w:t>
      </w:r>
      <w:r>
        <w:t>nastavení parametrů daného</w:t>
      </w:r>
      <w:r w:rsidRPr="00287115">
        <w:t xml:space="preserve"> trhu práce</w:t>
      </w:r>
      <w:r>
        <w:t xml:space="preserve">. V zemích, ve kterých dochází ke zvyšování úrovně minimální mzdy, ale zároveň nedisponují dostatečně silným komplementárním institutem např. v podobě kolektivního vyjednávání, jsou pozitivní efekty minimální mzdy velmi omezené. Pokud lze v těchto zemích pozitivní efekty působení minimální mzdy identifikovat, pak jsou tyto efekty omezeny pouze na nízkopříjmové zaměstnance. Zahraniční zkušenosti ukazují, že </w:t>
      </w:r>
      <w:r w:rsidRPr="00E42A1D">
        <w:rPr>
          <w:b/>
        </w:rPr>
        <w:t>z hlediska</w:t>
      </w:r>
      <w:r w:rsidRPr="00DF61A7">
        <w:rPr>
          <w:b/>
        </w:rPr>
        <w:t xml:space="preserve"> snižování mzdové nerovnosti hraje větší roli postavení odborových organizací než existence institutu minimální mzdy</w:t>
      </w:r>
      <w:r>
        <w:t>. Pokud je v zemi vysoké pokrytí kolektivními smlouvami, může kolektivní vyjednávání dokonce suplovat roli minimální mzdy a podíl nízkopříjmových zaměstnanců je udržován na nízké úrovni.</w:t>
      </w:r>
    </w:p>
    <w:p w:rsidR="00044DC5" w:rsidRDefault="00044DC5" w:rsidP="00044DC5">
      <w:pPr>
        <w:spacing w:after="120"/>
        <w:rPr>
          <w:iCs/>
        </w:rPr>
      </w:pPr>
      <w:r>
        <w:rPr>
          <w:iCs/>
        </w:rPr>
        <w:lastRenderedPageBreak/>
        <w:t xml:space="preserve">Kromě výše zmíněného vlnění mezd se v souvislosti s působením minimální mzdy a kolektivního vyjednávání projevuje dále i </w:t>
      </w:r>
      <w:r>
        <w:t>silná vazba mezi zvyšováním úrovně minimální mzdy a růstem mzdových tarifů sjednávaných v kolektivních smlouvách</w:t>
      </w:r>
      <w:r>
        <w:rPr>
          <w:iCs/>
        </w:rPr>
        <w:t xml:space="preserve">. </w:t>
      </w:r>
      <w:r>
        <w:t xml:space="preserve">Tento </w:t>
      </w:r>
      <w:r w:rsidRPr="00281659">
        <w:rPr>
          <w:b/>
        </w:rPr>
        <w:t>dominový efekt</w:t>
      </w:r>
      <w:r>
        <w:t xml:space="preserve"> (</w:t>
      </w:r>
      <w:r w:rsidRPr="00331A15">
        <w:rPr>
          <w:i/>
        </w:rPr>
        <w:t>ripple effect</w:t>
      </w:r>
      <w:r>
        <w:t xml:space="preserve">) </w:t>
      </w:r>
      <w:r w:rsidRPr="00281659">
        <w:rPr>
          <w:b/>
        </w:rPr>
        <w:t>spojený s růstem minimální mzdy</w:t>
      </w:r>
      <w:r>
        <w:t xml:space="preserve"> by se měl ve výsledcích kolektivního vyjednávání o mzdách projevit v ideálním případě </w:t>
      </w:r>
      <w:r w:rsidRPr="00281659">
        <w:rPr>
          <w:b/>
        </w:rPr>
        <w:t>ve všech tarifních stupních</w:t>
      </w:r>
      <w:r>
        <w:t>.</w:t>
      </w:r>
      <w:r>
        <w:rPr>
          <w:iCs/>
        </w:rPr>
        <w:t xml:space="preserve"> </w:t>
      </w:r>
      <w:r>
        <w:t xml:space="preserve">V praxi se zvyšování minimální mzdy projevuje skutečně u všech tarifních stupňů, nicméně dominový efekt postupuje odspodu a </w:t>
      </w:r>
      <w:r w:rsidRPr="00281659">
        <w:rPr>
          <w:b/>
        </w:rPr>
        <w:t>intenzita s rostoucími stupni většinou klesá</w:t>
      </w:r>
      <w:r>
        <w:t>.</w:t>
      </w:r>
      <w:r w:rsidRPr="004B21C7">
        <w:t xml:space="preserve"> </w:t>
      </w:r>
      <w:r>
        <w:t xml:space="preserve">V rámci analýzy byl tento efekt potvrzen i v České republice. V obdobích, kdy docházelo ke </w:t>
      </w:r>
      <w:r w:rsidRPr="00016EB1">
        <w:t>zvyšování minimální mzdy, rostly nejrychleji nejnižší tarifní stupně, zatímco nejvyšší tarifní stupně z hlediska meziročního tempa růstu zaostávaly. Naopak</w:t>
      </w:r>
      <w:r>
        <w:t xml:space="preserve"> v období, kdy sazba minimální mzdy stagnovala, rostly rychleji vyšší tarifní stupně. Silný dominový efekt tak </w:t>
      </w:r>
      <w:r w:rsidRPr="00CA6CDA">
        <w:rPr>
          <w:b/>
        </w:rPr>
        <w:t>narušuje diferenciaci mezi tarifními stupni</w:t>
      </w:r>
      <w:r>
        <w:t xml:space="preserve"> a měl by být zohledněn při úpravách tarifních stupňů, aby byla i nadále </w:t>
      </w:r>
      <w:r w:rsidRPr="00CA6CDA">
        <w:rPr>
          <w:b/>
        </w:rPr>
        <w:t>respektovány rozdíly</w:t>
      </w:r>
      <w:r>
        <w:t xml:space="preserve"> </w:t>
      </w:r>
      <w:r w:rsidRPr="00CA6CDA">
        <w:rPr>
          <w:b/>
        </w:rPr>
        <w:t>mezi pracemi</w:t>
      </w:r>
      <w:r>
        <w:t xml:space="preserve"> </w:t>
      </w:r>
      <w:r w:rsidRPr="00CA6CDA">
        <w:rPr>
          <w:b/>
        </w:rPr>
        <w:t>z hlediska</w:t>
      </w:r>
      <w:r>
        <w:t xml:space="preserve"> jejich </w:t>
      </w:r>
      <w:r w:rsidRPr="00CA6CDA">
        <w:rPr>
          <w:b/>
        </w:rPr>
        <w:t>náročnosti</w:t>
      </w:r>
      <w:r>
        <w:t>. Pro úplnost uveďme, že snižování diferenciace tarifních stupňů ve vztahu k minimální mzdě bylo během období zvyšování minimální mzdy typické i pro Českou republiku.</w:t>
      </w:r>
    </w:p>
    <w:p w:rsidR="00044DC5" w:rsidRDefault="00044DC5" w:rsidP="00044DC5">
      <w:r>
        <w:rPr>
          <w:lang w:eastAsia="cs-CZ"/>
        </w:rPr>
        <w:t xml:space="preserve">Obecně patří </w:t>
      </w:r>
      <w:r w:rsidRPr="00126F55">
        <w:rPr>
          <w:b/>
          <w:lang w:eastAsia="cs-CZ"/>
        </w:rPr>
        <w:t>Česká republika</w:t>
      </w:r>
      <w:r>
        <w:rPr>
          <w:lang w:eastAsia="cs-CZ"/>
        </w:rPr>
        <w:t xml:space="preserve"> ve srovnání s ostatními evropskými zeměmi k zemím se </w:t>
      </w:r>
      <w:r w:rsidRPr="002850D6">
        <w:rPr>
          <w:b/>
          <w:lang w:eastAsia="cs-CZ"/>
        </w:rPr>
        <w:t>střední úrovní centralizace</w:t>
      </w:r>
      <w:r>
        <w:rPr>
          <w:lang w:eastAsia="cs-CZ"/>
        </w:rPr>
        <w:t xml:space="preserve"> a </w:t>
      </w:r>
      <w:r w:rsidRPr="002850D6">
        <w:rPr>
          <w:b/>
          <w:lang w:eastAsia="cs-CZ"/>
        </w:rPr>
        <w:t>nízkou úrovní koordinace kolektivního vyjednávání o mzdách</w:t>
      </w:r>
      <w:r>
        <w:rPr>
          <w:lang w:eastAsia="cs-CZ"/>
        </w:rPr>
        <w:t>. Kolektivní vyjednávání probíhá převážně na firemní úrovni, ale konzultace a jednání ke stanovení minimální mzdy probíhají na centrální úrovni. Současné tempo růstu minimální mzdy klade vyšší nároky na koordinaci nejenom při vyjednávání o zvýšení minimální mzdy, ale i při reakci firem na novou úroveň minimální mzdy. Ukazuje se, že otázka zaměstnanců odměňovaných na úrovni minimální mzdy je téměř z 94 % záležitostí podnikatelské sféry. Největší podíl zaměstnanců na minimální mzdě byl v roce 2013 v odvětví administrativních a podpůrných činností – j</w:t>
      </w:r>
      <w:r w:rsidRPr="005D0842">
        <w:t>sou to převážně zaměstnanci z bezpečnostních agentur, úklidových služeb a pracovních agentur</w:t>
      </w:r>
      <w:r>
        <w:t xml:space="preserve">. Za pozornost stojí dále odvětví </w:t>
      </w:r>
      <w:r w:rsidRPr="00506F73">
        <w:t>ubytování, stravování a pohostinství</w:t>
      </w:r>
      <w:r>
        <w:t xml:space="preserve">, v němž více než 71 % zaměstnanců patří do kategorie nízkovýdělkových se mzdou </w:t>
      </w:r>
      <w:r w:rsidRPr="005D0842">
        <w:t>menší než 2/3 m</w:t>
      </w:r>
      <w:r>
        <w:t>ediánu měsíčního výdělku v ČR.</w:t>
      </w:r>
    </w:p>
    <w:p w:rsidR="00503834" w:rsidRDefault="00BB51A5" w:rsidP="00044DC5">
      <w:pPr>
        <w:spacing w:before="0" w:after="0"/>
      </w:pPr>
      <w:r>
        <w:rPr>
          <w:lang w:eastAsia="cs-CZ"/>
        </w:rPr>
        <w:t>Závěre</w:t>
      </w:r>
      <w:r w:rsidR="00044DC5">
        <w:rPr>
          <w:lang w:eastAsia="cs-CZ"/>
        </w:rPr>
        <w:t>m lze říci, že s</w:t>
      </w:r>
      <w:r w:rsidR="00044DC5" w:rsidRPr="006F235C">
        <w:rPr>
          <w:lang w:eastAsia="cs-CZ"/>
        </w:rPr>
        <w:t xml:space="preserve">oučasný mechanismus stanovení minimální mzdy platí od roku 1990 a </w:t>
      </w:r>
      <w:r w:rsidR="00044DC5">
        <w:rPr>
          <w:lang w:eastAsia="cs-CZ"/>
        </w:rPr>
        <w:t>podle podobného</w:t>
      </w:r>
      <w:r w:rsidR="00044DC5" w:rsidRPr="006F235C">
        <w:rPr>
          <w:lang w:eastAsia="cs-CZ"/>
        </w:rPr>
        <w:t xml:space="preserve"> model</w:t>
      </w:r>
      <w:r w:rsidR="00044DC5">
        <w:rPr>
          <w:lang w:eastAsia="cs-CZ"/>
        </w:rPr>
        <w:t>u</w:t>
      </w:r>
      <w:r w:rsidR="00044DC5" w:rsidRPr="006F235C">
        <w:rPr>
          <w:lang w:eastAsia="cs-CZ"/>
        </w:rPr>
        <w:t xml:space="preserve"> </w:t>
      </w:r>
      <w:r w:rsidR="00044DC5">
        <w:rPr>
          <w:lang w:eastAsia="cs-CZ"/>
        </w:rPr>
        <w:t>postupují</w:t>
      </w:r>
      <w:r w:rsidR="00044DC5" w:rsidRPr="006F235C">
        <w:rPr>
          <w:lang w:eastAsia="cs-CZ"/>
        </w:rPr>
        <w:t xml:space="preserve"> v Irsku, Řecku a Rumunsku (Schulten, 2014). </w:t>
      </w:r>
      <w:r w:rsidR="00044DC5" w:rsidRPr="00801865">
        <w:rPr>
          <w:b/>
          <w:lang w:eastAsia="cs-CZ"/>
        </w:rPr>
        <w:t>Ve většině evropských zemí</w:t>
      </w:r>
      <w:r w:rsidR="00044DC5" w:rsidRPr="006F235C">
        <w:rPr>
          <w:lang w:eastAsia="cs-CZ"/>
        </w:rPr>
        <w:t xml:space="preserve"> se uplatňují </w:t>
      </w:r>
      <w:r w:rsidR="00044DC5" w:rsidRPr="00801865">
        <w:rPr>
          <w:b/>
          <w:lang w:eastAsia="cs-CZ"/>
        </w:rPr>
        <w:t>v</w:t>
      </w:r>
      <w:r w:rsidR="00044DC5" w:rsidRPr="00801865">
        <w:rPr>
          <w:b/>
        </w:rPr>
        <w:t>yjednávací, konzultační a indexační mechanismy nebo jejich kombinace</w:t>
      </w:r>
      <w:r w:rsidR="00044DC5" w:rsidRPr="006F235C">
        <w:t>, které dávají v prvé řadě příležitost dohodě sociálních partnerů a vládě ponechávají ve větší nebo menší míře možnost korekce.</w:t>
      </w:r>
      <w:r w:rsidR="00044DC5">
        <w:t xml:space="preserve"> </w:t>
      </w:r>
      <w:r w:rsidR="00044DC5" w:rsidRPr="0042593D">
        <w:t xml:space="preserve">Je tedy otázkou celospolečenské volby, jakým způsobem budou </w:t>
      </w:r>
      <w:r w:rsidR="00044DC5">
        <w:t>dále nastavová</w:t>
      </w:r>
      <w:r w:rsidR="00044DC5" w:rsidRPr="0042593D">
        <w:t>ny principy fungování odborových organizací</w:t>
      </w:r>
      <w:r w:rsidR="00044DC5">
        <w:t>,</w:t>
      </w:r>
      <w:r w:rsidR="00044DC5" w:rsidRPr="0042593D">
        <w:t xml:space="preserve"> kolektivního vyjednávání</w:t>
      </w:r>
      <w:r w:rsidR="00044DC5">
        <w:t xml:space="preserve"> i mechanismu stanovení minimálních mezd v České republice</w:t>
      </w:r>
      <w:r w:rsidR="00044DC5" w:rsidRPr="0042593D">
        <w:t>.</w:t>
      </w:r>
    </w:p>
    <w:p w:rsidR="00887085" w:rsidRDefault="00887085" w:rsidP="00D72A14">
      <w:pPr>
        <w:spacing w:before="0" w:after="0"/>
      </w:pPr>
    </w:p>
    <w:p w:rsidR="00887085" w:rsidRDefault="00887085" w:rsidP="00D72A14">
      <w:pPr>
        <w:spacing w:before="0" w:after="0"/>
      </w:pPr>
    </w:p>
    <w:p w:rsidR="000B78E4" w:rsidRDefault="000B78E4">
      <w:pPr>
        <w:spacing w:before="240"/>
        <w:ind w:left="357" w:hanging="357"/>
      </w:pPr>
      <w:r>
        <w:br w:type="page"/>
      </w:r>
    </w:p>
    <w:p w:rsidR="000B78E4" w:rsidRDefault="000B78E4" w:rsidP="00077B08">
      <w:pPr>
        <w:pStyle w:val="Nadpis1"/>
        <w:numPr>
          <w:ilvl w:val="0"/>
          <w:numId w:val="0"/>
        </w:numPr>
        <w:ind w:left="567" w:hanging="567"/>
      </w:pPr>
      <w:bookmarkStart w:id="25" w:name="_Toc436143420"/>
      <w:r>
        <w:lastRenderedPageBreak/>
        <w:t>Literatura</w:t>
      </w:r>
      <w:bookmarkEnd w:id="25"/>
    </w:p>
    <w:p w:rsidR="00044DC5" w:rsidRPr="00044DC5" w:rsidRDefault="00044DC5" w:rsidP="00044DC5">
      <w:pPr>
        <w:spacing w:before="240" w:after="240"/>
        <w:rPr>
          <w:rFonts w:cs="Arial"/>
          <w:sz w:val="22"/>
          <w:szCs w:val="22"/>
          <w:lang w:val="en-GB"/>
        </w:rPr>
      </w:pPr>
      <w:r w:rsidRPr="00044DC5">
        <w:rPr>
          <w:rFonts w:cs="Arial"/>
          <w:sz w:val="22"/>
          <w:szCs w:val="22"/>
          <w:lang w:val="en-GB"/>
        </w:rPr>
        <w:t xml:space="preserve">Acemoglu, D., Pischke, J.-S. 1999. Minimum Wages and On-the-Job Training </w:t>
      </w:r>
      <w:r w:rsidRPr="00044DC5">
        <w:rPr>
          <w:rFonts w:cs="Arial"/>
          <w:sz w:val="22"/>
          <w:szCs w:val="22"/>
          <w:lang w:val="en-US"/>
        </w:rPr>
        <w:t>[</w:t>
      </w:r>
      <w:r w:rsidRPr="00044DC5">
        <w:rPr>
          <w:rFonts w:cs="Arial"/>
          <w:sz w:val="22"/>
          <w:szCs w:val="22"/>
          <w:lang w:val="en-GB"/>
        </w:rPr>
        <w:t>NBER Working Paper, No. 7184]. Cambridge (MA): National Bureau of Economic Research.</w:t>
      </w:r>
    </w:p>
    <w:p w:rsidR="00044DC5" w:rsidRPr="00044DC5" w:rsidRDefault="00044DC5" w:rsidP="00044DC5">
      <w:pPr>
        <w:spacing w:before="240" w:after="240"/>
        <w:rPr>
          <w:rFonts w:cs="Arial"/>
          <w:sz w:val="22"/>
          <w:szCs w:val="22"/>
          <w:lang w:val="en-GB"/>
        </w:rPr>
      </w:pPr>
      <w:r w:rsidRPr="00044DC5">
        <w:rPr>
          <w:rFonts w:cs="Arial"/>
          <w:sz w:val="22"/>
          <w:szCs w:val="22"/>
          <w:lang w:val="en-GB"/>
        </w:rPr>
        <w:t xml:space="preserve">Aidt, T., Tzannatos, Z. 2002. </w:t>
      </w:r>
      <w:r w:rsidRPr="00044DC5">
        <w:rPr>
          <w:rFonts w:cs="Arial"/>
          <w:i/>
          <w:sz w:val="22"/>
          <w:szCs w:val="22"/>
          <w:lang w:val="en-GB"/>
        </w:rPr>
        <w:t>Unions and Collective Bargaining: Economic Effects in a Global Environment</w:t>
      </w:r>
      <w:r w:rsidRPr="00044DC5">
        <w:rPr>
          <w:rFonts w:cs="Arial"/>
          <w:sz w:val="22"/>
          <w:szCs w:val="22"/>
          <w:lang w:val="en-GB"/>
        </w:rPr>
        <w:t>. Washington, DC: World Bank, 2002.</w:t>
      </w:r>
    </w:p>
    <w:p w:rsidR="00044DC5" w:rsidRPr="0056685E" w:rsidRDefault="00044DC5" w:rsidP="00044DC5">
      <w:pPr>
        <w:spacing w:before="240" w:after="240"/>
        <w:rPr>
          <w:rFonts w:cs="Arial"/>
          <w:sz w:val="22"/>
          <w:szCs w:val="22"/>
          <w:lang w:val="en-GB"/>
        </w:rPr>
      </w:pPr>
      <w:r w:rsidRPr="00044DC5">
        <w:rPr>
          <w:rFonts w:cs="Arial"/>
          <w:sz w:val="22"/>
          <w:szCs w:val="22"/>
          <w:lang w:val="en-GB"/>
        </w:rPr>
        <w:t xml:space="preserve">Becker, G. S. 1993. </w:t>
      </w:r>
      <w:r w:rsidRPr="00044DC5">
        <w:rPr>
          <w:rFonts w:cs="Arial"/>
          <w:i/>
          <w:sz w:val="22"/>
          <w:szCs w:val="22"/>
          <w:lang w:val="en-GB"/>
        </w:rPr>
        <w:t>Human capital: a theoretical and empirical analysis with special reference to education</w:t>
      </w:r>
      <w:r w:rsidRPr="00044DC5">
        <w:rPr>
          <w:rFonts w:cs="Arial"/>
          <w:sz w:val="22"/>
          <w:szCs w:val="22"/>
          <w:lang w:val="en-GB"/>
        </w:rPr>
        <w:t>. 3rd ed. Chicago, IL [US]: University of Chicago Press, 1993.</w:t>
      </w:r>
    </w:p>
    <w:p w:rsidR="00D9764F" w:rsidRPr="00E358D6" w:rsidRDefault="00D9764F" w:rsidP="00D9764F">
      <w:pPr>
        <w:spacing w:before="240" w:after="240"/>
        <w:rPr>
          <w:rFonts w:cs="Arial"/>
          <w:sz w:val="22"/>
          <w:szCs w:val="22"/>
          <w:lang w:val="en-GB"/>
        </w:rPr>
      </w:pPr>
      <w:r w:rsidRPr="00E358D6">
        <w:rPr>
          <w:rFonts w:cs="Arial"/>
          <w:sz w:val="22"/>
          <w:szCs w:val="22"/>
          <w:lang w:val="en-GB"/>
        </w:rPr>
        <w:t xml:space="preserve">Blanchflower, D., Bryson. A. 2002. Changes over Time in Union Relative Wage Effects in the UK and the US Revisited [NBER Working Paper No. 9395]. </w:t>
      </w:r>
      <w:r w:rsidRPr="0049663D">
        <w:rPr>
          <w:rFonts w:cs="Arial"/>
          <w:sz w:val="22"/>
          <w:szCs w:val="22"/>
          <w:lang w:val="en-GB"/>
        </w:rPr>
        <w:t>Cambridge, MA: National Bureau of Economic Research</w:t>
      </w:r>
      <w:r>
        <w:rPr>
          <w:rFonts w:cs="Arial"/>
          <w:sz w:val="22"/>
          <w:szCs w:val="22"/>
          <w:lang w:val="en-GB"/>
        </w:rPr>
        <w:t>.</w:t>
      </w:r>
    </w:p>
    <w:p w:rsidR="00D9764F" w:rsidRPr="0049663D" w:rsidRDefault="00D9764F" w:rsidP="00D9764F">
      <w:pPr>
        <w:spacing w:before="240" w:after="240"/>
        <w:rPr>
          <w:rFonts w:cs="Arial"/>
          <w:sz w:val="22"/>
          <w:szCs w:val="22"/>
          <w:lang w:val="en-GB"/>
        </w:rPr>
      </w:pPr>
      <w:r w:rsidRPr="0049663D">
        <w:rPr>
          <w:rFonts w:cs="Arial"/>
          <w:sz w:val="22"/>
          <w:szCs w:val="22"/>
          <w:lang w:val="en-GB"/>
        </w:rPr>
        <w:t xml:space="preserve">Blanchflower, D. G., Bryson, A. 2004. What Effect Do Unions Have on Wages Now and Would Freeman and Medoff Be Surprised? </w:t>
      </w:r>
      <w:r w:rsidRPr="0049663D">
        <w:rPr>
          <w:rFonts w:cs="Arial"/>
          <w:i/>
          <w:sz w:val="22"/>
          <w:szCs w:val="22"/>
          <w:lang w:val="en-GB"/>
        </w:rPr>
        <w:t>Journal of Labor Research</w:t>
      </w:r>
      <w:r w:rsidRPr="0049663D">
        <w:rPr>
          <w:rFonts w:cs="Arial"/>
          <w:sz w:val="22"/>
          <w:szCs w:val="22"/>
          <w:lang w:val="en-GB"/>
        </w:rPr>
        <w:t>, 2004, Vol. 25, No. 3 (Summer)</w:t>
      </w:r>
      <w:r>
        <w:rPr>
          <w:rFonts w:cs="Arial"/>
          <w:sz w:val="22"/>
          <w:szCs w:val="22"/>
          <w:lang w:val="en-GB"/>
        </w:rPr>
        <w:t>, pp. 383</w:t>
      </w:r>
      <w:r>
        <w:rPr>
          <w:rFonts w:cs="Arial"/>
          <w:sz w:val="22"/>
          <w:szCs w:val="22"/>
          <w:lang w:val="en-GB"/>
        </w:rPr>
        <w:noBreakHyphen/>
        <w:t>414.</w:t>
      </w:r>
    </w:p>
    <w:p w:rsidR="00D9764F" w:rsidRPr="000524DF" w:rsidRDefault="00D9764F" w:rsidP="00D9764F">
      <w:pPr>
        <w:spacing w:before="240" w:after="240"/>
        <w:rPr>
          <w:rFonts w:cs="Arial"/>
          <w:sz w:val="22"/>
          <w:szCs w:val="22"/>
          <w:lang w:val="en-GB"/>
        </w:rPr>
      </w:pPr>
      <w:r w:rsidRPr="000524DF">
        <w:rPr>
          <w:rFonts w:cs="Arial"/>
          <w:sz w:val="22"/>
          <w:szCs w:val="22"/>
          <w:lang w:val="en-GB"/>
        </w:rPr>
        <w:t xml:space="preserve">Budd, J. W. 2004. Non-Wage Forms of Compensation. </w:t>
      </w:r>
      <w:r w:rsidRPr="000524DF">
        <w:rPr>
          <w:rFonts w:cs="Arial"/>
          <w:i/>
          <w:sz w:val="22"/>
          <w:szCs w:val="22"/>
          <w:lang w:val="en-GB"/>
        </w:rPr>
        <w:t>Journal of Labor Research</w:t>
      </w:r>
      <w:r w:rsidRPr="000524DF">
        <w:rPr>
          <w:rFonts w:cs="Arial"/>
          <w:sz w:val="22"/>
          <w:szCs w:val="22"/>
          <w:lang w:val="en-GB"/>
        </w:rPr>
        <w:t>, 2004, Vol. 25, No. 4 (Fall)</w:t>
      </w:r>
      <w:r>
        <w:rPr>
          <w:rFonts w:cs="Arial"/>
          <w:sz w:val="22"/>
          <w:szCs w:val="22"/>
          <w:lang w:val="en-GB"/>
        </w:rPr>
        <w:t xml:space="preserve">, </w:t>
      </w:r>
      <w:r w:rsidRPr="00002181">
        <w:rPr>
          <w:rFonts w:cs="Arial"/>
          <w:sz w:val="22"/>
          <w:szCs w:val="22"/>
          <w:lang w:val="en-GB"/>
        </w:rPr>
        <w:t>pp. 597-622</w:t>
      </w:r>
      <w:r>
        <w:rPr>
          <w:rFonts w:cs="Arial"/>
          <w:sz w:val="22"/>
          <w:szCs w:val="22"/>
          <w:lang w:val="en-GB"/>
        </w:rPr>
        <w:t xml:space="preserve">. DOI: </w:t>
      </w:r>
      <w:r w:rsidRPr="00002181">
        <w:rPr>
          <w:rFonts w:cs="Arial"/>
          <w:sz w:val="22"/>
          <w:szCs w:val="22"/>
          <w:lang w:val="en-GB"/>
        </w:rPr>
        <w:t>10.1007/s12122-004-1013-x</w:t>
      </w:r>
    </w:p>
    <w:p w:rsidR="00D9764F" w:rsidRPr="00470C73" w:rsidRDefault="00D9764F" w:rsidP="00D9764F">
      <w:pPr>
        <w:spacing w:before="240" w:after="240"/>
        <w:rPr>
          <w:rFonts w:cs="Arial"/>
          <w:sz w:val="22"/>
          <w:szCs w:val="22"/>
          <w:lang w:val="en-GB"/>
        </w:rPr>
      </w:pPr>
      <w:r w:rsidRPr="00470C73">
        <w:rPr>
          <w:rFonts w:cs="Arial"/>
          <w:sz w:val="22"/>
          <w:szCs w:val="22"/>
          <w:lang w:val="en-GB"/>
        </w:rPr>
        <w:t xml:space="preserve">Budd, J. W., Na, I.-G. 2000. The Union Membership Wage Premium for Employees Covered by Collective Bargaining Agreements. </w:t>
      </w:r>
      <w:r w:rsidRPr="00470C73">
        <w:rPr>
          <w:i/>
          <w:iCs/>
          <w:sz w:val="22"/>
          <w:szCs w:val="22"/>
          <w:lang w:val="en-GB"/>
        </w:rPr>
        <w:t xml:space="preserve">Journal of Labor Economics, 2000, </w:t>
      </w:r>
      <w:r w:rsidRPr="00470C73">
        <w:rPr>
          <w:rFonts w:cs="Arial"/>
          <w:sz w:val="22"/>
          <w:szCs w:val="22"/>
          <w:lang w:val="en-GB"/>
        </w:rPr>
        <w:t>Vol. 18, No. 4 (October 2000), pp. 783-807.</w:t>
      </w:r>
    </w:p>
    <w:p w:rsidR="00D9764F" w:rsidRPr="00D4314F" w:rsidRDefault="00D9764F" w:rsidP="00D9764F">
      <w:pPr>
        <w:spacing w:before="240" w:after="240"/>
        <w:rPr>
          <w:rFonts w:cs="Arial"/>
          <w:sz w:val="22"/>
          <w:szCs w:val="22"/>
          <w:lang w:val="en-GB"/>
        </w:rPr>
      </w:pPr>
      <w:r w:rsidRPr="00D4314F">
        <w:rPr>
          <w:rFonts w:cs="Arial"/>
          <w:sz w:val="22"/>
          <w:szCs w:val="22"/>
          <w:lang w:val="en-GB"/>
        </w:rPr>
        <w:t xml:space="preserve">Checchi, D., Lucifora, C. 2002. Unions and labour market institutions in Europe. </w:t>
      </w:r>
      <w:r w:rsidRPr="00D4314F">
        <w:rPr>
          <w:rFonts w:cs="Arial"/>
          <w:i/>
          <w:sz w:val="22"/>
          <w:szCs w:val="22"/>
          <w:lang w:val="en-GB"/>
        </w:rPr>
        <w:t>Economic Policy</w:t>
      </w:r>
      <w:r w:rsidRPr="00D4314F">
        <w:rPr>
          <w:rFonts w:cs="Arial"/>
          <w:sz w:val="22"/>
          <w:szCs w:val="22"/>
          <w:lang w:val="en-GB"/>
        </w:rPr>
        <w:t>, 2002, Vol. 17, No. 35, pp. 361-408. DOI: 10.1111/1468-0327.00092</w:t>
      </w:r>
    </w:p>
    <w:p w:rsidR="00D9764F" w:rsidRPr="00D300A0" w:rsidRDefault="00D9764F" w:rsidP="00D9764F">
      <w:pPr>
        <w:spacing w:before="240" w:after="240"/>
        <w:rPr>
          <w:rFonts w:cs="Arial"/>
          <w:sz w:val="22"/>
          <w:szCs w:val="22"/>
          <w:lang w:val="en-GB"/>
        </w:rPr>
      </w:pPr>
      <w:r w:rsidRPr="00D300A0">
        <w:rPr>
          <w:rFonts w:cs="Arial"/>
          <w:sz w:val="22"/>
          <w:szCs w:val="22"/>
          <w:lang w:val="en-GB"/>
        </w:rPr>
        <w:t>Dickens, R., Machin, S., Manning, A. 1994. Estimating the Effect of Minimum Wages on Employment from the Distribution of Wages: A Critical Review. Centre for Economic Performance LSE CEP Discussion Paper No. 203 (August 1994).</w:t>
      </w:r>
    </w:p>
    <w:p w:rsidR="00D9764F" w:rsidRDefault="00D9764F" w:rsidP="00D9764F">
      <w:pPr>
        <w:spacing w:before="240" w:after="240"/>
        <w:rPr>
          <w:rFonts w:cs="Arial"/>
          <w:sz w:val="22"/>
          <w:szCs w:val="22"/>
          <w:lang w:val="en-GB"/>
        </w:rPr>
      </w:pPr>
      <w:r w:rsidRPr="00027FDF">
        <w:rPr>
          <w:rFonts w:cs="Arial"/>
          <w:sz w:val="22"/>
          <w:szCs w:val="22"/>
          <w:lang w:val="en-GB"/>
        </w:rPr>
        <w:t xml:space="preserve">Dinardo, J., Lee, D. S. 2004. Economic Impacts of New Unionization on Private Sector Employers: 1984-2001. </w:t>
      </w:r>
      <w:r w:rsidRPr="00027FDF">
        <w:rPr>
          <w:rFonts w:cs="Arial"/>
          <w:i/>
          <w:sz w:val="22"/>
          <w:szCs w:val="22"/>
          <w:lang w:val="en-GB"/>
        </w:rPr>
        <w:t>The Quarterly Journal of Economics</w:t>
      </w:r>
      <w:r w:rsidRPr="00027FDF">
        <w:rPr>
          <w:rFonts w:cs="Arial"/>
          <w:sz w:val="22"/>
          <w:szCs w:val="22"/>
          <w:lang w:val="en-GB"/>
        </w:rPr>
        <w:t>, 2004, Vol. 119, No. 4 (November 2004), pp. 1383</w:t>
      </w:r>
      <w:r w:rsidRPr="00027FDF">
        <w:rPr>
          <w:rFonts w:cs="Arial"/>
          <w:sz w:val="22"/>
          <w:szCs w:val="22"/>
          <w:lang w:val="en-GB"/>
        </w:rPr>
        <w:noBreakHyphen/>
        <w:t>1441.</w:t>
      </w:r>
    </w:p>
    <w:p w:rsidR="00D9764F" w:rsidRPr="00990E14" w:rsidRDefault="00D9764F" w:rsidP="00D9764F">
      <w:pPr>
        <w:spacing w:before="240" w:after="240"/>
        <w:rPr>
          <w:rFonts w:cs="Arial"/>
          <w:sz w:val="22"/>
          <w:szCs w:val="22"/>
          <w:lang w:val="en-GB"/>
        </w:rPr>
      </w:pPr>
      <w:r w:rsidRPr="00990E14">
        <w:rPr>
          <w:rFonts w:cs="Arial"/>
          <w:sz w:val="22"/>
          <w:szCs w:val="22"/>
          <w:lang w:val="en-GB"/>
        </w:rPr>
        <w:t xml:space="preserve">Dunne, T.,MacPherson, D. 1994. Unionism and Gross Employment Flows. </w:t>
      </w:r>
      <w:r w:rsidRPr="00990E14">
        <w:rPr>
          <w:rFonts w:cs="Arial"/>
          <w:i/>
          <w:sz w:val="22"/>
          <w:szCs w:val="22"/>
          <w:lang w:val="en-GB"/>
        </w:rPr>
        <w:t>Southern Economic Journal</w:t>
      </w:r>
      <w:r w:rsidRPr="00990E14">
        <w:rPr>
          <w:rFonts w:cs="Arial"/>
          <w:sz w:val="22"/>
          <w:szCs w:val="22"/>
          <w:lang w:val="en-GB"/>
        </w:rPr>
        <w:t>, Vol. 60, No. 3 (January 1994), pp. 727-738.</w:t>
      </w:r>
    </w:p>
    <w:p w:rsidR="00693BCD" w:rsidRPr="00693BCD" w:rsidRDefault="004E3064" w:rsidP="00693BCD">
      <w:pPr>
        <w:spacing w:before="0" w:after="240"/>
        <w:rPr>
          <w:rFonts w:cs="Arial"/>
          <w:sz w:val="22"/>
          <w:szCs w:val="22"/>
          <w:lang w:val="en-GB"/>
        </w:rPr>
      </w:pPr>
      <w:r>
        <w:rPr>
          <w:rFonts w:cs="Arial"/>
          <w:sz w:val="22"/>
          <w:szCs w:val="22"/>
          <w:lang w:val="en-GB"/>
        </w:rPr>
        <w:t>ETUI. 2015.</w:t>
      </w:r>
      <w:r w:rsidR="00693BCD" w:rsidRPr="00693BCD">
        <w:rPr>
          <w:rFonts w:cs="Arial"/>
          <w:sz w:val="22"/>
          <w:szCs w:val="22"/>
          <w:lang w:val="en-GB"/>
        </w:rPr>
        <w:t xml:space="preserve"> Wage bargaining under the new European Economic Governance - Alternative strategies for inc</w:t>
      </w:r>
      <w:r>
        <w:rPr>
          <w:rFonts w:cs="Arial"/>
          <w:sz w:val="22"/>
          <w:szCs w:val="22"/>
          <w:lang w:val="en-GB"/>
        </w:rPr>
        <w:t>lusive growth, Brussels, 2015.</w:t>
      </w:r>
      <w:r w:rsidR="00693BCD">
        <w:rPr>
          <w:rFonts w:cs="Arial"/>
          <w:sz w:val="22"/>
          <w:szCs w:val="22"/>
          <w:lang w:val="en-GB"/>
        </w:rPr>
        <w:t xml:space="preserve"> </w:t>
      </w:r>
      <w:r w:rsidR="00693BCD" w:rsidRPr="00693BCD">
        <w:rPr>
          <w:rFonts w:cs="Arial"/>
          <w:sz w:val="22"/>
          <w:szCs w:val="22"/>
          <w:lang w:val="en-GB"/>
        </w:rPr>
        <w:t xml:space="preserve"> </w:t>
      </w:r>
    </w:p>
    <w:p w:rsidR="00693BCD" w:rsidRPr="00693BCD" w:rsidRDefault="004E3064" w:rsidP="00693BCD">
      <w:pPr>
        <w:spacing w:before="0" w:after="240"/>
        <w:rPr>
          <w:rFonts w:cs="Arial"/>
          <w:sz w:val="22"/>
          <w:szCs w:val="22"/>
          <w:lang w:val="en-GB"/>
        </w:rPr>
      </w:pPr>
      <w:r>
        <w:rPr>
          <w:rFonts w:cs="Arial"/>
          <w:sz w:val="22"/>
          <w:szCs w:val="22"/>
          <w:lang w:val="en-GB"/>
        </w:rPr>
        <w:t>Eurofound. 2015.</w:t>
      </w:r>
      <w:r w:rsidR="00693BCD" w:rsidRPr="00693BCD">
        <w:rPr>
          <w:rFonts w:cs="Arial"/>
          <w:sz w:val="22"/>
          <w:szCs w:val="22"/>
          <w:lang w:val="en-GB"/>
        </w:rPr>
        <w:t xml:space="preserve"> Collective bargaining in Europe in the 21st century, Publications Office of the European Union, Luxembourg.</w:t>
      </w:r>
    </w:p>
    <w:p w:rsidR="00D9764F" w:rsidRPr="006A3862" w:rsidRDefault="00D9764F" w:rsidP="00D9764F">
      <w:pPr>
        <w:spacing w:before="240" w:after="240"/>
        <w:rPr>
          <w:rFonts w:cs="Arial"/>
          <w:sz w:val="22"/>
          <w:szCs w:val="22"/>
          <w:lang w:val="en-GB"/>
        </w:rPr>
      </w:pPr>
      <w:r w:rsidRPr="006A3862">
        <w:rPr>
          <w:rFonts w:cs="Arial"/>
          <w:sz w:val="22"/>
          <w:szCs w:val="22"/>
          <w:lang w:val="en-GB"/>
        </w:rPr>
        <w:t xml:space="preserve">Freeman, R. B. 1996. The minimum wage as a redistributive tool. </w:t>
      </w:r>
      <w:r w:rsidRPr="006A3862">
        <w:rPr>
          <w:rFonts w:cs="Arial"/>
          <w:i/>
          <w:sz w:val="22"/>
          <w:szCs w:val="22"/>
          <w:lang w:val="en-GB"/>
        </w:rPr>
        <w:t>The Economic Journal</w:t>
      </w:r>
      <w:r w:rsidRPr="006A3862">
        <w:rPr>
          <w:rFonts w:cs="Arial"/>
          <w:sz w:val="22"/>
          <w:szCs w:val="22"/>
          <w:lang w:val="en-GB"/>
        </w:rPr>
        <w:t>, 1996, Vol. 106, No. 436 (May, 1996), pp. 639-649.</w:t>
      </w:r>
    </w:p>
    <w:p w:rsidR="00D9764F" w:rsidRPr="0049663D" w:rsidRDefault="00D9764F" w:rsidP="00D9764F">
      <w:pPr>
        <w:spacing w:before="240" w:after="240"/>
        <w:rPr>
          <w:rFonts w:cs="Arial"/>
          <w:sz w:val="22"/>
          <w:szCs w:val="22"/>
          <w:lang w:val="en-GB"/>
        </w:rPr>
      </w:pPr>
      <w:r w:rsidRPr="0049663D">
        <w:rPr>
          <w:rFonts w:cs="Arial"/>
          <w:sz w:val="22"/>
          <w:szCs w:val="22"/>
          <w:lang w:val="en-GB"/>
        </w:rPr>
        <w:t>Freeman, R. B. 2005. What Do Unions Do?: The 2004 M-Brane Stringtwister Edition [NBER Working Paper No. 11410]. Cambridge, MA: National Bureau of Economic Research.</w:t>
      </w:r>
    </w:p>
    <w:p w:rsidR="00D9764F" w:rsidRPr="0049663D" w:rsidRDefault="00D9764F" w:rsidP="00D9764F">
      <w:pPr>
        <w:spacing w:before="240" w:after="240"/>
        <w:rPr>
          <w:rFonts w:cs="Arial"/>
          <w:sz w:val="22"/>
          <w:szCs w:val="22"/>
          <w:lang w:val="en-GB"/>
        </w:rPr>
      </w:pPr>
      <w:r w:rsidRPr="0049663D">
        <w:rPr>
          <w:rFonts w:cs="Arial"/>
          <w:sz w:val="22"/>
          <w:szCs w:val="22"/>
          <w:lang w:val="en-GB"/>
        </w:rPr>
        <w:lastRenderedPageBreak/>
        <w:t xml:space="preserve">Freeman, R. B., Medoff, J. L. 1984. </w:t>
      </w:r>
      <w:r w:rsidRPr="0049663D">
        <w:rPr>
          <w:rFonts w:cs="Arial"/>
          <w:i/>
          <w:iCs/>
          <w:color w:val="333333"/>
          <w:sz w:val="22"/>
          <w:szCs w:val="22"/>
          <w:lang w:val="en-GB"/>
        </w:rPr>
        <w:t xml:space="preserve">What Do Labor Unions Do? </w:t>
      </w:r>
      <w:r w:rsidRPr="0049663D">
        <w:rPr>
          <w:rFonts w:cs="Arial"/>
          <w:sz w:val="22"/>
          <w:szCs w:val="22"/>
          <w:lang w:val="en-GB"/>
        </w:rPr>
        <w:t>New York: Basic Books, 1984.</w:t>
      </w:r>
    </w:p>
    <w:p w:rsidR="00D9764F" w:rsidRPr="005F051B" w:rsidRDefault="00D9764F" w:rsidP="00D9764F">
      <w:pPr>
        <w:spacing w:before="240" w:after="240"/>
        <w:rPr>
          <w:rFonts w:cs="Arial"/>
          <w:sz w:val="22"/>
          <w:szCs w:val="22"/>
          <w:lang w:val="en-GB"/>
        </w:rPr>
      </w:pPr>
      <w:r w:rsidRPr="009A4821">
        <w:rPr>
          <w:rFonts w:cs="Arial"/>
          <w:sz w:val="22"/>
          <w:szCs w:val="22"/>
          <w:lang w:val="en-US"/>
        </w:rPr>
        <w:t xml:space="preserve">Freeman, R. B., Kleiner, M. M. 1999. </w:t>
      </w:r>
      <w:r w:rsidRPr="005F051B">
        <w:rPr>
          <w:rFonts w:cs="Arial"/>
          <w:sz w:val="22"/>
          <w:szCs w:val="22"/>
          <w:lang w:val="en-GB"/>
        </w:rPr>
        <w:t xml:space="preserve">Do Unions Make Enterprises Insolvent? </w:t>
      </w:r>
      <w:r w:rsidRPr="005F051B">
        <w:rPr>
          <w:rFonts w:cs="Arial"/>
          <w:i/>
          <w:sz w:val="22"/>
          <w:szCs w:val="22"/>
          <w:lang w:val="en-GB"/>
        </w:rPr>
        <w:t>Industrial and Labor Relations Review</w:t>
      </w:r>
      <w:r w:rsidRPr="005F051B">
        <w:rPr>
          <w:rFonts w:cs="Arial"/>
          <w:sz w:val="22"/>
          <w:szCs w:val="22"/>
          <w:lang w:val="en-GB"/>
        </w:rPr>
        <w:t>, 1999, Vol. 52, No. July 1999, pp. 510-527.</w:t>
      </w:r>
    </w:p>
    <w:p w:rsidR="00D9764F" w:rsidRPr="006A3862" w:rsidRDefault="00D9764F" w:rsidP="00D9764F">
      <w:pPr>
        <w:spacing w:before="240" w:after="240"/>
        <w:rPr>
          <w:rFonts w:cs="Arial"/>
          <w:sz w:val="22"/>
          <w:szCs w:val="22"/>
          <w:lang w:val="en-US"/>
        </w:rPr>
      </w:pPr>
      <w:r w:rsidRPr="006A3862">
        <w:rPr>
          <w:rFonts w:cs="Arial"/>
          <w:sz w:val="22"/>
          <w:szCs w:val="22"/>
          <w:lang w:val="en-US"/>
        </w:rPr>
        <w:t xml:space="preserve">Grimshaw, D., Bosch, G., Rubery, J. 2014. Minimum Wages and Collective Bargaining: What Types of Pay Bargaining Can Foster Positive Pay Equity Outcomes? </w:t>
      </w:r>
      <w:r w:rsidRPr="006A3862">
        <w:rPr>
          <w:rFonts w:cs="Arial"/>
          <w:i/>
          <w:sz w:val="22"/>
          <w:szCs w:val="22"/>
          <w:lang w:val="en-US"/>
        </w:rPr>
        <w:t>British Journal of Industrial Relations</w:t>
      </w:r>
      <w:r w:rsidRPr="006A3862">
        <w:rPr>
          <w:rFonts w:cs="Arial"/>
          <w:sz w:val="22"/>
          <w:szCs w:val="22"/>
          <w:lang w:val="en-US"/>
        </w:rPr>
        <w:t xml:space="preserve">, </w:t>
      </w:r>
      <w:r>
        <w:rPr>
          <w:rFonts w:cs="Arial"/>
          <w:sz w:val="22"/>
          <w:szCs w:val="22"/>
          <w:lang w:val="en-US"/>
        </w:rPr>
        <w:t xml:space="preserve">2014, </w:t>
      </w:r>
      <w:r w:rsidRPr="006A3862">
        <w:rPr>
          <w:rFonts w:cs="Arial"/>
          <w:sz w:val="22"/>
          <w:szCs w:val="22"/>
          <w:lang w:val="en-US"/>
        </w:rPr>
        <w:t>Vol. 52, No. 3, pp. 470</w:t>
      </w:r>
      <w:r w:rsidRPr="006A3862">
        <w:rPr>
          <w:rFonts w:cs="Arial"/>
          <w:sz w:val="22"/>
          <w:szCs w:val="22"/>
          <w:lang w:val="en-US"/>
        </w:rPr>
        <w:noBreakHyphen/>
        <w:t>498. DOI: 10.1111/bjir.12021</w:t>
      </w:r>
    </w:p>
    <w:p w:rsidR="00D9764F" w:rsidRPr="00A76611" w:rsidRDefault="00D9764F" w:rsidP="00D9764F">
      <w:pPr>
        <w:spacing w:before="240" w:after="240"/>
        <w:rPr>
          <w:rFonts w:cs="Arial"/>
          <w:sz w:val="22"/>
          <w:szCs w:val="22"/>
          <w:lang w:val="en-GB"/>
        </w:rPr>
      </w:pPr>
      <w:r w:rsidRPr="00A76611">
        <w:rPr>
          <w:rFonts w:cs="Arial"/>
          <w:sz w:val="22"/>
          <w:szCs w:val="22"/>
          <w:lang w:val="en-GB"/>
        </w:rPr>
        <w:t xml:space="preserve">Hirsch, B. T. 2004. Reconsidering Union Wage Effects: Surveying New Evidence on an Old Topic. </w:t>
      </w:r>
      <w:r w:rsidRPr="00A76611">
        <w:rPr>
          <w:rFonts w:cs="Arial"/>
          <w:i/>
          <w:sz w:val="22"/>
          <w:szCs w:val="22"/>
          <w:lang w:val="en-GB"/>
        </w:rPr>
        <w:t>Journal of Labor Research</w:t>
      </w:r>
      <w:r w:rsidRPr="00A76611">
        <w:rPr>
          <w:rFonts w:cs="Arial"/>
          <w:sz w:val="22"/>
          <w:szCs w:val="22"/>
          <w:lang w:val="en-GB"/>
        </w:rPr>
        <w:t>, 2004, Vol. 25, No. 2 (April 2004), pp. 233-266.</w:t>
      </w:r>
    </w:p>
    <w:p w:rsidR="00D9764F" w:rsidRPr="00DB1D8C" w:rsidRDefault="00D9764F" w:rsidP="00D9764F">
      <w:pPr>
        <w:spacing w:before="240" w:after="240"/>
        <w:rPr>
          <w:rFonts w:cs="Arial"/>
          <w:sz w:val="22"/>
          <w:szCs w:val="22"/>
          <w:lang w:val="en-GB"/>
        </w:rPr>
      </w:pPr>
      <w:r w:rsidRPr="00DB1D8C">
        <w:rPr>
          <w:rFonts w:cs="Arial"/>
          <w:sz w:val="22"/>
          <w:szCs w:val="22"/>
          <w:lang w:val="en-GB"/>
        </w:rPr>
        <w:t xml:space="preserve">Hirsch, B. T. 2004. What Do Unions Do for Economic Performance? </w:t>
      </w:r>
      <w:r w:rsidRPr="00DB1D8C">
        <w:rPr>
          <w:rFonts w:cs="Arial"/>
          <w:i/>
          <w:sz w:val="22"/>
          <w:szCs w:val="22"/>
          <w:lang w:val="en-GB"/>
        </w:rPr>
        <w:t>Journal of Labor Research</w:t>
      </w:r>
      <w:r w:rsidRPr="00DB1D8C">
        <w:rPr>
          <w:rFonts w:cs="Arial"/>
          <w:sz w:val="22"/>
          <w:szCs w:val="22"/>
          <w:lang w:val="en-GB"/>
        </w:rPr>
        <w:t xml:space="preserve">, 2004, Vol. 25, No. 3 (Summer), </w:t>
      </w:r>
      <w:r w:rsidRPr="0081417B">
        <w:rPr>
          <w:rFonts w:cs="Arial"/>
          <w:sz w:val="22"/>
          <w:szCs w:val="22"/>
          <w:lang w:val="en-GB"/>
        </w:rPr>
        <w:t>pp</w:t>
      </w:r>
      <w:r w:rsidRPr="00DB1D8C">
        <w:rPr>
          <w:rFonts w:cs="Arial"/>
          <w:sz w:val="22"/>
          <w:szCs w:val="22"/>
          <w:lang w:val="en-GB"/>
        </w:rPr>
        <w:t>.</w:t>
      </w:r>
      <w:r w:rsidRPr="0081417B">
        <w:rPr>
          <w:rFonts w:cs="Arial"/>
          <w:sz w:val="22"/>
          <w:szCs w:val="22"/>
          <w:lang w:val="en-GB"/>
        </w:rPr>
        <w:t xml:space="preserve"> 415-455. DOI: 10.1007/s12122-004-1023-8</w:t>
      </w:r>
    </w:p>
    <w:p w:rsidR="00D9764F" w:rsidRPr="00D106DF" w:rsidRDefault="00D9764F" w:rsidP="00D9764F">
      <w:pPr>
        <w:spacing w:before="240" w:after="240"/>
        <w:rPr>
          <w:rFonts w:cs="Arial"/>
          <w:sz w:val="22"/>
          <w:szCs w:val="22"/>
          <w:lang w:val="en-US"/>
        </w:rPr>
      </w:pPr>
      <w:r w:rsidRPr="00D106DF">
        <w:rPr>
          <w:rFonts w:cs="Arial"/>
          <w:sz w:val="22"/>
          <w:szCs w:val="22"/>
          <w:lang w:val="en-US"/>
        </w:rPr>
        <w:t>Hirsch, B</w:t>
      </w:r>
      <w:r>
        <w:rPr>
          <w:rFonts w:cs="Arial"/>
          <w:sz w:val="22"/>
          <w:szCs w:val="22"/>
          <w:lang w:val="en-US"/>
        </w:rPr>
        <w:t>.</w:t>
      </w:r>
      <w:r w:rsidRPr="00D106DF">
        <w:rPr>
          <w:rFonts w:cs="Arial"/>
          <w:sz w:val="22"/>
          <w:szCs w:val="22"/>
          <w:lang w:val="en-US"/>
        </w:rPr>
        <w:t xml:space="preserve"> T., Kaufman, B</w:t>
      </w:r>
      <w:r>
        <w:rPr>
          <w:rFonts w:cs="Arial"/>
          <w:sz w:val="22"/>
          <w:szCs w:val="22"/>
          <w:lang w:val="en-US"/>
        </w:rPr>
        <w:t>. E.</w:t>
      </w:r>
      <w:r w:rsidRPr="00D106DF">
        <w:rPr>
          <w:rFonts w:cs="Arial"/>
          <w:sz w:val="22"/>
          <w:szCs w:val="22"/>
          <w:lang w:val="en-US"/>
        </w:rPr>
        <w:t>, Zelenska, T</w:t>
      </w:r>
      <w:r>
        <w:rPr>
          <w:rFonts w:cs="Arial"/>
          <w:sz w:val="22"/>
          <w:szCs w:val="22"/>
          <w:lang w:val="en-US"/>
        </w:rPr>
        <w:t xml:space="preserve">. 2011. </w:t>
      </w:r>
      <w:r w:rsidRPr="00D106DF">
        <w:rPr>
          <w:rFonts w:cs="Arial"/>
          <w:sz w:val="22"/>
          <w:szCs w:val="22"/>
          <w:lang w:val="en-US"/>
        </w:rPr>
        <w:t>Minim</w:t>
      </w:r>
      <w:r>
        <w:rPr>
          <w:rFonts w:cs="Arial"/>
          <w:sz w:val="22"/>
          <w:szCs w:val="22"/>
          <w:lang w:val="en-US"/>
        </w:rPr>
        <w:t>um Wage Channels of Adjustment [</w:t>
      </w:r>
      <w:r w:rsidRPr="009A4821">
        <w:rPr>
          <w:rFonts w:cs="Arial"/>
          <w:sz w:val="22"/>
          <w:szCs w:val="22"/>
          <w:lang w:val="de-DE"/>
        </w:rPr>
        <w:t>IZA Discussion Paper No. 6132</w:t>
      </w:r>
      <w:r>
        <w:rPr>
          <w:rFonts w:cs="Arial"/>
          <w:sz w:val="22"/>
          <w:szCs w:val="22"/>
          <w:lang w:val="de-DE"/>
        </w:rPr>
        <w:t>]</w:t>
      </w:r>
      <w:r w:rsidRPr="009A4821">
        <w:rPr>
          <w:rFonts w:cs="Arial"/>
          <w:sz w:val="22"/>
          <w:szCs w:val="22"/>
          <w:lang w:val="de-DE"/>
        </w:rPr>
        <w:t xml:space="preserve">. </w:t>
      </w:r>
      <w:r>
        <w:rPr>
          <w:rFonts w:cs="Arial"/>
          <w:sz w:val="22"/>
          <w:szCs w:val="22"/>
          <w:lang w:val="de-DE"/>
        </w:rPr>
        <w:t>Bonn</w:t>
      </w:r>
      <w:r w:rsidRPr="009A4821">
        <w:rPr>
          <w:rFonts w:cs="Arial"/>
          <w:sz w:val="22"/>
          <w:szCs w:val="22"/>
          <w:lang w:val="de-DE"/>
        </w:rPr>
        <w:t>: I</w:t>
      </w:r>
      <w:r>
        <w:rPr>
          <w:rFonts w:cs="Arial"/>
          <w:sz w:val="22"/>
          <w:szCs w:val="22"/>
          <w:lang w:val="de-DE"/>
        </w:rPr>
        <w:t>nstitute for the Study of Labor,</w:t>
      </w:r>
      <w:r>
        <w:rPr>
          <w:rFonts w:cs="Arial"/>
          <w:sz w:val="22"/>
          <w:szCs w:val="22"/>
          <w:lang w:val="en-US"/>
        </w:rPr>
        <w:t xml:space="preserve"> 2011. Dostupné z: </w:t>
      </w:r>
      <w:r w:rsidRPr="00D106DF">
        <w:rPr>
          <w:rFonts w:cs="Arial"/>
          <w:sz w:val="22"/>
          <w:szCs w:val="22"/>
          <w:lang w:val="en-US"/>
        </w:rPr>
        <w:t>http://www2.gsu.edu/~ecobth/IZA_HKZ_MinWageCoA_dp6132.pdf</w:t>
      </w:r>
      <w:r>
        <w:rPr>
          <w:rFonts w:cs="Arial"/>
          <w:sz w:val="22"/>
          <w:szCs w:val="22"/>
          <w:lang w:val="en-US"/>
        </w:rPr>
        <w:t>.</w:t>
      </w:r>
    </w:p>
    <w:p w:rsidR="00D9764F" w:rsidRPr="0049663D" w:rsidRDefault="00D9764F" w:rsidP="00D9764F">
      <w:pPr>
        <w:spacing w:before="240" w:after="240"/>
        <w:rPr>
          <w:rFonts w:cs="Arial"/>
          <w:sz w:val="22"/>
          <w:szCs w:val="22"/>
          <w:lang w:val="en-GB"/>
        </w:rPr>
      </w:pPr>
      <w:r w:rsidRPr="009A4821">
        <w:rPr>
          <w:rFonts w:cs="Arial"/>
          <w:sz w:val="22"/>
          <w:szCs w:val="22"/>
          <w:lang w:val="en-US"/>
        </w:rPr>
        <w:t xml:space="preserve">Hirsch, B. T., Macpherson, D. A., Schmumacher, E. J. 2004. </w:t>
      </w:r>
      <w:r w:rsidRPr="0049663D">
        <w:rPr>
          <w:rFonts w:cs="Arial"/>
          <w:sz w:val="22"/>
          <w:szCs w:val="22"/>
          <w:lang w:val="en-GB"/>
        </w:rPr>
        <w:t xml:space="preserve">Measuring Union and Nonunion Wage Growth: Puzzles in Search of Solutions. In: Wunnava, P. V. (ed): </w:t>
      </w:r>
      <w:r w:rsidRPr="0049663D">
        <w:rPr>
          <w:rFonts w:cs="Arial"/>
          <w:i/>
          <w:sz w:val="22"/>
          <w:szCs w:val="22"/>
          <w:lang w:val="en-GB"/>
        </w:rPr>
        <w:t>The Changing Role of Unions: New Forms of Representation</w:t>
      </w:r>
      <w:r w:rsidRPr="0049663D">
        <w:rPr>
          <w:rFonts w:cs="Arial"/>
          <w:sz w:val="22"/>
          <w:szCs w:val="22"/>
          <w:lang w:val="en-GB"/>
        </w:rPr>
        <w:t xml:space="preserve"> (ME Sharpe, 2004), pp 115-147.</w:t>
      </w:r>
    </w:p>
    <w:p w:rsidR="00D9764F" w:rsidRPr="00D300A0" w:rsidRDefault="00D9764F" w:rsidP="00D9764F">
      <w:pPr>
        <w:spacing w:before="240" w:after="240"/>
        <w:rPr>
          <w:rFonts w:cs="Arial"/>
          <w:sz w:val="22"/>
          <w:szCs w:val="22"/>
          <w:lang w:val="en-US"/>
        </w:rPr>
      </w:pPr>
      <w:r w:rsidRPr="00D300A0">
        <w:rPr>
          <w:rFonts w:cs="Arial"/>
          <w:sz w:val="22"/>
          <w:szCs w:val="22"/>
          <w:lang w:val="en-US"/>
        </w:rPr>
        <w:t xml:space="preserve">Katz, L. F., Krueger, A. B. 1992. The Effect of the Minimum Wage on the Fast-Food Industry. </w:t>
      </w:r>
      <w:r w:rsidRPr="00D300A0">
        <w:rPr>
          <w:rFonts w:cs="Arial"/>
          <w:i/>
          <w:sz w:val="22"/>
          <w:szCs w:val="22"/>
          <w:lang w:val="en-US"/>
        </w:rPr>
        <w:t>Industrial and Labor Relations Review</w:t>
      </w:r>
      <w:r w:rsidRPr="00D300A0">
        <w:rPr>
          <w:rFonts w:cs="Arial"/>
          <w:sz w:val="22"/>
          <w:szCs w:val="22"/>
          <w:lang w:val="en-US"/>
        </w:rPr>
        <w:t xml:space="preserve">, </w:t>
      </w:r>
      <w:r>
        <w:rPr>
          <w:rFonts w:cs="Arial"/>
          <w:sz w:val="22"/>
          <w:szCs w:val="22"/>
          <w:lang w:val="en-US"/>
        </w:rPr>
        <w:t xml:space="preserve">1992, </w:t>
      </w:r>
      <w:r w:rsidRPr="00D300A0">
        <w:rPr>
          <w:rFonts w:cs="Arial"/>
          <w:sz w:val="22"/>
          <w:szCs w:val="22"/>
          <w:lang w:val="en-US"/>
        </w:rPr>
        <w:t>Vol. 46, No. 1 (Oct. 1992), pp. 6-21.</w:t>
      </w:r>
    </w:p>
    <w:p w:rsidR="00D9764F" w:rsidRPr="00D322CB" w:rsidRDefault="00D9764F" w:rsidP="00D9764F">
      <w:pPr>
        <w:spacing w:before="240" w:after="240"/>
        <w:rPr>
          <w:rFonts w:cs="Arial"/>
          <w:sz w:val="22"/>
          <w:szCs w:val="22"/>
          <w:lang w:val="en-US"/>
        </w:rPr>
      </w:pPr>
      <w:r w:rsidRPr="00D322CB">
        <w:rPr>
          <w:rFonts w:cs="Arial"/>
          <w:sz w:val="22"/>
          <w:szCs w:val="22"/>
          <w:lang w:val="en-US"/>
        </w:rPr>
        <w:t xml:space="preserve">Koçer, R. G., Visser, J. 2009. The role of the state in balancing the minimum wage in Turkey and the USA. </w:t>
      </w:r>
      <w:r w:rsidRPr="00D322CB">
        <w:rPr>
          <w:rFonts w:cs="Arial"/>
          <w:i/>
          <w:sz w:val="22"/>
          <w:szCs w:val="22"/>
          <w:lang w:val="en-US"/>
        </w:rPr>
        <w:t>British Journal of Industrial Relations</w:t>
      </w:r>
      <w:r w:rsidRPr="00D322CB">
        <w:rPr>
          <w:rFonts w:cs="Arial"/>
          <w:sz w:val="22"/>
          <w:szCs w:val="22"/>
          <w:lang w:val="en-US"/>
        </w:rPr>
        <w:t>, 2009, Vol. 47, No. 2, pp. 349–370. DOI: 10.1111/j.1467-8543.2009.00730.x</w:t>
      </w:r>
    </w:p>
    <w:p w:rsidR="00D9764F" w:rsidRPr="001D08B2" w:rsidRDefault="00D9764F" w:rsidP="00D9764F">
      <w:pPr>
        <w:spacing w:before="240" w:after="240"/>
        <w:rPr>
          <w:rFonts w:cs="Arial"/>
          <w:sz w:val="22"/>
          <w:szCs w:val="22"/>
          <w:lang w:val="en-GB"/>
        </w:rPr>
      </w:pPr>
      <w:r w:rsidRPr="001D08B2">
        <w:rPr>
          <w:rFonts w:cs="Arial"/>
          <w:sz w:val="22"/>
          <w:szCs w:val="22"/>
          <w:lang w:val="en-GB"/>
        </w:rPr>
        <w:t xml:space="preserve">Kuhn, P. J. 1982. </w:t>
      </w:r>
      <w:r w:rsidRPr="001D08B2">
        <w:rPr>
          <w:rFonts w:cs="Arial" w:hint="eastAsia"/>
          <w:sz w:val="22"/>
          <w:szCs w:val="22"/>
          <w:lang w:val="en-GB"/>
        </w:rPr>
        <w:t>A new, integrated theory of unions and life cycle employment contracts : voice, malfeasance, and welfare</w:t>
      </w:r>
      <w:r w:rsidRPr="001D08B2">
        <w:rPr>
          <w:rFonts w:cs="Arial"/>
          <w:sz w:val="22"/>
          <w:szCs w:val="22"/>
          <w:lang w:val="en-GB"/>
        </w:rPr>
        <w:t xml:space="preserve"> [PhD]. </w:t>
      </w:r>
      <w:r w:rsidRPr="001D08B2">
        <w:rPr>
          <w:rFonts w:cs="Arial" w:hint="eastAsia"/>
          <w:sz w:val="22"/>
          <w:szCs w:val="22"/>
          <w:lang w:val="en-GB"/>
        </w:rPr>
        <w:t>Cambridge, M</w:t>
      </w:r>
      <w:r w:rsidRPr="001D08B2">
        <w:rPr>
          <w:rFonts w:cs="Arial"/>
          <w:sz w:val="22"/>
          <w:szCs w:val="22"/>
          <w:lang w:val="en-GB"/>
        </w:rPr>
        <w:t>A</w:t>
      </w:r>
      <w:r w:rsidRPr="001D08B2">
        <w:rPr>
          <w:rFonts w:cs="Arial" w:hint="eastAsia"/>
          <w:sz w:val="22"/>
          <w:szCs w:val="22"/>
          <w:lang w:val="en-GB"/>
        </w:rPr>
        <w:t>: Harvard University, 1982</w:t>
      </w:r>
      <w:r w:rsidRPr="001D08B2">
        <w:rPr>
          <w:rFonts w:cs="Arial"/>
          <w:sz w:val="22"/>
          <w:szCs w:val="22"/>
          <w:lang w:val="en-GB"/>
        </w:rPr>
        <w:t>.</w:t>
      </w:r>
    </w:p>
    <w:p w:rsidR="00D9764F" w:rsidRPr="00BD7DDE" w:rsidRDefault="00D9764F" w:rsidP="00D9764F">
      <w:pPr>
        <w:spacing w:before="240" w:after="240"/>
        <w:rPr>
          <w:rFonts w:cs="Arial"/>
          <w:sz w:val="22"/>
          <w:szCs w:val="22"/>
          <w:lang w:val="en-GB"/>
        </w:rPr>
      </w:pPr>
      <w:r w:rsidRPr="009A4821">
        <w:rPr>
          <w:rFonts w:cs="Arial"/>
          <w:sz w:val="22"/>
          <w:szCs w:val="22"/>
          <w:lang w:val="en-US"/>
        </w:rPr>
        <w:t xml:space="preserve">Lalonde, R. J., Marschke, G., Troske, K. 1996. </w:t>
      </w:r>
      <w:r w:rsidRPr="00BD7DDE">
        <w:rPr>
          <w:rFonts w:cs="Arial"/>
          <w:sz w:val="22"/>
          <w:szCs w:val="22"/>
          <w:lang w:val="en-GB"/>
        </w:rPr>
        <w:t>Using Longitudinal Data on Establishments</w:t>
      </w:r>
      <w:r w:rsidRPr="00BD7DDE">
        <w:rPr>
          <w:sz w:val="22"/>
          <w:szCs w:val="22"/>
          <w:lang w:val="en-GB"/>
        </w:rPr>
        <w:t> </w:t>
      </w:r>
      <w:r w:rsidRPr="00BD7DDE">
        <w:rPr>
          <w:rFonts w:cs="Arial"/>
          <w:sz w:val="22"/>
          <w:szCs w:val="22"/>
          <w:lang w:val="en-GB"/>
        </w:rPr>
        <w:t>to Analyze the Effects of Union Organizing Campaigns in the United States</w:t>
      </w:r>
      <w:r>
        <w:rPr>
          <w:rFonts w:cs="Arial"/>
          <w:sz w:val="22"/>
          <w:szCs w:val="22"/>
          <w:lang w:val="en-GB"/>
        </w:rPr>
        <w:t xml:space="preserve">. </w:t>
      </w:r>
      <w:r w:rsidRPr="00BD7DDE">
        <w:rPr>
          <w:rFonts w:cs="Arial"/>
          <w:i/>
          <w:sz w:val="22"/>
          <w:szCs w:val="22"/>
          <w:lang w:val="en-GB"/>
        </w:rPr>
        <w:t>Annales d'Economie et de Statistique</w:t>
      </w:r>
      <w:r w:rsidRPr="00BD7DDE">
        <w:rPr>
          <w:rFonts w:cs="Arial"/>
          <w:sz w:val="22"/>
          <w:szCs w:val="22"/>
          <w:lang w:val="en-GB"/>
        </w:rPr>
        <w:t>,</w:t>
      </w:r>
      <w:r>
        <w:rPr>
          <w:rFonts w:cs="Arial"/>
          <w:sz w:val="22"/>
          <w:szCs w:val="22"/>
          <w:lang w:val="en-GB"/>
        </w:rPr>
        <w:t xml:space="preserve"> 1996,</w:t>
      </w:r>
      <w:r w:rsidRPr="00BD7DDE">
        <w:rPr>
          <w:rFonts w:cs="Arial"/>
          <w:sz w:val="22"/>
          <w:szCs w:val="22"/>
          <w:lang w:val="en-GB"/>
        </w:rPr>
        <w:t xml:space="preserve"> Vol. 41-42</w:t>
      </w:r>
      <w:r>
        <w:rPr>
          <w:rFonts w:cs="Arial"/>
          <w:sz w:val="22"/>
          <w:szCs w:val="22"/>
          <w:lang w:val="en-GB"/>
        </w:rPr>
        <w:t xml:space="preserve">, No. </w:t>
      </w:r>
      <w:r w:rsidRPr="00BD7DDE">
        <w:rPr>
          <w:rFonts w:cs="Arial"/>
          <w:sz w:val="22"/>
          <w:szCs w:val="22"/>
          <w:lang w:val="en-GB"/>
        </w:rPr>
        <w:t>January-June 1996, pp. 155-185.</w:t>
      </w:r>
    </w:p>
    <w:p w:rsidR="00D9764F" w:rsidRPr="00D106DF" w:rsidRDefault="00D9764F" w:rsidP="00D9764F">
      <w:pPr>
        <w:spacing w:before="240" w:after="240"/>
        <w:rPr>
          <w:rFonts w:cs="Arial"/>
          <w:sz w:val="22"/>
          <w:szCs w:val="22"/>
          <w:lang w:val="de-DE"/>
        </w:rPr>
      </w:pPr>
      <w:r w:rsidRPr="00D106DF">
        <w:rPr>
          <w:rFonts w:cs="Arial"/>
          <w:sz w:val="22"/>
          <w:szCs w:val="22"/>
          <w:lang w:val="de-DE"/>
        </w:rPr>
        <w:t xml:space="preserve">Lemos, S. 2008. A Survey of the Effects of the Minimum Wage on Prices. </w:t>
      </w:r>
      <w:r w:rsidRPr="00E97DD8">
        <w:rPr>
          <w:rFonts w:cs="Arial"/>
          <w:i/>
          <w:sz w:val="22"/>
          <w:szCs w:val="22"/>
          <w:lang w:val="de-DE"/>
        </w:rPr>
        <w:t>Journal of Economic Surveys</w:t>
      </w:r>
      <w:r w:rsidRPr="00D106DF">
        <w:rPr>
          <w:rFonts w:cs="Arial"/>
          <w:sz w:val="22"/>
          <w:szCs w:val="22"/>
          <w:lang w:val="de-DE"/>
        </w:rPr>
        <w:t xml:space="preserve">, </w:t>
      </w:r>
      <w:r>
        <w:rPr>
          <w:rFonts w:cs="Arial"/>
          <w:sz w:val="22"/>
          <w:szCs w:val="22"/>
          <w:lang w:val="de-DE"/>
        </w:rPr>
        <w:t>2008, Vol. 22, N</w:t>
      </w:r>
      <w:r w:rsidRPr="00D106DF">
        <w:rPr>
          <w:rFonts w:cs="Arial"/>
          <w:sz w:val="22"/>
          <w:szCs w:val="22"/>
          <w:lang w:val="de-DE"/>
        </w:rPr>
        <w:t>o. 1, pp. 187-212.</w:t>
      </w:r>
    </w:p>
    <w:p w:rsidR="00D9764F" w:rsidRPr="00970328" w:rsidRDefault="00D9764F" w:rsidP="00D9764F">
      <w:pPr>
        <w:spacing w:before="240" w:after="240"/>
        <w:rPr>
          <w:rFonts w:cs="Arial"/>
          <w:sz w:val="22"/>
          <w:szCs w:val="22"/>
          <w:lang w:val="en-GB"/>
        </w:rPr>
      </w:pPr>
      <w:r w:rsidRPr="0032188C">
        <w:rPr>
          <w:rFonts w:cs="Arial"/>
          <w:sz w:val="22"/>
          <w:szCs w:val="22"/>
          <w:lang w:val="de-DE"/>
        </w:rPr>
        <w:t xml:space="preserve">Linneman, P. D., Wachter, M. L., Carter, W. H. 1990. </w:t>
      </w:r>
      <w:r w:rsidRPr="00970328">
        <w:rPr>
          <w:rFonts w:cs="Arial"/>
          <w:sz w:val="22"/>
          <w:szCs w:val="22"/>
          <w:lang w:val="en-GB"/>
        </w:rPr>
        <w:t xml:space="preserve">Evaluating the Evidence on Union Employment and Wages. </w:t>
      </w:r>
      <w:r w:rsidRPr="00970328">
        <w:rPr>
          <w:i/>
          <w:iCs/>
          <w:sz w:val="22"/>
          <w:szCs w:val="22"/>
          <w:lang w:val="en-GB"/>
        </w:rPr>
        <w:t xml:space="preserve">Industrial and Labor Relations Review, 1990, </w:t>
      </w:r>
      <w:r w:rsidRPr="00970328">
        <w:rPr>
          <w:rFonts w:cs="Arial"/>
          <w:sz w:val="22"/>
          <w:szCs w:val="22"/>
          <w:lang w:val="en-GB"/>
        </w:rPr>
        <w:t>Vol. 44, No. 1 (Oct., 1990), pp. 34-53.</w:t>
      </w:r>
    </w:p>
    <w:p w:rsidR="00D9764F" w:rsidRPr="00D300A0" w:rsidRDefault="00D9764F" w:rsidP="00D9764F">
      <w:pPr>
        <w:spacing w:before="240" w:after="240"/>
        <w:rPr>
          <w:rFonts w:cs="Arial"/>
          <w:sz w:val="22"/>
          <w:szCs w:val="22"/>
          <w:lang w:val="de-DE"/>
        </w:rPr>
      </w:pPr>
      <w:r w:rsidRPr="00D300A0">
        <w:rPr>
          <w:rFonts w:cs="Arial"/>
          <w:sz w:val="22"/>
          <w:szCs w:val="22"/>
          <w:lang w:val="de-DE"/>
        </w:rPr>
        <w:t>Machin, S., Manning, A., Rahman, L. 2001. The Economic Effects of the Introduction of the UK National Minimum Wage. CERGE-EI research seminar series, No. March 12, 2001. Praha: Univerzita Karlova v Praze, Centrum pro ekonomický výzkum a doktorské studium, 2001.</w:t>
      </w:r>
    </w:p>
    <w:p w:rsidR="00D9764F" w:rsidRPr="00D300A0" w:rsidRDefault="00D9764F" w:rsidP="00D9764F">
      <w:pPr>
        <w:spacing w:before="240" w:after="240"/>
        <w:rPr>
          <w:rFonts w:cs="Arial"/>
          <w:sz w:val="22"/>
          <w:szCs w:val="22"/>
          <w:lang w:val="de-DE"/>
        </w:rPr>
      </w:pPr>
      <w:r w:rsidRPr="00D300A0">
        <w:rPr>
          <w:rFonts w:cs="Arial"/>
          <w:sz w:val="22"/>
          <w:szCs w:val="22"/>
          <w:lang w:val="de-DE"/>
        </w:rPr>
        <w:t>Machin, S., Manning, A., Rahman, L. 2002. Where the Minimum Wage Bites Hard: the Introduction of the UK National Minimum Wage to a Low Wage Sector. September 2002, CEP Discussion Paper No. dp0544. Centre for Economic Performance, London School of Economics and Political Science.</w:t>
      </w:r>
    </w:p>
    <w:p w:rsidR="00D9764F" w:rsidRPr="00D300A0" w:rsidRDefault="00D9764F" w:rsidP="00D9764F">
      <w:pPr>
        <w:spacing w:before="240" w:after="240"/>
        <w:rPr>
          <w:rFonts w:cs="Arial"/>
          <w:sz w:val="22"/>
          <w:szCs w:val="22"/>
          <w:lang w:val="de-DE"/>
        </w:rPr>
      </w:pPr>
      <w:r w:rsidRPr="00D300A0">
        <w:rPr>
          <w:rFonts w:cs="Arial"/>
          <w:sz w:val="22"/>
          <w:szCs w:val="22"/>
          <w:lang w:val="de-DE"/>
        </w:rPr>
        <w:lastRenderedPageBreak/>
        <w:t xml:space="preserve">Manning, A. 2012. Minimum Wage: Maximum Impact. London: Resolution Foundation, 2012. </w:t>
      </w:r>
      <w:r>
        <w:rPr>
          <w:rFonts w:cs="Arial"/>
          <w:sz w:val="22"/>
          <w:szCs w:val="22"/>
          <w:lang w:val="de-DE"/>
        </w:rPr>
        <w:t xml:space="preserve">Dostupné z: </w:t>
      </w:r>
      <w:hyperlink r:id="rId32" w:history="1">
        <w:r w:rsidRPr="00D300A0">
          <w:rPr>
            <w:rFonts w:cs="Arial"/>
            <w:sz w:val="22"/>
            <w:szCs w:val="22"/>
            <w:lang w:val="de-DE"/>
          </w:rPr>
          <w:t>http://www.resolutionfoundation.org/media/media/downloads/MinimumWageMaximumImpact.pdf</w:t>
        </w:r>
      </w:hyperlink>
      <w:r>
        <w:rPr>
          <w:rFonts w:cs="Arial"/>
          <w:sz w:val="22"/>
          <w:szCs w:val="22"/>
          <w:lang w:val="de-DE"/>
        </w:rPr>
        <w:t>.</w:t>
      </w:r>
    </w:p>
    <w:p w:rsidR="00D9764F" w:rsidRPr="00A66BC4" w:rsidRDefault="00D9764F" w:rsidP="00D9764F">
      <w:pPr>
        <w:spacing w:before="240" w:after="240"/>
        <w:rPr>
          <w:rFonts w:cs="Arial"/>
          <w:sz w:val="22"/>
          <w:szCs w:val="22"/>
          <w:lang w:val="en-GB"/>
        </w:rPr>
      </w:pPr>
      <w:r w:rsidRPr="00A66BC4">
        <w:rPr>
          <w:rFonts w:cs="Arial"/>
          <w:sz w:val="22"/>
          <w:szCs w:val="22"/>
          <w:lang w:val="en-GB"/>
        </w:rPr>
        <w:t xml:space="preserve">Medoff, J. L. </w:t>
      </w:r>
      <w:r>
        <w:rPr>
          <w:rFonts w:cs="Arial"/>
          <w:sz w:val="22"/>
          <w:szCs w:val="22"/>
          <w:lang w:val="en-GB"/>
        </w:rPr>
        <w:t xml:space="preserve">1979. </w:t>
      </w:r>
      <w:r w:rsidRPr="00A66BC4">
        <w:rPr>
          <w:rFonts w:cs="Arial"/>
          <w:sz w:val="22"/>
          <w:szCs w:val="22"/>
          <w:lang w:val="en-GB"/>
        </w:rPr>
        <w:t xml:space="preserve">Layoffs and Alternatives Under Trade Unions in U.S. Manufacturing. </w:t>
      </w:r>
      <w:r w:rsidRPr="00A66BC4">
        <w:rPr>
          <w:rFonts w:cs="Arial"/>
          <w:i/>
          <w:sz w:val="22"/>
          <w:szCs w:val="22"/>
          <w:lang w:val="en-GB"/>
        </w:rPr>
        <w:t>The American Economic Review</w:t>
      </w:r>
      <w:r w:rsidRPr="00A66BC4">
        <w:rPr>
          <w:rFonts w:cs="Arial"/>
          <w:sz w:val="22"/>
          <w:szCs w:val="22"/>
          <w:lang w:val="en-GB"/>
        </w:rPr>
        <w:t>, Vol. 69, No. 3 (June 1979), pp. 380-395.</w:t>
      </w:r>
    </w:p>
    <w:p w:rsidR="00D9764F" w:rsidRPr="006E1DBD" w:rsidRDefault="00D9764F" w:rsidP="00D9764F">
      <w:pPr>
        <w:spacing w:before="240" w:after="240"/>
        <w:rPr>
          <w:rFonts w:cs="Arial"/>
          <w:sz w:val="22"/>
          <w:szCs w:val="22"/>
          <w:lang w:val="de-DE"/>
        </w:rPr>
      </w:pPr>
      <w:r>
        <w:rPr>
          <w:rFonts w:cs="Arial"/>
          <w:sz w:val="22"/>
          <w:szCs w:val="22"/>
          <w:lang w:val="en-GB"/>
        </w:rPr>
        <w:t>Meyer</w:t>
      </w:r>
      <w:r w:rsidRPr="006E1DBD">
        <w:rPr>
          <w:rFonts w:cs="Arial"/>
          <w:sz w:val="22"/>
          <w:szCs w:val="22"/>
          <w:lang w:val="en-GB"/>
        </w:rPr>
        <w:t>, R. H., W</w:t>
      </w:r>
      <w:r>
        <w:rPr>
          <w:rFonts w:cs="Arial"/>
          <w:sz w:val="22"/>
          <w:szCs w:val="22"/>
          <w:lang w:val="en-GB"/>
        </w:rPr>
        <w:t>ise</w:t>
      </w:r>
      <w:r w:rsidRPr="006E1DBD">
        <w:rPr>
          <w:rFonts w:cs="Arial"/>
          <w:sz w:val="22"/>
          <w:szCs w:val="22"/>
          <w:lang w:val="en-GB"/>
        </w:rPr>
        <w:t>,</w:t>
      </w:r>
      <w:r w:rsidRPr="006E1DBD">
        <w:rPr>
          <w:rFonts w:cs="Arial"/>
          <w:sz w:val="22"/>
          <w:szCs w:val="22"/>
          <w:lang w:val="de-DE"/>
        </w:rPr>
        <w:t xml:space="preserve"> D. A. 1983a. Discontinuous Distributions and Missing Persons: The Minimum Wage and Unemployed Youth. </w:t>
      </w:r>
      <w:r w:rsidRPr="006E1DBD">
        <w:rPr>
          <w:rFonts w:cs="Arial"/>
          <w:i/>
          <w:sz w:val="22"/>
          <w:szCs w:val="22"/>
          <w:lang w:val="de-DE"/>
        </w:rPr>
        <w:t>Econometrica</w:t>
      </w:r>
      <w:r w:rsidRPr="006E1DBD">
        <w:rPr>
          <w:rFonts w:cs="Arial"/>
          <w:sz w:val="22"/>
          <w:szCs w:val="22"/>
          <w:lang w:val="de-DE"/>
        </w:rPr>
        <w:t xml:space="preserve">, </w:t>
      </w:r>
      <w:r>
        <w:rPr>
          <w:rFonts w:cs="Arial"/>
          <w:sz w:val="22"/>
          <w:szCs w:val="22"/>
          <w:lang w:val="de-DE"/>
        </w:rPr>
        <w:t xml:space="preserve">1983, </w:t>
      </w:r>
      <w:r w:rsidRPr="006E1DBD">
        <w:rPr>
          <w:rFonts w:cs="Arial"/>
          <w:sz w:val="22"/>
          <w:szCs w:val="22"/>
          <w:lang w:val="de-DE"/>
        </w:rPr>
        <w:t>Vol. 51, No. 6 (Nov., 1983), pp. 1677-1698.</w:t>
      </w:r>
    </w:p>
    <w:p w:rsidR="00D9764F" w:rsidRPr="006E1DBD" w:rsidRDefault="00D9764F" w:rsidP="00D9764F">
      <w:pPr>
        <w:spacing w:before="240" w:after="240"/>
        <w:rPr>
          <w:rFonts w:cs="Arial"/>
          <w:sz w:val="22"/>
          <w:szCs w:val="22"/>
          <w:lang w:val="de-DE"/>
        </w:rPr>
      </w:pPr>
      <w:r w:rsidRPr="006E1DBD">
        <w:rPr>
          <w:rFonts w:cs="Arial"/>
          <w:sz w:val="22"/>
          <w:szCs w:val="22"/>
          <w:lang w:val="de-DE"/>
        </w:rPr>
        <w:t>M</w:t>
      </w:r>
      <w:r>
        <w:rPr>
          <w:rFonts w:cs="Arial"/>
          <w:sz w:val="22"/>
          <w:szCs w:val="22"/>
          <w:lang w:val="de-DE"/>
        </w:rPr>
        <w:t>eyer</w:t>
      </w:r>
      <w:r w:rsidRPr="006E1DBD">
        <w:rPr>
          <w:rFonts w:cs="Arial"/>
          <w:sz w:val="22"/>
          <w:szCs w:val="22"/>
          <w:lang w:val="de-DE"/>
        </w:rPr>
        <w:t>, R. H., W</w:t>
      </w:r>
      <w:r>
        <w:rPr>
          <w:rFonts w:cs="Arial"/>
          <w:sz w:val="22"/>
          <w:szCs w:val="22"/>
          <w:lang w:val="de-DE"/>
        </w:rPr>
        <w:t>ise</w:t>
      </w:r>
      <w:r w:rsidRPr="006E1DBD">
        <w:rPr>
          <w:rFonts w:cs="Arial"/>
          <w:sz w:val="22"/>
          <w:szCs w:val="22"/>
          <w:lang w:val="de-DE"/>
        </w:rPr>
        <w:t xml:space="preserve">, D. A. 1983b. The Effects of the Minimum Wage on the Employment and Earnings of Youth. </w:t>
      </w:r>
      <w:r w:rsidRPr="006E1DBD">
        <w:rPr>
          <w:rFonts w:cs="Arial"/>
          <w:i/>
          <w:sz w:val="22"/>
          <w:szCs w:val="22"/>
          <w:lang w:val="de-DE"/>
        </w:rPr>
        <w:t>Journal of Labor Economics</w:t>
      </w:r>
      <w:r w:rsidRPr="006E1DBD">
        <w:rPr>
          <w:rFonts w:cs="Arial"/>
          <w:sz w:val="22"/>
          <w:szCs w:val="22"/>
          <w:lang w:val="de-DE"/>
        </w:rPr>
        <w:t xml:space="preserve">, </w:t>
      </w:r>
      <w:r>
        <w:rPr>
          <w:rFonts w:cs="Arial"/>
          <w:sz w:val="22"/>
          <w:szCs w:val="22"/>
          <w:lang w:val="de-DE"/>
        </w:rPr>
        <w:t xml:space="preserve">1983, </w:t>
      </w:r>
      <w:r w:rsidRPr="006E1DBD">
        <w:rPr>
          <w:rFonts w:cs="Arial"/>
          <w:sz w:val="22"/>
          <w:szCs w:val="22"/>
          <w:lang w:val="de-DE"/>
        </w:rPr>
        <w:t>Vol. 1, No. 1 (Jan., 1983), pp. 66-100.</w:t>
      </w:r>
    </w:p>
    <w:p w:rsidR="00D9764F" w:rsidRPr="006A3862" w:rsidRDefault="00D9764F" w:rsidP="00D9764F">
      <w:pPr>
        <w:spacing w:before="240" w:after="240"/>
        <w:rPr>
          <w:rFonts w:cs="Arial"/>
          <w:sz w:val="22"/>
          <w:szCs w:val="22"/>
          <w:lang w:val="de-DE"/>
        </w:rPr>
      </w:pPr>
      <w:r w:rsidRPr="006A3862">
        <w:rPr>
          <w:rFonts w:cs="Arial"/>
          <w:sz w:val="22"/>
          <w:szCs w:val="22"/>
          <w:lang w:val="de-DE"/>
        </w:rPr>
        <w:t>Neumark, D., Schweitzer, M., Wascher, W. 2000. The Effects of Minimum Wages Throughout the Wage Distribution. NBER Working Paper No. 7519. Cambridge (MA): National Bureau of Economic Research.</w:t>
      </w:r>
    </w:p>
    <w:p w:rsidR="00D9764F" w:rsidRPr="00D300A0" w:rsidRDefault="00D9764F" w:rsidP="00D9764F">
      <w:pPr>
        <w:spacing w:before="240" w:after="240"/>
        <w:rPr>
          <w:rFonts w:cs="Arial"/>
          <w:sz w:val="22"/>
          <w:szCs w:val="22"/>
          <w:lang w:val="de-DE"/>
        </w:rPr>
      </w:pPr>
      <w:r w:rsidRPr="0049663D">
        <w:rPr>
          <w:rFonts w:cs="Arial"/>
          <w:sz w:val="22"/>
          <w:szCs w:val="22"/>
          <w:lang w:val="en-GB"/>
        </w:rPr>
        <w:t>Reynolds, M. O. 2008. Labor Unions [cit. 3. 11. 2015]. In: Henderson, D. R. (ed). </w:t>
      </w:r>
      <w:r w:rsidRPr="0049663D">
        <w:rPr>
          <w:rFonts w:cs="Arial"/>
          <w:i/>
          <w:sz w:val="22"/>
          <w:szCs w:val="22"/>
          <w:lang w:val="en-GB"/>
        </w:rPr>
        <w:t>The Concise Encyclopedia of Economics</w:t>
      </w:r>
      <w:r w:rsidRPr="0049663D">
        <w:rPr>
          <w:rFonts w:cs="Arial"/>
          <w:sz w:val="22"/>
          <w:szCs w:val="22"/>
          <w:lang w:val="en-GB"/>
        </w:rPr>
        <w:t xml:space="preserve">. Liberty Fund, Inc., 2008. Library of Economics and Liberty [Online]. </w:t>
      </w:r>
      <w:r w:rsidRPr="009A4821">
        <w:rPr>
          <w:rFonts w:cs="Arial"/>
          <w:sz w:val="22"/>
          <w:szCs w:val="22"/>
          <w:lang w:val="de-DE"/>
        </w:rPr>
        <w:t>Dostupné z</w:t>
      </w:r>
      <w:r w:rsidRPr="00D300A0">
        <w:rPr>
          <w:rFonts w:cs="Arial"/>
          <w:sz w:val="22"/>
          <w:szCs w:val="22"/>
          <w:lang w:val="de-DE"/>
        </w:rPr>
        <w:t xml:space="preserve">: </w:t>
      </w:r>
      <w:hyperlink r:id="rId33" w:history="1">
        <w:r w:rsidRPr="00D300A0">
          <w:rPr>
            <w:rStyle w:val="Hypertextovodkaz"/>
            <w:rFonts w:cs="Arial"/>
            <w:color w:val="auto"/>
            <w:sz w:val="22"/>
            <w:szCs w:val="22"/>
            <w:u w:val="none"/>
            <w:lang w:val="de-DE"/>
          </w:rPr>
          <w:t>http://www.econlib.org/library/Enc/LaborUnions.html</w:t>
        </w:r>
      </w:hyperlink>
    </w:p>
    <w:p w:rsidR="00D9764F" w:rsidRPr="00D106DF" w:rsidRDefault="00D9764F" w:rsidP="00D9764F">
      <w:pPr>
        <w:spacing w:before="240" w:after="240"/>
        <w:rPr>
          <w:rFonts w:cs="Arial"/>
          <w:sz w:val="22"/>
          <w:szCs w:val="22"/>
          <w:lang w:val="de-DE"/>
        </w:rPr>
      </w:pPr>
      <w:r w:rsidRPr="00D106DF">
        <w:rPr>
          <w:rFonts w:cs="Arial"/>
          <w:sz w:val="22"/>
          <w:szCs w:val="22"/>
          <w:lang w:val="de-DE"/>
        </w:rPr>
        <w:t>Schmitt, J. 2013. Why Does the Minimum wage Have No Disc</w:t>
      </w:r>
      <w:r>
        <w:rPr>
          <w:rFonts w:cs="Arial"/>
          <w:sz w:val="22"/>
          <w:szCs w:val="22"/>
          <w:lang w:val="de-DE"/>
        </w:rPr>
        <w:t xml:space="preserve">ernible Effects on Employment? </w:t>
      </w:r>
      <w:r w:rsidRPr="00D106DF">
        <w:rPr>
          <w:rFonts w:cs="Arial"/>
          <w:sz w:val="22"/>
          <w:szCs w:val="22"/>
          <w:lang w:val="de-DE"/>
        </w:rPr>
        <w:t>CEPR, 2013.</w:t>
      </w:r>
    </w:p>
    <w:p w:rsidR="00693BCD" w:rsidRPr="00693BCD" w:rsidRDefault="00693BCD" w:rsidP="00693BCD">
      <w:pPr>
        <w:rPr>
          <w:rStyle w:val="A3"/>
          <w:sz w:val="22"/>
          <w:szCs w:val="22"/>
        </w:rPr>
      </w:pPr>
      <w:r w:rsidRPr="00693BCD">
        <w:rPr>
          <w:rStyle w:val="A3"/>
          <w:bCs/>
          <w:sz w:val="22"/>
          <w:szCs w:val="22"/>
        </w:rPr>
        <w:t>Schulten, T.</w:t>
      </w:r>
      <w:r w:rsidRPr="00693BCD">
        <w:rPr>
          <w:rStyle w:val="A3"/>
          <w:b/>
          <w:bCs/>
          <w:sz w:val="22"/>
          <w:szCs w:val="22"/>
        </w:rPr>
        <w:t xml:space="preserve"> </w:t>
      </w:r>
      <w:r w:rsidRPr="00693BCD">
        <w:rPr>
          <w:rStyle w:val="A3"/>
          <w:sz w:val="22"/>
          <w:szCs w:val="22"/>
        </w:rPr>
        <w:t xml:space="preserve">2014: </w:t>
      </w:r>
      <w:r w:rsidRPr="00693BCD">
        <w:rPr>
          <w:rStyle w:val="A3"/>
          <w:iCs/>
          <w:sz w:val="22"/>
          <w:szCs w:val="22"/>
        </w:rPr>
        <w:t>Minimum Wage Regimes in Europe … and What Germany Can Learn from Them</w:t>
      </w:r>
      <w:r w:rsidRPr="00693BCD">
        <w:rPr>
          <w:rStyle w:val="A3"/>
          <w:i/>
          <w:iCs/>
          <w:sz w:val="22"/>
          <w:szCs w:val="22"/>
        </w:rPr>
        <w:t xml:space="preserve">. </w:t>
      </w:r>
      <w:r w:rsidRPr="00693BCD">
        <w:rPr>
          <w:rStyle w:val="A3"/>
          <w:sz w:val="22"/>
          <w:szCs w:val="22"/>
        </w:rPr>
        <w:t>Friedrich Ebert-Stiftung. Berlin.</w:t>
      </w:r>
    </w:p>
    <w:p w:rsidR="00693BCD" w:rsidRPr="006F235C" w:rsidRDefault="00693BCD" w:rsidP="00693BCD">
      <w:pPr>
        <w:spacing w:before="0"/>
        <w:rPr>
          <w:rStyle w:val="A3"/>
          <w:sz w:val="22"/>
          <w:szCs w:val="22"/>
        </w:rPr>
      </w:pPr>
      <w:r w:rsidRPr="00693BCD">
        <w:rPr>
          <w:sz w:val="22"/>
          <w:szCs w:val="22"/>
        </w:rPr>
        <w:t>Dostupné z:</w:t>
      </w:r>
      <w:r>
        <w:t xml:space="preserve"> </w:t>
      </w:r>
      <w:hyperlink r:id="rId34" w:history="1">
        <w:r w:rsidRPr="006F235C">
          <w:rPr>
            <w:rStyle w:val="Hypertextovodkaz"/>
            <w:rFonts w:cs="Frutiger CE 45 Light"/>
            <w:sz w:val="22"/>
            <w:szCs w:val="22"/>
          </w:rPr>
          <w:t>http://library.fes.de/pdf-files/id-moe/10558.pdf</w:t>
        </w:r>
      </w:hyperlink>
    </w:p>
    <w:p w:rsidR="00D9764F" w:rsidRPr="006A3862" w:rsidRDefault="00D9764F" w:rsidP="00D9764F">
      <w:pPr>
        <w:spacing w:before="240" w:after="240"/>
        <w:rPr>
          <w:rFonts w:cs="Arial"/>
          <w:sz w:val="22"/>
          <w:szCs w:val="22"/>
          <w:lang w:val="en-GB"/>
        </w:rPr>
      </w:pPr>
      <w:r w:rsidRPr="006A3862">
        <w:rPr>
          <w:rFonts w:cs="Arial"/>
          <w:sz w:val="22"/>
          <w:szCs w:val="22"/>
          <w:lang w:val="en-GB"/>
        </w:rPr>
        <w:t>Stewart, M. B. 2010. Individual-level wage changes and spillover effects of minimum wage increases. Coventry: University of Warwick, 2010.</w:t>
      </w:r>
    </w:p>
    <w:p w:rsidR="00D9764F" w:rsidRDefault="00D9764F" w:rsidP="00D9764F">
      <w:pPr>
        <w:spacing w:before="0" w:after="0"/>
        <w:rPr>
          <w:rFonts w:cs="Arial"/>
          <w:sz w:val="22"/>
          <w:szCs w:val="22"/>
          <w:lang w:val="de-DE"/>
        </w:rPr>
      </w:pPr>
      <w:r>
        <w:rPr>
          <w:rFonts w:cs="Arial"/>
          <w:sz w:val="22"/>
          <w:szCs w:val="22"/>
          <w:lang w:val="de-DE"/>
        </w:rPr>
        <w:t xml:space="preserve">Světová banka. 1995. </w:t>
      </w:r>
      <w:r w:rsidRPr="00281836">
        <w:rPr>
          <w:rFonts w:cs="Arial"/>
          <w:i/>
          <w:sz w:val="22"/>
          <w:szCs w:val="22"/>
          <w:lang w:val="de-DE"/>
        </w:rPr>
        <w:t>World Development Report 1995: Workers in an Integrating World</w:t>
      </w:r>
      <w:r w:rsidRPr="00281836">
        <w:rPr>
          <w:rFonts w:cs="Arial"/>
          <w:sz w:val="22"/>
          <w:szCs w:val="22"/>
          <w:lang w:val="de-DE"/>
        </w:rPr>
        <w:t>. N</w:t>
      </w:r>
      <w:r>
        <w:rPr>
          <w:rFonts w:cs="Arial"/>
          <w:sz w:val="22"/>
          <w:szCs w:val="22"/>
          <w:lang w:val="de-DE"/>
        </w:rPr>
        <w:t xml:space="preserve">ew </w:t>
      </w:r>
      <w:r w:rsidRPr="00281836">
        <w:rPr>
          <w:rFonts w:cs="Arial"/>
          <w:sz w:val="22"/>
          <w:szCs w:val="22"/>
          <w:lang w:val="de-DE"/>
        </w:rPr>
        <w:t>Y</w:t>
      </w:r>
      <w:r>
        <w:rPr>
          <w:rFonts w:cs="Arial"/>
          <w:sz w:val="22"/>
          <w:szCs w:val="22"/>
          <w:lang w:val="de-DE"/>
        </w:rPr>
        <w:t>ork</w:t>
      </w:r>
      <w:r w:rsidRPr="00281836">
        <w:rPr>
          <w:rFonts w:cs="Arial"/>
          <w:sz w:val="22"/>
          <w:szCs w:val="22"/>
          <w:lang w:val="de-DE"/>
        </w:rPr>
        <w:t>: Oxford University Press</w:t>
      </w:r>
      <w:r>
        <w:rPr>
          <w:rFonts w:cs="Arial"/>
          <w:sz w:val="22"/>
          <w:szCs w:val="22"/>
          <w:lang w:val="de-DE"/>
        </w:rPr>
        <w:t>, 1995.</w:t>
      </w:r>
    </w:p>
    <w:p w:rsidR="00D9764F" w:rsidRPr="0006311D" w:rsidRDefault="00D9764F" w:rsidP="00D9764F">
      <w:pPr>
        <w:spacing w:before="240" w:after="240"/>
        <w:rPr>
          <w:rFonts w:cs="Arial"/>
          <w:sz w:val="22"/>
          <w:szCs w:val="22"/>
          <w:lang w:val="en-GB"/>
        </w:rPr>
      </w:pPr>
      <w:r w:rsidRPr="009A4821">
        <w:rPr>
          <w:rFonts w:cs="Arial"/>
          <w:sz w:val="22"/>
          <w:szCs w:val="22"/>
          <w:lang w:val="de-DE"/>
        </w:rPr>
        <w:t xml:space="preserve">Verma, A. 2005. </w:t>
      </w:r>
      <w:r w:rsidRPr="0006311D">
        <w:rPr>
          <w:rFonts w:cs="Arial"/>
          <w:sz w:val="22"/>
          <w:szCs w:val="22"/>
          <w:lang w:val="en-GB"/>
        </w:rPr>
        <w:t xml:space="preserve">What do unions do to the workplace? Union effects on management and HRM policies. </w:t>
      </w:r>
      <w:r w:rsidRPr="0006311D">
        <w:rPr>
          <w:rFonts w:cs="Arial"/>
          <w:bCs/>
          <w:sz w:val="22"/>
          <w:szCs w:val="22"/>
          <w:lang w:val="en-GB"/>
        </w:rPr>
        <w:t xml:space="preserve">Symposium Part V-What Do Unions Do?: A Twenty-Year Perspective, </w:t>
      </w:r>
      <w:hyperlink r:id="rId35" w:history="1">
        <w:r w:rsidRPr="0006311D">
          <w:rPr>
            <w:rFonts w:cs="Arial"/>
            <w:i/>
            <w:sz w:val="22"/>
            <w:szCs w:val="22"/>
            <w:lang w:val="en-GB"/>
          </w:rPr>
          <w:t>Journal of Labor Research</w:t>
        </w:r>
      </w:hyperlink>
      <w:r w:rsidRPr="0006311D">
        <w:rPr>
          <w:rFonts w:cs="Arial"/>
          <w:sz w:val="22"/>
          <w:szCs w:val="22"/>
          <w:lang w:val="en-GB"/>
        </w:rPr>
        <w:t>, 2005, Vol. 26, No. 3, pp. 415-449. DOI: 10.1007/s12122-005-1013-5</w:t>
      </w:r>
    </w:p>
    <w:p w:rsidR="00D9764F" w:rsidRPr="00E112EC" w:rsidRDefault="00D9764F" w:rsidP="00D9764F">
      <w:pPr>
        <w:spacing w:before="240" w:after="240"/>
        <w:rPr>
          <w:rFonts w:cs="Arial"/>
          <w:sz w:val="22"/>
          <w:szCs w:val="22"/>
          <w:lang w:val="en-GB"/>
        </w:rPr>
      </w:pPr>
      <w:r w:rsidRPr="00856BCA">
        <w:rPr>
          <w:rFonts w:cs="Arial"/>
          <w:sz w:val="22"/>
          <w:szCs w:val="22"/>
          <w:lang w:val="en-GB"/>
        </w:rPr>
        <w:t>Wicks-Lim, J. 2008. Mandated Wage Floors and the Wage Structure: New Estimates of the Ripple Effects of Minimum Wage Laws [PERI Working Paper No. 116]. Amherst, MA: Political Economy Research Institute</w:t>
      </w:r>
      <w:r>
        <w:rPr>
          <w:rFonts w:cs="Arial"/>
          <w:sz w:val="22"/>
          <w:szCs w:val="22"/>
          <w:lang w:val="en-GB"/>
        </w:rPr>
        <w:t>, 2008</w:t>
      </w:r>
      <w:r w:rsidRPr="00856BCA">
        <w:rPr>
          <w:rFonts w:cs="Arial"/>
          <w:sz w:val="22"/>
          <w:szCs w:val="22"/>
          <w:lang w:val="en-GB"/>
        </w:rPr>
        <w:t>.</w:t>
      </w:r>
    </w:p>
    <w:p w:rsidR="00503834" w:rsidRDefault="00503834" w:rsidP="00D72A14">
      <w:pPr>
        <w:spacing w:before="0" w:after="0"/>
      </w:pPr>
    </w:p>
    <w:p w:rsidR="00402A2E" w:rsidRDefault="00402A2E" w:rsidP="00D72A14">
      <w:pPr>
        <w:spacing w:before="0" w:after="0"/>
      </w:pPr>
    </w:p>
    <w:p w:rsidR="00402A2E" w:rsidRDefault="00402A2E">
      <w:pPr>
        <w:spacing w:before="240"/>
        <w:ind w:left="357" w:hanging="357"/>
      </w:pPr>
      <w:r>
        <w:br w:type="page"/>
      </w:r>
    </w:p>
    <w:p w:rsidR="00402A2E" w:rsidRDefault="00402A2E" w:rsidP="009B03FA">
      <w:pPr>
        <w:pStyle w:val="Nadpis1"/>
        <w:numPr>
          <w:ilvl w:val="0"/>
          <w:numId w:val="0"/>
        </w:numPr>
        <w:spacing w:after="360"/>
        <w:ind w:left="567" w:hanging="567"/>
      </w:pPr>
      <w:bookmarkStart w:id="26" w:name="_Toc436143421"/>
      <w:r>
        <w:lastRenderedPageBreak/>
        <w:t>Příloh</w:t>
      </w:r>
      <w:r w:rsidR="009B03FA">
        <w:t>a</w:t>
      </w:r>
      <w:bookmarkEnd w:id="26"/>
    </w:p>
    <w:p w:rsidR="00402A2E" w:rsidRPr="00820766" w:rsidRDefault="009B03FA" w:rsidP="009B03FA">
      <w:pPr>
        <w:pStyle w:val="Nadpis2"/>
        <w:numPr>
          <w:ilvl w:val="0"/>
          <w:numId w:val="0"/>
        </w:numPr>
        <w:spacing w:after="240"/>
        <w:ind w:left="567" w:hanging="567"/>
      </w:pPr>
      <w:bookmarkStart w:id="27" w:name="_Toc436143422"/>
      <w:r>
        <w:t>Z</w:t>
      </w:r>
      <w:r w:rsidR="00402A2E" w:rsidRPr="00820766">
        <w:t>ákonná úprava smluvních vztahů z hlediska kolektivních smluv</w:t>
      </w:r>
      <w:bookmarkEnd w:id="27"/>
    </w:p>
    <w:p w:rsidR="00402A2E" w:rsidRPr="0039015F" w:rsidRDefault="0039015F" w:rsidP="0039015F">
      <w:pPr>
        <w:spacing w:before="240" w:after="240"/>
        <w:rPr>
          <w:rFonts w:cs="Arial"/>
          <w:iCs/>
          <w:color w:val="000000"/>
        </w:rPr>
      </w:pPr>
      <w:r>
        <w:rPr>
          <w:rFonts w:cs="Arial"/>
          <w:iCs/>
          <w:color w:val="000000"/>
        </w:rPr>
        <w:t>Zákon č. 262</w:t>
      </w:r>
      <w:r w:rsidRPr="0053564F">
        <w:rPr>
          <w:rFonts w:cs="Arial"/>
          <w:iCs/>
          <w:color w:val="000000"/>
        </w:rPr>
        <w:t>/</w:t>
      </w:r>
      <w:r>
        <w:rPr>
          <w:rFonts w:cs="Arial"/>
          <w:iCs/>
          <w:color w:val="000000"/>
        </w:rPr>
        <w:t>2006 Sb., zákoníku práce, v platném znění, upravuje postavení zaměstnavatelů a odborových organizací. Z platné právní úpravy kolektivního vyjednávání a kolektivních smluv vyplývají následující práva smluvních stran:</w:t>
      </w:r>
    </w:p>
    <w:p w:rsidR="00402A2E" w:rsidRPr="007D422A" w:rsidRDefault="0039015F" w:rsidP="009B03FA">
      <w:pPr>
        <w:spacing w:before="360" w:after="240"/>
        <w:ind w:left="357" w:hanging="357"/>
        <w:rPr>
          <w:rFonts w:cs="Arial"/>
          <w:b/>
          <w:iCs/>
          <w:color w:val="000000"/>
        </w:rPr>
      </w:pPr>
      <w:r w:rsidRPr="007D422A">
        <w:rPr>
          <w:rFonts w:cs="Arial"/>
          <w:b/>
          <w:iCs/>
          <w:color w:val="000000"/>
        </w:rPr>
        <w:t xml:space="preserve">a) </w:t>
      </w:r>
      <w:r w:rsidR="007D422A" w:rsidRPr="007D422A">
        <w:rPr>
          <w:rFonts w:cs="Arial"/>
          <w:b/>
          <w:iCs/>
          <w:color w:val="000000"/>
        </w:rPr>
        <w:t>právo na spolurozhodování</w:t>
      </w:r>
    </w:p>
    <w:tbl>
      <w:tblPr>
        <w:tblStyle w:val="Mkatabulky"/>
        <w:tblW w:w="0" w:type="auto"/>
        <w:tblInd w:w="357" w:type="dxa"/>
        <w:tblLook w:val="04A0" w:firstRow="1" w:lastRow="0" w:firstColumn="1" w:lastColumn="0" w:noHBand="0" w:noVBand="1"/>
      </w:tblPr>
      <w:tblGrid>
        <w:gridCol w:w="1906"/>
        <w:gridCol w:w="7366"/>
      </w:tblGrid>
      <w:tr w:rsidR="00925CD6" w:rsidRPr="00631D07" w:rsidTr="004A05EE">
        <w:trPr>
          <w:trHeight w:val="458"/>
        </w:trPr>
        <w:tc>
          <w:tcPr>
            <w:tcW w:w="9272" w:type="dxa"/>
            <w:gridSpan w:val="2"/>
            <w:vAlign w:val="center"/>
          </w:tcPr>
          <w:p w:rsidR="00925CD6" w:rsidRPr="00631D07" w:rsidRDefault="00925CD6" w:rsidP="004A05EE">
            <w:pPr>
              <w:spacing w:before="0"/>
              <w:jc w:val="center"/>
              <w:rPr>
                <w:rFonts w:cs="Arial"/>
                <w:b/>
                <w:iCs/>
                <w:color w:val="000000"/>
                <w:sz w:val="22"/>
                <w:szCs w:val="22"/>
              </w:rPr>
            </w:pPr>
            <w:r w:rsidRPr="00631D07">
              <w:rPr>
                <w:rFonts w:cs="Arial"/>
                <w:b/>
                <w:iCs/>
                <w:color w:val="000000"/>
                <w:sz w:val="22"/>
                <w:szCs w:val="22"/>
              </w:rPr>
              <w:t>Úprava v zákoně č. 262</w:t>
            </w:r>
            <w:r w:rsidRPr="0053564F">
              <w:rPr>
                <w:rFonts w:cs="Arial"/>
                <w:b/>
                <w:iCs/>
                <w:color w:val="000000"/>
                <w:sz w:val="22"/>
                <w:szCs w:val="22"/>
              </w:rPr>
              <w:t>/</w:t>
            </w:r>
            <w:r w:rsidRPr="00631D07">
              <w:rPr>
                <w:rFonts w:cs="Arial"/>
                <w:b/>
                <w:iCs/>
                <w:color w:val="000000"/>
                <w:sz w:val="22"/>
                <w:szCs w:val="22"/>
              </w:rPr>
              <w:t>2006 Sb., zákoníku práce, v platném znění</w:t>
            </w:r>
          </w:p>
        </w:tc>
      </w:tr>
      <w:tr w:rsidR="007808AE" w:rsidRPr="00631D07" w:rsidTr="006A1C10">
        <w:tc>
          <w:tcPr>
            <w:tcW w:w="1906" w:type="dxa"/>
            <w:vAlign w:val="center"/>
          </w:tcPr>
          <w:p w:rsidR="007808AE" w:rsidRPr="00631D07" w:rsidRDefault="007808AE" w:rsidP="004A05EE">
            <w:pPr>
              <w:spacing w:before="0"/>
              <w:rPr>
                <w:rFonts w:cs="Arial"/>
                <w:iCs/>
                <w:color w:val="000000"/>
                <w:sz w:val="22"/>
                <w:szCs w:val="22"/>
              </w:rPr>
            </w:pPr>
            <w:r w:rsidRPr="00631D07">
              <w:rPr>
                <w:rFonts w:cs="Arial"/>
                <w:color w:val="000000"/>
                <w:sz w:val="22"/>
                <w:szCs w:val="22"/>
              </w:rPr>
              <w:t>§ 22</w:t>
            </w:r>
          </w:p>
        </w:tc>
        <w:tc>
          <w:tcPr>
            <w:tcW w:w="7366" w:type="dxa"/>
          </w:tcPr>
          <w:p w:rsidR="007808AE" w:rsidRPr="004D7665" w:rsidRDefault="000C4649" w:rsidP="000C4649">
            <w:pPr>
              <w:spacing w:before="0"/>
              <w:rPr>
                <w:rFonts w:cs="Arial"/>
                <w:iCs/>
                <w:sz w:val="22"/>
                <w:szCs w:val="22"/>
              </w:rPr>
            </w:pPr>
            <w:r w:rsidRPr="004D7665">
              <w:rPr>
                <w:rFonts w:cs="Arial"/>
                <w:iCs/>
                <w:sz w:val="22"/>
                <w:szCs w:val="22"/>
              </w:rPr>
              <w:t>právo odborové organizace uzavřít kolektivní smlouvu za zaměstnance</w:t>
            </w:r>
          </w:p>
        </w:tc>
      </w:tr>
      <w:tr w:rsidR="00925CD6" w:rsidRPr="00631D07" w:rsidTr="006A1C10">
        <w:tc>
          <w:tcPr>
            <w:tcW w:w="1906" w:type="dxa"/>
            <w:vAlign w:val="center"/>
          </w:tcPr>
          <w:p w:rsidR="00925CD6" w:rsidRPr="004C731B" w:rsidRDefault="00CC3E30" w:rsidP="004A05EE">
            <w:pPr>
              <w:spacing w:before="0"/>
              <w:rPr>
                <w:rFonts w:cs="Arial"/>
                <w:iCs/>
                <w:color w:val="000000"/>
                <w:sz w:val="22"/>
                <w:szCs w:val="22"/>
              </w:rPr>
            </w:pPr>
            <w:r w:rsidRPr="004C731B">
              <w:rPr>
                <w:rFonts w:cs="Arial"/>
                <w:iCs/>
                <w:color w:val="000000"/>
                <w:sz w:val="22"/>
                <w:szCs w:val="22"/>
              </w:rPr>
              <w:t>§ 61 odst. 2</w:t>
            </w:r>
            <w:r w:rsidR="006A1C10" w:rsidRPr="004C731B">
              <w:rPr>
                <w:rFonts w:cs="Arial"/>
                <w:iCs/>
                <w:color w:val="000000"/>
                <w:sz w:val="22"/>
                <w:szCs w:val="22"/>
              </w:rPr>
              <w:t xml:space="preserve"> až 4</w:t>
            </w:r>
          </w:p>
        </w:tc>
        <w:tc>
          <w:tcPr>
            <w:tcW w:w="7366" w:type="dxa"/>
          </w:tcPr>
          <w:p w:rsidR="00925CD6" w:rsidRPr="004D7665" w:rsidRDefault="00B01F30" w:rsidP="004A05EE">
            <w:pPr>
              <w:spacing w:before="0"/>
              <w:rPr>
                <w:rFonts w:cs="Arial"/>
                <w:iCs/>
                <w:sz w:val="22"/>
                <w:szCs w:val="22"/>
              </w:rPr>
            </w:pPr>
            <w:r w:rsidRPr="004D7665">
              <w:rPr>
                <w:rFonts w:cs="Arial"/>
                <w:sz w:val="22"/>
                <w:szCs w:val="22"/>
                <w:shd w:val="clear" w:color="auto" w:fill="FFFFFF"/>
              </w:rPr>
              <w:t>v</w:t>
            </w:r>
            <w:r w:rsidR="0066214D" w:rsidRPr="004D7665">
              <w:rPr>
                <w:rFonts w:cs="Arial"/>
                <w:sz w:val="22"/>
                <w:szCs w:val="22"/>
                <w:shd w:val="clear" w:color="auto" w:fill="FFFFFF"/>
              </w:rPr>
              <w:t>ýpověď nebo okamžité zrušení pracovního poměru</w:t>
            </w:r>
          </w:p>
        </w:tc>
      </w:tr>
      <w:tr w:rsidR="00CC3E30" w:rsidRPr="00631D07" w:rsidTr="006A1C10">
        <w:tc>
          <w:tcPr>
            <w:tcW w:w="1906" w:type="dxa"/>
            <w:vAlign w:val="center"/>
          </w:tcPr>
          <w:p w:rsidR="00CC3E30" w:rsidRPr="004C731B" w:rsidRDefault="00CC3E30" w:rsidP="004A05EE">
            <w:pPr>
              <w:spacing w:before="0"/>
              <w:rPr>
                <w:rFonts w:cs="Arial"/>
                <w:iCs/>
                <w:color w:val="000000"/>
                <w:sz w:val="22"/>
                <w:szCs w:val="22"/>
              </w:rPr>
            </w:pPr>
            <w:r w:rsidRPr="004C731B">
              <w:rPr>
                <w:rFonts w:cs="Arial"/>
                <w:color w:val="000000"/>
                <w:sz w:val="22"/>
                <w:szCs w:val="22"/>
              </w:rPr>
              <w:t>§ 108 odst. 5</w:t>
            </w:r>
          </w:p>
        </w:tc>
        <w:tc>
          <w:tcPr>
            <w:tcW w:w="7366" w:type="dxa"/>
          </w:tcPr>
          <w:p w:rsidR="00CC3E30" w:rsidRPr="004D7665" w:rsidRDefault="00D67BF4" w:rsidP="004A05EE">
            <w:pPr>
              <w:spacing w:before="0"/>
              <w:rPr>
                <w:rFonts w:cs="Arial"/>
                <w:iCs/>
                <w:sz w:val="22"/>
                <w:szCs w:val="22"/>
              </w:rPr>
            </w:pPr>
            <w:r w:rsidRPr="004D7665">
              <w:rPr>
                <w:rFonts w:cs="Arial"/>
                <w:bCs/>
                <w:sz w:val="22"/>
                <w:szCs w:val="22"/>
                <w:shd w:val="clear" w:color="auto" w:fill="FFFFFF"/>
              </w:rPr>
              <w:t>bezpečnost a ochrana zdraví při práci</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199 odst. 2</w:t>
            </w:r>
          </w:p>
        </w:tc>
        <w:tc>
          <w:tcPr>
            <w:tcW w:w="7366" w:type="dxa"/>
          </w:tcPr>
          <w:p w:rsidR="00CC3E30" w:rsidRPr="004D7665" w:rsidRDefault="00314F9E" w:rsidP="004A05EE">
            <w:pPr>
              <w:spacing w:before="0"/>
              <w:rPr>
                <w:rFonts w:cs="Arial"/>
                <w:iCs/>
                <w:sz w:val="22"/>
                <w:szCs w:val="22"/>
              </w:rPr>
            </w:pPr>
            <w:r w:rsidRPr="004D7665">
              <w:rPr>
                <w:rFonts w:cs="Arial"/>
                <w:sz w:val="22"/>
                <w:szCs w:val="22"/>
                <w:shd w:val="clear" w:color="auto" w:fill="FFFFFF"/>
              </w:rPr>
              <w:t>spolurozhodování odborové organizace o vyslání zaměstnanců na pohřeb spoluzaměstnance</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209 odst. 2</w:t>
            </w:r>
          </w:p>
        </w:tc>
        <w:tc>
          <w:tcPr>
            <w:tcW w:w="7366" w:type="dxa"/>
          </w:tcPr>
          <w:p w:rsidR="00CC3E30" w:rsidRPr="004D7665" w:rsidRDefault="002102B1" w:rsidP="004A05EE">
            <w:pPr>
              <w:spacing w:before="0"/>
              <w:rPr>
                <w:rFonts w:cs="Arial"/>
                <w:iCs/>
                <w:sz w:val="22"/>
                <w:szCs w:val="22"/>
              </w:rPr>
            </w:pPr>
            <w:r w:rsidRPr="004D7665">
              <w:rPr>
                <w:rFonts w:cs="Arial"/>
                <w:sz w:val="22"/>
                <w:szCs w:val="22"/>
                <w:shd w:val="clear" w:color="auto" w:fill="FFFFFF"/>
              </w:rPr>
              <w:t>částečná nezaměstnanost</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217 odst. 1</w:t>
            </w:r>
          </w:p>
        </w:tc>
        <w:tc>
          <w:tcPr>
            <w:tcW w:w="7366" w:type="dxa"/>
          </w:tcPr>
          <w:p w:rsidR="00CC3E30" w:rsidRPr="004D7665" w:rsidRDefault="00040CDE" w:rsidP="004A05EE">
            <w:pPr>
              <w:spacing w:before="0"/>
              <w:rPr>
                <w:rFonts w:cs="Arial"/>
                <w:iCs/>
                <w:sz w:val="22"/>
                <w:szCs w:val="22"/>
              </w:rPr>
            </w:pPr>
            <w:r w:rsidRPr="004D7665">
              <w:rPr>
                <w:rFonts w:cs="Arial"/>
                <w:iCs/>
                <w:sz w:val="22"/>
                <w:szCs w:val="22"/>
              </w:rPr>
              <w:t>rozvrh čerpání dovolené</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220</w:t>
            </w:r>
          </w:p>
        </w:tc>
        <w:tc>
          <w:tcPr>
            <w:tcW w:w="7366" w:type="dxa"/>
          </w:tcPr>
          <w:p w:rsidR="00CC3E30" w:rsidRPr="004D7665" w:rsidRDefault="00A65A5E" w:rsidP="004A05EE">
            <w:pPr>
              <w:spacing w:before="0"/>
              <w:rPr>
                <w:rFonts w:cs="Arial"/>
                <w:iCs/>
                <w:sz w:val="22"/>
                <w:szCs w:val="22"/>
              </w:rPr>
            </w:pPr>
            <w:r w:rsidRPr="004D7665">
              <w:rPr>
                <w:rFonts w:cs="Arial"/>
                <w:iCs/>
                <w:sz w:val="22"/>
                <w:szCs w:val="22"/>
              </w:rPr>
              <w:t>hromadné čerpání dovolené</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225</w:t>
            </w:r>
          </w:p>
        </w:tc>
        <w:tc>
          <w:tcPr>
            <w:tcW w:w="7366" w:type="dxa"/>
          </w:tcPr>
          <w:p w:rsidR="00CC3E30" w:rsidRPr="004D7665" w:rsidRDefault="00EE7181" w:rsidP="004A05EE">
            <w:pPr>
              <w:spacing w:before="0"/>
              <w:rPr>
                <w:rFonts w:cs="Arial"/>
                <w:iCs/>
                <w:sz w:val="22"/>
                <w:szCs w:val="22"/>
              </w:rPr>
            </w:pPr>
            <w:r w:rsidRPr="004D7665">
              <w:rPr>
                <w:rFonts w:cs="Arial"/>
                <w:iCs/>
                <w:sz w:val="22"/>
                <w:szCs w:val="22"/>
              </w:rPr>
              <w:t xml:space="preserve">příděl do fondu </w:t>
            </w:r>
            <w:r w:rsidRPr="004D7665">
              <w:rPr>
                <w:rFonts w:cs="Arial"/>
                <w:sz w:val="22"/>
                <w:szCs w:val="22"/>
                <w:shd w:val="clear" w:color="auto" w:fill="FFFFFF"/>
              </w:rPr>
              <w:t>kulturních a sociálních potřeb a jeho čerpání</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306 odst. 4</w:t>
            </w:r>
          </w:p>
        </w:tc>
        <w:tc>
          <w:tcPr>
            <w:tcW w:w="7366" w:type="dxa"/>
          </w:tcPr>
          <w:p w:rsidR="00CC3E30" w:rsidRPr="004D7665" w:rsidRDefault="00BA2C63" w:rsidP="00EE7181">
            <w:pPr>
              <w:spacing w:before="0"/>
              <w:rPr>
                <w:rFonts w:cs="Arial"/>
                <w:iCs/>
                <w:sz w:val="22"/>
                <w:szCs w:val="22"/>
              </w:rPr>
            </w:pPr>
            <w:r w:rsidRPr="004D7665">
              <w:rPr>
                <w:rStyle w:val="apple-converted-space"/>
                <w:rFonts w:cs="Arial"/>
                <w:sz w:val="22"/>
                <w:szCs w:val="22"/>
                <w:shd w:val="clear" w:color="auto" w:fill="FFFFFF"/>
              </w:rPr>
              <w:t>vydání nebo změna pracovního řádu</w:t>
            </w:r>
          </w:p>
        </w:tc>
      </w:tr>
      <w:tr w:rsidR="00CC3E30" w:rsidRPr="00631D07" w:rsidTr="006A1C10">
        <w:tc>
          <w:tcPr>
            <w:tcW w:w="1906" w:type="dxa"/>
            <w:vAlign w:val="center"/>
          </w:tcPr>
          <w:p w:rsidR="00CC3E30" w:rsidRPr="00631D07" w:rsidRDefault="00CC3E30" w:rsidP="004A05EE">
            <w:pPr>
              <w:spacing w:before="0"/>
              <w:rPr>
                <w:rFonts w:cs="Arial"/>
                <w:iCs/>
                <w:color w:val="000000"/>
                <w:sz w:val="22"/>
                <w:szCs w:val="22"/>
              </w:rPr>
            </w:pPr>
            <w:r w:rsidRPr="00631D07">
              <w:rPr>
                <w:rFonts w:cs="Arial"/>
                <w:color w:val="000000"/>
                <w:sz w:val="22"/>
                <w:szCs w:val="22"/>
              </w:rPr>
              <w:t>§ 348 odst. 3</w:t>
            </w:r>
          </w:p>
        </w:tc>
        <w:tc>
          <w:tcPr>
            <w:tcW w:w="7366" w:type="dxa"/>
          </w:tcPr>
          <w:p w:rsidR="00CC3E30" w:rsidRPr="004D7665" w:rsidRDefault="004D7665" w:rsidP="004A05EE">
            <w:pPr>
              <w:spacing w:before="0"/>
              <w:rPr>
                <w:rFonts w:cs="Arial"/>
                <w:iCs/>
                <w:sz w:val="22"/>
                <w:szCs w:val="22"/>
              </w:rPr>
            </w:pPr>
            <w:r w:rsidRPr="004D7665">
              <w:rPr>
                <w:rFonts w:cs="Arial"/>
                <w:sz w:val="22"/>
                <w:szCs w:val="22"/>
                <w:shd w:val="clear" w:color="auto" w:fill="FFFFFF"/>
              </w:rPr>
              <w:t>rozhodování o tom, zda se jedná o neomluvené zameškání práce</w:t>
            </w:r>
          </w:p>
        </w:tc>
      </w:tr>
    </w:tbl>
    <w:p w:rsidR="007D422A" w:rsidRPr="007D422A" w:rsidRDefault="007D422A" w:rsidP="009B03FA">
      <w:pPr>
        <w:spacing w:before="360" w:after="240"/>
        <w:ind w:left="357" w:hanging="357"/>
        <w:rPr>
          <w:rFonts w:cs="Arial"/>
          <w:b/>
          <w:iCs/>
          <w:color w:val="000000"/>
        </w:rPr>
      </w:pPr>
      <w:r w:rsidRPr="007D422A">
        <w:rPr>
          <w:rFonts w:cs="Arial"/>
          <w:b/>
          <w:iCs/>
          <w:color w:val="000000"/>
        </w:rPr>
        <w:t>b) právo na projednávání</w:t>
      </w:r>
    </w:p>
    <w:tbl>
      <w:tblPr>
        <w:tblStyle w:val="Mkatabulky"/>
        <w:tblW w:w="0" w:type="auto"/>
        <w:tblInd w:w="357" w:type="dxa"/>
        <w:tblLook w:val="04A0" w:firstRow="1" w:lastRow="0" w:firstColumn="1" w:lastColumn="0" w:noHBand="0" w:noVBand="1"/>
      </w:tblPr>
      <w:tblGrid>
        <w:gridCol w:w="1623"/>
        <w:gridCol w:w="7649"/>
      </w:tblGrid>
      <w:tr w:rsidR="00283C95" w:rsidRPr="00283C95" w:rsidTr="004A05EE">
        <w:trPr>
          <w:trHeight w:val="458"/>
        </w:trPr>
        <w:tc>
          <w:tcPr>
            <w:tcW w:w="9272" w:type="dxa"/>
            <w:gridSpan w:val="2"/>
            <w:vAlign w:val="center"/>
          </w:tcPr>
          <w:p w:rsidR="00925CD6" w:rsidRPr="00027E00" w:rsidRDefault="00925CD6" w:rsidP="004A05EE">
            <w:pPr>
              <w:spacing w:before="0"/>
              <w:jc w:val="center"/>
              <w:rPr>
                <w:rFonts w:cs="Arial"/>
                <w:b/>
                <w:iCs/>
                <w:sz w:val="22"/>
                <w:szCs w:val="22"/>
              </w:rPr>
            </w:pPr>
            <w:r w:rsidRPr="00027E00">
              <w:rPr>
                <w:rFonts w:cs="Arial"/>
                <w:b/>
                <w:iCs/>
                <w:sz w:val="22"/>
                <w:szCs w:val="22"/>
              </w:rPr>
              <w:t>Úprava v zákoně č. 262</w:t>
            </w:r>
            <w:r w:rsidRPr="0053564F">
              <w:rPr>
                <w:rFonts w:cs="Arial"/>
                <w:b/>
                <w:iCs/>
                <w:sz w:val="22"/>
                <w:szCs w:val="22"/>
              </w:rPr>
              <w:t>/</w:t>
            </w:r>
            <w:r w:rsidRPr="00027E00">
              <w:rPr>
                <w:rFonts w:cs="Arial"/>
                <w:b/>
                <w:iCs/>
                <w:sz w:val="22"/>
                <w:szCs w:val="22"/>
              </w:rPr>
              <w:t>2006 Sb., zákoníku práce, v platném znění</w:t>
            </w:r>
          </w:p>
        </w:tc>
      </w:tr>
      <w:tr w:rsidR="00283C95" w:rsidRPr="00283C95" w:rsidTr="00631D07">
        <w:tc>
          <w:tcPr>
            <w:tcW w:w="1623" w:type="dxa"/>
            <w:vAlign w:val="center"/>
          </w:tcPr>
          <w:p w:rsidR="00925CD6" w:rsidRPr="00283C95" w:rsidRDefault="00631D07" w:rsidP="004A05EE">
            <w:pPr>
              <w:spacing w:before="0"/>
              <w:rPr>
                <w:rFonts w:cs="Arial"/>
                <w:iCs/>
                <w:sz w:val="22"/>
                <w:szCs w:val="22"/>
              </w:rPr>
            </w:pPr>
            <w:r w:rsidRPr="00283C95">
              <w:rPr>
                <w:rFonts w:cs="Arial"/>
                <w:sz w:val="22"/>
                <w:szCs w:val="22"/>
              </w:rPr>
              <w:t>§ 46</w:t>
            </w:r>
          </w:p>
        </w:tc>
        <w:tc>
          <w:tcPr>
            <w:tcW w:w="7649" w:type="dxa"/>
          </w:tcPr>
          <w:p w:rsidR="00925CD6" w:rsidRPr="00283C95" w:rsidRDefault="0066214D" w:rsidP="004A05EE">
            <w:pPr>
              <w:spacing w:before="0"/>
              <w:rPr>
                <w:rFonts w:cs="Arial"/>
                <w:iCs/>
                <w:sz w:val="22"/>
                <w:szCs w:val="22"/>
              </w:rPr>
            </w:pPr>
            <w:r w:rsidRPr="00283C95">
              <w:rPr>
                <w:rFonts w:cs="Arial"/>
                <w:iCs/>
                <w:sz w:val="22"/>
                <w:szCs w:val="22"/>
              </w:rPr>
              <w:t>převod zaměstnance na jinou práci bez souhlasu zaměstnance</w:t>
            </w:r>
          </w:p>
        </w:tc>
      </w:tr>
      <w:tr w:rsidR="00283C95" w:rsidRPr="00283C95" w:rsidTr="00631D07">
        <w:tc>
          <w:tcPr>
            <w:tcW w:w="1623" w:type="dxa"/>
            <w:vAlign w:val="center"/>
          </w:tcPr>
          <w:p w:rsidR="0076643F" w:rsidRPr="00283C95" w:rsidRDefault="00631D07" w:rsidP="004A05EE">
            <w:pPr>
              <w:spacing w:before="0"/>
              <w:rPr>
                <w:rFonts w:cs="Arial"/>
                <w:iCs/>
                <w:sz w:val="22"/>
                <w:szCs w:val="22"/>
              </w:rPr>
            </w:pPr>
            <w:r w:rsidRPr="00283C95">
              <w:rPr>
                <w:rFonts w:cs="Arial"/>
                <w:sz w:val="22"/>
                <w:szCs w:val="22"/>
              </w:rPr>
              <w:t>§ 61 odst. 1</w:t>
            </w:r>
          </w:p>
        </w:tc>
        <w:tc>
          <w:tcPr>
            <w:tcW w:w="7649" w:type="dxa"/>
          </w:tcPr>
          <w:p w:rsidR="0076643F" w:rsidRPr="00283C95" w:rsidRDefault="00B01F30" w:rsidP="004A05EE">
            <w:pPr>
              <w:spacing w:before="0"/>
              <w:rPr>
                <w:rFonts w:cs="Arial"/>
                <w:iCs/>
                <w:sz w:val="22"/>
                <w:szCs w:val="22"/>
              </w:rPr>
            </w:pPr>
            <w:r w:rsidRPr="00283C95">
              <w:rPr>
                <w:rFonts w:cs="Arial"/>
                <w:sz w:val="22"/>
                <w:szCs w:val="22"/>
                <w:shd w:val="clear" w:color="auto" w:fill="FFFFFF"/>
              </w:rPr>
              <w:t>výpověď nebo okamžité zrušení pracovního poměru</w:t>
            </w:r>
          </w:p>
        </w:tc>
      </w:tr>
      <w:tr w:rsidR="00283C95" w:rsidRPr="00283C95" w:rsidTr="00631D07">
        <w:tc>
          <w:tcPr>
            <w:tcW w:w="1623" w:type="dxa"/>
            <w:vAlign w:val="center"/>
          </w:tcPr>
          <w:p w:rsidR="0076643F" w:rsidRPr="00283C95" w:rsidRDefault="00631D07" w:rsidP="004A05EE">
            <w:pPr>
              <w:spacing w:before="0"/>
              <w:rPr>
                <w:rFonts w:cs="Arial"/>
                <w:iCs/>
                <w:sz w:val="22"/>
                <w:szCs w:val="22"/>
              </w:rPr>
            </w:pPr>
            <w:r w:rsidRPr="00283C95">
              <w:rPr>
                <w:rFonts w:cs="Arial"/>
                <w:sz w:val="22"/>
                <w:szCs w:val="22"/>
              </w:rPr>
              <w:t>§ 99</w:t>
            </w:r>
          </w:p>
        </w:tc>
        <w:tc>
          <w:tcPr>
            <w:tcW w:w="7649" w:type="dxa"/>
          </w:tcPr>
          <w:p w:rsidR="0076643F" w:rsidRPr="00283C95" w:rsidRDefault="008A0297" w:rsidP="004A05EE">
            <w:pPr>
              <w:spacing w:before="0"/>
              <w:rPr>
                <w:rFonts w:cs="Arial"/>
                <w:iCs/>
                <w:sz w:val="22"/>
                <w:szCs w:val="22"/>
              </w:rPr>
            </w:pPr>
            <w:r w:rsidRPr="00283C95">
              <w:rPr>
                <w:rFonts w:cs="Arial"/>
                <w:sz w:val="22"/>
                <w:szCs w:val="22"/>
                <w:shd w:val="clear" w:color="auto" w:fill="FFFFFF"/>
              </w:rPr>
              <w:t>opatření týkající se hromadné úpravy pracovní doby, práce přesčas, možnost nařizovat práci ve dnech pracovního klidu a noční práci se zřetelem na bezpečnost a ochranu zdraví při práci</w:t>
            </w:r>
            <w:r w:rsidRPr="00283C95">
              <w:rPr>
                <w:rStyle w:val="apple-converted-space"/>
                <w:rFonts w:cs="Arial"/>
                <w:sz w:val="22"/>
                <w:szCs w:val="22"/>
                <w:shd w:val="clear" w:color="auto" w:fill="FFFFFF"/>
              </w:rPr>
              <w:t> </w:t>
            </w:r>
          </w:p>
        </w:tc>
      </w:tr>
      <w:tr w:rsidR="00283C95" w:rsidRPr="00283C95" w:rsidTr="00631D07">
        <w:tc>
          <w:tcPr>
            <w:tcW w:w="1623" w:type="dxa"/>
            <w:vAlign w:val="center"/>
          </w:tcPr>
          <w:p w:rsidR="0076643F" w:rsidRPr="00283C95" w:rsidRDefault="00631D07" w:rsidP="004A05EE">
            <w:pPr>
              <w:spacing w:before="0"/>
              <w:rPr>
                <w:rFonts w:cs="Arial"/>
                <w:iCs/>
                <w:sz w:val="22"/>
                <w:szCs w:val="22"/>
              </w:rPr>
            </w:pPr>
            <w:r w:rsidRPr="00283C95">
              <w:rPr>
                <w:rFonts w:cs="Arial"/>
                <w:sz w:val="22"/>
                <w:szCs w:val="22"/>
              </w:rPr>
              <w:t>§ 141 odst. 3</w:t>
            </w:r>
          </w:p>
        </w:tc>
        <w:tc>
          <w:tcPr>
            <w:tcW w:w="7649" w:type="dxa"/>
          </w:tcPr>
          <w:p w:rsidR="0076643F" w:rsidRPr="00283C95" w:rsidRDefault="00D67BF4" w:rsidP="004A05EE">
            <w:pPr>
              <w:spacing w:before="0"/>
              <w:rPr>
                <w:rFonts w:cs="Arial"/>
                <w:iCs/>
                <w:sz w:val="22"/>
                <w:szCs w:val="22"/>
              </w:rPr>
            </w:pPr>
            <w:r w:rsidRPr="00283C95">
              <w:rPr>
                <w:rFonts w:cs="Arial"/>
                <w:iCs/>
                <w:sz w:val="22"/>
                <w:szCs w:val="22"/>
              </w:rPr>
              <w:t>sjednání, stanovení nebo určení pravidelného termínu výplaty mzdy nebo platu</w:t>
            </w:r>
          </w:p>
        </w:tc>
      </w:tr>
      <w:tr w:rsidR="00283C95" w:rsidRPr="00283C95" w:rsidTr="00631D07">
        <w:tc>
          <w:tcPr>
            <w:tcW w:w="1623" w:type="dxa"/>
            <w:vAlign w:val="center"/>
          </w:tcPr>
          <w:p w:rsidR="0076643F" w:rsidRPr="00283C95" w:rsidRDefault="00631D07" w:rsidP="004A05EE">
            <w:pPr>
              <w:spacing w:before="0"/>
              <w:rPr>
                <w:rFonts w:cs="Arial"/>
                <w:iCs/>
                <w:sz w:val="22"/>
                <w:szCs w:val="22"/>
              </w:rPr>
            </w:pPr>
            <w:r w:rsidRPr="00283C95">
              <w:rPr>
                <w:rFonts w:cs="Arial"/>
                <w:sz w:val="22"/>
                <w:szCs w:val="22"/>
              </w:rPr>
              <w:t>§ 263 odst. 3</w:t>
            </w:r>
          </w:p>
        </w:tc>
        <w:tc>
          <w:tcPr>
            <w:tcW w:w="7649" w:type="dxa"/>
          </w:tcPr>
          <w:p w:rsidR="0076643F" w:rsidRPr="00283C95" w:rsidRDefault="005D3B61" w:rsidP="005D3B61">
            <w:pPr>
              <w:spacing w:before="0"/>
              <w:rPr>
                <w:rFonts w:cs="Arial"/>
                <w:iCs/>
                <w:sz w:val="22"/>
                <w:szCs w:val="22"/>
              </w:rPr>
            </w:pPr>
            <w:r w:rsidRPr="00283C95">
              <w:rPr>
                <w:rFonts w:cs="Arial"/>
                <w:bCs/>
                <w:sz w:val="22"/>
                <w:szCs w:val="22"/>
                <w:shd w:val="clear" w:color="auto" w:fill="FFFFFF"/>
              </w:rPr>
              <w:t>v</w:t>
            </w:r>
            <w:r w:rsidR="00BA2200" w:rsidRPr="00283C95">
              <w:rPr>
                <w:rFonts w:cs="Arial"/>
                <w:bCs/>
                <w:sz w:val="22"/>
                <w:szCs w:val="22"/>
                <w:shd w:val="clear" w:color="auto" w:fill="FFFFFF"/>
              </w:rPr>
              <w:t>ýš</w:t>
            </w:r>
            <w:r w:rsidRPr="00283C95">
              <w:rPr>
                <w:rFonts w:cs="Arial"/>
                <w:bCs/>
                <w:sz w:val="22"/>
                <w:szCs w:val="22"/>
                <w:shd w:val="clear" w:color="auto" w:fill="FFFFFF"/>
              </w:rPr>
              <w:t>e</w:t>
            </w:r>
            <w:r w:rsidR="00BA2200" w:rsidRPr="00283C95">
              <w:rPr>
                <w:rFonts w:cs="Arial"/>
                <w:bCs/>
                <w:sz w:val="22"/>
                <w:szCs w:val="22"/>
                <w:shd w:val="clear" w:color="auto" w:fill="FFFFFF"/>
              </w:rPr>
              <w:t xml:space="preserve"> požadované náhrady škody a obsah dohody </w:t>
            </w:r>
            <w:r w:rsidRPr="00283C95">
              <w:rPr>
                <w:rFonts w:cs="Arial"/>
                <w:bCs/>
                <w:sz w:val="22"/>
                <w:szCs w:val="22"/>
                <w:shd w:val="clear" w:color="auto" w:fill="FFFFFF"/>
              </w:rPr>
              <w:t xml:space="preserve">se zaměstnancem </w:t>
            </w:r>
            <w:r w:rsidR="00BA2200" w:rsidRPr="00283C95">
              <w:rPr>
                <w:rFonts w:cs="Arial"/>
                <w:bCs/>
                <w:sz w:val="22"/>
                <w:szCs w:val="22"/>
                <w:shd w:val="clear" w:color="auto" w:fill="FFFFFF"/>
              </w:rPr>
              <w:t>o způsobu její náhrady</w:t>
            </w:r>
          </w:p>
        </w:tc>
      </w:tr>
      <w:tr w:rsidR="00283C95" w:rsidRPr="00283C95" w:rsidTr="00631D07">
        <w:tc>
          <w:tcPr>
            <w:tcW w:w="1623" w:type="dxa"/>
            <w:vAlign w:val="center"/>
          </w:tcPr>
          <w:p w:rsidR="0076643F" w:rsidRPr="00283C95" w:rsidRDefault="00631D07" w:rsidP="004A05EE">
            <w:pPr>
              <w:spacing w:before="0"/>
              <w:rPr>
                <w:rFonts w:cs="Arial"/>
                <w:iCs/>
                <w:sz w:val="22"/>
                <w:szCs w:val="22"/>
              </w:rPr>
            </w:pPr>
            <w:r w:rsidRPr="00283C95">
              <w:rPr>
                <w:rFonts w:cs="Arial"/>
                <w:sz w:val="22"/>
                <w:szCs w:val="22"/>
              </w:rPr>
              <w:t>§ 287 odst. 2</w:t>
            </w:r>
          </w:p>
        </w:tc>
        <w:tc>
          <w:tcPr>
            <w:tcW w:w="7649" w:type="dxa"/>
          </w:tcPr>
          <w:p w:rsidR="0076643F" w:rsidRPr="00283C95" w:rsidRDefault="004C731B" w:rsidP="004C731B">
            <w:pPr>
              <w:spacing w:before="0"/>
              <w:rPr>
                <w:rFonts w:cs="Arial"/>
                <w:iCs/>
                <w:sz w:val="22"/>
                <w:szCs w:val="22"/>
              </w:rPr>
            </w:pPr>
            <w:r w:rsidRPr="00283C95">
              <w:rPr>
                <w:rFonts w:cs="Arial"/>
                <w:iCs/>
                <w:sz w:val="22"/>
                <w:szCs w:val="22"/>
              </w:rPr>
              <w:t xml:space="preserve">povinnost zaměstnavatele projednat s odborovou organizací svou ekonomickou situaci, množství práce a pracovní tempo, změny organizace práce, systém </w:t>
            </w:r>
            <w:r w:rsidRPr="00283C95">
              <w:rPr>
                <w:rFonts w:cs="Arial"/>
                <w:sz w:val="22"/>
                <w:szCs w:val="22"/>
              </w:rPr>
              <w:t xml:space="preserve">odměňování a hodnocení zaměstnanců, systém školení a vzdělávání zaměstnanců,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 další opatření týkající se většího počtu zaměstnanců, </w:t>
            </w:r>
            <w:r w:rsidRPr="00283C95">
              <w:rPr>
                <w:rFonts w:cs="Arial"/>
                <w:sz w:val="22"/>
                <w:szCs w:val="22"/>
                <w:shd w:val="clear" w:color="auto" w:fill="FFFFFF"/>
              </w:rPr>
              <w:t>vývoji mezd nebo platů, nabídce volných pracovních míst na dobu neurčitou, bezpečnosti a ochraně zdraví, o činnosti zaměstnavatele, jejím pravděpodobném vývoji, jejích důsledcích na životní prostředí a jeho ekologických opatřeních, apod.</w:t>
            </w:r>
          </w:p>
        </w:tc>
      </w:tr>
      <w:tr w:rsidR="00283C95" w:rsidRPr="00283C95" w:rsidTr="00631D07">
        <w:tc>
          <w:tcPr>
            <w:tcW w:w="1623" w:type="dxa"/>
            <w:vAlign w:val="center"/>
          </w:tcPr>
          <w:p w:rsidR="00925CD6" w:rsidRPr="00283C95" w:rsidRDefault="00631D07" w:rsidP="004A05EE">
            <w:pPr>
              <w:spacing w:before="0"/>
              <w:rPr>
                <w:rFonts w:cs="Arial"/>
                <w:iCs/>
                <w:sz w:val="22"/>
                <w:szCs w:val="22"/>
              </w:rPr>
            </w:pPr>
            <w:r w:rsidRPr="00283C95">
              <w:rPr>
                <w:rFonts w:cs="Arial"/>
                <w:sz w:val="22"/>
                <w:szCs w:val="22"/>
              </w:rPr>
              <w:lastRenderedPageBreak/>
              <w:t>§ 280 odst. 1</w:t>
            </w:r>
          </w:p>
        </w:tc>
        <w:tc>
          <w:tcPr>
            <w:tcW w:w="7649" w:type="dxa"/>
          </w:tcPr>
          <w:p w:rsidR="00925CD6" w:rsidRPr="00283C95" w:rsidRDefault="00510054" w:rsidP="00283C95">
            <w:pPr>
              <w:spacing w:before="0"/>
              <w:rPr>
                <w:rFonts w:cs="Arial"/>
                <w:iCs/>
                <w:sz w:val="22"/>
                <w:szCs w:val="22"/>
              </w:rPr>
            </w:pPr>
            <w:r w:rsidRPr="00283C95">
              <w:rPr>
                <w:rFonts w:cs="Arial"/>
                <w:sz w:val="22"/>
                <w:szCs w:val="22"/>
              </w:rPr>
              <w:t xml:space="preserve">povinnost zaměstnavatele projednat se zaměstnanci pravděpodobný hospodářský vývoj u zaměstnavatele, zamýšlené strukturální změny </w:t>
            </w:r>
            <w:r w:rsidRPr="00283C95">
              <w:rPr>
                <w:rFonts w:cs="Arial"/>
                <w:sz w:val="22"/>
                <w:szCs w:val="22"/>
                <w:shd w:val="clear" w:color="auto" w:fill="FFFFFF"/>
              </w:rPr>
              <w:t>zaměstnavatele</w:t>
            </w:r>
            <w:r w:rsidRPr="00283C95">
              <w:rPr>
                <w:rFonts w:cs="Arial"/>
                <w:sz w:val="22"/>
                <w:szCs w:val="22"/>
              </w:rPr>
              <w:t>, jeho racionalizační nebo organizační opatření, opatření ovlivňující zaměstnanost, zejména opatření v souvislosti s hromadným propouštěním zaměstnanců, nejnovější stav a strukturu zaměstnanců, pravděpodobný vývoj zaměstnanosti u zaměstnavatele, základní otázky pracovních podmínek a jejich změny, převod, bezpečnost a ochranu zdraví při práci, záležitosti v rozsahu stanoveném ujednáním o zřízení evropské rady zaměstnanců</w:t>
            </w:r>
          </w:p>
        </w:tc>
      </w:tr>
      <w:tr w:rsidR="00283C95" w:rsidRPr="00283C95" w:rsidTr="00631D07">
        <w:tc>
          <w:tcPr>
            <w:tcW w:w="1623" w:type="dxa"/>
            <w:vAlign w:val="center"/>
          </w:tcPr>
          <w:p w:rsidR="00631D07" w:rsidRPr="00283C95" w:rsidRDefault="00FD6DE0" w:rsidP="004A05EE">
            <w:pPr>
              <w:spacing w:before="0"/>
              <w:rPr>
                <w:rFonts w:cs="Arial"/>
                <w:sz w:val="22"/>
                <w:szCs w:val="22"/>
              </w:rPr>
            </w:pPr>
            <w:r w:rsidRPr="00283C95">
              <w:rPr>
                <w:rFonts w:cs="Arial"/>
                <w:sz w:val="22"/>
                <w:szCs w:val="22"/>
              </w:rPr>
              <w:t>§ 300</w:t>
            </w:r>
          </w:p>
        </w:tc>
        <w:tc>
          <w:tcPr>
            <w:tcW w:w="7649" w:type="dxa"/>
          </w:tcPr>
          <w:p w:rsidR="00631D07" w:rsidRPr="00283C95" w:rsidRDefault="00FD6DE0" w:rsidP="00FD6DE0">
            <w:pPr>
              <w:spacing w:before="0"/>
              <w:rPr>
                <w:rFonts w:cs="Arial"/>
                <w:iCs/>
                <w:sz w:val="22"/>
                <w:szCs w:val="22"/>
              </w:rPr>
            </w:pPr>
            <w:r w:rsidRPr="00283C95">
              <w:rPr>
                <w:rStyle w:val="apple-converted-space"/>
                <w:rFonts w:cs="Arial"/>
                <w:sz w:val="22"/>
                <w:szCs w:val="22"/>
                <w:shd w:val="clear" w:color="auto" w:fill="FFFFFF"/>
              </w:rPr>
              <w:t>m</w:t>
            </w:r>
            <w:r w:rsidRPr="00283C95">
              <w:rPr>
                <w:rFonts w:cs="Arial"/>
                <w:sz w:val="22"/>
                <w:szCs w:val="22"/>
                <w:shd w:val="clear" w:color="auto" w:fill="FFFFFF"/>
              </w:rPr>
              <w:t>nožství požadované práce a pracovní tempo, popřípadě zavedení nebo změna normy spotřeby práce</w:t>
            </w:r>
            <w:r w:rsidRPr="00283C95">
              <w:rPr>
                <w:rStyle w:val="apple-converted-space"/>
                <w:rFonts w:cs="Arial"/>
                <w:sz w:val="22"/>
                <w:szCs w:val="22"/>
                <w:shd w:val="clear" w:color="auto" w:fill="FFFFFF"/>
              </w:rPr>
              <w:t> </w:t>
            </w:r>
          </w:p>
        </w:tc>
      </w:tr>
      <w:tr w:rsidR="00283C95" w:rsidRPr="00283C95" w:rsidTr="00631D07">
        <w:tc>
          <w:tcPr>
            <w:tcW w:w="1623" w:type="dxa"/>
            <w:vAlign w:val="center"/>
          </w:tcPr>
          <w:p w:rsidR="00631D07" w:rsidRPr="00283C95" w:rsidRDefault="00BA2C63" w:rsidP="004A05EE">
            <w:pPr>
              <w:spacing w:before="0"/>
              <w:rPr>
                <w:rFonts w:cs="Arial"/>
                <w:sz w:val="22"/>
                <w:szCs w:val="22"/>
              </w:rPr>
            </w:pPr>
            <w:r w:rsidRPr="00283C95">
              <w:rPr>
                <w:rFonts w:cs="Arial"/>
                <w:sz w:val="22"/>
                <w:szCs w:val="22"/>
              </w:rPr>
              <w:t>§ 305</w:t>
            </w:r>
          </w:p>
        </w:tc>
        <w:tc>
          <w:tcPr>
            <w:tcW w:w="7649" w:type="dxa"/>
          </w:tcPr>
          <w:p w:rsidR="00631D07" w:rsidRPr="00283C95" w:rsidRDefault="00582958" w:rsidP="004A05EE">
            <w:pPr>
              <w:spacing w:before="0"/>
              <w:rPr>
                <w:rFonts w:cs="Arial"/>
                <w:iCs/>
                <w:sz w:val="22"/>
                <w:szCs w:val="22"/>
              </w:rPr>
            </w:pPr>
            <w:r w:rsidRPr="00283C95">
              <w:rPr>
                <w:rFonts w:cs="Arial"/>
                <w:iCs/>
                <w:sz w:val="22"/>
                <w:szCs w:val="22"/>
              </w:rPr>
              <w:t>vnitřní předpis</w:t>
            </w:r>
          </w:p>
        </w:tc>
      </w:tr>
    </w:tbl>
    <w:p w:rsidR="007D422A" w:rsidRPr="007D422A" w:rsidRDefault="007D422A" w:rsidP="00A22EBC">
      <w:pPr>
        <w:spacing w:before="480" w:after="240"/>
        <w:ind w:left="357" w:hanging="357"/>
        <w:rPr>
          <w:rFonts w:cs="Arial"/>
          <w:b/>
          <w:iCs/>
          <w:color w:val="000000"/>
        </w:rPr>
      </w:pPr>
      <w:r w:rsidRPr="007D422A">
        <w:rPr>
          <w:rFonts w:cs="Arial"/>
          <w:b/>
          <w:iCs/>
          <w:color w:val="000000"/>
        </w:rPr>
        <w:t>c) právo na informování</w:t>
      </w:r>
    </w:p>
    <w:tbl>
      <w:tblPr>
        <w:tblStyle w:val="Mkatabulky"/>
        <w:tblW w:w="0" w:type="auto"/>
        <w:tblInd w:w="357" w:type="dxa"/>
        <w:tblLook w:val="04A0" w:firstRow="1" w:lastRow="0" w:firstColumn="1" w:lastColumn="0" w:noHBand="0" w:noVBand="1"/>
      </w:tblPr>
      <w:tblGrid>
        <w:gridCol w:w="1623"/>
        <w:gridCol w:w="7649"/>
      </w:tblGrid>
      <w:tr w:rsidR="00027E00" w:rsidRPr="00027E00" w:rsidTr="004A05EE">
        <w:trPr>
          <w:trHeight w:val="458"/>
        </w:trPr>
        <w:tc>
          <w:tcPr>
            <w:tcW w:w="9272" w:type="dxa"/>
            <w:gridSpan w:val="2"/>
            <w:vAlign w:val="center"/>
          </w:tcPr>
          <w:p w:rsidR="00925CD6" w:rsidRPr="00027E00" w:rsidRDefault="00925CD6" w:rsidP="004A05EE">
            <w:pPr>
              <w:spacing w:before="0"/>
              <w:jc w:val="center"/>
              <w:rPr>
                <w:rFonts w:cs="Arial"/>
                <w:b/>
                <w:iCs/>
                <w:sz w:val="22"/>
                <w:szCs w:val="22"/>
              </w:rPr>
            </w:pPr>
            <w:r w:rsidRPr="00027E00">
              <w:rPr>
                <w:rFonts w:cs="Arial"/>
                <w:b/>
                <w:iCs/>
                <w:sz w:val="22"/>
                <w:szCs w:val="22"/>
              </w:rPr>
              <w:t>Úprava v zákoně č. 262</w:t>
            </w:r>
            <w:r w:rsidRPr="0053564F">
              <w:rPr>
                <w:rFonts w:cs="Arial"/>
                <w:b/>
                <w:iCs/>
                <w:sz w:val="22"/>
                <w:szCs w:val="22"/>
              </w:rPr>
              <w:t>/</w:t>
            </w:r>
            <w:r w:rsidRPr="00027E00">
              <w:rPr>
                <w:rFonts w:cs="Arial"/>
                <w:b/>
                <w:iCs/>
                <w:sz w:val="22"/>
                <w:szCs w:val="22"/>
              </w:rPr>
              <w:t>2006 Sb., zákoníku práce, v platném znění</w:t>
            </w:r>
          </w:p>
        </w:tc>
      </w:tr>
      <w:tr w:rsidR="00027E00" w:rsidRPr="00027E00" w:rsidTr="00243164">
        <w:tc>
          <w:tcPr>
            <w:tcW w:w="1623" w:type="dxa"/>
            <w:vAlign w:val="center"/>
          </w:tcPr>
          <w:p w:rsidR="00925CD6" w:rsidRPr="00027E00" w:rsidRDefault="00243164" w:rsidP="004A05EE">
            <w:pPr>
              <w:spacing w:before="0"/>
              <w:rPr>
                <w:rFonts w:cs="Arial"/>
                <w:iCs/>
                <w:sz w:val="22"/>
                <w:szCs w:val="22"/>
              </w:rPr>
            </w:pPr>
            <w:r w:rsidRPr="00027E00">
              <w:rPr>
                <w:rFonts w:cs="Arial"/>
                <w:iCs/>
                <w:sz w:val="22"/>
                <w:szCs w:val="22"/>
              </w:rPr>
              <w:t>§ 38 odst. 3</w:t>
            </w:r>
          </w:p>
        </w:tc>
        <w:tc>
          <w:tcPr>
            <w:tcW w:w="7649" w:type="dxa"/>
          </w:tcPr>
          <w:p w:rsidR="00925CD6" w:rsidRPr="00027E00" w:rsidRDefault="00027E00" w:rsidP="004A05EE">
            <w:pPr>
              <w:spacing w:before="0"/>
              <w:rPr>
                <w:rFonts w:cs="Arial"/>
                <w:iCs/>
                <w:sz w:val="22"/>
                <w:szCs w:val="22"/>
              </w:rPr>
            </w:pPr>
            <w:r w:rsidRPr="00027E00">
              <w:rPr>
                <w:rFonts w:cs="Arial"/>
                <w:sz w:val="22"/>
                <w:szCs w:val="22"/>
                <w:shd w:val="clear" w:color="auto" w:fill="FFFFFF"/>
              </w:rPr>
              <w:t>zpráva o nově vzniklých pracovních poměrech</w:t>
            </w:r>
          </w:p>
        </w:tc>
      </w:tr>
      <w:tr w:rsidR="00027E00" w:rsidRPr="00027E00" w:rsidTr="00243164">
        <w:tc>
          <w:tcPr>
            <w:tcW w:w="1623" w:type="dxa"/>
            <w:vAlign w:val="center"/>
          </w:tcPr>
          <w:p w:rsidR="00243164" w:rsidRPr="00027E00" w:rsidRDefault="00243164" w:rsidP="004A05EE">
            <w:pPr>
              <w:spacing w:before="0"/>
              <w:rPr>
                <w:rFonts w:cs="Arial"/>
                <w:iCs/>
                <w:sz w:val="22"/>
                <w:szCs w:val="22"/>
              </w:rPr>
            </w:pPr>
            <w:r w:rsidRPr="00027E00">
              <w:rPr>
                <w:rFonts w:cs="Arial"/>
                <w:iCs/>
                <w:sz w:val="22"/>
                <w:szCs w:val="22"/>
              </w:rPr>
              <w:t>§ 61 odst. 5</w:t>
            </w:r>
          </w:p>
        </w:tc>
        <w:tc>
          <w:tcPr>
            <w:tcW w:w="7649" w:type="dxa"/>
          </w:tcPr>
          <w:p w:rsidR="00243164" w:rsidRPr="00027E00" w:rsidRDefault="00027E00" w:rsidP="004A05EE">
            <w:pPr>
              <w:spacing w:before="0"/>
              <w:rPr>
                <w:rFonts w:cs="Arial"/>
                <w:iCs/>
                <w:sz w:val="22"/>
                <w:szCs w:val="22"/>
              </w:rPr>
            </w:pPr>
            <w:r w:rsidRPr="00027E00">
              <w:rPr>
                <w:rFonts w:cs="Arial"/>
                <w:sz w:val="22"/>
                <w:szCs w:val="22"/>
                <w:shd w:val="clear" w:color="auto" w:fill="FFFFFF"/>
              </w:rPr>
              <w:t>rozvázání pracovního poměru</w:t>
            </w:r>
            <w:r w:rsidRPr="00027E00">
              <w:rPr>
                <w:rStyle w:val="apple-converted-space"/>
                <w:rFonts w:cs="Arial"/>
                <w:sz w:val="22"/>
                <w:szCs w:val="22"/>
                <w:shd w:val="clear" w:color="auto" w:fill="FFFFFF"/>
              </w:rPr>
              <w:t> </w:t>
            </w:r>
          </w:p>
        </w:tc>
      </w:tr>
      <w:tr w:rsidR="00027E00" w:rsidRPr="00027E00" w:rsidTr="00243164">
        <w:tc>
          <w:tcPr>
            <w:tcW w:w="1623" w:type="dxa"/>
            <w:vAlign w:val="center"/>
          </w:tcPr>
          <w:p w:rsidR="00243164" w:rsidRPr="00027E00" w:rsidRDefault="00243164" w:rsidP="004A05EE">
            <w:pPr>
              <w:spacing w:before="0"/>
              <w:rPr>
                <w:rFonts w:cs="Arial"/>
                <w:iCs/>
                <w:sz w:val="22"/>
                <w:szCs w:val="22"/>
              </w:rPr>
            </w:pPr>
            <w:r w:rsidRPr="00027E00">
              <w:rPr>
                <w:rFonts w:cs="Arial"/>
                <w:iCs/>
                <w:sz w:val="22"/>
                <w:szCs w:val="22"/>
              </w:rPr>
              <w:t>§ 287</w:t>
            </w:r>
          </w:p>
        </w:tc>
        <w:tc>
          <w:tcPr>
            <w:tcW w:w="7649" w:type="dxa"/>
          </w:tcPr>
          <w:p w:rsidR="00067477" w:rsidRPr="00067477" w:rsidRDefault="006E5A94" w:rsidP="00CB0DA4">
            <w:pPr>
              <w:shd w:val="clear" w:color="auto" w:fill="FFFFFF"/>
              <w:spacing w:before="0"/>
              <w:rPr>
                <w:rFonts w:cs="Arial"/>
                <w:sz w:val="22"/>
                <w:szCs w:val="22"/>
              </w:rPr>
            </w:pPr>
            <w:r w:rsidRPr="00067477">
              <w:rPr>
                <w:rFonts w:cs="Arial"/>
                <w:iCs/>
                <w:sz w:val="22"/>
                <w:szCs w:val="22"/>
              </w:rPr>
              <w:t xml:space="preserve">povinnost zaměstnavatele informovat o </w:t>
            </w:r>
            <w:r w:rsidRPr="00067477">
              <w:rPr>
                <w:rFonts w:cs="Arial"/>
                <w:sz w:val="22"/>
                <w:szCs w:val="22"/>
                <w:shd w:val="clear" w:color="auto" w:fill="FFFFFF"/>
              </w:rPr>
              <w:t>vývoji mezd nebo platů, průměrné mzdy nebo platu a jejích jednotlivých složek včetně členění podle jednotlivých profesních skupin a záležitostech uvedených v</w:t>
            </w:r>
            <w:r w:rsidRPr="00067477">
              <w:rPr>
                <w:rStyle w:val="apple-converted-space"/>
                <w:rFonts w:cs="Arial"/>
                <w:sz w:val="22"/>
                <w:szCs w:val="22"/>
                <w:shd w:val="clear" w:color="auto" w:fill="FFFFFF"/>
              </w:rPr>
              <w:t> </w:t>
            </w:r>
            <w:r w:rsidRPr="00067477">
              <w:rPr>
                <w:rFonts w:cs="Arial"/>
                <w:sz w:val="22"/>
                <w:szCs w:val="22"/>
                <w:shd w:val="clear" w:color="auto" w:fill="FFFFFF"/>
              </w:rPr>
              <w:t>§ 279</w:t>
            </w:r>
            <w:r w:rsidRPr="00067477">
              <w:rPr>
                <w:rFonts w:cs="Arial"/>
                <w:sz w:val="22"/>
                <w:szCs w:val="22"/>
              </w:rPr>
              <w:t xml:space="preserve">; </w:t>
            </w:r>
          </w:p>
          <w:p w:rsidR="00243164" w:rsidRPr="00067477" w:rsidRDefault="006E5A94" w:rsidP="00CB0DA4">
            <w:pPr>
              <w:shd w:val="clear" w:color="auto" w:fill="FFFFFF"/>
              <w:spacing w:before="0"/>
              <w:rPr>
                <w:rFonts w:cs="Arial"/>
                <w:iCs/>
                <w:sz w:val="22"/>
                <w:szCs w:val="22"/>
              </w:rPr>
            </w:pPr>
            <w:r w:rsidRPr="00067477">
              <w:rPr>
                <w:rFonts w:cs="Arial"/>
                <w:sz w:val="22"/>
                <w:szCs w:val="22"/>
              </w:rPr>
              <w:t xml:space="preserve">povinnost zaměstnavatele projednat </w:t>
            </w:r>
            <w:r w:rsidRPr="00067477">
              <w:rPr>
                <w:rFonts w:cs="Arial"/>
                <w:sz w:val="22"/>
                <w:szCs w:val="22"/>
                <w:shd w:val="clear" w:color="auto" w:fill="FFFFFF"/>
              </w:rPr>
              <w:t>ekonomickou situaci zaměstnavatele, množství práce a pr</w:t>
            </w:r>
            <w:r w:rsidRPr="00067477">
              <w:rPr>
                <w:rFonts w:cs="Arial"/>
                <w:sz w:val="22"/>
                <w:szCs w:val="22"/>
              </w:rPr>
              <w:t>a</w:t>
            </w:r>
            <w:r w:rsidRPr="00067477">
              <w:rPr>
                <w:rFonts w:cs="Arial"/>
                <w:sz w:val="22"/>
                <w:szCs w:val="22"/>
                <w:shd w:val="clear" w:color="auto" w:fill="FFFFFF"/>
              </w:rPr>
              <w:t>covní tempo</w:t>
            </w:r>
            <w:r w:rsidRPr="00067477">
              <w:rPr>
                <w:rStyle w:val="apple-converted-space"/>
                <w:rFonts w:cs="Arial"/>
                <w:sz w:val="22"/>
                <w:szCs w:val="22"/>
                <w:shd w:val="clear" w:color="auto" w:fill="FFFFFF"/>
              </w:rPr>
              <w:t xml:space="preserve">, </w:t>
            </w:r>
            <w:r w:rsidRPr="00067477">
              <w:rPr>
                <w:rFonts w:cs="Arial"/>
                <w:sz w:val="22"/>
                <w:szCs w:val="22"/>
                <w:shd w:val="clear" w:color="auto" w:fill="FFFFFF"/>
              </w:rPr>
              <w:t>změny organizace práce, systém odměňování a hodnocení zaměstnanců, systém školení a vzdělávání zaměstnanců,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 další opatření týkající se většího počtu zaměstnanců, záležitosti uvedené v</w:t>
            </w:r>
            <w:r w:rsidRPr="00067477">
              <w:rPr>
                <w:rStyle w:val="apple-converted-space"/>
                <w:rFonts w:cs="Arial"/>
                <w:sz w:val="22"/>
                <w:szCs w:val="22"/>
                <w:shd w:val="clear" w:color="auto" w:fill="FFFFFF"/>
              </w:rPr>
              <w:t> </w:t>
            </w:r>
            <w:r w:rsidRPr="00067477">
              <w:rPr>
                <w:rFonts w:cs="Arial"/>
                <w:sz w:val="22"/>
                <w:szCs w:val="22"/>
                <w:shd w:val="clear" w:color="auto" w:fill="FFFFFF"/>
              </w:rPr>
              <w:t>§ 280</w:t>
            </w:r>
          </w:p>
        </w:tc>
      </w:tr>
      <w:tr w:rsidR="00027E00" w:rsidRPr="00027E00" w:rsidTr="00243164">
        <w:tc>
          <w:tcPr>
            <w:tcW w:w="1623" w:type="dxa"/>
            <w:vAlign w:val="center"/>
          </w:tcPr>
          <w:p w:rsidR="00243164" w:rsidRPr="00027E00" w:rsidRDefault="00243164" w:rsidP="004A05EE">
            <w:pPr>
              <w:spacing w:before="0"/>
              <w:rPr>
                <w:rFonts w:cs="Arial"/>
                <w:iCs/>
                <w:sz w:val="22"/>
                <w:szCs w:val="22"/>
              </w:rPr>
            </w:pPr>
            <w:r w:rsidRPr="00027E00">
              <w:rPr>
                <w:rFonts w:cs="Arial"/>
                <w:iCs/>
                <w:sz w:val="22"/>
                <w:szCs w:val="22"/>
              </w:rPr>
              <w:t>§ 279</w:t>
            </w:r>
          </w:p>
        </w:tc>
        <w:tc>
          <w:tcPr>
            <w:tcW w:w="7649" w:type="dxa"/>
          </w:tcPr>
          <w:p w:rsidR="00243164" w:rsidRPr="00027E00" w:rsidRDefault="005C4081" w:rsidP="004A05EE">
            <w:pPr>
              <w:spacing w:before="0"/>
              <w:rPr>
                <w:rFonts w:cs="Arial"/>
                <w:iCs/>
                <w:sz w:val="22"/>
                <w:szCs w:val="22"/>
              </w:rPr>
            </w:pPr>
            <w:r w:rsidRPr="00027E00">
              <w:rPr>
                <w:rFonts w:cs="Arial"/>
                <w:iCs/>
                <w:sz w:val="22"/>
                <w:szCs w:val="22"/>
              </w:rPr>
              <w:t xml:space="preserve">povinnost zaměstnavatele informovat o </w:t>
            </w:r>
            <w:r w:rsidRPr="00027E00">
              <w:rPr>
                <w:rFonts w:cs="Arial"/>
                <w:sz w:val="22"/>
                <w:szCs w:val="22"/>
              </w:rPr>
              <w:t>ekonomické a finanční situaci zaměstnavatele a jejím pravděpodobném vývoji, činnosti zaměstnavatele, jejím pravděpodobném vývoji, jejích důsledcích na životní prostředí a jeho ekologických opatřeních, právním postavení zaměstnavatele a jeho změnách, vnitřním uspořádání a osobě oprávněné jednat za zaměstnavatele v pracovněprávních vztazích o převažující činnosti zaměstnavatele, základních otázkách pracovních podmínek a jejich změnách, opatřeních, kterými zaměstnavatel zajišťuje rovné zacházení se zaměstnanci a zaměstnankyněmi a zamezení diskriminace,</w:t>
            </w:r>
            <w:r w:rsidRPr="00027E00">
              <w:rPr>
                <w:rFonts w:cs="Arial"/>
                <w:sz w:val="22"/>
                <w:szCs w:val="22"/>
              </w:rPr>
              <w:br/>
              <w:t>nabídce volných pracovních míst na dobu neurčitou, bezpečnosti a ochraně zdraví při práci, záležitosti v rozsahu stanoveném ujednáním o zřízení evropské rady zaměstnanců nebo na základě jiného ujednaného postupu, záležitostech v rozsahu stanoveném v</w:t>
            </w:r>
            <w:r w:rsidRPr="00027E00">
              <w:rPr>
                <w:rStyle w:val="apple-converted-space"/>
                <w:rFonts w:cs="Arial"/>
                <w:sz w:val="22"/>
                <w:szCs w:val="22"/>
              </w:rPr>
              <w:t> </w:t>
            </w:r>
            <w:r w:rsidRPr="00027E00">
              <w:rPr>
                <w:rFonts w:cs="Arial"/>
                <w:sz w:val="22"/>
                <w:szCs w:val="22"/>
              </w:rPr>
              <w:t>§ 280</w:t>
            </w:r>
          </w:p>
        </w:tc>
      </w:tr>
    </w:tbl>
    <w:p w:rsidR="007D422A" w:rsidRPr="007D422A" w:rsidRDefault="007D422A" w:rsidP="009B03FA">
      <w:pPr>
        <w:keepNext/>
        <w:spacing w:before="480" w:after="240"/>
        <w:ind w:left="357" w:hanging="357"/>
        <w:rPr>
          <w:rFonts w:cs="Arial"/>
          <w:b/>
          <w:iCs/>
          <w:color w:val="000000"/>
        </w:rPr>
      </w:pPr>
      <w:r w:rsidRPr="007D422A">
        <w:rPr>
          <w:rFonts w:cs="Arial"/>
          <w:b/>
          <w:iCs/>
          <w:color w:val="000000"/>
        </w:rPr>
        <w:lastRenderedPageBreak/>
        <w:t>d) právo na kontrolu</w:t>
      </w:r>
    </w:p>
    <w:tbl>
      <w:tblPr>
        <w:tblStyle w:val="Mkatabulky"/>
        <w:tblW w:w="0" w:type="auto"/>
        <w:tblInd w:w="357" w:type="dxa"/>
        <w:tblLook w:val="04A0" w:firstRow="1" w:lastRow="0" w:firstColumn="1" w:lastColumn="0" w:noHBand="0" w:noVBand="1"/>
      </w:tblPr>
      <w:tblGrid>
        <w:gridCol w:w="1056"/>
        <w:gridCol w:w="8216"/>
      </w:tblGrid>
      <w:tr w:rsidR="007817E4" w:rsidRPr="007817E4" w:rsidTr="007817E4">
        <w:trPr>
          <w:trHeight w:val="458"/>
        </w:trPr>
        <w:tc>
          <w:tcPr>
            <w:tcW w:w="9272" w:type="dxa"/>
            <w:gridSpan w:val="2"/>
            <w:vAlign w:val="center"/>
          </w:tcPr>
          <w:p w:rsidR="007817E4" w:rsidRPr="007817E4" w:rsidRDefault="007817E4" w:rsidP="009B03FA">
            <w:pPr>
              <w:keepNext/>
              <w:spacing w:before="0"/>
              <w:jc w:val="center"/>
              <w:rPr>
                <w:rFonts w:cs="Arial"/>
                <w:b/>
                <w:iCs/>
                <w:color w:val="000000"/>
                <w:sz w:val="22"/>
                <w:szCs w:val="22"/>
              </w:rPr>
            </w:pPr>
            <w:r w:rsidRPr="007817E4">
              <w:rPr>
                <w:rFonts w:cs="Arial"/>
                <w:b/>
                <w:iCs/>
                <w:color w:val="000000"/>
                <w:sz w:val="22"/>
                <w:szCs w:val="22"/>
              </w:rPr>
              <w:t>Úprava v zákoně č. 262</w:t>
            </w:r>
            <w:r w:rsidRPr="0053564F">
              <w:rPr>
                <w:rFonts w:cs="Arial"/>
                <w:b/>
                <w:iCs/>
                <w:color w:val="000000"/>
                <w:sz w:val="22"/>
                <w:szCs w:val="22"/>
              </w:rPr>
              <w:t>/</w:t>
            </w:r>
            <w:r w:rsidRPr="007817E4">
              <w:rPr>
                <w:rFonts w:cs="Arial"/>
                <w:b/>
                <w:iCs/>
                <w:color w:val="000000"/>
                <w:sz w:val="22"/>
                <w:szCs w:val="22"/>
              </w:rPr>
              <w:t>2006 Sb., zákoníku práce, v platném znění</w:t>
            </w:r>
          </w:p>
        </w:tc>
      </w:tr>
      <w:tr w:rsidR="007817E4" w:rsidRPr="007817E4" w:rsidTr="0043607B">
        <w:tc>
          <w:tcPr>
            <w:tcW w:w="1056" w:type="dxa"/>
            <w:vAlign w:val="center"/>
          </w:tcPr>
          <w:p w:rsidR="007817E4" w:rsidRPr="007817E4" w:rsidRDefault="0043607B" w:rsidP="009B03FA">
            <w:pPr>
              <w:keepNext/>
              <w:spacing w:before="0"/>
              <w:rPr>
                <w:rFonts w:cs="Arial"/>
                <w:iCs/>
                <w:color w:val="000000"/>
                <w:sz w:val="22"/>
                <w:szCs w:val="22"/>
              </w:rPr>
            </w:pPr>
            <w:r>
              <w:rPr>
                <w:rFonts w:cs="Arial"/>
                <w:iCs/>
                <w:color w:val="000000"/>
                <w:sz w:val="22"/>
                <w:szCs w:val="22"/>
              </w:rPr>
              <w:t>§ 321</w:t>
            </w:r>
          </w:p>
        </w:tc>
        <w:tc>
          <w:tcPr>
            <w:tcW w:w="8216" w:type="dxa"/>
          </w:tcPr>
          <w:p w:rsidR="007817E4" w:rsidRPr="007817E4" w:rsidRDefault="00FC06AC" w:rsidP="009B03FA">
            <w:pPr>
              <w:keepNext/>
              <w:spacing w:before="0"/>
              <w:rPr>
                <w:rFonts w:cs="Arial"/>
                <w:iCs/>
                <w:color w:val="000000"/>
                <w:sz w:val="22"/>
                <w:szCs w:val="22"/>
              </w:rPr>
            </w:pPr>
            <w:r>
              <w:rPr>
                <w:rFonts w:cs="Arial"/>
                <w:sz w:val="22"/>
                <w:szCs w:val="22"/>
                <w:shd w:val="clear" w:color="auto" w:fill="FFFFFF"/>
              </w:rPr>
              <w:t>dohled odborových organizací nad</w:t>
            </w:r>
            <w:r w:rsidR="007817E4" w:rsidRPr="007817E4">
              <w:rPr>
                <w:rFonts w:cs="Arial"/>
                <w:sz w:val="22"/>
                <w:szCs w:val="22"/>
                <w:shd w:val="clear" w:color="auto" w:fill="FFFFFF"/>
              </w:rPr>
              <w:t xml:space="preserve"> dodržování</w:t>
            </w:r>
            <w:r>
              <w:rPr>
                <w:rFonts w:cs="Arial"/>
                <w:sz w:val="22"/>
                <w:szCs w:val="22"/>
                <w:shd w:val="clear" w:color="auto" w:fill="FFFFFF"/>
              </w:rPr>
              <w:t>m</w:t>
            </w:r>
            <w:r w:rsidR="007817E4" w:rsidRPr="007817E4">
              <w:rPr>
                <w:rFonts w:cs="Arial"/>
                <w:sz w:val="22"/>
                <w:szCs w:val="22"/>
                <w:shd w:val="clear" w:color="auto" w:fill="FFFFFF"/>
              </w:rPr>
              <w:t xml:space="preserve"> zákoníku práce, zákona o zaměstnanosti, právních předpisů o bezpečnosti a ochraně zdraví při práci a ostatních pracovněprávních předpisů</w:t>
            </w:r>
          </w:p>
        </w:tc>
      </w:tr>
      <w:tr w:rsidR="007817E4" w:rsidRPr="007817E4" w:rsidTr="0043607B">
        <w:tc>
          <w:tcPr>
            <w:tcW w:w="1056" w:type="dxa"/>
            <w:vAlign w:val="center"/>
          </w:tcPr>
          <w:p w:rsidR="007817E4" w:rsidRPr="007817E4" w:rsidRDefault="007817E4" w:rsidP="0043607B">
            <w:pPr>
              <w:spacing w:before="0"/>
              <w:rPr>
                <w:rFonts w:cs="Arial"/>
                <w:iCs/>
                <w:color w:val="000000"/>
                <w:sz w:val="22"/>
                <w:szCs w:val="22"/>
              </w:rPr>
            </w:pPr>
            <w:r w:rsidRPr="007817E4">
              <w:rPr>
                <w:rFonts w:cs="Arial"/>
                <w:iCs/>
                <w:sz w:val="22"/>
                <w:szCs w:val="22"/>
              </w:rPr>
              <w:t>§</w:t>
            </w:r>
            <w:r w:rsidR="0043607B">
              <w:rPr>
                <w:rFonts w:cs="Arial"/>
                <w:iCs/>
                <w:sz w:val="22"/>
                <w:szCs w:val="22"/>
              </w:rPr>
              <w:t xml:space="preserve"> 322</w:t>
            </w:r>
          </w:p>
        </w:tc>
        <w:tc>
          <w:tcPr>
            <w:tcW w:w="8216" w:type="dxa"/>
          </w:tcPr>
          <w:p w:rsidR="007817E4" w:rsidRPr="007817E4" w:rsidRDefault="007817E4" w:rsidP="007817E4">
            <w:pPr>
              <w:spacing w:before="0"/>
              <w:rPr>
                <w:rFonts w:cs="Arial"/>
                <w:iCs/>
                <w:color w:val="000000"/>
                <w:sz w:val="22"/>
                <w:szCs w:val="22"/>
              </w:rPr>
            </w:pPr>
            <w:r w:rsidRPr="007817E4">
              <w:rPr>
                <w:rFonts w:cs="Arial"/>
                <w:sz w:val="22"/>
                <w:szCs w:val="22"/>
                <w:shd w:val="clear" w:color="auto" w:fill="FFFFFF"/>
              </w:rPr>
              <w:t>právo odborových organizací vykonávat kontrolu nad stavem bezpečnosti a ochrany zdraví při práci u jednotlivých zaměstnavatelů</w:t>
            </w:r>
          </w:p>
        </w:tc>
      </w:tr>
    </w:tbl>
    <w:p w:rsidR="007817E4" w:rsidRPr="00CD0654" w:rsidRDefault="00CD0654" w:rsidP="00A22EBC">
      <w:pPr>
        <w:spacing w:before="480" w:after="240"/>
        <w:ind w:left="357" w:hanging="357"/>
        <w:rPr>
          <w:rFonts w:cs="Arial"/>
          <w:b/>
          <w:iCs/>
          <w:color w:val="000000"/>
        </w:rPr>
      </w:pPr>
      <w:r w:rsidRPr="00CD0654">
        <w:rPr>
          <w:rFonts w:cs="Arial"/>
          <w:b/>
          <w:iCs/>
          <w:color w:val="000000"/>
        </w:rPr>
        <w:t>e) právo na řádný výkon činnosti odborové organizace</w:t>
      </w:r>
    </w:p>
    <w:tbl>
      <w:tblPr>
        <w:tblStyle w:val="Mkatabulky"/>
        <w:tblW w:w="0" w:type="auto"/>
        <w:tblInd w:w="357" w:type="dxa"/>
        <w:tblLook w:val="04A0" w:firstRow="1" w:lastRow="0" w:firstColumn="1" w:lastColumn="0" w:noHBand="0" w:noVBand="1"/>
      </w:tblPr>
      <w:tblGrid>
        <w:gridCol w:w="1623"/>
        <w:gridCol w:w="7649"/>
      </w:tblGrid>
      <w:tr w:rsidR="00DE3D4C" w:rsidRPr="00DE3D4C" w:rsidTr="00DE3D4C">
        <w:trPr>
          <w:trHeight w:val="458"/>
        </w:trPr>
        <w:tc>
          <w:tcPr>
            <w:tcW w:w="9272" w:type="dxa"/>
            <w:gridSpan w:val="2"/>
            <w:vAlign w:val="center"/>
          </w:tcPr>
          <w:p w:rsidR="00CD0654" w:rsidRPr="00DE3D4C" w:rsidRDefault="00CD0654" w:rsidP="00DE3D4C">
            <w:pPr>
              <w:spacing w:before="0"/>
              <w:jc w:val="center"/>
              <w:rPr>
                <w:rFonts w:cs="Arial"/>
                <w:b/>
                <w:iCs/>
                <w:sz w:val="22"/>
                <w:szCs w:val="22"/>
              </w:rPr>
            </w:pPr>
            <w:r w:rsidRPr="00DE3D4C">
              <w:rPr>
                <w:rFonts w:cs="Arial"/>
                <w:b/>
                <w:iCs/>
                <w:sz w:val="22"/>
                <w:szCs w:val="22"/>
              </w:rPr>
              <w:t>Úprava v zákoně č. 262</w:t>
            </w:r>
            <w:r w:rsidRPr="0053564F">
              <w:rPr>
                <w:rFonts w:cs="Arial"/>
                <w:b/>
                <w:iCs/>
                <w:sz w:val="22"/>
                <w:szCs w:val="22"/>
              </w:rPr>
              <w:t>/</w:t>
            </w:r>
            <w:r w:rsidRPr="00DE3D4C">
              <w:rPr>
                <w:rFonts w:cs="Arial"/>
                <w:b/>
                <w:iCs/>
                <w:sz w:val="22"/>
                <w:szCs w:val="22"/>
              </w:rPr>
              <w:t>2006 Sb., zákoníku práce, v platném znění</w:t>
            </w:r>
          </w:p>
        </w:tc>
      </w:tr>
      <w:tr w:rsidR="00DE3D4C" w:rsidRPr="00DE3D4C" w:rsidTr="00DE3D4C">
        <w:tc>
          <w:tcPr>
            <w:tcW w:w="1623" w:type="dxa"/>
            <w:vAlign w:val="center"/>
          </w:tcPr>
          <w:p w:rsidR="00CD0654" w:rsidRPr="00DE3D4C" w:rsidRDefault="00DE3D4C" w:rsidP="00DE3D4C">
            <w:pPr>
              <w:spacing w:before="0"/>
              <w:rPr>
                <w:rFonts w:cs="Arial"/>
                <w:iCs/>
                <w:sz w:val="22"/>
                <w:szCs w:val="22"/>
              </w:rPr>
            </w:pPr>
            <w:r w:rsidRPr="00DE3D4C">
              <w:rPr>
                <w:rFonts w:cs="Arial"/>
                <w:iCs/>
                <w:sz w:val="22"/>
                <w:szCs w:val="22"/>
              </w:rPr>
              <w:t>§ 277</w:t>
            </w:r>
          </w:p>
        </w:tc>
        <w:tc>
          <w:tcPr>
            <w:tcW w:w="7649" w:type="dxa"/>
            <w:vAlign w:val="center"/>
          </w:tcPr>
          <w:p w:rsidR="00CD0654" w:rsidRPr="00DE3D4C" w:rsidRDefault="00DE3D4C" w:rsidP="00DE3D4C">
            <w:pPr>
              <w:spacing w:before="0"/>
              <w:rPr>
                <w:rFonts w:cs="Arial"/>
                <w:iCs/>
                <w:sz w:val="22"/>
                <w:szCs w:val="22"/>
              </w:rPr>
            </w:pPr>
            <w:r w:rsidRPr="00DE3D4C">
              <w:rPr>
                <w:rFonts w:cs="Arial"/>
                <w:sz w:val="22"/>
                <w:szCs w:val="22"/>
                <w:shd w:val="clear" w:color="auto" w:fill="FFFFFF"/>
              </w:rPr>
              <w:t>povinnost zaměstnavatele na svůj náklad vytvořit zástupcům zaměstnanců podmínky pro řádný výkon jejich činnosti</w:t>
            </w:r>
          </w:p>
        </w:tc>
      </w:tr>
      <w:tr w:rsidR="00DE3D4C" w:rsidRPr="00DE3D4C" w:rsidTr="00DE3D4C">
        <w:tc>
          <w:tcPr>
            <w:tcW w:w="1623" w:type="dxa"/>
            <w:vAlign w:val="center"/>
          </w:tcPr>
          <w:p w:rsidR="00DE3D4C" w:rsidRPr="00DE3D4C" w:rsidRDefault="00DE3D4C" w:rsidP="00DE3D4C">
            <w:pPr>
              <w:spacing w:before="0"/>
              <w:rPr>
                <w:rFonts w:cs="Arial"/>
                <w:sz w:val="22"/>
                <w:szCs w:val="22"/>
              </w:rPr>
            </w:pPr>
            <w:r w:rsidRPr="00DE3D4C">
              <w:rPr>
                <w:rFonts w:cs="Arial"/>
                <w:sz w:val="22"/>
                <w:szCs w:val="22"/>
              </w:rPr>
              <w:t>§ 203 odst. 2 písm. a), b)</w:t>
            </w:r>
          </w:p>
        </w:tc>
        <w:tc>
          <w:tcPr>
            <w:tcW w:w="7649" w:type="dxa"/>
            <w:vAlign w:val="center"/>
          </w:tcPr>
          <w:p w:rsidR="00DE3D4C" w:rsidRPr="00DE3D4C" w:rsidRDefault="00DE3D4C" w:rsidP="00DE3D4C">
            <w:pPr>
              <w:spacing w:before="0"/>
              <w:rPr>
                <w:rFonts w:cs="Arial"/>
                <w:sz w:val="22"/>
                <w:szCs w:val="22"/>
              </w:rPr>
            </w:pPr>
            <w:r w:rsidRPr="00DE3D4C">
              <w:rPr>
                <w:rFonts w:cs="Arial"/>
                <w:sz w:val="22"/>
                <w:szCs w:val="22"/>
                <w:shd w:val="clear" w:color="auto" w:fill="FFFFFF"/>
              </w:rPr>
              <w:t>nárok na pracovní volno zaměstnanci pro jiný úkon v obecném zájmu</w:t>
            </w:r>
          </w:p>
        </w:tc>
      </w:tr>
    </w:tbl>
    <w:p w:rsidR="007D422A" w:rsidRPr="008A51BF" w:rsidRDefault="008A51BF" w:rsidP="00A22EBC">
      <w:pPr>
        <w:spacing w:before="480" w:after="240"/>
        <w:ind w:left="357" w:hanging="357"/>
        <w:rPr>
          <w:rFonts w:cs="Arial"/>
          <w:b/>
          <w:iCs/>
          <w:color w:val="000000"/>
        </w:rPr>
      </w:pPr>
      <w:r w:rsidRPr="008A51BF">
        <w:rPr>
          <w:rFonts w:cs="Arial"/>
          <w:b/>
          <w:iCs/>
          <w:color w:val="000000"/>
        </w:rPr>
        <w:t>f) práva zaměstnanců</w:t>
      </w:r>
    </w:p>
    <w:tbl>
      <w:tblPr>
        <w:tblStyle w:val="Mkatabulky"/>
        <w:tblW w:w="0" w:type="auto"/>
        <w:tblInd w:w="357" w:type="dxa"/>
        <w:tblLook w:val="04A0" w:firstRow="1" w:lastRow="0" w:firstColumn="1" w:lastColumn="0" w:noHBand="0" w:noVBand="1"/>
      </w:tblPr>
      <w:tblGrid>
        <w:gridCol w:w="1906"/>
        <w:gridCol w:w="7366"/>
      </w:tblGrid>
      <w:tr w:rsidR="008A51BF" w:rsidRPr="00DE3D4C" w:rsidTr="004A05EE">
        <w:trPr>
          <w:trHeight w:val="458"/>
        </w:trPr>
        <w:tc>
          <w:tcPr>
            <w:tcW w:w="9272" w:type="dxa"/>
            <w:gridSpan w:val="2"/>
            <w:vAlign w:val="center"/>
          </w:tcPr>
          <w:p w:rsidR="008A51BF" w:rsidRPr="00DE3D4C" w:rsidRDefault="008A51BF" w:rsidP="004A05EE">
            <w:pPr>
              <w:spacing w:before="0"/>
              <w:jc w:val="center"/>
              <w:rPr>
                <w:rFonts w:cs="Arial"/>
                <w:b/>
                <w:iCs/>
                <w:sz w:val="22"/>
                <w:szCs w:val="22"/>
              </w:rPr>
            </w:pPr>
            <w:r w:rsidRPr="00DE3D4C">
              <w:rPr>
                <w:rFonts w:cs="Arial"/>
                <w:b/>
                <w:iCs/>
                <w:sz w:val="22"/>
                <w:szCs w:val="22"/>
              </w:rPr>
              <w:t>Úprava v zákoně č. 262</w:t>
            </w:r>
            <w:r w:rsidRPr="0053564F">
              <w:rPr>
                <w:rFonts w:cs="Arial"/>
                <w:b/>
                <w:iCs/>
                <w:sz w:val="22"/>
                <w:szCs w:val="22"/>
              </w:rPr>
              <w:t>/</w:t>
            </w:r>
            <w:r w:rsidRPr="00DE3D4C">
              <w:rPr>
                <w:rFonts w:cs="Arial"/>
                <w:b/>
                <w:iCs/>
                <w:sz w:val="22"/>
                <w:szCs w:val="22"/>
              </w:rPr>
              <w:t>2006 Sb., zákoníku práce, v platném znění</w:t>
            </w:r>
          </w:p>
        </w:tc>
      </w:tr>
      <w:tr w:rsidR="008A51BF" w:rsidRPr="00DE3D4C" w:rsidTr="00B7620C">
        <w:tc>
          <w:tcPr>
            <w:tcW w:w="1906" w:type="dxa"/>
            <w:vAlign w:val="center"/>
          </w:tcPr>
          <w:p w:rsidR="008A51BF" w:rsidRPr="0027521A" w:rsidRDefault="008A51BF" w:rsidP="0027521A">
            <w:pPr>
              <w:spacing w:before="0"/>
              <w:rPr>
                <w:rFonts w:cs="Arial"/>
                <w:iCs/>
                <w:sz w:val="22"/>
                <w:szCs w:val="22"/>
              </w:rPr>
            </w:pPr>
            <w:r w:rsidRPr="0027521A">
              <w:rPr>
                <w:rFonts w:cs="Arial"/>
                <w:iCs/>
                <w:sz w:val="22"/>
                <w:szCs w:val="22"/>
              </w:rPr>
              <w:t>§ 62</w:t>
            </w:r>
          </w:p>
        </w:tc>
        <w:tc>
          <w:tcPr>
            <w:tcW w:w="7366" w:type="dxa"/>
            <w:vAlign w:val="center"/>
          </w:tcPr>
          <w:p w:rsidR="008A51BF" w:rsidRPr="0027521A" w:rsidRDefault="006D4EBB" w:rsidP="0027521A">
            <w:pPr>
              <w:spacing w:before="0"/>
              <w:rPr>
                <w:rFonts w:cs="Arial"/>
                <w:iCs/>
                <w:sz w:val="22"/>
                <w:szCs w:val="22"/>
              </w:rPr>
            </w:pPr>
            <w:r w:rsidRPr="0027521A">
              <w:rPr>
                <w:rFonts w:cs="Arial"/>
                <w:iCs/>
                <w:sz w:val="22"/>
                <w:szCs w:val="22"/>
              </w:rPr>
              <w:t>hromadné propouštění</w:t>
            </w:r>
          </w:p>
        </w:tc>
      </w:tr>
      <w:tr w:rsidR="008A51BF" w:rsidRPr="00DE3D4C" w:rsidTr="00B7620C">
        <w:tc>
          <w:tcPr>
            <w:tcW w:w="1906" w:type="dxa"/>
            <w:vAlign w:val="center"/>
          </w:tcPr>
          <w:p w:rsidR="008A51BF" w:rsidRPr="0027521A" w:rsidRDefault="008A51BF" w:rsidP="0027521A">
            <w:pPr>
              <w:spacing w:before="0"/>
              <w:rPr>
                <w:rFonts w:cs="Arial"/>
                <w:iCs/>
                <w:sz w:val="22"/>
                <w:szCs w:val="22"/>
              </w:rPr>
            </w:pPr>
            <w:r w:rsidRPr="0027521A">
              <w:rPr>
                <w:rFonts w:cs="Arial"/>
                <w:iCs/>
                <w:sz w:val="22"/>
                <w:szCs w:val="22"/>
              </w:rPr>
              <w:t>§ 108</w:t>
            </w:r>
          </w:p>
        </w:tc>
        <w:tc>
          <w:tcPr>
            <w:tcW w:w="7366" w:type="dxa"/>
            <w:vAlign w:val="center"/>
          </w:tcPr>
          <w:p w:rsidR="008A51BF" w:rsidRPr="0027521A" w:rsidRDefault="008A0297" w:rsidP="0027521A">
            <w:pPr>
              <w:spacing w:before="0"/>
              <w:rPr>
                <w:rFonts w:cs="Arial"/>
                <w:iCs/>
                <w:sz w:val="22"/>
                <w:szCs w:val="22"/>
              </w:rPr>
            </w:pPr>
            <w:bookmarkStart w:id="28" w:name="par108"/>
            <w:r w:rsidRPr="0027521A">
              <w:rPr>
                <w:rFonts w:cs="Arial"/>
                <w:bCs/>
                <w:sz w:val="22"/>
                <w:szCs w:val="22"/>
                <w:shd w:val="clear" w:color="auto" w:fill="FFFFFF"/>
              </w:rPr>
              <w:t>účast zaměstnanců na řešení otázek bezpečnosti a ochrany zdraví při práci</w:t>
            </w:r>
            <w:bookmarkEnd w:id="28"/>
          </w:p>
        </w:tc>
      </w:tr>
      <w:tr w:rsidR="008A51BF" w:rsidRPr="00DE3D4C" w:rsidTr="00B7620C">
        <w:tc>
          <w:tcPr>
            <w:tcW w:w="1906" w:type="dxa"/>
            <w:vAlign w:val="center"/>
          </w:tcPr>
          <w:p w:rsidR="008A51BF" w:rsidRPr="0027521A" w:rsidRDefault="008A51BF" w:rsidP="0027521A">
            <w:pPr>
              <w:spacing w:before="0"/>
              <w:rPr>
                <w:rFonts w:cs="Arial"/>
                <w:iCs/>
                <w:sz w:val="22"/>
                <w:szCs w:val="22"/>
              </w:rPr>
            </w:pPr>
            <w:r w:rsidRPr="0027521A">
              <w:rPr>
                <w:rFonts w:cs="Arial"/>
                <w:iCs/>
                <w:sz w:val="22"/>
                <w:szCs w:val="22"/>
              </w:rPr>
              <w:t>§ 276 odst. 1 a 3</w:t>
            </w:r>
          </w:p>
        </w:tc>
        <w:tc>
          <w:tcPr>
            <w:tcW w:w="7366" w:type="dxa"/>
            <w:vAlign w:val="center"/>
          </w:tcPr>
          <w:p w:rsidR="008A51BF" w:rsidRPr="0027521A" w:rsidRDefault="006D4EBB" w:rsidP="0027521A">
            <w:pPr>
              <w:spacing w:before="0"/>
              <w:rPr>
                <w:rFonts w:cs="Arial"/>
                <w:iCs/>
                <w:sz w:val="22"/>
                <w:szCs w:val="22"/>
              </w:rPr>
            </w:pPr>
            <w:r w:rsidRPr="0027521A">
              <w:rPr>
                <w:rFonts w:cs="Arial"/>
                <w:iCs/>
                <w:sz w:val="22"/>
                <w:szCs w:val="22"/>
              </w:rPr>
              <w:t>právo na informace a projednání</w:t>
            </w:r>
          </w:p>
        </w:tc>
      </w:tr>
      <w:tr w:rsidR="008A51BF" w:rsidRPr="00DE3D4C" w:rsidTr="00B7620C">
        <w:tc>
          <w:tcPr>
            <w:tcW w:w="1906" w:type="dxa"/>
            <w:vAlign w:val="center"/>
          </w:tcPr>
          <w:p w:rsidR="008A51BF" w:rsidRPr="0027521A" w:rsidRDefault="008A51BF" w:rsidP="0027521A">
            <w:pPr>
              <w:spacing w:before="0"/>
              <w:rPr>
                <w:rFonts w:cs="Arial"/>
                <w:iCs/>
                <w:sz w:val="22"/>
                <w:szCs w:val="22"/>
              </w:rPr>
            </w:pPr>
            <w:r w:rsidRPr="0027521A">
              <w:rPr>
                <w:rFonts w:cs="Arial"/>
                <w:iCs/>
                <w:sz w:val="22"/>
                <w:szCs w:val="22"/>
              </w:rPr>
              <w:t>§ 278 až 280</w:t>
            </w:r>
          </w:p>
        </w:tc>
        <w:tc>
          <w:tcPr>
            <w:tcW w:w="7366" w:type="dxa"/>
            <w:vAlign w:val="center"/>
          </w:tcPr>
          <w:p w:rsidR="008A51BF" w:rsidRPr="0027521A" w:rsidRDefault="0027521A" w:rsidP="0027521A">
            <w:pPr>
              <w:spacing w:before="0"/>
              <w:rPr>
                <w:rFonts w:cs="Arial"/>
                <w:iCs/>
                <w:sz w:val="22"/>
                <w:szCs w:val="22"/>
              </w:rPr>
            </w:pPr>
            <w:r w:rsidRPr="0027521A">
              <w:rPr>
                <w:rFonts w:cs="Arial"/>
                <w:iCs/>
                <w:sz w:val="22"/>
                <w:szCs w:val="22"/>
              </w:rPr>
              <w:t>informování a projednání</w:t>
            </w:r>
          </w:p>
        </w:tc>
      </w:tr>
      <w:tr w:rsidR="008A51BF" w:rsidRPr="00DE3D4C" w:rsidTr="00B7620C">
        <w:tc>
          <w:tcPr>
            <w:tcW w:w="1906" w:type="dxa"/>
            <w:vAlign w:val="center"/>
          </w:tcPr>
          <w:p w:rsidR="008A51BF" w:rsidRPr="0027521A" w:rsidRDefault="008A51BF" w:rsidP="0027521A">
            <w:pPr>
              <w:spacing w:before="0"/>
              <w:rPr>
                <w:rFonts w:cs="Arial"/>
                <w:iCs/>
                <w:sz w:val="22"/>
                <w:szCs w:val="22"/>
              </w:rPr>
            </w:pPr>
            <w:r w:rsidRPr="0027521A">
              <w:rPr>
                <w:rFonts w:cs="Arial"/>
                <w:iCs/>
                <w:sz w:val="22"/>
                <w:szCs w:val="22"/>
              </w:rPr>
              <w:t xml:space="preserve">§ 339 </w:t>
            </w:r>
            <w:r w:rsidR="0027521A" w:rsidRPr="0027521A">
              <w:rPr>
                <w:rFonts w:cs="Arial"/>
                <w:iCs/>
                <w:sz w:val="22"/>
                <w:szCs w:val="22"/>
              </w:rPr>
              <w:t>a 340</w:t>
            </w:r>
          </w:p>
        </w:tc>
        <w:tc>
          <w:tcPr>
            <w:tcW w:w="7366" w:type="dxa"/>
            <w:vAlign w:val="center"/>
          </w:tcPr>
          <w:p w:rsidR="008A51BF" w:rsidRPr="0027521A" w:rsidRDefault="0027521A" w:rsidP="0027521A">
            <w:pPr>
              <w:spacing w:before="0"/>
              <w:rPr>
                <w:rFonts w:cs="Arial"/>
                <w:iCs/>
                <w:sz w:val="22"/>
                <w:szCs w:val="22"/>
              </w:rPr>
            </w:pPr>
            <w:r w:rsidRPr="0027521A">
              <w:rPr>
                <w:rFonts w:cs="Arial"/>
                <w:sz w:val="22"/>
                <w:szCs w:val="22"/>
                <w:shd w:val="clear" w:color="auto" w:fill="FFFFFF"/>
              </w:rPr>
              <w:t>přechod práv a povinností z pracovněprávních vztahů k jinému zaměstnavateli</w:t>
            </w:r>
            <w:r w:rsidRPr="0027521A">
              <w:rPr>
                <w:rStyle w:val="apple-converted-space"/>
                <w:rFonts w:cs="Arial"/>
                <w:sz w:val="22"/>
                <w:szCs w:val="22"/>
                <w:shd w:val="clear" w:color="auto" w:fill="FFFFFF"/>
              </w:rPr>
              <w:t> </w:t>
            </w:r>
          </w:p>
        </w:tc>
      </w:tr>
    </w:tbl>
    <w:p w:rsidR="008A51BF" w:rsidRPr="0039015F" w:rsidRDefault="008A51BF" w:rsidP="0039015F">
      <w:pPr>
        <w:spacing w:before="240" w:after="240"/>
        <w:ind w:left="357" w:hanging="357"/>
        <w:rPr>
          <w:rFonts w:cs="Arial"/>
          <w:iCs/>
          <w:color w:val="000000"/>
        </w:rPr>
      </w:pPr>
    </w:p>
    <w:p w:rsidR="00606CCA" w:rsidRPr="00367F51" w:rsidRDefault="008B468F" w:rsidP="00367F51">
      <w:pPr>
        <w:spacing w:before="0" w:after="0"/>
        <w:jc w:val="left"/>
        <w:rPr>
          <w:color w:val="FF0000"/>
        </w:rPr>
        <w:sectPr w:rsidR="00606CCA" w:rsidRPr="00367F51" w:rsidSect="00EA1467">
          <w:headerReference w:type="default" r:id="rId36"/>
          <w:headerReference w:type="first" r:id="rId37"/>
          <w:pgSz w:w="11906" w:h="16838"/>
          <w:pgMar w:top="1985" w:right="1133" w:bottom="1418" w:left="1134" w:header="708" w:footer="454" w:gutter="0"/>
          <w:cols w:space="708"/>
          <w:titlePg/>
          <w:docGrid w:linePitch="360"/>
        </w:sectPr>
      </w:pPr>
      <w:r>
        <w:rPr>
          <w:color w:val="FF0000"/>
        </w:rPr>
        <w:t xml:space="preserve"> </w:t>
      </w:r>
    </w:p>
    <w:p w:rsidR="004579C7" w:rsidRPr="005A673B" w:rsidRDefault="004579C7" w:rsidP="005A673B"/>
    <w:sectPr w:rsidR="004579C7" w:rsidRPr="005A673B" w:rsidSect="00963768">
      <w:headerReference w:type="default" r:id="rId38"/>
      <w:pgSz w:w="16838" w:h="11906" w:orient="landscape" w:code="9"/>
      <w:pgMar w:top="1985" w:right="1134" w:bottom="1418"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16" w:rsidRDefault="00235816" w:rsidP="002875DC">
      <w:r>
        <w:separator/>
      </w:r>
    </w:p>
  </w:endnote>
  <w:endnote w:type="continuationSeparator" w:id="0">
    <w:p w:rsidR="00235816" w:rsidRDefault="00235816" w:rsidP="0028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16" w:rsidRDefault="00235816" w:rsidP="002875DC">
      <w:r>
        <w:separator/>
      </w:r>
    </w:p>
  </w:footnote>
  <w:footnote w:type="continuationSeparator" w:id="0">
    <w:p w:rsidR="00235816" w:rsidRDefault="00235816" w:rsidP="002875DC">
      <w:r>
        <w:continuationSeparator/>
      </w:r>
    </w:p>
  </w:footnote>
  <w:footnote w:id="1">
    <w:p w:rsidR="00CA19F5" w:rsidRPr="005B4646" w:rsidRDefault="00CA19F5">
      <w:pPr>
        <w:pStyle w:val="Textpoznpodarou"/>
        <w:rPr>
          <w:sz w:val="20"/>
        </w:rPr>
      </w:pPr>
      <w:r w:rsidRPr="005B4646">
        <w:rPr>
          <w:rStyle w:val="Znakapoznpodarou"/>
          <w:sz w:val="20"/>
        </w:rPr>
        <w:footnoteRef/>
      </w:r>
      <w:r w:rsidRPr="005B4646">
        <w:rPr>
          <w:sz w:val="20"/>
        </w:rPr>
        <w:t xml:space="preserve"> Podrobný výčet ustanovení týkajících se j</w:t>
      </w:r>
      <w:r>
        <w:rPr>
          <w:sz w:val="20"/>
        </w:rPr>
        <w:t>ednotlivých práv uvádí Příloha</w:t>
      </w:r>
      <w:r w:rsidRPr="005B4646">
        <w:rPr>
          <w:sz w:val="20"/>
        </w:rPr>
        <w:t>.</w:t>
      </w:r>
    </w:p>
  </w:footnote>
  <w:footnote w:id="2">
    <w:p w:rsidR="00CA19F5" w:rsidRPr="00465753" w:rsidRDefault="00CA19F5" w:rsidP="00CF293B">
      <w:pPr>
        <w:pStyle w:val="Textpoznpodarou"/>
        <w:rPr>
          <w:sz w:val="20"/>
        </w:rPr>
      </w:pPr>
      <w:r>
        <w:rPr>
          <w:rStyle w:val="Znakapoznpodarou"/>
        </w:rPr>
        <w:footnoteRef/>
      </w:r>
      <w:r>
        <w:t xml:space="preserve"> </w:t>
      </w:r>
      <w:r w:rsidRPr="00465753">
        <w:rPr>
          <w:sz w:val="20"/>
        </w:rPr>
        <w:t>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w:t>
      </w:r>
      <w:r>
        <w:rPr>
          <w:sz w:val="20"/>
        </w:rPr>
        <w:t>oji mezd a spotřebitelských cen</w:t>
      </w:r>
      <w:r w:rsidRPr="00465753">
        <w:rPr>
          <w:sz w:val="20"/>
        </w:rPr>
        <w:t xml:space="preserve"> </w:t>
      </w:r>
      <w:r>
        <w:rPr>
          <w:sz w:val="20"/>
        </w:rPr>
        <w:t>(</w:t>
      </w:r>
      <w:r w:rsidRPr="00465753">
        <w:rPr>
          <w:sz w:val="20"/>
        </w:rPr>
        <w:t xml:space="preserve">§111. odst. 2 </w:t>
      </w:r>
      <w:r>
        <w:rPr>
          <w:sz w:val="20"/>
        </w:rPr>
        <w:t>z</w:t>
      </w:r>
      <w:r w:rsidRPr="00465753">
        <w:rPr>
          <w:sz w:val="20"/>
        </w:rPr>
        <w:t>ákona č. 262/2006 Sb.</w:t>
      </w:r>
      <w:r>
        <w:rPr>
          <w:sz w:val="20"/>
        </w:rPr>
        <w:t>,</w:t>
      </w:r>
      <w:r w:rsidRPr="00465753">
        <w:rPr>
          <w:sz w:val="20"/>
        </w:rPr>
        <w:t xml:space="preserve"> zákoník práce</w:t>
      </w:r>
      <w:r>
        <w:rPr>
          <w:sz w:val="20"/>
        </w:rPr>
        <w:t>).</w:t>
      </w:r>
    </w:p>
  </w:footnote>
  <w:footnote w:id="3">
    <w:p w:rsidR="00CA19F5" w:rsidRPr="00352775" w:rsidRDefault="00CA19F5" w:rsidP="00A441B3">
      <w:pPr>
        <w:pStyle w:val="Textpoznpodarou"/>
      </w:pPr>
      <w:r>
        <w:rPr>
          <w:rStyle w:val="Znakapoznpodarou"/>
        </w:rPr>
        <w:footnoteRef/>
      </w:r>
      <w:r>
        <w:t xml:space="preserve"> </w:t>
      </w:r>
      <w:r w:rsidRPr="00D728BC">
        <w:rPr>
          <w:sz w:val="20"/>
        </w:rPr>
        <w:t xml:space="preserve">Programové prohlášení vlády </w:t>
      </w:r>
      <w:r w:rsidRPr="00352775">
        <w:rPr>
          <w:sz w:val="20"/>
        </w:rPr>
        <w:t xml:space="preserve">ČR, </w:t>
      </w:r>
      <w:hyperlink r:id="rId1" w:history="1">
        <w:r w:rsidRPr="00352775">
          <w:rPr>
            <w:rStyle w:val="Hypertextovodkaz"/>
            <w:color w:val="auto"/>
            <w:sz w:val="20"/>
          </w:rPr>
          <w:t>http://www.vlada.cz/cz/media-centrum/dulezite-dokumenty/programove-prohlaseni-vlady-cr-115911/</w:t>
        </w:r>
      </w:hyperlink>
    </w:p>
  </w:footnote>
  <w:footnote w:id="4">
    <w:p w:rsidR="00CA19F5" w:rsidRPr="002850D6" w:rsidRDefault="00CA19F5" w:rsidP="00E7099F">
      <w:pPr>
        <w:pStyle w:val="Textpoznpodarou"/>
        <w:rPr>
          <w:sz w:val="20"/>
        </w:rPr>
      </w:pPr>
      <w:r>
        <w:rPr>
          <w:rStyle w:val="Znakapoznpodarou"/>
        </w:rPr>
        <w:footnoteRef/>
      </w:r>
      <w:r w:rsidRPr="00FD037C">
        <w:rPr>
          <w:sz w:val="20"/>
        </w:rPr>
        <w:t xml:space="preserve"> </w:t>
      </w:r>
      <w:hyperlink r:id="rId2" w:history="1">
        <w:r w:rsidRPr="002850D6">
          <w:rPr>
            <w:rStyle w:val="Hypertextovodkaz"/>
            <w:color w:val="auto"/>
            <w:sz w:val="20"/>
          </w:rPr>
          <w:t>http://www.eurofound.europa.eu/observatories/eurwork/collective-wage-bargaining/context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F5" w:rsidRDefault="00951E4B" w:rsidP="002875DC">
    <w:pPr>
      <w:pStyle w:val="Zhlav"/>
    </w:pPr>
    <w:r>
      <w:rPr>
        <w:noProof/>
        <w:lang w:eastAsia="cs-CZ" w:bidi="ar-SA"/>
      </w:rPr>
      <mc:AlternateContent>
        <mc:Choice Requires="wps">
          <w:drawing>
            <wp:anchor distT="0" distB="0" distL="114300" distR="114300" simplePos="0" relativeHeight="251658240" behindDoc="0" locked="0" layoutInCell="1" allowOverlap="1">
              <wp:simplePos x="0" y="0"/>
              <wp:positionH relativeFrom="column">
                <wp:posOffset>5341620</wp:posOffset>
              </wp:positionH>
              <wp:positionV relativeFrom="paragraph">
                <wp:posOffset>40005</wp:posOffset>
              </wp:positionV>
              <wp:extent cx="1108710" cy="428625"/>
              <wp:effectExtent l="0" t="0" r="15240" b="2857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428625"/>
                      </a:xfrm>
                      <a:prstGeom prst="rect">
                        <a:avLst/>
                      </a:prstGeom>
                      <a:solidFill>
                        <a:srgbClr val="FFFFFF"/>
                      </a:solidFill>
                      <a:ln w="9525">
                        <a:solidFill>
                          <a:srgbClr val="FFFFFF"/>
                        </a:solidFill>
                        <a:miter lim="800000"/>
                        <a:headEnd/>
                        <a:tailEnd/>
                      </a:ln>
                    </wps:spPr>
                    <wps:txbx>
                      <w:txbxContent>
                        <w:p w:rsidR="00CA19F5" w:rsidRDefault="00CA19F5" w:rsidP="00361261">
                          <w:pPr>
                            <w:pStyle w:val="ZhlavR"/>
                          </w:pPr>
                          <w:r>
                            <w:t>Evidenční číslo</w:t>
                          </w:r>
                        </w:p>
                        <w:p w:rsidR="00CA19F5" w:rsidRPr="00361261" w:rsidRDefault="00CA19F5" w:rsidP="00361261">
                          <w:pPr>
                            <w:pStyle w:val="ZhlavR"/>
                            <w:rPr>
                              <w:color w:val="auto"/>
                            </w:rPr>
                          </w:pPr>
                          <w:r w:rsidRPr="00361261">
                            <w:rPr>
                              <w:color w:val="auto"/>
                            </w:rPr>
                            <w:t>Strana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0.6pt;margin-top:3.15pt;width:87.3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" strokecolor="white">
              <v:textbox>
                <w:txbxContent>
                  <w:p w:rsidR="00CA19F5" w:rsidRDefault="00CA19F5" w:rsidP="00361261">
                    <w:pPr>
                      <w:pStyle w:val="ZhlavR"/>
                    </w:pPr>
                    <w:r>
                      <w:t>Evidenční číslo</w:t>
                    </w:r>
                  </w:p>
                  <w:p w:rsidR="00CA19F5" w:rsidRPr="00361261" w:rsidRDefault="00CA19F5" w:rsidP="00361261">
                    <w:pPr>
                      <w:pStyle w:val="ZhlavR"/>
                      <w:rPr>
                        <w:color w:val="auto"/>
                      </w:rPr>
                    </w:pPr>
                    <w:r w:rsidRPr="00361261">
                      <w:rPr>
                        <w:color w:val="auto"/>
                      </w:rPr>
                      <w:t>Strana</w:t>
                    </w:r>
                  </w:p>
                </w:txbxContent>
              </v:textbox>
            </v:shape>
          </w:pict>
        </mc:Fallback>
      </mc:AlternateContent>
    </w:r>
    <w:r>
      <w:rPr>
        <w:noProof/>
        <w:lang w:eastAsia="cs-CZ" w:bidi="ar-SA"/>
      </w:rPr>
      <mc:AlternateContent>
        <mc:Choice Requires="wps">
          <w:drawing>
            <wp:anchor distT="0" distB="0" distL="114299" distR="114299" simplePos="0" relativeHeight="251661312" behindDoc="0" locked="0" layoutInCell="1" allowOverlap="1">
              <wp:simplePos x="0" y="0"/>
              <wp:positionH relativeFrom="column">
                <wp:posOffset>5341619</wp:posOffset>
              </wp:positionH>
              <wp:positionV relativeFrom="paragraph">
                <wp:posOffset>90170</wp:posOffset>
              </wp:positionV>
              <wp:extent cx="0" cy="259080"/>
              <wp:effectExtent l="0" t="0" r="19050" b="762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cap="rnd">
                        <a:solidFill>
                          <a:srgbClr val="9A9B9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6pt,7.1pt" to="420.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" strokecolor="#9a9b9d">
              <v:stroke dashstyle="1 1" endcap="round"/>
            </v:line>
          </w:pict>
        </mc:Fallback>
      </mc:AlternateContent>
    </w:r>
    <w:r>
      <w:rPr>
        <w:noProof/>
        <w:lang w:eastAsia="cs-CZ" w:bidi="ar-SA"/>
      </w:rPr>
      <mc:AlternateContent>
        <mc:Choice Requires="wps">
          <w:drawing>
            <wp:anchor distT="0" distB="0" distL="114300" distR="114300" simplePos="0" relativeHeight="251659264" behindDoc="0" locked="0" layoutInCell="1" allowOverlap="1">
              <wp:simplePos x="0" y="0"/>
              <wp:positionH relativeFrom="column">
                <wp:posOffset>1663700</wp:posOffset>
              </wp:positionH>
              <wp:positionV relativeFrom="paragraph">
                <wp:posOffset>40005</wp:posOffset>
              </wp:positionV>
              <wp:extent cx="3677920" cy="392430"/>
              <wp:effectExtent l="0" t="0" r="1778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92430"/>
                      </a:xfrm>
                      <a:prstGeom prst="rect">
                        <a:avLst/>
                      </a:prstGeom>
                      <a:solidFill>
                        <a:srgbClr val="FFFFFF"/>
                      </a:solidFill>
                      <a:ln w="9525">
                        <a:solidFill>
                          <a:srgbClr val="FFFFFF"/>
                        </a:solidFill>
                        <a:miter lim="800000"/>
                        <a:headEnd/>
                        <a:tailEnd/>
                      </a:ln>
                    </wps:spPr>
                    <wps:txbx>
                      <w:txbxContent>
                        <w:p w:rsidR="00CA19F5" w:rsidRPr="00E25EF4" w:rsidRDefault="00CA19F5" w:rsidP="008E3C76">
                          <w:pPr>
                            <w:pStyle w:val="zhlavL"/>
                            <w:rPr>
                              <w:szCs w:val="16"/>
                            </w:rPr>
                          </w:pPr>
                          <w:r>
                            <w:t>Z15-0037</w:t>
                          </w:r>
                          <w:r>
                            <w:rPr>
                              <w:szCs w:val="16"/>
                            </w:rPr>
                            <w:t xml:space="preserve"> </w:t>
                          </w:r>
                        </w:p>
                        <w:p w:rsidR="00CA19F5" w:rsidRPr="00361261" w:rsidRDefault="008A3262" w:rsidP="00361261">
                          <w:pPr>
                            <w:pStyle w:val="zhlavL"/>
                            <w:rPr>
                              <w:color w:val="auto"/>
                            </w:rPr>
                          </w:pPr>
                          <w:r w:rsidRPr="00361261">
                            <w:rPr>
                              <w:color w:val="auto"/>
                            </w:rPr>
                            <w:fldChar w:fldCharType="begin"/>
                          </w:r>
                          <w:r w:rsidR="00CA19F5" w:rsidRPr="00361261">
                            <w:rPr>
                              <w:color w:val="auto"/>
                            </w:rPr>
                            <w:instrText>PAGE</w:instrText>
                          </w:r>
                          <w:r w:rsidRPr="00361261">
                            <w:rPr>
                              <w:color w:val="auto"/>
                            </w:rPr>
                            <w:fldChar w:fldCharType="separate"/>
                          </w:r>
                          <w:r w:rsidR="00951E4B">
                            <w:rPr>
                              <w:noProof/>
                              <w:color w:val="auto"/>
                            </w:rPr>
                            <w:t>53</w:t>
                          </w:r>
                          <w:r w:rsidRPr="00361261">
                            <w:rPr>
                              <w:color w:val="auto"/>
                            </w:rPr>
                            <w:fldChar w:fldCharType="end"/>
                          </w:r>
                          <w:r w:rsidR="00CA19F5" w:rsidRPr="00361261">
                            <w:rPr>
                              <w:color w:val="auto"/>
                            </w:rPr>
                            <w:t>/</w:t>
                          </w:r>
                          <w:r w:rsidR="00235816">
                            <w:fldChar w:fldCharType="begin"/>
                          </w:r>
                          <w:r w:rsidR="00235816">
                            <w:instrText xml:space="preserve"> NUMPAGES   \* MERGEFORMAT </w:instrText>
                          </w:r>
                          <w:r w:rsidR="00235816">
                            <w:fldChar w:fldCharType="separate"/>
                          </w:r>
                          <w:r w:rsidR="00951E4B" w:rsidRPr="00951E4B">
                            <w:rPr>
                              <w:noProof/>
                              <w:color w:val="auto"/>
                            </w:rPr>
                            <w:t>53</w:t>
                          </w:r>
                          <w:r w:rsidR="00235816">
                            <w:rPr>
                              <w:noProof/>
                              <w:color w:val="auto"/>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1pt;margin-top:3.15pt;width:289.6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" strokecolor="white">
              <v:textbox>
                <w:txbxContent>
                  <w:p w:rsidR="00CA19F5" w:rsidRPr="00E25EF4" w:rsidRDefault="00CA19F5" w:rsidP="008E3C76">
                    <w:pPr>
                      <w:pStyle w:val="zhlavL"/>
                      <w:rPr>
                        <w:szCs w:val="16"/>
                      </w:rPr>
                    </w:pPr>
                    <w:r>
                      <w:t>Z15-0037</w:t>
                    </w:r>
                    <w:r>
                      <w:rPr>
                        <w:szCs w:val="16"/>
                      </w:rPr>
                      <w:t xml:space="preserve"> </w:t>
                    </w:r>
                  </w:p>
                  <w:p w:rsidR="00CA19F5" w:rsidRPr="00361261" w:rsidRDefault="008A3262" w:rsidP="00361261">
                    <w:pPr>
                      <w:pStyle w:val="zhlavL"/>
                      <w:rPr>
                        <w:color w:val="auto"/>
                      </w:rPr>
                    </w:pPr>
                    <w:r w:rsidRPr="00361261">
                      <w:rPr>
                        <w:color w:val="auto"/>
                      </w:rPr>
                      <w:fldChar w:fldCharType="begin"/>
                    </w:r>
                    <w:r w:rsidR="00CA19F5" w:rsidRPr="00361261">
                      <w:rPr>
                        <w:color w:val="auto"/>
                      </w:rPr>
                      <w:instrText>PAGE</w:instrText>
                    </w:r>
                    <w:r w:rsidRPr="00361261">
                      <w:rPr>
                        <w:color w:val="auto"/>
                      </w:rPr>
                      <w:fldChar w:fldCharType="separate"/>
                    </w:r>
                    <w:r w:rsidR="00951E4B">
                      <w:rPr>
                        <w:noProof/>
                        <w:color w:val="auto"/>
                      </w:rPr>
                      <w:t>53</w:t>
                    </w:r>
                    <w:r w:rsidRPr="00361261">
                      <w:rPr>
                        <w:color w:val="auto"/>
                      </w:rPr>
                      <w:fldChar w:fldCharType="end"/>
                    </w:r>
                    <w:r w:rsidR="00CA19F5" w:rsidRPr="00361261">
                      <w:rPr>
                        <w:color w:val="auto"/>
                      </w:rPr>
                      <w:t>/</w:t>
                    </w:r>
                    <w:r w:rsidR="00235816">
                      <w:fldChar w:fldCharType="begin"/>
                    </w:r>
                    <w:r w:rsidR="00235816">
                      <w:instrText xml:space="preserve"> NUMPAGES   \* MERGEFORMAT </w:instrText>
                    </w:r>
                    <w:r w:rsidR="00235816">
                      <w:fldChar w:fldCharType="separate"/>
                    </w:r>
                    <w:r w:rsidR="00951E4B" w:rsidRPr="00951E4B">
                      <w:rPr>
                        <w:noProof/>
                        <w:color w:val="auto"/>
                      </w:rPr>
                      <w:t>53</w:t>
                    </w:r>
                    <w:r w:rsidR="00235816">
                      <w:rPr>
                        <w:noProof/>
                        <w:color w:val="auto"/>
                      </w:rPr>
                      <w:fldChar w:fldCharType="end"/>
                    </w:r>
                  </w:p>
                </w:txbxContent>
              </v:textbox>
            </v:shape>
          </w:pict>
        </mc:Fallback>
      </mc:AlternateContent>
    </w:r>
    <w:r w:rsidR="00CA19F5">
      <w:rPr>
        <w:noProof/>
        <w:lang w:eastAsia="cs-CZ" w:bidi="ar-SA"/>
      </w:rPr>
      <w:drawing>
        <wp:anchor distT="0" distB="0" distL="114300" distR="114300" simplePos="0" relativeHeight="251655168" behindDoc="1" locked="0" layoutInCell="1" allowOverlap="1">
          <wp:simplePos x="0" y="0"/>
          <wp:positionH relativeFrom="column">
            <wp:posOffset>-713072</wp:posOffset>
          </wp:positionH>
          <wp:positionV relativeFrom="paragraph">
            <wp:posOffset>-449580</wp:posOffset>
          </wp:positionV>
          <wp:extent cx="7548814" cy="10696073"/>
          <wp:effectExtent l="19050" t="0" r="0" b="0"/>
          <wp:wrapNone/>
          <wp:docPr id="24" name="Obrázek 0" descr="dopisák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ák1-3.wmf"/>
                  <pic:cNvPicPr/>
                </pic:nvPicPr>
                <pic:blipFill>
                  <a:blip r:embed="rId1"/>
                  <a:stretch>
                    <a:fillRect/>
                  </a:stretch>
                </pic:blipFill>
                <pic:spPr>
                  <a:xfrm>
                    <a:off x="0" y="0"/>
                    <a:ext cx="7548814" cy="1069607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F5" w:rsidRDefault="00CA19F5" w:rsidP="002875DC">
    <w:pPr>
      <w:pStyle w:val="Zhlav"/>
    </w:pPr>
    <w:r>
      <w:rPr>
        <w:noProof/>
        <w:lang w:eastAsia="cs-CZ" w:bidi="ar-SA"/>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-466725</wp:posOffset>
          </wp:positionV>
          <wp:extent cx="7560310" cy="10697210"/>
          <wp:effectExtent l="19050" t="0" r="2540" b="0"/>
          <wp:wrapNone/>
          <wp:docPr id="25" name="obrázek 5" descr="dopisá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ák1-1"/>
                  <pic:cNvPicPr>
                    <a:picLocks noChangeAspect="1" noChangeArrowheads="1"/>
                  </pic:cNvPicPr>
                </pic:nvPicPr>
                <pic:blipFill>
                  <a:blip r:embed="rId1"/>
                  <a:srcRect/>
                  <a:stretch>
                    <a:fillRect/>
                  </a:stretch>
                </pic:blipFill>
                <pic:spPr bwMode="auto">
                  <a:xfrm>
                    <a:off x="0" y="0"/>
                    <a:ext cx="7560310" cy="10697210"/>
                  </a:xfrm>
                  <a:prstGeom prst="rect">
                    <a:avLst/>
                  </a:prstGeom>
                  <a:noFill/>
                </pic:spPr>
              </pic:pic>
            </a:graphicData>
          </a:graphic>
        </wp:anchor>
      </w:drawing>
    </w:r>
  </w:p>
  <w:p w:rsidR="00CA19F5" w:rsidRDefault="00CA19F5" w:rsidP="002875DC">
    <w:pPr>
      <w:pStyle w:val="Zhlav"/>
    </w:pPr>
    <w:r>
      <w:rPr>
        <w:noProof/>
        <w:lang w:eastAsia="cs-CZ" w:bidi="ar-SA"/>
      </w:rPr>
      <w:drawing>
        <wp:anchor distT="0" distB="0" distL="114300" distR="114300" simplePos="0" relativeHeight="251656192" behindDoc="1" locked="0" layoutInCell="1" allowOverlap="1">
          <wp:simplePos x="0" y="0"/>
          <wp:positionH relativeFrom="column">
            <wp:posOffset>-5301</wp:posOffset>
          </wp:positionH>
          <wp:positionV relativeFrom="paragraph">
            <wp:posOffset>4569736</wp:posOffset>
          </wp:positionV>
          <wp:extent cx="6139235" cy="2997642"/>
          <wp:effectExtent l="19050" t="0" r="0" b="0"/>
          <wp:wrapNone/>
          <wp:docPr id="26" name="Obrázek 3" descr="podkl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klad1.jpg"/>
                  <pic:cNvPicPr/>
                </pic:nvPicPr>
                <pic:blipFill>
                  <a:blip r:embed="rId2"/>
                  <a:stretch>
                    <a:fillRect/>
                  </a:stretch>
                </pic:blipFill>
                <pic:spPr>
                  <a:xfrm>
                    <a:off x="0" y="0"/>
                    <a:ext cx="6139235" cy="299764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F5" w:rsidRDefault="00951E4B" w:rsidP="002875DC">
    <w:pPr>
      <w:pStyle w:val="Zhlav"/>
    </w:pPr>
    <w:r>
      <w:rPr>
        <w:noProof/>
        <w:lang w:eastAsia="cs-CZ" w:bidi="ar-SA"/>
      </w:rPr>
      <mc:AlternateContent>
        <mc:Choice Requires="wps">
          <w:drawing>
            <wp:anchor distT="0" distB="0" distL="114300" distR="114300" simplePos="0" relativeHeight="251660288" behindDoc="0" locked="0" layoutInCell="1" allowOverlap="1">
              <wp:simplePos x="0" y="0"/>
              <wp:positionH relativeFrom="column">
                <wp:posOffset>4782820</wp:posOffset>
              </wp:positionH>
              <wp:positionV relativeFrom="paragraph">
                <wp:posOffset>40005</wp:posOffset>
              </wp:positionV>
              <wp:extent cx="3677920" cy="392430"/>
              <wp:effectExtent l="0" t="0" r="17780" b="266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92430"/>
                      </a:xfrm>
                      <a:prstGeom prst="rect">
                        <a:avLst/>
                      </a:prstGeom>
                      <a:solidFill>
                        <a:srgbClr val="FFFFFF"/>
                      </a:solidFill>
                      <a:ln w="9525">
                        <a:solidFill>
                          <a:srgbClr val="FFFFFF"/>
                        </a:solidFill>
                        <a:miter lim="800000"/>
                        <a:headEnd/>
                        <a:tailEnd/>
                      </a:ln>
                    </wps:spPr>
                    <wps:txbx>
                      <w:txbxContent>
                        <w:p w:rsidR="00CA19F5" w:rsidRDefault="00CA19F5" w:rsidP="00361261">
                          <w:pPr>
                            <w:pStyle w:val="zhlavL"/>
                          </w:pPr>
                          <w:r>
                            <w:t>XXX</w:t>
                          </w:r>
                        </w:p>
                        <w:p w:rsidR="00CA19F5" w:rsidRPr="00361261" w:rsidRDefault="008A3262" w:rsidP="00361261">
                          <w:pPr>
                            <w:pStyle w:val="zhlavL"/>
                            <w:rPr>
                              <w:color w:val="auto"/>
                            </w:rPr>
                          </w:pPr>
                          <w:r w:rsidRPr="00361261">
                            <w:rPr>
                              <w:color w:val="auto"/>
                            </w:rPr>
                            <w:fldChar w:fldCharType="begin"/>
                          </w:r>
                          <w:r w:rsidR="00CA19F5" w:rsidRPr="00361261">
                            <w:rPr>
                              <w:color w:val="auto"/>
                            </w:rPr>
                            <w:instrText>PAGE</w:instrText>
                          </w:r>
                          <w:r w:rsidRPr="00361261">
                            <w:rPr>
                              <w:color w:val="auto"/>
                            </w:rPr>
                            <w:fldChar w:fldCharType="separate"/>
                          </w:r>
                          <w:r w:rsidR="00951E4B">
                            <w:rPr>
                              <w:noProof/>
                              <w:color w:val="auto"/>
                            </w:rPr>
                            <w:t>54</w:t>
                          </w:r>
                          <w:r w:rsidRPr="00361261">
                            <w:rPr>
                              <w:color w:val="auto"/>
                            </w:rPr>
                            <w:fldChar w:fldCharType="end"/>
                          </w:r>
                          <w:r w:rsidR="00CA19F5" w:rsidRPr="00361261">
                            <w:rPr>
                              <w:color w:val="auto"/>
                            </w:rPr>
                            <w:t>/</w:t>
                          </w:r>
                          <w:r w:rsidRPr="00361261">
                            <w:rPr>
                              <w:color w:val="auto"/>
                            </w:rPr>
                            <w:fldChar w:fldCharType="begin"/>
                          </w:r>
                          <w:r w:rsidR="00CA19F5" w:rsidRPr="00361261">
                            <w:rPr>
                              <w:color w:val="auto"/>
                            </w:rPr>
                            <w:instrText>NUMPAGES</w:instrText>
                          </w:r>
                          <w:r w:rsidRPr="00361261">
                            <w:rPr>
                              <w:color w:val="auto"/>
                            </w:rPr>
                            <w:fldChar w:fldCharType="separate"/>
                          </w:r>
                          <w:r w:rsidR="00951E4B">
                            <w:rPr>
                              <w:noProof/>
                              <w:color w:val="auto"/>
                            </w:rPr>
                            <w:t>54</w:t>
                          </w:r>
                          <w:r w:rsidRPr="00361261">
                            <w:rPr>
                              <w:color w:val="auto"/>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376.6pt;margin-top:3.15pt;width:289.6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" strokecolor="white">
              <v:textbox>
                <w:txbxContent>
                  <w:p w:rsidR="00CA19F5" w:rsidRDefault="00CA19F5" w:rsidP="00361261">
                    <w:pPr>
                      <w:pStyle w:val="zhlavL"/>
                    </w:pPr>
                    <w:r>
                      <w:t>XXX</w:t>
                    </w:r>
                  </w:p>
                  <w:p w:rsidR="00CA19F5" w:rsidRPr="00361261" w:rsidRDefault="008A3262" w:rsidP="00361261">
                    <w:pPr>
                      <w:pStyle w:val="zhlavL"/>
                      <w:rPr>
                        <w:color w:val="auto"/>
                      </w:rPr>
                    </w:pPr>
                    <w:r w:rsidRPr="00361261">
                      <w:rPr>
                        <w:color w:val="auto"/>
                      </w:rPr>
                      <w:fldChar w:fldCharType="begin"/>
                    </w:r>
                    <w:r w:rsidR="00CA19F5" w:rsidRPr="00361261">
                      <w:rPr>
                        <w:color w:val="auto"/>
                      </w:rPr>
                      <w:instrText>PAGE</w:instrText>
                    </w:r>
                    <w:r w:rsidRPr="00361261">
                      <w:rPr>
                        <w:color w:val="auto"/>
                      </w:rPr>
                      <w:fldChar w:fldCharType="separate"/>
                    </w:r>
                    <w:r w:rsidR="00951E4B">
                      <w:rPr>
                        <w:noProof/>
                        <w:color w:val="auto"/>
                      </w:rPr>
                      <w:t>54</w:t>
                    </w:r>
                    <w:r w:rsidRPr="00361261">
                      <w:rPr>
                        <w:color w:val="auto"/>
                      </w:rPr>
                      <w:fldChar w:fldCharType="end"/>
                    </w:r>
                    <w:r w:rsidR="00CA19F5" w:rsidRPr="00361261">
                      <w:rPr>
                        <w:color w:val="auto"/>
                      </w:rPr>
                      <w:t>/</w:t>
                    </w:r>
                    <w:r w:rsidRPr="00361261">
                      <w:rPr>
                        <w:color w:val="auto"/>
                      </w:rPr>
                      <w:fldChar w:fldCharType="begin"/>
                    </w:r>
                    <w:r w:rsidR="00CA19F5" w:rsidRPr="00361261">
                      <w:rPr>
                        <w:color w:val="auto"/>
                      </w:rPr>
                      <w:instrText>NUMPAGES</w:instrText>
                    </w:r>
                    <w:r w:rsidRPr="00361261">
                      <w:rPr>
                        <w:color w:val="auto"/>
                      </w:rPr>
                      <w:fldChar w:fldCharType="separate"/>
                    </w:r>
                    <w:r w:rsidR="00951E4B">
                      <w:rPr>
                        <w:noProof/>
                        <w:color w:val="auto"/>
                      </w:rPr>
                      <w:t>54</w:t>
                    </w:r>
                    <w:r w:rsidRPr="00361261">
                      <w:rPr>
                        <w:color w:val="auto"/>
                      </w:rPr>
                      <w:fldChar w:fldCharType="end"/>
                    </w:r>
                  </w:p>
                </w:txbxContent>
              </v:textbox>
            </v:shape>
          </w:pict>
        </mc:Fallback>
      </mc:AlternateContent>
    </w:r>
    <w:r>
      <w:rPr>
        <w:noProof/>
        <w:lang w:eastAsia="cs-CZ" w:bidi="ar-SA"/>
      </w:rPr>
      <mc:AlternateContent>
        <mc:Choice Requires="wps">
          <w:drawing>
            <wp:anchor distT="0" distB="0" distL="114299" distR="114299" simplePos="0" relativeHeight="251662336" behindDoc="0" locked="0" layoutInCell="1" allowOverlap="1">
              <wp:simplePos x="0" y="0"/>
              <wp:positionH relativeFrom="column">
                <wp:posOffset>8468994</wp:posOffset>
              </wp:positionH>
              <wp:positionV relativeFrom="paragraph">
                <wp:posOffset>90170</wp:posOffset>
              </wp:positionV>
              <wp:extent cx="0" cy="259080"/>
              <wp:effectExtent l="0" t="0" r="19050" b="762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cap="rnd">
                        <a:solidFill>
                          <a:srgbClr val="9A9B9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85pt,7.1pt" to="66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" strokecolor="#9a9b9d">
              <v:stroke dashstyle="1 1" endcap="round"/>
            </v:line>
          </w:pict>
        </mc:Fallback>
      </mc:AlternateContent>
    </w:r>
    <w:r>
      <w:rPr>
        <w:noProof/>
        <w:lang w:eastAsia="cs-CZ" w:bidi="ar-SA"/>
      </w:rPr>
      <mc:AlternateContent>
        <mc:Choice Requires="wps">
          <w:drawing>
            <wp:anchor distT="0" distB="0" distL="114300" distR="114300" simplePos="0" relativeHeight="251657216" behindDoc="0" locked="0" layoutInCell="1" allowOverlap="1">
              <wp:simplePos x="0" y="0"/>
              <wp:positionH relativeFrom="column">
                <wp:posOffset>8468995</wp:posOffset>
              </wp:positionH>
              <wp:positionV relativeFrom="paragraph">
                <wp:posOffset>40005</wp:posOffset>
              </wp:positionV>
              <wp:extent cx="1022985" cy="428625"/>
              <wp:effectExtent l="0" t="0" r="24765"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428625"/>
                      </a:xfrm>
                      <a:prstGeom prst="rect">
                        <a:avLst/>
                      </a:prstGeom>
                      <a:solidFill>
                        <a:srgbClr val="FFFFFF"/>
                      </a:solidFill>
                      <a:ln w="9525">
                        <a:solidFill>
                          <a:srgbClr val="FFFFFF"/>
                        </a:solidFill>
                        <a:miter lim="800000"/>
                        <a:headEnd/>
                        <a:tailEnd/>
                      </a:ln>
                    </wps:spPr>
                    <wps:txbx>
                      <w:txbxContent>
                        <w:p w:rsidR="00CA19F5" w:rsidRDefault="00CA19F5" w:rsidP="00361261">
                          <w:pPr>
                            <w:pStyle w:val="ZhlavR"/>
                          </w:pPr>
                          <w:r>
                            <w:t>Evidenční číslo</w:t>
                          </w:r>
                        </w:p>
                        <w:p w:rsidR="00CA19F5" w:rsidRPr="00361261" w:rsidRDefault="00CA19F5" w:rsidP="00361261">
                          <w:pPr>
                            <w:pStyle w:val="ZhlavR"/>
                            <w:rPr>
                              <w:color w:val="auto"/>
                            </w:rPr>
                          </w:pPr>
                          <w:r w:rsidRPr="00361261">
                            <w:rPr>
                              <w:color w:val="auto"/>
                            </w:rPr>
                            <w:t>Strana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666.85pt;margin-top:3.15pt;width:80.5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" strokecolor="white">
              <v:textbox>
                <w:txbxContent>
                  <w:p w:rsidR="00CA19F5" w:rsidRDefault="00CA19F5" w:rsidP="00361261">
                    <w:pPr>
                      <w:pStyle w:val="ZhlavR"/>
                    </w:pPr>
                    <w:r>
                      <w:t>Evidenční číslo</w:t>
                    </w:r>
                  </w:p>
                  <w:p w:rsidR="00CA19F5" w:rsidRPr="00361261" w:rsidRDefault="00CA19F5" w:rsidP="00361261">
                    <w:pPr>
                      <w:pStyle w:val="ZhlavR"/>
                      <w:rPr>
                        <w:color w:val="auto"/>
                      </w:rPr>
                    </w:pPr>
                    <w:r w:rsidRPr="00361261">
                      <w:rPr>
                        <w:color w:val="auto"/>
                      </w:rPr>
                      <w:t>Strana</w:t>
                    </w:r>
                  </w:p>
                </w:txbxContent>
              </v:textbox>
            </v:shape>
          </w:pict>
        </mc:Fallback>
      </mc:AlternateContent>
    </w:r>
    <w:r w:rsidR="00CA19F5">
      <w:rPr>
        <w:noProof/>
        <w:lang w:eastAsia="cs-CZ" w:bidi="ar-SA"/>
      </w:rPr>
      <w:drawing>
        <wp:anchor distT="0" distB="0" distL="114300" distR="114300" simplePos="0" relativeHeight="251653120" behindDoc="1" locked="0" layoutInCell="1" allowOverlap="1">
          <wp:simplePos x="0" y="0"/>
          <wp:positionH relativeFrom="column">
            <wp:posOffset>-717973</wp:posOffset>
          </wp:positionH>
          <wp:positionV relativeFrom="paragraph">
            <wp:posOffset>-450215</wp:posOffset>
          </wp:positionV>
          <wp:extent cx="10691283" cy="7560733"/>
          <wp:effectExtent l="19050" t="0" r="0" b="0"/>
          <wp:wrapNone/>
          <wp:docPr id="27" name="Obrázek 12" descr="dopisák landscape 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ák landscape 2-1.wmf"/>
                  <pic:cNvPicPr/>
                </pic:nvPicPr>
                <pic:blipFill>
                  <a:blip r:embed="rId1"/>
                  <a:stretch>
                    <a:fillRect/>
                  </a:stretch>
                </pic:blipFill>
                <pic:spPr>
                  <a:xfrm>
                    <a:off x="0" y="0"/>
                    <a:ext cx="10691283" cy="75607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77D"/>
    <w:multiLevelType w:val="hybridMultilevel"/>
    <w:tmpl w:val="2B6407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E76A17"/>
    <w:multiLevelType w:val="hybridMultilevel"/>
    <w:tmpl w:val="8A3CC3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211FF3"/>
    <w:multiLevelType w:val="hybridMultilevel"/>
    <w:tmpl w:val="B8E6E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0721A4"/>
    <w:multiLevelType w:val="hybridMultilevel"/>
    <w:tmpl w:val="49B04C2A"/>
    <w:lvl w:ilvl="0" w:tplc="3CCA6220">
      <w:start w:val="1"/>
      <w:numFmt w:val="lowerLetter"/>
      <w:pStyle w:val="slovanseznam1"/>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3A857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551AC8"/>
    <w:multiLevelType w:val="hybridMultilevel"/>
    <w:tmpl w:val="67267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811256"/>
    <w:multiLevelType w:val="hybridMultilevel"/>
    <w:tmpl w:val="24D43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AC0644"/>
    <w:multiLevelType w:val="hybridMultilevel"/>
    <w:tmpl w:val="49F24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9946C2"/>
    <w:multiLevelType w:val="hybridMultilevel"/>
    <w:tmpl w:val="AB383052"/>
    <w:lvl w:ilvl="0" w:tplc="2970F50C">
      <w:start w:val="1"/>
      <w:numFmt w:val="lowerLetter"/>
      <w:pStyle w:val="seznam1"/>
      <w:lvlText w:val="%1)"/>
      <w:lvlJc w:val="left"/>
      <w:pPr>
        <w:ind w:left="720" w:hanging="360"/>
      </w:pPr>
      <w:rPr>
        <w:b w:val="0"/>
        <w:sz w:val="20"/>
        <w:szCs w:val="20"/>
      </w:rPr>
    </w:lvl>
    <w:lvl w:ilvl="1" w:tplc="5860C50A">
      <w:start w:val="1"/>
      <w:numFmt w:val="lowerLetter"/>
      <w:pStyle w:val="seznam2"/>
      <w:lvlText w:val="%2."/>
      <w:lvlJc w:val="left"/>
      <w:pPr>
        <w:ind w:left="1440" w:hanging="360"/>
      </w:pPr>
      <w:rPr>
        <w:b w:val="0"/>
        <w:sz w:val="20"/>
        <w:szCs w:val="20"/>
      </w:rPr>
    </w:lvl>
    <w:lvl w:ilvl="2" w:tplc="00AE6EEE">
      <w:start w:val="1"/>
      <w:numFmt w:val="lowerRoman"/>
      <w:pStyle w:val="seznam3"/>
      <w:lvlText w:val="%3."/>
      <w:lvlJc w:val="right"/>
      <w:pPr>
        <w:ind w:left="2160" w:hanging="180"/>
      </w:pPr>
      <w:rPr>
        <w:b w:val="0"/>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23BFC"/>
    <w:multiLevelType w:val="multilevel"/>
    <w:tmpl w:val="CC36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8D4574"/>
    <w:multiLevelType w:val="hybridMultilevel"/>
    <w:tmpl w:val="58FC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0B16BE5"/>
    <w:multiLevelType w:val="multilevel"/>
    <w:tmpl w:val="6A98A8DC"/>
    <w:lvl w:ilvl="0">
      <w:start w:val="1"/>
      <w:numFmt w:val="decimal"/>
      <w:lvlText w:val="%1"/>
      <w:lvlJc w:val="left"/>
      <w:pPr>
        <w:tabs>
          <w:tab w:val="num" w:pos="432"/>
        </w:tabs>
        <w:ind w:left="432" w:hanging="432"/>
      </w:pPr>
    </w:lvl>
    <w:lvl w:ilvl="1">
      <w:start w:val="1"/>
      <w:numFmt w:val="decimal"/>
      <w:lvlRestart w:val="0"/>
      <w:lvlText w:val="%1.%2"/>
      <w:lvlJc w:val="left"/>
      <w:pPr>
        <w:tabs>
          <w:tab w:val="num" w:pos="718"/>
        </w:tabs>
        <w:ind w:left="718" w:hanging="576"/>
      </w:pPr>
      <w:rPr>
        <w:i w:val="0"/>
        <w:sz w:val="30"/>
        <w:szCs w:val="30"/>
      </w:rPr>
    </w:lvl>
    <w:lvl w:ilvl="2">
      <w:start w:val="1"/>
      <w:numFmt w:val="decimal"/>
      <w:lvlText w:val="%1.%2.%3"/>
      <w:lvlJc w:val="left"/>
      <w:pPr>
        <w:tabs>
          <w:tab w:val="num" w:pos="720"/>
        </w:tabs>
        <w:ind w:left="720" w:hanging="720"/>
      </w:pPr>
    </w:lvl>
    <w:lvl w:ilvl="3">
      <w:start w:val="1"/>
      <w:numFmt w:val="decimal"/>
      <w:lvlText w:val="%1.%2.%3.%4"/>
      <w:lvlJc w:val="left"/>
      <w:pPr>
        <w:tabs>
          <w:tab w:val="num" w:pos="5184"/>
        </w:tabs>
        <w:ind w:left="51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7231D35"/>
    <w:multiLevelType w:val="hybridMultilevel"/>
    <w:tmpl w:val="3FE6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8032811"/>
    <w:multiLevelType w:val="hybridMultilevel"/>
    <w:tmpl w:val="B81C7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4804C5"/>
    <w:multiLevelType w:val="hybridMultilevel"/>
    <w:tmpl w:val="4B9E62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8025B6"/>
    <w:multiLevelType w:val="hybridMultilevel"/>
    <w:tmpl w:val="BF0009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CB06EE"/>
    <w:multiLevelType w:val="hybridMultilevel"/>
    <w:tmpl w:val="2278A7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B85B78"/>
    <w:multiLevelType w:val="hybridMultilevel"/>
    <w:tmpl w:val="9E0471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BB08B5"/>
    <w:multiLevelType w:val="hybridMultilevel"/>
    <w:tmpl w:val="57BE7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EB3F9A"/>
    <w:multiLevelType w:val="hybridMultilevel"/>
    <w:tmpl w:val="56BE5094"/>
    <w:lvl w:ilvl="0" w:tplc="0405000F">
      <w:start w:val="1"/>
      <w:numFmt w:val="decimal"/>
      <w:lvlText w:val="%1."/>
      <w:lvlJc w:val="left"/>
      <w:pPr>
        <w:ind w:left="720" w:hanging="360"/>
      </w:pPr>
    </w:lvl>
    <w:lvl w:ilvl="1" w:tplc="440288E8">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F25805"/>
    <w:multiLevelType w:val="multilevel"/>
    <w:tmpl w:val="F62229F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2915" w:hanging="504"/>
      </w:pPr>
      <w:rPr>
        <w:rFonts w:hint="default"/>
      </w:rPr>
    </w:lvl>
    <w:lvl w:ilvl="3">
      <w:start w:val="1"/>
      <w:numFmt w:val="decimal"/>
      <w:pStyle w:val="Nadpis4"/>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6E7286"/>
    <w:multiLevelType w:val="hybridMultilevel"/>
    <w:tmpl w:val="1464A9D8"/>
    <w:lvl w:ilvl="0" w:tplc="3CC839FE">
      <w:start w:val="1"/>
      <w:numFmt w:val="bullet"/>
      <w:pStyle w:val="Odrky1"/>
      <w:lvlText w:val=""/>
      <w:lvlJc w:val="left"/>
      <w:pPr>
        <w:ind w:left="1440" w:hanging="360"/>
      </w:pPr>
      <w:rPr>
        <w:rFonts w:ascii="Symbol" w:hAnsi="Symbol" w:hint="default"/>
        <w:color w:val="E53138"/>
      </w:rPr>
    </w:lvl>
    <w:lvl w:ilvl="1" w:tplc="3034B978">
      <w:start w:val="1"/>
      <w:numFmt w:val="bullet"/>
      <w:pStyle w:val="Odrky2"/>
      <w:lvlText w:val="­"/>
      <w:lvlJc w:val="left"/>
      <w:pPr>
        <w:ind w:left="2160" w:hanging="360"/>
      </w:pPr>
      <w:rPr>
        <w:rFonts w:ascii="Arial" w:hAnsi="Arial" w:hint="default"/>
        <w:color w:val="E53138"/>
      </w:rPr>
    </w:lvl>
    <w:lvl w:ilvl="2" w:tplc="5EF42110">
      <w:start w:val="1"/>
      <w:numFmt w:val="bullet"/>
      <w:pStyle w:val="Odrky3"/>
      <w:lvlText w:val=""/>
      <w:lvlJc w:val="left"/>
      <w:pPr>
        <w:ind w:left="2880" w:hanging="360"/>
      </w:pPr>
      <w:rPr>
        <w:rFonts w:ascii="Wingdings" w:hAnsi="Wingdings" w:hint="default"/>
        <w:color w:val="E53138"/>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702755D5"/>
    <w:multiLevelType w:val="hybridMultilevel"/>
    <w:tmpl w:val="05EC7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0D029ED"/>
    <w:multiLevelType w:val="hybridMultilevel"/>
    <w:tmpl w:val="1DB03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AD4922"/>
    <w:multiLevelType w:val="hybridMultilevel"/>
    <w:tmpl w:val="E6EC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1"/>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8"/>
  </w:num>
  <w:num w:numId="9">
    <w:abstractNumId w:val="13"/>
  </w:num>
  <w:num w:numId="10">
    <w:abstractNumId w:val="4"/>
  </w:num>
  <w:num w:numId="11">
    <w:abstractNumId w:val="9"/>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16"/>
  </w:num>
  <w:num w:numId="17">
    <w:abstractNumId w:val="2"/>
  </w:num>
  <w:num w:numId="18">
    <w:abstractNumId w:val="23"/>
  </w:num>
  <w:num w:numId="19">
    <w:abstractNumId w:val="14"/>
  </w:num>
  <w:num w:numId="20">
    <w:abstractNumId w:val="1"/>
  </w:num>
  <w:num w:numId="21">
    <w:abstractNumId w:val="17"/>
  </w:num>
  <w:num w:numId="22">
    <w:abstractNumId w:val="12"/>
  </w:num>
  <w:num w:numId="23">
    <w:abstractNumId w:val="15"/>
  </w:num>
  <w:num w:numId="24">
    <w:abstractNumId w:val="24"/>
  </w:num>
  <w:num w:numId="25">
    <w:abstractNumId w:val="20"/>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0A"/>
    <w:rsid w:val="00000B11"/>
    <w:rsid w:val="00001D4C"/>
    <w:rsid w:val="00003F2B"/>
    <w:rsid w:val="00005442"/>
    <w:rsid w:val="00022616"/>
    <w:rsid w:val="00026FAA"/>
    <w:rsid w:val="00027E00"/>
    <w:rsid w:val="00037715"/>
    <w:rsid w:val="00040CDE"/>
    <w:rsid w:val="00042716"/>
    <w:rsid w:val="000427A6"/>
    <w:rsid w:val="000445A3"/>
    <w:rsid w:val="00044AE1"/>
    <w:rsid w:val="00044DC5"/>
    <w:rsid w:val="000451A1"/>
    <w:rsid w:val="00052D14"/>
    <w:rsid w:val="00055950"/>
    <w:rsid w:val="00067477"/>
    <w:rsid w:val="000720A1"/>
    <w:rsid w:val="00072554"/>
    <w:rsid w:val="000739E1"/>
    <w:rsid w:val="000757E7"/>
    <w:rsid w:val="00077B08"/>
    <w:rsid w:val="000833BF"/>
    <w:rsid w:val="00083D1B"/>
    <w:rsid w:val="00091AB3"/>
    <w:rsid w:val="00091EC4"/>
    <w:rsid w:val="000924BF"/>
    <w:rsid w:val="000931C4"/>
    <w:rsid w:val="00094537"/>
    <w:rsid w:val="00094F43"/>
    <w:rsid w:val="00096A9B"/>
    <w:rsid w:val="000A0CE8"/>
    <w:rsid w:val="000A2B3A"/>
    <w:rsid w:val="000A4D5E"/>
    <w:rsid w:val="000A67B1"/>
    <w:rsid w:val="000A6D9B"/>
    <w:rsid w:val="000B332E"/>
    <w:rsid w:val="000B4924"/>
    <w:rsid w:val="000B78E4"/>
    <w:rsid w:val="000C27F4"/>
    <w:rsid w:val="000C359D"/>
    <w:rsid w:val="000C4649"/>
    <w:rsid w:val="000C4C76"/>
    <w:rsid w:val="000D142B"/>
    <w:rsid w:val="000D23C4"/>
    <w:rsid w:val="000D2CA5"/>
    <w:rsid w:val="000D5719"/>
    <w:rsid w:val="000D6989"/>
    <w:rsid w:val="000E0A39"/>
    <w:rsid w:val="000F1D2C"/>
    <w:rsid w:val="000F5820"/>
    <w:rsid w:val="000F7F4D"/>
    <w:rsid w:val="00107063"/>
    <w:rsid w:val="00107B75"/>
    <w:rsid w:val="001112DF"/>
    <w:rsid w:val="001144D7"/>
    <w:rsid w:val="001162BE"/>
    <w:rsid w:val="001166E3"/>
    <w:rsid w:val="0012399A"/>
    <w:rsid w:val="00124411"/>
    <w:rsid w:val="00135EF5"/>
    <w:rsid w:val="0014200C"/>
    <w:rsid w:val="001424DB"/>
    <w:rsid w:val="00144D0E"/>
    <w:rsid w:val="0014584A"/>
    <w:rsid w:val="00147ED9"/>
    <w:rsid w:val="00152968"/>
    <w:rsid w:val="0015466E"/>
    <w:rsid w:val="0015538D"/>
    <w:rsid w:val="0016064F"/>
    <w:rsid w:val="001750E0"/>
    <w:rsid w:val="00175E93"/>
    <w:rsid w:val="001903A1"/>
    <w:rsid w:val="00191499"/>
    <w:rsid w:val="0019150A"/>
    <w:rsid w:val="00193B0D"/>
    <w:rsid w:val="001946DE"/>
    <w:rsid w:val="001978CE"/>
    <w:rsid w:val="001A2028"/>
    <w:rsid w:val="001A44B9"/>
    <w:rsid w:val="001B00AD"/>
    <w:rsid w:val="001B43B0"/>
    <w:rsid w:val="001C4389"/>
    <w:rsid w:val="001D00B4"/>
    <w:rsid w:val="001D5610"/>
    <w:rsid w:val="001D7399"/>
    <w:rsid w:val="001D73E9"/>
    <w:rsid w:val="001E28E3"/>
    <w:rsid w:val="001E35A6"/>
    <w:rsid w:val="001E5613"/>
    <w:rsid w:val="001F49AA"/>
    <w:rsid w:val="001F677A"/>
    <w:rsid w:val="001F7FC5"/>
    <w:rsid w:val="002003D9"/>
    <w:rsid w:val="00206235"/>
    <w:rsid w:val="002102B1"/>
    <w:rsid w:val="00213673"/>
    <w:rsid w:val="00215635"/>
    <w:rsid w:val="00217A24"/>
    <w:rsid w:val="00222088"/>
    <w:rsid w:val="0022391E"/>
    <w:rsid w:val="00224A46"/>
    <w:rsid w:val="00224D9B"/>
    <w:rsid w:val="002254E6"/>
    <w:rsid w:val="00226FA1"/>
    <w:rsid w:val="002303D8"/>
    <w:rsid w:val="002328AB"/>
    <w:rsid w:val="00233514"/>
    <w:rsid w:val="00235816"/>
    <w:rsid w:val="00243164"/>
    <w:rsid w:val="002446BE"/>
    <w:rsid w:val="00246981"/>
    <w:rsid w:val="00250061"/>
    <w:rsid w:val="00250894"/>
    <w:rsid w:val="002566FB"/>
    <w:rsid w:val="00256C56"/>
    <w:rsid w:val="00256DF7"/>
    <w:rsid w:val="00257A84"/>
    <w:rsid w:val="00262892"/>
    <w:rsid w:val="002630DA"/>
    <w:rsid w:val="00264E2D"/>
    <w:rsid w:val="00265093"/>
    <w:rsid w:val="00265916"/>
    <w:rsid w:val="00266D57"/>
    <w:rsid w:val="00266FC0"/>
    <w:rsid w:val="00267B5D"/>
    <w:rsid w:val="00274C1D"/>
    <w:rsid w:val="0027521A"/>
    <w:rsid w:val="00276514"/>
    <w:rsid w:val="0027721A"/>
    <w:rsid w:val="00282CC1"/>
    <w:rsid w:val="00283C95"/>
    <w:rsid w:val="00284904"/>
    <w:rsid w:val="002849B9"/>
    <w:rsid w:val="002850D6"/>
    <w:rsid w:val="002871A1"/>
    <w:rsid w:val="002875DC"/>
    <w:rsid w:val="002876DE"/>
    <w:rsid w:val="00290768"/>
    <w:rsid w:val="0029562A"/>
    <w:rsid w:val="002A0562"/>
    <w:rsid w:val="002A1A3E"/>
    <w:rsid w:val="002A596C"/>
    <w:rsid w:val="002A5FE2"/>
    <w:rsid w:val="002A633F"/>
    <w:rsid w:val="002B1484"/>
    <w:rsid w:val="002B154D"/>
    <w:rsid w:val="002B18C0"/>
    <w:rsid w:val="002B1B66"/>
    <w:rsid w:val="002B71CB"/>
    <w:rsid w:val="002C4494"/>
    <w:rsid w:val="002C59F3"/>
    <w:rsid w:val="002C5E9D"/>
    <w:rsid w:val="002D0AE4"/>
    <w:rsid w:val="002D495D"/>
    <w:rsid w:val="002D6B3A"/>
    <w:rsid w:val="002D7825"/>
    <w:rsid w:val="002E33B2"/>
    <w:rsid w:val="002F2899"/>
    <w:rsid w:val="003002A5"/>
    <w:rsid w:val="00311C58"/>
    <w:rsid w:val="00314F9E"/>
    <w:rsid w:val="00316B37"/>
    <w:rsid w:val="00320FA1"/>
    <w:rsid w:val="003231AE"/>
    <w:rsid w:val="003251B2"/>
    <w:rsid w:val="003270A1"/>
    <w:rsid w:val="003323EF"/>
    <w:rsid w:val="003357B5"/>
    <w:rsid w:val="003415B8"/>
    <w:rsid w:val="003452D8"/>
    <w:rsid w:val="00350D75"/>
    <w:rsid w:val="00352775"/>
    <w:rsid w:val="00354105"/>
    <w:rsid w:val="003554A8"/>
    <w:rsid w:val="00357F73"/>
    <w:rsid w:val="00361261"/>
    <w:rsid w:val="003616A8"/>
    <w:rsid w:val="0036656E"/>
    <w:rsid w:val="00367F51"/>
    <w:rsid w:val="00371964"/>
    <w:rsid w:val="00381FFE"/>
    <w:rsid w:val="00382535"/>
    <w:rsid w:val="003865ED"/>
    <w:rsid w:val="00386B1E"/>
    <w:rsid w:val="0039015F"/>
    <w:rsid w:val="00391737"/>
    <w:rsid w:val="00391C4D"/>
    <w:rsid w:val="00392DA0"/>
    <w:rsid w:val="003A2939"/>
    <w:rsid w:val="003A2BA8"/>
    <w:rsid w:val="003A67C4"/>
    <w:rsid w:val="003B05CC"/>
    <w:rsid w:val="003B0721"/>
    <w:rsid w:val="003B6CCA"/>
    <w:rsid w:val="003C5A2F"/>
    <w:rsid w:val="003D1C8D"/>
    <w:rsid w:val="003D327C"/>
    <w:rsid w:val="003D6047"/>
    <w:rsid w:val="003D7A61"/>
    <w:rsid w:val="003E039A"/>
    <w:rsid w:val="003E0687"/>
    <w:rsid w:val="003E335F"/>
    <w:rsid w:val="003E492B"/>
    <w:rsid w:val="003E62B3"/>
    <w:rsid w:val="003F0919"/>
    <w:rsid w:val="003F0A66"/>
    <w:rsid w:val="003F7B29"/>
    <w:rsid w:val="004018CA"/>
    <w:rsid w:val="00402A2E"/>
    <w:rsid w:val="00402C65"/>
    <w:rsid w:val="00405CF9"/>
    <w:rsid w:val="0040684C"/>
    <w:rsid w:val="00412502"/>
    <w:rsid w:val="00414037"/>
    <w:rsid w:val="00422FC7"/>
    <w:rsid w:val="0042736B"/>
    <w:rsid w:val="004273DC"/>
    <w:rsid w:val="00431194"/>
    <w:rsid w:val="004340A9"/>
    <w:rsid w:val="00435AEE"/>
    <w:rsid w:val="0043607B"/>
    <w:rsid w:val="0044131C"/>
    <w:rsid w:val="00442E3A"/>
    <w:rsid w:val="00444CE4"/>
    <w:rsid w:val="00446AB1"/>
    <w:rsid w:val="00446C8D"/>
    <w:rsid w:val="0045118F"/>
    <w:rsid w:val="00452CCC"/>
    <w:rsid w:val="004579C7"/>
    <w:rsid w:val="00466B11"/>
    <w:rsid w:val="00470114"/>
    <w:rsid w:val="00487016"/>
    <w:rsid w:val="00490C3C"/>
    <w:rsid w:val="00492787"/>
    <w:rsid w:val="0049538F"/>
    <w:rsid w:val="00495735"/>
    <w:rsid w:val="00496017"/>
    <w:rsid w:val="004971F9"/>
    <w:rsid w:val="004A05EE"/>
    <w:rsid w:val="004A32D4"/>
    <w:rsid w:val="004A4E14"/>
    <w:rsid w:val="004A78C8"/>
    <w:rsid w:val="004B30B5"/>
    <w:rsid w:val="004B4D46"/>
    <w:rsid w:val="004B5B4A"/>
    <w:rsid w:val="004C029A"/>
    <w:rsid w:val="004C731B"/>
    <w:rsid w:val="004C75F7"/>
    <w:rsid w:val="004C784C"/>
    <w:rsid w:val="004D25F4"/>
    <w:rsid w:val="004D3952"/>
    <w:rsid w:val="004D55C0"/>
    <w:rsid w:val="004D6A3B"/>
    <w:rsid w:val="004D7665"/>
    <w:rsid w:val="004E11CC"/>
    <w:rsid w:val="004E1EBE"/>
    <w:rsid w:val="004E3064"/>
    <w:rsid w:val="004F0F29"/>
    <w:rsid w:val="004F146A"/>
    <w:rsid w:val="004F1FDC"/>
    <w:rsid w:val="004F2C2F"/>
    <w:rsid w:val="00500453"/>
    <w:rsid w:val="00502E30"/>
    <w:rsid w:val="00503834"/>
    <w:rsid w:val="00506E79"/>
    <w:rsid w:val="00510054"/>
    <w:rsid w:val="00510FA7"/>
    <w:rsid w:val="005112BF"/>
    <w:rsid w:val="00512824"/>
    <w:rsid w:val="005129BE"/>
    <w:rsid w:val="00515EC5"/>
    <w:rsid w:val="00521706"/>
    <w:rsid w:val="00525D1B"/>
    <w:rsid w:val="005270C3"/>
    <w:rsid w:val="00531733"/>
    <w:rsid w:val="005319E2"/>
    <w:rsid w:val="005353A3"/>
    <w:rsid w:val="0053564F"/>
    <w:rsid w:val="00541B9F"/>
    <w:rsid w:val="005441B6"/>
    <w:rsid w:val="005442BC"/>
    <w:rsid w:val="0055378E"/>
    <w:rsid w:val="0056151E"/>
    <w:rsid w:val="005703DD"/>
    <w:rsid w:val="0057360D"/>
    <w:rsid w:val="0057637B"/>
    <w:rsid w:val="00577E28"/>
    <w:rsid w:val="00577E65"/>
    <w:rsid w:val="00582958"/>
    <w:rsid w:val="00585AE8"/>
    <w:rsid w:val="005900E9"/>
    <w:rsid w:val="00593BC6"/>
    <w:rsid w:val="005A1BEA"/>
    <w:rsid w:val="005A5FA8"/>
    <w:rsid w:val="005A673B"/>
    <w:rsid w:val="005A6E39"/>
    <w:rsid w:val="005A6EC1"/>
    <w:rsid w:val="005A7667"/>
    <w:rsid w:val="005A7E97"/>
    <w:rsid w:val="005B4646"/>
    <w:rsid w:val="005B7039"/>
    <w:rsid w:val="005C4081"/>
    <w:rsid w:val="005C707D"/>
    <w:rsid w:val="005D3B61"/>
    <w:rsid w:val="005D414E"/>
    <w:rsid w:val="005D42F3"/>
    <w:rsid w:val="005E17FD"/>
    <w:rsid w:val="005E3B24"/>
    <w:rsid w:val="005E7DB7"/>
    <w:rsid w:val="005F20D8"/>
    <w:rsid w:val="005F24AB"/>
    <w:rsid w:val="005F73A2"/>
    <w:rsid w:val="00604704"/>
    <w:rsid w:val="00605607"/>
    <w:rsid w:val="00606CCA"/>
    <w:rsid w:val="00613F80"/>
    <w:rsid w:val="00615A8E"/>
    <w:rsid w:val="00621339"/>
    <w:rsid w:val="00625DAC"/>
    <w:rsid w:val="00626F42"/>
    <w:rsid w:val="0062792D"/>
    <w:rsid w:val="0063098C"/>
    <w:rsid w:val="00630D4B"/>
    <w:rsid w:val="00631D07"/>
    <w:rsid w:val="00632FD7"/>
    <w:rsid w:val="00635547"/>
    <w:rsid w:val="00640218"/>
    <w:rsid w:val="00642396"/>
    <w:rsid w:val="00643E5E"/>
    <w:rsid w:val="006460DA"/>
    <w:rsid w:val="0066214D"/>
    <w:rsid w:val="006634FB"/>
    <w:rsid w:val="006743AE"/>
    <w:rsid w:val="00674520"/>
    <w:rsid w:val="00676EE4"/>
    <w:rsid w:val="00683BC0"/>
    <w:rsid w:val="0068472C"/>
    <w:rsid w:val="00687856"/>
    <w:rsid w:val="00690A39"/>
    <w:rsid w:val="0069382C"/>
    <w:rsid w:val="00693B54"/>
    <w:rsid w:val="00693BCD"/>
    <w:rsid w:val="00695D1B"/>
    <w:rsid w:val="00696650"/>
    <w:rsid w:val="00696695"/>
    <w:rsid w:val="006A1C10"/>
    <w:rsid w:val="006A254A"/>
    <w:rsid w:val="006B2CF5"/>
    <w:rsid w:val="006B2E16"/>
    <w:rsid w:val="006B3E9A"/>
    <w:rsid w:val="006B4CF0"/>
    <w:rsid w:val="006B5F01"/>
    <w:rsid w:val="006B6FB0"/>
    <w:rsid w:val="006C3340"/>
    <w:rsid w:val="006C3AC9"/>
    <w:rsid w:val="006C3EDB"/>
    <w:rsid w:val="006C56E5"/>
    <w:rsid w:val="006C58D5"/>
    <w:rsid w:val="006D1CEC"/>
    <w:rsid w:val="006D20E4"/>
    <w:rsid w:val="006D3E96"/>
    <w:rsid w:val="006D3EFF"/>
    <w:rsid w:val="006D4EBB"/>
    <w:rsid w:val="006E0708"/>
    <w:rsid w:val="006E077A"/>
    <w:rsid w:val="006E1A73"/>
    <w:rsid w:val="006E3956"/>
    <w:rsid w:val="006E4868"/>
    <w:rsid w:val="006E549B"/>
    <w:rsid w:val="006E5A94"/>
    <w:rsid w:val="006F1272"/>
    <w:rsid w:val="006F267B"/>
    <w:rsid w:val="00710347"/>
    <w:rsid w:val="0071066E"/>
    <w:rsid w:val="007124D6"/>
    <w:rsid w:val="00716DD5"/>
    <w:rsid w:val="007409AF"/>
    <w:rsid w:val="00752626"/>
    <w:rsid w:val="00754B12"/>
    <w:rsid w:val="007564B0"/>
    <w:rsid w:val="007610BC"/>
    <w:rsid w:val="00765FEE"/>
    <w:rsid w:val="00766335"/>
    <w:rsid w:val="0076643F"/>
    <w:rsid w:val="007676E7"/>
    <w:rsid w:val="007678C1"/>
    <w:rsid w:val="007679AE"/>
    <w:rsid w:val="00767D8A"/>
    <w:rsid w:val="0077164F"/>
    <w:rsid w:val="0077204B"/>
    <w:rsid w:val="007808AE"/>
    <w:rsid w:val="007817E4"/>
    <w:rsid w:val="00783E9C"/>
    <w:rsid w:val="00785C3C"/>
    <w:rsid w:val="00790B6D"/>
    <w:rsid w:val="00791295"/>
    <w:rsid w:val="0079178A"/>
    <w:rsid w:val="00795872"/>
    <w:rsid w:val="007971DF"/>
    <w:rsid w:val="007A0565"/>
    <w:rsid w:val="007A6397"/>
    <w:rsid w:val="007A6B6C"/>
    <w:rsid w:val="007A7C9A"/>
    <w:rsid w:val="007B2724"/>
    <w:rsid w:val="007B4C2B"/>
    <w:rsid w:val="007B632D"/>
    <w:rsid w:val="007B776B"/>
    <w:rsid w:val="007C27F1"/>
    <w:rsid w:val="007C6ACC"/>
    <w:rsid w:val="007C7BCC"/>
    <w:rsid w:val="007D193B"/>
    <w:rsid w:val="007D3114"/>
    <w:rsid w:val="007D422A"/>
    <w:rsid w:val="007D7277"/>
    <w:rsid w:val="007E0522"/>
    <w:rsid w:val="007E10E0"/>
    <w:rsid w:val="007E42AD"/>
    <w:rsid w:val="007E4D30"/>
    <w:rsid w:val="007E5016"/>
    <w:rsid w:val="007E7334"/>
    <w:rsid w:val="007F1B61"/>
    <w:rsid w:val="007F6164"/>
    <w:rsid w:val="007F78FE"/>
    <w:rsid w:val="00801865"/>
    <w:rsid w:val="0080238B"/>
    <w:rsid w:val="008027F2"/>
    <w:rsid w:val="00814661"/>
    <w:rsid w:val="00820766"/>
    <w:rsid w:val="008264A3"/>
    <w:rsid w:val="00830E90"/>
    <w:rsid w:val="0083391F"/>
    <w:rsid w:val="00834009"/>
    <w:rsid w:val="008363D5"/>
    <w:rsid w:val="008527FD"/>
    <w:rsid w:val="0085442F"/>
    <w:rsid w:val="00857AD9"/>
    <w:rsid w:val="00860C46"/>
    <w:rsid w:val="0086166E"/>
    <w:rsid w:val="0086181D"/>
    <w:rsid w:val="0086426E"/>
    <w:rsid w:val="00866C54"/>
    <w:rsid w:val="008733F0"/>
    <w:rsid w:val="0088049A"/>
    <w:rsid w:val="00880CD7"/>
    <w:rsid w:val="00881346"/>
    <w:rsid w:val="00882740"/>
    <w:rsid w:val="008828DB"/>
    <w:rsid w:val="00883867"/>
    <w:rsid w:val="00887085"/>
    <w:rsid w:val="00887DD5"/>
    <w:rsid w:val="00891D49"/>
    <w:rsid w:val="008953F8"/>
    <w:rsid w:val="0089580F"/>
    <w:rsid w:val="008A0297"/>
    <w:rsid w:val="008A27A8"/>
    <w:rsid w:val="008A3262"/>
    <w:rsid w:val="008A51BF"/>
    <w:rsid w:val="008A72E8"/>
    <w:rsid w:val="008B0BF3"/>
    <w:rsid w:val="008B1459"/>
    <w:rsid w:val="008B4241"/>
    <w:rsid w:val="008B44F3"/>
    <w:rsid w:val="008B468F"/>
    <w:rsid w:val="008C0FDA"/>
    <w:rsid w:val="008C2FC5"/>
    <w:rsid w:val="008C499A"/>
    <w:rsid w:val="008C5BA7"/>
    <w:rsid w:val="008C633A"/>
    <w:rsid w:val="008C6A33"/>
    <w:rsid w:val="008D1ED9"/>
    <w:rsid w:val="008D4745"/>
    <w:rsid w:val="008D5737"/>
    <w:rsid w:val="008E216A"/>
    <w:rsid w:val="008E3C76"/>
    <w:rsid w:val="008E582C"/>
    <w:rsid w:val="008F22BD"/>
    <w:rsid w:val="009017B7"/>
    <w:rsid w:val="0090205A"/>
    <w:rsid w:val="0091153B"/>
    <w:rsid w:val="00913AD5"/>
    <w:rsid w:val="00915BF3"/>
    <w:rsid w:val="00917CE5"/>
    <w:rsid w:val="00923E19"/>
    <w:rsid w:val="00925CD6"/>
    <w:rsid w:val="009303A5"/>
    <w:rsid w:val="009325C9"/>
    <w:rsid w:val="00932B28"/>
    <w:rsid w:val="0093529F"/>
    <w:rsid w:val="00940591"/>
    <w:rsid w:val="00942D9B"/>
    <w:rsid w:val="00951E4B"/>
    <w:rsid w:val="0095375C"/>
    <w:rsid w:val="00955D1B"/>
    <w:rsid w:val="00963768"/>
    <w:rsid w:val="00965AA9"/>
    <w:rsid w:val="009662EA"/>
    <w:rsid w:val="00967A4B"/>
    <w:rsid w:val="009709E2"/>
    <w:rsid w:val="009A1D2B"/>
    <w:rsid w:val="009A3C02"/>
    <w:rsid w:val="009A4350"/>
    <w:rsid w:val="009A4821"/>
    <w:rsid w:val="009A4AC1"/>
    <w:rsid w:val="009A4EFA"/>
    <w:rsid w:val="009B03FA"/>
    <w:rsid w:val="009B0EE8"/>
    <w:rsid w:val="009B10AB"/>
    <w:rsid w:val="009B1AEF"/>
    <w:rsid w:val="009B3CA4"/>
    <w:rsid w:val="009C0336"/>
    <w:rsid w:val="009C0778"/>
    <w:rsid w:val="009C0BE4"/>
    <w:rsid w:val="009C1FB3"/>
    <w:rsid w:val="009C43F3"/>
    <w:rsid w:val="009C4D3B"/>
    <w:rsid w:val="009D4047"/>
    <w:rsid w:val="009D5793"/>
    <w:rsid w:val="009D5DFC"/>
    <w:rsid w:val="009E0144"/>
    <w:rsid w:val="009E0170"/>
    <w:rsid w:val="009E0CE7"/>
    <w:rsid w:val="009E2D69"/>
    <w:rsid w:val="009E33EE"/>
    <w:rsid w:val="009E40E0"/>
    <w:rsid w:val="009E4A52"/>
    <w:rsid w:val="009E7AFC"/>
    <w:rsid w:val="009F4C95"/>
    <w:rsid w:val="00A01140"/>
    <w:rsid w:val="00A049C8"/>
    <w:rsid w:val="00A06144"/>
    <w:rsid w:val="00A17E12"/>
    <w:rsid w:val="00A229B2"/>
    <w:rsid w:val="00A22EBC"/>
    <w:rsid w:val="00A24FF7"/>
    <w:rsid w:val="00A251A3"/>
    <w:rsid w:val="00A2579F"/>
    <w:rsid w:val="00A2686F"/>
    <w:rsid w:val="00A27DE9"/>
    <w:rsid w:val="00A304CE"/>
    <w:rsid w:val="00A36957"/>
    <w:rsid w:val="00A40B6A"/>
    <w:rsid w:val="00A41EC0"/>
    <w:rsid w:val="00A441B3"/>
    <w:rsid w:val="00A4579B"/>
    <w:rsid w:val="00A45B46"/>
    <w:rsid w:val="00A45FBD"/>
    <w:rsid w:val="00A57AD5"/>
    <w:rsid w:val="00A6338B"/>
    <w:rsid w:val="00A65A5E"/>
    <w:rsid w:val="00A7066E"/>
    <w:rsid w:val="00A736B2"/>
    <w:rsid w:val="00A74474"/>
    <w:rsid w:val="00A7534D"/>
    <w:rsid w:val="00A82506"/>
    <w:rsid w:val="00A8527B"/>
    <w:rsid w:val="00A854C8"/>
    <w:rsid w:val="00AA7CA9"/>
    <w:rsid w:val="00AA7E02"/>
    <w:rsid w:val="00AB2301"/>
    <w:rsid w:val="00AB71DC"/>
    <w:rsid w:val="00AC10DC"/>
    <w:rsid w:val="00AC1E55"/>
    <w:rsid w:val="00AC4F10"/>
    <w:rsid w:val="00AC64C9"/>
    <w:rsid w:val="00AC70EB"/>
    <w:rsid w:val="00AD1ABC"/>
    <w:rsid w:val="00AE1959"/>
    <w:rsid w:val="00AE30F1"/>
    <w:rsid w:val="00AF1576"/>
    <w:rsid w:val="00AF1BB4"/>
    <w:rsid w:val="00AF5C79"/>
    <w:rsid w:val="00B01F30"/>
    <w:rsid w:val="00B038C6"/>
    <w:rsid w:val="00B07831"/>
    <w:rsid w:val="00B12E61"/>
    <w:rsid w:val="00B20503"/>
    <w:rsid w:val="00B22AF2"/>
    <w:rsid w:val="00B250D1"/>
    <w:rsid w:val="00B26FFE"/>
    <w:rsid w:val="00B27098"/>
    <w:rsid w:val="00B2793A"/>
    <w:rsid w:val="00B3101D"/>
    <w:rsid w:val="00B33D35"/>
    <w:rsid w:val="00B433A7"/>
    <w:rsid w:val="00B43FD7"/>
    <w:rsid w:val="00B4616F"/>
    <w:rsid w:val="00B46F9D"/>
    <w:rsid w:val="00B52A42"/>
    <w:rsid w:val="00B53CC4"/>
    <w:rsid w:val="00B55355"/>
    <w:rsid w:val="00B5573D"/>
    <w:rsid w:val="00B56702"/>
    <w:rsid w:val="00B6601F"/>
    <w:rsid w:val="00B70FD2"/>
    <w:rsid w:val="00B7620C"/>
    <w:rsid w:val="00B808BB"/>
    <w:rsid w:val="00B81B8A"/>
    <w:rsid w:val="00B860A1"/>
    <w:rsid w:val="00B878E4"/>
    <w:rsid w:val="00B90B55"/>
    <w:rsid w:val="00B96A48"/>
    <w:rsid w:val="00BA03A6"/>
    <w:rsid w:val="00BA2200"/>
    <w:rsid w:val="00BA2C63"/>
    <w:rsid w:val="00BA32F1"/>
    <w:rsid w:val="00BB087C"/>
    <w:rsid w:val="00BB4B76"/>
    <w:rsid w:val="00BB51A5"/>
    <w:rsid w:val="00BD3D44"/>
    <w:rsid w:val="00BD52BE"/>
    <w:rsid w:val="00BE230D"/>
    <w:rsid w:val="00BE7FCC"/>
    <w:rsid w:val="00BF0203"/>
    <w:rsid w:val="00BF1309"/>
    <w:rsid w:val="00BF2326"/>
    <w:rsid w:val="00C008E6"/>
    <w:rsid w:val="00C01C08"/>
    <w:rsid w:val="00C048AD"/>
    <w:rsid w:val="00C06B29"/>
    <w:rsid w:val="00C13018"/>
    <w:rsid w:val="00C149E6"/>
    <w:rsid w:val="00C170EA"/>
    <w:rsid w:val="00C273C1"/>
    <w:rsid w:val="00C27C78"/>
    <w:rsid w:val="00C50923"/>
    <w:rsid w:val="00C52F5A"/>
    <w:rsid w:val="00C53D6E"/>
    <w:rsid w:val="00C54713"/>
    <w:rsid w:val="00C562FF"/>
    <w:rsid w:val="00C56C6E"/>
    <w:rsid w:val="00C62A48"/>
    <w:rsid w:val="00C664CD"/>
    <w:rsid w:val="00C73BEE"/>
    <w:rsid w:val="00C83782"/>
    <w:rsid w:val="00C846D3"/>
    <w:rsid w:val="00C925E8"/>
    <w:rsid w:val="00C95992"/>
    <w:rsid w:val="00C97764"/>
    <w:rsid w:val="00C97E39"/>
    <w:rsid w:val="00CA104E"/>
    <w:rsid w:val="00CA19F5"/>
    <w:rsid w:val="00CA2F1F"/>
    <w:rsid w:val="00CB0028"/>
    <w:rsid w:val="00CB0B76"/>
    <w:rsid w:val="00CB0DA4"/>
    <w:rsid w:val="00CB1FE1"/>
    <w:rsid w:val="00CB2388"/>
    <w:rsid w:val="00CB4A4D"/>
    <w:rsid w:val="00CC1629"/>
    <w:rsid w:val="00CC3056"/>
    <w:rsid w:val="00CC345C"/>
    <w:rsid w:val="00CC3E30"/>
    <w:rsid w:val="00CC7393"/>
    <w:rsid w:val="00CD0654"/>
    <w:rsid w:val="00CD303C"/>
    <w:rsid w:val="00CD44F5"/>
    <w:rsid w:val="00CD54B8"/>
    <w:rsid w:val="00CE4D67"/>
    <w:rsid w:val="00CF02EA"/>
    <w:rsid w:val="00CF190F"/>
    <w:rsid w:val="00CF293B"/>
    <w:rsid w:val="00CF357E"/>
    <w:rsid w:val="00CF4D7F"/>
    <w:rsid w:val="00D065D1"/>
    <w:rsid w:val="00D06A3E"/>
    <w:rsid w:val="00D106DF"/>
    <w:rsid w:val="00D115E5"/>
    <w:rsid w:val="00D11966"/>
    <w:rsid w:val="00D24E54"/>
    <w:rsid w:val="00D2777F"/>
    <w:rsid w:val="00D33F4E"/>
    <w:rsid w:val="00D34CF7"/>
    <w:rsid w:val="00D367CF"/>
    <w:rsid w:val="00D473AD"/>
    <w:rsid w:val="00D56F0F"/>
    <w:rsid w:val="00D611B9"/>
    <w:rsid w:val="00D62E0F"/>
    <w:rsid w:val="00D636DC"/>
    <w:rsid w:val="00D6427A"/>
    <w:rsid w:val="00D66285"/>
    <w:rsid w:val="00D67BF4"/>
    <w:rsid w:val="00D72A14"/>
    <w:rsid w:val="00D77833"/>
    <w:rsid w:val="00D84E11"/>
    <w:rsid w:val="00D86185"/>
    <w:rsid w:val="00D90639"/>
    <w:rsid w:val="00D9764F"/>
    <w:rsid w:val="00DA0036"/>
    <w:rsid w:val="00DA01BD"/>
    <w:rsid w:val="00DC2E7D"/>
    <w:rsid w:val="00DC53C6"/>
    <w:rsid w:val="00DC74EA"/>
    <w:rsid w:val="00DD1F17"/>
    <w:rsid w:val="00DD23ED"/>
    <w:rsid w:val="00DD3853"/>
    <w:rsid w:val="00DD4760"/>
    <w:rsid w:val="00DE089E"/>
    <w:rsid w:val="00DE0B7E"/>
    <w:rsid w:val="00DE2561"/>
    <w:rsid w:val="00DE3D4C"/>
    <w:rsid w:val="00DE5D28"/>
    <w:rsid w:val="00DE6B5A"/>
    <w:rsid w:val="00DF0DFF"/>
    <w:rsid w:val="00DF6736"/>
    <w:rsid w:val="00E023A3"/>
    <w:rsid w:val="00E025F5"/>
    <w:rsid w:val="00E105FB"/>
    <w:rsid w:val="00E11D4F"/>
    <w:rsid w:val="00E17435"/>
    <w:rsid w:val="00E17634"/>
    <w:rsid w:val="00E17D4E"/>
    <w:rsid w:val="00E21EF6"/>
    <w:rsid w:val="00E234CD"/>
    <w:rsid w:val="00E25EF4"/>
    <w:rsid w:val="00E26D20"/>
    <w:rsid w:val="00E30A46"/>
    <w:rsid w:val="00E30E2A"/>
    <w:rsid w:val="00E35281"/>
    <w:rsid w:val="00E44811"/>
    <w:rsid w:val="00E44B87"/>
    <w:rsid w:val="00E4632B"/>
    <w:rsid w:val="00E46F46"/>
    <w:rsid w:val="00E519A9"/>
    <w:rsid w:val="00E5458D"/>
    <w:rsid w:val="00E552BB"/>
    <w:rsid w:val="00E614E1"/>
    <w:rsid w:val="00E63BAE"/>
    <w:rsid w:val="00E66D80"/>
    <w:rsid w:val="00E67203"/>
    <w:rsid w:val="00E7099F"/>
    <w:rsid w:val="00E70A53"/>
    <w:rsid w:val="00E70BF2"/>
    <w:rsid w:val="00E7690D"/>
    <w:rsid w:val="00E9111E"/>
    <w:rsid w:val="00E92B0A"/>
    <w:rsid w:val="00EA1467"/>
    <w:rsid w:val="00EA2770"/>
    <w:rsid w:val="00EA3C42"/>
    <w:rsid w:val="00EA4A99"/>
    <w:rsid w:val="00EB5ACB"/>
    <w:rsid w:val="00EB5F40"/>
    <w:rsid w:val="00EB5FFA"/>
    <w:rsid w:val="00EB6B01"/>
    <w:rsid w:val="00EB7DBE"/>
    <w:rsid w:val="00EC09E2"/>
    <w:rsid w:val="00EC5CED"/>
    <w:rsid w:val="00EC60AF"/>
    <w:rsid w:val="00ED7CB1"/>
    <w:rsid w:val="00EE049F"/>
    <w:rsid w:val="00EE42F4"/>
    <w:rsid w:val="00EE5833"/>
    <w:rsid w:val="00EE68AB"/>
    <w:rsid w:val="00EE7181"/>
    <w:rsid w:val="00EF4486"/>
    <w:rsid w:val="00EF4D56"/>
    <w:rsid w:val="00EF51BD"/>
    <w:rsid w:val="00EF7A11"/>
    <w:rsid w:val="00F120DC"/>
    <w:rsid w:val="00F131CD"/>
    <w:rsid w:val="00F1466B"/>
    <w:rsid w:val="00F2028B"/>
    <w:rsid w:val="00F2081F"/>
    <w:rsid w:val="00F21F0B"/>
    <w:rsid w:val="00F22C23"/>
    <w:rsid w:val="00F2363A"/>
    <w:rsid w:val="00F25E85"/>
    <w:rsid w:val="00F26681"/>
    <w:rsid w:val="00F33A60"/>
    <w:rsid w:val="00F41C30"/>
    <w:rsid w:val="00F44B78"/>
    <w:rsid w:val="00F473AF"/>
    <w:rsid w:val="00F47A9A"/>
    <w:rsid w:val="00F50661"/>
    <w:rsid w:val="00F53548"/>
    <w:rsid w:val="00F55011"/>
    <w:rsid w:val="00F65617"/>
    <w:rsid w:val="00F65F3B"/>
    <w:rsid w:val="00F75D3E"/>
    <w:rsid w:val="00F770F8"/>
    <w:rsid w:val="00F82632"/>
    <w:rsid w:val="00F84553"/>
    <w:rsid w:val="00F859F2"/>
    <w:rsid w:val="00F85FC4"/>
    <w:rsid w:val="00F93D22"/>
    <w:rsid w:val="00F95B60"/>
    <w:rsid w:val="00F95D7C"/>
    <w:rsid w:val="00F95E9B"/>
    <w:rsid w:val="00FA2B7C"/>
    <w:rsid w:val="00FA4D0A"/>
    <w:rsid w:val="00FA4E11"/>
    <w:rsid w:val="00FA79A0"/>
    <w:rsid w:val="00FB5932"/>
    <w:rsid w:val="00FB7545"/>
    <w:rsid w:val="00FC06AC"/>
    <w:rsid w:val="00FC3BBD"/>
    <w:rsid w:val="00FD2AD8"/>
    <w:rsid w:val="00FD6DE0"/>
    <w:rsid w:val="00FE15E4"/>
    <w:rsid w:val="00FE4A5E"/>
    <w:rsid w:val="00FF3A2E"/>
    <w:rsid w:val="00FF5127"/>
    <w:rsid w:val="00FF5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pPr>
        <w:spacing w:before="240" w:after="60"/>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ln">
    <w:name w:val="Normal"/>
    <w:qFormat/>
    <w:rsid w:val="00DF6736"/>
    <w:pPr>
      <w:spacing w:before="120"/>
      <w:ind w:left="0" w:firstLine="0"/>
      <w:jc w:val="both"/>
    </w:pPr>
    <w:rPr>
      <w:rFonts w:ascii="Arial" w:hAnsi="Arial"/>
      <w:sz w:val="24"/>
      <w:szCs w:val="24"/>
      <w:lang w:eastAsia="en-US" w:bidi="en-US"/>
    </w:rPr>
  </w:style>
  <w:style w:type="paragraph" w:styleId="Nadpis1">
    <w:name w:val="heading 1"/>
    <w:basedOn w:val="Normln"/>
    <w:next w:val="Normln"/>
    <w:link w:val="Nadpis1Char"/>
    <w:uiPriority w:val="9"/>
    <w:qFormat/>
    <w:rsid w:val="00820766"/>
    <w:pPr>
      <w:keepNext/>
      <w:numPr>
        <w:numId w:val="1"/>
      </w:numPr>
      <w:spacing w:before="300" w:after="600"/>
      <w:outlineLvl w:val="0"/>
    </w:pPr>
    <w:rPr>
      <w:b/>
      <w:bCs/>
      <w:color w:val="E53138"/>
      <w:kern w:val="32"/>
      <w:sz w:val="32"/>
      <w:szCs w:val="32"/>
      <w:lang w:eastAsia="cs-CZ"/>
    </w:rPr>
  </w:style>
  <w:style w:type="paragraph" w:styleId="Nadpis2">
    <w:name w:val="heading 2"/>
    <w:basedOn w:val="Nadpis1"/>
    <w:next w:val="Normln"/>
    <w:link w:val="Nadpis2Char"/>
    <w:uiPriority w:val="9"/>
    <w:qFormat/>
    <w:rsid w:val="00D11966"/>
    <w:pPr>
      <w:numPr>
        <w:ilvl w:val="1"/>
      </w:numPr>
      <w:spacing w:after="360"/>
      <w:ind w:left="567" w:hanging="567"/>
      <w:outlineLvl w:val="1"/>
    </w:pPr>
    <w:rPr>
      <w:bCs w:val="0"/>
      <w:iCs/>
      <w:color w:val="auto"/>
      <w:sz w:val="24"/>
      <w:szCs w:val="28"/>
    </w:rPr>
  </w:style>
  <w:style w:type="paragraph" w:styleId="Nadpis3">
    <w:name w:val="heading 3"/>
    <w:basedOn w:val="Nadpis2"/>
    <w:next w:val="Normln"/>
    <w:link w:val="Nadpis3Char"/>
    <w:uiPriority w:val="9"/>
    <w:qFormat/>
    <w:rsid w:val="00274C1D"/>
    <w:pPr>
      <w:numPr>
        <w:ilvl w:val="2"/>
      </w:numPr>
      <w:outlineLvl w:val="2"/>
    </w:pPr>
    <w:rPr>
      <w:bCs/>
      <w:sz w:val="28"/>
      <w:szCs w:val="26"/>
    </w:rPr>
  </w:style>
  <w:style w:type="paragraph" w:styleId="Nadpis4">
    <w:name w:val="heading 4"/>
    <w:basedOn w:val="Nadpis3"/>
    <w:next w:val="Normln"/>
    <w:link w:val="Nadpis4Char"/>
    <w:uiPriority w:val="9"/>
    <w:qFormat/>
    <w:rsid w:val="00274C1D"/>
    <w:pPr>
      <w:numPr>
        <w:ilvl w:val="3"/>
      </w:numPr>
      <w:ind w:left="1728"/>
      <w:outlineLvl w:val="3"/>
    </w:pPr>
    <w:rPr>
      <w:b w:val="0"/>
    </w:rPr>
  </w:style>
  <w:style w:type="paragraph" w:styleId="Nadpis5">
    <w:name w:val="heading 5"/>
    <w:basedOn w:val="Nadpis4"/>
    <w:next w:val="Normln"/>
    <w:link w:val="Nadpis5Char"/>
    <w:uiPriority w:val="9"/>
    <w:qFormat/>
    <w:rsid w:val="00274C1D"/>
    <w:pPr>
      <w:outlineLvl w:val="4"/>
    </w:pPr>
    <w:rPr>
      <w:bCs w:val="0"/>
      <w:iCs w:val="0"/>
      <w:sz w:val="24"/>
    </w:rPr>
  </w:style>
  <w:style w:type="paragraph" w:styleId="Nadpis6">
    <w:name w:val="heading 6"/>
    <w:basedOn w:val="Normln"/>
    <w:next w:val="Normln"/>
    <w:link w:val="Nadpis6Char"/>
    <w:uiPriority w:val="9"/>
    <w:rsid w:val="009D5DFC"/>
    <w:pPr>
      <w:outlineLvl w:val="5"/>
    </w:pPr>
    <w:rPr>
      <w:rFonts w:ascii="Calibri" w:hAnsi="Calibri"/>
      <w:b/>
      <w:bCs/>
      <w:sz w:val="22"/>
      <w:szCs w:val="22"/>
    </w:rPr>
  </w:style>
  <w:style w:type="paragraph" w:styleId="Nadpis7">
    <w:name w:val="heading 7"/>
    <w:basedOn w:val="Normln"/>
    <w:next w:val="Normln"/>
    <w:link w:val="Nadpis7Char"/>
    <w:uiPriority w:val="9"/>
    <w:rsid w:val="009D5DFC"/>
    <w:pPr>
      <w:outlineLvl w:val="6"/>
    </w:pPr>
    <w:rPr>
      <w:rFonts w:ascii="Calibri" w:hAnsi="Calibri"/>
    </w:rPr>
  </w:style>
  <w:style w:type="paragraph" w:styleId="Nadpis8">
    <w:name w:val="heading 8"/>
    <w:basedOn w:val="Normln"/>
    <w:next w:val="Normln"/>
    <w:link w:val="Nadpis8Char"/>
    <w:uiPriority w:val="9"/>
    <w:rsid w:val="009D5DFC"/>
    <w:pPr>
      <w:outlineLvl w:val="7"/>
    </w:pPr>
    <w:rPr>
      <w:rFonts w:ascii="Calibri" w:hAnsi="Calibri"/>
      <w:i/>
      <w:iCs/>
    </w:rPr>
  </w:style>
  <w:style w:type="paragraph" w:styleId="Nadpis9">
    <w:name w:val="heading 9"/>
    <w:basedOn w:val="Normln"/>
    <w:next w:val="Normln"/>
    <w:link w:val="Nadpis9Char"/>
    <w:uiPriority w:val="9"/>
    <w:rsid w:val="009D5DFC"/>
    <w:pPr>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0766"/>
    <w:rPr>
      <w:rFonts w:ascii="Arial" w:hAnsi="Arial"/>
      <w:b/>
      <w:bCs/>
      <w:color w:val="E53138"/>
      <w:kern w:val="32"/>
      <w:sz w:val="32"/>
      <w:szCs w:val="32"/>
      <w:lang w:bidi="en-US"/>
    </w:rPr>
  </w:style>
  <w:style w:type="character" w:customStyle="1" w:styleId="Nadpis2Char">
    <w:name w:val="Nadpis 2 Char"/>
    <w:basedOn w:val="Standardnpsmoodstavce"/>
    <w:link w:val="Nadpis2"/>
    <w:uiPriority w:val="9"/>
    <w:rsid w:val="00D11966"/>
    <w:rPr>
      <w:rFonts w:ascii="Arial" w:hAnsi="Arial"/>
      <w:b/>
      <w:iCs/>
      <w:kern w:val="32"/>
      <w:sz w:val="24"/>
      <w:szCs w:val="28"/>
      <w:lang w:bidi="en-US"/>
    </w:rPr>
  </w:style>
  <w:style w:type="character" w:customStyle="1" w:styleId="Nadpis3Char">
    <w:name w:val="Nadpis 3 Char"/>
    <w:basedOn w:val="Standardnpsmoodstavce"/>
    <w:link w:val="Nadpis3"/>
    <w:uiPriority w:val="9"/>
    <w:rsid w:val="00274C1D"/>
    <w:rPr>
      <w:rFonts w:ascii="Arial" w:hAnsi="Arial"/>
      <w:b/>
      <w:bCs/>
      <w:iCs/>
      <w:kern w:val="32"/>
      <w:sz w:val="28"/>
      <w:szCs w:val="26"/>
      <w:lang w:eastAsia="en-US" w:bidi="en-US"/>
    </w:rPr>
  </w:style>
  <w:style w:type="character" w:customStyle="1" w:styleId="Nadpis4Char">
    <w:name w:val="Nadpis 4 Char"/>
    <w:basedOn w:val="Standardnpsmoodstavce"/>
    <w:link w:val="Nadpis4"/>
    <w:uiPriority w:val="9"/>
    <w:rsid w:val="00274C1D"/>
    <w:rPr>
      <w:rFonts w:ascii="Arial" w:hAnsi="Arial"/>
      <w:bCs/>
      <w:iCs/>
      <w:kern w:val="32"/>
      <w:sz w:val="28"/>
      <w:szCs w:val="26"/>
      <w:lang w:eastAsia="en-US" w:bidi="en-US"/>
    </w:rPr>
  </w:style>
  <w:style w:type="character" w:customStyle="1" w:styleId="Nadpis5Char">
    <w:name w:val="Nadpis 5 Char"/>
    <w:basedOn w:val="Standardnpsmoodstavce"/>
    <w:link w:val="Nadpis5"/>
    <w:uiPriority w:val="9"/>
    <w:rsid w:val="00274C1D"/>
    <w:rPr>
      <w:rFonts w:ascii="Arial" w:hAnsi="Arial"/>
      <w:kern w:val="32"/>
      <w:sz w:val="24"/>
      <w:szCs w:val="26"/>
      <w:lang w:eastAsia="en-US" w:bidi="en-US"/>
    </w:rPr>
  </w:style>
  <w:style w:type="character" w:customStyle="1" w:styleId="Nadpis6Char">
    <w:name w:val="Nadpis 6 Char"/>
    <w:basedOn w:val="Standardnpsmoodstavce"/>
    <w:link w:val="Nadpis6"/>
    <w:uiPriority w:val="9"/>
    <w:semiHidden/>
    <w:rsid w:val="009D5DFC"/>
    <w:rPr>
      <w:b/>
      <w:bCs/>
    </w:rPr>
  </w:style>
  <w:style w:type="character" w:customStyle="1" w:styleId="Nadpis7Char">
    <w:name w:val="Nadpis 7 Char"/>
    <w:basedOn w:val="Standardnpsmoodstavce"/>
    <w:link w:val="Nadpis7"/>
    <w:uiPriority w:val="9"/>
    <w:semiHidden/>
    <w:rsid w:val="009D5DFC"/>
    <w:rPr>
      <w:sz w:val="24"/>
      <w:szCs w:val="24"/>
    </w:rPr>
  </w:style>
  <w:style w:type="character" w:customStyle="1" w:styleId="Nadpis8Char">
    <w:name w:val="Nadpis 8 Char"/>
    <w:basedOn w:val="Standardnpsmoodstavce"/>
    <w:link w:val="Nadpis8"/>
    <w:uiPriority w:val="9"/>
    <w:semiHidden/>
    <w:rsid w:val="009D5DFC"/>
    <w:rPr>
      <w:i/>
      <w:iCs/>
      <w:sz w:val="24"/>
      <w:szCs w:val="24"/>
    </w:rPr>
  </w:style>
  <w:style w:type="character" w:customStyle="1" w:styleId="Nadpis9Char">
    <w:name w:val="Nadpis 9 Char"/>
    <w:basedOn w:val="Standardnpsmoodstavce"/>
    <w:link w:val="Nadpis9"/>
    <w:uiPriority w:val="9"/>
    <w:semiHidden/>
    <w:rsid w:val="009D5DFC"/>
    <w:rPr>
      <w:rFonts w:ascii="Cambria" w:eastAsia="Times New Roman" w:hAnsi="Cambria"/>
    </w:rPr>
  </w:style>
  <w:style w:type="paragraph" w:styleId="Nzev">
    <w:name w:val="Title"/>
    <w:basedOn w:val="Normln"/>
    <w:next w:val="Normln"/>
    <w:link w:val="NzevChar"/>
    <w:uiPriority w:val="10"/>
    <w:qFormat/>
    <w:rsid w:val="009E40E0"/>
    <w:pPr>
      <w:jc w:val="center"/>
      <w:outlineLvl w:val="0"/>
    </w:pPr>
    <w:rPr>
      <w:b/>
      <w:bCs/>
      <w:color w:val="E53138"/>
      <w:kern w:val="28"/>
      <w:sz w:val="48"/>
      <w:szCs w:val="32"/>
    </w:rPr>
  </w:style>
  <w:style w:type="character" w:customStyle="1" w:styleId="NzevChar">
    <w:name w:val="Název Char"/>
    <w:basedOn w:val="Standardnpsmoodstavce"/>
    <w:link w:val="Nzev"/>
    <w:uiPriority w:val="10"/>
    <w:rsid w:val="009E40E0"/>
    <w:rPr>
      <w:rFonts w:ascii="Arial" w:hAnsi="Arial"/>
      <w:b/>
      <w:bCs/>
      <w:color w:val="E53138"/>
      <w:kern w:val="28"/>
      <w:sz w:val="48"/>
      <w:szCs w:val="32"/>
      <w:lang w:eastAsia="en-US" w:bidi="en-US"/>
    </w:rPr>
  </w:style>
  <w:style w:type="paragraph" w:styleId="Podtitul">
    <w:name w:val="Subtitle"/>
    <w:basedOn w:val="Normln"/>
    <w:next w:val="Normln"/>
    <w:link w:val="PodtitulChar"/>
    <w:uiPriority w:val="11"/>
    <w:qFormat/>
    <w:rsid w:val="00E25EF4"/>
    <w:pPr>
      <w:jc w:val="center"/>
      <w:outlineLvl w:val="1"/>
    </w:pPr>
    <w:rPr>
      <w:b/>
    </w:rPr>
  </w:style>
  <w:style w:type="character" w:customStyle="1" w:styleId="PodtitulChar">
    <w:name w:val="Podtitul Char"/>
    <w:basedOn w:val="Standardnpsmoodstavce"/>
    <w:link w:val="Podtitul"/>
    <w:uiPriority w:val="11"/>
    <w:rsid w:val="00E25EF4"/>
    <w:rPr>
      <w:rFonts w:ascii="Arial" w:hAnsi="Arial"/>
      <w:b/>
      <w:sz w:val="24"/>
      <w:szCs w:val="24"/>
      <w:lang w:eastAsia="en-US" w:bidi="en-US"/>
    </w:rPr>
  </w:style>
  <w:style w:type="character" w:styleId="Siln">
    <w:name w:val="Strong"/>
    <w:basedOn w:val="Standardnpsmoodstavce"/>
    <w:uiPriority w:val="22"/>
    <w:qFormat/>
    <w:rsid w:val="009D5DFC"/>
    <w:rPr>
      <w:rFonts w:ascii="Arial" w:hAnsi="Arial"/>
      <w:b/>
      <w:bCs/>
      <w:sz w:val="20"/>
    </w:rPr>
  </w:style>
  <w:style w:type="character" w:styleId="Zvraznn">
    <w:name w:val="Emphasis"/>
    <w:basedOn w:val="Standardnpsmoodstavce"/>
    <w:uiPriority w:val="20"/>
    <w:qFormat/>
    <w:rsid w:val="007B4C2B"/>
    <w:rPr>
      <w:rFonts w:ascii="Arial" w:hAnsi="Arial"/>
      <w:b/>
      <w:iCs/>
      <w:sz w:val="20"/>
    </w:rPr>
  </w:style>
  <w:style w:type="paragraph" w:styleId="Bezmezer">
    <w:name w:val="No Spacing"/>
    <w:basedOn w:val="Normln"/>
    <w:link w:val="BezmezerChar"/>
    <w:uiPriority w:val="1"/>
    <w:qFormat/>
    <w:rsid w:val="006E4868"/>
    <w:pPr>
      <w:spacing w:before="0" w:after="0"/>
    </w:pPr>
    <w:rPr>
      <w:szCs w:val="32"/>
    </w:rPr>
  </w:style>
  <w:style w:type="paragraph" w:styleId="Odstavecseseznamem">
    <w:name w:val="List Paragraph"/>
    <w:basedOn w:val="Normln"/>
    <w:link w:val="OdstavecseseznamemChar"/>
    <w:uiPriority w:val="34"/>
    <w:qFormat/>
    <w:rsid w:val="009D5DFC"/>
    <w:pPr>
      <w:ind w:left="720"/>
      <w:contextualSpacing/>
    </w:pPr>
  </w:style>
  <w:style w:type="paragraph" w:styleId="Citt">
    <w:name w:val="Quote"/>
    <w:basedOn w:val="Normln"/>
    <w:next w:val="Normln"/>
    <w:link w:val="CittChar"/>
    <w:uiPriority w:val="29"/>
    <w:qFormat/>
    <w:rsid w:val="00CA104E"/>
    <w:rPr>
      <w:i/>
    </w:rPr>
  </w:style>
  <w:style w:type="character" w:customStyle="1" w:styleId="CittChar">
    <w:name w:val="Citát Char"/>
    <w:basedOn w:val="Standardnpsmoodstavce"/>
    <w:link w:val="Citt"/>
    <w:uiPriority w:val="29"/>
    <w:rsid w:val="00CA104E"/>
    <w:rPr>
      <w:rFonts w:ascii="Arial" w:hAnsi="Arial"/>
      <w:i/>
      <w:szCs w:val="24"/>
      <w:lang w:eastAsia="en-US" w:bidi="en-US"/>
    </w:rPr>
  </w:style>
  <w:style w:type="paragraph" w:styleId="Vrazncitt">
    <w:name w:val="Intense Quote"/>
    <w:basedOn w:val="Normln"/>
    <w:next w:val="Normln"/>
    <w:link w:val="VrazncittChar"/>
    <w:uiPriority w:val="30"/>
    <w:rsid w:val="009D5DFC"/>
    <w:pPr>
      <w:ind w:left="720" w:right="720"/>
    </w:pPr>
    <w:rPr>
      <w:rFonts w:ascii="Calibri" w:hAnsi="Calibri"/>
      <w:b/>
      <w:i/>
      <w:szCs w:val="22"/>
    </w:rPr>
  </w:style>
  <w:style w:type="character" w:customStyle="1" w:styleId="VrazncittChar">
    <w:name w:val="Výrazný citát Char"/>
    <w:basedOn w:val="Standardnpsmoodstavce"/>
    <w:link w:val="Vrazncitt"/>
    <w:uiPriority w:val="30"/>
    <w:rsid w:val="009D5DFC"/>
    <w:rPr>
      <w:b/>
      <w:i/>
      <w:sz w:val="24"/>
    </w:rPr>
  </w:style>
  <w:style w:type="character" w:styleId="Zdraznnjemn">
    <w:name w:val="Subtle Emphasis"/>
    <w:uiPriority w:val="19"/>
    <w:rsid w:val="00EF4486"/>
    <w:rPr>
      <w:rFonts w:ascii="Arial" w:hAnsi="Arial"/>
      <w:i/>
      <w:color w:val="9A9B9D"/>
      <w:sz w:val="20"/>
    </w:rPr>
  </w:style>
  <w:style w:type="character" w:styleId="Zdraznnintenzivn">
    <w:name w:val="Intense Emphasis"/>
    <w:basedOn w:val="Standardnpsmoodstavce"/>
    <w:uiPriority w:val="21"/>
    <w:rsid w:val="009D5DFC"/>
    <w:rPr>
      <w:rFonts w:ascii="Arial" w:hAnsi="Arial"/>
      <w:b/>
      <w:i/>
      <w:sz w:val="20"/>
      <w:szCs w:val="24"/>
      <w:u w:val="single"/>
    </w:rPr>
  </w:style>
  <w:style w:type="character" w:styleId="Odkazjemn">
    <w:name w:val="Subtle Reference"/>
    <w:basedOn w:val="Standardnpsmoodstavce"/>
    <w:uiPriority w:val="31"/>
    <w:rsid w:val="009D5DFC"/>
    <w:rPr>
      <w:rFonts w:ascii="Arial" w:hAnsi="Arial"/>
      <w:sz w:val="20"/>
      <w:szCs w:val="24"/>
      <w:u w:val="single"/>
    </w:rPr>
  </w:style>
  <w:style w:type="character" w:styleId="Odkazintenzivn">
    <w:name w:val="Intense Reference"/>
    <w:basedOn w:val="Standardnpsmoodstavce"/>
    <w:uiPriority w:val="32"/>
    <w:rsid w:val="009D5DFC"/>
    <w:rPr>
      <w:rFonts w:ascii="Arial" w:hAnsi="Arial"/>
      <w:b/>
      <w:sz w:val="18"/>
      <w:u w:val="single"/>
    </w:rPr>
  </w:style>
  <w:style w:type="character" w:styleId="Nzevknihy">
    <w:name w:val="Book Title"/>
    <w:basedOn w:val="Standardnpsmoodstavce"/>
    <w:uiPriority w:val="33"/>
    <w:rsid w:val="009D5DFC"/>
    <w:rPr>
      <w:rFonts w:ascii="Arial" w:eastAsia="Times New Roman" w:hAnsi="Arial"/>
      <w:b/>
      <w:i/>
      <w:sz w:val="22"/>
      <w:szCs w:val="24"/>
    </w:rPr>
  </w:style>
  <w:style w:type="paragraph" w:styleId="Nadpisobsahu">
    <w:name w:val="TOC Heading"/>
    <w:basedOn w:val="Nadpis1"/>
    <w:next w:val="Normln"/>
    <w:uiPriority w:val="39"/>
    <w:qFormat/>
    <w:rsid w:val="009D5DFC"/>
    <w:pPr>
      <w:outlineLvl w:val="9"/>
    </w:pPr>
  </w:style>
  <w:style w:type="paragraph" w:styleId="Zhlav">
    <w:name w:val="header"/>
    <w:basedOn w:val="Normln"/>
    <w:link w:val="ZhlavChar"/>
    <w:uiPriority w:val="99"/>
    <w:unhideWhenUsed/>
    <w:rsid w:val="009D5DFC"/>
    <w:pPr>
      <w:tabs>
        <w:tab w:val="center" w:pos="4536"/>
        <w:tab w:val="right" w:pos="9072"/>
      </w:tabs>
    </w:pPr>
  </w:style>
  <w:style w:type="character" w:customStyle="1" w:styleId="ZhlavChar">
    <w:name w:val="Záhlaví Char"/>
    <w:basedOn w:val="Standardnpsmoodstavce"/>
    <w:link w:val="Zhlav"/>
    <w:uiPriority w:val="99"/>
    <w:rsid w:val="009D5DFC"/>
    <w:rPr>
      <w:rFonts w:ascii="Arial" w:hAnsi="Arial"/>
      <w:sz w:val="20"/>
      <w:szCs w:val="24"/>
    </w:rPr>
  </w:style>
  <w:style w:type="paragraph" w:styleId="Zpat">
    <w:name w:val="footer"/>
    <w:basedOn w:val="Normln"/>
    <w:link w:val="ZpatChar"/>
    <w:uiPriority w:val="99"/>
    <w:semiHidden/>
    <w:unhideWhenUsed/>
    <w:rsid w:val="009D5DFC"/>
    <w:pPr>
      <w:tabs>
        <w:tab w:val="center" w:pos="4536"/>
        <w:tab w:val="right" w:pos="9072"/>
      </w:tabs>
    </w:pPr>
  </w:style>
  <w:style w:type="character" w:customStyle="1" w:styleId="ZpatChar">
    <w:name w:val="Zápatí Char"/>
    <w:basedOn w:val="Standardnpsmoodstavce"/>
    <w:link w:val="Zpat"/>
    <w:uiPriority w:val="99"/>
    <w:semiHidden/>
    <w:rsid w:val="009D5DFC"/>
    <w:rPr>
      <w:rFonts w:ascii="Arial" w:hAnsi="Arial"/>
      <w:sz w:val="20"/>
      <w:szCs w:val="24"/>
    </w:rPr>
  </w:style>
  <w:style w:type="paragraph" w:styleId="Textvysvtlivek">
    <w:name w:val="endnote text"/>
    <w:basedOn w:val="Normln"/>
    <w:link w:val="TextvysvtlivekChar"/>
    <w:uiPriority w:val="99"/>
    <w:semiHidden/>
    <w:unhideWhenUsed/>
    <w:rsid w:val="00F26681"/>
    <w:rPr>
      <w:szCs w:val="20"/>
    </w:rPr>
  </w:style>
  <w:style w:type="character" w:customStyle="1" w:styleId="TextvysvtlivekChar">
    <w:name w:val="Text vysvětlivek Char"/>
    <w:basedOn w:val="Standardnpsmoodstavce"/>
    <w:link w:val="Textvysvtlivek"/>
    <w:uiPriority w:val="99"/>
    <w:semiHidden/>
    <w:rsid w:val="00F26681"/>
    <w:rPr>
      <w:rFonts w:ascii="Arial" w:hAnsi="Arial"/>
      <w:lang w:eastAsia="en-US" w:bidi="en-US"/>
    </w:rPr>
  </w:style>
  <w:style w:type="character" w:styleId="Odkaznavysvtlivky">
    <w:name w:val="endnote reference"/>
    <w:basedOn w:val="Standardnpsmoodstavce"/>
    <w:uiPriority w:val="99"/>
    <w:semiHidden/>
    <w:unhideWhenUsed/>
    <w:rsid w:val="00F26681"/>
    <w:rPr>
      <w:vertAlign w:val="superscript"/>
    </w:rPr>
  </w:style>
  <w:style w:type="paragraph" w:styleId="Obsah1">
    <w:name w:val="toc 1"/>
    <w:basedOn w:val="Normln"/>
    <w:next w:val="Normln"/>
    <w:autoRedefine/>
    <w:uiPriority w:val="39"/>
    <w:unhideWhenUsed/>
    <w:qFormat/>
    <w:rsid w:val="0012399A"/>
    <w:pPr>
      <w:tabs>
        <w:tab w:val="left" w:pos="357"/>
        <w:tab w:val="left" w:pos="720"/>
        <w:tab w:val="right" w:leader="dot" w:pos="9629"/>
      </w:tabs>
      <w:ind w:left="720" w:hanging="720"/>
    </w:pPr>
    <w:rPr>
      <w:noProof/>
    </w:rPr>
  </w:style>
  <w:style w:type="paragraph" w:styleId="Obsah2">
    <w:name w:val="toc 2"/>
    <w:basedOn w:val="Normln"/>
    <w:next w:val="Normln"/>
    <w:autoRedefine/>
    <w:uiPriority w:val="39"/>
    <w:unhideWhenUsed/>
    <w:qFormat/>
    <w:rsid w:val="00C664CD"/>
    <w:pPr>
      <w:tabs>
        <w:tab w:val="left" w:pos="720"/>
        <w:tab w:val="left" w:pos="1100"/>
        <w:tab w:val="right" w:leader="dot" w:pos="9629"/>
      </w:tabs>
      <w:ind w:left="357"/>
    </w:pPr>
  </w:style>
  <w:style w:type="paragraph" w:styleId="Obsah3">
    <w:name w:val="toc 3"/>
    <w:basedOn w:val="Normln"/>
    <w:next w:val="Normln"/>
    <w:autoRedefine/>
    <w:uiPriority w:val="39"/>
    <w:unhideWhenUsed/>
    <w:qFormat/>
    <w:rsid w:val="0012399A"/>
    <w:pPr>
      <w:tabs>
        <w:tab w:val="left" w:pos="1066"/>
        <w:tab w:val="right" w:leader="dot" w:pos="9629"/>
      </w:tabs>
      <w:ind w:left="720"/>
    </w:pPr>
  </w:style>
  <w:style w:type="character" w:styleId="Hypertextovodkaz">
    <w:name w:val="Hyperlink"/>
    <w:basedOn w:val="Standardnpsmoodstavce"/>
    <w:uiPriority w:val="99"/>
    <w:unhideWhenUsed/>
    <w:rsid w:val="00F26681"/>
    <w:rPr>
      <w:color w:val="0000FF"/>
      <w:u w:val="single"/>
    </w:rPr>
  </w:style>
  <w:style w:type="paragraph" w:styleId="Textbubliny">
    <w:name w:val="Balloon Text"/>
    <w:basedOn w:val="Normln"/>
    <w:link w:val="TextbublinyChar"/>
    <w:uiPriority w:val="99"/>
    <w:semiHidden/>
    <w:unhideWhenUsed/>
    <w:rsid w:val="0019150A"/>
    <w:rPr>
      <w:rFonts w:ascii="Tahoma" w:hAnsi="Tahoma" w:cs="Tahoma"/>
      <w:sz w:val="16"/>
      <w:szCs w:val="16"/>
    </w:rPr>
  </w:style>
  <w:style w:type="character" w:customStyle="1" w:styleId="TextbublinyChar">
    <w:name w:val="Text bubliny Char"/>
    <w:basedOn w:val="Standardnpsmoodstavce"/>
    <w:link w:val="Textbubliny"/>
    <w:uiPriority w:val="99"/>
    <w:semiHidden/>
    <w:rsid w:val="0019150A"/>
    <w:rPr>
      <w:rFonts w:ascii="Tahoma" w:hAnsi="Tahoma" w:cs="Tahoma"/>
      <w:sz w:val="16"/>
      <w:szCs w:val="16"/>
      <w:lang w:eastAsia="en-US" w:bidi="en-US"/>
    </w:rPr>
  </w:style>
  <w:style w:type="paragraph" w:styleId="Textpoznpodarou">
    <w:name w:val="footnote text"/>
    <w:basedOn w:val="Normln"/>
    <w:link w:val="TextpoznpodarouChar"/>
    <w:uiPriority w:val="99"/>
    <w:semiHidden/>
    <w:unhideWhenUsed/>
    <w:rsid w:val="00E7690D"/>
    <w:rPr>
      <w:szCs w:val="20"/>
    </w:rPr>
  </w:style>
  <w:style w:type="character" w:customStyle="1" w:styleId="TextpoznpodarouChar">
    <w:name w:val="Text pozn. pod čarou Char"/>
    <w:basedOn w:val="Standardnpsmoodstavce"/>
    <w:link w:val="Textpoznpodarou"/>
    <w:uiPriority w:val="99"/>
    <w:semiHidden/>
    <w:rsid w:val="00E7690D"/>
    <w:rPr>
      <w:rFonts w:ascii="Arial" w:hAnsi="Arial"/>
      <w:lang w:eastAsia="en-US" w:bidi="en-US"/>
    </w:rPr>
  </w:style>
  <w:style w:type="character" w:styleId="Znakapoznpodarou">
    <w:name w:val="footnote reference"/>
    <w:basedOn w:val="Standardnpsmoodstavce"/>
    <w:uiPriority w:val="99"/>
    <w:semiHidden/>
    <w:unhideWhenUsed/>
    <w:rsid w:val="00E7690D"/>
    <w:rPr>
      <w:vertAlign w:val="superscript"/>
    </w:rPr>
  </w:style>
  <w:style w:type="paragraph" w:customStyle="1" w:styleId="zhlavL">
    <w:name w:val="záhlaví L"/>
    <w:basedOn w:val="Normln"/>
    <w:link w:val="zhlavLChar"/>
    <w:qFormat/>
    <w:rsid w:val="00361261"/>
    <w:pPr>
      <w:spacing w:before="0" w:after="0"/>
      <w:jc w:val="right"/>
    </w:pPr>
    <w:rPr>
      <w:color w:val="C00000"/>
      <w:sz w:val="16"/>
    </w:rPr>
  </w:style>
  <w:style w:type="paragraph" w:customStyle="1" w:styleId="ZhlavR">
    <w:name w:val="Záhlaví R"/>
    <w:basedOn w:val="Normln"/>
    <w:link w:val="ZhlavRChar"/>
    <w:qFormat/>
    <w:rsid w:val="00361261"/>
    <w:pPr>
      <w:spacing w:before="0" w:after="0"/>
    </w:pPr>
    <w:rPr>
      <w:color w:val="C00000"/>
      <w:sz w:val="16"/>
    </w:rPr>
  </w:style>
  <w:style w:type="character" w:customStyle="1" w:styleId="zhlavLChar">
    <w:name w:val="záhlaví L Char"/>
    <w:basedOn w:val="Standardnpsmoodstavce"/>
    <w:link w:val="zhlavL"/>
    <w:rsid w:val="00361261"/>
    <w:rPr>
      <w:rFonts w:ascii="Arial" w:hAnsi="Arial"/>
      <w:color w:val="C00000"/>
      <w:sz w:val="16"/>
      <w:szCs w:val="24"/>
      <w:lang w:eastAsia="en-US" w:bidi="en-US"/>
    </w:rPr>
  </w:style>
  <w:style w:type="paragraph" w:customStyle="1" w:styleId="slovanseznam1">
    <w:name w:val="Číslovaný seznam1"/>
    <w:basedOn w:val="Odstavecseseznamem"/>
    <w:link w:val="slovanseznam1Char"/>
    <w:rsid w:val="007B4C2B"/>
    <w:pPr>
      <w:numPr>
        <w:numId w:val="2"/>
      </w:numPr>
      <w:ind w:left="425" w:hanging="425"/>
    </w:pPr>
  </w:style>
  <w:style w:type="character" w:customStyle="1" w:styleId="ZhlavRChar">
    <w:name w:val="Záhlaví R Char"/>
    <w:basedOn w:val="Standardnpsmoodstavce"/>
    <w:link w:val="ZhlavR"/>
    <w:rsid w:val="00361261"/>
    <w:rPr>
      <w:rFonts w:ascii="Arial" w:hAnsi="Arial"/>
      <w:color w:val="C00000"/>
      <w:sz w:val="16"/>
      <w:szCs w:val="24"/>
      <w:lang w:eastAsia="en-US" w:bidi="en-US"/>
    </w:rPr>
  </w:style>
  <w:style w:type="character" w:customStyle="1" w:styleId="OdstavecseseznamemChar">
    <w:name w:val="Odstavec se seznamem Char"/>
    <w:basedOn w:val="Standardnpsmoodstavce"/>
    <w:link w:val="Odstavecseseznamem"/>
    <w:uiPriority w:val="34"/>
    <w:rsid w:val="007B4C2B"/>
    <w:rPr>
      <w:rFonts w:ascii="Arial" w:hAnsi="Arial"/>
      <w:szCs w:val="24"/>
      <w:lang w:eastAsia="en-US" w:bidi="en-US"/>
    </w:rPr>
  </w:style>
  <w:style w:type="character" w:customStyle="1" w:styleId="slovanseznam1Char">
    <w:name w:val="Číslovaný seznam1 Char"/>
    <w:basedOn w:val="OdstavecseseznamemChar"/>
    <w:link w:val="slovanseznam1"/>
    <w:rsid w:val="007B4C2B"/>
    <w:rPr>
      <w:rFonts w:ascii="Arial" w:hAnsi="Arial"/>
      <w:szCs w:val="24"/>
      <w:lang w:eastAsia="en-US" w:bidi="en-US"/>
    </w:rPr>
  </w:style>
  <w:style w:type="paragraph" w:customStyle="1" w:styleId="Odrky1">
    <w:name w:val="Odrážky 1"/>
    <w:basedOn w:val="Odstavecseseznamem"/>
    <w:link w:val="Odrky1Char"/>
    <w:qFormat/>
    <w:rsid w:val="0044131C"/>
    <w:pPr>
      <w:numPr>
        <w:numId w:val="3"/>
      </w:numPr>
      <w:ind w:left="426" w:hanging="426"/>
      <w:contextualSpacing w:val="0"/>
    </w:pPr>
  </w:style>
  <w:style w:type="paragraph" w:customStyle="1" w:styleId="Odrky2">
    <w:name w:val="Odrážky 2"/>
    <w:basedOn w:val="Odrky1"/>
    <w:link w:val="Odrky2Char"/>
    <w:qFormat/>
    <w:rsid w:val="0044131C"/>
    <w:pPr>
      <w:numPr>
        <w:ilvl w:val="1"/>
      </w:numPr>
      <w:ind w:left="850" w:hanging="425"/>
    </w:pPr>
  </w:style>
  <w:style w:type="character" w:customStyle="1" w:styleId="Odrky1Char">
    <w:name w:val="Odrážky 1 Char"/>
    <w:basedOn w:val="OdstavecseseznamemChar"/>
    <w:link w:val="Odrky1"/>
    <w:rsid w:val="0044131C"/>
    <w:rPr>
      <w:rFonts w:ascii="Arial" w:hAnsi="Arial"/>
      <w:szCs w:val="24"/>
      <w:lang w:eastAsia="en-US" w:bidi="en-US"/>
    </w:rPr>
  </w:style>
  <w:style w:type="paragraph" w:customStyle="1" w:styleId="Odrky3">
    <w:name w:val="Odrážky 3"/>
    <w:basedOn w:val="Odrky2"/>
    <w:link w:val="Odrky3Char"/>
    <w:qFormat/>
    <w:rsid w:val="0044131C"/>
    <w:pPr>
      <w:numPr>
        <w:ilvl w:val="2"/>
      </w:numPr>
      <w:ind w:left="1276" w:hanging="425"/>
    </w:pPr>
  </w:style>
  <w:style w:type="character" w:customStyle="1" w:styleId="Odrky2Char">
    <w:name w:val="Odrážky 2 Char"/>
    <w:basedOn w:val="Odrky1Char"/>
    <w:link w:val="Odrky2"/>
    <w:rsid w:val="0044131C"/>
    <w:rPr>
      <w:rFonts w:ascii="Arial" w:hAnsi="Arial"/>
      <w:szCs w:val="24"/>
      <w:lang w:eastAsia="en-US" w:bidi="en-US"/>
    </w:rPr>
  </w:style>
  <w:style w:type="paragraph" w:customStyle="1" w:styleId="seznam1">
    <w:name w:val="Č. seznam 1"/>
    <w:basedOn w:val="Odstavecseseznamem"/>
    <w:link w:val="seznam1Char"/>
    <w:qFormat/>
    <w:rsid w:val="005F24AB"/>
    <w:pPr>
      <w:numPr>
        <w:numId w:val="4"/>
      </w:numPr>
      <w:ind w:left="425" w:hanging="425"/>
      <w:contextualSpacing w:val="0"/>
    </w:pPr>
  </w:style>
  <w:style w:type="character" w:customStyle="1" w:styleId="Odrky3Char">
    <w:name w:val="Odrážky 3 Char"/>
    <w:basedOn w:val="Odrky2Char"/>
    <w:link w:val="Odrky3"/>
    <w:rsid w:val="0044131C"/>
    <w:rPr>
      <w:rFonts w:ascii="Arial" w:hAnsi="Arial"/>
      <w:szCs w:val="24"/>
      <w:lang w:eastAsia="en-US" w:bidi="en-US"/>
    </w:rPr>
  </w:style>
  <w:style w:type="paragraph" w:customStyle="1" w:styleId="seznam2">
    <w:name w:val="Č. seznam 2"/>
    <w:basedOn w:val="seznam1"/>
    <w:link w:val="seznam2Char"/>
    <w:qFormat/>
    <w:rsid w:val="005F24AB"/>
    <w:pPr>
      <w:numPr>
        <w:ilvl w:val="1"/>
      </w:numPr>
      <w:ind w:left="850" w:hanging="425"/>
    </w:pPr>
  </w:style>
  <w:style w:type="character" w:customStyle="1" w:styleId="seznam1Char">
    <w:name w:val="Č. seznam 1 Char"/>
    <w:basedOn w:val="OdstavecseseznamemChar"/>
    <w:link w:val="seznam1"/>
    <w:rsid w:val="005F24AB"/>
    <w:rPr>
      <w:rFonts w:ascii="Arial" w:hAnsi="Arial"/>
      <w:szCs w:val="24"/>
      <w:lang w:eastAsia="en-US" w:bidi="en-US"/>
    </w:rPr>
  </w:style>
  <w:style w:type="paragraph" w:customStyle="1" w:styleId="seznam3">
    <w:name w:val="Č. seznam 3"/>
    <w:basedOn w:val="seznam2"/>
    <w:link w:val="seznam3Char"/>
    <w:qFormat/>
    <w:rsid w:val="005F24AB"/>
    <w:pPr>
      <w:numPr>
        <w:ilvl w:val="2"/>
      </w:numPr>
      <w:ind w:left="1276" w:hanging="425"/>
    </w:pPr>
  </w:style>
  <w:style w:type="character" w:customStyle="1" w:styleId="seznam2Char">
    <w:name w:val="Č. seznam 2 Char"/>
    <w:basedOn w:val="seznam1Char"/>
    <w:link w:val="seznam2"/>
    <w:rsid w:val="005F24AB"/>
    <w:rPr>
      <w:rFonts w:ascii="Arial" w:hAnsi="Arial"/>
      <w:szCs w:val="24"/>
      <w:lang w:eastAsia="en-US" w:bidi="en-US"/>
    </w:rPr>
  </w:style>
  <w:style w:type="paragraph" w:customStyle="1" w:styleId="Popisekobrzku">
    <w:name w:val="Popisek obrázku"/>
    <w:basedOn w:val="Normln"/>
    <w:link w:val="PopisekobrzkuChar"/>
    <w:qFormat/>
    <w:rsid w:val="00B20503"/>
    <w:pPr>
      <w:spacing w:before="0"/>
    </w:pPr>
  </w:style>
  <w:style w:type="character" w:customStyle="1" w:styleId="seznam3Char">
    <w:name w:val="Č. seznam 3 Char"/>
    <w:basedOn w:val="seznam2Char"/>
    <w:link w:val="seznam3"/>
    <w:rsid w:val="005F24AB"/>
    <w:rPr>
      <w:rFonts w:ascii="Arial" w:hAnsi="Arial"/>
      <w:szCs w:val="24"/>
      <w:lang w:eastAsia="en-US" w:bidi="en-US"/>
    </w:rPr>
  </w:style>
  <w:style w:type="table" w:styleId="Mkatabulky">
    <w:name w:val="Table Grid"/>
    <w:basedOn w:val="Normlntabulka"/>
    <w:uiPriority w:val="59"/>
    <w:rsid w:val="00C62A4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opisekobrzkuChar">
    <w:name w:val="Popisek obrázku Char"/>
    <w:basedOn w:val="Standardnpsmoodstavce"/>
    <w:link w:val="Popisekobrzku"/>
    <w:rsid w:val="00B20503"/>
    <w:rPr>
      <w:rFonts w:ascii="Arial" w:hAnsi="Arial"/>
      <w:szCs w:val="24"/>
      <w:lang w:eastAsia="en-US" w:bidi="en-US"/>
    </w:rPr>
  </w:style>
  <w:style w:type="paragraph" w:styleId="Titulek">
    <w:name w:val="caption"/>
    <w:basedOn w:val="Normln"/>
    <w:next w:val="Normln"/>
    <w:uiPriority w:val="35"/>
    <w:unhideWhenUsed/>
    <w:qFormat/>
    <w:rsid w:val="00B20503"/>
    <w:pPr>
      <w:spacing w:before="0" w:after="200"/>
    </w:pPr>
    <w:rPr>
      <w:b/>
      <w:bCs/>
      <w:sz w:val="18"/>
      <w:szCs w:val="18"/>
    </w:rPr>
  </w:style>
  <w:style w:type="paragraph" w:customStyle="1" w:styleId="Poznmkapodarou">
    <w:name w:val="Poznámka pod čarou"/>
    <w:basedOn w:val="Bezmezer"/>
    <w:link w:val="PoznmkapodarouChar"/>
    <w:qFormat/>
    <w:rsid w:val="00B20503"/>
    <w:rPr>
      <w:sz w:val="16"/>
      <w:szCs w:val="16"/>
    </w:rPr>
  </w:style>
  <w:style w:type="character" w:customStyle="1" w:styleId="BezmezerChar">
    <w:name w:val="Bez mezer Char"/>
    <w:basedOn w:val="Standardnpsmoodstavce"/>
    <w:link w:val="Bezmezer"/>
    <w:uiPriority w:val="1"/>
    <w:rsid w:val="00B20503"/>
    <w:rPr>
      <w:rFonts w:ascii="Arial" w:hAnsi="Arial"/>
      <w:szCs w:val="32"/>
      <w:lang w:eastAsia="en-US" w:bidi="en-US"/>
    </w:rPr>
  </w:style>
  <w:style w:type="character" w:customStyle="1" w:styleId="PoznmkapodarouChar">
    <w:name w:val="Poznámka pod čarou Char"/>
    <w:basedOn w:val="BezmezerChar"/>
    <w:link w:val="Poznmkapodarou"/>
    <w:rsid w:val="00B20503"/>
    <w:rPr>
      <w:rFonts w:ascii="Arial" w:hAnsi="Arial"/>
      <w:szCs w:val="32"/>
      <w:lang w:eastAsia="en-US" w:bidi="en-US"/>
    </w:rPr>
  </w:style>
  <w:style w:type="paragraph" w:customStyle="1" w:styleId="Default">
    <w:name w:val="Default"/>
    <w:rsid w:val="00967A4B"/>
    <w:pPr>
      <w:autoSpaceDE w:val="0"/>
      <w:autoSpaceDN w:val="0"/>
      <w:adjustRightInd w:val="0"/>
      <w:spacing w:before="0" w:after="0"/>
      <w:ind w:left="0" w:firstLine="0"/>
    </w:pPr>
    <w:rPr>
      <w:rFonts w:cs="Calibri"/>
      <w:color w:val="000000"/>
      <w:sz w:val="24"/>
      <w:szCs w:val="24"/>
    </w:rPr>
  </w:style>
  <w:style w:type="character" w:styleId="Sledovanodkaz">
    <w:name w:val="FollowedHyperlink"/>
    <w:basedOn w:val="Standardnpsmoodstavce"/>
    <w:uiPriority w:val="99"/>
    <w:semiHidden/>
    <w:unhideWhenUsed/>
    <w:rsid w:val="000451A1"/>
    <w:rPr>
      <w:color w:val="800080" w:themeColor="followedHyperlink"/>
      <w:u w:val="single"/>
    </w:rPr>
  </w:style>
  <w:style w:type="paragraph" w:styleId="Textkomente">
    <w:name w:val="annotation text"/>
    <w:basedOn w:val="Normln"/>
    <w:link w:val="TextkomenteChar"/>
    <w:uiPriority w:val="99"/>
    <w:unhideWhenUsed/>
    <w:rsid w:val="00CB0B76"/>
    <w:pPr>
      <w:spacing w:before="0" w:after="0"/>
    </w:pPr>
    <w:rPr>
      <w:rFonts w:eastAsia="Calibri"/>
      <w:szCs w:val="20"/>
      <w:lang w:bidi="ar-SA"/>
    </w:rPr>
  </w:style>
  <w:style w:type="character" w:customStyle="1" w:styleId="TextkomenteChar">
    <w:name w:val="Text komentáře Char"/>
    <w:basedOn w:val="Standardnpsmoodstavce"/>
    <w:link w:val="Textkomente"/>
    <w:uiPriority w:val="99"/>
    <w:rsid w:val="00CB0B76"/>
    <w:rPr>
      <w:rFonts w:ascii="Arial" w:eastAsia="Calibri" w:hAnsi="Arial"/>
      <w:lang w:eastAsia="en-US"/>
    </w:rPr>
  </w:style>
  <w:style w:type="character" w:styleId="Odkaznakoment">
    <w:name w:val="annotation reference"/>
    <w:basedOn w:val="Standardnpsmoodstavce"/>
    <w:uiPriority w:val="99"/>
    <w:semiHidden/>
    <w:unhideWhenUsed/>
    <w:rsid w:val="002876DE"/>
    <w:rPr>
      <w:sz w:val="16"/>
      <w:szCs w:val="16"/>
    </w:rPr>
  </w:style>
  <w:style w:type="paragraph" w:styleId="Pedmtkomente">
    <w:name w:val="annotation subject"/>
    <w:basedOn w:val="Textkomente"/>
    <w:next w:val="Textkomente"/>
    <w:link w:val="PedmtkomenteChar"/>
    <w:uiPriority w:val="99"/>
    <w:semiHidden/>
    <w:unhideWhenUsed/>
    <w:rsid w:val="002876DE"/>
    <w:pPr>
      <w:spacing w:before="120" w:after="60"/>
      <w:jc w:val="left"/>
    </w:pPr>
    <w:rPr>
      <w:rFonts w:eastAsia="Times New Roman"/>
      <w:b/>
      <w:bCs/>
      <w:lang w:bidi="en-US"/>
    </w:rPr>
  </w:style>
  <w:style w:type="character" w:customStyle="1" w:styleId="PedmtkomenteChar">
    <w:name w:val="Předmět komentáře Char"/>
    <w:basedOn w:val="TextkomenteChar"/>
    <w:link w:val="Pedmtkomente"/>
    <w:uiPriority w:val="99"/>
    <w:semiHidden/>
    <w:rsid w:val="002876DE"/>
    <w:rPr>
      <w:rFonts w:ascii="Arial" w:eastAsia="Calibri" w:hAnsi="Arial"/>
      <w:b/>
      <w:bCs/>
      <w:lang w:eastAsia="en-US" w:bidi="en-US"/>
    </w:rPr>
  </w:style>
  <w:style w:type="paragraph" w:customStyle="1" w:styleId="odrkyChar">
    <w:name w:val="odrážky Char"/>
    <w:basedOn w:val="Zkladntextodsazen"/>
    <w:rsid w:val="003F0A66"/>
    <w:pPr>
      <w:ind w:left="0"/>
    </w:pPr>
    <w:rPr>
      <w:rFonts w:cs="Arial"/>
      <w:sz w:val="22"/>
      <w:szCs w:val="22"/>
      <w:lang w:eastAsia="cs-CZ" w:bidi="ar-SA"/>
    </w:rPr>
  </w:style>
  <w:style w:type="paragraph" w:styleId="Zkladntextodsazen">
    <w:name w:val="Body Text Indent"/>
    <w:basedOn w:val="Normln"/>
    <w:link w:val="ZkladntextodsazenChar"/>
    <w:uiPriority w:val="99"/>
    <w:semiHidden/>
    <w:unhideWhenUsed/>
    <w:rsid w:val="003F0A66"/>
    <w:pPr>
      <w:spacing w:after="120"/>
      <w:ind w:left="283"/>
    </w:pPr>
  </w:style>
  <w:style w:type="character" w:customStyle="1" w:styleId="ZkladntextodsazenChar">
    <w:name w:val="Základní text odsazený Char"/>
    <w:basedOn w:val="Standardnpsmoodstavce"/>
    <w:link w:val="Zkladntextodsazen"/>
    <w:uiPriority w:val="99"/>
    <w:semiHidden/>
    <w:rsid w:val="003F0A66"/>
    <w:rPr>
      <w:rFonts w:ascii="Arial" w:hAnsi="Arial"/>
      <w:szCs w:val="24"/>
      <w:lang w:eastAsia="en-US" w:bidi="en-US"/>
    </w:rPr>
  </w:style>
  <w:style w:type="character" w:customStyle="1" w:styleId="apple-converted-space">
    <w:name w:val="apple-converted-space"/>
    <w:basedOn w:val="Standardnpsmoodstavce"/>
    <w:rsid w:val="00BA32F1"/>
  </w:style>
  <w:style w:type="paragraph" w:styleId="Normlnweb">
    <w:name w:val="Normal (Web)"/>
    <w:basedOn w:val="Normln"/>
    <w:uiPriority w:val="99"/>
    <w:semiHidden/>
    <w:unhideWhenUsed/>
    <w:rsid w:val="008C0FDA"/>
    <w:pPr>
      <w:spacing w:before="100" w:beforeAutospacing="1" w:after="100" w:afterAutospacing="1"/>
    </w:pPr>
    <w:rPr>
      <w:rFonts w:ascii="Times New Roman" w:hAnsi="Times New Roman"/>
      <w:lang w:eastAsia="cs-CZ" w:bidi="ar-SA"/>
    </w:rPr>
  </w:style>
  <w:style w:type="paragraph" w:customStyle="1" w:styleId="para">
    <w:name w:val="para"/>
    <w:basedOn w:val="Normln"/>
    <w:rsid w:val="00276514"/>
    <w:pPr>
      <w:spacing w:before="100" w:beforeAutospacing="1" w:after="100" w:afterAutospacing="1"/>
    </w:pPr>
    <w:rPr>
      <w:rFonts w:ascii="Times New Roman" w:hAnsi="Times New Roman"/>
      <w:lang w:eastAsia="cs-CZ" w:bidi="ar-SA"/>
    </w:rPr>
  </w:style>
  <w:style w:type="paragraph" w:customStyle="1" w:styleId="go">
    <w:name w:val="go"/>
    <w:basedOn w:val="Normln"/>
    <w:rsid w:val="00276514"/>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sid w:val="00276514"/>
    <w:rPr>
      <w:i/>
      <w:iCs/>
    </w:rPr>
  </w:style>
  <w:style w:type="character" w:customStyle="1" w:styleId="odst">
    <w:name w:val="odst"/>
    <w:basedOn w:val="Standardnpsmoodstavce"/>
    <w:rsid w:val="00CD303C"/>
  </w:style>
  <w:style w:type="paragraph" w:styleId="Zkladntext2">
    <w:name w:val="Body Text 2"/>
    <w:basedOn w:val="Normln"/>
    <w:link w:val="Zkladntext2Char"/>
    <w:uiPriority w:val="99"/>
    <w:semiHidden/>
    <w:unhideWhenUsed/>
    <w:rsid w:val="00135EF5"/>
    <w:pPr>
      <w:spacing w:after="120" w:line="480" w:lineRule="auto"/>
    </w:pPr>
  </w:style>
  <w:style w:type="character" w:customStyle="1" w:styleId="Zkladntext2Char">
    <w:name w:val="Základní text 2 Char"/>
    <w:basedOn w:val="Standardnpsmoodstavce"/>
    <w:link w:val="Zkladntext2"/>
    <w:uiPriority w:val="99"/>
    <w:semiHidden/>
    <w:rsid w:val="00135EF5"/>
    <w:rPr>
      <w:rFonts w:ascii="Arial" w:hAnsi="Arial"/>
      <w:sz w:val="24"/>
      <w:szCs w:val="24"/>
      <w:lang w:eastAsia="en-US" w:bidi="en-US"/>
    </w:rPr>
  </w:style>
  <w:style w:type="paragraph" w:styleId="Rozloendokumentu">
    <w:name w:val="Document Map"/>
    <w:basedOn w:val="Normln"/>
    <w:link w:val="RozloendokumentuChar"/>
    <w:uiPriority w:val="99"/>
    <w:semiHidden/>
    <w:unhideWhenUsed/>
    <w:rsid w:val="008B468F"/>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B468F"/>
    <w:rPr>
      <w:rFonts w:ascii="Tahoma" w:hAnsi="Tahoma" w:cs="Tahoma"/>
      <w:sz w:val="16"/>
      <w:szCs w:val="16"/>
      <w:lang w:eastAsia="en-US" w:bidi="en-US"/>
    </w:rPr>
  </w:style>
  <w:style w:type="paragraph" w:styleId="Revize">
    <w:name w:val="Revision"/>
    <w:hidden/>
    <w:uiPriority w:val="99"/>
    <w:semiHidden/>
    <w:rsid w:val="00A2579F"/>
    <w:pPr>
      <w:spacing w:before="0" w:after="0"/>
      <w:ind w:left="0" w:firstLine="0"/>
    </w:pPr>
    <w:rPr>
      <w:rFonts w:ascii="Arial" w:hAnsi="Arial"/>
      <w:sz w:val="24"/>
      <w:szCs w:val="24"/>
      <w:lang w:eastAsia="en-US" w:bidi="en-US"/>
    </w:rPr>
  </w:style>
  <w:style w:type="character" w:customStyle="1" w:styleId="A3">
    <w:name w:val="A3"/>
    <w:uiPriority w:val="99"/>
    <w:rsid w:val="00E7099F"/>
    <w:rPr>
      <w:rFonts w:cs="Frutiger CE 45 Ligh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pPr>
        <w:spacing w:before="240" w:after="60"/>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ln">
    <w:name w:val="Normal"/>
    <w:qFormat/>
    <w:rsid w:val="00DF6736"/>
    <w:pPr>
      <w:spacing w:before="120"/>
      <w:ind w:left="0" w:firstLine="0"/>
      <w:jc w:val="both"/>
    </w:pPr>
    <w:rPr>
      <w:rFonts w:ascii="Arial" w:hAnsi="Arial"/>
      <w:sz w:val="24"/>
      <w:szCs w:val="24"/>
      <w:lang w:eastAsia="en-US" w:bidi="en-US"/>
    </w:rPr>
  </w:style>
  <w:style w:type="paragraph" w:styleId="Nadpis1">
    <w:name w:val="heading 1"/>
    <w:basedOn w:val="Normln"/>
    <w:next w:val="Normln"/>
    <w:link w:val="Nadpis1Char"/>
    <w:uiPriority w:val="9"/>
    <w:qFormat/>
    <w:rsid w:val="00820766"/>
    <w:pPr>
      <w:keepNext/>
      <w:numPr>
        <w:numId w:val="1"/>
      </w:numPr>
      <w:spacing w:before="300" w:after="600"/>
      <w:outlineLvl w:val="0"/>
    </w:pPr>
    <w:rPr>
      <w:b/>
      <w:bCs/>
      <w:color w:val="E53138"/>
      <w:kern w:val="32"/>
      <w:sz w:val="32"/>
      <w:szCs w:val="32"/>
      <w:lang w:eastAsia="cs-CZ"/>
    </w:rPr>
  </w:style>
  <w:style w:type="paragraph" w:styleId="Nadpis2">
    <w:name w:val="heading 2"/>
    <w:basedOn w:val="Nadpis1"/>
    <w:next w:val="Normln"/>
    <w:link w:val="Nadpis2Char"/>
    <w:uiPriority w:val="9"/>
    <w:qFormat/>
    <w:rsid w:val="00D11966"/>
    <w:pPr>
      <w:numPr>
        <w:ilvl w:val="1"/>
      </w:numPr>
      <w:spacing w:after="360"/>
      <w:ind w:left="567" w:hanging="567"/>
      <w:outlineLvl w:val="1"/>
    </w:pPr>
    <w:rPr>
      <w:bCs w:val="0"/>
      <w:iCs/>
      <w:color w:val="auto"/>
      <w:sz w:val="24"/>
      <w:szCs w:val="28"/>
    </w:rPr>
  </w:style>
  <w:style w:type="paragraph" w:styleId="Nadpis3">
    <w:name w:val="heading 3"/>
    <w:basedOn w:val="Nadpis2"/>
    <w:next w:val="Normln"/>
    <w:link w:val="Nadpis3Char"/>
    <w:uiPriority w:val="9"/>
    <w:qFormat/>
    <w:rsid w:val="00274C1D"/>
    <w:pPr>
      <w:numPr>
        <w:ilvl w:val="2"/>
      </w:numPr>
      <w:outlineLvl w:val="2"/>
    </w:pPr>
    <w:rPr>
      <w:bCs/>
      <w:sz w:val="28"/>
      <w:szCs w:val="26"/>
    </w:rPr>
  </w:style>
  <w:style w:type="paragraph" w:styleId="Nadpis4">
    <w:name w:val="heading 4"/>
    <w:basedOn w:val="Nadpis3"/>
    <w:next w:val="Normln"/>
    <w:link w:val="Nadpis4Char"/>
    <w:uiPriority w:val="9"/>
    <w:qFormat/>
    <w:rsid w:val="00274C1D"/>
    <w:pPr>
      <w:numPr>
        <w:ilvl w:val="3"/>
      </w:numPr>
      <w:ind w:left="1728"/>
      <w:outlineLvl w:val="3"/>
    </w:pPr>
    <w:rPr>
      <w:b w:val="0"/>
    </w:rPr>
  </w:style>
  <w:style w:type="paragraph" w:styleId="Nadpis5">
    <w:name w:val="heading 5"/>
    <w:basedOn w:val="Nadpis4"/>
    <w:next w:val="Normln"/>
    <w:link w:val="Nadpis5Char"/>
    <w:uiPriority w:val="9"/>
    <w:qFormat/>
    <w:rsid w:val="00274C1D"/>
    <w:pPr>
      <w:outlineLvl w:val="4"/>
    </w:pPr>
    <w:rPr>
      <w:bCs w:val="0"/>
      <w:iCs w:val="0"/>
      <w:sz w:val="24"/>
    </w:rPr>
  </w:style>
  <w:style w:type="paragraph" w:styleId="Nadpis6">
    <w:name w:val="heading 6"/>
    <w:basedOn w:val="Normln"/>
    <w:next w:val="Normln"/>
    <w:link w:val="Nadpis6Char"/>
    <w:uiPriority w:val="9"/>
    <w:rsid w:val="009D5DFC"/>
    <w:pPr>
      <w:outlineLvl w:val="5"/>
    </w:pPr>
    <w:rPr>
      <w:rFonts w:ascii="Calibri" w:hAnsi="Calibri"/>
      <w:b/>
      <w:bCs/>
      <w:sz w:val="22"/>
      <w:szCs w:val="22"/>
    </w:rPr>
  </w:style>
  <w:style w:type="paragraph" w:styleId="Nadpis7">
    <w:name w:val="heading 7"/>
    <w:basedOn w:val="Normln"/>
    <w:next w:val="Normln"/>
    <w:link w:val="Nadpis7Char"/>
    <w:uiPriority w:val="9"/>
    <w:rsid w:val="009D5DFC"/>
    <w:pPr>
      <w:outlineLvl w:val="6"/>
    </w:pPr>
    <w:rPr>
      <w:rFonts w:ascii="Calibri" w:hAnsi="Calibri"/>
    </w:rPr>
  </w:style>
  <w:style w:type="paragraph" w:styleId="Nadpis8">
    <w:name w:val="heading 8"/>
    <w:basedOn w:val="Normln"/>
    <w:next w:val="Normln"/>
    <w:link w:val="Nadpis8Char"/>
    <w:uiPriority w:val="9"/>
    <w:rsid w:val="009D5DFC"/>
    <w:pPr>
      <w:outlineLvl w:val="7"/>
    </w:pPr>
    <w:rPr>
      <w:rFonts w:ascii="Calibri" w:hAnsi="Calibri"/>
      <w:i/>
      <w:iCs/>
    </w:rPr>
  </w:style>
  <w:style w:type="paragraph" w:styleId="Nadpis9">
    <w:name w:val="heading 9"/>
    <w:basedOn w:val="Normln"/>
    <w:next w:val="Normln"/>
    <w:link w:val="Nadpis9Char"/>
    <w:uiPriority w:val="9"/>
    <w:rsid w:val="009D5DFC"/>
    <w:pPr>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0766"/>
    <w:rPr>
      <w:rFonts w:ascii="Arial" w:hAnsi="Arial"/>
      <w:b/>
      <w:bCs/>
      <w:color w:val="E53138"/>
      <w:kern w:val="32"/>
      <w:sz w:val="32"/>
      <w:szCs w:val="32"/>
      <w:lang w:bidi="en-US"/>
    </w:rPr>
  </w:style>
  <w:style w:type="character" w:customStyle="1" w:styleId="Nadpis2Char">
    <w:name w:val="Nadpis 2 Char"/>
    <w:basedOn w:val="Standardnpsmoodstavce"/>
    <w:link w:val="Nadpis2"/>
    <w:uiPriority w:val="9"/>
    <w:rsid w:val="00D11966"/>
    <w:rPr>
      <w:rFonts w:ascii="Arial" w:hAnsi="Arial"/>
      <w:b/>
      <w:iCs/>
      <w:kern w:val="32"/>
      <w:sz w:val="24"/>
      <w:szCs w:val="28"/>
      <w:lang w:bidi="en-US"/>
    </w:rPr>
  </w:style>
  <w:style w:type="character" w:customStyle="1" w:styleId="Nadpis3Char">
    <w:name w:val="Nadpis 3 Char"/>
    <w:basedOn w:val="Standardnpsmoodstavce"/>
    <w:link w:val="Nadpis3"/>
    <w:uiPriority w:val="9"/>
    <w:rsid w:val="00274C1D"/>
    <w:rPr>
      <w:rFonts w:ascii="Arial" w:hAnsi="Arial"/>
      <w:b/>
      <w:bCs/>
      <w:iCs/>
      <w:kern w:val="32"/>
      <w:sz w:val="28"/>
      <w:szCs w:val="26"/>
      <w:lang w:eastAsia="en-US" w:bidi="en-US"/>
    </w:rPr>
  </w:style>
  <w:style w:type="character" w:customStyle="1" w:styleId="Nadpis4Char">
    <w:name w:val="Nadpis 4 Char"/>
    <w:basedOn w:val="Standardnpsmoodstavce"/>
    <w:link w:val="Nadpis4"/>
    <w:uiPriority w:val="9"/>
    <w:rsid w:val="00274C1D"/>
    <w:rPr>
      <w:rFonts w:ascii="Arial" w:hAnsi="Arial"/>
      <w:bCs/>
      <w:iCs/>
      <w:kern w:val="32"/>
      <w:sz w:val="28"/>
      <w:szCs w:val="26"/>
      <w:lang w:eastAsia="en-US" w:bidi="en-US"/>
    </w:rPr>
  </w:style>
  <w:style w:type="character" w:customStyle="1" w:styleId="Nadpis5Char">
    <w:name w:val="Nadpis 5 Char"/>
    <w:basedOn w:val="Standardnpsmoodstavce"/>
    <w:link w:val="Nadpis5"/>
    <w:uiPriority w:val="9"/>
    <w:rsid w:val="00274C1D"/>
    <w:rPr>
      <w:rFonts w:ascii="Arial" w:hAnsi="Arial"/>
      <w:kern w:val="32"/>
      <w:sz w:val="24"/>
      <w:szCs w:val="26"/>
      <w:lang w:eastAsia="en-US" w:bidi="en-US"/>
    </w:rPr>
  </w:style>
  <w:style w:type="character" w:customStyle="1" w:styleId="Nadpis6Char">
    <w:name w:val="Nadpis 6 Char"/>
    <w:basedOn w:val="Standardnpsmoodstavce"/>
    <w:link w:val="Nadpis6"/>
    <w:uiPriority w:val="9"/>
    <w:semiHidden/>
    <w:rsid w:val="009D5DFC"/>
    <w:rPr>
      <w:b/>
      <w:bCs/>
    </w:rPr>
  </w:style>
  <w:style w:type="character" w:customStyle="1" w:styleId="Nadpis7Char">
    <w:name w:val="Nadpis 7 Char"/>
    <w:basedOn w:val="Standardnpsmoodstavce"/>
    <w:link w:val="Nadpis7"/>
    <w:uiPriority w:val="9"/>
    <w:semiHidden/>
    <w:rsid w:val="009D5DFC"/>
    <w:rPr>
      <w:sz w:val="24"/>
      <w:szCs w:val="24"/>
    </w:rPr>
  </w:style>
  <w:style w:type="character" w:customStyle="1" w:styleId="Nadpis8Char">
    <w:name w:val="Nadpis 8 Char"/>
    <w:basedOn w:val="Standardnpsmoodstavce"/>
    <w:link w:val="Nadpis8"/>
    <w:uiPriority w:val="9"/>
    <w:semiHidden/>
    <w:rsid w:val="009D5DFC"/>
    <w:rPr>
      <w:i/>
      <w:iCs/>
      <w:sz w:val="24"/>
      <w:szCs w:val="24"/>
    </w:rPr>
  </w:style>
  <w:style w:type="character" w:customStyle="1" w:styleId="Nadpis9Char">
    <w:name w:val="Nadpis 9 Char"/>
    <w:basedOn w:val="Standardnpsmoodstavce"/>
    <w:link w:val="Nadpis9"/>
    <w:uiPriority w:val="9"/>
    <w:semiHidden/>
    <w:rsid w:val="009D5DFC"/>
    <w:rPr>
      <w:rFonts w:ascii="Cambria" w:eastAsia="Times New Roman" w:hAnsi="Cambria"/>
    </w:rPr>
  </w:style>
  <w:style w:type="paragraph" w:styleId="Nzev">
    <w:name w:val="Title"/>
    <w:basedOn w:val="Normln"/>
    <w:next w:val="Normln"/>
    <w:link w:val="NzevChar"/>
    <w:uiPriority w:val="10"/>
    <w:qFormat/>
    <w:rsid w:val="009E40E0"/>
    <w:pPr>
      <w:jc w:val="center"/>
      <w:outlineLvl w:val="0"/>
    </w:pPr>
    <w:rPr>
      <w:b/>
      <w:bCs/>
      <w:color w:val="E53138"/>
      <w:kern w:val="28"/>
      <w:sz w:val="48"/>
      <w:szCs w:val="32"/>
    </w:rPr>
  </w:style>
  <w:style w:type="character" w:customStyle="1" w:styleId="NzevChar">
    <w:name w:val="Název Char"/>
    <w:basedOn w:val="Standardnpsmoodstavce"/>
    <w:link w:val="Nzev"/>
    <w:uiPriority w:val="10"/>
    <w:rsid w:val="009E40E0"/>
    <w:rPr>
      <w:rFonts w:ascii="Arial" w:hAnsi="Arial"/>
      <w:b/>
      <w:bCs/>
      <w:color w:val="E53138"/>
      <w:kern w:val="28"/>
      <w:sz w:val="48"/>
      <w:szCs w:val="32"/>
      <w:lang w:eastAsia="en-US" w:bidi="en-US"/>
    </w:rPr>
  </w:style>
  <w:style w:type="paragraph" w:styleId="Podtitul">
    <w:name w:val="Subtitle"/>
    <w:basedOn w:val="Normln"/>
    <w:next w:val="Normln"/>
    <w:link w:val="PodtitulChar"/>
    <w:uiPriority w:val="11"/>
    <w:qFormat/>
    <w:rsid w:val="00E25EF4"/>
    <w:pPr>
      <w:jc w:val="center"/>
      <w:outlineLvl w:val="1"/>
    </w:pPr>
    <w:rPr>
      <w:b/>
    </w:rPr>
  </w:style>
  <w:style w:type="character" w:customStyle="1" w:styleId="PodtitulChar">
    <w:name w:val="Podtitul Char"/>
    <w:basedOn w:val="Standardnpsmoodstavce"/>
    <w:link w:val="Podtitul"/>
    <w:uiPriority w:val="11"/>
    <w:rsid w:val="00E25EF4"/>
    <w:rPr>
      <w:rFonts w:ascii="Arial" w:hAnsi="Arial"/>
      <w:b/>
      <w:sz w:val="24"/>
      <w:szCs w:val="24"/>
      <w:lang w:eastAsia="en-US" w:bidi="en-US"/>
    </w:rPr>
  </w:style>
  <w:style w:type="character" w:styleId="Siln">
    <w:name w:val="Strong"/>
    <w:basedOn w:val="Standardnpsmoodstavce"/>
    <w:uiPriority w:val="22"/>
    <w:qFormat/>
    <w:rsid w:val="009D5DFC"/>
    <w:rPr>
      <w:rFonts w:ascii="Arial" w:hAnsi="Arial"/>
      <w:b/>
      <w:bCs/>
      <w:sz w:val="20"/>
    </w:rPr>
  </w:style>
  <w:style w:type="character" w:styleId="Zvraznn">
    <w:name w:val="Emphasis"/>
    <w:basedOn w:val="Standardnpsmoodstavce"/>
    <w:uiPriority w:val="20"/>
    <w:qFormat/>
    <w:rsid w:val="007B4C2B"/>
    <w:rPr>
      <w:rFonts w:ascii="Arial" w:hAnsi="Arial"/>
      <w:b/>
      <w:iCs/>
      <w:sz w:val="20"/>
    </w:rPr>
  </w:style>
  <w:style w:type="paragraph" w:styleId="Bezmezer">
    <w:name w:val="No Spacing"/>
    <w:basedOn w:val="Normln"/>
    <w:link w:val="BezmezerChar"/>
    <w:uiPriority w:val="1"/>
    <w:qFormat/>
    <w:rsid w:val="006E4868"/>
    <w:pPr>
      <w:spacing w:before="0" w:after="0"/>
    </w:pPr>
    <w:rPr>
      <w:szCs w:val="32"/>
    </w:rPr>
  </w:style>
  <w:style w:type="paragraph" w:styleId="Odstavecseseznamem">
    <w:name w:val="List Paragraph"/>
    <w:basedOn w:val="Normln"/>
    <w:link w:val="OdstavecseseznamemChar"/>
    <w:uiPriority w:val="34"/>
    <w:qFormat/>
    <w:rsid w:val="009D5DFC"/>
    <w:pPr>
      <w:ind w:left="720"/>
      <w:contextualSpacing/>
    </w:pPr>
  </w:style>
  <w:style w:type="paragraph" w:styleId="Citt">
    <w:name w:val="Quote"/>
    <w:basedOn w:val="Normln"/>
    <w:next w:val="Normln"/>
    <w:link w:val="CittChar"/>
    <w:uiPriority w:val="29"/>
    <w:qFormat/>
    <w:rsid w:val="00CA104E"/>
    <w:rPr>
      <w:i/>
    </w:rPr>
  </w:style>
  <w:style w:type="character" w:customStyle="1" w:styleId="CittChar">
    <w:name w:val="Citát Char"/>
    <w:basedOn w:val="Standardnpsmoodstavce"/>
    <w:link w:val="Citt"/>
    <w:uiPriority w:val="29"/>
    <w:rsid w:val="00CA104E"/>
    <w:rPr>
      <w:rFonts w:ascii="Arial" w:hAnsi="Arial"/>
      <w:i/>
      <w:szCs w:val="24"/>
      <w:lang w:eastAsia="en-US" w:bidi="en-US"/>
    </w:rPr>
  </w:style>
  <w:style w:type="paragraph" w:styleId="Vrazncitt">
    <w:name w:val="Intense Quote"/>
    <w:basedOn w:val="Normln"/>
    <w:next w:val="Normln"/>
    <w:link w:val="VrazncittChar"/>
    <w:uiPriority w:val="30"/>
    <w:rsid w:val="009D5DFC"/>
    <w:pPr>
      <w:ind w:left="720" w:right="720"/>
    </w:pPr>
    <w:rPr>
      <w:rFonts w:ascii="Calibri" w:hAnsi="Calibri"/>
      <w:b/>
      <w:i/>
      <w:szCs w:val="22"/>
    </w:rPr>
  </w:style>
  <w:style w:type="character" w:customStyle="1" w:styleId="VrazncittChar">
    <w:name w:val="Výrazný citát Char"/>
    <w:basedOn w:val="Standardnpsmoodstavce"/>
    <w:link w:val="Vrazncitt"/>
    <w:uiPriority w:val="30"/>
    <w:rsid w:val="009D5DFC"/>
    <w:rPr>
      <w:b/>
      <w:i/>
      <w:sz w:val="24"/>
    </w:rPr>
  </w:style>
  <w:style w:type="character" w:styleId="Zdraznnjemn">
    <w:name w:val="Subtle Emphasis"/>
    <w:uiPriority w:val="19"/>
    <w:rsid w:val="00EF4486"/>
    <w:rPr>
      <w:rFonts w:ascii="Arial" w:hAnsi="Arial"/>
      <w:i/>
      <w:color w:val="9A9B9D"/>
      <w:sz w:val="20"/>
    </w:rPr>
  </w:style>
  <w:style w:type="character" w:styleId="Zdraznnintenzivn">
    <w:name w:val="Intense Emphasis"/>
    <w:basedOn w:val="Standardnpsmoodstavce"/>
    <w:uiPriority w:val="21"/>
    <w:rsid w:val="009D5DFC"/>
    <w:rPr>
      <w:rFonts w:ascii="Arial" w:hAnsi="Arial"/>
      <w:b/>
      <w:i/>
      <w:sz w:val="20"/>
      <w:szCs w:val="24"/>
      <w:u w:val="single"/>
    </w:rPr>
  </w:style>
  <w:style w:type="character" w:styleId="Odkazjemn">
    <w:name w:val="Subtle Reference"/>
    <w:basedOn w:val="Standardnpsmoodstavce"/>
    <w:uiPriority w:val="31"/>
    <w:rsid w:val="009D5DFC"/>
    <w:rPr>
      <w:rFonts w:ascii="Arial" w:hAnsi="Arial"/>
      <w:sz w:val="20"/>
      <w:szCs w:val="24"/>
      <w:u w:val="single"/>
    </w:rPr>
  </w:style>
  <w:style w:type="character" w:styleId="Odkazintenzivn">
    <w:name w:val="Intense Reference"/>
    <w:basedOn w:val="Standardnpsmoodstavce"/>
    <w:uiPriority w:val="32"/>
    <w:rsid w:val="009D5DFC"/>
    <w:rPr>
      <w:rFonts w:ascii="Arial" w:hAnsi="Arial"/>
      <w:b/>
      <w:sz w:val="18"/>
      <w:u w:val="single"/>
    </w:rPr>
  </w:style>
  <w:style w:type="character" w:styleId="Nzevknihy">
    <w:name w:val="Book Title"/>
    <w:basedOn w:val="Standardnpsmoodstavce"/>
    <w:uiPriority w:val="33"/>
    <w:rsid w:val="009D5DFC"/>
    <w:rPr>
      <w:rFonts w:ascii="Arial" w:eastAsia="Times New Roman" w:hAnsi="Arial"/>
      <w:b/>
      <w:i/>
      <w:sz w:val="22"/>
      <w:szCs w:val="24"/>
    </w:rPr>
  </w:style>
  <w:style w:type="paragraph" w:styleId="Nadpisobsahu">
    <w:name w:val="TOC Heading"/>
    <w:basedOn w:val="Nadpis1"/>
    <w:next w:val="Normln"/>
    <w:uiPriority w:val="39"/>
    <w:qFormat/>
    <w:rsid w:val="009D5DFC"/>
    <w:pPr>
      <w:outlineLvl w:val="9"/>
    </w:pPr>
  </w:style>
  <w:style w:type="paragraph" w:styleId="Zhlav">
    <w:name w:val="header"/>
    <w:basedOn w:val="Normln"/>
    <w:link w:val="ZhlavChar"/>
    <w:uiPriority w:val="99"/>
    <w:unhideWhenUsed/>
    <w:rsid w:val="009D5DFC"/>
    <w:pPr>
      <w:tabs>
        <w:tab w:val="center" w:pos="4536"/>
        <w:tab w:val="right" w:pos="9072"/>
      </w:tabs>
    </w:pPr>
  </w:style>
  <w:style w:type="character" w:customStyle="1" w:styleId="ZhlavChar">
    <w:name w:val="Záhlaví Char"/>
    <w:basedOn w:val="Standardnpsmoodstavce"/>
    <w:link w:val="Zhlav"/>
    <w:uiPriority w:val="99"/>
    <w:rsid w:val="009D5DFC"/>
    <w:rPr>
      <w:rFonts w:ascii="Arial" w:hAnsi="Arial"/>
      <w:sz w:val="20"/>
      <w:szCs w:val="24"/>
    </w:rPr>
  </w:style>
  <w:style w:type="paragraph" w:styleId="Zpat">
    <w:name w:val="footer"/>
    <w:basedOn w:val="Normln"/>
    <w:link w:val="ZpatChar"/>
    <w:uiPriority w:val="99"/>
    <w:semiHidden/>
    <w:unhideWhenUsed/>
    <w:rsid w:val="009D5DFC"/>
    <w:pPr>
      <w:tabs>
        <w:tab w:val="center" w:pos="4536"/>
        <w:tab w:val="right" w:pos="9072"/>
      </w:tabs>
    </w:pPr>
  </w:style>
  <w:style w:type="character" w:customStyle="1" w:styleId="ZpatChar">
    <w:name w:val="Zápatí Char"/>
    <w:basedOn w:val="Standardnpsmoodstavce"/>
    <w:link w:val="Zpat"/>
    <w:uiPriority w:val="99"/>
    <w:semiHidden/>
    <w:rsid w:val="009D5DFC"/>
    <w:rPr>
      <w:rFonts w:ascii="Arial" w:hAnsi="Arial"/>
      <w:sz w:val="20"/>
      <w:szCs w:val="24"/>
    </w:rPr>
  </w:style>
  <w:style w:type="paragraph" w:styleId="Textvysvtlivek">
    <w:name w:val="endnote text"/>
    <w:basedOn w:val="Normln"/>
    <w:link w:val="TextvysvtlivekChar"/>
    <w:uiPriority w:val="99"/>
    <w:semiHidden/>
    <w:unhideWhenUsed/>
    <w:rsid w:val="00F26681"/>
    <w:rPr>
      <w:szCs w:val="20"/>
    </w:rPr>
  </w:style>
  <w:style w:type="character" w:customStyle="1" w:styleId="TextvysvtlivekChar">
    <w:name w:val="Text vysvětlivek Char"/>
    <w:basedOn w:val="Standardnpsmoodstavce"/>
    <w:link w:val="Textvysvtlivek"/>
    <w:uiPriority w:val="99"/>
    <w:semiHidden/>
    <w:rsid w:val="00F26681"/>
    <w:rPr>
      <w:rFonts w:ascii="Arial" w:hAnsi="Arial"/>
      <w:lang w:eastAsia="en-US" w:bidi="en-US"/>
    </w:rPr>
  </w:style>
  <w:style w:type="character" w:styleId="Odkaznavysvtlivky">
    <w:name w:val="endnote reference"/>
    <w:basedOn w:val="Standardnpsmoodstavce"/>
    <w:uiPriority w:val="99"/>
    <w:semiHidden/>
    <w:unhideWhenUsed/>
    <w:rsid w:val="00F26681"/>
    <w:rPr>
      <w:vertAlign w:val="superscript"/>
    </w:rPr>
  </w:style>
  <w:style w:type="paragraph" w:styleId="Obsah1">
    <w:name w:val="toc 1"/>
    <w:basedOn w:val="Normln"/>
    <w:next w:val="Normln"/>
    <w:autoRedefine/>
    <w:uiPriority w:val="39"/>
    <w:unhideWhenUsed/>
    <w:qFormat/>
    <w:rsid w:val="0012399A"/>
    <w:pPr>
      <w:tabs>
        <w:tab w:val="left" w:pos="357"/>
        <w:tab w:val="left" w:pos="720"/>
        <w:tab w:val="right" w:leader="dot" w:pos="9629"/>
      </w:tabs>
      <w:ind w:left="720" w:hanging="720"/>
    </w:pPr>
    <w:rPr>
      <w:noProof/>
    </w:rPr>
  </w:style>
  <w:style w:type="paragraph" w:styleId="Obsah2">
    <w:name w:val="toc 2"/>
    <w:basedOn w:val="Normln"/>
    <w:next w:val="Normln"/>
    <w:autoRedefine/>
    <w:uiPriority w:val="39"/>
    <w:unhideWhenUsed/>
    <w:qFormat/>
    <w:rsid w:val="00C664CD"/>
    <w:pPr>
      <w:tabs>
        <w:tab w:val="left" w:pos="720"/>
        <w:tab w:val="left" w:pos="1100"/>
        <w:tab w:val="right" w:leader="dot" w:pos="9629"/>
      </w:tabs>
      <w:ind w:left="357"/>
    </w:pPr>
  </w:style>
  <w:style w:type="paragraph" w:styleId="Obsah3">
    <w:name w:val="toc 3"/>
    <w:basedOn w:val="Normln"/>
    <w:next w:val="Normln"/>
    <w:autoRedefine/>
    <w:uiPriority w:val="39"/>
    <w:unhideWhenUsed/>
    <w:qFormat/>
    <w:rsid w:val="0012399A"/>
    <w:pPr>
      <w:tabs>
        <w:tab w:val="left" w:pos="1066"/>
        <w:tab w:val="right" w:leader="dot" w:pos="9629"/>
      </w:tabs>
      <w:ind w:left="720"/>
    </w:pPr>
  </w:style>
  <w:style w:type="character" w:styleId="Hypertextovodkaz">
    <w:name w:val="Hyperlink"/>
    <w:basedOn w:val="Standardnpsmoodstavce"/>
    <w:uiPriority w:val="99"/>
    <w:unhideWhenUsed/>
    <w:rsid w:val="00F26681"/>
    <w:rPr>
      <w:color w:val="0000FF"/>
      <w:u w:val="single"/>
    </w:rPr>
  </w:style>
  <w:style w:type="paragraph" w:styleId="Textbubliny">
    <w:name w:val="Balloon Text"/>
    <w:basedOn w:val="Normln"/>
    <w:link w:val="TextbublinyChar"/>
    <w:uiPriority w:val="99"/>
    <w:semiHidden/>
    <w:unhideWhenUsed/>
    <w:rsid w:val="0019150A"/>
    <w:rPr>
      <w:rFonts w:ascii="Tahoma" w:hAnsi="Tahoma" w:cs="Tahoma"/>
      <w:sz w:val="16"/>
      <w:szCs w:val="16"/>
    </w:rPr>
  </w:style>
  <w:style w:type="character" w:customStyle="1" w:styleId="TextbublinyChar">
    <w:name w:val="Text bubliny Char"/>
    <w:basedOn w:val="Standardnpsmoodstavce"/>
    <w:link w:val="Textbubliny"/>
    <w:uiPriority w:val="99"/>
    <w:semiHidden/>
    <w:rsid w:val="0019150A"/>
    <w:rPr>
      <w:rFonts w:ascii="Tahoma" w:hAnsi="Tahoma" w:cs="Tahoma"/>
      <w:sz w:val="16"/>
      <w:szCs w:val="16"/>
      <w:lang w:eastAsia="en-US" w:bidi="en-US"/>
    </w:rPr>
  </w:style>
  <w:style w:type="paragraph" w:styleId="Textpoznpodarou">
    <w:name w:val="footnote text"/>
    <w:basedOn w:val="Normln"/>
    <w:link w:val="TextpoznpodarouChar"/>
    <w:uiPriority w:val="99"/>
    <w:semiHidden/>
    <w:unhideWhenUsed/>
    <w:rsid w:val="00E7690D"/>
    <w:rPr>
      <w:szCs w:val="20"/>
    </w:rPr>
  </w:style>
  <w:style w:type="character" w:customStyle="1" w:styleId="TextpoznpodarouChar">
    <w:name w:val="Text pozn. pod čarou Char"/>
    <w:basedOn w:val="Standardnpsmoodstavce"/>
    <w:link w:val="Textpoznpodarou"/>
    <w:uiPriority w:val="99"/>
    <w:semiHidden/>
    <w:rsid w:val="00E7690D"/>
    <w:rPr>
      <w:rFonts w:ascii="Arial" w:hAnsi="Arial"/>
      <w:lang w:eastAsia="en-US" w:bidi="en-US"/>
    </w:rPr>
  </w:style>
  <w:style w:type="character" w:styleId="Znakapoznpodarou">
    <w:name w:val="footnote reference"/>
    <w:basedOn w:val="Standardnpsmoodstavce"/>
    <w:uiPriority w:val="99"/>
    <w:semiHidden/>
    <w:unhideWhenUsed/>
    <w:rsid w:val="00E7690D"/>
    <w:rPr>
      <w:vertAlign w:val="superscript"/>
    </w:rPr>
  </w:style>
  <w:style w:type="paragraph" w:customStyle="1" w:styleId="zhlavL">
    <w:name w:val="záhlaví L"/>
    <w:basedOn w:val="Normln"/>
    <w:link w:val="zhlavLChar"/>
    <w:qFormat/>
    <w:rsid w:val="00361261"/>
    <w:pPr>
      <w:spacing w:before="0" w:after="0"/>
      <w:jc w:val="right"/>
    </w:pPr>
    <w:rPr>
      <w:color w:val="C00000"/>
      <w:sz w:val="16"/>
    </w:rPr>
  </w:style>
  <w:style w:type="paragraph" w:customStyle="1" w:styleId="ZhlavR">
    <w:name w:val="Záhlaví R"/>
    <w:basedOn w:val="Normln"/>
    <w:link w:val="ZhlavRChar"/>
    <w:qFormat/>
    <w:rsid w:val="00361261"/>
    <w:pPr>
      <w:spacing w:before="0" w:after="0"/>
    </w:pPr>
    <w:rPr>
      <w:color w:val="C00000"/>
      <w:sz w:val="16"/>
    </w:rPr>
  </w:style>
  <w:style w:type="character" w:customStyle="1" w:styleId="zhlavLChar">
    <w:name w:val="záhlaví L Char"/>
    <w:basedOn w:val="Standardnpsmoodstavce"/>
    <w:link w:val="zhlavL"/>
    <w:rsid w:val="00361261"/>
    <w:rPr>
      <w:rFonts w:ascii="Arial" w:hAnsi="Arial"/>
      <w:color w:val="C00000"/>
      <w:sz w:val="16"/>
      <w:szCs w:val="24"/>
      <w:lang w:eastAsia="en-US" w:bidi="en-US"/>
    </w:rPr>
  </w:style>
  <w:style w:type="paragraph" w:customStyle="1" w:styleId="slovanseznam1">
    <w:name w:val="Číslovaný seznam1"/>
    <w:basedOn w:val="Odstavecseseznamem"/>
    <w:link w:val="slovanseznam1Char"/>
    <w:rsid w:val="007B4C2B"/>
    <w:pPr>
      <w:numPr>
        <w:numId w:val="2"/>
      </w:numPr>
      <w:ind w:left="425" w:hanging="425"/>
    </w:pPr>
  </w:style>
  <w:style w:type="character" w:customStyle="1" w:styleId="ZhlavRChar">
    <w:name w:val="Záhlaví R Char"/>
    <w:basedOn w:val="Standardnpsmoodstavce"/>
    <w:link w:val="ZhlavR"/>
    <w:rsid w:val="00361261"/>
    <w:rPr>
      <w:rFonts w:ascii="Arial" w:hAnsi="Arial"/>
      <w:color w:val="C00000"/>
      <w:sz w:val="16"/>
      <w:szCs w:val="24"/>
      <w:lang w:eastAsia="en-US" w:bidi="en-US"/>
    </w:rPr>
  </w:style>
  <w:style w:type="character" w:customStyle="1" w:styleId="OdstavecseseznamemChar">
    <w:name w:val="Odstavec se seznamem Char"/>
    <w:basedOn w:val="Standardnpsmoodstavce"/>
    <w:link w:val="Odstavecseseznamem"/>
    <w:uiPriority w:val="34"/>
    <w:rsid w:val="007B4C2B"/>
    <w:rPr>
      <w:rFonts w:ascii="Arial" w:hAnsi="Arial"/>
      <w:szCs w:val="24"/>
      <w:lang w:eastAsia="en-US" w:bidi="en-US"/>
    </w:rPr>
  </w:style>
  <w:style w:type="character" w:customStyle="1" w:styleId="slovanseznam1Char">
    <w:name w:val="Číslovaný seznam1 Char"/>
    <w:basedOn w:val="OdstavecseseznamemChar"/>
    <w:link w:val="slovanseznam1"/>
    <w:rsid w:val="007B4C2B"/>
    <w:rPr>
      <w:rFonts w:ascii="Arial" w:hAnsi="Arial"/>
      <w:szCs w:val="24"/>
      <w:lang w:eastAsia="en-US" w:bidi="en-US"/>
    </w:rPr>
  </w:style>
  <w:style w:type="paragraph" w:customStyle="1" w:styleId="Odrky1">
    <w:name w:val="Odrážky 1"/>
    <w:basedOn w:val="Odstavecseseznamem"/>
    <w:link w:val="Odrky1Char"/>
    <w:qFormat/>
    <w:rsid w:val="0044131C"/>
    <w:pPr>
      <w:numPr>
        <w:numId w:val="3"/>
      </w:numPr>
      <w:ind w:left="426" w:hanging="426"/>
      <w:contextualSpacing w:val="0"/>
    </w:pPr>
  </w:style>
  <w:style w:type="paragraph" w:customStyle="1" w:styleId="Odrky2">
    <w:name w:val="Odrážky 2"/>
    <w:basedOn w:val="Odrky1"/>
    <w:link w:val="Odrky2Char"/>
    <w:qFormat/>
    <w:rsid w:val="0044131C"/>
    <w:pPr>
      <w:numPr>
        <w:ilvl w:val="1"/>
      </w:numPr>
      <w:ind w:left="850" w:hanging="425"/>
    </w:pPr>
  </w:style>
  <w:style w:type="character" w:customStyle="1" w:styleId="Odrky1Char">
    <w:name w:val="Odrážky 1 Char"/>
    <w:basedOn w:val="OdstavecseseznamemChar"/>
    <w:link w:val="Odrky1"/>
    <w:rsid w:val="0044131C"/>
    <w:rPr>
      <w:rFonts w:ascii="Arial" w:hAnsi="Arial"/>
      <w:szCs w:val="24"/>
      <w:lang w:eastAsia="en-US" w:bidi="en-US"/>
    </w:rPr>
  </w:style>
  <w:style w:type="paragraph" w:customStyle="1" w:styleId="Odrky3">
    <w:name w:val="Odrážky 3"/>
    <w:basedOn w:val="Odrky2"/>
    <w:link w:val="Odrky3Char"/>
    <w:qFormat/>
    <w:rsid w:val="0044131C"/>
    <w:pPr>
      <w:numPr>
        <w:ilvl w:val="2"/>
      </w:numPr>
      <w:ind w:left="1276" w:hanging="425"/>
    </w:pPr>
  </w:style>
  <w:style w:type="character" w:customStyle="1" w:styleId="Odrky2Char">
    <w:name w:val="Odrážky 2 Char"/>
    <w:basedOn w:val="Odrky1Char"/>
    <w:link w:val="Odrky2"/>
    <w:rsid w:val="0044131C"/>
    <w:rPr>
      <w:rFonts w:ascii="Arial" w:hAnsi="Arial"/>
      <w:szCs w:val="24"/>
      <w:lang w:eastAsia="en-US" w:bidi="en-US"/>
    </w:rPr>
  </w:style>
  <w:style w:type="paragraph" w:customStyle="1" w:styleId="seznam1">
    <w:name w:val="Č. seznam 1"/>
    <w:basedOn w:val="Odstavecseseznamem"/>
    <w:link w:val="seznam1Char"/>
    <w:qFormat/>
    <w:rsid w:val="005F24AB"/>
    <w:pPr>
      <w:numPr>
        <w:numId w:val="4"/>
      </w:numPr>
      <w:ind w:left="425" w:hanging="425"/>
      <w:contextualSpacing w:val="0"/>
    </w:pPr>
  </w:style>
  <w:style w:type="character" w:customStyle="1" w:styleId="Odrky3Char">
    <w:name w:val="Odrážky 3 Char"/>
    <w:basedOn w:val="Odrky2Char"/>
    <w:link w:val="Odrky3"/>
    <w:rsid w:val="0044131C"/>
    <w:rPr>
      <w:rFonts w:ascii="Arial" w:hAnsi="Arial"/>
      <w:szCs w:val="24"/>
      <w:lang w:eastAsia="en-US" w:bidi="en-US"/>
    </w:rPr>
  </w:style>
  <w:style w:type="paragraph" w:customStyle="1" w:styleId="seznam2">
    <w:name w:val="Č. seznam 2"/>
    <w:basedOn w:val="seznam1"/>
    <w:link w:val="seznam2Char"/>
    <w:qFormat/>
    <w:rsid w:val="005F24AB"/>
    <w:pPr>
      <w:numPr>
        <w:ilvl w:val="1"/>
      </w:numPr>
      <w:ind w:left="850" w:hanging="425"/>
    </w:pPr>
  </w:style>
  <w:style w:type="character" w:customStyle="1" w:styleId="seznam1Char">
    <w:name w:val="Č. seznam 1 Char"/>
    <w:basedOn w:val="OdstavecseseznamemChar"/>
    <w:link w:val="seznam1"/>
    <w:rsid w:val="005F24AB"/>
    <w:rPr>
      <w:rFonts w:ascii="Arial" w:hAnsi="Arial"/>
      <w:szCs w:val="24"/>
      <w:lang w:eastAsia="en-US" w:bidi="en-US"/>
    </w:rPr>
  </w:style>
  <w:style w:type="paragraph" w:customStyle="1" w:styleId="seznam3">
    <w:name w:val="Č. seznam 3"/>
    <w:basedOn w:val="seznam2"/>
    <w:link w:val="seznam3Char"/>
    <w:qFormat/>
    <w:rsid w:val="005F24AB"/>
    <w:pPr>
      <w:numPr>
        <w:ilvl w:val="2"/>
      </w:numPr>
      <w:ind w:left="1276" w:hanging="425"/>
    </w:pPr>
  </w:style>
  <w:style w:type="character" w:customStyle="1" w:styleId="seznam2Char">
    <w:name w:val="Č. seznam 2 Char"/>
    <w:basedOn w:val="seznam1Char"/>
    <w:link w:val="seznam2"/>
    <w:rsid w:val="005F24AB"/>
    <w:rPr>
      <w:rFonts w:ascii="Arial" w:hAnsi="Arial"/>
      <w:szCs w:val="24"/>
      <w:lang w:eastAsia="en-US" w:bidi="en-US"/>
    </w:rPr>
  </w:style>
  <w:style w:type="paragraph" w:customStyle="1" w:styleId="Popisekobrzku">
    <w:name w:val="Popisek obrázku"/>
    <w:basedOn w:val="Normln"/>
    <w:link w:val="PopisekobrzkuChar"/>
    <w:qFormat/>
    <w:rsid w:val="00B20503"/>
    <w:pPr>
      <w:spacing w:before="0"/>
    </w:pPr>
  </w:style>
  <w:style w:type="character" w:customStyle="1" w:styleId="seznam3Char">
    <w:name w:val="Č. seznam 3 Char"/>
    <w:basedOn w:val="seznam2Char"/>
    <w:link w:val="seznam3"/>
    <w:rsid w:val="005F24AB"/>
    <w:rPr>
      <w:rFonts w:ascii="Arial" w:hAnsi="Arial"/>
      <w:szCs w:val="24"/>
      <w:lang w:eastAsia="en-US" w:bidi="en-US"/>
    </w:rPr>
  </w:style>
  <w:style w:type="table" w:styleId="Mkatabulky">
    <w:name w:val="Table Grid"/>
    <w:basedOn w:val="Normlntabulka"/>
    <w:uiPriority w:val="59"/>
    <w:rsid w:val="00C62A4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opisekobrzkuChar">
    <w:name w:val="Popisek obrázku Char"/>
    <w:basedOn w:val="Standardnpsmoodstavce"/>
    <w:link w:val="Popisekobrzku"/>
    <w:rsid w:val="00B20503"/>
    <w:rPr>
      <w:rFonts w:ascii="Arial" w:hAnsi="Arial"/>
      <w:szCs w:val="24"/>
      <w:lang w:eastAsia="en-US" w:bidi="en-US"/>
    </w:rPr>
  </w:style>
  <w:style w:type="paragraph" w:styleId="Titulek">
    <w:name w:val="caption"/>
    <w:basedOn w:val="Normln"/>
    <w:next w:val="Normln"/>
    <w:uiPriority w:val="35"/>
    <w:unhideWhenUsed/>
    <w:qFormat/>
    <w:rsid w:val="00B20503"/>
    <w:pPr>
      <w:spacing w:before="0" w:after="200"/>
    </w:pPr>
    <w:rPr>
      <w:b/>
      <w:bCs/>
      <w:sz w:val="18"/>
      <w:szCs w:val="18"/>
    </w:rPr>
  </w:style>
  <w:style w:type="paragraph" w:customStyle="1" w:styleId="Poznmkapodarou">
    <w:name w:val="Poznámka pod čarou"/>
    <w:basedOn w:val="Bezmezer"/>
    <w:link w:val="PoznmkapodarouChar"/>
    <w:qFormat/>
    <w:rsid w:val="00B20503"/>
    <w:rPr>
      <w:sz w:val="16"/>
      <w:szCs w:val="16"/>
    </w:rPr>
  </w:style>
  <w:style w:type="character" w:customStyle="1" w:styleId="BezmezerChar">
    <w:name w:val="Bez mezer Char"/>
    <w:basedOn w:val="Standardnpsmoodstavce"/>
    <w:link w:val="Bezmezer"/>
    <w:uiPriority w:val="1"/>
    <w:rsid w:val="00B20503"/>
    <w:rPr>
      <w:rFonts w:ascii="Arial" w:hAnsi="Arial"/>
      <w:szCs w:val="32"/>
      <w:lang w:eastAsia="en-US" w:bidi="en-US"/>
    </w:rPr>
  </w:style>
  <w:style w:type="character" w:customStyle="1" w:styleId="PoznmkapodarouChar">
    <w:name w:val="Poznámka pod čarou Char"/>
    <w:basedOn w:val="BezmezerChar"/>
    <w:link w:val="Poznmkapodarou"/>
    <w:rsid w:val="00B20503"/>
    <w:rPr>
      <w:rFonts w:ascii="Arial" w:hAnsi="Arial"/>
      <w:szCs w:val="32"/>
      <w:lang w:eastAsia="en-US" w:bidi="en-US"/>
    </w:rPr>
  </w:style>
  <w:style w:type="paragraph" w:customStyle="1" w:styleId="Default">
    <w:name w:val="Default"/>
    <w:rsid w:val="00967A4B"/>
    <w:pPr>
      <w:autoSpaceDE w:val="0"/>
      <w:autoSpaceDN w:val="0"/>
      <w:adjustRightInd w:val="0"/>
      <w:spacing w:before="0" w:after="0"/>
      <w:ind w:left="0" w:firstLine="0"/>
    </w:pPr>
    <w:rPr>
      <w:rFonts w:cs="Calibri"/>
      <w:color w:val="000000"/>
      <w:sz w:val="24"/>
      <w:szCs w:val="24"/>
    </w:rPr>
  </w:style>
  <w:style w:type="character" w:styleId="Sledovanodkaz">
    <w:name w:val="FollowedHyperlink"/>
    <w:basedOn w:val="Standardnpsmoodstavce"/>
    <w:uiPriority w:val="99"/>
    <w:semiHidden/>
    <w:unhideWhenUsed/>
    <w:rsid w:val="000451A1"/>
    <w:rPr>
      <w:color w:val="800080" w:themeColor="followedHyperlink"/>
      <w:u w:val="single"/>
    </w:rPr>
  </w:style>
  <w:style w:type="paragraph" w:styleId="Textkomente">
    <w:name w:val="annotation text"/>
    <w:basedOn w:val="Normln"/>
    <w:link w:val="TextkomenteChar"/>
    <w:uiPriority w:val="99"/>
    <w:unhideWhenUsed/>
    <w:rsid w:val="00CB0B76"/>
    <w:pPr>
      <w:spacing w:before="0" w:after="0"/>
    </w:pPr>
    <w:rPr>
      <w:rFonts w:eastAsia="Calibri"/>
      <w:szCs w:val="20"/>
      <w:lang w:bidi="ar-SA"/>
    </w:rPr>
  </w:style>
  <w:style w:type="character" w:customStyle="1" w:styleId="TextkomenteChar">
    <w:name w:val="Text komentáře Char"/>
    <w:basedOn w:val="Standardnpsmoodstavce"/>
    <w:link w:val="Textkomente"/>
    <w:uiPriority w:val="99"/>
    <w:rsid w:val="00CB0B76"/>
    <w:rPr>
      <w:rFonts w:ascii="Arial" w:eastAsia="Calibri" w:hAnsi="Arial"/>
      <w:lang w:eastAsia="en-US"/>
    </w:rPr>
  </w:style>
  <w:style w:type="character" w:styleId="Odkaznakoment">
    <w:name w:val="annotation reference"/>
    <w:basedOn w:val="Standardnpsmoodstavce"/>
    <w:uiPriority w:val="99"/>
    <w:semiHidden/>
    <w:unhideWhenUsed/>
    <w:rsid w:val="002876DE"/>
    <w:rPr>
      <w:sz w:val="16"/>
      <w:szCs w:val="16"/>
    </w:rPr>
  </w:style>
  <w:style w:type="paragraph" w:styleId="Pedmtkomente">
    <w:name w:val="annotation subject"/>
    <w:basedOn w:val="Textkomente"/>
    <w:next w:val="Textkomente"/>
    <w:link w:val="PedmtkomenteChar"/>
    <w:uiPriority w:val="99"/>
    <w:semiHidden/>
    <w:unhideWhenUsed/>
    <w:rsid w:val="002876DE"/>
    <w:pPr>
      <w:spacing w:before="120" w:after="60"/>
      <w:jc w:val="left"/>
    </w:pPr>
    <w:rPr>
      <w:rFonts w:eastAsia="Times New Roman"/>
      <w:b/>
      <w:bCs/>
      <w:lang w:bidi="en-US"/>
    </w:rPr>
  </w:style>
  <w:style w:type="character" w:customStyle="1" w:styleId="PedmtkomenteChar">
    <w:name w:val="Předmět komentáře Char"/>
    <w:basedOn w:val="TextkomenteChar"/>
    <w:link w:val="Pedmtkomente"/>
    <w:uiPriority w:val="99"/>
    <w:semiHidden/>
    <w:rsid w:val="002876DE"/>
    <w:rPr>
      <w:rFonts w:ascii="Arial" w:eastAsia="Calibri" w:hAnsi="Arial"/>
      <w:b/>
      <w:bCs/>
      <w:lang w:eastAsia="en-US" w:bidi="en-US"/>
    </w:rPr>
  </w:style>
  <w:style w:type="paragraph" w:customStyle="1" w:styleId="odrkyChar">
    <w:name w:val="odrážky Char"/>
    <w:basedOn w:val="Zkladntextodsazen"/>
    <w:rsid w:val="003F0A66"/>
    <w:pPr>
      <w:ind w:left="0"/>
    </w:pPr>
    <w:rPr>
      <w:rFonts w:cs="Arial"/>
      <w:sz w:val="22"/>
      <w:szCs w:val="22"/>
      <w:lang w:eastAsia="cs-CZ" w:bidi="ar-SA"/>
    </w:rPr>
  </w:style>
  <w:style w:type="paragraph" w:styleId="Zkladntextodsazen">
    <w:name w:val="Body Text Indent"/>
    <w:basedOn w:val="Normln"/>
    <w:link w:val="ZkladntextodsazenChar"/>
    <w:uiPriority w:val="99"/>
    <w:semiHidden/>
    <w:unhideWhenUsed/>
    <w:rsid w:val="003F0A66"/>
    <w:pPr>
      <w:spacing w:after="120"/>
      <w:ind w:left="283"/>
    </w:pPr>
  </w:style>
  <w:style w:type="character" w:customStyle="1" w:styleId="ZkladntextodsazenChar">
    <w:name w:val="Základní text odsazený Char"/>
    <w:basedOn w:val="Standardnpsmoodstavce"/>
    <w:link w:val="Zkladntextodsazen"/>
    <w:uiPriority w:val="99"/>
    <w:semiHidden/>
    <w:rsid w:val="003F0A66"/>
    <w:rPr>
      <w:rFonts w:ascii="Arial" w:hAnsi="Arial"/>
      <w:szCs w:val="24"/>
      <w:lang w:eastAsia="en-US" w:bidi="en-US"/>
    </w:rPr>
  </w:style>
  <w:style w:type="character" w:customStyle="1" w:styleId="apple-converted-space">
    <w:name w:val="apple-converted-space"/>
    <w:basedOn w:val="Standardnpsmoodstavce"/>
    <w:rsid w:val="00BA32F1"/>
  </w:style>
  <w:style w:type="paragraph" w:styleId="Normlnweb">
    <w:name w:val="Normal (Web)"/>
    <w:basedOn w:val="Normln"/>
    <w:uiPriority w:val="99"/>
    <w:semiHidden/>
    <w:unhideWhenUsed/>
    <w:rsid w:val="008C0FDA"/>
    <w:pPr>
      <w:spacing w:before="100" w:beforeAutospacing="1" w:after="100" w:afterAutospacing="1"/>
    </w:pPr>
    <w:rPr>
      <w:rFonts w:ascii="Times New Roman" w:hAnsi="Times New Roman"/>
      <w:lang w:eastAsia="cs-CZ" w:bidi="ar-SA"/>
    </w:rPr>
  </w:style>
  <w:style w:type="paragraph" w:customStyle="1" w:styleId="para">
    <w:name w:val="para"/>
    <w:basedOn w:val="Normln"/>
    <w:rsid w:val="00276514"/>
    <w:pPr>
      <w:spacing w:before="100" w:beforeAutospacing="1" w:after="100" w:afterAutospacing="1"/>
    </w:pPr>
    <w:rPr>
      <w:rFonts w:ascii="Times New Roman" w:hAnsi="Times New Roman"/>
      <w:lang w:eastAsia="cs-CZ" w:bidi="ar-SA"/>
    </w:rPr>
  </w:style>
  <w:style w:type="paragraph" w:customStyle="1" w:styleId="go">
    <w:name w:val="go"/>
    <w:basedOn w:val="Normln"/>
    <w:rsid w:val="00276514"/>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sid w:val="00276514"/>
    <w:rPr>
      <w:i/>
      <w:iCs/>
    </w:rPr>
  </w:style>
  <w:style w:type="character" w:customStyle="1" w:styleId="odst">
    <w:name w:val="odst"/>
    <w:basedOn w:val="Standardnpsmoodstavce"/>
    <w:rsid w:val="00CD303C"/>
  </w:style>
  <w:style w:type="paragraph" w:styleId="Zkladntext2">
    <w:name w:val="Body Text 2"/>
    <w:basedOn w:val="Normln"/>
    <w:link w:val="Zkladntext2Char"/>
    <w:uiPriority w:val="99"/>
    <w:semiHidden/>
    <w:unhideWhenUsed/>
    <w:rsid w:val="00135EF5"/>
    <w:pPr>
      <w:spacing w:after="120" w:line="480" w:lineRule="auto"/>
    </w:pPr>
  </w:style>
  <w:style w:type="character" w:customStyle="1" w:styleId="Zkladntext2Char">
    <w:name w:val="Základní text 2 Char"/>
    <w:basedOn w:val="Standardnpsmoodstavce"/>
    <w:link w:val="Zkladntext2"/>
    <w:uiPriority w:val="99"/>
    <w:semiHidden/>
    <w:rsid w:val="00135EF5"/>
    <w:rPr>
      <w:rFonts w:ascii="Arial" w:hAnsi="Arial"/>
      <w:sz w:val="24"/>
      <w:szCs w:val="24"/>
      <w:lang w:eastAsia="en-US" w:bidi="en-US"/>
    </w:rPr>
  </w:style>
  <w:style w:type="paragraph" w:styleId="Rozloendokumentu">
    <w:name w:val="Document Map"/>
    <w:basedOn w:val="Normln"/>
    <w:link w:val="RozloendokumentuChar"/>
    <w:uiPriority w:val="99"/>
    <w:semiHidden/>
    <w:unhideWhenUsed/>
    <w:rsid w:val="008B468F"/>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B468F"/>
    <w:rPr>
      <w:rFonts w:ascii="Tahoma" w:hAnsi="Tahoma" w:cs="Tahoma"/>
      <w:sz w:val="16"/>
      <w:szCs w:val="16"/>
      <w:lang w:eastAsia="en-US" w:bidi="en-US"/>
    </w:rPr>
  </w:style>
  <w:style w:type="paragraph" w:styleId="Revize">
    <w:name w:val="Revision"/>
    <w:hidden/>
    <w:uiPriority w:val="99"/>
    <w:semiHidden/>
    <w:rsid w:val="00A2579F"/>
    <w:pPr>
      <w:spacing w:before="0" w:after="0"/>
      <w:ind w:left="0" w:firstLine="0"/>
    </w:pPr>
    <w:rPr>
      <w:rFonts w:ascii="Arial" w:hAnsi="Arial"/>
      <w:sz w:val="24"/>
      <w:szCs w:val="24"/>
      <w:lang w:eastAsia="en-US" w:bidi="en-US"/>
    </w:rPr>
  </w:style>
  <w:style w:type="character" w:customStyle="1" w:styleId="A3">
    <w:name w:val="A3"/>
    <w:uiPriority w:val="99"/>
    <w:rsid w:val="00E7099F"/>
    <w:rPr>
      <w:rFonts w:cs="Frutiger CE 45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8051">
      <w:bodyDiv w:val="1"/>
      <w:marLeft w:val="0"/>
      <w:marRight w:val="0"/>
      <w:marTop w:val="0"/>
      <w:marBottom w:val="0"/>
      <w:divBdr>
        <w:top w:val="none" w:sz="0" w:space="0" w:color="auto"/>
        <w:left w:val="none" w:sz="0" w:space="0" w:color="auto"/>
        <w:bottom w:val="none" w:sz="0" w:space="0" w:color="auto"/>
        <w:right w:val="none" w:sz="0" w:space="0" w:color="auto"/>
      </w:divBdr>
    </w:div>
    <w:div w:id="84154558">
      <w:bodyDiv w:val="1"/>
      <w:marLeft w:val="0"/>
      <w:marRight w:val="0"/>
      <w:marTop w:val="0"/>
      <w:marBottom w:val="0"/>
      <w:divBdr>
        <w:top w:val="none" w:sz="0" w:space="0" w:color="auto"/>
        <w:left w:val="none" w:sz="0" w:space="0" w:color="auto"/>
        <w:bottom w:val="none" w:sz="0" w:space="0" w:color="auto"/>
        <w:right w:val="none" w:sz="0" w:space="0" w:color="auto"/>
      </w:divBdr>
    </w:div>
    <w:div w:id="144781982">
      <w:bodyDiv w:val="1"/>
      <w:marLeft w:val="0"/>
      <w:marRight w:val="0"/>
      <w:marTop w:val="0"/>
      <w:marBottom w:val="0"/>
      <w:divBdr>
        <w:top w:val="none" w:sz="0" w:space="0" w:color="auto"/>
        <w:left w:val="none" w:sz="0" w:space="0" w:color="auto"/>
        <w:bottom w:val="none" w:sz="0" w:space="0" w:color="auto"/>
        <w:right w:val="none" w:sz="0" w:space="0" w:color="auto"/>
      </w:divBdr>
    </w:div>
    <w:div w:id="245263643">
      <w:bodyDiv w:val="1"/>
      <w:marLeft w:val="0"/>
      <w:marRight w:val="0"/>
      <w:marTop w:val="0"/>
      <w:marBottom w:val="0"/>
      <w:divBdr>
        <w:top w:val="none" w:sz="0" w:space="0" w:color="auto"/>
        <w:left w:val="none" w:sz="0" w:space="0" w:color="auto"/>
        <w:bottom w:val="none" w:sz="0" w:space="0" w:color="auto"/>
        <w:right w:val="none" w:sz="0" w:space="0" w:color="auto"/>
      </w:divBdr>
      <w:divsChild>
        <w:div w:id="1065377562">
          <w:marLeft w:val="450"/>
          <w:marRight w:val="0"/>
          <w:marTop w:val="0"/>
          <w:marBottom w:val="0"/>
          <w:divBdr>
            <w:top w:val="none" w:sz="0" w:space="0" w:color="auto"/>
            <w:left w:val="none" w:sz="0" w:space="0" w:color="auto"/>
            <w:bottom w:val="none" w:sz="0" w:space="0" w:color="auto"/>
            <w:right w:val="none" w:sz="0" w:space="0" w:color="auto"/>
          </w:divBdr>
        </w:div>
      </w:divsChild>
    </w:div>
    <w:div w:id="381950678">
      <w:bodyDiv w:val="1"/>
      <w:marLeft w:val="0"/>
      <w:marRight w:val="0"/>
      <w:marTop w:val="0"/>
      <w:marBottom w:val="0"/>
      <w:divBdr>
        <w:top w:val="none" w:sz="0" w:space="0" w:color="auto"/>
        <w:left w:val="none" w:sz="0" w:space="0" w:color="auto"/>
        <w:bottom w:val="none" w:sz="0" w:space="0" w:color="auto"/>
        <w:right w:val="none" w:sz="0" w:space="0" w:color="auto"/>
      </w:divBdr>
    </w:div>
    <w:div w:id="515459669">
      <w:bodyDiv w:val="1"/>
      <w:marLeft w:val="0"/>
      <w:marRight w:val="0"/>
      <w:marTop w:val="0"/>
      <w:marBottom w:val="0"/>
      <w:divBdr>
        <w:top w:val="none" w:sz="0" w:space="0" w:color="auto"/>
        <w:left w:val="none" w:sz="0" w:space="0" w:color="auto"/>
        <w:bottom w:val="none" w:sz="0" w:space="0" w:color="auto"/>
        <w:right w:val="none" w:sz="0" w:space="0" w:color="auto"/>
      </w:divBdr>
    </w:div>
    <w:div w:id="586574357">
      <w:bodyDiv w:val="1"/>
      <w:marLeft w:val="0"/>
      <w:marRight w:val="0"/>
      <w:marTop w:val="0"/>
      <w:marBottom w:val="0"/>
      <w:divBdr>
        <w:top w:val="none" w:sz="0" w:space="0" w:color="auto"/>
        <w:left w:val="none" w:sz="0" w:space="0" w:color="auto"/>
        <w:bottom w:val="none" w:sz="0" w:space="0" w:color="auto"/>
        <w:right w:val="none" w:sz="0" w:space="0" w:color="auto"/>
      </w:divBdr>
      <w:divsChild>
        <w:div w:id="1109666553">
          <w:marLeft w:val="0"/>
          <w:marRight w:val="0"/>
          <w:marTop w:val="300"/>
          <w:marBottom w:val="75"/>
          <w:divBdr>
            <w:top w:val="none" w:sz="0" w:space="0" w:color="auto"/>
            <w:left w:val="none" w:sz="0" w:space="0" w:color="auto"/>
            <w:bottom w:val="none" w:sz="0" w:space="0" w:color="auto"/>
            <w:right w:val="none" w:sz="0" w:space="0" w:color="auto"/>
          </w:divBdr>
        </w:div>
      </w:divsChild>
    </w:div>
    <w:div w:id="662977806">
      <w:bodyDiv w:val="1"/>
      <w:marLeft w:val="0"/>
      <w:marRight w:val="0"/>
      <w:marTop w:val="0"/>
      <w:marBottom w:val="0"/>
      <w:divBdr>
        <w:top w:val="none" w:sz="0" w:space="0" w:color="auto"/>
        <w:left w:val="none" w:sz="0" w:space="0" w:color="auto"/>
        <w:bottom w:val="none" w:sz="0" w:space="0" w:color="auto"/>
        <w:right w:val="none" w:sz="0" w:space="0" w:color="auto"/>
      </w:divBdr>
      <w:divsChild>
        <w:div w:id="1740833406">
          <w:marLeft w:val="0"/>
          <w:marRight w:val="0"/>
          <w:marTop w:val="0"/>
          <w:marBottom w:val="0"/>
          <w:divBdr>
            <w:top w:val="single" w:sz="48" w:space="0" w:color="ECEFEA"/>
            <w:left w:val="none" w:sz="0" w:space="0" w:color="auto"/>
            <w:bottom w:val="none" w:sz="0" w:space="0" w:color="auto"/>
            <w:right w:val="none" w:sz="0" w:space="0" w:color="auto"/>
          </w:divBdr>
          <w:divsChild>
            <w:div w:id="1532722684">
              <w:marLeft w:val="0"/>
              <w:marRight w:val="0"/>
              <w:marTop w:val="0"/>
              <w:marBottom w:val="0"/>
              <w:divBdr>
                <w:top w:val="none" w:sz="0" w:space="0" w:color="auto"/>
                <w:left w:val="none" w:sz="0" w:space="0" w:color="auto"/>
                <w:bottom w:val="none" w:sz="0" w:space="0" w:color="auto"/>
                <w:right w:val="none" w:sz="0" w:space="0" w:color="auto"/>
              </w:divBdr>
              <w:divsChild>
                <w:div w:id="773944817">
                  <w:marLeft w:val="0"/>
                  <w:marRight w:val="0"/>
                  <w:marTop w:val="0"/>
                  <w:marBottom w:val="0"/>
                  <w:divBdr>
                    <w:top w:val="none" w:sz="0" w:space="0" w:color="auto"/>
                    <w:left w:val="none" w:sz="0" w:space="0" w:color="auto"/>
                    <w:bottom w:val="none" w:sz="0" w:space="0" w:color="auto"/>
                    <w:right w:val="none" w:sz="0" w:space="0" w:color="auto"/>
                  </w:divBdr>
                  <w:divsChild>
                    <w:div w:id="2019380044">
                      <w:marLeft w:val="0"/>
                      <w:marRight w:val="0"/>
                      <w:marTop w:val="0"/>
                      <w:marBottom w:val="0"/>
                      <w:divBdr>
                        <w:top w:val="none" w:sz="0" w:space="0" w:color="auto"/>
                        <w:left w:val="none" w:sz="0" w:space="0" w:color="auto"/>
                        <w:bottom w:val="none" w:sz="0" w:space="0" w:color="auto"/>
                        <w:right w:val="none" w:sz="0" w:space="0" w:color="auto"/>
                      </w:divBdr>
                      <w:divsChild>
                        <w:div w:id="700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055495">
      <w:bodyDiv w:val="1"/>
      <w:marLeft w:val="0"/>
      <w:marRight w:val="0"/>
      <w:marTop w:val="0"/>
      <w:marBottom w:val="0"/>
      <w:divBdr>
        <w:top w:val="none" w:sz="0" w:space="0" w:color="auto"/>
        <w:left w:val="none" w:sz="0" w:space="0" w:color="auto"/>
        <w:bottom w:val="none" w:sz="0" w:space="0" w:color="auto"/>
        <w:right w:val="none" w:sz="0" w:space="0" w:color="auto"/>
      </w:divBdr>
    </w:div>
    <w:div w:id="778912706">
      <w:bodyDiv w:val="1"/>
      <w:marLeft w:val="0"/>
      <w:marRight w:val="0"/>
      <w:marTop w:val="0"/>
      <w:marBottom w:val="0"/>
      <w:divBdr>
        <w:top w:val="none" w:sz="0" w:space="0" w:color="auto"/>
        <w:left w:val="none" w:sz="0" w:space="0" w:color="auto"/>
        <w:bottom w:val="none" w:sz="0" w:space="0" w:color="auto"/>
        <w:right w:val="none" w:sz="0" w:space="0" w:color="auto"/>
      </w:divBdr>
      <w:divsChild>
        <w:div w:id="1509909113">
          <w:marLeft w:val="0"/>
          <w:marRight w:val="0"/>
          <w:marTop w:val="300"/>
          <w:marBottom w:val="75"/>
          <w:divBdr>
            <w:top w:val="none" w:sz="0" w:space="0" w:color="auto"/>
            <w:left w:val="none" w:sz="0" w:space="0" w:color="auto"/>
            <w:bottom w:val="none" w:sz="0" w:space="0" w:color="auto"/>
            <w:right w:val="none" w:sz="0" w:space="0" w:color="auto"/>
          </w:divBdr>
        </w:div>
        <w:div w:id="1873611674">
          <w:marLeft w:val="450"/>
          <w:marRight w:val="0"/>
          <w:marTop w:val="0"/>
          <w:marBottom w:val="0"/>
          <w:divBdr>
            <w:top w:val="none" w:sz="0" w:space="0" w:color="auto"/>
            <w:left w:val="none" w:sz="0" w:space="0" w:color="auto"/>
            <w:bottom w:val="none" w:sz="0" w:space="0" w:color="auto"/>
            <w:right w:val="none" w:sz="0" w:space="0" w:color="auto"/>
          </w:divBdr>
        </w:div>
      </w:divsChild>
    </w:div>
    <w:div w:id="799156310">
      <w:bodyDiv w:val="1"/>
      <w:marLeft w:val="0"/>
      <w:marRight w:val="0"/>
      <w:marTop w:val="0"/>
      <w:marBottom w:val="0"/>
      <w:divBdr>
        <w:top w:val="none" w:sz="0" w:space="0" w:color="auto"/>
        <w:left w:val="none" w:sz="0" w:space="0" w:color="auto"/>
        <w:bottom w:val="none" w:sz="0" w:space="0" w:color="auto"/>
        <w:right w:val="none" w:sz="0" w:space="0" w:color="auto"/>
      </w:divBdr>
    </w:div>
    <w:div w:id="8285198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354">
          <w:marLeft w:val="0"/>
          <w:marRight w:val="0"/>
          <w:marTop w:val="300"/>
          <w:marBottom w:val="75"/>
          <w:divBdr>
            <w:top w:val="none" w:sz="0" w:space="0" w:color="auto"/>
            <w:left w:val="none" w:sz="0" w:space="0" w:color="auto"/>
            <w:bottom w:val="none" w:sz="0" w:space="0" w:color="auto"/>
            <w:right w:val="none" w:sz="0" w:space="0" w:color="auto"/>
          </w:divBdr>
        </w:div>
        <w:div w:id="1771705043">
          <w:marLeft w:val="450"/>
          <w:marRight w:val="0"/>
          <w:marTop w:val="0"/>
          <w:marBottom w:val="0"/>
          <w:divBdr>
            <w:top w:val="none" w:sz="0" w:space="0" w:color="auto"/>
            <w:left w:val="none" w:sz="0" w:space="0" w:color="auto"/>
            <w:bottom w:val="none" w:sz="0" w:space="0" w:color="auto"/>
            <w:right w:val="none" w:sz="0" w:space="0" w:color="auto"/>
          </w:divBdr>
        </w:div>
      </w:divsChild>
    </w:div>
    <w:div w:id="845437082">
      <w:bodyDiv w:val="1"/>
      <w:marLeft w:val="0"/>
      <w:marRight w:val="0"/>
      <w:marTop w:val="0"/>
      <w:marBottom w:val="0"/>
      <w:divBdr>
        <w:top w:val="none" w:sz="0" w:space="0" w:color="auto"/>
        <w:left w:val="none" w:sz="0" w:space="0" w:color="auto"/>
        <w:bottom w:val="none" w:sz="0" w:space="0" w:color="auto"/>
        <w:right w:val="none" w:sz="0" w:space="0" w:color="auto"/>
      </w:divBdr>
    </w:div>
    <w:div w:id="913047929">
      <w:bodyDiv w:val="1"/>
      <w:marLeft w:val="0"/>
      <w:marRight w:val="0"/>
      <w:marTop w:val="0"/>
      <w:marBottom w:val="0"/>
      <w:divBdr>
        <w:top w:val="none" w:sz="0" w:space="0" w:color="auto"/>
        <w:left w:val="none" w:sz="0" w:space="0" w:color="auto"/>
        <w:bottom w:val="none" w:sz="0" w:space="0" w:color="auto"/>
        <w:right w:val="none" w:sz="0" w:space="0" w:color="auto"/>
      </w:divBdr>
    </w:div>
    <w:div w:id="920986280">
      <w:bodyDiv w:val="1"/>
      <w:marLeft w:val="0"/>
      <w:marRight w:val="0"/>
      <w:marTop w:val="0"/>
      <w:marBottom w:val="0"/>
      <w:divBdr>
        <w:top w:val="none" w:sz="0" w:space="0" w:color="auto"/>
        <w:left w:val="none" w:sz="0" w:space="0" w:color="auto"/>
        <w:bottom w:val="none" w:sz="0" w:space="0" w:color="auto"/>
        <w:right w:val="none" w:sz="0" w:space="0" w:color="auto"/>
      </w:divBdr>
    </w:div>
    <w:div w:id="945235565">
      <w:bodyDiv w:val="1"/>
      <w:marLeft w:val="0"/>
      <w:marRight w:val="0"/>
      <w:marTop w:val="0"/>
      <w:marBottom w:val="0"/>
      <w:divBdr>
        <w:top w:val="none" w:sz="0" w:space="0" w:color="auto"/>
        <w:left w:val="none" w:sz="0" w:space="0" w:color="auto"/>
        <w:bottom w:val="none" w:sz="0" w:space="0" w:color="auto"/>
        <w:right w:val="none" w:sz="0" w:space="0" w:color="auto"/>
      </w:divBdr>
      <w:divsChild>
        <w:div w:id="1137063504">
          <w:marLeft w:val="547"/>
          <w:marRight w:val="0"/>
          <w:marTop w:val="240"/>
          <w:marBottom w:val="240"/>
          <w:divBdr>
            <w:top w:val="none" w:sz="0" w:space="0" w:color="auto"/>
            <w:left w:val="none" w:sz="0" w:space="0" w:color="auto"/>
            <w:bottom w:val="none" w:sz="0" w:space="0" w:color="auto"/>
            <w:right w:val="none" w:sz="0" w:space="0" w:color="auto"/>
          </w:divBdr>
        </w:div>
        <w:div w:id="1155759525">
          <w:marLeft w:val="547"/>
          <w:marRight w:val="0"/>
          <w:marTop w:val="240"/>
          <w:marBottom w:val="240"/>
          <w:divBdr>
            <w:top w:val="none" w:sz="0" w:space="0" w:color="auto"/>
            <w:left w:val="none" w:sz="0" w:space="0" w:color="auto"/>
            <w:bottom w:val="none" w:sz="0" w:space="0" w:color="auto"/>
            <w:right w:val="none" w:sz="0" w:space="0" w:color="auto"/>
          </w:divBdr>
        </w:div>
        <w:div w:id="1363821999">
          <w:marLeft w:val="547"/>
          <w:marRight w:val="0"/>
          <w:marTop w:val="240"/>
          <w:marBottom w:val="240"/>
          <w:divBdr>
            <w:top w:val="none" w:sz="0" w:space="0" w:color="auto"/>
            <w:left w:val="none" w:sz="0" w:space="0" w:color="auto"/>
            <w:bottom w:val="none" w:sz="0" w:space="0" w:color="auto"/>
            <w:right w:val="none" w:sz="0" w:space="0" w:color="auto"/>
          </w:divBdr>
        </w:div>
        <w:div w:id="1513759888">
          <w:marLeft w:val="547"/>
          <w:marRight w:val="0"/>
          <w:marTop w:val="240"/>
          <w:marBottom w:val="240"/>
          <w:divBdr>
            <w:top w:val="none" w:sz="0" w:space="0" w:color="auto"/>
            <w:left w:val="none" w:sz="0" w:space="0" w:color="auto"/>
            <w:bottom w:val="none" w:sz="0" w:space="0" w:color="auto"/>
            <w:right w:val="none" w:sz="0" w:space="0" w:color="auto"/>
          </w:divBdr>
        </w:div>
      </w:divsChild>
    </w:div>
    <w:div w:id="1052071123">
      <w:bodyDiv w:val="1"/>
      <w:marLeft w:val="0"/>
      <w:marRight w:val="0"/>
      <w:marTop w:val="0"/>
      <w:marBottom w:val="0"/>
      <w:divBdr>
        <w:top w:val="none" w:sz="0" w:space="0" w:color="auto"/>
        <w:left w:val="none" w:sz="0" w:space="0" w:color="auto"/>
        <w:bottom w:val="none" w:sz="0" w:space="0" w:color="auto"/>
        <w:right w:val="none" w:sz="0" w:space="0" w:color="auto"/>
      </w:divBdr>
    </w:div>
    <w:div w:id="1126045595">
      <w:bodyDiv w:val="1"/>
      <w:marLeft w:val="0"/>
      <w:marRight w:val="0"/>
      <w:marTop w:val="0"/>
      <w:marBottom w:val="0"/>
      <w:divBdr>
        <w:top w:val="none" w:sz="0" w:space="0" w:color="auto"/>
        <w:left w:val="none" w:sz="0" w:space="0" w:color="auto"/>
        <w:bottom w:val="none" w:sz="0" w:space="0" w:color="auto"/>
        <w:right w:val="none" w:sz="0" w:space="0" w:color="auto"/>
      </w:divBdr>
    </w:div>
    <w:div w:id="1187790427">
      <w:bodyDiv w:val="1"/>
      <w:marLeft w:val="0"/>
      <w:marRight w:val="0"/>
      <w:marTop w:val="0"/>
      <w:marBottom w:val="0"/>
      <w:divBdr>
        <w:top w:val="none" w:sz="0" w:space="0" w:color="auto"/>
        <w:left w:val="none" w:sz="0" w:space="0" w:color="auto"/>
        <w:bottom w:val="none" w:sz="0" w:space="0" w:color="auto"/>
        <w:right w:val="none" w:sz="0" w:space="0" w:color="auto"/>
      </w:divBdr>
    </w:div>
    <w:div w:id="1230111647">
      <w:bodyDiv w:val="1"/>
      <w:marLeft w:val="0"/>
      <w:marRight w:val="0"/>
      <w:marTop w:val="0"/>
      <w:marBottom w:val="0"/>
      <w:divBdr>
        <w:top w:val="none" w:sz="0" w:space="0" w:color="auto"/>
        <w:left w:val="none" w:sz="0" w:space="0" w:color="auto"/>
        <w:bottom w:val="none" w:sz="0" w:space="0" w:color="auto"/>
        <w:right w:val="none" w:sz="0" w:space="0" w:color="auto"/>
      </w:divBdr>
    </w:div>
    <w:div w:id="1233199159">
      <w:bodyDiv w:val="1"/>
      <w:marLeft w:val="0"/>
      <w:marRight w:val="0"/>
      <w:marTop w:val="0"/>
      <w:marBottom w:val="0"/>
      <w:divBdr>
        <w:top w:val="none" w:sz="0" w:space="0" w:color="auto"/>
        <w:left w:val="none" w:sz="0" w:space="0" w:color="auto"/>
        <w:bottom w:val="none" w:sz="0" w:space="0" w:color="auto"/>
        <w:right w:val="none" w:sz="0" w:space="0" w:color="auto"/>
      </w:divBdr>
    </w:div>
    <w:div w:id="1239752081">
      <w:bodyDiv w:val="1"/>
      <w:marLeft w:val="0"/>
      <w:marRight w:val="0"/>
      <w:marTop w:val="0"/>
      <w:marBottom w:val="0"/>
      <w:divBdr>
        <w:top w:val="none" w:sz="0" w:space="0" w:color="auto"/>
        <w:left w:val="none" w:sz="0" w:space="0" w:color="auto"/>
        <w:bottom w:val="none" w:sz="0" w:space="0" w:color="auto"/>
        <w:right w:val="none" w:sz="0" w:space="0" w:color="auto"/>
      </w:divBdr>
    </w:div>
    <w:div w:id="1396048688">
      <w:bodyDiv w:val="1"/>
      <w:marLeft w:val="0"/>
      <w:marRight w:val="0"/>
      <w:marTop w:val="0"/>
      <w:marBottom w:val="0"/>
      <w:divBdr>
        <w:top w:val="none" w:sz="0" w:space="0" w:color="auto"/>
        <w:left w:val="none" w:sz="0" w:space="0" w:color="auto"/>
        <w:bottom w:val="none" w:sz="0" w:space="0" w:color="auto"/>
        <w:right w:val="none" w:sz="0" w:space="0" w:color="auto"/>
      </w:divBdr>
    </w:div>
    <w:div w:id="1441293992">
      <w:bodyDiv w:val="1"/>
      <w:marLeft w:val="0"/>
      <w:marRight w:val="0"/>
      <w:marTop w:val="0"/>
      <w:marBottom w:val="0"/>
      <w:divBdr>
        <w:top w:val="none" w:sz="0" w:space="0" w:color="auto"/>
        <w:left w:val="none" w:sz="0" w:space="0" w:color="auto"/>
        <w:bottom w:val="none" w:sz="0" w:space="0" w:color="auto"/>
        <w:right w:val="none" w:sz="0" w:space="0" w:color="auto"/>
      </w:divBdr>
      <w:divsChild>
        <w:div w:id="1107970943">
          <w:marLeft w:val="450"/>
          <w:marRight w:val="0"/>
          <w:marTop w:val="0"/>
          <w:marBottom w:val="0"/>
          <w:divBdr>
            <w:top w:val="none" w:sz="0" w:space="0" w:color="auto"/>
            <w:left w:val="none" w:sz="0" w:space="0" w:color="auto"/>
            <w:bottom w:val="none" w:sz="0" w:space="0" w:color="auto"/>
            <w:right w:val="none" w:sz="0" w:space="0" w:color="auto"/>
          </w:divBdr>
        </w:div>
      </w:divsChild>
    </w:div>
    <w:div w:id="1523202744">
      <w:bodyDiv w:val="1"/>
      <w:marLeft w:val="0"/>
      <w:marRight w:val="0"/>
      <w:marTop w:val="0"/>
      <w:marBottom w:val="0"/>
      <w:divBdr>
        <w:top w:val="none" w:sz="0" w:space="0" w:color="auto"/>
        <w:left w:val="none" w:sz="0" w:space="0" w:color="auto"/>
        <w:bottom w:val="none" w:sz="0" w:space="0" w:color="auto"/>
        <w:right w:val="none" w:sz="0" w:space="0" w:color="auto"/>
      </w:divBdr>
    </w:div>
    <w:div w:id="1533610146">
      <w:bodyDiv w:val="1"/>
      <w:marLeft w:val="0"/>
      <w:marRight w:val="0"/>
      <w:marTop w:val="0"/>
      <w:marBottom w:val="0"/>
      <w:divBdr>
        <w:top w:val="none" w:sz="0" w:space="0" w:color="auto"/>
        <w:left w:val="none" w:sz="0" w:space="0" w:color="auto"/>
        <w:bottom w:val="none" w:sz="0" w:space="0" w:color="auto"/>
        <w:right w:val="none" w:sz="0" w:space="0" w:color="auto"/>
      </w:divBdr>
    </w:div>
    <w:div w:id="1569153121">
      <w:bodyDiv w:val="1"/>
      <w:marLeft w:val="0"/>
      <w:marRight w:val="0"/>
      <w:marTop w:val="0"/>
      <w:marBottom w:val="0"/>
      <w:divBdr>
        <w:top w:val="none" w:sz="0" w:space="0" w:color="auto"/>
        <w:left w:val="none" w:sz="0" w:space="0" w:color="auto"/>
        <w:bottom w:val="none" w:sz="0" w:space="0" w:color="auto"/>
        <w:right w:val="none" w:sz="0" w:space="0" w:color="auto"/>
      </w:divBdr>
    </w:div>
    <w:div w:id="1639796785">
      <w:bodyDiv w:val="1"/>
      <w:marLeft w:val="0"/>
      <w:marRight w:val="0"/>
      <w:marTop w:val="0"/>
      <w:marBottom w:val="0"/>
      <w:divBdr>
        <w:top w:val="none" w:sz="0" w:space="0" w:color="auto"/>
        <w:left w:val="none" w:sz="0" w:space="0" w:color="auto"/>
        <w:bottom w:val="none" w:sz="0" w:space="0" w:color="auto"/>
        <w:right w:val="none" w:sz="0" w:space="0" w:color="auto"/>
      </w:divBdr>
      <w:divsChild>
        <w:div w:id="1932348003">
          <w:marLeft w:val="0"/>
          <w:marRight w:val="0"/>
          <w:marTop w:val="0"/>
          <w:marBottom w:val="0"/>
          <w:divBdr>
            <w:top w:val="single" w:sz="48" w:space="0" w:color="ECEFEA"/>
            <w:left w:val="none" w:sz="0" w:space="0" w:color="auto"/>
            <w:bottom w:val="none" w:sz="0" w:space="0" w:color="auto"/>
            <w:right w:val="none" w:sz="0" w:space="0" w:color="auto"/>
          </w:divBdr>
          <w:divsChild>
            <w:div w:id="794371167">
              <w:marLeft w:val="0"/>
              <w:marRight w:val="0"/>
              <w:marTop w:val="0"/>
              <w:marBottom w:val="0"/>
              <w:divBdr>
                <w:top w:val="none" w:sz="0" w:space="0" w:color="auto"/>
                <w:left w:val="none" w:sz="0" w:space="0" w:color="auto"/>
                <w:bottom w:val="none" w:sz="0" w:space="0" w:color="auto"/>
                <w:right w:val="none" w:sz="0" w:space="0" w:color="auto"/>
              </w:divBdr>
              <w:divsChild>
                <w:div w:id="1744183142">
                  <w:marLeft w:val="0"/>
                  <w:marRight w:val="0"/>
                  <w:marTop w:val="0"/>
                  <w:marBottom w:val="0"/>
                  <w:divBdr>
                    <w:top w:val="none" w:sz="0" w:space="0" w:color="auto"/>
                    <w:left w:val="none" w:sz="0" w:space="0" w:color="auto"/>
                    <w:bottom w:val="none" w:sz="0" w:space="0" w:color="auto"/>
                    <w:right w:val="none" w:sz="0" w:space="0" w:color="auto"/>
                  </w:divBdr>
                  <w:divsChild>
                    <w:div w:id="164054557">
                      <w:marLeft w:val="0"/>
                      <w:marRight w:val="0"/>
                      <w:marTop w:val="0"/>
                      <w:marBottom w:val="0"/>
                      <w:divBdr>
                        <w:top w:val="none" w:sz="0" w:space="0" w:color="auto"/>
                        <w:left w:val="none" w:sz="0" w:space="0" w:color="auto"/>
                        <w:bottom w:val="none" w:sz="0" w:space="0" w:color="auto"/>
                        <w:right w:val="none" w:sz="0" w:space="0" w:color="auto"/>
                      </w:divBdr>
                      <w:divsChild>
                        <w:div w:id="20646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03507">
      <w:bodyDiv w:val="1"/>
      <w:marLeft w:val="0"/>
      <w:marRight w:val="0"/>
      <w:marTop w:val="0"/>
      <w:marBottom w:val="0"/>
      <w:divBdr>
        <w:top w:val="none" w:sz="0" w:space="0" w:color="auto"/>
        <w:left w:val="none" w:sz="0" w:space="0" w:color="auto"/>
        <w:bottom w:val="none" w:sz="0" w:space="0" w:color="auto"/>
        <w:right w:val="none" w:sz="0" w:space="0" w:color="auto"/>
      </w:divBdr>
      <w:divsChild>
        <w:div w:id="293411331">
          <w:marLeft w:val="450"/>
          <w:marRight w:val="0"/>
          <w:marTop w:val="0"/>
          <w:marBottom w:val="0"/>
          <w:divBdr>
            <w:top w:val="none" w:sz="0" w:space="0" w:color="auto"/>
            <w:left w:val="none" w:sz="0" w:space="0" w:color="auto"/>
            <w:bottom w:val="none" w:sz="0" w:space="0" w:color="auto"/>
            <w:right w:val="none" w:sz="0" w:space="0" w:color="auto"/>
          </w:divBdr>
        </w:div>
      </w:divsChild>
    </w:div>
    <w:div w:id="1667243576">
      <w:bodyDiv w:val="1"/>
      <w:marLeft w:val="0"/>
      <w:marRight w:val="0"/>
      <w:marTop w:val="0"/>
      <w:marBottom w:val="0"/>
      <w:divBdr>
        <w:top w:val="none" w:sz="0" w:space="0" w:color="auto"/>
        <w:left w:val="none" w:sz="0" w:space="0" w:color="auto"/>
        <w:bottom w:val="none" w:sz="0" w:space="0" w:color="auto"/>
        <w:right w:val="none" w:sz="0" w:space="0" w:color="auto"/>
      </w:divBdr>
    </w:div>
    <w:div w:id="1679893524">
      <w:bodyDiv w:val="1"/>
      <w:marLeft w:val="0"/>
      <w:marRight w:val="0"/>
      <w:marTop w:val="0"/>
      <w:marBottom w:val="0"/>
      <w:divBdr>
        <w:top w:val="none" w:sz="0" w:space="0" w:color="auto"/>
        <w:left w:val="none" w:sz="0" w:space="0" w:color="auto"/>
        <w:bottom w:val="none" w:sz="0" w:space="0" w:color="auto"/>
        <w:right w:val="none" w:sz="0" w:space="0" w:color="auto"/>
      </w:divBdr>
    </w:div>
    <w:div w:id="1738702372">
      <w:bodyDiv w:val="1"/>
      <w:marLeft w:val="0"/>
      <w:marRight w:val="0"/>
      <w:marTop w:val="0"/>
      <w:marBottom w:val="0"/>
      <w:divBdr>
        <w:top w:val="none" w:sz="0" w:space="0" w:color="auto"/>
        <w:left w:val="none" w:sz="0" w:space="0" w:color="auto"/>
        <w:bottom w:val="none" w:sz="0" w:space="0" w:color="auto"/>
        <w:right w:val="none" w:sz="0" w:space="0" w:color="auto"/>
      </w:divBdr>
    </w:div>
    <w:div w:id="1763988435">
      <w:bodyDiv w:val="1"/>
      <w:marLeft w:val="0"/>
      <w:marRight w:val="0"/>
      <w:marTop w:val="0"/>
      <w:marBottom w:val="0"/>
      <w:divBdr>
        <w:top w:val="none" w:sz="0" w:space="0" w:color="auto"/>
        <w:left w:val="none" w:sz="0" w:space="0" w:color="auto"/>
        <w:bottom w:val="none" w:sz="0" w:space="0" w:color="auto"/>
        <w:right w:val="none" w:sz="0" w:space="0" w:color="auto"/>
      </w:divBdr>
      <w:divsChild>
        <w:div w:id="633680298">
          <w:marLeft w:val="0"/>
          <w:marRight w:val="0"/>
          <w:marTop w:val="0"/>
          <w:marBottom w:val="0"/>
          <w:divBdr>
            <w:top w:val="single" w:sz="48" w:space="0" w:color="ECEFEA"/>
            <w:left w:val="none" w:sz="0" w:space="0" w:color="auto"/>
            <w:bottom w:val="none" w:sz="0" w:space="0" w:color="auto"/>
            <w:right w:val="none" w:sz="0" w:space="0" w:color="auto"/>
          </w:divBdr>
          <w:divsChild>
            <w:div w:id="1343584919">
              <w:marLeft w:val="0"/>
              <w:marRight w:val="0"/>
              <w:marTop w:val="0"/>
              <w:marBottom w:val="0"/>
              <w:divBdr>
                <w:top w:val="none" w:sz="0" w:space="0" w:color="auto"/>
                <w:left w:val="none" w:sz="0" w:space="0" w:color="auto"/>
                <w:bottom w:val="none" w:sz="0" w:space="0" w:color="auto"/>
                <w:right w:val="none" w:sz="0" w:space="0" w:color="auto"/>
              </w:divBdr>
              <w:divsChild>
                <w:div w:id="415901377">
                  <w:marLeft w:val="0"/>
                  <w:marRight w:val="0"/>
                  <w:marTop w:val="0"/>
                  <w:marBottom w:val="0"/>
                  <w:divBdr>
                    <w:top w:val="none" w:sz="0" w:space="0" w:color="auto"/>
                    <w:left w:val="none" w:sz="0" w:space="0" w:color="auto"/>
                    <w:bottom w:val="none" w:sz="0" w:space="0" w:color="auto"/>
                    <w:right w:val="none" w:sz="0" w:space="0" w:color="auto"/>
                  </w:divBdr>
                  <w:divsChild>
                    <w:div w:id="197855914">
                      <w:marLeft w:val="0"/>
                      <w:marRight w:val="0"/>
                      <w:marTop w:val="0"/>
                      <w:marBottom w:val="0"/>
                      <w:divBdr>
                        <w:top w:val="none" w:sz="0" w:space="0" w:color="auto"/>
                        <w:left w:val="none" w:sz="0" w:space="0" w:color="auto"/>
                        <w:bottom w:val="none" w:sz="0" w:space="0" w:color="auto"/>
                        <w:right w:val="none" w:sz="0" w:space="0" w:color="auto"/>
                      </w:divBdr>
                      <w:divsChild>
                        <w:div w:id="1696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0069">
      <w:bodyDiv w:val="1"/>
      <w:marLeft w:val="0"/>
      <w:marRight w:val="0"/>
      <w:marTop w:val="0"/>
      <w:marBottom w:val="0"/>
      <w:divBdr>
        <w:top w:val="none" w:sz="0" w:space="0" w:color="auto"/>
        <w:left w:val="none" w:sz="0" w:space="0" w:color="auto"/>
        <w:bottom w:val="none" w:sz="0" w:space="0" w:color="auto"/>
        <w:right w:val="none" w:sz="0" w:space="0" w:color="auto"/>
      </w:divBdr>
    </w:div>
    <w:div w:id="1847206460">
      <w:bodyDiv w:val="1"/>
      <w:marLeft w:val="0"/>
      <w:marRight w:val="0"/>
      <w:marTop w:val="0"/>
      <w:marBottom w:val="0"/>
      <w:divBdr>
        <w:top w:val="none" w:sz="0" w:space="0" w:color="auto"/>
        <w:left w:val="none" w:sz="0" w:space="0" w:color="auto"/>
        <w:bottom w:val="none" w:sz="0" w:space="0" w:color="auto"/>
        <w:right w:val="none" w:sz="0" w:space="0" w:color="auto"/>
      </w:divBdr>
    </w:div>
    <w:div w:id="1941375482">
      <w:bodyDiv w:val="1"/>
      <w:marLeft w:val="0"/>
      <w:marRight w:val="0"/>
      <w:marTop w:val="0"/>
      <w:marBottom w:val="0"/>
      <w:divBdr>
        <w:top w:val="none" w:sz="0" w:space="0" w:color="auto"/>
        <w:left w:val="none" w:sz="0" w:space="0" w:color="auto"/>
        <w:bottom w:val="none" w:sz="0" w:space="0" w:color="auto"/>
        <w:right w:val="none" w:sz="0" w:space="0" w:color="auto"/>
      </w:divBdr>
    </w:div>
    <w:div w:id="1965309398">
      <w:bodyDiv w:val="1"/>
      <w:marLeft w:val="0"/>
      <w:marRight w:val="0"/>
      <w:marTop w:val="0"/>
      <w:marBottom w:val="0"/>
      <w:divBdr>
        <w:top w:val="none" w:sz="0" w:space="0" w:color="auto"/>
        <w:left w:val="none" w:sz="0" w:space="0" w:color="auto"/>
        <w:bottom w:val="none" w:sz="0" w:space="0" w:color="auto"/>
        <w:right w:val="none" w:sz="0" w:space="0" w:color="auto"/>
      </w:divBdr>
    </w:div>
    <w:div w:id="1970238720">
      <w:bodyDiv w:val="1"/>
      <w:marLeft w:val="0"/>
      <w:marRight w:val="0"/>
      <w:marTop w:val="0"/>
      <w:marBottom w:val="0"/>
      <w:divBdr>
        <w:top w:val="none" w:sz="0" w:space="0" w:color="auto"/>
        <w:left w:val="none" w:sz="0" w:space="0" w:color="auto"/>
        <w:bottom w:val="none" w:sz="0" w:space="0" w:color="auto"/>
        <w:right w:val="none" w:sz="0" w:space="0" w:color="auto"/>
      </w:divBdr>
    </w:div>
    <w:div w:id="2016300300">
      <w:bodyDiv w:val="1"/>
      <w:marLeft w:val="0"/>
      <w:marRight w:val="0"/>
      <w:marTop w:val="0"/>
      <w:marBottom w:val="0"/>
      <w:divBdr>
        <w:top w:val="none" w:sz="0" w:space="0" w:color="auto"/>
        <w:left w:val="none" w:sz="0" w:space="0" w:color="auto"/>
        <w:bottom w:val="none" w:sz="0" w:space="0" w:color="auto"/>
        <w:right w:val="none" w:sz="0" w:space="0" w:color="auto"/>
      </w:divBdr>
    </w:div>
    <w:div w:id="2021931165">
      <w:bodyDiv w:val="1"/>
      <w:marLeft w:val="0"/>
      <w:marRight w:val="0"/>
      <w:marTop w:val="0"/>
      <w:marBottom w:val="0"/>
      <w:divBdr>
        <w:top w:val="none" w:sz="0" w:space="0" w:color="auto"/>
        <w:left w:val="none" w:sz="0" w:space="0" w:color="auto"/>
        <w:bottom w:val="none" w:sz="0" w:space="0" w:color="auto"/>
        <w:right w:val="none" w:sz="0" w:space="0" w:color="auto"/>
      </w:divBdr>
    </w:div>
    <w:div w:id="2024358344">
      <w:bodyDiv w:val="1"/>
      <w:marLeft w:val="0"/>
      <w:marRight w:val="0"/>
      <w:marTop w:val="0"/>
      <w:marBottom w:val="0"/>
      <w:divBdr>
        <w:top w:val="none" w:sz="0" w:space="0" w:color="auto"/>
        <w:left w:val="none" w:sz="0" w:space="0" w:color="auto"/>
        <w:bottom w:val="none" w:sz="0" w:space="0" w:color="auto"/>
        <w:right w:val="none" w:sz="0" w:space="0" w:color="auto"/>
      </w:divBdr>
    </w:div>
    <w:div w:id="2114935405">
      <w:bodyDiv w:val="1"/>
      <w:marLeft w:val="0"/>
      <w:marRight w:val="0"/>
      <w:marTop w:val="0"/>
      <w:marBottom w:val="0"/>
      <w:divBdr>
        <w:top w:val="none" w:sz="0" w:space="0" w:color="auto"/>
        <w:left w:val="none" w:sz="0" w:space="0" w:color="auto"/>
        <w:bottom w:val="none" w:sz="0" w:space="0" w:color="auto"/>
        <w:right w:val="none" w:sz="0" w:space="0" w:color="auto"/>
      </w:divBdr>
      <w:divsChild>
        <w:div w:id="143170414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www.ispv.cz" TargetMode="Externa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library.fes.de/pdf-files/id-moe/10558.pdf" TargetMode="Externa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www.kolektivnismlouvy.cz" TargetMode="External"/><Relationship Id="rId25" Type="http://schemas.openxmlformats.org/officeDocument/2006/relationships/oleObject" Target="embeddings/oleObject3.bin"/><Relationship Id="rId33" Type="http://schemas.openxmlformats.org/officeDocument/2006/relationships/hyperlink" Target="http://www.econlib.org/library/Enc/LaborUnions.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psv.cz" TargetMode="External"/><Relationship Id="rId20" Type="http://schemas.openxmlformats.org/officeDocument/2006/relationships/image" Target="media/image4.wmf"/><Relationship Id="rId29" Type="http://schemas.openxmlformats.org/officeDocument/2006/relationships/hyperlink" Target="http://www.mpsv.cz/files/clanky/17709/vliv_minimalni_mzd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yperlink" Target="http://www.resolutionfoundation.org/media/media/downloads/MinimumWageMaximumImpact.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cetnikavarna.cz/document/enactment?no=83/1990%20Sb.h2&amp;effect=31.10.2007" TargetMode="External"/><Relationship Id="rId23" Type="http://schemas.openxmlformats.org/officeDocument/2006/relationships/oleObject" Target="embeddings/oleObject2.bin"/><Relationship Id="rId28" Type="http://schemas.openxmlformats.org/officeDocument/2006/relationships/image" Target="media/image8.emf"/><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mpsv.cz/files/clanky/17709/vliv_minimalni_mzdy.pdf" TargetMode="Externa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image" Target="media/image5.wmf"/><Relationship Id="rId27" Type="http://schemas.openxmlformats.org/officeDocument/2006/relationships/chart" Target="charts/chart1.xml"/><Relationship Id="rId30" Type="http://schemas.openxmlformats.org/officeDocument/2006/relationships/chart" Target="charts/chart2.xml"/><Relationship Id="rId35" Type="http://schemas.openxmlformats.org/officeDocument/2006/relationships/hyperlink" Target="http://link.springer.com/journal/121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found.europa.eu/observatories/eurwork/collective-wage-bargaining/context" TargetMode="External"/><Relationship Id="rId1" Type="http://schemas.openxmlformats.org/officeDocument/2006/relationships/hyperlink" Target="http://www.vlada.cz/cz/media-centrum/dulezite-dokumenty/programove-prohlaseni-vlady-cr-115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wmf"/></Relationships>
</file>

<file path=word/_rels/header3.xml.rels><?xml version="1.0" encoding="UTF-8" standalone="yes"?>
<Relationships xmlns="http://schemas.openxmlformats.org/package/2006/relationships"><Relationship Id="rId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_j\AppData\Roaming\Microsoft\Templates\wTREXIMA.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ERVER-TRX\UserData\&#218;tvary\U20\B_Projekty\2013\13_0024_OMEGA_Min_mzda\05_Blok5\minim&#225;ln&#237;_mzda2000_201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kala.jan\Desktop\Katka\ASO_kolekt_vyj\Mzdov&#233;%20tarif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kala.jan\Desktop\Katka\ASO_kolekt_vyj\Mzdov&#233;%20tari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249005164676046E-2"/>
          <c:y val="1.92812628279285E-2"/>
          <c:w val="0.91939615612564551"/>
          <c:h val="0.82451467649112675"/>
        </c:manualLayout>
      </c:layout>
      <c:scatterChart>
        <c:scatterStyle val="smoothMarker"/>
        <c:varyColors val="0"/>
        <c:ser>
          <c:idx val="1"/>
          <c:order val="0"/>
          <c:tx>
            <c:v>Log 50-10</c:v>
          </c:tx>
          <c:spPr>
            <a:ln>
              <a:solidFill>
                <a:schemeClr val="tx1">
                  <a:lumMod val="65000"/>
                  <a:lumOff val="35000"/>
                </a:schemeClr>
              </a:solidFill>
            </a:ln>
          </c:spPr>
          <c:marker>
            <c:symbol val="square"/>
            <c:size val="10"/>
            <c:spPr>
              <a:solidFill>
                <a:schemeClr val="tx1">
                  <a:lumMod val="65000"/>
                  <a:lumOff val="35000"/>
                </a:schemeClr>
              </a:solidFill>
              <a:ln w="0">
                <a:solidFill>
                  <a:schemeClr val="tx1">
                    <a:lumMod val="65000"/>
                    <a:lumOff val="35000"/>
                  </a:schemeClr>
                </a:solidFill>
              </a:ln>
            </c:spPr>
          </c:marker>
          <c:xVal>
            <c:numRef>
              <c:f>'tabulka k deflaci'!$A$4:$A$16</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xVal>
          <c:yVal>
            <c:numRef>
              <c:f>'tabulka k deflaci'!$AH$4:$AH$16</c:f>
              <c:numCache>
                <c:formatCode>0.00</c:formatCode>
                <c:ptCount val="13"/>
                <c:pt idx="0">
                  <c:v>0.50582844195454568</c:v>
                </c:pt>
                <c:pt idx="1">
                  <c:v>0.51966180820173269</c:v>
                </c:pt>
                <c:pt idx="2">
                  <c:v>0.52566060527268144</c:v>
                </c:pt>
                <c:pt idx="3">
                  <c:v>0.52868579567419394</c:v>
                </c:pt>
                <c:pt idx="4">
                  <c:v>0.53612420079613621</c:v>
                </c:pt>
                <c:pt idx="5">
                  <c:v>0.54095147392265308</c:v>
                </c:pt>
                <c:pt idx="6">
                  <c:v>0.54280735154114168</c:v>
                </c:pt>
                <c:pt idx="7">
                  <c:v>0.53901050506002357</c:v>
                </c:pt>
                <c:pt idx="8">
                  <c:v>0.5466974422542874</c:v>
                </c:pt>
                <c:pt idx="9">
                  <c:v>0.55230387556264149</c:v>
                </c:pt>
                <c:pt idx="10">
                  <c:v>0.56615533924299022</c:v>
                </c:pt>
                <c:pt idx="11">
                  <c:v>0.56010793875948561</c:v>
                </c:pt>
                <c:pt idx="12">
                  <c:v>0.56945932274604549</c:v>
                </c:pt>
              </c:numCache>
            </c:numRef>
          </c:yVal>
          <c:smooth val="1"/>
        </c:ser>
        <c:ser>
          <c:idx val="0"/>
          <c:order val="1"/>
          <c:tx>
            <c:v>Log 90-50</c:v>
          </c:tx>
          <c:spPr>
            <a:ln>
              <a:solidFill>
                <a:schemeClr val="bg1">
                  <a:lumMod val="65000"/>
                </a:schemeClr>
              </a:solidFill>
            </a:ln>
          </c:spPr>
          <c:marker>
            <c:symbol val="diamond"/>
            <c:size val="10"/>
            <c:spPr>
              <a:solidFill>
                <a:schemeClr val="bg1">
                  <a:lumMod val="65000"/>
                </a:schemeClr>
              </a:solidFill>
              <a:ln>
                <a:solidFill>
                  <a:schemeClr val="bg1">
                    <a:lumMod val="65000"/>
                  </a:schemeClr>
                </a:solidFill>
              </a:ln>
            </c:spPr>
          </c:marker>
          <c:xVal>
            <c:numRef>
              <c:f>'tabulka k deflaci'!$A$4:$A$16</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xVal>
          <c:yVal>
            <c:numRef>
              <c:f>'tabulka k deflaci'!$AI$4:$AI$16</c:f>
              <c:numCache>
                <c:formatCode>0.00</c:formatCode>
                <c:ptCount val="13"/>
                <c:pt idx="0">
                  <c:v>0.55317431277981965</c:v>
                </c:pt>
                <c:pt idx="1">
                  <c:v>0.5597980482516216</c:v>
                </c:pt>
                <c:pt idx="2">
                  <c:v>0.59051835768398653</c:v>
                </c:pt>
                <c:pt idx="3">
                  <c:v>0.61491299975917169</c:v>
                </c:pt>
                <c:pt idx="4">
                  <c:v>0.60936665496284059</c:v>
                </c:pt>
                <c:pt idx="5">
                  <c:v>0.6226667486436227</c:v>
                </c:pt>
                <c:pt idx="6">
                  <c:v>0.63457665053044865</c:v>
                </c:pt>
                <c:pt idx="7">
                  <c:v>0.62809223684651061</c:v>
                </c:pt>
                <c:pt idx="8">
                  <c:v>0.62766066058895764</c:v>
                </c:pt>
                <c:pt idx="9">
                  <c:v>0.65364439997961865</c:v>
                </c:pt>
                <c:pt idx="10">
                  <c:v>0.64994322170991481</c:v>
                </c:pt>
                <c:pt idx="11">
                  <c:v>0.65952398181111649</c:v>
                </c:pt>
                <c:pt idx="12">
                  <c:v>0.66358598072532249</c:v>
                </c:pt>
              </c:numCache>
            </c:numRef>
          </c:yVal>
          <c:smooth val="1"/>
        </c:ser>
        <c:ser>
          <c:idx val="2"/>
          <c:order val="2"/>
          <c:tx>
            <c:v>Log 50-5</c:v>
          </c:tx>
          <c:spPr>
            <a:ln>
              <a:solidFill>
                <a:srgbClr val="C00000"/>
              </a:solidFill>
            </a:ln>
          </c:spPr>
          <c:marker>
            <c:symbol val="triangle"/>
            <c:size val="10"/>
            <c:spPr>
              <a:solidFill>
                <a:srgbClr val="C00000"/>
              </a:solidFill>
              <a:ln>
                <a:solidFill>
                  <a:srgbClr val="C00000"/>
                </a:solidFill>
              </a:ln>
            </c:spPr>
          </c:marker>
          <c:xVal>
            <c:numRef>
              <c:f>'tabulka k deflaci'!$A$4:$A$16</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xVal>
          <c:yVal>
            <c:numRef>
              <c:f>'tabulka k deflaci'!$AG$4:$AG$16</c:f>
              <c:numCache>
                <c:formatCode>General</c:formatCode>
                <c:ptCount val="13"/>
                <c:pt idx="2" formatCode="0.00">
                  <c:v>0.68057347522175859</c:v>
                </c:pt>
                <c:pt idx="3" formatCode="0.00">
                  <c:v>0.67038492194192656</c:v>
                </c:pt>
                <c:pt idx="4" formatCode="0.00">
                  <c:v>0.67574370804940065</c:v>
                </c:pt>
                <c:pt idx="5" formatCode="0.00">
                  <c:v>0.68374820409371961</c:v>
                </c:pt>
                <c:pt idx="6" formatCode="0.00">
                  <c:v>0.6877460603175396</c:v>
                </c:pt>
                <c:pt idx="7" formatCode="0.00">
                  <c:v>0.69232965383199108</c:v>
                </c:pt>
                <c:pt idx="8" formatCode="0.00">
                  <c:v>0.70900869508035569</c:v>
                </c:pt>
                <c:pt idx="9" formatCode="0.00">
                  <c:v>0.71674918853661462</c:v>
                </c:pt>
                <c:pt idx="10" formatCode="0.00">
                  <c:v>0.73746451052926976</c:v>
                </c:pt>
                <c:pt idx="11" formatCode="0.00">
                  <c:v>0.73416506221797473</c:v>
                </c:pt>
                <c:pt idx="12" formatCode="0.00">
                  <c:v>0.74953379134283449</c:v>
                </c:pt>
              </c:numCache>
            </c:numRef>
          </c:yVal>
          <c:smooth val="1"/>
        </c:ser>
        <c:dLbls>
          <c:showLegendKey val="0"/>
          <c:showVal val="0"/>
          <c:showCatName val="0"/>
          <c:showSerName val="0"/>
          <c:showPercent val="0"/>
          <c:showBubbleSize val="0"/>
        </c:dLbls>
        <c:axId val="87936384"/>
        <c:axId val="87938176"/>
      </c:scatterChart>
      <c:valAx>
        <c:axId val="87936384"/>
        <c:scaling>
          <c:orientation val="minMax"/>
          <c:max val="2012"/>
          <c:min val="2000"/>
        </c:scaling>
        <c:delete val="0"/>
        <c:axPos val="b"/>
        <c:numFmt formatCode="General" sourceLinked="1"/>
        <c:majorTickMark val="out"/>
        <c:minorTickMark val="none"/>
        <c:tickLblPos val="nextTo"/>
        <c:txPr>
          <a:bodyPr rot="-5400000" vert="horz"/>
          <a:lstStyle/>
          <a:p>
            <a:pPr>
              <a:defRPr/>
            </a:pPr>
            <a:endParaRPr lang="cs-CZ"/>
          </a:p>
        </c:txPr>
        <c:crossAx val="87938176"/>
        <c:crosses val="autoZero"/>
        <c:crossBetween val="midCat"/>
        <c:majorUnit val="1"/>
      </c:valAx>
      <c:valAx>
        <c:axId val="87938176"/>
        <c:scaling>
          <c:orientation val="minMax"/>
          <c:max val="0.8"/>
          <c:min val="0.4"/>
        </c:scaling>
        <c:delete val="0"/>
        <c:axPos val="l"/>
        <c:majorGridlines/>
        <c:numFmt formatCode="0.00" sourceLinked="1"/>
        <c:majorTickMark val="none"/>
        <c:minorTickMark val="none"/>
        <c:tickLblPos val="nextTo"/>
        <c:spPr>
          <a:ln w="3175">
            <a:solidFill>
              <a:schemeClr val="bg1">
                <a:lumMod val="75000"/>
              </a:schemeClr>
            </a:solidFill>
          </a:ln>
        </c:spPr>
        <c:crossAx val="87936384"/>
        <c:crosses val="autoZero"/>
        <c:crossBetween val="midCat"/>
        <c:majorUnit val="0.1"/>
      </c:valAx>
      <c:spPr>
        <a:ln>
          <a:solidFill>
            <a:srgbClr val="593C8C"/>
          </a:solidFill>
        </a:ln>
      </c:spPr>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7421261884745"/>
          <c:y val="3.5409685244957981E-2"/>
          <c:w val="0.75549134789523853"/>
          <c:h val="0.79122338099818645"/>
        </c:manualLayout>
      </c:layout>
      <c:lineChart>
        <c:grouping val="standard"/>
        <c:varyColors val="0"/>
        <c:ser>
          <c:idx val="0"/>
          <c:order val="0"/>
          <c:tx>
            <c:strRef>
              <c:f>'[Mzdové tarify.xlsx]Ripple_effect'!$C$24</c:f>
              <c:strCache>
                <c:ptCount val="1"/>
                <c:pt idx="0">
                  <c:v>1. TS</c:v>
                </c:pt>
              </c:strCache>
            </c:strRef>
          </c:tx>
          <c:spPr>
            <a:ln w="28575" cap="rnd">
              <a:solidFill>
                <a:srgbClr val="FF0000"/>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tarify.xlsx]Ripple_effect'!$C$25:$C$41</c:f>
              <c:numCache>
                <c:formatCode>0.0</c:formatCode>
                <c:ptCount val="17"/>
                <c:pt idx="0">
                  <c:v>108.75465673230443</c:v>
                </c:pt>
                <c:pt idx="1">
                  <c:v>107.1690726694395</c:v>
                </c:pt>
                <c:pt idx="2">
                  <c:v>116.41552511415524</c:v>
                </c:pt>
                <c:pt idx="3">
                  <c:v>108.94292998627219</c:v>
                </c:pt>
                <c:pt idx="4">
                  <c:v>107.88478847884788</c:v>
                </c:pt>
                <c:pt idx="5">
                  <c:v>107.67562155848445</c:v>
                </c:pt>
                <c:pt idx="6">
                  <c:v>106.12118394545168</c:v>
                </c:pt>
                <c:pt idx="7">
                  <c:v>106.98014018691589</c:v>
                </c:pt>
                <c:pt idx="8">
                  <c:v>104.75020475020476</c:v>
                </c:pt>
                <c:pt idx="9">
                  <c:v>105.84559865618839</c:v>
                </c:pt>
                <c:pt idx="10">
                  <c:v>102.33325983671749</c:v>
                </c:pt>
                <c:pt idx="11">
                  <c:v>100.93703737692447</c:v>
                </c:pt>
                <c:pt idx="12">
                  <c:v>102.62175566150178</c:v>
                </c:pt>
                <c:pt idx="13">
                  <c:v>102.62577016425332</c:v>
                </c:pt>
                <c:pt idx="14">
                  <c:v>100.78560729535593</c:v>
                </c:pt>
                <c:pt idx="15">
                  <c:v>102.29557939276755</c:v>
                </c:pt>
                <c:pt idx="16">
                  <c:v>103.96981887281925</c:v>
                </c:pt>
              </c:numCache>
            </c:numRef>
          </c:val>
          <c:smooth val="0"/>
        </c:ser>
        <c:ser>
          <c:idx val="1"/>
          <c:order val="1"/>
          <c:tx>
            <c:strRef>
              <c:f>'[Mzdové tarify.xlsx]Ripple_effect'!$D$24</c:f>
              <c:strCache>
                <c:ptCount val="1"/>
                <c:pt idx="0">
                  <c:v>2. TS</c:v>
                </c:pt>
              </c:strCache>
            </c:strRef>
          </c:tx>
          <c:spPr>
            <a:ln w="28575" cap="rnd">
              <a:solidFill>
                <a:schemeClr val="accent2">
                  <a:lumMod val="75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tarify.xlsx]Ripple_effect'!$D$25:$D$41</c:f>
              <c:numCache>
                <c:formatCode>0.0</c:formatCode>
                <c:ptCount val="17"/>
                <c:pt idx="0">
                  <c:v>108.26210826210827</c:v>
                </c:pt>
                <c:pt idx="1">
                  <c:v>106.03070175438577</c:v>
                </c:pt>
                <c:pt idx="2">
                  <c:v>113.62978283350515</c:v>
                </c:pt>
                <c:pt idx="3">
                  <c:v>108.19075354932654</c:v>
                </c:pt>
                <c:pt idx="4">
                  <c:v>107.21736204576042</c:v>
                </c:pt>
                <c:pt idx="5">
                  <c:v>107.37486270202383</c:v>
                </c:pt>
                <c:pt idx="6">
                  <c:v>105.77232208095855</c:v>
                </c:pt>
                <c:pt idx="7">
                  <c:v>106.70074606244818</c:v>
                </c:pt>
                <c:pt idx="8">
                  <c:v>105.2958694807719</c:v>
                </c:pt>
                <c:pt idx="9">
                  <c:v>106.38171969728394</c:v>
                </c:pt>
                <c:pt idx="10">
                  <c:v>102.69131998421277</c:v>
                </c:pt>
                <c:pt idx="11">
                  <c:v>101.31940924064322</c:v>
                </c:pt>
                <c:pt idx="12">
                  <c:v>102.45901899788915</c:v>
                </c:pt>
                <c:pt idx="13">
                  <c:v>102.62650907666389</c:v>
                </c:pt>
                <c:pt idx="14">
                  <c:v>100.70237800127208</c:v>
                </c:pt>
                <c:pt idx="15">
                  <c:v>102.20309668658571</c:v>
                </c:pt>
                <c:pt idx="16">
                  <c:v>103.78804397503964</c:v>
                </c:pt>
              </c:numCache>
            </c:numRef>
          </c:val>
          <c:smooth val="0"/>
        </c:ser>
        <c:ser>
          <c:idx val="2"/>
          <c:order val="2"/>
          <c:tx>
            <c:strRef>
              <c:f>'[Mzdové tarify.xlsx]Ripple_effect'!$E$24</c:f>
              <c:strCache>
                <c:ptCount val="1"/>
                <c:pt idx="0">
                  <c:v>3. TS</c:v>
                </c:pt>
              </c:strCache>
            </c:strRef>
          </c:tx>
          <c:spPr>
            <a:ln w="28575" cap="rnd">
              <a:solidFill>
                <a:schemeClr val="accent6">
                  <a:lumMod val="75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tarify.xlsx]Ripple_effect'!$E$25:$E$41</c:f>
              <c:numCache>
                <c:formatCode>0.0</c:formatCode>
                <c:ptCount val="17"/>
                <c:pt idx="0">
                  <c:v>107.64344696167689</c:v>
                </c:pt>
                <c:pt idx="1">
                  <c:v>105.56648308418569</c:v>
                </c:pt>
                <c:pt idx="2">
                  <c:v>111.66387180920418</c:v>
                </c:pt>
                <c:pt idx="3">
                  <c:v>107.39195728349742</c:v>
                </c:pt>
                <c:pt idx="4">
                  <c:v>107.17837165941546</c:v>
                </c:pt>
                <c:pt idx="5">
                  <c:v>105.914757900841</c:v>
                </c:pt>
                <c:pt idx="6">
                  <c:v>105.63920065699425</c:v>
                </c:pt>
                <c:pt idx="7">
                  <c:v>106.28401140191791</c:v>
                </c:pt>
                <c:pt idx="8">
                  <c:v>105.924661709131</c:v>
                </c:pt>
                <c:pt idx="9">
                  <c:v>106.70558551454538</c:v>
                </c:pt>
                <c:pt idx="10">
                  <c:v>102.87504082647345</c:v>
                </c:pt>
                <c:pt idx="11">
                  <c:v>101.57039914818394</c:v>
                </c:pt>
                <c:pt idx="12">
                  <c:v>102.26957369942195</c:v>
                </c:pt>
                <c:pt idx="13">
                  <c:v>102.91698332971757</c:v>
                </c:pt>
                <c:pt idx="14">
                  <c:v>100.47184888988771</c:v>
                </c:pt>
                <c:pt idx="15">
                  <c:v>101.90818228593099</c:v>
                </c:pt>
                <c:pt idx="16">
                  <c:v>103.93543233095453</c:v>
                </c:pt>
              </c:numCache>
            </c:numRef>
          </c:val>
          <c:smooth val="0"/>
        </c:ser>
        <c:ser>
          <c:idx val="3"/>
          <c:order val="3"/>
          <c:tx>
            <c:strRef>
              <c:f>'[Mzdové tarify.xlsx]Ripple_effect'!$F$24</c:f>
              <c:strCache>
                <c:ptCount val="1"/>
                <c:pt idx="0">
                  <c:v>4. TS</c:v>
                </c:pt>
              </c:strCache>
            </c:strRef>
          </c:tx>
          <c:spPr>
            <a:ln w="28575" cap="rnd">
              <a:solidFill>
                <a:schemeClr val="accent6">
                  <a:lumMod val="60000"/>
                  <a:lumOff val="40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tarify.xlsx]Ripple_effect'!$F$25:$F$41</c:f>
              <c:numCache>
                <c:formatCode>0.0</c:formatCode>
                <c:ptCount val="17"/>
                <c:pt idx="0">
                  <c:v>107.45187726319803</c:v>
                </c:pt>
                <c:pt idx="1">
                  <c:v>105.65803476410071</c:v>
                </c:pt>
                <c:pt idx="2">
                  <c:v>111.11297633036745</c:v>
                </c:pt>
                <c:pt idx="3">
                  <c:v>106.60220577126454</c:v>
                </c:pt>
                <c:pt idx="4">
                  <c:v>106.80272108843538</c:v>
                </c:pt>
                <c:pt idx="5">
                  <c:v>105.42728237791931</c:v>
                </c:pt>
                <c:pt idx="6">
                  <c:v>105.12271869100044</c:v>
                </c:pt>
                <c:pt idx="7">
                  <c:v>105.31609195402298</c:v>
                </c:pt>
                <c:pt idx="8">
                  <c:v>106.49158708503884</c:v>
                </c:pt>
                <c:pt idx="9">
                  <c:v>106.66766007227032</c:v>
                </c:pt>
                <c:pt idx="10">
                  <c:v>102.85706525367073</c:v>
                </c:pt>
                <c:pt idx="11">
                  <c:v>102.32533148138347</c:v>
                </c:pt>
                <c:pt idx="12">
                  <c:v>102.00115918600247</c:v>
                </c:pt>
                <c:pt idx="13">
                  <c:v>102.92904770220217</c:v>
                </c:pt>
                <c:pt idx="14">
                  <c:v>100.46582328744176</c:v>
                </c:pt>
                <c:pt idx="15">
                  <c:v>101.99108653840614</c:v>
                </c:pt>
                <c:pt idx="16">
                  <c:v>103.92530064797583</c:v>
                </c:pt>
              </c:numCache>
            </c:numRef>
          </c:val>
          <c:smooth val="0"/>
        </c:ser>
        <c:ser>
          <c:idx val="4"/>
          <c:order val="4"/>
          <c:tx>
            <c:strRef>
              <c:f>'[Mzdové tarify.xlsx]Ripple_effect'!$G$24</c:f>
              <c:strCache>
                <c:ptCount val="1"/>
                <c:pt idx="0">
                  <c:v>5. TS</c:v>
                </c:pt>
              </c:strCache>
            </c:strRef>
          </c:tx>
          <c:spPr>
            <a:ln w="28575" cap="rnd">
              <a:solidFill>
                <a:schemeClr val="tx1"/>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tarify.xlsx]Ripple_effect'!$G$25:$G$41</c:f>
              <c:numCache>
                <c:formatCode>0.0</c:formatCode>
                <c:ptCount val="17"/>
                <c:pt idx="0">
                  <c:v>107.6405657123146</c:v>
                </c:pt>
                <c:pt idx="1">
                  <c:v>105.44784489665118</c:v>
                </c:pt>
                <c:pt idx="2">
                  <c:v>111.41163956845463</c:v>
                </c:pt>
                <c:pt idx="3">
                  <c:v>106.21931260229131</c:v>
                </c:pt>
                <c:pt idx="4">
                  <c:v>106.2532100667694</c:v>
                </c:pt>
                <c:pt idx="5">
                  <c:v>104.88217522658573</c:v>
                </c:pt>
                <c:pt idx="6">
                  <c:v>105.09275262126974</c:v>
                </c:pt>
                <c:pt idx="7">
                  <c:v>105.01041552461352</c:v>
                </c:pt>
                <c:pt idx="8">
                  <c:v>106.71330131551454</c:v>
                </c:pt>
                <c:pt idx="9">
                  <c:v>106.73424999811895</c:v>
                </c:pt>
                <c:pt idx="10">
                  <c:v>103.47686872889057</c:v>
                </c:pt>
                <c:pt idx="11">
                  <c:v>102.13835007144351</c:v>
                </c:pt>
                <c:pt idx="12">
                  <c:v>101.77641630529055</c:v>
                </c:pt>
                <c:pt idx="13">
                  <c:v>103.20375578296006</c:v>
                </c:pt>
                <c:pt idx="14">
                  <c:v>100.43678291856384</c:v>
                </c:pt>
                <c:pt idx="15">
                  <c:v>102.1276984939811</c:v>
                </c:pt>
                <c:pt idx="16">
                  <c:v>104.06686993311233</c:v>
                </c:pt>
              </c:numCache>
            </c:numRef>
          </c:val>
          <c:smooth val="0"/>
        </c:ser>
        <c:ser>
          <c:idx val="5"/>
          <c:order val="5"/>
          <c:tx>
            <c:strRef>
              <c:f>'[Mzdové tarify.xlsx]Ripple_effect'!$H$24</c:f>
              <c:strCache>
                <c:ptCount val="1"/>
                <c:pt idx="0">
                  <c:v>6. TS</c:v>
                </c:pt>
              </c:strCache>
            </c:strRef>
          </c:tx>
          <c:spPr>
            <a:ln w="28575" cap="rnd">
              <a:solidFill>
                <a:schemeClr val="tx1">
                  <a:lumMod val="65000"/>
                  <a:lumOff val="35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tarify.xlsx]Ripple_effect'!$H$25:$H$41</c:f>
              <c:numCache>
                <c:formatCode>0.0</c:formatCode>
                <c:ptCount val="17"/>
                <c:pt idx="0">
                  <c:v>107.90951638065522</c:v>
                </c:pt>
                <c:pt idx="1">
                  <c:v>104.98771143559347</c:v>
                </c:pt>
                <c:pt idx="2">
                  <c:v>111.66345359405121</c:v>
                </c:pt>
                <c:pt idx="3">
                  <c:v>105.83302503391296</c:v>
                </c:pt>
                <c:pt idx="4">
                  <c:v>105.93101841062688</c:v>
                </c:pt>
                <c:pt idx="5">
                  <c:v>104.42195578044242</c:v>
                </c:pt>
                <c:pt idx="6">
                  <c:v>104.07668808595807</c:v>
                </c:pt>
                <c:pt idx="7">
                  <c:v>105.8502024291498</c:v>
                </c:pt>
                <c:pt idx="8">
                  <c:v>106.72212660164469</c:v>
                </c:pt>
                <c:pt idx="9">
                  <c:v>106.9317650062129</c:v>
                </c:pt>
                <c:pt idx="10">
                  <c:v>103.13114983059315</c:v>
                </c:pt>
                <c:pt idx="11">
                  <c:v>102.34518752811812</c:v>
                </c:pt>
                <c:pt idx="12">
                  <c:v>101.69278479002909</c:v>
                </c:pt>
                <c:pt idx="13">
                  <c:v>102.98184887260594</c:v>
                </c:pt>
                <c:pt idx="14">
                  <c:v>100.85359615041625</c:v>
                </c:pt>
                <c:pt idx="15">
                  <c:v>102.36130480851524</c:v>
                </c:pt>
                <c:pt idx="16">
                  <c:v>104.14682636710866</c:v>
                </c:pt>
              </c:numCache>
            </c:numRef>
          </c:val>
          <c:smooth val="0"/>
        </c:ser>
        <c:ser>
          <c:idx val="6"/>
          <c:order val="6"/>
          <c:tx>
            <c:strRef>
              <c:f>'[Mzdové tarify.xlsx]Ripple_effect'!$I$24</c:f>
              <c:strCache>
                <c:ptCount val="1"/>
                <c:pt idx="0">
                  <c:v>7. TS</c:v>
                </c:pt>
              </c:strCache>
            </c:strRef>
          </c:tx>
          <c:spPr>
            <a:ln w="28575" cap="rnd">
              <a:solidFill>
                <a:schemeClr val="tx1">
                  <a:lumMod val="50000"/>
                  <a:lumOff val="50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tarify.xlsx]Ripple_effect'!$I$25:$I$41</c:f>
              <c:numCache>
                <c:formatCode>0.0</c:formatCode>
                <c:ptCount val="17"/>
                <c:pt idx="0">
                  <c:v>107.84065315315314</c:v>
                </c:pt>
                <c:pt idx="1">
                  <c:v>104.85576295522775</c:v>
                </c:pt>
                <c:pt idx="2">
                  <c:v>111.67683306361261</c:v>
                </c:pt>
                <c:pt idx="3">
                  <c:v>105.67383792219337</c:v>
                </c:pt>
                <c:pt idx="4">
                  <c:v>105.83333333333314</c:v>
                </c:pt>
                <c:pt idx="5">
                  <c:v>104.22605402172829</c:v>
                </c:pt>
                <c:pt idx="6">
                  <c:v>103.81562589652846</c:v>
                </c:pt>
                <c:pt idx="7">
                  <c:v>105.84929992630832</c:v>
                </c:pt>
                <c:pt idx="8">
                  <c:v>106.58776433730746</c:v>
                </c:pt>
                <c:pt idx="9">
                  <c:v>107.47638517809013</c:v>
                </c:pt>
                <c:pt idx="10">
                  <c:v>103.14911006990731</c:v>
                </c:pt>
                <c:pt idx="11">
                  <c:v>102.42117184005038</c:v>
                </c:pt>
                <c:pt idx="12">
                  <c:v>101.48306967714122</c:v>
                </c:pt>
                <c:pt idx="13">
                  <c:v>102.9570154657146</c:v>
                </c:pt>
                <c:pt idx="14">
                  <c:v>101.02744133123645</c:v>
                </c:pt>
                <c:pt idx="15">
                  <c:v>102.41221677457524</c:v>
                </c:pt>
                <c:pt idx="16">
                  <c:v>104.62410063184113</c:v>
                </c:pt>
              </c:numCache>
            </c:numRef>
          </c:val>
          <c:smooth val="0"/>
        </c:ser>
        <c:ser>
          <c:idx val="7"/>
          <c:order val="7"/>
          <c:tx>
            <c:strRef>
              <c:f>'[Mzdové tarify.xlsx]Ripple_effect'!$J$24</c:f>
              <c:strCache>
                <c:ptCount val="1"/>
                <c:pt idx="0">
                  <c:v>8. TS</c:v>
                </c:pt>
              </c:strCache>
            </c:strRef>
          </c:tx>
          <c:spPr>
            <a:ln w="28575" cap="rnd">
              <a:solidFill>
                <a:schemeClr val="bg1">
                  <a:lumMod val="75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tarify.xlsx]Ripple_effect'!$J$25:$J$41</c:f>
              <c:numCache>
                <c:formatCode>0.0</c:formatCode>
                <c:ptCount val="17"/>
                <c:pt idx="0">
                  <c:v>107.7859497844281</c:v>
                </c:pt>
                <c:pt idx="1">
                  <c:v>104.81176470588242</c:v>
                </c:pt>
                <c:pt idx="2">
                  <c:v>111.34807498035696</c:v>
                </c:pt>
                <c:pt idx="3">
                  <c:v>105.02016129032259</c:v>
                </c:pt>
                <c:pt idx="4">
                  <c:v>106.04722595507819</c:v>
                </c:pt>
                <c:pt idx="5">
                  <c:v>104.26321506154979</c:v>
                </c:pt>
                <c:pt idx="6">
                  <c:v>103.62010591197151</c:v>
                </c:pt>
                <c:pt idx="7">
                  <c:v>106.25837801608525</c:v>
                </c:pt>
                <c:pt idx="8">
                  <c:v>106.11842623984862</c:v>
                </c:pt>
                <c:pt idx="9">
                  <c:v>107.35700018049094</c:v>
                </c:pt>
                <c:pt idx="10">
                  <c:v>103.59665527115149</c:v>
                </c:pt>
                <c:pt idx="11">
                  <c:v>102.41924942636633</c:v>
                </c:pt>
                <c:pt idx="12">
                  <c:v>101.60185832626705</c:v>
                </c:pt>
                <c:pt idx="13">
                  <c:v>102.86793939483856</c:v>
                </c:pt>
                <c:pt idx="14">
                  <c:v>101.18812671126476</c:v>
                </c:pt>
                <c:pt idx="15">
                  <c:v>102.11324631013861</c:v>
                </c:pt>
                <c:pt idx="16">
                  <c:v>104.77744930771181</c:v>
                </c:pt>
              </c:numCache>
            </c:numRef>
          </c:val>
          <c:smooth val="0"/>
        </c:ser>
        <c:ser>
          <c:idx val="8"/>
          <c:order val="8"/>
          <c:tx>
            <c:strRef>
              <c:f>'[Mzdové tarify.xlsx]Ripple_effect'!$K$24</c:f>
              <c:strCache>
                <c:ptCount val="1"/>
                <c:pt idx="0">
                  <c:v>9. TS</c:v>
                </c:pt>
              </c:strCache>
            </c:strRef>
          </c:tx>
          <c:spPr>
            <a:ln w="28575" cap="rnd">
              <a:solidFill>
                <a:srgbClr val="00B050"/>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tarify.xlsx]Ripple_effect'!$K$25:$K$41</c:f>
              <c:numCache>
                <c:formatCode>0.0</c:formatCode>
                <c:ptCount val="17"/>
                <c:pt idx="0">
                  <c:v>107.91309319611224</c:v>
                </c:pt>
                <c:pt idx="1">
                  <c:v>104.85323725760287</c:v>
                </c:pt>
                <c:pt idx="2">
                  <c:v>111.23799898938876</c:v>
                </c:pt>
                <c:pt idx="3">
                  <c:v>104.76060688652665</c:v>
                </c:pt>
                <c:pt idx="4">
                  <c:v>105.97519729425028</c:v>
                </c:pt>
                <c:pt idx="5">
                  <c:v>104.320785597381</c:v>
                </c:pt>
                <c:pt idx="6">
                  <c:v>103.0671477878883</c:v>
                </c:pt>
                <c:pt idx="7">
                  <c:v>106.60628662759723</c:v>
                </c:pt>
                <c:pt idx="8">
                  <c:v>104.84043692439495</c:v>
                </c:pt>
                <c:pt idx="9">
                  <c:v>108.50712882269168</c:v>
                </c:pt>
                <c:pt idx="10">
                  <c:v>103.48135225127689</c:v>
                </c:pt>
                <c:pt idx="11">
                  <c:v>102.17114439929651</c:v>
                </c:pt>
                <c:pt idx="12">
                  <c:v>103.09248768326709</c:v>
                </c:pt>
                <c:pt idx="13">
                  <c:v>103.08068784511259</c:v>
                </c:pt>
                <c:pt idx="14">
                  <c:v>101.14880345773585</c:v>
                </c:pt>
                <c:pt idx="15">
                  <c:v>101.75168799103909</c:v>
                </c:pt>
                <c:pt idx="16">
                  <c:v>104.42929809110252</c:v>
                </c:pt>
              </c:numCache>
            </c:numRef>
          </c:val>
          <c:smooth val="0"/>
        </c:ser>
        <c:ser>
          <c:idx val="9"/>
          <c:order val="9"/>
          <c:tx>
            <c:strRef>
              <c:f>'[Mzdové tarify.xlsx]Ripple_effect'!$L$24</c:f>
              <c:strCache>
                <c:ptCount val="1"/>
                <c:pt idx="0">
                  <c:v>10. TS</c:v>
                </c:pt>
              </c:strCache>
            </c:strRef>
          </c:tx>
          <c:spPr>
            <a:ln w="28575" cap="rnd">
              <a:solidFill>
                <a:srgbClr val="92D050"/>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tarify.xlsx]Ripple_effect'!$L$25:$L$41</c:f>
              <c:numCache>
                <c:formatCode>0.0</c:formatCode>
                <c:ptCount val="17"/>
                <c:pt idx="0">
                  <c:v>107.87345141804035</c:v>
                </c:pt>
                <c:pt idx="1">
                  <c:v>104.44191343963591</c:v>
                </c:pt>
                <c:pt idx="2">
                  <c:v>111.55943293347843</c:v>
                </c:pt>
                <c:pt idx="3">
                  <c:v>104.52916259367871</c:v>
                </c:pt>
                <c:pt idx="4">
                  <c:v>105.63435162094781</c:v>
                </c:pt>
                <c:pt idx="5">
                  <c:v>104.71412762818167</c:v>
                </c:pt>
                <c:pt idx="6">
                  <c:v>102.52219247569379</c:v>
                </c:pt>
                <c:pt idx="7">
                  <c:v>106.68636613523896</c:v>
                </c:pt>
                <c:pt idx="8">
                  <c:v>103.94847020933977</c:v>
                </c:pt>
                <c:pt idx="9">
                  <c:v>109.27016388411901</c:v>
                </c:pt>
                <c:pt idx="10">
                  <c:v>103.36002899158088</c:v>
                </c:pt>
                <c:pt idx="11">
                  <c:v>102.20268400883302</c:v>
                </c:pt>
                <c:pt idx="12">
                  <c:v>104.24700987760363</c:v>
                </c:pt>
                <c:pt idx="13">
                  <c:v>102.96615302032311</c:v>
                </c:pt>
                <c:pt idx="14">
                  <c:v>101.09822268659742</c:v>
                </c:pt>
                <c:pt idx="15">
                  <c:v>101.48407952889671</c:v>
                </c:pt>
                <c:pt idx="16">
                  <c:v>103.82941077176071</c:v>
                </c:pt>
              </c:numCache>
            </c:numRef>
          </c:val>
          <c:smooth val="0"/>
        </c:ser>
        <c:ser>
          <c:idx val="10"/>
          <c:order val="10"/>
          <c:tx>
            <c:strRef>
              <c:f>'[Mzdové tarify.xlsx]Ripple_effect'!$M$24</c:f>
              <c:strCache>
                <c:ptCount val="1"/>
                <c:pt idx="0">
                  <c:v>11. TS</c:v>
                </c:pt>
              </c:strCache>
            </c:strRef>
          </c:tx>
          <c:spPr>
            <a:ln w="28575" cap="rnd">
              <a:solidFill>
                <a:schemeClr val="accent3">
                  <a:lumMod val="60000"/>
                  <a:lumOff val="40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tarify.xlsx]Ripple_effect'!$M$25:$M$41</c:f>
              <c:numCache>
                <c:formatCode>0.0</c:formatCode>
                <c:ptCount val="17"/>
                <c:pt idx="0">
                  <c:v>108.79242159477604</c:v>
                </c:pt>
                <c:pt idx="1">
                  <c:v>103.89720179220562</c:v>
                </c:pt>
                <c:pt idx="2">
                  <c:v>111.57038242473537</c:v>
                </c:pt>
                <c:pt idx="3">
                  <c:v>104.70390898483079</c:v>
                </c:pt>
                <c:pt idx="4">
                  <c:v>105.32841122797241</c:v>
                </c:pt>
                <c:pt idx="5">
                  <c:v>105.01256447559852</c:v>
                </c:pt>
                <c:pt idx="6">
                  <c:v>101.85138539042789</c:v>
                </c:pt>
                <c:pt idx="7">
                  <c:v>107.26474588846298</c:v>
                </c:pt>
                <c:pt idx="8">
                  <c:v>103.13562741368349</c:v>
                </c:pt>
                <c:pt idx="9">
                  <c:v>110.09178163549041</c:v>
                </c:pt>
                <c:pt idx="10">
                  <c:v>103.85616738559041</c:v>
                </c:pt>
                <c:pt idx="11">
                  <c:v>101.29366225845264</c:v>
                </c:pt>
                <c:pt idx="12">
                  <c:v>105.11822516044973</c:v>
                </c:pt>
                <c:pt idx="13">
                  <c:v>103.52444566015762</c:v>
                </c:pt>
                <c:pt idx="14">
                  <c:v>100.47853653023535</c:v>
                </c:pt>
                <c:pt idx="15">
                  <c:v>101.68756569096263</c:v>
                </c:pt>
                <c:pt idx="16">
                  <c:v>102.95024974773683</c:v>
                </c:pt>
              </c:numCache>
            </c:numRef>
          </c:val>
          <c:smooth val="0"/>
        </c:ser>
        <c:ser>
          <c:idx val="11"/>
          <c:order val="11"/>
          <c:tx>
            <c:strRef>
              <c:f>'[Mzdové tarify.xlsx]Ripple_effect'!$N$24</c:f>
              <c:strCache>
                <c:ptCount val="1"/>
                <c:pt idx="0">
                  <c:v>12. TS</c:v>
                </c:pt>
              </c:strCache>
            </c:strRef>
          </c:tx>
          <c:spPr>
            <a:ln w="28575" cap="rnd">
              <a:solidFill>
                <a:schemeClr val="accent3">
                  <a:lumMod val="50000"/>
                </a:schemeClr>
              </a:solidFill>
              <a:round/>
            </a:ln>
            <a:effectLst/>
          </c:spPr>
          <c:marker>
            <c:symbol val="none"/>
          </c:marker>
          <c:cat>
            <c:strRef>
              <c:f>'[Mzdové tarify.xlsx]Ripple_effect'!$B$25:$B$41</c:f>
              <c:strCache>
                <c:ptCount val="17"/>
                <c:pt idx="0">
                  <c:v>1999/1998</c:v>
                </c:pt>
                <c:pt idx="1">
                  <c:v>2000/1999</c:v>
                </c:pt>
                <c:pt idx="2">
                  <c:v>2001/2000</c:v>
                </c:pt>
                <c:pt idx="3">
                  <c:v>2002/2001</c:v>
                </c:pt>
                <c:pt idx="4">
                  <c:v>2003/2002</c:v>
                </c:pt>
                <c:pt idx="5">
                  <c:v>2004/2003</c:v>
                </c:pt>
                <c:pt idx="6">
                  <c:v>2005/2004</c:v>
                </c:pt>
                <c:pt idx="7">
                  <c:v>2006/2005</c:v>
                </c:pt>
                <c:pt idx="8">
                  <c:v>2007/2006</c:v>
                </c:pt>
                <c:pt idx="9">
                  <c:v>2008/2007</c:v>
                </c:pt>
                <c:pt idx="10">
                  <c:v>2009/2008</c:v>
                </c:pt>
                <c:pt idx="11">
                  <c:v>2010/2009</c:v>
                </c:pt>
                <c:pt idx="12">
                  <c:v>2011/2010</c:v>
                </c:pt>
                <c:pt idx="13">
                  <c:v>2012/2011</c:v>
                </c:pt>
                <c:pt idx="14">
                  <c:v>2013/2012</c:v>
                </c:pt>
                <c:pt idx="15">
                  <c:v>2014/2013</c:v>
                </c:pt>
                <c:pt idx="16">
                  <c:v>2015/2014</c:v>
                </c:pt>
              </c:strCache>
            </c:strRef>
          </c:cat>
          <c:val>
            <c:numRef>
              <c:f>'[Mzdové tarify.xlsx]Ripple_effect'!$N$25:$N$41</c:f>
              <c:numCache>
                <c:formatCode>0.0</c:formatCode>
                <c:ptCount val="17"/>
                <c:pt idx="0">
                  <c:v>109.10209102091021</c:v>
                </c:pt>
                <c:pt idx="1">
                  <c:v>103.49492671927879</c:v>
                </c:pt>
                <c:pt idx="2">
                  <c:v>111.58315177923022</c:v>
                </c:pt>
                <c:pt idx="3">
                  <c:v>104.34103481939471</c:v>
                </c:pt>
                <c:pt idx="4">
                  <c:v>105.81961077844312</c:v>
                </c:pt>
                <c:pt idx="5">
                  <c:v>105.24020041261421</c:v>
                </c:pt>
                <c:pt idx="6">
                  <c:v>101.2602217990368</c:v>
                </c:pt>
                <c:pt idx="7">
                  <c:v>107.79910393273964</c:v>
                </c:pt>
                <c:pt idx="8">
                  <c:v>102.40135461029317</c:v>
                </c:pt>
                <c:pt idx="9">
                  <c:v>109.17094001491935</c:v>
                </c:pt>
                <c:pt idx="10">
                  <c:v>105.5969500929359</c:v>
                </c:pt>
                <c:pt idx="11">
                  <c:v>100.77079530911774</c:v>
                </c:pt>
                <c:pt idx="12">
                  <c:v>105.95488526570068</c:v>
                </c:pt>
                <c:pt idx="13">
                  <c:v>102.77127507725474</c:v>
                </c:pt>
                <c:pt idx="14">
                  <c:v>101.12452706951262</c:v>
                </c:pt>
                <c:pt idx="15">
                  <c:v>100.86602634714721</c:v>
                </c:pt>
                <c:pt idx="16">
                  <c:v>103.60200086266099</c:v>
                </c:pt>
              </c:numCache>
            </c:numRef>
          </c:val>
          <c:smooth val="0"/>
        </c:ser>
        <c:dLbls>
          <c:showLegendKey val="0"/>
          <c:showVal val="0"/>
          <c:showCatName val="0"/>
          <c:showSerName val="0"/>
          <c:showPercent val="0"/>
          <c:showBubbleSize val="0"/>
        </c:dLbls>
        <c:marker val="1"/>
        <c:smooth val="0"/>
        <c:axId val="122027008"/>
        <c:axId val="122176256"/>
      </c:lineChart>
      <c:catAx>
        <c:axId val="12202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2176256"/>
        <c:crosses val="autoZero"/>
        <c:auto val="1"/>
        <c:lblAlgn val="ctr"/>
        <c:lblOffset val="100"/>
        <c:noMultiLvlLbl val="0"/>
      </c:catAx>
      <c:valAx>
        <c:axId val="122176256"/>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Průměrný meziroční růst </a:t>
                </a:r>
                <a:r>
                  <a:rPr lang="en-US"/>
                  <a:t>[</a:t>
                </a:r>
                <a:r>
                  <a:rPr lang="cs-CZ"/>
                  <a:t>%</a:t>
                </a:r>
                <a:r>
                  <a:rPr lang="en-US"/>
                  <a:t>]</a:t>
                </a:r>
                <a:endParaRPr lang="cs-CZ"/>
              </a:p>
            </c:rich>
          </c:tx>
          <c:layout>
            <c:manualLayout>
              <c:xMode val="edge"/>
              <c:yMode val="edge"/>
              <c:x val="1.0267670789517373E-2"/>
              <c:y val="0.1704769400203537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2027008"/>
        <c:crosses val="autoZero"/>
        <c:crossBetween val="between"/>
      </c:valAx>
      <c:spPr>
        <a:noFill/>
        <a:ln>
          <a:noFill/>
        </a:ln>
        <a:effectLst/>
      </c:spPr>
    </c:plotArea>
    <c:legend>
      <c:legendPos val="r"/>
      <c:layout>
        <c:manualLayout>
          <c:xMode val="edge"/>
          <c:yMode val="edge"/>
          <c:x val="0.87259027262115318"/>
          <c:y val="8.4734953760910628E-2"/>
          <c:w val="0.12533482334316057"/>
          <c:h val="0.701767566355026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77622976866792E-2"/>
          <c:y val="7.8775124951698194E-2"/>
          <c:w val="0.752874681514487"/>
          <c:h val="0.78915836351951063"/>
        </c:manualLayout>
      </c:layout>
      <c:lineChart>
        <c:grouping val="standard"/>
        <c:varyColors val="0"/>
        <c:ser>
          <c:idx val="0"/>
          <c:order val="0"/>
          <c:tx>
            <c:strRef>
              <c:f>'[Mzdové tarify.xlsx]Ripple_effect'!$Q$3</c:f>
              <c:strCache>
                <c:ptCount val="1"/>
                <c:pt idx="0">
                  <c:v>1. TS</c:v>
                </c:pt>
              </c:strCache>
            </c:strRef>
          </c:tx>
          <c:spPr>
            <a:ln w="28575" cap="rnd">
              <a:solidFill>
                <a:srgbClr val="FF0000"/>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tarify.xlsx]Ripple_effect'!$Q$4:$Q$21</c:f>
              <c:numCache>
                <c:formatCode>#\ ##0.0</c:formatCode>
                <c:ptCount val="18"/>
                <c:pt idx="0">
                  <c:v>1.4181132075471663</c:v>
                </c:pt>
                <c:pt idx="1">
                  <c:v>1.1352777777777781</c:v>
                </c:pt>
                <c:pt idx="2">
                  <c:v>0.97333333333333361</c:v>
                </c:pt>
                <c:pt idx="3">
                  <c:v>1.019799999999996</c:v>
                </c:pt>
                <c:pt idx="4">
                  <c:v>0.97456140350877418</c:v>
                </c:pt>
                <c:pt idx="5">
                  <c:v>0.96661290322580662</c:v>
                </c:pt>
                <c:pt idx="6">
                  <c:v>0.963134328358209</c:v>
                </c:pt>
                <c:pt idx="7">
                  <c:v>0.95309672929714651</c:v>
                </c:pt>
                <c:pt idx="8">
                  <c:v>0.92093023255814244</c:v>
                </c:pt>
                <c:pt idx="9">
                  <c:v>0.95925000000000005</c:v>
                </c:pt>
                <c:pt idx="10">
                  <c:v>1.0153239051094836</c:v>
                </c:pt>
                <c:pt idx="11">
                  <c:v>1.0390140499999998</c:v>
                </c:pt>
                <c:pt idx="12">
                  <c:v>1.0487500000000001</c:v>
                </c:pt>
                <c:pt idx="13">
                  <c:v>1.0762456625000001</c:v>
                </c:pt>
                <c:pt idx="14">
                  <c:v>1.1045054000000001</c:v>
                </c:pt>
                <c:pt idx="15">
                  <c:v>1.0477011529411737</c:v>
                </c:pt>
                <c:pt idx="16">
                  <c:v>1.0717519647058853</c:v>
                </c:pt>
                <c:pt idx="17">
                  <c:v>1.0295149891304338</c:v>
                </c:pt>
              </c:numCache>
            </c:numRef>
          </c:val>
          <c:smooth val="0"/>
        </c:ser>
        <c:ser>
          <c:idx val="1"/>
          <c:order val="1"/>
          <c:tx>
            <c:strRef>
              <c:f>'[Mzdové tarify.xlsx]Ripple_effect'!$R$3</c:f>
              <c:strCache>
                <c:ptCount val="1"/>
                <c:pt idx="0">
                  <c:v>2. TS</c:v>
                </c:pt>
              </c:strCache>
            </c:strRef>
          </c:tx>
          <c:spPr>
            <a:ln w="28575" cap="rnd">
              <a:solidFill>
                <a:schemeClr val="accent2">
                  <a:lumMod val="75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tarify.xlsx]Ripple_effect'!$R$4:$R$21</c:f>
              <c:numCache>
                <c:formatCode>#\ ##0.0</c:formatCode>
                <c:ptCount val="18"/>
                <c:pt idx="0">
                  <c:v>1.5894339622641498</c:v>
                </c:pt>
                <c:pt idx="1">
                  <c:v>1.2666666666666666</c:v>
                </c:pt>
                <c:pt idx="2">
                  <c:v>1.0744444444444439</c:v>
                </c:pt>
                <c:pt idx="3">
                  <c:v>1.0988</c:v>
                </c:pt>
                <c:pt idx="4">
                  <c:v>1.0428070175438597</c:v>
                </c:pt>
                <c:pt idx="5">
                  <c:v>1.0279032258064498</c:v>
                </c:pt>
                <c:pt idx="6">
                  <c:v>1.0213432835820864</c:v>
                </c:pt>
                <c:pt idx="7">
                  <c:v>1.0073764787752262</c:v>
                </c:pt>
                <c:pt idx="8">
                  <c:v>0.97083595223130292</c:v>
                </c:pt>
                <c:pt idx="9">
                  <c:v>1.0165</c:v>
                </c:pt>
                <c:pt idx="10">
                  <c:v>1.0813701807228913</c:v>
                </c:pt>
                <c:pt idx="11">
                  <c:v>1.1104733124999968</c:v>
                </c:pt>
                <c:pt idx="12">
                  <c:v>1.125124999999997</c:v>
                </c:pt>
                <c:pt idx="13">
                  <c:v>1.1527920375</c:v>
                </c:pt>
                <c:pt idx="14">
                  <c:v>1.183070225</c:v>
                </c:pt>
                <c:pt idx="15">
                  <c:v>1.1212986823529369</c:v>
                </c:pt>
                <c:pt idx="16">
                  <c:v>1.1460019764705913</c:v>
                </c:pt>
                <c:pt idx="17">
                  <c:v>1.0989142173913038</c:v>
                </c:pt>
              </c:numCache>
            </c:numRef>
          </c:val>
          <c:smooth val="0"/>
        </c:ser>
        <c:ser>
          <c:idx val="2"/>
          <c:order val="2"/>
          <c:tx>
            <c:strRef>
              <c:f>'[Mzdové tarify.xlsx]Ripple_effect'!$S$3</c:f>
              <c:strCache>
                <c:ptCount val="1"/>
                <c:pt idx="0">
                  <c:v>3. TS</c:v>
                </c:pt>
              </c:strCache>
            </c:strRef>
          </c:tx>
          <c:spPr>
            <a:ln w="28575" cap="rnd">
              <a:solidFill>
                <a:schemeClr val="accent6">
                  <a:lumMod val="75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tarify.xlsx]Ripple_effect'!$S$4:$S$21</c:f>
              <c:numCache>
                <c:formatCode>#\ ##0.0</c:formatCode>
                <c:ptCount val="18"/>
                <c:pt idx="0">
                  <c:v>1.7822641509433959</c:v>
                </c:pt>
                <c:pt idx="1">
                  <c:v>1.4122222222222218</c:v>
                </c:pt>
                <c:pt idx="2">
                  <c:v>1.1926666666666681</c:v>
                </c:pt>
                <c:pt idx="3">
                  <c:v>1.1986000000000001</c:v>
                </c:pt>
                <c:pt idx="4">
                  <c:v>1.1291228070175439</c:v>
                </c:pt>
                <c:pt idx="5">
                  <c:v>1.1125806451612903</c:v>
                </c:pt>
                <c:pt idx="6">
                  <c:v>1.0904477611940331</c:v>
                </c:pt>
                <c:pt idx="7">
                  <c:v>1.0741823242867166</c:v>
                </c:pt>
                <c:pt idx="8">
                  <c:v>1.0311753614079195</c:v>
                </c:pt>
                <c:pt idx="9">
                  <c:v>1.086125</c:v>
                </c:pt>
                <c:pt idx="10">
                  <c:v>1.1589560406698562</c:v>
                </c:pt>
                <c:pt idx="11">
                  <c:v>1.1922765000000028</c:v>
                </c:pt>
                <c:pt idx="12">
                  <c:v>1.2109999999999967</c:v>
                </c:pt>
                <c:pt idx="13">
                  <c:v>1.2384845375</c:v>
                </c:pt>
                <c:pt idx="14">
                  <c:v>1.2746109250000028</c:v>
                </c:pt>
                <c:pt idx="15">
                  <c:v>1.2052942705882321</c:v>
                </c:pt>
                <c:pt idx="16">
                  <c:v>1.2282934823529379</c:v>
                </c:pt>
                <c:pt idx="17">
                  <c:v>1.1794970869565251</c:v>
                </c:pt>
              </c:numCache>
            </c:numRef>
          </c:val>
          <c:smooth val="0"/>
        </c:ser>
        <c:ser>
          <c:idx val="3"/>
          <c:order val="3"/>
          <c:tx>
            <c:strRef>
              <c:f>'[Mzdové tarify.xlsx]Ripple_effect'!$T$3</c:f>
              <c:strCache>
                <c:ptCount val="1"/>
                <c:pt idx="0">
                  <c:v>4. TS</c:v>
                </c:pt>
              </c:strCache>
            </c:strRef>
          </c:tx>
          <c:spPr>
            <a:ln w="28575" cap="rnd">
              <a:solidFill>
                <a:schemeClr val="accent6">
                  <a:lumMod val="60000"/>
                  <a:lumOff val="40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tarify.xlsx]Ripple_effect'!$T$4:$T$21</c:f>
              <c:numCache>
                <c:formatCode>#\ ##0.0</c:formatCode>
                <c:ptCount val="18"/>
                <c:pt idx="0">
                  <c:v>1.9800000000000031</c:v>
                </c:pt>
                <c:pt idx="1">
                  <c:v>1.5661111111111121</c:v>
                </c:pt>
                <c:pt idx="2">
                  <c:v>1.3237777777777777</c:v>
                </c:pt>
                <c:pt idx="3">
                  <c:v>1.3237999999999968</c:v>
                </c:pt>
                <c:pt idx="4">
                  <c:v>1.2378947368421009</c:v>
                </c:pt>
                <c:pt idx="5">
                  <c:v>1.215483870967742</c:v>
                </c:pt>
                <c:pt idx="6">
                  <c:v>1.1858208955223848</c:v>
                </c:pt>
                <c:pt idx="7">
                  <c:v>1.1624217118997913</c:v>
                </c:pt>
                <c:pt idx="8">
                  <c:v>1.1057196731615335</c:v>
                </c:pt>
                <c:pt idx="9">
                  <c:v>1.1708750000000001</c:v>
                </c:pt>
                <c:pt idx="10">
                  <c:v>1.2489449648711961</c:v>
                </c:pt>
                <c:pt idx="11">
                  <c:v>1.2846281375000002</c:v>
                </c:pt>
                <c:pt idx="12">
                  <c:v>1.3145</c:v>
                </c:pt>
                <c:pt idx="13">
                  <c:v>1.3408052374999968</c:v>
                </c:pt>
                <c:pt idx="14">
                  <c:v>1.3800780625000031</c:v>
                </c:pt>
                <c:pt idx="15">
                  <c:v>1.3049475647058877</c:v>
                </c:pt>
                <c:pt idx="16">
                  <c:v>1.3309301999999998</c:v>
                </c:pt>
                <c:pt idx="17">
                  <c:v>1.2779317717391268</c:v>
                </c:pt>
              </c:numCache>
            </c:numRef>
          </c:val>
          <c:smooth val="0"/>
        </c:ser>
        <c:ser>
          <c:idx val="4"/>
          <c:order val="4"/>
          <c:tx>
            <c:strRef>
              <c:f>'[Mzdové tarify.xlsx]Ripple_effect'!$U$3</c:f>
              <c:strCache>
                <c:ptCount val="1"/>
                <c:pt idx="0">
                  <c:v>5. TS</c:v>
                </c:pt>
              </c:strCache>
            </c:strRef>
          </c:tx>
          <c:spPr>
            <a:ln w="28575" cap="rnd">
              <a:solidFill>
                <a:schemeClr val="tx1"/>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tarify.xlsx]Ripple_effect'!$U$4:$U$21</c:f>
              <c:numCache>
                <c:formatCode>#\ ##0.0</c:formatCode>
                <c:ptCount val="18"/>
                <c:pt idx="0">
                  <c:v>2.1879245283018989</c:v>
                </c:pt>
                <c:pt idx="1">
                  <c:v>1.7336111111111112</c:v>
                </c:pt>
                <c:pt idx="2">
                  <c:v>1.4624444444444438</c:v>
                </c:pt>
                <c:pt idx="3">
                  <c:v>1.4663999999999968</c:v>
                </c:pt>
                <c:pt idx="4">
                  <c:v>1.3663157894736861</c:v>
                </c:pt>
                <c:pt idx="5">
                  <c:v>1.3346774193548387</c:v>
                </c:pt>
                <c:pt idx="6">
                  <c:v>1.2953731343283581</c:v>
                </c:pt>
                <c:pt idx="7">
                  <c:v>1.2694502435629778</c:v>
                </c:pt>
                <c:pt idx="8">
                  <c:v>1.2040226272784398</c:v>
                </c:pt>
                <c:pt idx="9">
                  <c:v>1.2776249999999953</c:v>
                </c:pt>
                <c:pt idx="10">
                  <c:v>1.3636634615384626</c:v>
                </c:pt>
                <c:pt idx="11">
                  <c:v>1.4110762499999956</c:v>
                </c:pt>
                <c:pt idx="12">
                  <c:v>1.4412499999999968</c:v>
                </c:pt>
                <c:pt idx="13">
                  <c:v>1.4668526</c:v>
                </c:pt>
                <c:pt idx="14">
                  <c:v>1.5138469749999999</c:v>
                </c:pt>
                <c:pt idx="15">
                  <c:v>1.4310204235294088</c:v>
                </c:pt>
                <c:pt idx="16">
                  <c:v>1.4614682235294083</c:v>
                </c:pt>
                <c:pt idx="17">
                  <c:v>1.4051832608695638</c:v>
                </c:pt>
              </c:numCache>
            </c:numRef>
          </c:val>
          <c:smooth val="0"/>
        </c:ser>
        <c:ser>
          <c:idx val="5"/>
          <c:order val="5"/>
          <c:tx>
            <c:strRef>
              <c:f>'[Mzdové tarify.xlsx]Ripple_effect'!$V$3</c:f>
              <c:strCache>
                <c:ptCount val="1"/>
                <c:pt idx="0">
                  <c:v>6. TS</c:v>
                </c:pt>
              </c:strCache>
            </c:strRef>
          </c:tx>
          <c:spPr>
            <a:ln w="28575" cap="rnd">
              <a:solidFill>
                <a:schemeClr val="tx1">
                  <a:lumMod val="65000"/>
                  <a:lumOff val="35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tarify.xlsx]Ripple_effect'!$V$4:$V$21</c:f>
              <c:numCache>
                <c:formatCode>#\ ##0.0</c:formatCode>
                <c:ptCount val="18"/>
                <c:pt idx="0">
                  <c:v>2.4188679245282922</c:v>
                </c:pt>
                <c:pt idx="1">
                  <c:v>1.9213888888888901</c:v>
                </c:pt>
                <c:pt idx="2">
                  <c:v>1.613777777777778</c:v>
                </c:pt>
                <c:pt idx="3">
                  <c:v>1.6217999999999968</c:v>
                </c:pt>
                <c:pt idx="4">
                  <c:v>1.5056140350877194</c:v>
                </c:pt>
                <c:pt idx="5">
                  <c:v>1.4662903225806452</c:v>
                </c:pt>
                <c:pt idx="6">
                  <c:v>1.4168656716417911</c:v>
                </c:pt>
                <c:pt idx="7">
                  <c:v>1.3750869867780131</c:v>
                </c:pt>
                <c:pt idx="8">
                  <c:v>1.314644877435575</c:v>
                </c:pt>
                <c:pt idx="9">
                  <c:v>1.3951249999999971</c:v>
                </c:pt>
                <c:pt idx="10">
                  <c:v>1.4918317865429207</c:v>
                </c:pt>
                <c:pt idx="11">
                  <c:v>1.5385432749999999</c:v>
                </c:pt>
                <c:pt idx="12">
                  <c:v>1.5746249999999971</c:v>
                </c:pt>
                <c:pt idx="13">
                  <c:v>1.6012800125000002</c:v>
                </c:pt>
                <c:pt idx="14">
                  <c:v>1.6490277625</c:v>
                </c:pt>
                <c:pt idx="15">
                  <c:v>1.5652741647058825</c:v>
                </c:pt>
                <c:pt idx="16">
                  <c:v>1.6022350588235301</c:v>
                </c:pt>
                <c:pt idx="17">
                  <c:v>1.5417124130434778</c:v>
                </c:pt>
              </c:numCache>
            </c:numRef>
          </c:val>
          <c:smooth val="0"/>
        </c:ser>
        <c:ser>
          <c:idx val="6"/>
          <c:order val="6"/>
          <c:tx>
            <c:strRef>
              <c:f>'[Mzdové tarify.xlsx]Ripple_effect'!$W$3</c:f>
              <c:strCache>
                <c:ptCount val="1"/>
                <c:pt idx="0">
                  <c:v>7. TS</c:v>
                </c:pt>
              </c:strCache>
            </c:strRef>
          </c:tx>
          <c:spPr>
            <a:ln w="28575" cap="rnd">
              <a:solidFill>
                <a:schemeClr val="bg1">
                  <a:lumMod val="65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tarify.xlsx]Ripple_effect'!$W$4:$W$21</c:f>
              <c:numCache>
                <c:formatCode>#\ ##0.0</c:formatCode>
                <c:ptCount val="18"/>
                <c:pt idx="0">
                  <c:v>2.6807547169811419</c:v>
                </c:pt>
                <c:pt idx="1">
                  <c:v>2.1280555555555556</c:v>
                </c:pt>
                <c:pt idx="2">
                  <c:v>1.7851111111111111</c:v>
                </c:pt>
                <c:pt idx="3">
                  <c:v>1.7942</c:v>
                </c:pt>
                <c:pt idx="4">
                  <c:v>1.6631578947368479</c:v>
                </c:pt>
                <c:pt idx="5">
                  <c:v>1.6182258064516157</c:v>
                </c:pt>
                <c:pt idx="6">
                  <c:v>1.5607462686567193</c:v>
                </c:pt>
                <c:pt idx="7">
                  <c:v>1.5109255393180241</c:v>
                </c:pt>
                <c:pt idx="8">
                  <c:v>1.4445003142677562</c:v>
                </c:pt>
                <c:pt idx="9">
                  <c:v>1.5309999999999968</c:v>
                </c:pt>
                <c:pt idx="10">
                  <c:v>1.6454634570765618</c:v>
                </c:pt>
                <c:pt idx="11">
                  <c:v>1.6972809125000001</c:v>
                </c:pt>
                <c:pt idx="12">
                  <c:v>1.738375</c:v>
                </c:pt>
                <c:pt idx="13">
                  <c:v>1.764156312499997</c:v>
                </c:pt>
                <c:pt idx="14">
                  <c:v>1.8163226874999958</c:v>
                </c:pt>
                <c:pt idx="15">
                  <c:v>1.7270440823529369</c:v>
                </c:pt>
                <c:pt idx="16">
                  <c:v>1.7687041294117685</c:v>
                </c:pt>
                <c:pt idx="17">
                  <c:v>1.7096925760869566</c:v>
                </c:pt>
              </c:numCache>
            </c:numRef>
          </c:val>
          <c:smooth val="0"/>
        </c:ser>
        <c:ser>
          <c:idx val="7"/>
          <c:order val="7"/>
          <c:tx>
            <c:strRef>
              <c:f>'[Mzdové tarify.xlsx]Ripple_effect'!$X$3</c:f>
              <c:strCache>
                <c:ptCount val="1"/>
                <c:pt idx="0">
                  <c:v>8. TS</c:v>
                </c:pt>
              </c:strCache>
            </c:strRef>
          </c:tx>
          <c:spPr>
            <a:ln w="28575" cap="rnd">
              <a:solidFill>
                <a:schemeClr val="bg1">
                  <a:lumMod val="85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tarify.xlsx]Ripple_effect'!$X$4:$X$21</c:f>
              <c:numCache>
                <c:formatCode>#\ ##0.0</c:formatCode>
                <c:ptCount val="18"/>
                <c:pt idx="0">
                  <c:v>2.975849056603765</c:v>
                </c:pt>
                <c:pt idx="1">
                  <c:v>2.3611111111111112</c:v>
                </c:pt>
                <c:pt idx="2">
                  <c:v>1.9797777777777781</c:v>
                </c:pt>
                <c:pt idx="3">
                  <c:v>1.9840000000000031</c:v>
                </c:pt>
                <c:pt idx="4">
                  <c:v>1.8277192982456103</c:v>
                </c:pt>
                <c:pt idx="5">
                  <c:v>1.7819354838709678</c:v>
                </c:pt>
                <c:pt idx="6">
                  <c:v>1.7192537313432841</c:v>
                </c:pt>
                <c:pt idx="7">
                  <c:v>1.6612386917188586</c:v>
                </c:pt>
                <c:pt idx="8">
                  <c:v>1.5943431803896919</c:v>
                </c:pt>
                <c:pt idx="9">
                  <c:v>1.6823750000000028</c:v>
                </c:pt>
                <c:pt idx="10">
                  <c:v>1.8061473317865433</c:v>
                </c:pt>
                <c:pt idx="11">
                  <c:v>1.871108225</c:v>
                </c:pt>
                <c:pt idx="12">
                  <c:v>1.9163749999999999</c:v>
                </c:pt>
                <c:pt idx="13">
                  <c:v>1.9470726125000002</c:v>
                </c:pt>
                <c:pt idx="14">
                  <c:v>2.0029134749999997</c:v>
                </c:pt>
                <c:pt idx="15">
                  <c:v>1.9074923529411758</c:v>
                </c:pt>
                <c:pt idx="16">
                  <c:v>1.9478023647058853</c:v>
                </c:pt>
                <c:pt idx="17">
                  <c:v>1.8855749891304348</c:v>
                </c:pt>
              </c:numCache>
            </c:numRef>
          </c:val>
          <c:smooth val="0"/>
        </c:ser>
        <c:ser>
          <c:idx val="8"/>
          <c:order val="8"/>
          <c:tx>
            <c:strRef>
              <c:f>'[Mzdové tarify.xlsx]Ripple_effect'!$Y$3</c:f>
              <c:strCache>
                <c:ptCount val="1"/>
                <c:pt idx="0">
                  <c:v>9. TS</c:v>
                </c:pt>
              </c:strCache>
            </c:strRef>
          </c:tx>
          <c:spPr>
            <a:ln w="28575" cap="rnd">
              <a:solidFill>
                <a:srgbClr val="00B050"/>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tarify.xlsx]Ripple_effect'!$Y$4:$Y$21</c:f>
              <c:numCache>
                <c:formatCode>#\ ##0.0</c:formatCode>
                <c:ptCount val="18"/>
                <c:pt idx="0">
                  <c:v>3.3</c:v>
                </c:pt>
                <c:pt idx="1">
                  <c:v>2.6213888888888888</c:v>
                </c:pt>
                <c:pt idx="2">
                  <c:v>2.1988888888888867</c:v>
                </c:pt>
                <c:pt idx="3">
                  <c:v>2.2014</c:v>
                </c:pt>
                <c:pt idx="4">
                  <c:v>2.0229824561403511</c:v>
                </c:pt>
                <c:pt idx="5">
                  <c:v>1.9709677419354841</c:v>
                </c:pt>
                <c:pt idx="6">
                  <c:v>1.9026865671641791</c:v>
                </c:pt>
                <c:pt idx="7">
                  <c:v>1.828670842032011</c:v>
                </c:pt>
                <c:pt idx="8">
                  <c:v>1.7607793840351951</c:v>
                </c:pt>
                <c:pt idx="9">
                  <c:v>1.8356249999999967</c:v>
                </c:pt>
                <c:pt idx="10">
                  <c:v>1.9917839834515418</c:v>
                </c:pt>
                <c:pt idx="11">
                  <c:v>2.0611250000000001</c:v>
                </c:pt>
                <c:pt idx="12">
                  <c:v>2.1058749999999997</c:v>
                </c:pt>
                <c:pt idx="13">
                  <c:v>2.1709989249999997</c:v>
                </c:pt>
                <c:pt idx="14">
                  <c:v>2.2378806249999998</c:v>
                </c:pt>
                <c:pt idx="15">
                  <c:v>2.1304371529411812</c:v>
                </c:pt>
                <c:pt idx="16">
                  <c:v>2.1677557647058832</c:v>
                </c:pt>
                <c:pt idx="17">
                  <c:v>2.0915285978260871</c:v>
                </c:pt>
              </c:numCache>
            </c:numRef>
          </c:val>
          <c:smooth val="0"/>
        </c:ser>
        <c:ser>
          <c:idx val="9"/>
          <c:order val="9"/>
          <c:tx>
            <c:strRef>
              <c:f>'[Mzdové tarify.xlsx]Ripple_effect'!$Z$3</c:f>
              <c:strCache>
                <c:ptCount val="1"/>
                <c:pt idx="0">
                  <c:v>10. TS</c:v>
                </c:pt>
              </c:strCache>
            </c:strRef>
          </c:tx>
          <c:spPr>
            <a:ln w="28575" cap="rnd">
              <a:solidFill>
                <a:srgbClr val="92D050"/>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tarify.xlsx]Ripple_effect'!$Z$4:$Z$21</c:f>
              <c:numCache>
                <c:formatCode>#\ ##0.0</c:formatCode>
                <c:ptCount val="18"/>
                <c:pt idx="0">
                  <c:v>3.6856603773584906</c:v>
                </c:pt>
                <c:pt idx="1">
                  <c:v>2.9266666666666667</c:v>
                </c:pt>
                <c:pt idx="2">
                  <c:v>2.4453333333333331</c:v>
                </c:pt>
                <c:pt idx="3">
                  <c:v>2.4551999999999987</c:v>
                </c:pt>
                <c:pt idx="4">
                  <c:v>2.2512280701754386</c:v>
                </c:pt>
                <c:pt idx="5">
                  <c:v>2.1862903225806454</c:v>
                </c:pt>
                <c:pt idx="6">
                  <c:v>2.1185074626865692</c:v>
                </c:pt>
                <c:pt idx="7">
                  <c:v>2.0253305497564478</c:v>
                </c:pt>
                <c:pt idx="8">
                  <c:v>1.9516027655562571</c:v>
                </c:pt>
                <c:pt idx="9">
                  <c:v>2.0172499999999967</c:v>
                </c:pt>
                <c:pt idx="10">
                  <c:v>2.2042523809523882</c:v>
                </c:pt>
                <c:pt idx="11">
                  <c:v>2.2783158999999999</c:v>
                </c:pt>
                <c:pt idx="12">
                  <c:v>2.3285</c:v>
                </c:pt>
                <c:pt idx="13">
                  <c:v>2.4273916250000012</c:v>
                </c:pt>
                <c:pt idx="14">
                  <c:v>2.4993917750000012</c:v>
                </c:pt>
                <c:pt idx="15">
                  <c:v>2.3782029764705817</c:v>
                </c:pt>
                <c:pt idx="16">
                  <c:v>2.4134973999999998</c:v>
                </c:pt>
                <c:pt idx="17">
                  <c:v>2.3152522934782458</c:v>
                </c:pt>
              </c:numCache>
            </c:numRef>
          </c:val>
          <c:smooth val="0"/>
        </c:ser>
        <c:ser>
          <c:idx val="10"/>
          <c:order val="10"/>
          <c:tx>
            <c:strRef>
              <c:f>'[Mzdové tarify.xlsx]Ripple_effect'!$AA$3</c:f>
              <c:strCache>
                <c:ptCount val="1"/>
                <c:pt idx="0">
                  <c:v>11. TS</c:v>
                </c:pt>
              </c:strCache>
            </c:strRef>
          </c:tx>
          <c:spPr>
            <a:ln w="28575" cap="rnd">
              <a:solidFill>
                <a:schemeClr val="accent3">
                  <a:lumMod val="60000"/>
                  <a:lumOff val="40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tarify.xlsx]Ripple_effect'!$AA$4:$AA$21</c:f>
              <c:numCache>
                <c:formatCode>#\ ##0.0</c:formatCode>
                <c:ptCount val="18"/>
                <c:pt idx="0">
                  <c:v>4.1030188679245265</c:v>
                </c:pt>
                <c:pt idx="1">
                  <c:v>3.2858333333333332</c:v>
                </c:pt>
                <c:pt idx="2">
                  <c:v>2.731111111111117</c:v>
                </c:pt>
                <c:pt idx="3">
                  <c:v>2.7423999999999999</c:v>
                </c:pt>
                <c:pt idx="4">
                  <c:v>2.5187719298245597</c:v>
                </c:pt>
                <c:pt idx="5">
                  <c:v>2.4390322580645192</c:v>
                </c:pt>
                <c:pt idx="6">
                  <c:v>2.3701492537313431</c:v>
                </c:pt>
                <c:pt idx="7">
                  <c:v>2.2510786360473207</c:v>
                </c:pt>
                <c:pt idx="8">
                  <c:v>2.1808925204274052</c:v>
                </c:pt>
                <c:pt idx="9">
                  <c:v>2.2366249999999988</c:v>
                </c:pt>
                <c:pt idx="10">
                  <c:v>2.4623403110047812</c:v>
                </c:pt>
                <c:pt idx="11">
                  <c:v>2.557292275</c:v>
                </c:pt>
                <c:pt idx="12">
                  <c:v>2.5903749999999999</c:v>
                </c:pt>
                <c:pt idx="13">
                  <c:v>2.7229562249999999</c:v>
                </c:pt>
                <c:pt idx="14">
                  <c:v>2.8189253374999987</c:v>
                </c:pt>
                <c:pt idx="15">
                  <c:v>2.665802282352947</c:v>
                </c:pt>
                <c:pt idx="16">
                  <c:v>2.7107894470588234</c:v>
                </c:pt>
                <c:pt idx="17">
                  <c:v>2.5784237282608693</c:v>
                </c:pt>
              </c:numCache>
            </c:numRef>
          </c:val>
          <c:smooth val="0"/>
        </c:ser>
        <c:ser>
          <c:idx val="11"/>
          <c:order val="11"/>
          <c:tx>
            <c:strRef>
              <c:f>'[Mzdové tarify.xlsx]Ripple_effect'!$AB$3</c:f>
              <c:strCache>
                <c:ptCount val="1"/>
                <c:pt idx="0">
                  <c:v>12. TS</c:v>
                </c:pt>
              </c:strCache>
            </c:strRef>
          </c:tx>
          <c:spPr>
            <a:ln w="28575" cap="rnd">
              <a:solidFill>
                <a:schemeClr val="accent3">
                  <a:lumMod val="50000"/>
                </a:schemeClr>
              </a:solidFill>
              <a:round/>
            </a:ln>
            <a:effectLst/>
          </c:spPr>
          <c:marker>
            <c:symbol val="none"/>
          </c:marker>
          <c:cat>
            <c:numRef>
              <c:f>'[Mzdové tarify.xlsx]Ripple_effect'!$P$4:$P$21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'[Mzdové tarify.xlsx]Ripple_effect'!$AB$4:$AB$21</c:f>
              <c:numCache>
                <c:formatCode>#\ ##0.0</c:formatCode>
                <c:ptCount val="18"/>
                <c:pt idx="0">
                  <c:v>4.6018867924528415</c:v>
                </c:pt>
                <c:pt idx="1">
                  <c:v>3.6958333333333333</c:v>
                </c:pt>
                <c:pt idx="2">
                  <c:v>3.06</c:v>
                </c:pt>
                <c:pt idx="3">
                  <c:v>3.073</c:v>
                </c:pt>
                <c:pt idx="4">
                  <c:v>2.812631578947375</c:v>
                </c:pt>
                <c:pt idx="5">
                  <c:v>2.7362903225806448</c:v>
                </c:pt>
                <c:pt idx="6">
                  <c:v>2.6647761194029851</c:v>
                </c:pt>
                <c:pt idx="7">
                  <c:v>2.516214335421016</c:v>
                </c:pt>
                <c:pt idx="8">
                  <c:v>2.4499057196731577</c:v>
                </c:pt>
                <c:pt idx="9">
                  <c:v>2.4946249999999988</c:v>
                </c:pt>
                <c:pt idx="10">
                  <c:v>2.7234055623471956</c:v>
                </c:pt>
                <c:pt idx="11">
                  <c:v>2.8758332125000003</c:v>
                </c:pt>
                <c:pt idx="12">
                  <c:v>2.8979999999999997</c:v>
                </c:pt>
                <c:pt idx="13">
                  <c:v>3.0705725750000004</c:v>
                </c:pt>
                <c:pt idx="14">
                  <c:v>3.1556665874999998</c:v>
                </c:pt>
                <c:pt idx="15">
                  <c:v>3.0034380352941179</c:v>
                </c:pt>
                <c:pt idx="16">
                  <c:v>3.0294485999999967</c:v>
                </c:pt>
                <c:pt idx="17">
                  <c:v>2.8997651739130323</c:v>
                </c:pt>
              </c:numCache>
            </c:numRef>
          </c:val>
          <c:smooth val="0"/>
        </c:ser>
        <c:dLbls>
          <c:showLegendKey val="0"/>
          <c:showVal val="0"/>
          <c:showCatName val="0"/>
          <c:showSerName val="0"/>
          <c:showPercent val="0"/>
          <c:showBubbleSize val="0"/>
        </c:dLbls>
        <c:marker val="1"/>
        <c:smooth val="0"/>
        <c:axId val="122228096"/>
        <c:axId val="122246272"/>
      </c:lineChart>
      <c:catAx>
        <c:axId val="12222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2246272"/>
        <c:crosses val="autoZero"/>
        <c:auto val="1"/>
        <c:lblAlgn val="ctr"/>
        <c:lblOffset val="100"/>
        <c:noMultiLvlLbl val="0"/>
      </c:catAx>
      <c:valAx>
        <c:axId val="122246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050"/>
                  <a:t>Násobek minimální mzdy</a:t>
                </a:r>
              </a:p>
            </c:rich>
          </c:tx>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2228096"/>
        <c:crosses val="autoZero"/>
        <c:crossBetween val="between"/>
      </c:valAx>
      <c:spPr>
        <a:noFill/>
        <a:ln>
          <a:noFill/>
        </a:ln>
        <a:effectLst/>
      </c:spPr>
    </c:plotArea>
    <c:legend>
      <c:legendPos val="r"/>
      <c:layout>
        <c:manualLayout>
          <c:xMode val="edge"/>
          <c:yMode val="edge"/>
          <c:x val="0.85941348834663556"/>
          <c:y val="8.3209626795971742E-2"/>
          <c:w val="0.13100012825194235"/>
          <c:h val="0.8001207892454816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0.53617</cdr:x>
      <cdr:y>0.46653</cdr:y>
    </cdr:from>
    <cdr:to>
      <cdr:x>0.79124</cdr:x>
      <cdr:y>0.54124</cdr:y>
    </cdr:to>
    <cdr:sp macro="" textlink="">
      <cdr:nvSpPr>
        <cdr:cNvPr id="2" name="TextovéPole 1"/>
        <cdr:cNvSpPr txBox="1"/>
      </cdr:nvSpPr>
      <cdr:spPr>
        <a:xfrm xmlns:a="http://schemas.openxmlformats.org/drawingml/2006/main">
          <a:off x="3089720" y="1586411"/>
          <a:ext cx="1469872" cy="254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b="1">
              <a:solidFill>
                <a:schemeClr val="tx1">
                  <a:lumMod val="65000"/>
                  <a:lumOff val="35000"/>
                </a:schemeClr>
              </a:solidFill>
              <a:latin typeface="Arial" panose="020B0604020202020204" pitchFamily="34" charset="0"/>
              <a:cs typeface="Arial" panose="020B0604020202020204" pitchFamily="34" charset="0"/>
            </a:rPr>
            <a:t>Log 50-10</a:t>
          </a:r>
        </a:p>
      </cdr:txBody>
    </cdr:sp>
  </cdr:relSizeAnchor>
  <cdr:relSizeAnchor xmlns:cdr="http://schemas.openxmlformats.org/drawingml/2006/chartDrawing">
    <cdr:from>
      <cdr:x>0.56044</cdr:x>
      <cdr:y>0.2916</cdr:y>
    </cdr:from>
    <cdr:to>
      <cdr:x>0.74873</cdr:x>
      <cdr:y>0.35668</cdr:y>
    </cdr:to>
    <cdr:sp macro="" textlink="">
      <cdr:nvSpPr>
        <cdr:cNvPr id="3" name="TextovéPole 1"/>
        <cdr:cNvSpPr txBox="1"/>
      </cdr:nvSpPr>
      <cdr:spPr>
        <a:xfrm xmlns:a="http://schemas.openxmlformats.org/drawingml/2006/main">
          <a:off x="3229617" y="991553"/>
          <a:ext cx="1085045" cy="2212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1000" b="1">
              <a:solidFill>
                <a:schemeClr val="bg1">
                  <a:lumMod val="65000"/>
                </a:schemeClr>
              </a:solidFill>
              <a:latin typeface="Arial" panose="020B0604020202020204" pitchFamily="34" charset="0"/>
              <a:cs typeface="Arial" panose="020B0604020202020204" pitchFamily="34" charset="0"/>
            </a:rPr>
            <a:t>Log 90-50</a:t>
          </a:r>
        </a:p>
      </cdr:txBody>
    </cdr:sp>
  </cdr:relSizeAnchor>
  <cdr:relSizeAnchor xmlns:cdr="http://schemas.openxmlformats.org/drawingml/2006/chartDrawing">
    <cdr:from>
      <cdr:x>0.51791</cdr:x>
      <cdr:y>0.15434</cdr:y>
    </cdr:from>
    <cdr:to>
      <cdr:x>0.71505</cdr:x>
      <cdr:y>0.21339</cdr:y>
    </cdr:to>
    <cdr:sp macro="" textlink="">
      <cdr:nvSpPr>
        <cdr:cNvPr id="4" name="TextovéPole 1"/>
        <cdr:cNvSpPr txBox="1"/>
      </cdr:nvSpPr>
      <cdr:spPr>
        <a:xfrm xmlns:a="http://schemas.openxmlformats.org/drawingml/2006/main">
          <a:off x="2984544" y="524818"/>
          <a:ext cx="1136044" cy="2007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1000" b="1">
              <a:solidFill>
                <a:srgbClr val="C00000"/>
              </a:solidFill>
              <a:latin typeface="Arial" panose="020B0604020202020204" pitchFamily="34" charset="0"/>
              <a:cs typeface="Arial" panose="020B0604020202020204" pitchFamily="34" charset="0"/>
            </a:rPr>
            <a:t>Log 50-5</a:t>
          </a:r>
        </a:p>
      </cdr:txBody>
    </cdr:sp>
  </cdr:relSizeAnchor>
</c:userShapes>
</file>

<file path=word/drawings/drawing2.xml><?xml version="1.0" encoding="utf-8"?>
<c:userShapes xmlns:c="http://schemas.openxmlformats.org/drawingml/2006/chart">
  <cdr:relSizeAnchor xmlns:cdr="http://schemas.openxmlformats.org/drawingml/2006/chartDrawing">
    <cdr:from>
      <cdr:x>0.44662</cdr:x>
      <cdr:y>0.0338</cdr:y>
    </cdr:from>
    <cdr:to>
      <cdr:x>0.44662</cdr:x>
      <cdr:y>0.8281</cdr:y>
    </cdr:to>
    <cdr:cxnSp macro="">
      <cdr:nvCxnSpPr>
        <cdr:cNvPr id="3" name="Přímá spojnice 2"/>
        <cdr:cNvCxnSpPr/>
      </cdr:nvCxnSpPr>
      <cdr:spPr>
        <a:xfrm xmlns:a="http://schemas.openxmlformats.org/drawingml/2006/main" flipV="1">
          <a:off x="2733675" y="133350"/>
          <a:ext cx="0" cy="3133726"/>
        </a:xfrm>
        <a:prstGeom xmlns:a="http://schemas.openxmlformats.org/drawingml/2006/main" prst="line">
          <a:avLst/>
        </a:prstGeom>
        <a:ln xmlns:a="http://schemas.openxmlformats.org/drawingml/2006/main" w="12700">
          <a:solidFill>
            <a:schemeClr val="bg1">
              <a:lumMod val="6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0.74826</cdr:x>
      <cdr:y>0.03426</cdr:y>
    </cdr:from>
    <cdr:to>
      <cdr:x>0.74852</cdr:x>
      <cdr:y>0.82569</cdr:y>
    </cdr:to>
    <cdr:cxnSp macro="">
      <cdr:nvCxnSpPr>
        <cdr:cNvPr id="5" name="Přímá spojnice 4"/>
        <cdr:cNvCxnSpPr/>
      </cdr:nvCxnSpPr>
      <cdr:spPr>
        <a:xfrm xmlns:a="http://schemas.openxmlformats.org/drawingml/2006/main" flipH="1" flipV="1">
          <a:off x="4579951" y="135172"/>
          <a:ext cx="1575" cy="3122380"/>
        </a:xfrm>
        <a:prstGeom xmlns:a="http://schemas.openxmlformats.org/drawingml/2006/main" prst="line">
          <a:avLst/>
        </a:prstGeom>
        <a:ln xmlns:a="http://schemas.openxmlformats.org/drawingml/2006/main" w="12700">
          <a:solidFill>
            <a:schemeClr val="bg1">
              <a:lumMod val="6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0.48466</cdr:x>
      <cdr:y>0.13389</cdr:y>
    </cdr:from>
    <cdr:to>
      <cdr:x>0.73481</cdr:x>
      <cdr:y>0.19127</cdr:y>
    </cdr:to>
    <cdr:sp macro="" textlink="">
      <cdr:nvSpPr>
        <cdr:cNvPr id="2" name="Textové pole 1"/>
        <cdr:cNvSpPr txBox="1"/>
      </cdr:nvSpPr>
      <cdr:spPr>
        <a:xfrm xmlns:a="http://schemas.openxmlformats.org/drawingml/2006/main">
          <a:off x="2966483" y="520995"/>
          <a:ext cx="1531089" cy="223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solidFill>
                <a:schemeClr val="bg1">
                  <a:lumMod val="50000"/>
                </a:schemeClr>
              </a:solidFill>
              <a:latin typeface="Arial" panose="020B0604020202020204" pitchFamily="34" charset="0"/>
              <a:cs typeface="Arial" panose="020B0604020202020204" pitchFamily="34" charset="0"/>
            </a:rPr>
            <a:t>stagnace min. mzdy</a:t>
          </a:r>
        </a:p>
      </cdr:txBody>
    </cdr:sp>
  </cdr:relSizeAnchor>
  <cdr:relSizeAnchor xmlns:cdr="http://schemas.openxmlformats.org/drawingml/2006/chartDrawing">
    <cdr:from>
      <cdr:x>0.44644</cdr:x>
      <cdr:y>0.194</cdr:y>
    </cdr:from>
    <cdr:to>
      <cdr:x>0.75044</cdr:x>
      <cdr:y>0.194</cdr:y>
    </cdr:to>
    <cdr:cxnSp macro="">
      <cdr:nvCxnSpPr>
        <cdr:cNvPr id="7" name="Přímá spojnice se šipkou 6"/>
        <cdr:cNvCxnSpPr/>
      </cdr:nvCxnSpPr>
      <cdr:spPr>
        <a:xfrm xmlns:a="http://schemas.openxmlformats.org/drawingml/2006/main">
          <a:off x="2732567" y="754911"/>
          <a:ext cx="1860698" cy="0"/>
        </a:xfrm>
        <a:prstGeom xmlns:a="http://schemas.openxmlformats.org/drawingml/2006/main" prst="straightConnector1">
          <a:avLst/>
        </a:prstGeom>
        <a:ln xmlns:a="http://schemas.openxmlformats.org/drawingml/2006/main">
          <a:solidFill>
            <a:schemeClr val="bg1">
              <a:lumMod val="65000"/>
            </a:schemeClr>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0.72228</cdr:x>
      <cdr:y>0.07225</cdr:y>
    </cdr:from>
    <cdr:to>
      <cdr:x>0.72228</cdr:x>
      <cdr:y>0.86694</cdr:y>
    </cdr:to>
    <cdr:cxnSp macro="">
      <cdr:nvCxnSpPr>
        <cdr:cNvPr id="3" name="Přímá spojnice 2"/>
        <cdr:cNvCxnSpPr/>
      </cdr:nvCxnSpPr>
      <cdr:spPr>
        <a:xfrm xmlns:a="http://schemas.openxmlformats.org/drawingml/2006/main" flipV="1">
          <a:off x="4420924" y="270345"/>
          <a:ext cx="1" cy="2973788"/>
        </a:xfrm>
        <a:prstGeom xmlns:a="http://schemas.openxmlformats.org/drawingml/2006/main" prst="line">
          <a:avLst/>
        </a:prstGeom>
        <a:ln xmlns:a="http://schemas.openxmlformats.org/drawingml/2006/main" w="12700">
          <a:solidFill>
            <a:schemeClr val="bg1">
              <a:lumMod val="6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0.47286</cdr:x>
      <cdr:y>0.07649</cdr:y>
    </cdr:from>
    <cdr:to>
      <cdr:x>0.47286</cdr:x>
      <cdr:y>0.86694</cdr:y>
    </cdr:to>
    <cdr:cxnSp macro="">
      <cdr:nvCxnSpPr>
        <cdr:cNvPr id="4" name="Přímá spojnice 3"/>
        <cdr:cNvCxnSpPr/>
      </cdr:nvCxnSpPr>
      <cdr:spPr>
        <a:xfrm xmlns:a="http://schemas.openxmlformats.org/drawingml/2006/main" flipV="1">
          <a:off x="2894274" y="286247"/>
          <a:ext cx="0" cy="2957886"/>
        </a:xfrm>
        <a:prstGeom xmlns:a="http://schemas.openxmlformats.org/drawingml/2006/main" prst="line">
          <a:avLst/>
        </a:prstGeom>
        <a:ln xmlns:a="http://schemas.openxmlformats.org/drawingml/2006/main" w="12700">
          <a:solidFill>
            <a:schemeClr val="bg1">
              <a:lumMod val="6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0.4725</cdr:x>
      <cdr:y>0.21594</cdr:y>
    </cdr:from>
    <cdr:to>
      <cdr:x>0.72265</cdr:x>
      <cdr:y>0.21594</cdr:y>
    </cdr:to>
    <cdr:cxnSp macro="">
      <cdr:nvCxnSpPr>
        <cdr:cNvPr id="19" name="Přímá spojnice se šipkou 18"/>
        <cdr:cNvCxnSpPr/>
      </cdr:nvCxnSpPr>
      <cdr:spPr>
        <a:xfrm xmlns:a="http://schemas.openxmlformats.org/drawingml/2006/main">
          <a:off x="2892055" y="808074"/>
          <a:ext cx="1531089" cy="0"/>
        </a:xfrm>
        <a:prstGeom xmlns:a="http://schemas.openxmlformats.org/drawingml/2006/main" prst="straightConnector1">
          <a:avLst/>
        </a:prstGeom>
        <a:ln xmlns:a="http://schemas.openxmlformats.org/drawingml/2006/main">
          <a:solidFill>
            <a:schemeClr val="bg1">
              <a:lumMod val="65000"/>
            </a:schemeClr>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0.48775</cdr:x>
      <cdr:y>0.14996</cdr:y>
    </cdr:from>
    <cdr:to>
      <cdr:x>0.73789</cdr:x>
      <cdr:y>0.20963</cdr:y>
    </cdr:to>
    <cdr:sp macro="" textlink="">
      <cdr:nvSpPr>
        <cdr:cNvPr id="20" name="Textové pole 1"/>
        <cdr:cNvSpPr txBox="1"/>
      </cdr:nvSpPr>
      <cdr:spPr>
        <a:xfrm xmlns:a="http://schemas.openxmlformats.org/drawingml/2006/main">
          <a:off x="2985385" y="561162"/>
          <a:ext cx="1531089" cy="223284"/>
        </a:xfrm>
        <a:prstGeom xmlns:a="http://schemas.openxmlformats.org/drawingml/2006/main" prst="rect">
          <a:avLst/>
        </a:prstGeom>
      </cdr:spPr>
    </cdr:sp>
  </cdr:relSizeAnchor>
  <cdr:relSizeAnchor xmlns:cdr="http://schemas.openxmlformats.org/drawingml/2006/chartDrawing">
    <cdr:from>
      <cdr:x>0.48118</cdr:x>
      <cdr:y>0.15628</cdr:y>
    </cdr:from>
    <cdr:to>
      <cdr:x>0.73481</cdr:x>
      <cdr:y>0.22447</cdr:y>
    </cdr:to>
    <cdr:sp macro="" textlink="">
      <cdr:nvSpPr>
        <cdr:cNvPr id="21" name="Textové pole 20"/>
        <cdr:cNvSpPr txBox="1"/>
      </cdr:nvSpPr>
      <cdr:spPr>
        <a:xfrm xmlns:a="http://schemas.openxmlformats.org/drawingml/2006/main">
          <a:off x="2945219" y="584790"/>
          <a:ext cx="1552354" cy="255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solidFill>
                <a:schemeClr val="bg1">
                  <a:lumMod val="50000"/>
                </a:schemeClr>
              </a:solidFill>
              <a:latin typeface="Arial" panose="020B0604020202020204" pitchFamily="34" charset="0"/>
              <a:cs typeface="Arial" panose="020B0604020202020204" pitchFamily="34" charset="0"/>
            </a:rPr>
            <a:t>stagnace min. mzdy</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B73D9076D7D349B483A6DD18EB594C" ma:contentTypeVersion="1" ma:contentTypeDescription="Vytvořit nový dokument" ma:contentTypeScope="" ma:versionID="95b6b542bfe3b1d126556a858675d0a3">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0808-1BD4-4A88-96FA-D43F7531EE15}">
  <ds:schemaRefs>
    <ds:schemaRef ds:uri="http://schemas.microsoft.com/office/2006/metadata/properties"/>
  </ds:schemaRefs>
</ds:datastoreItem>
</file>

<file path=customXml/itemProps2.xml><?xml version="1.0" encoding="utf-8"?>
<ds:datastoreItem xmlns:ds="http://schemas.openxmlformats.org/officeDocument/2006/customXml" ds:itemID="{9202BB47-8C3D-45E8-9B96-F65AF2396A1F}">
  <ds:schemaRefs>
    <ds:schemaRef ds:uri="http://schemas.microsoft.com/sharepoint/v3/contenttype/forms"/>
  </ds:schemaRefs>
</ds:datastoreItem>
</file>

<file path=customXml/itemProps3.xml><?xml version="1.0" encoding="utf-8"?>
<ds:datastoreItem xmlns:ds="http://schemas.openxmlformats.org/officeDocument/2006/customXml" ds:itemID="{B69851F0-C0F3-4555-B97E-C87D5F3A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E7033A-0E90-4DED-8D50-3479E800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wTREXIMA</Template>
  <TotalTime>1</TotalTime>
  <Pages>54</Pages>
  <Words>18443</Words>
  <Characters>108816</Characters>
  <Application>Microsoft Office Word</Application>
  <DocSecurity>0</DocSecurity>
  <Lines>906</Lines>
  <Paragraphs>254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Janoš</dc:creator>
  <cp:lastModifiedBy>Procházková Irma</cp:lastModifiedBy>
  <cp:revision>2</cp:revision>
  <cp:lastPrinted>2010-08-25T09:03:00Z</cp:lastPrinted>
  <dcterms:created xsi:type="dcterms:W3CDTF">2015-11-24T18:22:00Z</dcterms:created>
  <dcterms:modified xsi:type="dcterms:W3CDTF">2015-11-24T18:22:00Z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0x0101008FB73D9076D7D349B483A6DD18EB594C</vt:lpwstr>
  </property>
</Properties>
</file>