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E23" w:rsidRDefault="00945E23" w:rsidP="00945E23">
      <w:pPr>
        <w:pStyle w:val="Nadpis-Zprva"/>
      </w:pPr>
      <w:r>
        <w:t>Zpráva o stavu zemědělství ČR za rok 201</w:t>
      </w:r>
      <w:r w:rsidR="00AD5274">
        <w:t>4</w:t>
      </w:r>
    </w:p>
    <w:p w:rsidR="00945E23" w:rsidRDefault="008969A9" w:rsidP="00945E23">
      <w:pPr>
        <w:pStyle w:val="Nadpis-ZZ"/>
      </w:pPr>
      <w:r>
        <w:t>„</w:t>
      </w:r>
      <w:r w:rsidR="00945E23">
        <w:t>ZELENÁ ZPRÁVA</w:t>
      </w:r>
      <w:r>
        <w:t>“</w:t>
      </w:r>
    </w:p>
    <w:p w:rsidR="00945E23" w:rsidRDefault="00945E23" w:rsidP="00710BCF">
      <w:pPr>
        <w:pStyle w:val="gesce"/>
      </w:pPr>
      <w:r>
        <w:lastRenderedPageBreak/>
        <w:t>Zprávu o stavu zemědělství ČR za rok 201</w:t>
      </w:r>
      <w:r w:rsidR="00AD5274">
        <w:t>4</w:t>
      </w:r>
      <w:r>
        <w:t xml:space="preserve"> zpracoval Ústav zemědělské ekonomiky a informací pod gescí Ministerstva zemědělství.</w:t>
      </w:r>
    </w:p>
    <w:p w:rsidR="00945E23" w:rsidRDefault="00945E23" w:rsidP="00945E23">
      <w:pPr>
        <w:sectPr w:rsidR="00945E23">
          <w:pgSz w:w="11906" w:h="16838"/>
          <w:pgMar w:top="1417" w:right="1417" w:bottom="1417" w:left="1417" w:header="708" w:footer="708" w:gutter="0"/>
          <w:cols w:space="708"/>
          <w:docGrid w:linePitch="360"/>
        </w:sectPr>
      </w:pPr>
    </w:p>
    <w:p w:rsidR="00945E23" w:rsidRDefault="00945E23" w:rsidP="00D73FCC">
      <w:pPr>
        <w:pStyle w:val="obsah-nadpis"/>
      </w:pPr>
      <w:r w:rsidRPr="00FF5E72">
        <w:lastRenderedPageBreak/>
        <w:t>OBSAH</w:t>
      </w:r>
    </w:p>
    <w:bookmarkStart w:id="0" w:name="_Toc296443083"/>
    <w:bookmarkStart w:id="1" w:name="_Toc328053779"/>
    <w:bookmarkStart w:id="2" w:name="_Toc391991447"/>
    <w:p w:rsidR="00724B14" w:rsidRDefault="00947B86" w:rsidP="00724B14">
      <w:pPr>
        <w:pStyle w:val="Obsah1"/>
        <w:rPr>
          <w:rFonts w:asciiTheme="minorHAnsi" w:eastAsiaTheme="minorEastAsia" w:hAnsiTheme="minorHAnsi" w:cstheme="minorBidi"/>
          <w:sz w:val="22"/>
          <w:szCs w:val="22"/>
          <w:lang w:eastAsia="cs-CZ"/>
        </w:rPr>
      </w:pPr>
      <w:r>
        <w:rPr>
          <w:sz w:val="16"/>
          <w:highlight w:val="yellow"/>
        </w:rPr>
        <w:fldChar w:fldCharType="begin"/>
      </w:r>
      <w:r>
        <w:rPr>
          <w:sz w:val="16"/>
          <w:highlight w:val="yellow"/>
        </w:rPr>
        <w:instrText xml:space="preserve"> TOC \o "1-3" \h \z \u </w:instrText>
      </w:r>
      <w:r>
        <w:rPr>
          <w:sz w:val="16"/>
          <w:highlight w:val="yellow"/>
        </w:rPr>
        <w:fldChar w:fldCharType="separate"/>
      </w:r>
      <w:hyperlink w:anchor="_Toc424307002" w:history="1">
        <w:r w:rsidR="00724B14" w:rsidRPr="008E55E5">
          <w:rPr>
            <w:rStyle w:val="Hypertextovodkaz"/>
          </w:rPr>
          <w:t>Použité zkratky</w:t>
        </w:r>
        <w:r w:rsidR="00724B14">
          <w:rPr>
            <w:webHidden/>
          </w:rPr>
          <w:tab/>
        </w:r>
        <w:r w:rsidR="00724B14">
          <w:rPr>
            <w:webHidden/>
          </w:rPr>
          <w:fldChar w:fldCharType="begin"/>
        </w:r>
        <w:r w:rsidR="00724B14">
          <w:rPr>
            <w:webHidden/>
          </w:rPr>
          <w:instrText xml:space="preserve"> PAGEREF _Toc424307002 \h </w:instrText>
        </w:r>
        <w:r w:rsidR="00724B14">
          <w:rPr>
            <w:webHidden/>
          </w:rPr>
        </w:r>
        <w:r w:rsidR="00724B14">
          <w:rPr>
            <w:webHidden/>
          </w:rPr>
          <w:fldChar w:fldCharType="separate"/>
        </w:r>
        <w:r w:rsidR="009F3AF0">
          <w:rPr>
            <w:webHidden/>
          </w:rPr>
          <w:t>VI</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03" w:history="1">
        <w:r w:rsidR="00724B14" w:rsidRPr="008E55E5">
          <w:rPr>
            <w:rStyle w:val="Hypertextovodkaz"/>
          </w:rPr>
          <w:t>Vysvětlivky k použitým číselným údajům</w:t>
        </w:r>
        <w:r w:rsidR="00724B14">
          <w:rPr>
            <w:webHidden/>
          </w:rPr>
          <w:tab/>
        </w:r>
        <w:r w:rsidR="00724B14">
          <w:rPr>
            <w:webHidden/>
          </w:rPr>
          <w:fldChar w:fldCharType="begin"/>
        </w:r>
        <w:r w:rsidR="00724B14">
          <w:rPr>
            <w:webHidden/>
          </w:rPr>
          <w:instrText xml:space="preserve"> PAGEREF _Toc424307003 \h </w:instrText>
        </w:r>
        <w:r w:rsidR="00724B14">
          <w:rPr>
            <w:webHidden/>
          </w:rPr>
        </w:r>
        <w:r w:rsidR="00724B14">
          <w:rPr>
            <w:webHidden/>
          </w:rPr>
          <w:fldChar w:fldCharType="separate"/>
        </w:r>
        <w:r w:rsidR="009F3AF0">
          <w:rPr>
            <w:webHidden/>
          </w:rPr>
          <w:t>XI</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04" w:history="1">
        <w:r w:rsidR="00724B14" w:rsidRPr="008E55E5">
          <w:rPr>
            <w:rStyle w:val="Hypertextovodkaz"/>
          </w:rPr>
          <w:t>Úvod</w:t>
        </w:r>
        <w:r w:rsidR="00724B14">
          <w:rPr>
            <w:webHidden/>
          </w:rPr>
          <w:tab/>
        </w:r>
        <w:r w:rsidR="00724B14">
          <w:rPr>
            <w:webHidden/>
          </w:rPr>
          <w:fldChar w:fldCharType="begin"/>
        </w:r>
        <w:r w:rsidR="00724B14">
          <w:rPr>
            <w:webHidden/>
          </w:rPr>
          <w:instrText xml:space="preserve"> PAGEREF _Toc424307004 \h </w:instrText>
        </w:r>
        <w:r w:rsidR="00724B14">
          <w:rPr>
            <w:webHidden/>
          </w:rPr>
        </w:r>
        <w:r w:rsidR="00724B14">
          <w:rPr>
            <w:webHidden/>
          </w:rPr>
          <w:fldChar w:fldCharType="separate"/>
        </w:r>
        <w:r w:rsidR="009F3AF0">
          <w:rPr>
            <w:webHidden/>
          </w:rPr>
          <w:t>XII</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05" w:history="1">
        <w:r w:rsidR="00724B14" w:rsidRPr="008E55E5">
          <w:rPr>
            <w:rStyle w:val="Hypertextovodkaz"/>
          </w:rPr>
          <w:t>Souhrn ke Zprávě o stavu zemědělství za rok 2014</w:t>
        </w:r>
        <w:r w:rsidR="00724B14">
          <w:rPr>
            <w:webHidden/>
          </w:rPr>
          <w:tab/>
        </w:r>
        <w:r w:rsidR="00724B14">
          <w:rPr>
            <w:webHidden/>
          </w:rPr>
          <w:fldChar w:fldCharType="begin"/>
        </w:r>
        <w:r w:rsidR="00724B14">
          <w:rPr>
            <w:webHidden/>
          </w:rPr>
          <w:instrText xml:space="preserve"> PAGEREF _Toc424307005 \h </w:instrText>
        </w:r>
        <w:r w:rsidR="00724B14">
          <w:rPr>
            <w:webHidden/>
          </w:rPr>
        </w:r>
        <w:r w:rsidR="00724B14">
          <w:rPr>
            <w:webHidden/>
          </w:rPr>
          <w:fldChar w:fldCharType="separate"/>
        </w:r>
        <w:r w:rsidR="009F3AF0">
          <w:rPr>
            <w:webHidden/>
          </w:rPr>
          <w:t>1</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06" w:history="1">
        <w:r w:rsidR="00724B14" w:rsidRPr="008E55E5">
          <w:rPr>
            <w:rStyle w:val="Hypertextovodkaz"/>
          </w:rPr>
          <w:t>Návrh nezbytných opatření vyplývajících ze Zprávy o stavu zemědělství České republiky za rok 2014 v oblasti agrární politiky (podle ustanovení § 6 zákona č. 252/1997 Sb., o zemědělství)</w:t>
        </w:r>
        <w:r w:rsidR="00724B14">
          <w:rPr>
            <w:webHidden/>
          </w:rPr>
          <w:tab/>
        </w:r>
        <w:r w:rsidR="00724B14">
          <w:rPr>
            <w:webHidden/>
          </w:rPr>
          <w:fldChar w:fldCharType="begin"/>
        </w:r>
        <w:r w:rsidR="00724B14">
          <w:rPr>
            <w:webHidden/>
          </w:rPr>
          <w:instrText xml:space="preserve"> PAGEREF _Toc424307006 \h </w:instrText>
        </w:r>
        <w:r w:rsidR="00724B14">
          <w:rPr>
            <w:webHidden/>
          </w:rPr>
        </w:r>
        <w:r w:rsidR="00724B14">
          <w:rPr>
            <w:webHidden/>
          </w:rPr>
          <w:fldChar w:fldCharType="separate"/>
        </w:r>
        <w:r w:rsidR="009F3AF0">
          <w:rPr>
            <w:webHidden/>
          </w:rPr>
          <w:t>20</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07" w:history="1">
        <w:r w:rsidR="00724B14" w:rsidRPr="008E55E5">
          <w:rPr>
            <w:rStyle w:val="Hypertextovodkaz"/>
          </w:rPr>
          <w:t>1</w:t>
        </w:r>
        <w:r w:rsidR="00724B14">
          <w:rPr>
            <w:rFonts w:asciiTheme="minorHAnsi" w:eastAsiaTheme="minorEastAsia" w:hAnsiTheme="minorHAnsi" w:cstheme="minorBidi"/>
            <w:sz w:val="22"/>
            <w:szCs w:val="22"/>
            <w:lang w:eastAsia="cs-CZ"/>
          </w:rPr>
          <w:tab/>
        </w:r>
        <w:r w:rsidR="00724B14" w:rsidRPr="008E55E5">
          <w:rPr>
            <w:rStyle w:val="Hypertextovodkaz"/>
          </w:rPr>
          <w:t>Obecné podmínky vývoje agrárního sektoru a venkova ČR</w:t>
        </w:r>
        <w:r w:rsidR="00724B14">
          <w:rPr>
            <w:webHidden/>
          </w:rPr>
          <w:tab/>
        </w:r>
        <w:r w:rsidR="00724B14">
          <w:rPr>
            <w:webHidden/>
          </w:rPr>
          <w:fldChar w:fldCharType="begin"/>
        </w:r>
        <w:r w:rsidR="00724B14">
          <w:rPr>
            <w:webHidden/>
          </w:rPr>
          <w:instrText xml:space="preserve"> PAGEREF _Toc424307007 \h </w:instrText>
        </w:r>
        <w:r w:rsidR="00724B14">
          <w:rPr>
            <w:webHidden/>
          </w:rPr>
        </w:r>
        <w:r w:rsidR="00724B14">
          <w:rPr>
            <w:webHidden/>
          </w:rPr>
          <w:fldChar w:fldCharType="separate"/>
        </w:r>
        <w:r w:rsidR="009F3AF0">
          <w:rPr>
            <w:webHidden/>
          </w:rPr>
          <w:t>22</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08" w:history="1">
        <w:r w:rsidR="00724B14" w:rsidRPr="008E55E5">
          <w:rPr>
            <w:rStyle w:val="Hypertextovodkaz"/>
            <w:noProof/>
          </w:rPr>
          <w:t>1.1</w:t>
        </w:r>
        <w:r w:rsidR="00724B14">
          <w:rPr>
            <w:rFonts w:asciiTheme="minorHAnsi" w:eastAsiaTheme="minorEastAsia" w:hAnsiTheme="minorHAnsi" w:cstheme="minorBidi"/>
            <w:noProof/>
            <w:sz w:val="22"/>
            <w:szCs w:val="22"/>
            <w:lang w:eastAsia="cs-CZ"/>
          </w:rPr>
          <w:tab/>
        </w:r>
        <w:r w:rsidR="00724B14" w:rsidRPr="008E55E5">
          <w:rPr>
            <w:rStyle w:val="Hypertextovodkaz"/>
            <w:noProof/>
          </w:rPr>
          <w:t>Národní hospodářství ČR a pozice agrárního sektoru</w:t>
        </w:r>
        <w:r w:rsidR="00724B14">
          <w:rPr>
            <w:noProof/>
            <w:webHidden/>
          </w:rPr>
          <w:tab/>
        </w:r>
        <w:r w:rsidR="00724B14">
          <w:rPr>
            <w:noProof/>
            <w:webHidden/>
          </w:rPr>
          <w:fldChar w:fldCharType="begin"/>
        </w:r>
        <w:r w:rsidR="00724B14">
          <w:rPr>
            <w:noProof/>
            <w:webHidden/>
          </w:rPr>
          <w:instrText xml:space="preserve"> PAGEREF _Toc424307008 \h </w:instrText>
        </w:r>
        <w:r w:rsidR="00724B14">
          <w:rPr>
            <w:noProof/>
            <w:webHidden/>
          </w:rPr>
        </w:r>
        <w:r w:rsidR="00724B14">
          <w:rPr>
            <w:noProof/>
            <w:webHidden/>
          </w:rPr>
          <w:fldChar w:fldCharType="separate"/>
        </w:r>
        <w:r w:rsidR="009F3AF0">
          <w:rPr>
            <w:noProof/>
            <w:webHidden/>
          </w:rPr>
          <w:t>22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09" w:history="1">
        <w:r w:rsidR="00724B14" w:rsidRPr="008E55E5">
          <w:rPr>
            <w:rStyle w:val="Hypertextovodkaz"/>
            <w:noProof/>
          </w:rPr>
          <w:t>1.1.1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Vývoj národního hospodářství</w:t>
        </w:r>
        <w:r w:rsidR="00724B14">
          <w:rPr>
            <w:noProof/>
            <w:webHidden/>
          </w:rPr>
          <w:tab/>
        </w:r>
        <w:r w:rsidR="00724B14">
          <w:rPr>
            <w:noProof/>
            <w:webHidden/>
          </w:rPr>
          <w:fldChar w:fldCharType="begin"/>
        </w:r>
        <w:r w:rsidR="00724B14">
          <w:rPr>
            <w:noProof/>
            <w:webHidden/>
          </w:rPr>
          <w:instrText xml:space="preserve"> PAGEREF _Toc424307009 \h </w:instrText>
        </w:r>
        <w:r w:rsidR="00724B14">
          <w:rPr>
            <w:noProof/>
            <w:webHidden/>
          </w:rPr>
        </w:r>
        <w:r w:rsidR="00724B14">
          <w:rPr>
            <w:noProof/>
            <w:webHidden/>
          </w:rPr>
          <w:fldChar w:fldCharType="separate"/>
        </w:r>
        <w:r w:rsidR="009F3AF0">
          <w:rPr>
            <w:noProof/>
            <w:webHidden/>
          </w:rPr>
          <w:t>22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10" w:history="1">
        <w:r w:rsidR="00724B14" w:rsidRPr="008E55E5">
          <w:rPr>
            <w:rStyle w:val="Hypertextovodkaz"/>
            <w:noProof/>
          </w:rPr>
          <w:t>1.1.2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Pozice agrárního sektoru</w:t>
        </w:r>
        <w:r w:rsidR="00724B14">
          <w:rPr>
            <w:noProof/>
            <w:webHidden/>
          </w:rPr>
          <w:tab/>
        </w:r>
        <w:r w:rsidR="00724B14">
          <w:rPr>
            <w:noProof/>
            <w:webHidden/>
          </w:rPr>
          <w:fldChar w:fldCharType="begin"/>
        </w:r>
        <w:r w:rsidR="00724B14">
          <w:rPr>
            <w:noProof/>
            <w:webHidden/>
          </w:rPr>
          <w:instrText xml:space="preserve"> PAGEREF _Toc424307010 \h </w:instrText>
        </w:r>
        <w:r w:rsidR="00724B14">
          <w:rPr>
            <w:noProof/>
            <w:webHidden/>
          </w:rPr>
        </w:r>
        <w:r w:rsidR="00724B14">
          <w:rPr>
            <w:noProof/>
            <w:webHidden/>
          </w:rPr>
          <w:fldChar w:fldCharType="separate"/>
        </w:r>
        <w:r w:rsidR="009F3AF0">
          <w:rPr>
            <w:noProof/>
            <w:webHidden/>
          </w:rPr>
          <w:t>24</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11" w:history="1">
        <w:r w:rsidR="00724B14" w:rsidRPr="008E55E5">
          <w:rPr>
            <w:rStyle w:val="Hypertextovodkaz"/>
            <w:noProof/>
          </w:rPr>
          <w:t>1.2</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Povětrnostní podmínky a jejich vliv na agrární sektor</w:t>
        </w:r>
        <w:r w:rsidR="00724B14">
          <w:rPr>
            <w:noProof/>
            <w:webHidden/>
          </w:rPr>
          <w:tab/>
        </w:r>
        <w:r w:rsidR="00724B14">
          <w:rPr>
            <w:noProof/>
            <w:webHidden/>
          </w:rPr>
          <w:fldChar w:fldCharType="begin"/>
        </w:r>
        <w:r w:rsidR="00724B14">
          <w:rPr>
            <w:noProof/>
            <w:webHidden/>
          </w:rPr>
          <w:instrText xml:space="preserve"> PAGEREF _Toc424307011 \h </w:instrText>
        </w:r>
        <w:r w:rsidR="00724B14">
          <w:rPr>
            <w:noProof/>
            <w:webHidden/>
          </w:rPr>
        </w:r>
        <w:r w:rsidR="00724B14">
          <w:rPr>
            <w:noProof/>
            <w:webHidden/>
          </w:rPr>
          <w:fldChar w:fldCharType="separate"/>
        </w:r>
        <w:r w:rsidR="009F3AF0">
          <w:rPr>
            <w:noProof/>
            <w:webHidden/>
          </w:rPr>
          <w:t>26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12" w:history="1">
        <w:r w:rsidR="00724B14" w:rsidRPr="008E55E5">
          <w:rPr>
            <w:rStyle w:val="Hypertextovodkaz"/>
            <w:noProof/>
          </w:rPr>
          <w:t>1.3</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Podnikatelské prostředí</w:t>
        </w:r>
        <w:r w:rsidR="00724B14">
          <w:rPr>
            <w:noProof/>
            <w:webHidden/>
          </w:rPr>
          <w:tab/>
        </w:r>
        <w:r w:rsidR="00724B14">
          <w:rPr>
            <w:noProof/>
            <w:webHidden/>
          </w:rPr>
          <w:fldChar w:fldCharType="begin"/>
        </w:r>
        <w:r w:rsidR="00724B14">
          <w:rPr>
            <w:noProof/>
            <w:webHidden/>
          </w:rPr>
          <w:instrText xml:space="preserve"> PAGEREF _Toc424307012 \h </w:instrText>
        </w:r>
        <w:r w:rsidR="00724B14">
          <w:rPr>
            <w:noProof/>
            <w:webHidden/>
          </w:rPr>
        </w:r>
        <w:r w:rsidR="00724B14">
          <w:rPr>
            <w:noProof/>
            <w:webHidden/>
          </w:rPr>
          <w:fldChar w:fldCharType="separate"/>
        </w:r>
        <w:r w:rsidR="009F3AF0">
          <w:rPr>
            <w:noProof/>
            <w:webHidden/>
          </w:rPr>
          <w:t>28</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13" w:history="1">
        <w:r w:rsidR="00724B14" w:rsidRPr="008E55E5">
          <w:rPr>
            <w:rStyle w:val="Hypertextovodkaz"/>
            <w:noProof/>
          </w:rPr>
          <w:t>1.4</w:t>
        </w:r>
        <w:r w:rsidR="00724B14">
          <w:rPr>
            <w:rFonts w:asciiTheme="minorHAnsi" w:eastAsiaTheme="minorEastAsia" w:hAnsiTheme="minorHAnsi" w:cstheme="minorBidi"/>
            <w:noProof/>
            <w:sz w:val="22"/>
            <w:szCs w:val="22"/>
            <w:lang w:eastAsia="cs-CZ"/>
          </w:rPr>
          <w:tab/>
        </w:r>
        <w:r w:rsidR="00724B14" w:rsidRPr="008E55E5">
          <w:rPr>
            <w:rStyle w:val="Hypertextovodkaz"/>
            <w:noProof/>
          </w:rPr>
          <w:t>Důležitá opatření a rozhodnutí orgánů ČR a EU</w:t>
        </w:r>
        <w:r w:rsidR="00724B14">
          <w:rPr>
            <w:noProof/>
            <w:webHidden/>
          </w:rPr>
          <w:tab/>
        </w:r>
        <w:r w:rsidR="00724B14">
          <w:rPr>
            <w:noProof/>
            <w:webHidden/>
          </w:rPr>
          <w:fldChar w:fldCharType="begin"/>
        </w:r>
        <w:r w:rsidR="00724B14">
          <w:rPr>
            <w:noProof/>
            <w:webHidden/>
          </w:rPr>
          <w:instrText xml:space="preserve"> PAGEREF _Toc424307013 \h </w:instrText>
        </w:r>
        <w:r w:rsidR="00724B14">
          <w:rPr>
            <w:noProof/>
            <w:webHidden/>
          </w:rPr>
        </w:r>
        <w:r w:rsidR="00724B14">
          <w:rPr>
            <w:noProof/>
            <w:webHidden/>
          </w:rPr>
          <w:fldChar w:fldCharType="separate"/>
        </w:r>
        <w:r w:rsidR="009F3AF0">
          <w:rPr>
            <w:noProof/>
            <w:webHidden/>
          </w:rPr>
          <w:t>32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14" w:history="1">
        <w:r w:rsidR="00724B14" w:rsidRPr="008E55E5">
          <w:rPr>
            <w:rStyle w:val="Hypertextovodkaz"/>
            <w:noProof/>
          </w:rPr>
          <w:t>1.4.1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Nejvýznamnější legislativní opatření připravovaná MZe v roce 2014</w:t>
        </w:r>
        <w:r w:rsidR="00724B14">
          <w:rPr>
            <w:noProof/>
            <w:webHidden/>
          </w:rPr>
          <w:tab/>
        </w:r>
        <w:r w:rsidR="00724B14">
          <w:rPr>
            <w:noProof/>
            <w:webHidden/>
          </w:rPr>
          <w:fldChar w:fldCharType="begin"/>
        </w:r>
        <w:r w:rsidR="00724B14">
          <w:rPr>
            <w:noProof/>
            <w:webHidden/>
          </w:rPr>
          <w:instrText xml:space="preserve"> PAGEREF _Toc424307014 \h </w:instrText>
        </w:r>
        <w:r w:rsidR="00724B14">
          <w:rPr>
            <w:noProof/>
            <w:webHidden/>
          </w:rPr>
        </w:r>
        <w:r w:rsidR="00724B14">
          <w:rPr>
            <w:noProof/>
            <w:webHidden/>
          </w:rPr>
          <w:fldChar w:fldCharType="separate"/>
        </w:r>
        <w:r w:rsidR="009F3AF0">
          <w:rPr>
            <w:noProof/>
            <w:webHidden/>
          </w:rPr>
          <w:t>32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15" w:history="1">
        <w:r w:rsidR="00724B14" w:rsidRPr="008E55E5">
          <w:rPr>
            <w:rStyle w:val="Hypertextovodkaz"/>
            <w:noProof/>
          </w:rPr>
          <w:t>1.4.2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Důležitá rozhodnutí a právní akty orgánů EU v roce 2014</w:t>
        </w:r>
        <w:r w:rsidR="00724B14">
          <w:rPr>
            <w:noProof/>
            <w:webHidden/>
          </w:rPr>
          <w:tab/>
        </w:r>
        <w:r w:rsidR="00724B14">
          <w:rPr>
            <w:noProof/>
            <w:webHidden/>
          </w:rPr>
          <w:fldChar w:fldCharType="begin"/>
        </w:r>
        <w:r w:rsidR="00724B14">
          <w:rPr>
            <w:noProof/>
            <w:webHidden/>
          </w:rPr>
          <w:instrText xml:space="preserve"> PAGEREF _Toc424307015 \h </w:instrText>
        </w:r>
        <w:r w:rsidR="00724B14">
          <w:rPr>
            <w:noProof/>
            <w:webHidden/>
          </w:rPr>
        </w:r>
        <w:r w:rsidR="00724B14">
          <w:rPr>
            <w:noProof/>
            <w:webHidden/>
          </w:rPr>
          <w:fldChar w:fldCharType="separate"/>
        </w:r>
        <w:r w:rsidR="009F3AF0">
          <w:rPr>
            <w:noProof/>
            <w:webHidden/>
          </w:rPr>
          <w:t>33</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16" w:history="1">
        <w:r w:rsidR="00724B14" w:rsidRPr="008E55E5">
          <w:rPr>
            <w:rStyle w:val="Hypertextovodkaz"/>
          </w:rPr>
          <w:t>2</w:t>
        </w:r>
        <w:r w:rsidR="00724B14">
          <w:rPr>
            <w:rFonts w:asciiTheme="minorHAnsi" w:eastAsiaTheme="minorEastAsia" w:hAnsiTheme="minorHAnsi" w:cstheme="minorBidi"/>
            <w:sz w:val="22"/>
            <w:szCs w:val="22"/>
            <w:lang w:eastAsia="cs-CZ"/>
          </w:rPr>
          <w:tab/>
        </w:r>
        <w:r w:rsidR="00724B14" w:rsidRPr="008E55E5">
          <w:rPr>
            <w:rStyle w:val="Hypertextovodkaz"/>
          </w:rPr>
          <w:t>Podpory agrárního sektoru a venkova</w:t>
        </w:r>
        <w:r w:rsidR="00724B14">
          <w:rPr>
            <w:webHidden/>
          </w:rPr>
          <w:tab/>
        </w:r>
        <w:r w:rsidR="00724B14">
          <w:rPr>
            <w:webHidden/>
          </w:rPr>
          <w:fldChar w:fldCharType="begin"/>
        </w:r>
        <w:r w:rsidR="00724B14">
          <w:rPr>
            <w:webHidden/>
          </w:rPr>
          <w:instrText xml:space="preserve"> PAGEREF _Toc424307016 \h </w:instrText>
        </w:r>
        <w:r w:rsidR="00724B14">
          <w:rPr>
            <w:webHidden/>
          </w:rPr>
        </w:r>
        <w:r w:rsidR="00724B14">
          <w:rPr>
            <w:webHidden/>
          </w:rPr>
          <w:fldChar w:fldCharType="separate"/>
        </w:r>
        <w:r w:rsidR="009F3AF0">
          <w:rPr>
            <w:webHidden/>
          </w:rPr>
          <w:t>36</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17" w:history="1">
        <w:r w:rsidR="00724B14" w:rsidRPr="008E55E5">
          <w:rPr>
            <w:rStyle w:val="Hypertextovodkaz"/>
            <w:noProof/>
          </w:rPr>
          <w:t>2.1</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Podpory v rámci politiky rozvoje venkova a rybářství</w:t>
        </w:r>
        <w:r w:rsidR="00724B14">
          <w:rPr>
            <w:noProof/>
            <w:webHidden/>
          </w:rPr>
          <w:tab/>
        </w:r>
        <w:r w:rsidR="00724B14">
          <w:rPr>
            <w:noProof/>
            <w:webHidden/>
          </w:rPr>
          <w:fldChar w:fldCharType="begin"/>
        </w:r>
        <w:r w:rsidR="00724B14">
          <w:rPr>
            <w:noProof/>
            <w:webHidden/>
          </w:rPr>
          <w:instrText xml:space="preserve"> PAGEREF _Toc424307017 \h </w:instrText>
        </w:r>
        <w:r w:rsidR="00724B14">
          <w:rPr>
            <w:noProof/>
            <w:webHidden/>
          </w:rPr>
        </w:r>
        <w:r w:rsidR="00724B14">
          <w:rPr>
            <w:noProof/>
            <w:webHidden/>
          </w:rPr>
          <w:fldChar w:fldCharType="separate"/>
        </w:r>
        <w:r w:rsidR="009F3AF0">
          <w:rPr>
            <w:noProof/>
            <w:webHidden/>
          </w:rPr>
          <w:t>37</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18" w:history="1">
        <w:r w:rsidR="00724B14" w:rsidRPr="008E55E5">
          <w:rPr>
            <w:rStyle w:val="Hypertextovodkaz"/>
            <w:noProof/>
          </w:rPr>
          <w:t>2.1.1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Program rozvoje venkova ČR na období 2007</w:t>
        </w:r>
        <w:r w:rsidR="00724B14" w:rsidRPr="008E55E5">
          <w:rPr>
            <w:rStyle w:val="Hypertextovodkaz"/>
            <w:noProof/>
          </w:rPr>
          <w:noBreakHyphen/>
          <w:t>2013</w:t>
        </w:r>
        <w:r w:rsidR="00724B14">
          <w:rPr>
            <w:noProof/>
            <w:webHidden/>
          </w:rPr>
          <w:tab/>
        </w:r>
        <w:r w:rsidR="00724B14">
          <w:rPr>
            <w:noProof/>
            <w:webHidden/>
          </w:rPr>
          <w:fldChar w:fldCharType="begin"/>
        </w:r>
        <w:r w:rsidR="00724B14">
          <w:rPr>
            <w:noProof/>
            <w:webHidden/>
          </w:rPr>
          <w:instrText xml:space="preserve"> PAGEREF _Toc424307018 \h </w:instrText>
        </w:r>
        <w:r w:rsidR="00724B14">
          <w:rPr>
            <w:noProof/>
            <w:webHidden/>
          </w:rPr>
        </w:r>
        <w:r w:rsidR="00724B14">
          <w:rPr>
            <w:noProof/>
            <w:webHidden/>
          </w:rPr>
          <w:fldChar w:fldCharType="separate"/>
        </w:r>
        <w:r w:rsidR="009F3AF0">
          <w:rPr>
            <w:noProof/>
            <w:webHidden/>
          </w:rPr>
          <w:t>37</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19" w:history="1">
        <w:r w:rsidR="00724B14" w:rsidRPr="008E55E5">
          <w:rPr>
            <w:rStyle w:val="Hypertextovodkaz"/>
            <w:noProof/>
          </w:rPr>
          <w:t>2.1.2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Operační program Rybářství</w:t>
        </w:r>
        <w:r w:rsidR="00724B14">
          <w:rPr>
            <w:noProof/>
            <w:webHidden/>
          </w:rPr>
          <w:tab/>
        </w:r>
        <w:r w:rsidR="00724B14">
          <w:rPr>
            <w:noProof/>
            <w:webHidden/>
          </w:rPr>
          <w:fldChar w:fldCharType="begin"/>
        </w:r>
        <w:r w:rsidR="00724B14">
          <w:rPr>
            <w:noProof/>
            <w:webHidden/>
          </w:rPr>
          <w:instrText xml:space="preserve"> PAGEREF _Toc424307019 \h </w:instrText>
        </w:r>
        <w:r w:rsidR="00724B14">
          <w:rPr>
            <w:noProof/>
            <w:webHidden/>
          </w:rPr>
        </w:r>
        <w:r w:rsidR="00724B14">
          <w:rPr>
            <w:noProof/>
            <w:webHidden/>
          </w:rPr>
          <w:fldChar w:fldCharType="separate"/>
        </w:r>
        <w:r w:rsidR="009F3AF0">
          <w:rPr>
            <w:noProof/>
            <w:webHidden/>
          </w:rPr>
          <w:t>40</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20" w:history="1">
        <w:r w:rsidR="00724B14" w:rsidRPr="008E55E5">
          <w:rPr>
            <w:rStyle w:val="Hypertextovodkaz"/>
            <w:noProof/>
          </w:rPr>
          <w:t>2.2</w:t>
        </w:r>
        <w:r w:rsidR="00724B14">
          <w:rPr>
            <w:rFonts w:asciiTheme="minorHAnsi" w:eastAsiaTheme="minorEastAsia" w:hAnsiTheme="minorHAnsi" w:cstheme="minorBidi"/>
            <w:noProof/>
            <w:sz w:val="22"/>
            <w:szCs w:val="22"/>
            <w:lang w:eastAsia="cs-CZ"/>
          </w:rPr>
          <w:tab/>
        </w:r>
        <w:r w:rsidR="00724B14" w:rsidRPr="008E55E5">
          <w:rPr>
            <w:rStyle w:val="Hypertextovodkaz"/>
            <w:noProof/>
          </w:rPr>
          <w:t>Přímé platby</w:t>
        </w:r>
        <w:r w:rsidR="00724B14">
          <w:rPr>
            <w:noProof/>
            <w:webHidden/>
          </w:rPr>
          <w:tab/>
        </w:r>
        <w:r w:rsidR="00724B14">
          <w:rPr>
            <w:noProof/>
            <w:webHidden/>
          </w:rPr>
          <w:fldChar w:fldCharType="begin"/>
        </w:r>
        <w:r w:rsidR="00724B14">
          <w:rPr>
            <w:noProof/>
            <w:webHidden/>
          </w:rPr>
          <w:instrText xml:space="preserve"> PAGEREF _Toc424307020 \h </w:instrText>
        </w:r>
        <w:r w:rsidR="00724B14">
          <w:rPr>
            <w:noProof/>
            <w:webHidden/>
          </w:rPr>
        </w:r>
        <w:r w:rsidR="00724B14">
          <w:rPr>
            <w:noProof/>
            <w:webHidden/>
          </w:rPr>
          <w:fldChar w:fldCharType="separate"/>
        </w:r>
        <w:r w:rsidR="009F3AF0">
          <w:rPr>
            <w:noProof/>
            <w:webHidden/>
          </w:rPr>
          <w:t>42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21" w:history="1">
        <w:r w:rsidR="00724B14" w:rsidRPr="008E55E5">
          <w:rPr>
            <w:rStyle w:val="Hypertextovodkaz"/>
            <w:noProof/>
          </w:rPr>
          <w:t>2.2.1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Přímé platby ze zdrojů EU</w:t>
        </w:r>
        <w:r w:rsidR="00724B14">
          <w:rPr>
            <w:noProof/>
            <w:webHidden/>
          </w:rPr>
          <w:tab/>
        </w:r>
        <w:r w:rsidR="00724B14">
          <w:rPr>
            <w:noProof/>
            <w:webHidden/>
          </w:rPr>
          <w:fldChar w:fldCharType="begin"/>
        </w:r>
        <w:r w:rsidR="00724B14">
          <w:rPr>
            <w:noProof/>
            <w:webHidden/>
          </w:rPr>
          <w:instrText xml:space="preserve"> PAGEREF _Toc424307021 \h </w:instrText>
        </w:r>
        <w:r w:rsidR="00724B14">
          <w:rPr>
            <w:noProof/>
            <w:webHidden/>
          </w:rPr>
        </w:r>
        <w:r w:rsidR="00724B14">
          <w:rPr>
            <w:noProof/>
            <w:webHidden/>
          </w:rPr>
          <w:fldChar w:fldCharType="separate"/>
        </w:r>
        <w:r w:rsidR="009F3AF0">
          <w:rPr>
            <w:noProof/>
            <w:webHidden/>
          </w:rPr>
          <w:t>43</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22" w:history="1">
        <w:r w:rsidR="00724B14" w:rsidRPr="008E55E5">
          <w:rPr>
            <w:rStyle w:val="Hypertextovodkaz"/>
            <w:noProof/>
          </w:rPr>
          <w:t>2.2.2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Národní doplňkové platby</w:t>
        </w:r>
        <w:r w:rsidR="00724B14">
          <w:rPr>
            <w:noProof/>
            <w:webHidden/>
          </w:rPr>
          <w:tab/>
        </w:r>
        <w:r w:rsidR="00724B14">
          <w:rPr>
            <w:noProof/>
            <w:webHidden/>
          </w:rPr>
          <w:fldChar w:fldCharType="begin"/>
        </w:r>
        <w:r w:rsidR="00724B14">
          <w:rPr>
            <w:noProof/>
            <w:webHidden/>
          </w:rPr>
          <w:instrText xml:space="preserve"> PAGEREF _Toc424307022 \h </w:instrText>
        </w:r>
        <w:r w:rsidR="00724B14">
          <w:rPr>
            <w:noProof/>
            <w:webHidden/>
          </w:rPr>
        </w:r>
        <w:r w:rsidR="00724B14">
          <w:rPr>
            <w:noProof/>
            <w:webHidden/>
          </w:rPr>
          <w:fldChar w:fldCharType="separate"/>
        </w:r>
        <w:r w:rsidR="009F3AF0">
          <w:rPr>
            <w:noProof/>
            <w:webHidden/>
          </w:rPr>
          <w:t>48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23" w:history="1">
        <w:r w:rsidR="00724B14" w:rsidRPr="008E55E5">
          <w:rPr>
            <w:rStyle w:val="Hypertextovodkaz"/>
            <w:noProof/>
          </w:rPr>
          <w:t>2.2.3</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Ostatní přímé platby</w:t>
        </w:r>
        <w:r w:rsidR="00724B14">
          <w:rPr>
            <w:noProof/>
            <w:webHidden/>
          </w:rPr>
          <w:tab/>
        </w:r>
        <w:r w:rsidR="00724B14">
          <w:rPr>
            <w:noProof/>
            <w:webHidden/>
          </w:rPr>
          <w:fldChar w:fldCharType="begin"/>
        </w:r>
        <w:r w:rsidR="00724B14">
          <w:rPr>
            <w:noProof/>
            <w:webHidden/>
          </w:rPr>
          <w:instrText xml:space="preserve"> PAGEREF _Toc424307023 \h </w:instrText>
        </w:r>
        <w:r w:rsidR="00724B14">
          <w:rPr>
            <w:noProof/>
            <w:webHidden/>
          </w:rPr>
        </w:r>
        <w:r w:rsidR="00724B14">
          <w:rPr>
            <w:noProof/>
            <w:webHidden/>
          </w:rPr>
          <w:fldChar w:fldCharType="separate"/>
        </w:r>
        <w:r w:rsidR="009F3AF0">
          <w:rPr>
            <w:noProof/>
            <w:webHidden/>
          </w:rPr>
          <w:t>48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24" w:history="1">
        <w:r w:rsidR="00724B14" w:rsidRPr="008E55E5">
          <w:rPr>
            <w:rStyle w:val="Hypertextovodkaz"/>
            <w:noProof/>
          </w:rPr>
          <w:t>2.2.4</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Kontrola podmíněnosti (Cross Compliance)</w:t>
        </w:r>
        <w:r w:rsidR="00724B14">
          <w:rPr>
            <w:noProof/>
            <w:webHidden/>
          </w:rPr>
          <w:tab/>
        </w:r>
        <w:r w:rsidR="00724B14">
          <w:rPr>
            <w:noProof/>
            <w:webHidden/>
          </w:rPr>
          <w:fldChar w:fldCharType="begin"/>
        </w:r>
        <w:r w:rsidR="00724B14">
          <w:rPr>
            <w:noProof/>
            <w:webHidden/>
          </w:rPr>
          <w:instrText xml:space="preserve"> PAGEREF _Toc424307024 \h </w:instrText>
        </w:r>
        <w:r w:rsidR="00724B14">
          <w:rPr>
            <w:noProof/>
            <w:webHidden/>
          </w:rPr>
        </w:r>
        <w:r w:rsidR="00724B14">
          <w:rPr>
            <w:noProof/>
            <w:webHidden/>
          </w:rPr>
          <w:fldChar w:fldCharType="separate"/>
        </w:r>
        <w:r w:rsidR="009F3AF0">
          <w:rPr>
            <w:noProof/>
            <w:webHidden/>
          </w:rPr>
          <w:t>48</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25" w:history="1">
        <w:r w:rsidR="00724B14" w:rsidRPr="008E55E5">
          <w:rPr>
            <w:rStyle w:val="Hypertextovodkaz"/>
            <w:noProof/>
          </w:rPr>
          <w:t>2.3</w:t>
        </w:r>
        <w:r w:rsidR="00724B14">
          <w:rPr>
            <w:rFonts w:asciiTheme="minorHAnsi" w:eastAsiaTheme="minorEastAsia" w:hAnsiTheme="minorHAnsi" w:cstheme="minorBidi"/>
            <w:noProof/>
            <w:sz w:val="22"/>
            <w:szCs w:val="22"/>
            <w:lang w:eastAsia="cs-CZ"/>
          </w:rPr>
          <w:tab/>
        </w:r>
        <w:r w:rsidR="00724B14" w:rsidRPr="008E55E5">
          <w:rPr>
            <w:rStyle w:val="Hypertextovodkaz"/>
            <w:noProof/>
          </w:rPr>
          <w:t>Národní podpory a opatření</w:t>
        </w:r>
        <w:r w:rsidR="00724B14">
          <w:rPr>
            <w:noProof/>
            <w:webHidden/>
          </w:rPr>
          <w:tab/>
        </w:r>
        <w:r w:rsidR="00724B14">
          <w:rPr>
            <w:noProof/>
            <w:webHidden/>
          </w:rPr>
          <w:fldChar w:fldCharType="begin"/>
        </w:r>
        <w:r w:rsidR="00724B14">
          <w:rPr>
            <w:noProof/>
            <w:webHidden/>
          </w:rPr>
          <w:instrText xml:space="preserve"> PAGEREF _Toc424307025 \h </w:instrText>
        </w:r>
        <w:r w:rsidR="00724B14">
          <w:rPr>
            <w:noProof/>
            <w:webHidden/>
          </w:rPr>
        </w:r>
        <w:r w:rsidR="00724B14">
          <w:rPr>
            <w:noProof/>
            <w:webHidden/>
          </w:rPr>
          <w:fldChar w:fldCharType="separate"/>
        </w:r>
        <w:r w:rsidR="009F3AF0">
          <w:rPr>
            <w:noProof/>
            <w:webHidden/>
          </w:rPr>
          <w:t>53</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26" w:history="1">
        <w:r w:rsidR="00724B14" w:rsidRPr="008E55E5">
          <w:rPr>
            <w:rStyle w:val="Hypertextovodkaz"/>
            <w:noProof/>
          </w:rPr>
          <w:t>2.4</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Podpory tržních cen a organizace trhu</w:t>
        </w:r>
        <w:r w:rsidR="00724B14">
          <w:rPr>
            <w:noProof/>
            <w:webHidden/>
          </w:rPr>
          <w:tab/>
        </w:r>
        <w:r w:rsidR="00724B14">
          <w:rPr>
            <w:noProof/>
            <w:webHidden/>
          </w:rPr>
          <w:fldChar w:fldCharType="begin"/>
        </w:r>
        <w:r w:rsidR="00724B14">
          <w:rPr>
            <w:noProof/>
            <w:webHidden/>
          </w:rPr>
          <w:instrText xml:space="preserve"> PAGEREF _Toc424307026 \h </w:instrText>
        </w:r>
        <w:r w:rsidR="00724B14">
          <w:rPr>
            <w:noProof/>
            <w:webHidden/>
          </w:rPr>
        </w:r>
        <w:r w:rsidR="00724B14">
          <w:rPr>
            <w:noProof/>
            <w:webHidden/>
          </w:rPr>
          <w:fldChar w:fldCharType="separate"/>
        </w:r>
        <w:r w:rsidR="009F3AF0">
          <w:rPr>
            <w:noProof/>
            <w:webHidden/>
          </w:rPr>
          <w:t>56</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27" w:history="1">
        <w:r w:rsidR="00724B14" w:rsidRPr="008E55E5">
          <w:rPr>
            <w:rStyle w:val="Hypertextovodkaz"/>
          </w:rPr>
          <w:t>3</w:t>
        </w:r>
        <w:r w:rsidR="00724B14">
          <w:rPr>
            <w:rFonts w:asciiTheme="minorHAnsi" w:eastAsiaTheme="minorEastAsia" w:hAnsiTheme="minorHAnsi" w:cstheme="minorBidi"/>
            <w:sz w:val="22"/>
            <w:szCs w:val="22"/>
            <w:lang w:eastAsia="cs-CZ"/>
          </w:rPr>
          <w:tab/>
        </w:r>
        <w:r w:rsidR="00724B14" w:rsidRPr="008E55E5">
          <w:rPr>
            <w:rStyle w:val="Hypertextovodkaz"/>
          </w:rPr>
          <w:t>Zemědělství a rozvoj venkova</w:t>
        </w:r>
        <w:r w:rsidR="00724B14">
          <w:rPr>
            <w:webHidden/>
          </w:rPr>
          <w:tab/>
        </w:r>
        <w:r w:rsidR="00724B14">
          <w:rPr>
            <w:webHidden/>
          </w:rPr>
          <w:fldChar w:fldCharType="begin"/>
        </w:r>
        <w:r w:rsidR="00724B14">
          <w:rPr>
            <w:webHidden/>
          </w:rPr>
          <w:instrText xml:space="preserve"> PAGEREF _Toc424307027 \h </w:instrText>
        </w:r>
        <w:r w:rsidR="00724B14">
          <w:rPr>
            <w:webHidden/>
          </w:rPr>
        </w:r>
        <w:r w:rsidR="00724B14">
          <w:rPr>
            <w:webHidden/>
          </w:rPr>
          <w:fldChar w:fldCharType="separate"/>
        </w:r>
        <w:r w:rsidR="009F3AF0">
          <w:rPr>
            <w:webHidden/>
          </w:rPr>
          <w:t>58</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28" w:history="1">
        <w:r w:rsidR="00724B14" w:rsidRPr="008E55E5">
          <w:rPr>
            <w:rStyle w:val="Hypertextovodkaz"/>
            <w:noProof/>
          </w:rPr>
          <w:t>3.1</w:t>
        </w:r>
        <w:r w:rsidR="00724B14">
          <w:rPr>
            <w:rFonts w:asciiTheme="minorHAnsi" w:eastAsiaTheme="minorEastAsia" w:hAnsiTheme="minorHAnsi" w:cstheme="minorBidi"/>
            <w:noProof/>
            <w:sz w:val="22"/>
            <w:szCs w:val="22"/>
            <w:lang w:eastAsia="cs-CZ"/>
          </w:rPr>
          <w:tab/>
        </w:r>
        <w:r w:rsidR="00724B14" w:rsidRPr="008E55E5">
          <w:rPr>
            <w:rStyle w:val="Hypertextovodkaz"/>
            <w:noProof/>
          </w:rPr>
          <w:t>Obyvatelstvo venkova a struktura venkovského osídlení</w:t>
        </w:r>
        <w:r w:rsidR="00724B14">
          <w:rPr>
            <w:noProof/>
            <w:webHidden/>
          </w:rPr>
          <w:tab/>
        </w:r>
        <w:r w:rsidR="00724B14">
          <w:rPr>
            <w:noProof/>
            <w:webHidden/>
          </w:rPr>
          <w:fldChar w:fldCharType="begin"/>
        </w:r>
        <w:r w:rsidR="00724B14">
          <w:rPr>
            <w:noProof/>
            <w:webHidden/>
          </w:rPr>
          <w:instrText xml:space="preserve"> PAGEREF _Toc424307028 \h </w:instrText>
        </w:r>
        <w:r w:rsidR="00724B14">
          <w:rPr>
            <w:noProof/>
            <w:webHidden/>
          </w:rPr>
        </w:r>
        <w:r w:rsidR="00724B14">
          <w:rPr>
            <w:noProof/>
            <w:webHidden/>
          </w:rPr>
          <w:fldChar w:fldCharType="separate"/>
        </w:r>
        <w:r w:rsidR="009F3AF0">
          <w:rPr>
            <w:noProof/>
            <w:webHidden/>
          </w:rPr>
          <w:t>58</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29" w:history="1">
        <w:r w:rsidR="00724B14" w:rsidRPr="008E55E5">
          <w:rPr>
            <w:rStyle w:val="Hypertextovodkaz"/>
            <w:noProof/>
          </w:rPr>
          <w:t>3.2</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Podnikatelská struktura venkova ve vztahu k podporám zemědělské politiky</w:t>
        </w:r>
        <w:r w:rsidR="00724B14">
          <w:rPr>
            <w:noProof/>
            <w:webHidden/>
          </w:rPr>
          <w:tab/>
        </w:r>
        <w:r w:rsidR="00724B14">
          <w:rPr>
            <w:noProof/>
            <w:webHidden/>
          </w:rPr>
          <w:fldChar w:fldCharType="begin"/>
        </w:r>
        <w:r w:rsidR="00724B14">
          <w:rPr>
            <w:noProof/>
            <w:webHidden/>
          </w:rPr>
          <w:instrText xml:space="preserve"> PAGEREF _Toc424307029 \h </w:instrText>
        </w:r>
        <w:r w:rsidR="00724B14">
          <w:rPr>
            <w:noProof/>
            <w:webHidden/>
          </w:rPr>
        </w:r>
        <w:r w:rsidR="00724B14">
          <w:rPr>
            <w:noProof/>
            <w:webHidden/>
          </w:rPr>
          <w:fldChar w:fldCharType="separate"/>
        </w:r>
        <w:r w:rsidR="009F3AF0">
          <w:rPr>
            <w:noProof/>
            <w:webHidden/>
          </w:rPr>
          <w:t>61</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0" w:history="1">
        <w:r w:rsidR="00724B14" w:rsidRPr="008E55E5">
          <w:rPr>
            <w:rStyle w:val="Hypertextovodkaz"/>
            <w:noProof/>
          </w:rPr>
          <w:t>3.3</w:t>
        </w:r>
        <w:r w:rsidR="00724B14">
          <w:rPr>
            <w:rFonts w:asciiTheme="minorHAnsi" w:eastAsiaTheme="minorEastAsia" w:hAnsiTheme="minorHAnsi" w:cstheme="minorBidi"/>
            <w:noProof/>
            <w:sz w:val="22"/>
            <w:szCs w:val="22"/>
            <w:lang w:eastAsia="cs-CZ"/>
          </w:rPr>
          <w:tab/>
        </w:r>
        <w:r w:rsidR="00724B14" w:rsidRPr="008E55E5">
          <w:rPr>
            <w:rStyle w:val="Hypertextovodkaz"/>
            <w:noProof/>
          </w:rPr>
          <w:t>Občanská vybavenost venkova ve vztahu k podporám zemědělské politiky</w:t>
        </w:r>
        <w:r w:rsidR="00724B14">
          <w:rPr>
            <w:noProof/>
            <w:webHidden/>
          </w:rPr>
          <w:tab/>
        </w:r>
        <w:r w:rsidR="00724B14">
          <w:rPr>
            <w:noProof/>
            <w:webHidden/>
          </w:rPr>
          <w:fldChar w:fldCharType="begin"/>
        </w:r>
        <w:r w:rsidR="00724B14">
          <w:rPr>
            <w:noProof/>
            <w:webHidden/>
          </w:rPr>
          <w:instrText xml:space="preserve"> PAGEREF _Toc424307030 \h </w:instrText>
        </w:r>
        <w:r w:rsidR="00724B14">
          <w:rPr>
            <w:noProof/>
            <w:webHidden/>
          </w:rPr>
        </w:r>
        <w:r w:rsidR="00724B14">
          <w:rPr>
            <w:noProof/>
            <w:webHidden/>
          </w:rPr>
          <w:fldChar w:fldCharType="separate"/>
        </w:r>
        <w:r w:rsidR="009F3AF0">
          <w:rPr>
            <w:noProof/>
            <w:webHidden/>
          </w:rPr>
          <w:t>65</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1" w:history="1">
        <w:r w:rsidR="00724B14" w:rsidRPr="008E55E5">
          <w:rPr>
            <w:rStyle w:val="Hypertextovodkaz"/>
            <w:noProof/>
          </w:rPr>
          <w:t>3.4</w:t>
        </w:r>
        <w:r w:rsidR="00724B14">
          <w:rPr>
            <w:rFonts w:asciiTheme="minorHAnsi" w:eastAsiaTheme="minorEastAsia" w:hAnsiTheme="minorHAnsi" w:cstheme="minorBidi"/>
            <w:noProof/>
            <w:sz w:val="22"/>
            <w:szCs w:val="22"/>
            <w:lang w:eastAsia="cs-CZ"/>
          </w:rPr>
          <w:tab/>
        </w:r>
        <w:r w:rsidR="00724B14" w:rsidRPr="008E55E5">
          <w:rPr>
            <w:rStyle w:val="Hypertextovodkaz"/>
            <w:noProof/>
          </w:rPr>
          <w:t>Zaměstnanost a ekonomické postavení venkovské populace</w:t>
        </w:r>
        <w:r w:rsidR="00724B14">
          <w:rPr>
            <w:noProof/>
            <w:webHidden/>
          </w:rPr>
          <w:tab/>
        </w:r>
        <w:r w:rsidR="00724B14">
          <w:rPr>
            <w:noProof/>
            <w:webHidden/>
          </w:rPr>
          <w:fldChar w:fldCharType="begin"/>
        </w:r>
        <w:r w:rsidR="00724B14">
          <w:rPr>
            <w:noProof/>
            <w:webHidden/>
          </w:rPr>
          <w:instrText xml:space="preserve"> PAGEREF _Toc424307031 \h </w:instrText>
        </w:r>
        <w:r w:rsidR="00724B14">
          <w:rPr>
            <w:noProof/>
            <w:webHidden/>
          </w:rPr>
        </w:r>
        <w:r w:rsidR="00724B14">
          <w:rPr>
            <w:noProof/>
            <w:webHidden/>
          </w:rPr>
          <w:fldChar w:fldCharType="separate"/>
        </w:r>
        <w:r w:rsidR="009F3AF0">
          <w:rPr>
            <w:noProof/>
            <w:webHidden/>
          </w:rPr>
          <w:t>66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2" w:history="1">
        <w:r w:rsidR="00724B14" w:rsidRPr="008E55E5">
          <w:rPr>
            <w:rStyle w:val="Hypertextovodkaz"/>
            <w:noProof/>
          </w:rPr>
          <w:t>3.5</w:t>
        </w:r>
        <w:r w:rsidR="00724B14">
          <w:rPr>
            <w:rFonts w:asciiTheme="minorHAnsi" w:eastAsiaTheme="minorEastAsia" w:hAnsiTheme="minorHAnsi" w:cstheme="minorBidi"/>
            <w:noProof/>
            <w:sz w:val="22"/>
            <w:szCs w:val="22"/>
            <w:lang w:eastAsia="cs-CZ"/>
          </w:rPr>
          <w:tab/>
        </w:r>
        <w:r w:rsidR="00724B14" w:rsidRPr="008E55E5">
          <w:rPr>
            <w:rStyle w:val="Hypertextovodkaz"/>
            <w:noProof/>
          </w:rPr>
          <w:t>Institucionální zázemí rozvoje venkova</w:t>
        </w:r>
        <w:r w:rsidR="00724B14">
          <w:rPr>
            <w:noProof/>
            <w:webHidden/>
          </w:rPr>
          <w:tab/>
        </w:r>
        <w:r w:rsidR="00724B14">
          <w:rPr>
            <w:noProof/>
            <w:webHidden/>
          </w:rPr>
          <w:fldChar w:fldCharType="begin"/>
        </w:r>
        <w:r w:rsidR="00724B14">
          <w:rPr>
            <w:noProof/>
            <w:webHidden/>
          </w:rPr>
          <w:instrText xml:space="preserve"> PAGEREF _Toc424307032 \h </w:instrText>
        </w:r>
        <w:r w:rsidR="00724B14">
          <w:rPr>
            <w:noProof/>
            <w:webHidden/>
          </w:rPr>
        </w:r>
        <w:r w:rsidR="00724B14">
          <w:rPr>
            <w:noProof/>
            <w:webHidden/>
          </w:rPr>
          <w:fldChar w:fldCharType="separate"/>
        </w:r>
        <w:r w:rsidR="009F3AF0">
          <w:rPr>
            <w:noProof/>
            <w:webHidden/>
          </w:rPr>
          <w:t>69</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33" w:history="1">
        <w:r w:rsidR="00724B14" w:rsidRPr="008E55E5">
          <w:rPr>
            <w:rStyle w:val="Hypertextovodkaz"/>
            <w:noProof/>
          </w:rPr>
          <w:t>3.5.1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Organizační a institucionální zabezpečení</w:t>
        </w:r>
        <w:r w:rsidR="00724B14">
          <w:rPr>
            <w:noProof/>
            <w:webHidden/>
          </w:rPr>
          <w:tab/>
        </w:r>
        <w:r w:rsidR="00724B14">
          <w:rPr>
            <w:noProof/>
            <w:webHidden/>
          </w:rPr>
          <w:fldChar w:fldCharType="begin"/>
        </w:r>
        <w:r w:rsidR="00724B14">
          <w:rPr>
            <w:noProof/>
            <w:webHidden/>
          </w:rPr>
          <w:instrText xml:space="preserve"> PAGEREF _Toc424307033 \h </w:instrText>
        </w:r>
        <w:r w:rsidR="00724B14">
          <w:rPr>
            <w:noProof/>
            <w:webHidden/>
          </w:rPr>
        </w:r>
        <w:r w:rsidR="00724B14">
          <w:rPr>
            <w:noProof/>
            <w:webHidden/>
          </w:rPr>
          <w:fldChar w:fldCharType="separate"/>
        </w:r>
        <w:r w:rsidR="009F3AF0">
          <w:rPr>
            <w:noProof/>
            <w:webHidden/>
          </w:rPr>
          <w:t>69</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34" w:history="1">
        <w:r w:rsidR="00724B14" w:rsidRPr="008E55E5">
          <w:rPr>
            <w:rStyle w:val="Hypertextovodkaz"/>
            <w:noProof/>
          </w:rPr>
          <w:t>3.5.2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Programové zabezpečení</w:t>
        </w:r>
        <w:r w:rsidR="00724B14">
          <w:rPr>
            <w:noProof/>
            <w:webHidden/>
          </w:rPr>
          <w:tab/>
        </w:r>
        <w:r w:rsidR="00724B14">
          <w:rPr>
            <w:noProof/>
            <w:webHidden/>
          </w:rPr>
          <w:fldChar w:fldCharType="begin"/>
        </w:r>
        <w:r w:rsidR="00724B14">
          <w:rPr>
            <w:noProof/>
            <w:webHidden/>
          </w:rPr>
          <w:instrText xml:space="preserve"> PAGEREF _Toc424307034 \h </w:instrText>
        </w:r>
        <w:r w:rsidR="00724B14">
          <w:rPr>
            <w:noProof/>
            <w:webHidden/>
          </w:rPr>
        </w:r>
        <w:r w:rsidR="00724B14">
          <w:rPr>
            <w:noProof/>
            <w:webHidden/>
          </w:rPr>
          <w:fldChar w:fldCharType="separate"/>
        </w:r>
        <w:r w:rsidR="009F3AF0">
          <w:rPr>
            <w:noProof/>
            <w:webHidden/>
          </w:rPr>
          <w:t>75</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35" w:history="1">
        <w:r w:rsidR="00724B14" w:rsidRPr="008E55E5">
          <w:rPr>
            <w:rStyle w:val="Hypertextovodkaz"/>
          </w:rPr>
          <w:t>4</w:t>
        </w:r>
        <w:r w:rsidR="00724B14">
          <w:rPr>
            <w:rFonts w:asciiTheme="minorHAnsi" w:eastAsiaTheme="minorEastAsia" w:hAnsiTheme="minorHAnsi" w:cstheme="minorBidi"/>
            <w:sz w:val="22"/>
            <w:szCs w:val="22"/>
            <w:lang w:eastAsia="cs-CZ"/>
          </w:rPr>
          <w:tab/>
        </w:r>
        <w:r w:rsidR="00724B14" w:rsidRPr="008E55E5">
          <w:rPr>
            <w:rStyle w:val="Hypertextovodkaz"/>
          </w:rPr>
          <w:t>Zemědělství a životní prostředí, ochrana zvířat</w:t>
        </w:r>
        <w:r w:rsidR="00724B14">
          <w:rPr>
            <w:webHidden/>
          </w:rPr>
          <w:tab/>
        </w:r>
        <w:r w:rsidR="00724B14">
          <w:rPr>
            <w:webHidden/>
          </w:rPr>
          <w:fldChar w:fldCharType="begin"/>
        </w:r>
        <w:r w:rsidR="00724B14">
          <w:rPr>
            <w:webHidden/>
          </w:rPr>
          <w:instrText xml:space="preserve"> PAGEREF _Toc424307035 \h </w:instrText>
        </w:r>
        <w:r w:rsidR="00724B14">
          <w:rPr>
            <w:webHidden/>
          </w:rPr>
        </w:r>
        <w:r w:rsidR="00724B14">
          <w:rPr>
            <w:webHidden/>
          </w:rPr>
          <w:fldChar w:fldCharType="separate"/>
        </w:r>
        <w:r w:rsidR="009F3AF0">
          <w:rPr>
            <w:webHidden/>
          </w:rPr>
          <w:t>75</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6" w:history="1">
        <w:r w:rsidR="00724B14" w:rsidRPr="008E55E5">
          <w:rPr>
            <w:rStyle w:val="Hypertextovodkaz"/>
            <w:noProof/>
          </w:rPr>
          <w:t>4.1</w:t>
        </w:r>
        <w:r w:rsidR="00724B14">
          <w:rPr>
            <w:rFonts w:asciiTheme="minorHAnsi" w:eastAsiaTheme="minorEastAsia" w:hAnsiTheme="minorHAnsi" w:cstheme="minorBidi"/>
            <w:noProof/>
            <w:sz w:val="22"/>
            <w:szCs w:val="22"/>
            <w:lang w:eastAsia="cs-CZ"/>
          </w:rPr>
          <w:tab/>
        </w:r>
        <w:r w:rsidR="00724B14" w:rsidRPr="008E55E5">
          <w:rPr>
            <w:rStyle w:val="Hypertextovodkaz"/>
            <w:noProof/>
          </w:rPr>
          <w:t>Vliv agrárního sektoru na jednotlivé složky životního prostředí</w:t>
        </w:r>
        <w:r w:rsidR="00724B14">
          <w:rPr>
            <w:noProof/>
            <w:webHidden/>
          </w:rPr>
          <w:tab/>
        </w:r>
        <w:r w:rsidR="00724B14">
          <w:rPr>
            <w:noProof/>
            <w:webHidden/>
          </w:rPr>
          <w:fldChar w:fldCharType="begin"/>
        </w:r>
        <w:r w:rsidR="00724B14">
          <w:rPr>
            <w:noProof/>
            <w:webHidden/>
          </w:rPr>
          <w:instrText xml:space="preserve"> PAGEREF _Toc424307036 \h </w:instrText>
        </w:r>
        <w:r w:rsidR="00724B14">
          <w:rPr>
            <w:noProof/>
            <w:webHidden/>
          </w:rPr>
        </w:r>
        <w:r w:rsidR="00724B14">
          <w:rPr>
            <w:noProof/>
            <w:webHidden/>
          </w:rPr>
          <w:fldChar w:fldCharType="separate"/>
        </w:r>
        <w:r w:rsidR="009F3AF0">
          <w:rPr>
            <w:noProof/>
            <w:webHidden/>
          </w:rPr>
          <w:t>76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7" w:history="1">
        <w:r w:rsidR="00724B14" w:rsidRPr="008E55E5">
          <w:rPr>
            <w:rStyle w:val="Hypertextovodkaz"/>
            <w:noProof/>
          </w:rPr>
          <w:t>4.2</w:t>
        </w:r>
        <w:r w:rsidR="00724B14">
          <w:rPr>
            <w:rFonts w:asciiTheme="minorHAnsi" w:eastAsiaTheme="minorEastAsia" w:hAnsiTheme="minorHAnsi" w:cstheme="minorBidi"/>
            <w:noProof/>
            <w:sz w:val="22"/>
            <w:szCs w:val="22"/>
            <w:lang w:eastAsia="cs-CZ"/>
          </w:rPr>
          <w:tab/>
        </w:r>
        <w:r w:rsidR="00724B14" w:rsidRPr="008E55E5">
          <w:rPr>
            <w:rStyle w:val="Hypertextovodkaz"/>
            <w:noProof/>
          </w:rPr>
          <w:t>Ochrana zvířat</w:t>
        </w:r>
        <w:r w:rsidR="00724B14">
          <w:rPr>
            <w:noProof/>
            <w:webHidden/>
          </w:rPr>
          <w:tab/>
        </w:r>
        <w:r w:rsidR="00724B14">
          <w:rPr>
            <w:noProof/>
            <w:webHidden/>
          </w:rPr>
          <w:fldChar w:fldCharType="begin"/>
        </w:r>
        <w:r w:rsidR="00724B14">
          <w:rPr>
            <w:noProof/>
            <w:webHidden/>
          </w:rPr>
          <w:instrText xml:space="preserve"> PAGEREF _Toc424307037 \h </w:instrText>
        </w:r>
        <w:r w:rsidR="00724B14">
          <w:rPr>
            <w:noProof/>
            <w:webHidden/>
          </w:rPr>
        </w:r>
        <w:r w:rsidR="00724B14">
          <w:rPr>
            <w:noProof/>
            <w:webHidden/>
          </w:rPr>
          <w:fldChar w:fldCharType="separate"/>
        </w:r>
        <w:r w:rsidR="009F3AF0">
          <w:rPr>
            <w:noProof/>
            <w:webHidden/>
          </w:rPr>
          <w:t>85</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8" w:history="1">
        <w:r w:rsidR="00724B14" w:rsidRPr="008E55E5">
          <w:rPr>
            <w:rStyle w:val="Hypertextovodkaz"/>
            <w:noProof/>
          </w:rPr>
          <w:t>4.3</w:t>
        </w:r>
        <w:r w:rsidR="00724B14">
          <w:rPr>
            <w:rFonts w:asciiTheme="minorHAnsi" w:eastAsiaTheme="minorEastAsia" w:hAnsiTheme="minorHAnsi" w:cstheme="minorBidi"/>
            <w:noProof/>
            <w:sz w:val="22"/>
            <w:szCs w:val="22"/>
            <w:lang w:eastAsia="cs-CZ"/>
          </w:rPr>
          <w:tab/>
        </w:r>
        <w:r w:rsidR="00724B14" w:rsidRPr="008E55E5">
          <w:rPr>
            <w:rStyle w:val="Hypertextovodkaz"/>
            <w:noProof/>
          </w:rPr>
          <w:t>Ekologické zemědělství</w:t>
        </w:r>
        <w:r w:rsidR="00724B14">
          <w:rPr>
            <w:noProof/>
            <w:webHidden/>
          </w:rPr>
          <w:tab/>
        </w:r>
        <w:r w:rsidR="00724B14">
          <w:rPr>
            <w:noProof/>
            <w:webHidden/>
          </w:rPr>
          <w:fldChar w:fldCharType="begin"/>
        </w:r>
        <w:r w:rsidR="00724B14">
          <w:rPr>
            <w:noProof/>
            <w:webHidden/>
          </w:rPr>
          <w:instrText xml:space="preserve"> PAGEREF _Toc424307038 \h </w:instrText>
        </w:r>
        <w:r w:rsidR="00724B14">
          <w:rPr>
            <w:noProof/>
            <w:webHidden/>
          </w:rPr>
        </w:r>
        <w:r w:rsidR="00724B14">
          <w:rPr>
            <w:noProof/>
            <w:webHidden/>
          </w:rPr>
          <w:fldChar w:fldCharType="separate"/>
        </w:r>
        <w:r w:rsidR="009F3AF0">
          <w:rPr>
            <w:noProof/>
            <w:webHidden/>
          </w:rPr>
          <w:t>86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39" w:history="1">
        <w:r w:rsidR="00724B14" w:rsidRPr="008E55E5">
          <w:rPr>
            <w:rStyle w:val="Hypertextovodkaz"/>
            <w:noProof/>
          </w:rPr>
          <w:t>4.4</w:t>
        </w:r>
        <w:r w:rsidR="00724B14">
          <w:rPr>
            <w:rFonts w:asciiTheme="minorHAnsi" w:eastAsiaTheme="minorEastAsia" w:hAnsiTheme="minorHAnsi" w:cstheme="minorBidi"/>
            <w:noProof/>
            <w:sz w:val="22"/>
            <w:szCs w:val="22"/>
            <w:lang w:eastAsia="cs-CZ"/>
          </w:rPr>
          <w:tab/>
        </w:r>
        <w:r w:rsidR="00724B14" w:rsidRPr="008E55E5">
          <w:rPr>
            <w:rStyle w:val="Hypertextovodkaz"/>
            <w:noProof/>
          </w:rPr>
          <w:t>Zranitelné oblasti dusíkem</w:t>
        </w:r>
        <w:r w:rsidR="00724B14">
          <w:rPr>
            <w:noProof/>
            <w:webHidden/>
          </w:rPr>
          <w:tab/>
        </w:r>
        <w:r w:rsidR="00724B14">
          <w:rPr>
            <w:noProof/>
            <w:webHidden/>
          </w:rPr>
          <w:fldChar w:fldCharType="begin"/>
        </w:r>
        <w:r w:rsidR="00724B14">
          <w:rPr>
            <w:noProof/>
            <w:webHidden/>
          </w:rPr>
          <w:instrText xml:space="preserve"> PAGEREF _Toc424307039 \h </w:instrText>
        </w:r>
        <w:r w:rsidR="00724B14">
          <w:rPr>
            <w:noProof/>
            <w:webHidden/>
          </w:rPr>
        </w:r>
        <w:r w:rsidR="00724B14">
          <w:rPr>
            <w:noProof/>
            <w:webHidden/>
          </w:rPr>
          <w:fldChar w:fldCharType="separate"/>
        </w:r>
        <w:r w:rsidR="009F3AF0">
          <w:rPr>
            <w:noProof/>
            <w:webHidden/>
          </w:rPr>
          <w:t>87</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0" w:history="1">
        <w:r w:rsidR="00724B14" w:rsidRPr="008E55E5">
          <w:rPr>
            <w:rStyle w:val="Hypertextovodkaz"/>
            <w:noProof/>
          </w:rPr>
          <w:t>4.5</w:t>
        </w:r>
        <w:r w:rsidR="00724B14">
          <w:rPr>
            <w:rFonts w:asciiTheme="minorHAnsi" w:eastAsiaTheme="minorEastAsia" w:hAnsiTheme="minorHAnsi" w:cstheme="minorBidi"/>
            <w:noProof/>
            <w:sz w:val="22"/>
            <w:szCs w:val="22"/>
            <w:lang w:eastAsia="cs-CZ"/>
          </w:rPr>
          <w:tab/>
        </w:r>
        <w:r w:rsidR="00724B14" w:rsidRPr="008E55E5">
          <w:rPr>
            <w:rStyle w:val="Hypertextovodkaz"/>
            <w:noProof/>
          </w:rPr>
          <w:t>Agrobiodiverzita a genetické zdroje významné pro výživu a zemědělství</w:t>
        </w:r>
        <w:r w:rsidR="00724B14">
          <w:rPr>
            <w:noProof/>
            <w:webHidden/>
          </w:rPr>
          <w:tab/>
        </w:r>
        <w:r w:rsidR="00724B14">
          <w:rPr>
            <w:noProof/>
            <w:webHidden/>
          </w:rPr>
          <w:fldChar w:fldCharType="begin"/>
        </w:r>
        <w:r w:rsidR="00724B14">
          <w:rPr>
            <w:noProof/>
            <w:webHidden/>
          </w:rPr>
          <w:instrText xml:space="preserve"> PAGEREF _Toc424307040 \h </w:instrText>
        </w:r>
        <w:r w:rsidR="00724B14">
          <w:rPr>
            <w:noProof/>
            <w:webHidden/>
          </w:rPr>
        </w:r>
        <w:r w:rsidR="00724B14">
          <w:rPr>
            <w:noProof/>
            <w:webHidden/>
          </w:rPr>
          <w:fldChar w:fldCharType="separate"/>
        </w:r>
        <w:r w:rsidR="009F3AF0">
          <w:rPr>
            <w:noProof/>
            <w:webHidden/>
          </w:rPr>
          <w:t>89</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41" w:history="1">
        <w:r w:rsidR="00724B14" w:rsidRPr="008E55E5">
          <w:rPr>
            <w:rStyle w:val="Hypertextovodkaz"/>
          </w:rPr>
          <w:t>5</w:t>
        </w:r>
        <w:r w:rsidR="00724B14">
          <w:rPr>
            <w:rFonts w:asciiTheme="minorHAnsi" w:eastAsiaTheme="minorEastAsia" w:hAnsiTheme="minorHAnsi" w:cstheme="minorBidi"/>
            <w:sz w:val="22"/>
            <w:szCs w:val="22"/>
            <w:lang w:eastAsia="cs-CZ"/>
          </w:rPr>
          <w:tab/>
        </w:r>
        <w:r w:rsidR="00724B14" w:rsidRPr="008E55E5">
          <w:rPr>
            <w:rStyle w:val="Hypertextovodkaz"/>
          </w:rPr>
          <w:t>Spotřeba, bezpečnost a kvalita potravin</w:t>
        </w:r>
        <w:r w:rsidR="00724B14">
          <w:rPr>
            <w:webHidden/>
          </w:rPr>
          <w:tab/>
        </w:r>
        <w:r w:rsidR="00724B14">
          <w:rPr>
            <w:webHidden/>
          </w:rPr>
          <w:fldChar w:fldCharType="begin"/>
        </w:r>
        <w:r w:rsidR="00724B14">
          <w:rPr>
            <w:webHidden/>
          </w:rPr>
          <w:instrText xml:space="preserve"> PAGEREF _Toc424307041 \h </w:instrText>
        </w:r>
        <w:r w:rsidR="00724B14">
          <w:rPr>
            <w:webHidden/>
          </w:rPr>
        </w:r>
        <w:r w:rsidR="00724B14">
          <w:rPr>
            <w:webHidden/>
          </w:rPr>
          <w:fldChar w:fldCharType="separate"/>
        </w:r>
        <w:r w:rsidR="009F3AF0">
          <w:rPr>
            <w:webHidden/>
          </w:rPr>
          <w:t>91</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2" w:history="1">
        <w:r w:rsidR="00724B14" w:rsidRPr="008E55E5">
          <w:rPr>
            <w:rStyle w:val="Hypertextovodkaz"/>
            <w:noProof/>
          </w:rPr>
          <w:t>5.1</w:t>
        </w:r>
        <w:r w:rsidR="00724B14">
          <w:rPr>
            <w:rFonts w:asciiTheme="minorHAnsi" w:eastAsiaTheme="minorEastAsia" w:hAnsiTheme="minorHAnsi" w:cstheme="minorBidi"/>
            <w:noProof/>
            <w:sz w:val="22"/>
            <w:szCs w:val="22"/>
            <w:lang w:eastAsia="cs-CZ"/>
          </w:rPr>
          <w:tab/>
        </w:r>
        <w:r w:rsidR="00724B14" w:rsidRPr="008E55E5">
          <w:rPr>
            <w:rStyle w:val="Hypertextovodkaz"/>
            <w:noProof/>
          </w:rPr>
          <w:t>Distribuce potravin</w:t>
        </w:r>
        <w:r w:rsidR="00724B14">
          <w:rPr>
            <w:noProof/>
            <w:webHidden/>
          </w:rPr>
          <w:tab/>
        </w:r>
        <w:r w:rsidR="00724B14">
          <w:rPr>
            <w:noProof/>
            <w:webHidden/>
          </w:rPr>
          <w:fldChar w:fldCharType="begin"/>
        </w:r>
        <w:r w:rsidR="00724B14">
          <w:rPr>
            <w:noProof/>
            <w:webHidden/>
          </w:rPr>
          <w:instrText xml:space="preserve"> PAGEREF _Toc424307042 \h </w:instrText>
        </w:r>
        <w:r w:rsidR="00724B14">
          <w:rPr>
            <w:noProof/>
            <w:webHidden/>
          </w:rPr>
        </w:r>
        <w:r w:rsidR="00724B14">
          <w:rPr>
            <w:noProof/>
            <w:webHidden/>
          </w:rPr>
          <w:fldChar w:fldCharType="separate"/>
        </w:r>
        <w:r w:rsidR="009F3AF0">
          <w:rPr>
            <w:noProof/>
            <w:webHidden/>
          </w:rPr>
          <w:t>92</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3" w:history="1">
        <w:r w:rsidR="00724B14" w:rsidRPr="008E55E5">
          <w:rPr>
            <w:rStyle w:val="Hypertextovodkaz"/>
            <w:noProof/>
          </w:rPr>
          <w:t>5.2</w:t>
        </w:r>
        <w:r w:rsidR="00724B14">
          <w:rPr>
            <w:rFonts w:asciiTheme="minorHAnsi" w:eastAsiaTheme="minorEastAsia" w:hAnsiTheme="minorHAnsi" w:cstheme="minorBidi"/>
            <w:noProof/>
            <w:sz w:val="22"/>
            <w:szCs w:val="22"/>
            <w:lang w:eastAsia="cs-CZ"/>
          </w:rPr>
          <w:tab/>
        </w:r>
        <w:r w:rsidR="00724B14" w:rsidRPr="008E55E5">
          <w:rPr>
            <w:rStyle w:val="Hypertextovodkaz"/>
            <w:noProof/>
          </w:rPr>
          <w:t>Spotřeba potravin</w:t>
        </w:r>
        <w:r w:rsidR="00724B14">
          <w:rPr>
            <w:noProof/>
            <w:webHidden/>
          </w:rPr>
          <w:tab/>
        </w:r>
        <w:r w:rsidR="00724B14">
          <w:rPr>
            <w:noProof/>
            <w:webHidden/>
          </w:rPr>
          <w:fldChar w:fldCharType="begin"/>
        </w:r>
        <w:r w:rsidR="00724B14">
          <w:rPr>
            <w:noProof/>
            <w:webHidden/>
          </w:rPr>
          <w:instrText xml:space="preserve"> PAGEREF _Toc424307043 \h </w:instrText>
        </w:r>
        <w:r w:rsidR="00724B14">
          <w:rPr>
            <w:noProof/>
            <w:webHidden/>
          </w:rPr>
        </w:r>
        <w:r w:rsidR="00724B14">
          <w:rPr>
            <w:noProof/>
            <w:webHidden/>
          </w:rPr>
          <w:fldChar w:fldCharType="separate"/>
        </w:r>
        <w:r w:rsidR="009F3AF0">
          <w:rPr>
            <w:noProof/>
            <w:webHidden/>
          </w:rPr>
          <w:t>95</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4" w:history="1">
        <w:r w:rsidR="00724B14" w:rsidRPr="008E55E5">
          <w:rPr>
            <w:rStyle w:val="Hypertextovodkaz"/>
            <w:noProof/>
          </w:rPr>
          <w:t>5.3</w:t>
        </w:r>
        <w:r w:rsidR="00724B14">
          <w:rPr>
            <w:rFonts w:asciiTheme="minorHAnsi" w:eastAsiaTheme="minorEastAsia" w:hAnsiTheme="minorHAnsi" w:cstheme="minorBidi"/>
            <w:noProof/>
            <w:sz w:val="22"/>
            <w:szCs w:val="22"/>
            <w:lang w:eastAsia="cs-CZ"/>
          </w:rPr>
          <w:tab/>
        </w:r>
        <w:r w:rsidR="00724B14" w:rsidRPr="008E55E5">
          <w:rPr>
            <w:rStyle w:val="Hypertextovodkaz"/>
            <w:noProof/>
          </w:rPr>
          <w:t>Výdaje za potraviny</w:t>
        </w:r>
        <w:r w:rsidR="00724B14">
          <w:rPr>
            <w:noProof/>
            <w:webHidden/>
          </w:rPr>
          <w:tab/>
        </w:r>
        <w:r w:rsidR="00724B14">
          <w:rPr>
            <w:noProof/>
            <w:webHidden/>
          </w:rPr>
          <w:fldChar w:fldCharType="begin"/>
        </w:r>
        <w:r w:rsidR="00724B14">
          <w:rPr>
            <w:noProof/>
            <w:webHidden/>
          </w:rPr>
          <w:instrText xml:space="preserve"> PAGEREF _Toc424307044 \h </w:instrText>
        </w:r>
        <w:r w:rsidR="00724B14">
          <w:rPr>
            <w:noProof/>
            <w:webHidden/>
          </w:rPr>
        </w:r>
        <w:r w:rsidR="00724B14">
          <w:rPr>
            <w:noProof/>
            <w:webHidden/>
          </w:rPr>
          <w:fldChar w:fldCharType="separate"/>
        </w:r>
        <w:r w:rsidR="009F3AF0">
          <w:rPr>
            <w:noProof/>
            <w:webHidden/>
          </w:rPr>
          <w:t>98</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5" w:history="1">
        <w:r w:rsidR="00724B14" w:rsidRPr="008E55E5">
          <w:rPr>
            <w:rStyle w:val="Hypertextovodkaz"/>
            <w:noProof/>
          </w:rPr>
          <w:t>5.4</w:t>
        </w:r>
        <w:r w:rsidR="00724B14">
          <w:rPr>
            <w:rFonts w:asciiTheme="minorHAnsi" w:eastAsiaTheme="minorEastAsia" w:hAnsiTheme="minorHAnsi" w:cstheme="minorBidi"/>
            <w:noProof/>
            <w:sz w:val="22"/>
            <w:szCs w:val="22"/>
            <w:lang w:eastAsia="cs-CZ"/>
          </w:rPr>
          <w:tab/>
        </w:r>
        <w:r w:rsidR="00724B14" w:rsidRPr="008E55E5">
          <w:rPr>
            <w:rStyle w:val="Hypertextovodkaz"/>
            <w:noProof/>
          </w:rPr>
          <w:t>Spotřebitelské ceny potravin</w:t>
        </w:r>
        <w:r w:rsidR="00724B14">
          <w:rPr>
            <w:noProof/>
            <w:webHidden/>
          </w:rPr>
          <w:tab/>
        </w:r>
        <w:r w:rsidR="00724B14">
          <w:rPr>
            <w:noProof/>
            <w:webHidden/>
          </w:rPr>
          <w:fldChar w:fldCharType="begin"/>
        </w:r>
        <w:r w:rsidR="00724B14">
          <w:rPr>
            <w:noProof/>
            <w:webHidden/>
          </w:rPr>
          <w:instrText xml:space="preserve"> PAGEREF _Toc424307045 \h </w:instrText>
        </w:r>
        <w:r w:rsidR="00724B14">
          <w:rPr>
            <w:noProof/>
            <w:webHidden/>
          </w:rPr>
        </w:r>
        <w:r w:rsidR="00724B14">
          <w:rPr>
            <w:noProof/>
            <w:webHidden/>
          </w:rPr>
          <w:fldChar w:fldCharType="separate"/>
        </w:r>
        <w:r w:rsidR="009F3AF0">
          <w:rPr>
            <w:noProof/>
            <w:webHidden/>
          </w:rPr>
          <w:t>101</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6" w:history="1">
        <w:r w:rsidR="00724B14" w:rsidRPr="008E55E5">
          <w:rPr>
            <w:rStyle w:val="Hypertextovodkaz"/>
            <w:noProof/>
          </w:rPr>
          <w:t>5.5</w:t>
        </w:r>
        <w:r w:rsidR="00724B14">
          <w:rPr>
            <w:rFonts w:asciiTheme="minorHAnsi" w:eastAsiaTheme="minorEastAsia" w:hAnsiTheme="minorHAnsi" w:cstheme="minorBidi"/>
            <w:noProof/>
            <w:sz w:val="22"/>
            <w:szCs w:val="22"/>
            <w:lang w:eastAsia="cs-CZ"/>
          </w:rPr>
          <w:tab/>
        </w:r>
        <w:r w:rsidR="00724B14" w:rsidRPr="008E55E5">
          <w:rPr>
            <w:rStyle w:val="Hypertextovodkaz"/>
            <w:noProof/>
          </w:rPr>
          <w:t>Kvalita potravin</w:t>
        </w:r>
        <w:r w:rsidR="00724B14">
          <w:rPr>
            <w:noProof/>
            <w:webHidden/>
          </w:rPr>
          <w:tab/>
        </w:r>
        <w:r w:rsidR="00724B14">
          <w:rPr>
            <w:noProof/>
            <w:webHidden/>
          </w:rPr>
          <w:fldChar w:fldCharType="begin"/>
        </w:r>
        <w:r w:rsidR="00724B14">
          <w:rPr>
            <w:noProof/>
            <w:webHidden/>
          </w:rPr>
          <w:instrText xml:space="preserve"> PAGEREF _Toc424307046 \h </w:instrText>
        </w:r>
        <w:r w:rsidR="00724B14">
          <w:rPr>
            <w:noProof/>
            <w:webHidden/>
          </w:rPr>
        </w:r>
        <w:r w:rsidR="00724B14">
          <w:rPr>
            <w:noProof/>
            <w:webHidden/>
          </w:rPr>
          <w:fldChar w:fldCharType="separate"/>
        </w:r>
        <w:r w:rsidR="009F3AF0">
          <w:rPr>
            <w:noProof/>
            <w:webHidden/>
          </w:rPr>
          <w:t>106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7" w:history="1">
        <w:r w:rsidR="00724B14" w:rsidRPr="008E55E5">
          <w:rPr>
            <w:rStyle w:val="Hypertextovodkaz"/>
            <w:noProof/>
          </w:rPr>
          <w:t>5.6</w:t>
        </w:r>
        <w:r w:rsidR="00724B14">
          <w:rPr>
            <w:rFonts w:asciiTheme="minorHAnsi" w:eastAsiaTheme="minorEastAsia" w:hAnsiTheme="minorHAnsi" w:cstheme="minorBidi"/>
            <w:noProof/>
            <w:sz w:val="22"/>
            <w:szCs w:val="22"/>
            <w:lang w:eastAsia="cs-CZ"/>
          </w:rPr>
          <w:tab/>
        </w:r>
        <w:r w:rsidR="00724B14" w:rsidRPr="008E55E5">
          <w:rPr>
            <w:rStyle w:val="Hypertextovodkaz"/>
            <w:noProof/>
          </w:rPr>
          <w:t>Bezpečnost potravin</w:t>
        </w:r>
        <w:r w:rsidR="00724B14">
          <w:rPr>
            <w:noProof/>
            <w:webHidden/>
          </w:rPr>
          <w:tab/>
        </w:r>
        <w:r w:rsidR="00724B14">
          <w:rPr>
            <w:noProof/>
            <w:webHidden/>
          </w:rPr>
          <w:fldChar w:fldCharType="begin"/>
        </w:r>
        <w:r w:rsidR="00724B14">
          <w:rPr>
            <w:noProof/>
            <w:webHidden/>
          </w:rPr>
          <w:instrText xml:space="preserve"> PAGEREF _Toc424307047 \h </w:instrText>
        </w:r>
        <w:r w:rsidR="00724B14">
          <w:rPr>
            <w:noProof/>
            <w:webHidden/>
          </w:rPr>
        </w:r>
        <w:r w:rsidR="00724B14">
          <w:rPr>
            <w:noProof/>
            <w:webHidden/>
          </w:rPr>
          <w:fldChar w:fldCharType="separate"/>
        </w:r>
        <w:r w:rsidR="009F3AF0">
          <w:rPr>
            <w:noProof/>
            <w:webHidden/>
          </w:rPr>
          <w:t>110</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48" w:history="1">
        <w:r w:rsidR="00724B14" w:rsidRPr="008E55E5">
          <w:rPr>
            <w:rStyle w:val="Hypertextovodkaz"/>
            <w:noProof/>
          </w:rPr>
          <w:t>5.7</w:t>
        </w:r>
        <w:r w:rsidR="00724B14">
          <w:rPr>
            <w:rFonts w:asciiTheme="minorHAnsi" w:eastAsiaTheme="minorEastAsia" w:hAnsiTheme="minorHAnsi" w:cstheme="minorBidi"/>
            <w:noProof/>
            <w:sz w:val="22"/>
            <w:szCs w:val="22"/>
            <w:lang w:eastAsia="cs-CZ"/>
          </w:rPr>
          <w:tab/>
        </w:r>
        <w:r w:rsidR="00724B14" w:rsidRPr="008E55E5">
          <w:rPr>
            <w:rStyle w:val="Hypertextovodkaz"/>
            <w:noProof/>
          </w:rPr>
          <w:t>Míra potravinové soběstačnosti</w:t>
        </w:r>
        <w:r w:rsidR="00724B14">
          <w:rPr>
            <w:noProof/>
            <w:webHidden/>
          </w:rPr>
          <w:tab/>
        </w:r>
        <w:r w:rsidR="00724B14">
          <w:rPr>
            <w:noProof/>
            <w:webHidden/>
          </w:rPr>
          <w:fldChar w:fldCharType="begin"/>
        </w:r>
        <w:r w:rsidR="00724B14">
          <w:rPr>
            <w:noProof/>
            <w:webHidden/>
          </w:rPr>
          <w:instrText xml:space="preserve"> PAGEREF _Toc424307048 \h </w:instrText>
        </w:r>
        <w:r w:rsidR="00724B14">
          <w:rPr>
            <w:noProof/>
            <w:webHidden/>
          </w:rPr>
        </w:r>
        <w:r w:rsidR="00724B14">
          <w:rPr>
            <w:noProof/>
            <w:webHidden/>
          </w:rPr>
          <w:fldChar w:fldCharType="separate"/>
        </w:r>
        <w:r w:rsidR="009F3AF0">
          <w:rPr>
            <w:noProof/>
            <w:webHidden/>
          </w:rPr>
          <w:t>129</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49" w:history="1">
        <w:r w:rsidR="00724B14" w:rsidRPr="008E55E5">
          <w:rPr>
            <w:rStyle w:val="Hypertextovodkaz"/>
          </w:rPr>
          <w:t>6</w:t>
        </w:r>
        <w:r w:rsidR="00724B14">
          <w:rPr>
            <w:rFonts w:asciiTheme="minorHAnsi" w:eastAsiaTheme="minorEastAsia" w:hAnsiTheme="minorHAnsi" w:cstheme="minorBidi"/>
            <w:sz w:val="22"/>
            <w:szCs w:val="22"/>
            <w:lang w:eastAsia="cs-CZ"/>
          </w:rPr>
          <w:tab/>
        </w:r>
        <w:r w:rsidR="00724B14" w:rsidRPr="008E55E5">
          <w:rPr>
            <w:rStyle w:val="Hypertextovodkaz"/>
          </w:rPr>
          <w:t>Strukturální vývoj agrárního sektoru</w:t>
        </w:r>
        <w:r w:rsidR="00724B14">
          <w:rPr>
            <w:webHidden/>
          </w:rPr>
          <w:tab/>
        </w:r>
        <w:r w:rsidR="00724B14">
          <w:rPr>
            <w:webHidden/>
          </w:rPr>
          <w:fldChar w:fldCharType="begin"/>
        </w:r>
        <w:r w:rsidR="00724B14">
          <w:rPr>
            <w:webHidden/>
          </w:rPr>
          <w:instrText xml:space="preserve"> PAGEREF _Toc424307049 \h </w:instrText>
        </w:r>
        <w:r w:rsidR="00724B14">
          <w:rPr>
            <w:webHidden/>
          </w:rPr>
        </w:r>
        <w:r w:rsidR="00724B14">
          <w:rPr>
            <w:webHidden/>
          </w:rPr>
          <w:fldChar w:fldCharType="separate"/>
        </w:r>
        <w:r w:rsidR="009F3AF0">
          <w:rPr>
            <w:webHidden/>
          </w:rPr>
          <w:t>131</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0" w:history="1">
        <w:r w:rsidR="00724B14" w:rsidRPr="008E55E5">
          <w:rPr>
            <w:rStyle w:val="Hypertextovodkaz"/>
            <w:noProof/>
          </w:rPr>
          <w:t>6.1</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Podnikatelská struktura zemědělství</w:t>
        </w:r>
        <w:r w:rsidR="00724B14">
          <w:rPr>
            <w:noProof/>
            <w:webHidden/>
          </w:rPr>
          <w:tab/>
        </w:r>
        <w:r w:rsidR="00724B14">
          <w:rPr>
            <w:noProof/>
            <w:webHidden/>
          </w:rPr>
          <w:fldChar w:fldCharType="begin"/>
        </w:r>
        <w:r w:rsidR="00724B14">
          <w:rPr>
            <w:noProof/>
            <w:webHidden/>
          </w:rPr>
          <w:instrText xml:space="preserve"> PAGEREF _Toc424307050 \h </w:instrText>
        </w:r>
        <w:r w:rsidR="00724B14">
          <w:rPr>
            <w:noProof/>
            <w:webHidden/>
          </w:rPr>
        </w:r>
        <w:r w:rsidR="00724B14">
          <w:rPr>
            <w:noProof/>
            <w:webHidden/>
          </w:rPr>
          <w:fldChar w:fldCharType="separate"/>
        </w:r>
        <w:r w:rsidR="009F3AF0">
          <w:rPr>
            <w:noProof/>
            <w:webHidden/>
          </w:rPr>
          <w:t>131</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1" w:history="1">
        <w:r w:rsidR="00724B14" w:rsidRPr="008E55E5">
          <w:rPr>
            <w:rStyle w:val="Hypertextovodkaz"/>
            <w:noProof/>
          </w:rPr>
          <w:t>6.2</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Podnikatelská struktura zpracovatelů agrárních surovin</w:t>
        </w:r>
        <w:r w:rsidR="00724B14">
          <w:rPr>
            <w:noProof/>
            <w:webHidden/>
          </w:rPr>
          <w:tab/>
        </w:r>
        <w:r w:rsidR="00724B14">
          <w:rPr>
            <w:noProof/>
            <w:webHidden/>
          </w:rPr>
          <w:fldChar w:fldCharType="begin"/>
        </w:r>
        <w:r w:rsidR="00724B14">
          <w:rPr>
            <w:noProof/>
            <w:webHidden/>
          </w:rPr>
          <w:instrText xml:space="preserve"> PAGEREF _Toc424307051 \h </w:instrText>
        </w:r>
        <w:r w:rsidR="00724B14">
          <w:rPr>
            <w:noProof/>
            <w:webHidden/>
          </w:rPr>
        </w:r>
        <w:r w:rsidR="00724B14">
          <w:rPr>
            <w:noProof/>
            <w:webHidden/>
          </w:rPr>
          <w:fldChar w:fldCharType="separate"/>
        </w:r>
        <w:r w:rsidR="009F3AF0">
          <w:rPr>
            <w:noProof/>
            <w:webHidden/>
          </w:rPr>
          <w:t>134</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2" w:history="1">
        <w:r w:rsidR="00724B14" w:rsidRPr="008E55E5">
          <w:rPr>
            <w:rStyle w:val="Hypertextovodkaz"/>
            <w:noProof/>
          </w:rPr>
          <w:t>6.3</w:t>
        </w:r>
        <w:r w:rsidR="00724B14">
          <w:rPr>
            <w:rFonts w:asciiTheme="minorHAnsi" w:eastAsiaTheme="minorEastAsia" w:hAnsiTheme="minorHAnsi" w:cstheme="minorBidi"/>
            <w:noProof/>
            <w:sz w:val="22"/>
            <w:szCs w:val="22"/>
            <w:lang w:eastAsia="cs-CZ"/>
          </w:rPr>
          <w:tab/>
        </w:r>
        <w:r w:rsidR="00724B14" w:rsidRPr="008E55E5">
          <w:rPr>
            <w:rStyle w:val="Hypertextovodkaz"/>
            <w:noProof/>
          </w:rPr>
          <w:t>Dodavatelská odvětví</w:t>
        </w:r>
        <w:r w:rsidR="00724B14">
          <w:rPr>
            <w:noProof/>
            <w:webHidden/>
          </w:rPr>
          <w:tab/>
        </w:r>
        <w:r w:rsidR="00724B14">
          <w:rPr>
            <w:noProof/>
            <w:webHidden/>
          </w:rPr>
          <w:fldChar w:fldCharType="begin"/>
        </w:r>
        <w:r w:rsidR="00724B14">
          <w:rPr>
            <w:noProof/>
            <w:webHidden/>
          </w:rPr>
          <w:instrText xml:space="preserve"> PAGEREF _Toc424307052 \h </w:instrText>
        </w:r>
        <w:r w:rsidR="00724B14">
          <w:rPr>
            <w:noProof/>
            <w:webHidden/>
          </w:rPr>
        </w:r>
        <w:r w:rsidR="00724B14">
          <w:rPr>
            <w:noProof/>
            <w:webHidden/>
          </w:rPr>
          <w:fldChar w:fldCharType="separate"/>
        </w:r>
        <w:r w:rsidR="009F3AF0">
          <w:rPr>
            <w:noProof/>
            <w:webHidden/>
          </w:rPr>
          <w:t>137</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3" w:history="1">
        <w:r w:rsidR="00724B14" w:rsidRPr="008E55E5">
          <w:rPr>
            <w:rStyle w:val="Hypertextovodkaz"/>
            <w:noProof/>
          </w:rPr>
          <w:t>6.4</w:t>
        </w:r>
        <w:r w:rsidR="00724B14">
          <w:rPr>
            <w:rFonts w:asciiTheme="minorHAnsi" w:eastAsiaTheme="minorEastAsia" w:hAnsiTheme="minorHAnsi" w:cstheme="minorBidi"/>
            <w:noProof/>
            <w:sz w:val="22"/>
            <w:szCs w:val="22"/>
            <w:lang w:eastAsia="cs-CZ"/>
          </w:rPr>
          <w:tab/>
        </w:r>
        <w:r w:rsidR="00724B14" w:rsidRPr="008E55E5">
          <w:rPr>
            <w:rStyle w:val="Hypertextovodkaz"/>
            <w:noProof/>
          </w:rPr>
          <w:t>Úvěry a pojišťovací služby</w:t>
        </w:r>
        <w:r w:rsidR="00724B14">
          <w:rPr>
            <w:noProof/>
            <w:webHidden/>
          </w:rPr>
          <w:tab/>
        </w:r>
        <w:r w:rsidR="00724B14">
          <w:rPr>
            <w:noProof/>
            <w:webHidden/>
          </w:rPr>
          <w:fldChar w:fldCharType="begin"/>
        </w:r>
        <w:r w:rsidR="00724B14">
          <w:rPr>
            <w:noProof/>
            <w:webHidden/>
          </w:rPr>
          <w:instrText xml:space="preserve"> PAGEREF _Toc424307053 \h </w:instrText>
        </w:r>
        <w:r w:rsidR="00724B14">
          <w:rPr>
            <w:noProof/>
            <w:webHidden/>
          </w:rPr>
        </w:r>
        <w:r w:rsidR="00724B14">
          <w:rPr>
            <w:noProof/>
            <w:webHidden/>
          </w:rPr>
          <w:fldChar w:fldCharType="separate"/>
        </w:r>
        <w:r w:rsidR="009F3AF0">
          <w:rPr>
            <w:noProof/>
            <w:webHidden/>
          </w:rPr>
          <w:t>146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4" w:history="1">
        <w:r w:rsidR="00724B14" w:rsidRPr="008E55E5">
          <w:rPr>
            <w:rStyle w:val="Hypertextovodkaz"/>
            <w:noProof/>
          </w:rPr>
          <w:t>6.5</w:t>
        </w:r>
        <w:r w:rsidR="00724B14">
          <w:rPr>
            <w:rFonts w:asciiTheme="minorHAnsi" w:eastAsiaTheme="minorEastAsia" w:hAnsiTheme="minorHAnsi" w:cstheme="minorBidi"/>
            <w:noProof/>
            <w:sz w:val="22"/>
            <w:szCs w:val="22"/>
            <w:lang w:eastAsia="cs-CZ"/>
          </w:rPr>
          <w:tab/>
        </w:r>
        <w:r w:rsidR="00724B14" w:rsidRPr="008E55E5">
          <w:rPr>
            <w:rStyle w:val="Hypertextovodkaz"/>
            <w:noProof/>
          </w:rPr>
          <w:t>Výzkum, vzdělávání a poradenství</w:t>
        </w:r>
        <w:r w:rsidR="00724B14">
          <w:rPr>
            <w:noProof/>
            <w:webHidden/>
          </w:rPr>
          <w:tab/>
        </w:r>
        <w:r w:rsidR="00724B14">
          <w:rPr>
            <w:noProof/>
            <w:webHidden/>
          </w:rPr>
          <w:fldChar w:fldCharType="begin"/>
        </w:r>
        <w:r w:rsidR="00724B14">
          <w:rPr>
            <w:noProof/>
            <w:webHidden/>
          </w:rPr>
          <w:instrText xml:space="preserve"> PAGEREF _Toc424307054 \h </w:instrText>
        </w:r>
        <w:r w:rsidR="00724B14">
          <w:rPr>
            <w:noProof/>
            <w:webHidden/>
          </w:rPr>
        </w:r>
        <w:r w:rsidR="00724B14">
          <w:rPr>
            <w:noProof/>
            <w:webHidden/>
          </w:rPr>
          <w:fldChar w:fldCharType="separate"/>
        </w:r>
        <w:r w:rsidR="009F3AF0">
          <w:rPr>
            <w:noProof/>
            <w:webHidden/>
          </w:rPr>
          <w:t>151</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5" w:history="1">
        <w:r w:rsidR="00724B14" w:rsidRPr="008E55E5">
          <w:rPr>
            <w:rStyle w:val="Hypertextovodkaz"/>
            <w:noProof/>
          </w:rPr>
          <w:t>6.6</w:t>
        </w:r>
        <w:r w:rsidR="00724B14">
          <w:rPr>
            <w:rFonts w:asciiTheme="minorHAnsi" w:eastAsiaTheme="minorEastAsia" w:hAnsiTheme="minorHAnsi" w:cstheme="minorBidi"/>
            <w:noProof/>
            <w:sz w:val="22"/>
            <w:szCs w:val="22"/>
            <w:lang w:eastAsia="cs-CZ"/>
          </w:rPr>
          <w:tab/>
        </w:r>
        <w:r w:rsidR="00724B14" w:rsidRPr="008E55E5">
          <w:rPr>
            <w:rStyle w:val="Hypertextovodkaz"/>
            <w:noProof/>
          </w:rPr>
          <w:t>Organizace prvovýrobců, zpracovatelů a zájmové organizace na agrárním trhu</w:t>
        </w:r>
        <w:r w:rsidR="00724B14">
          <w:rPr>
            <w:noProof/>
            <w:webHidden/>
          </w:rPr>
          <w:tab/>
        </w:r>
        <w:r w:rsidR="00724B14">
          <w:rPr>
            <w:noProof/>
            <w:webHidden/>
          </w:rPr>
          <w:fldChar w:fldCharType="begin"/>
        </w:r>
        <w:r w:rsidR="00724B14">
          <w:rPr>
            <w:noProof/>
            <w:webHidden/>
          </w:rPr>
          <w:instrText xml:space="preserve"> PAGEREF _Toc424307055 \h </w:instrText>
        </w:r>
        <w:r w:rsidR="00724B14">
          <w:rPr>
            <w:noProof/>
            <w:webHidden/>
          </w:rPr>
        </w:r>
        <w:r w:rsidR="00724B14">
          <w:rPr>
            <w:noProof/>
            <w:webHidden/>
          </w:rPr>
          <w:fldChar w:fldCharType="separate"/>
        </w:r>
        <w:r w:rsidR="009F3AF0">
          <w:rPr>
            <w:noProof/>
            <w:webHidden/>
          </w:rPr>
          <w:t>156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56" w:history="1">
        <w:r w:rsidR="00724B14" w:rsidRPr="008E55E5">
          <w:rPr>
            <w:rStyle w:val="Hypertextovodkaz"/>
            <w:noProof/>
          </w:rPr>
          <w:t>6.7</w:t>
        </w:r>
        <w:r w:rsidR="00724B14">
          <w:rPr>
            <w:rFonts w:asciiTheme="minorHAnsi" w:eastAsiaTheme="minorEastAsia" w:hAnsiTheme="minorHAnsi" w:cstheme="minorBidi"/>
            <w:noProof/>
            <w:sz w:val="22"/>
            <w:szCs w:val="22"/>
            <w:lang w:eastAsia="cs-CZ"/>
          </w:rPr>
          <w:tab/>
        </w:r>
        <w:r w:rsidR="00724B14" w:rsidRPr="008E55E5">
          <w:rPr>
            <w:rStyle w:val="Hypertextovodkaz"/>
            <w:noProof/>
          </w:rPr>
          <w:t>Agrární trh práce</w:t>
        </w:r>
        <w:r w:rsidR="00724B14">
          <w:rPr>
            <w:noProof/>
            <w:webHidden/>
          </w:rPr>
          <w:tab/>
        </w:r>
        <w:r w:rsidR="00724B14">
          <w:rPr>
            <w:noProof/>
            <w:webHidden/>
          </w:rPr>
          <w:fldChar w:fldCharType="begin"/>
        </w:r>
        <w:r w:rsidR="00724B14">
          <w:rPr>
            <w:noProof/>
            <w:webHidden/>
          </w:rPr>
          <w:instrText xml:space="preserve"> PAGEREF _Toc424307056 \h </w:instrText>
        </w:r>
        <w:r w:rsidR="00724B14">
          <w:rPr>
            <w:noProof/>
            <w:webHidden/>
          </w:rPr>
        </w:r>
        <w:r w:rsidR="00724B14">
          <w:rPr>
            <w:noProof/>
            <w:webHidden/>
          </w:rPr>
          <w:fldChar w:fldCharType="separate"/>
        </w:r>
        <w:r w:rsidR="009F3AF0">
          <w:rPr>
            <w:noProof/>
            <w:webHidden/>
          </w:rPr>
          <w:t>160</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57" w:history="1">
        <w:r w:rsidR="00724B14" w:rsidRPr="008E55E5">
          <w:rPr>
            <w:rStyle w:val="Hypertextovodkaz"/>
            <w:noProof/>
          </w:rPr>
          <w:t>6.7.1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Pracovní síly v zemědělství</w:t>
        </w:r>
        <w:r w:rsidR="00724B14">
          <w:rPr>
            <w:noProof/>
            <w:webHidden/>
          </w:rPr>
          <w:tab/>
        </w:r>
        <w:r w:rsidR="00724B14">
          <w:rPr>
            <w:noProof/>
            <w:webHidden/>
          </w:rPr>
          <w:fldChar w:fldCharType="begin"/>
        </w:r>
        <w:r w:rsidR="00724B14">
          <w:rPr>
            <w:noProof/>
            <w:webHidden/>
          </w:rPr>
          <w:instrText xml:space="preserve"> PAGEREF _Toc424307057 \h </w:instrText>
        </w:r>
        <w:r w:rsidR="00724B14">
          <w:rPr>
            <w:noProof/>
            <w:webHidden/>
          </w:rPr>
        </w:r>
        <w:r w:rsidR="00724B14">
          <w:rPr>
            <w:noProof/>
            <w:webHidden/>
          </w:rPr>
          <w:fldChar w:fldCharType="separate"/>
        </w:r>
        <w:r w:rsidR="009F3AF0">
          <w:rPr>
            <w:noProof/>
            <w:webHidden/>
          </w:rPr>
          <w:t>160</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58" w:history="1">
        <w:r w:rsidR="00724B14" w:rsidRPr="008E55E5">
          <w:rPr>
            <w:rStyle w:val="Hypertextovodkaz"/>
            <w:noProof/>
          </w:rPr>
          <w:t>6.7.2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Mzdy zemědělců</w:t>
        </w:r>
        <w:r w:rsidR="00724B14">
          <w:rPr>
            <w:noProof/>
            <w:webHidden/>
          </w:rPr>
          <w:tab/>
        </w:r>
        <w:r w:rsidR="00724B14">
          <w:rPr>
            <w:noProof/>
            <w:webHidden/>
          </w:rPr>
          <w:fldChar w:fldCharType="begin"/>
        </w:r>
        <w:r w:rsidR="00724B14">
          <w:rPr>
            <w:noProof/>
            <w:webHidden/>
          </w:rPr>
          <w:instrText xml:space="preserve"> PAGEREF _Toc424307058 \h </w:instrText>
        </w:r>
        <w:r w:rsidR="00724B14">
          <w:rPr>
            <w:noProof/>
            <w:webHidden/>
          </w:rPr>
        </w:r>
        <w:r w:rsidR="00724B14">
          <w:rPr>
            <w:noProof/>
            <w:webHidden/>
          </w:rPr>
          <w:fldChar w:fldCharType="separate"/>
        </w:r>
        <w:r w:rsidR="009F3AF0">
          <w:rPr>
            <w:noProof/>
            <w:webHidden/>
          </w:rPr>
          <w:t>164</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59" w:history="1">
        <w:r w:rsidR="00724B14" w:rsidRPr="008E55E5">
          <w:rPr>
            <w:rStyle w:val="Hypertextovodkaz"/>
          </w:rPr>
          <w:t>7</w:t>
        </w:r>
        <w:r w:rsidR="00724B14">
          <w:rPr>
            <w:rFonts w:asciiTheme="minorHAnsi" w:eastAsiaTheme="minorEastAsia" w:hAnsiTheme="minorHAnsi" w:cstheme="minorBidi"/>
            <w:sz w:val="22"/>
            <w:szCs w:val="22"/>
            <w:lang w:eastAsia="cs-CZ"/>
          </w:rPr>
          <w:tab/>
        </w:r>
        <w:r w:rsidR="00724B14" w:rsidRPr="008E55E5">
          <w:rPr>
            <w:rStyle w:val="Hypertextovodkaz"/>
          </w:rPr>
          <w:t>Půda a vlastnické vztahy k půdě</w:t>
        </w:r>
        <w:r w:rsidR="00724B14">
          <w:rPr>
            <w:webHidden/>
          </w:rPr>
          <w:tab/>
        </w:r>
        <w:r w:rsidR="00724B14">
          <w:rPr>
            <w:webHidden/>
          </w:rPr>
          <w:fldChar w:fldCharType="begin"/>
        </w:r>
        <w:r w:rsidR="00724B14">
          <w:rPr>
            <w:webHidden/>
          </w:rPr>
          <w:instrText xml:space="preserve"> PAGEREF _Toc424307059 \h </w:instrText>
        </w:r>
        <w:r w:rsidR="00724B14">
          <w:rPr>
            <w:webHidden/>
          </w:rPr>
        </w:r>
        <w:r w:rsidR="00724B14">
          <w:rPr>
            <w:webHidden/>
          </w:rPr>
          <w:fldChar w:fldCharType="separate"/>
        </w:r>
        <w:r w:rsidR="009F3AF0">
          <w:rPr>
            <w:webHidden/>
          </w:rPr>
          <w:t>165</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60" w:history="1">
        <w:r w:rsidR="00724B14" w:rsidRPr="008E55E5">
          <w:rPr>
            <w:rStyle w:val="Hypertextovodkaz"/>
            <w:noProof/>
          </w:rPr>
          <w:t>7.1</w:t>
        </w:r>
        <w:r w:rsidR="00724B14">
          <w:rPr>
            <w:rFonts w:asciiTheme="minorHAnsi" w:eastAsiaTheme="minorEastAsia" w:hAnsiTheme="minorHAnsi" w:cstheme="minorBidi"/>
            <w:noProof/>
            <w:sz w:val="22"/>
            <w:szCs w:val="22"/>
            <w:lang w:eastAsia="cs-CZ"/>
          </w:rPr>
          <w:tab/>
        </w:r>
        <w:r w:rsidR="00724B14" w:rsidRPr="008E55E5">
          <w:rPr>
            <w:rStyle w:val="Hypertextovodkaz"/>
            <w:noProof/>
          </w:rPr>
          <w:t>Pozemkové úpravy</w:t>
        </w:r>
        <w:r w:rsidR="00724B14">
          <w:rPr>
            <w:noProof/>
            <w:webHidden/>
          </w:rPr>
          <w:tab/>
        </w:r>
        <w:r w:rsidR="00724B14">
          <w:rPr>
            <w:noProof/>
            <w:webHidden/>
          </w:rPr>
          <w:fldChar w:fldCharType="begin"/>
        </w:r>
        <w:r w:rsidR="00724B14">
          <w:rPr>
            <w:noProof/>
            <w:webHidden/>
          </w:rPr>
          <w:instrText xml:space="preserve"> PAGEREF _Toc424307060 \h </w:instrText>
        </w:r>
        <w:r w:rsidR="00724B14">
          <w:rPr>
            <w:noProof/>
            <w:webHidden/>
          </w:rPr>
        </w:r>
        <w:r w:rsidR="00724B14">
          <w:rPr>
            <w:noProof/>
            <w:webHidden/>
          </w:rPr>
          <w:fldChar w:fldCharType="separate"/>
        </w:r>
        <w:r w:rsidR="009F3AF0">
          <w:rPr>
            <w:noProof/>
            <w:webHidden/>
          </w:rPr>
          <w:t>165</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61" w:history="1">
        <w:r w:rsidR="00724B14" w:rsidRPr="008E55E5">
          <w:rPr>
            <w:rStyle w:val="Hypertextovodkaz"/>
            <w:noProof/>
          </w:rPr>
          <w:t>7.2</w:t>
        </w:r>
        <w:r w:rsidR="00724B14">
          <w:rPr>
            <w:rFonts w:asciiTheme="minorHAnsi" w:eastAsiaTheme="minorEastAsia" w:hAnsiTheme="minorHAnsi" w:cstheme="minorBidi"/>
            <w:noProof/>
            <w:sz w:val="22"/>
            <w:szCs w:val="22"/>
            <w:lang w:eastAsia="cs-CZ"/>
          </w:rPr>
          <w:tab/>
        </w:r>
        <w:r w:rsidR="00724B14" w:rsidRPr="008E55E5">
          <w:rPr>
            <w:rStyle w:val="Hypertextovodkaz"/>
            <w:noProof/>
          </w:rPr>
          <w:t>Trh s půdou</w:t>
        </w:r>
        <w:r w:rsidR="00724B14">
          <w:rPr>
            <w:noProof/>
            <w:webHidden/>
          </w:rPr>
          <w:tab/>
        </w:r>
        <w:r w:rsidR="00724B14">
          <w:rPr>
            <w:noProof/>
            <w:webHidden/>
          </w:rPr>
          <w:fldChar w:fldCharType="begin"/>
        </w:r>
        <w:r w:rsidR="00724B14">
          <w:rPr>
            <w:noProof/>
            <w:webHidden/>
          </w:rPr>
          <w:instrText xml:space="preserve"> PAGEREF _Toc424307061 \h </w:instrText>
        </w:r>
        <w:r w:rsidR="00724B14">
          <w:rPr>
            <w:noProof/>
            <w:webHidden/>
          </w:rPr>
        </w:r>
        <w:r w:rsidR="00724B14">
          <w:rPr>
            <w:noProof/>
            <w:webHidden/>
          </w:rPr>
          <w:fldChar w:fldCharType="separate"/>
        </w:r>
        <w:r w:rsidR="009F3AF0">
          <w:rPr>
            <w:noProof/>
            <w:webHidden/>
          </w:rPr>
          <w:t>168</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62" w:history="1">
        <w:r w:rsidR="00724B14" w:rsidRPr="008E55E5">
          <w:rPr>
            <w:rStyle w:val="Hypertextovodkaz"/>
            <w:noProof/>
          </w:rPr>
          <w:t>7.3</w:t>
        </w:r>
        <w:r w:rsidR="00724B14">
          <w:rPr>
            <w:rFonts w:asciiTheme="minorHAnsi" w:eastAsiaTheme="minorEastAsia" w:hAnsiTheme="minorHAnsi" w:cstheme="minorBidi"/>
            <w:noProof/>
            <w:sz w:val="22"/>
            <w:szCs w:val="22"/>
            <w:lang w:eastAsia="cs-CZ"/>
          </w:rPr>
          <w:tab/>
        </w:r>
        <w:r w:rsidR="00724B14" w:rsidRPr="008E55E5">
          <w:rPr>
            <w:rStyle w:val="Hypertextovodkaz"/>
            <w:noProof/>
          </w:rPr>
          <w:t>Státní pozemkový úřad, privatizace a restituce majetku a půdy</w:t>
        </w:r>
        <w:r w:rsidR="00724B14">
          <w:rPr>
            <w:noProof/>
            <w:webHidden/>
          </w:rPr>
          <w:tab/>
        </w:r>
        <w:r w:rsidR="00724B14">
          <w:rPr>
            <w:noProof/>
            <w:webHidden/>
          </w:rPr>
          <w:fldChar w:fldCharType="begin"/>
        </w:r>
        <w:r w:rsidR="00724B14">
          <w:rPr>
            <w:noProof/>
            <w:webHidden/>
          </w:rPr>
          <w:instrText xml:space="preserve"> PAGEREF _Toc424307062 \h </w:instrText>
        </w:r>
        <w:r w:rsidR="00724B14">
          <w:rPr>
            <w:noProof/>
            <w:webHidden/>
          </w:rPr>
        </w:r>
        <w:r w:rsidR="00724B14">
          <w:rPr>
            <w:noProof/>
            <w:webHidden/>
          </w:rPr>
          <w:fldChar w:fldCharType="separate"/>
        </w:r>
        <w:r w:rsidR="009F3AF0">
          <w:rPr>
            <w:noProof/>
            <w:webHidden/>
          </w:rPr>
          <w:t>172</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63" w:history="1">
        <w:r w:rsidR="00724B14" w:rsidRPr="008E55E5">
          <w:rPr>
            <w:rStyle w:val="Hypertextovodkaz"/>
            <w:noProof/>
          </w:rPr>
          <w:t>7.4</w:t>
        </w:r>
        <w:r w:rsidR="00724B14">
          <w:rPr>
            <w:rFonts w:asciiTheme="minorHAnsi" w:eastAsiaTheme="minorEastAsia" w:hAnsiTheme="minorHAnsi" w:cstheme="minorBidi"/>
            <w:noProof/>
            <w:sz w:val="22"/>
            <w:szCs w:val="22"/>
            <w:lang w:eastAsia="cs-CZ"/>
          </w:rPr>
          <w:tab/>
        </w:r>
        <w:r w:rsidR="00724B14" w:rsidRPr="008E55E5">
          <w:rPr>
            <w:rStyle w:val="Hypertextovodkaz"/>
            <w:noProof/>
          </w:rPr>
          <w:t>Využití a stav zemědělského půdního fondu</w:t>
        </w:r>
        <w:r w:rsidR="00724B14">
          <w:rPr>
            <w:noProof/>
            <w:webHidden/>
          </w:rPr>
          <w:tab/>
        </w:r>
        <w:r w:rsidR="00724B14">
          <w:rPr>
            <w:noProof/>
            <w:webHidden/>
          </w:rPr>
          <w:fldChar w:fldCharType="begin"/>
        </w:r>
        <w:r w:rsidR="00724B14">
          <w:rPr>
            <w:noProof/>
            <w:webHidden/>
          </w:rPr>
          <w:instrText xml:space="preserve"> PAGEREF _Toc424307063 \h </w:instrText>
        </w:r>
        <w:r w:rsidR="00724B14">
          <w:rPr>
            <w:noProof/>
            <w:webHidden/>
          </w:rPr>
        </w:r>
        <w:r w:rsidR="00724B14">
          <w:rPr>
            <w:noProof/>
            <w:webHidden/>
          </w:rPr>
          <w:fldChar w:fldCharType="separate"/>
        </w:r>
        <w:r w:rsidR="009F3AF0">
          <w:rPr>
            <w:noProof/>
            <w:webHidden/>
          </w:rPr>
          <w:t>175</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64" w:history="1">
        <w:r w:rsidR="00724B14" w:rsidRPr="008E55E5">
          <w:rPr>
            <w:rStyle w:val="Hypertextovodkaz"/>
            <w:noProof/>
          </w:rPr>
          <w:t>7.4.1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Vývoj výměry zemědělského půdního fondu ČR a struktury jeho užití</w:t>
        </w:r>
        <w:r w:rsidR="00724B14">
          <w:rPr>
            <w:noProof/>
            <w:webHidden/>
          </w:rPr>
          <w:tab/>
        </w:r>
        <w:r w:rsidR="00724B14">
          <w:rPr>
            <w:noProof/>
            <w:webHidden/>
          </w:rPr>
          <w:fldChar w:fldCharType="begin"/>
        </w:r>
        <w:r w:rsidR="00724B14">
          <w:rPr>
            <w:noProof/>
            <w:webHidden/>
          </w:rPr>
          <w:instrText xml:space="preserve"> PAGEREF _Toc424307064 \h </w:instrText>
        </w:r>
        <w:r w:rsidR="00724B14">
          <w:rPr>
            <w:noProof/>
            <w:webHidden/>
          </w:rPr>
        </w:r>
        <w:r w:rsidR="00724B14">
          <w:rPr>
            <w:noProof/>
            <w:webHidden/>
          </w:rPr>
          <w:fldChar w:fldCharType="separate"/>
        </w:r>
        <w:r w:rsidR="009F3AF0">
          <w:rPr>
            <w:noProof/>
            <w:webHidden/>
          </w:rPr>
          <w:t>175</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65" w:history="1">
        <w:r w:rsidR="00724B14" w:rsidRPr="008E55E5">
          <w:rPr>
            <w:rStyle w:val="Hypertextovodkaz"/>
            <w:noProof/>
          </w:rPr>
          <w:t>7.4.2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Stav zemědělské půdy a jeho dopady do konkurenceschopnosti českého zemědělství</w:t>
        </w:r>
        <w:r w:rsidR="00724B14">
          <w:rPr>
            <w:noProof/>
            <w:webHidden/>
          </w:rPr>
          <w:tab/>
        </w:r>
        <w:r w:rsidR="00724B14">
          <w:rPr>
            <w:noProof/>
            <w:webHidden/>
          </w:rPr>
          <w:fldChar w:fldCharType="begin"/>
        </w:r>
        <w:r w:rsidR="00724B14">
          <w:rPr>
            <w:noProof/>
            <w:webHidden/>
          </w:rPr>
          <w:instrText xml:space="preserve"> PAGEREF _Toc424307065 \h </w:instrText>
        </w:r>
        <w:r w:rsidR="00724B14">
          <w:rPr>
            <w:noProof/>
            <w:webHidden/>
          </w:rPr>
        </w:r>
        <w:r w:rsidR="00724B14">
          <w:rPr>
            <w:noProof/>
            <w:webHidden/>
          </w:rPr>
          <w:fldChar w:fldCharType="separate"/>
        </w:r>
        <w:r w:rsidR="009F3AF0">
          <w:rPr>
            <w:noProof/>
            <w:webHidden/>
          </w:rPr>
          <w:t>179</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66" w:history="1">
        <w:r w:rsidR="00724B14" w:rsidRPr="008E55E5">
          <w:rPr>
            <w:rStyle w:val="Hypertextovodkaz"/>
          </w:rPr>
          <w:t>8</w:t>
        </w:r>
        <w:r w:rsidR="00724B14">
          <w:rPr>
            <w:rFonts w:asciiTheme="minorHAnsi" w:eastAsiaTheme="minorEastAsia" w:hAnsiTheme="minorHAnsi" w:cstheme="minorBidi"/>
            <w:sz w:val="22"/>
            <w:szCs w:val="22"/>
            <w:lang w:eastAsia="cs-CZ"/>
          </w:rPr>
          <w:tab/>
        </w:r>
        <w:r w:rsidR="00724B14" w:rsidRPr="008E55E5">
          <w:rPr>
            <w:rStyle w:val="Hypertextovodkaz"/>
          </w:rPr>
          <w:t>AGRÁRNÍ PRODUKCE A JEJÍ BILANCE</w:t>
        </w:r>
        <w:r w:rsidR="00724B14">
          <w:rPr>
            <w:webHidden/>
          </w:rPr>
          <w:tab/>
        </w:r>
        <w:r w:rsidR="00724B14">
          <w:rPr>
            <w:webHidden/>
          </w:rPr>
          <w:fldChar w:fldCharType="begin"/>
        </w:r>
        <w:r w:rsidR="00724B14">
          <w:rPr>
            <w:webHidden/>
          </w:rPr>
          <w:instrText xml:space="preserve"> PAGEREF _Toc424307066 \h </w:instrText>
        </w:r>
        <w:r w:rsidR="00724B14">
          <w:rPr>
            <w:webHidden/>
          </w:rPr>
        </w:r>
        <w:r w:rsidR="00724B14">
          <w:rPr>
            <w:webHidden/>
          </w:rPr>
          <w:fldChar w:fldCharType="separate"/>
        </w:r>
        <w:r w:rsidR="009F3AF0">
          <w:rPr>
            <w:webHidden/>
          </w:rPr>
          <w:t>187</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67" w:history="1">
        <w:r w:rsidR="00724B14" w:rsidRPr="008E55E5">
          <w:rPr>
            <w:rStyle w:val="Hypertextovodkaz"/>
            <w:noProof/>
          </w:rPr>
          <w:t>8.1</w:t>
        </w:r>
        <w:r w:rsidR="00724B14">
          <w:rPr>
            <w:rFonts w:asciiTheme="minorHAnsi" w:eastAsiaTheme="minorEastAsia" w:hAnsiTheme="minorHAnsi" w:cstheme="minorBidi"/>
            <w:noProof/>
            <w:sz w:val="22"/>
            <w:szCs w:val="22"/>
            <w:lang w:eastAsia="cs-CZ"/>
          </w:rPr>
          <w:tab/>
        </w:r>
        <w:r w:rsidR="00724B14" w:rsidRPr="008E55E5">
          <w:rPr>
            <w:rStyle w:val="Hypertextovodkaz"/>
            <w:noProof/>
          </w:rPr>
          <w:t>Rostlinná produkce celkem a podle rozhodujících komodit</w:t>
        </w:r>
        <w:r w:rsidR="00724B14">
          <w:rPr>
            <w:noProof/>
            <w:webHidden/>
          </w:rPr>
          <w:tab/>
        </w:r>
        <w:r w:rsidR="00724B14">
          <w:rPr>
            <w:noProof/>
            <w:webHidden/>
          </w:rPr>
          <w:fldChar w:fldCharType="begin"/>
        </w:r>
        <w:r w:rsidR="00724B14">
          <w:rPr>
            <w:noProof/>
            <w:webHidden/>
          </w:rPr>
          <w:instrText xml:space="preserve"> PAGEREF _Toc424307067 \h </w:instrText>
        </w:r>
        <w:r w:rsidR="00724B14">
          <w:rPr>
            <w:noProof/>
            <w:webHidden/>
          </w:rPr>
        </w:r>
        <w:r w:rsidR="00724B14">
          <w:rPr>
            <w:noProof/>
            <w:webHidden/>
          </w:rPr>
          <w:fldChar w:fldCharType="separate"/>
        </w:r>
        <w:r w:rsidR="009F3AF0">
          <w:rPr>
            <w:noProof/>
            <w:webHidden/>
          </w:rPr>
          <w:t>188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68" w:history="1">
        <w:r w:rsidR="00724B14" w:rsidRPr="008E55E5">
          <w:rPr>
            <w:rStyle w:val="Hypertextovodkaz"/>
            <w:noProof/>
          </w:rPr>
          <w:t>8.1.1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Obiloviny</w:t>
        </w:r>
        <w:r w:rsidR="00724B14">
          <w:rPr>
            <w:noProof/>
            <w:webHidden/>
          </w:rPr>
          <w:tab/>
        </w:r>
        <w:r w:rsidR="00724B14">
          <w:rPr>
            <w:noProof/>
            <w:webHidden/>
          </w:rPr>
          <w:fldChar w:fldCharType="begin"/>
        </w:r>
        <w:r w:rsidR="00724B14">
          <w:rPr>
            <w:noProof/>
            <w:webHidden/>
          </w:rPr>
          <w:instrText xml:space="preserve"> PAGEREF _Toc424307068 \h </w:instrText>
        </w:r>
        <w:r w:rsidR="00724B14">
          <w:rPr>
            <w:noProof/>
            <w:webHidden/>
          </w:rPr>
        </w:r>
        <w:r w:rsidR="00724B14">
          <w:rPr>
            <w:noProof/>
            <w:webHidden/>
          </w:rPr>
          <w:fldChar w:fldCharType="separate"/>
        </w:r>
        <w:r w:rsidR="009F3AF0">
          <w:rPr>
            <w:noProof/>
            <w:webHidden/>
          </w:rPr>
          <w:t>188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69" w:history="1">
        <w:r w:rsidR="00724B14" w:rsidRPr="008E55E5">
          <w:rPr>
            <w:rStyle w:val="Hypertextovodkaz"/>
            <w:noProof/>
          </w:rPr>
          <w:t>8.1.2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Cukrová řepa – cukr</w:t>
        </w:r>
        <w:r w:rsidR="00724B14">
          <w:rPr>
            <w:noProof/>
            <w:webHidden/>
          </w:rPr>
          <w:tab/>
        </w:r>
        <w:r w:rsidR="00724B14">
          <w:rPr>
            <w:noProof/>
            <w:webHidden/>
          </w:rPr>
          <w:fldChar w:fldCharType="begin"/>
        </w:r>
        <w:r w:rsidR="00724B14">
          <w:rPr>
            <w:noProof/>
            <w:webHidden/>
          </w:rPr>
          <w:instrText xml:space="preserve"> PAGEREF _Toc424307069 \h </w:instrText>
        </w:r>
        <w:r w:rsidR="00724B14">
          <w:rPr>
            <w:noProof/>
            <w:webHidden/>
          </w:rPr>
        </w:r>
        <w:r w:rsidR="00724B14">
          <w:rPr>
            <w:noProof/>
            <w:webHidden/>
          </w:rPr>
          <w:fldChar w:fldCharType="separate"/>
        </w:r>
        <w:r w:rsidR="009F3AF0">
          <w:rPr>
            <w:noProof/>
            <w:webHidden/>
          </w:rPr>
          <w:t>197</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0" w:history="1">
        <w:r w:rsidR="00724B14" w:rsidRPr="008E55E5">
          <w:rPr>
            <w:rStyle w:val="Hypertextovodkaz"/>
            <w:noProof/>
          </w:rPr>
          <w:t>8.1.3</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Brambory a bramborový škrob</w:t>
        </w:r>
        <w:r w:rsidR="00724B14">
          <w:rPr>
            <w:noProof/>
            <w:webHidden/>
          </w:rPr>
          <w:tab/>
        </w:r>
        <w:r w:rsidR="00724B14">
          <w:rPr>
            <w:noProof/>
            <w:webHidden/>
          </w:rPr>
          <w:fldChar w:fldCharType="begin"/>
        </w:r>
        <w:r w:rsidR="00724B14">
          <w:rPr>
            <w:noProof/>
            <w:webHidden/>
          </w:rPr>
          <w:instrText xml:space="preserve"> PAGEREF _Toc424307070 \h </w:instrText>
        </w:r>
        <w:r w:rsidR="00724B14">
          <w:rPr>
            <w:noProof/>
            <w:webHidden/>
          </w:rPr>
        </w:r>
        <w:r w:rsidR="00724B14">
          <w:rPr>
            <w:noProof/>
            <w:webHidden/>
          </w:rPr>
          <w:fldChar w:fldCharType="separate"/>
        </w:r>
        <w:r w:rsidR="009F3AF0">
          <w:rPr>
            <w:noProof/>
            <w:webHidden/>
          </w:rPr>
          <w:t>204</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1" w:history="1">
        <w:r w:rsidR="00724B14" w:rsidRPr="008E55E5">
          <w:rPr>
            <w:rStyle w:val="Hypertextovodkaz"/>
            <w:noProof/>
          </w:rPr>
          <w:t>8.1.4</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Olejniny</w:t>
        </w:r>
        <w:r w:rsidR="00724B14">
          <w:rPr>
            <w:noProof/>
            <w:webHidden/>
          </w:rPr>
          <w:tab/>
        </w:r>
        <w:r w:rsidR="00724B14">
          <w:rPr>
            <w:noProof/>
            <w:webHidden/>
          </w:rPr>
          <w:fldChar w:fldCharType="begin"/>
        </w:r>
        <w:r w:rsidR="00724B14">
          <w:rPr>
            <w:noProof/>
            <w:webHidden/>
          </w:rPr>
          <w:instrText xml:space="preserve"> PAGEREF _Toc424307071 \h </w:instrText>
        </w:r>
        <w:r w:rsidR="00724B14">
          <w:rPr>
            <w:noProof/>
            <w:webHidden/>
          </w:rPr>
        </w:r>
        <w:r w:rsidR="00724B14">
          <w:rPr>
            <w:noProof/>
            <w:webHidden/>
          </w:rPr>
          <w:fldChar w:fldCharType="separate"/>
        </w:r>
        <w:r w:rsidR="009F3AF0">
          <w:rPr>
            <w:noProof/>
            <w:webHidden/>
          </w:rPr>
          <w:t>208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2" w:history="1">
        <w:r w:rsidR="00724B14" w:rsidRPr="008E55E5">
          <w:rPr>
            <w:rStyle w:val="Hypertextovodkaz"/>
            <w:noProof/>
          </w:rPr>
          <w:t>8.1.5</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Chmel</w:t>
        </w:r>
        <w:r w:rsidR="00724B14">
          <w:rPr>
            <w:noProof/>
            <w:webHidden/>
          </w:rPr>
          <w:tab/>
        </w:r>
        <w:r w:rsidR="00724B14">
          <w:rPr>
            <w:noProof/>
            <w:webHidden/>
          </w:rPr>
          <w:fldChar w:fldCharType="begin"/>
        </w:r>
        <w:r w:rsidR="00724B14">
          <w:rPr>
            <w:noProof/>
            <w:webHidden/>
          </w:rPr>
          <w:instrText xml:space="preserve"> PAGEREF _Toc424307072 \h </w:instrText>
        </w:r>
        <w:r w:rsidR="00724B14">
          <w:rPr>
            <w:noProof/>
            <w:webHidden/>
          </w:rPr>
        </w:r>
        <w:r w:rsidR="00724B14">
          <w:rPr>
            <w:noProof/>
            <w:webHidden/>
          </w:rPr>
          <w:fldChar w:fldCharType="separate"/>
        </w:r>
        <w:r w:rsidR="009F3AF0">
          <w:rPr>
            <w:noProof/>
            <w:webHidden/>
          </w:rPr>
          <w:t>211</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3" w:history="1">
        <w:r w:rsidR="00724B14" w:rsidRPr="008E55E5">
          <w:rPr>
            <w:rStyle w:val="Hypertextovodkaz"/>
            <w:noProof/>
          </w:rPr>
          <w:t>8.1.6</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Ovoce</w:t>
        </w:r>
        <w:r w:rsidR="00724B14">
          <w:rPr>
            <w:noProof/>
            <w:webHidden/>
          </w:rPr>
          <w:tab/>
        </w:r>
        <w:r w:rsidR="00724B14">
          <w:rPr>
            <w:noProof/>
            <w:webHidden/>
          </w:rPr>
          <w:fldChar w:fldCharType="begin"/>
        </w:r>
        <w:r w:rsidR="00724B14">
          <w:rPr>
            <w:noProof/>
            <w:webHidden/>
          </w:rPr>
          <w:instrText xml:space="preserve"> PAGEREF _Toc424307073 \h </w:instrText>
        </w:r>
        <w:r w:rsidR="00724B14">
          <w:rPr>
            <w:noProof/>
            <w:webHidden/>
          </w:rPr>
        </w:r>
        <w:r w:rsidR="00724B14">
          <w:rPr>
            <w:noProof/>
            <w:webHidden/>
          </w:rPr>
          <w:fldChar w:fldCharType="separate"/>
        </w:r>
        <w:r w:rsidR="009F3AF0">
          <w:rPr>
            <w:noProof/>
            <w:webHidden/>
          </w:rPr>
          <w:t>214</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4" w:history="1">
        <w:r w:rsidR="00724B14" w:rsidRPr="008E55E5">
          <w:rPr>
            <w:rStyle w:val="Hypertextovodkaz"/>
            <w:noProof/>
          </w:rPr>
          <w:t>8.1.7</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Zelenina</w:t>
        </w:r>
        <w:r w:rsidR="00724B14">
          <w:rPr>
            <w:noProof/>
            <w:webHidden/>
          </w:rPr>
          <w:tab/>
        </w:r>
        <w:r w:rsidR="00724B14">
          <w:rPr>
            <w:noProof/>
            <w:webHidden/>
          </w:rPr>
          <w:fldChar w:fldCharType="begin"/>
        </w:r>
        <w:r w:rsidR="00724B14">
          <w:rPr>
            <w:noProof/>
            <w:webHidden/>
          </w:rPr>
          <w:instrText xml:space="preserve"> PAGEREF _Toc424307074 \h </w:instrText>
        </w:r>
        <w:r w:rsidR="00724B14">
          <w:rPr>
            <w:noProof/>
            <w:webHidden/>
          </w:rPr>
        </w:r>
        <w:r w:rsidR="00724B14">
          <w:rPr>
            <w:noProof/>
            <w:webHidden/>
          </w:rPr>
          <w:fldChar w:fldCharType="separate"/>
        </w:r>
        <w:r w:rsidR="009F3AF0">
          <w:rPr>
            <w:noProof/>
            <w:webHidden/>
          </w:rPr>
          <w:t>221</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5" w:history="1">
        <w:r w:rsidR="00724B14" w:rsidRPr="008E55E5">
          <w:rPr>
            <w:rStyle w:val="Hypertextovodkaz"/>
            <w:noProof/>
          </w:rPr>
          <w:t>8.1.8</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Réva vinná – víno</w:t>
        </w:r>
        <w:r w:rsidR="00724B14">
          <w:rPr>
            <w:noProof/>
            <w:webHidden/>
          </w:rPr>
          <w:tab/>
        </w:r>
        <w:r w:rsidR="00724B14">
          <w:rPr>
            <w:noProof/>
            <w:webHidden/>
          </w:rPr>
          <w:fldChar w:fldCharType="begin"/>
        </w:r>
        <w:r w:rsidR="00724B14">
          <w:rPr>
            <w:noProof/>
            <w:webHidden/>
          </w:rPr>
          <w:instrText xml:space="preserve"> PAGEREF _Toc424307075 \h </w:instrText>
        </w:r>
        <w:r w:rsidR="00724B14">
          <w:rPr>
            <w:noProof/>
            <w:webHidden/>
          </w:rPr>
        </w:r>
        <w:r w:rsidR="00724B14">
          <w:rPr>
            <w:noProof/>
            <w:webHidden/>
          </w:rPr>
          <w:fldChar w:fldCharType="separate"/>
        </w:r>
        <w:r w:rsidR="009F3AF0">
          <w:rPr>
            <w:noProof/>
            <w:webHidden/>
          </w:rPr>
          <w:t>227</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6" w:history="1">
        <w:r w:rsidR="00724B14" w:rsidRPr="008E55E5">
          <w:rPr>
            <w:rStyle w:val="Hypertextovodkaz"/>
            <w:noProof/>
          </w:rPr>
          <w:t>8.1.9</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Okrasná produkce</w:t>
        </w:r>
        <w:r w:rsidR="00724B14">
          <w:rPr>
            <w:noProof/>
            <w:webHidden/>
          </w:rPr>
          <w:tab/>
        </w:r>
        <w:r w:rsidR="00724B14">
          <w:rPr>
            <w:noProof/>
            <w:webHidden/>
          </w:rPr>
          <w:fldChar w:fldCharType="begin"/>
        </w:r>
        <w:r w:rsidR="00724B14">
          <w:rPr>
            <w:noProof/>
            <w:webHidden/>
          </w:rPr>
          <w:instrText xml:space="preserve"> PAGEREF _Toc424307076 \h </w:instrText>
        </w:r>
        <w:r w:rsidR="00724B14">
          <w:rPr>
            <w:noProof/>
            <w:webHidden/>
          </w:rPr>
        </w:r>
        <w:r w:rsidR="00724B14">
          <w:rPr>
            <w:noProof/>
            <w:webHidden/>
          </w:rPr>
          <w:fldChar w:fldCharType="separate"/>
        </w:r>
        <w:r w:rsidR="009F3AF0">
          <w:rPr>
            <w:noProof/>
            <w:webHidden/>
          </w:rPr>
          <w:t>231</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7" w:history="1">
        <w:r w:rsidR="00724B14" w:rsidRPr="008E55E5">
          <w:rPr>
            <w:rStyle w:val="Hypertextovodkaz"/>
            <w:noProof/>
          </w:rPr>
          <w:t>8.1.10</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Léčivé, aromatické a kořeninové rostliny (LAKR)</w:t>
        </w:r>
        <w:r w:rsidR="00724B14">
          <w:rPr>
            <w:noProof/>
            <w:webHidden/>
          </w:rPr>
          <w:tab/>
        </w:r>
        <w:r w:rsidR="00724B14">
          <w:rPr>
            <w:noProof/>
            <w:webHidden/>
          </w:rPr>
          <w:fldChar w:fldCharType="begin"/>
        </w:r>
        <w:r w:rsidR="00724B14">
          <w:rPr>
            <w:noProof/>
            <w:webHidden/>
          </w:rPr>
          <w:instrText xml:space="preserve"> PAGEREF _Toc424307077 \h </w:instrText>
        </w:r>
        <w:r w:rsidR="00724B14">
          <w:rPr>
            <w:noProof/>
            <w:webHidden/>
          </w:rPr>
        </w:r>
        <w:r w:rsidR="00724B14">
          <w:rPr>
            <w:noProof/>
            <w:webHidden/>
          </w:rPr>
          <w:fldChar w:fldCharType="separate"/>
        </w:r>
        <w:r w:rsidR="009F3AF0">
          <w:rPr>
            <w:noProof/>
            <w:webHidden/>
          </w:rPr>
          <w:t>233</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78" w:history="1">
        <w:r w:rsidR="00724B14" w:rsidRPr="008E55E5">
          <w:rPr>
            <w:rStyle w:val="Hypertextovodkaz"/>
            <w:noProof/>
          </w:rPr>
          <w:t>8.2</w:t>
        </w:r>
        <w:r w:rsidR="00724B14">
          <w:rPr>
            <w:rFonts w:asciiTheme="minorHAnsi" w:eastAsiaTheme="minorEastAsia" w:hAnsiTheme="minorHAnsi" w:cstheme="minorBidi"/>
            <w:noProof/>
            <w:sz w:val="22"/>
            <w:szCs w:val="22"/>
            <w:lang w:eastAsia="cs-CZ"/>
          </w:rPr>
          <w:tab/>
        </w:r>
        <w:r w:rsidR="00724B14" w:rsidRPr="008E55E5">
          <w:rPr>
            <w:rStyle w:val="Hypertextovodkaz"/>
            <w:noProof/>
          </w:rPr>
          <w:t>Živočišná produkce celkem a podle rozhodujících komodit</w:t>
        </w:r>
        <w:r w:rsidR="00724B14">
          <w:rPr>
            <w:noProof/>
            <w:webHidden/>
          </w:rPr>
          <w:tab/>
        </w:r>
        <w:r w:rsidR="00724B14">
          <w:rPr>
            <w:noProof/>
            <w:webHidden/>
          </w:rPr>
          <w:fldChar w:fldCharType="begin"/>
        </w:r>
        <w:r w:rsidR="00724B14">
          <w:rPr>
            <w:noProof/>
            <w:webHidden/>
          </w:rPr>
          <w:instrText xml:space="preserve"> PAGEREF _Toc424307078 \h </w:instrText>
        </w:r>
        <w:r w:rsidR="00724B14">
          <w:rPr>
            <w:noProof/>
            <w:webHidden/>
          </w:rPr>
        </w:r>
        <w:r w:rsidR="00724B14">
          <w:rPr>
            <w:noProof/>
            <w:webHidden/>
          </w:rPr>
          <w:fldChar w:fldCharType="separate"/>
        </w:r>
        <w:r w:rsidR="009F3AF0">
          <w:rPr>
            <w:noProof/>
            <w:webHidden/>
          </w:rPr>
          <w:t>235</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79" w:history="1">
        <w:r w:rsidR="00724B14" w:rsidRPr="008E55E5">
          <w:rPr>
            <w:rStyle w:val="Hypertextovodkaz"/>
            <w:noProof/>
          </w:rPr>
          <w:t>8.2.1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Skot – mléko, hovězí maso</w:t>
        </w:r>
        <w:r w:rsidR="00724B14">
          <w:rPr>
            <w:noProof/>
            <w:webHidden/>
          </w:rPr>
          <w:tab/>
        </w:r>
        <w:r w:rsidR="00724B14">
          <w:rPr>
            <w:noProof/>
            <w:webHidden/>
          </w:rPr>
          <w:fldChar w:fldCharType="begin"/>
        </w:r>
        <w:r w:rsidR="00724B14">
          <w:rPr>
            <w:noProof/>
            <w:webHidden/>
          </w:rPr>
          <w:instrText xml:space="preserve"> PAGEREF _Toc424307079 \h </w:instrText>
        </w:r>
        <w:r w:rsidR="00724B14">
          <w:rPr>
            <w:noProof/>
            <w:webHidden/>
          </w:rPr>
        </w:r>
        <w:r w:rsidR="00724B14">
          <w:rPr>
            <w:noProof/>
            <w:webHidden/>
          </w:rPr>
          <w:fldChar w:fldCharType="separate"/>
        </w:r>
        <w:r w:rsidR="009F3AF0">
          <w:rPr>
            <w:noProof/>
            <w:webHidden/>
          </w:rPr>
          <w:t>235</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0" w:history="1">
        <w:r w:rsidR="00724B14" w:rsidRPr="008E55E5">
          <w:rPr>
            <w:rStyle w:val="Hypertextovodkaz"/>
            <w:noProof/>
          </w:rPr>
          <w:t>8.2.2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Prasata – vepřové maso</w:t>
        </w:r>
        <w:r w:rsidR="00724B14">
          <w:rPr>
            <w:noProof/>
            <w:webHidden/>
          </w:rPr>
          <w:tab/>
        </w:r>
        <w:r w:rsidR="00724B14">
          <w:rPr>
            <w:noProof/>
            <w:webHidden/>
          </w:rPr>
          <w:fldChar w:fldCharType="begin"/>
        </w:r>
        <w:r w:rsidR="00724B14">
          <w:rPr>
            <w:noProof/>
            <w:webHidden/>
          </w:rPr>
          <w:instrText xml:space="preserve"> PAGEREF _Toc424307080 \h </w:instrText>
        </w:r>
        <w:r w:rsidR="00724B14">
          <w:rPr>
            <w:noProof/>
            <w:webHidden/>
          </w:rPr>
        </w:r>
        <w:r w:rsidR="00724B14">
          <w:rPr>
            <w:noProof/>
            <w:webHidden/>
          </w:rPr>
          <w:fldChar w:fldCharType="separate"/>
        </w:r>
        <w:r w:rsidR="009F3AF0">
          <w:rPr>
            <w:noProof/>
            <w:webHidden/>
          </w:rPr>
          <w:t>250</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1" w:history="1">
        <w:r w:rsidR="00724B14" w:rsidRPr="008E55E5">
          <w:rPr>
            <w:rStyle w:val="Hypertextovodkaz"/>
            <w:noProof/>
          </w:rPr>
          <w:t>8.2.3</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Drůbež – drůbeží maso, vejce</w:t>
        </w:r>
        <w:r w:rsidR="00724B14">
          <w:rPr>
            <w:noProof/>
            <w:webHidden/>
          </w:rPr>
          <w:tab/>
        </w:r>
        <w:r w:rsidR="00724B14">
          <w:rPr>
            <w:noProof/>
            <w:webHidden/>
          </w:rPr>
          <w:fldChar w:fldCharType="begin"/>
        </w:r>
        <w:r w:rsidR="00724B14">
          <w:rPr>
            <w:noProof/>
            <w:webHidden/>
          </w:rPr>
          <w:instrText xml:space="preserve"> PAGEREF _Toc424307081 \h </w:instrText>
        </w:r>
        <w:r w:rsidR="00724B14">
          <w:rPr>
            <w:noProof/>
            <w:webHidden/>
          </w:rPr>
        </w:r>
        <w:r w:rsidR="00724B14">
          <w:rPr>
            <w:noProof/>
            <w:webHidden/>
          </w:rPr>
          <w:fldChar w:fldCharType="separate"/>
        </w:r>
        <w:r w:rsidR="009F3AF0">
          <w:rPr>
            <w:noProof/>
            <w:webHidden/>
          </w:rPr>
          <w:t>258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2" w:history="1">
        <w:r w:rsidR="00724B14" w:rsidRPr="008E55E5">
          <w:rPr>
            <w:rStyle w:val="Hypertextovodkaz"/>
            <w:noProof/>
          </w:rPr>
          <w:t>8.2.4</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Ovce, kozy – skopové maso</w:t>
        </w:r>
        <w:r w:rsidR="00724B14">
          <w:rPr>
            <w:noProof/>
            <w:webHidden/>
          </w:rPr>
          <w:tab/>
        </w:r>
        <w:r w:rsidR="00724B14">
          <w:rPr>
            <w:noProof/>
            <w:webHidden/>
          </w:rPr>
          <w:fldChar w:fldCharType="begin"/>
        </w:r>
        <w:r w:rsidR="00724B14">
          <w:rPr>
            <w:noProof/>
            <w:webHidden/>
          </w:rPr>
          <w:instrText xml:space="preserve"> PAGEREF _Toc424307082 \h </w:instrText>
        </w:r>
        <w:r w:rsidR="00724B14">
          <w:rPr>
            <w:noProof/>
            <w:webHidden/>
          </w:rPr>
        </w:r>
        <w:r w:rsidR="00724B14">
          <w:rPr>
            <w:noProof/>
            <w:webHidden/>
          </w:rPr>
          <w:fldChar w:fldCharType="separate"/>
        </w:r>
        <w:r w:rsidR="009F3AF0">
          <w:rPr>
            <w:noProof/>
            <w:webHidden/>
          </w:rPr>
          <w:t>266</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3" w:history="1">
        <w:r w:rsidR="00724B14" w:rsidRPr="008E55E5">
          <w:rPr>
            <w:rStyle w:val="Hypertextovodkaz"/>
            <w:noProof/>
          </w:rPr>
          <w:t>8.2.5</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Rybářství</w:t>
        </w:r>
        <w:r w:rsidR="00724B14">
          <w:rPr>
            <w:noProof/>
            <w:webHidden/>
          </w:rPr>
          <w:tab/>
        </w:r>
        <w:r w:rsidR="00724B14">
          <w:rPr>
            <w:noProof/>
            <w:webHidden/>
          </w:rPr>
          <w:fldChar w:fldCharType="begin"/>
        </w:r>
        <w:r w:rsidR="00724B14">
          <w:rPr>
            <w:noProof/>
            <w:webHidden/>
          </w:rPr>
          <w:instrText xml:space="preserve"> PAGEREF _Toc424307083 \h </w:instrText>
        </w:r>
        <w:r w:rsidR="00724B14">
          <w:rPr>
            <w:noProof/>
            <w:webHidden/>
          </w:rPr>
        </w:r>
        <w:r w:rsidR="00724B14">
          <w:rPr>
            <w:noProof/>
            <w:webHidden/>
          </w:rPr>
          <w:fldChar w:fldCharType="separate"/>
        </w:r>
        <w:r w:rsidR="009F3AF0">
          <w:rPr>
            <w:noProof/>
            <w:webHidden/>
          </w:rPr>
          <w:t>269</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4" w:history="1">
        <w:r w:rsidR="00724B14" w:rsidRPr="008E55E5">
          <w:rPr>
            <w:rStyle w:val="Hypertextovodkaz"/>
            <w:noProof/>
          </w:rPr>
          <w:t>8.2.6</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Včelařství</w:t>
        </w:r>
        <w:r w:rsidR="00724B14">
          <w:rPr>
            <w:noProof/>
            <w:webHidden/>
          </w:rPr>
          <w:tab/>
        </w:r>
        <w:r w:rsidR="00724B14">
          <w:rPr>
            <w:noProof/>
            <w:webHidden/>
          </w:rPr>
          <w:fldChar w:fldCharType="begin"/>
        </w:r>
        <w:r w:rsidR="00724B14">
          <w:rPr>
            <w:noProof/>
            <w:webHidden/>
          </w:rPr>
          <w:instrText xml:space="preserve"> PAGEREF _Toc424307084 \h </w:instrText>
        </w:r>
        <w:r w:rsidR="00724B14">
          <w:rPr>
            <w:noProof/>
            <w:webHidden/>
          </w:rPr>
        </w:r>
        <w:r w:rsidR="00724B14">
          <w:rPr>
            <w:noProof/>
            <w:webHidden/>
          </w:rPr>
          <w:fldChar w:fldCharType="separate"/>
        </w:r>
        <w:r w:rsidR="009F3AF0">
          <w:rPr>
            <w:noProof/>
            <w:webHidden/>
          </w:rPr>
          <w:t>273</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85" w:history="1">
        <w:r w:rsidR="00724B14" w:rsidRPr="008E55E5">
          <w:rPr>
            <w:rStyle w:val="Hypertextovodkaz"/>
            <w:noProof/>
          </w:rPr>
          <w:t>8.3</w:t>
        </w:r>
        <w:r w:rsidR="00724B14">
          <w:rPr>
            <w:rFonts w:asciiTheme="minorHAnsi" w:eastAsiaTheme="minorEastAsia" w:hAnsiTheme="minorHAnsi" w:cstheme="minorBidi"/>
            <w:noProof/>
            <w:sz w:val="22"/>
            <w:szCs w:val="22"/>
            <w:lang w:eastAsia="cs-CZ"/>
          </w:rPr>
          <w:tab/>
        </w:r>
        <w:r w:rsidR="00724B14" w:rsidRPr="008E55E5">
          <w:rPr>
            <w:rStyle w:val="Hypertextovodkaz"/>
            <w:noProof/>
          </w:rPr>
          <w:t>Produkce potravinářského odvětví celkem a podle rozhodujících oborů</w:t>
        </w:r>
        <w:r w:rsidR="00724B14">
          <w:rPr>
            <w:noProof/>
            <w:webHidden/>
          </w:rPr>
          <w:tab/>
        </w:r>
        <w:r w:rsidR="00724B14">
          <w:rPr>
            <w:noProof/>
            <w:webHidden/>
          </w:rPr>
          <w:fldChar w:fldCharType="begin"/>
        </w:r>
        <w:r w:rsidR="00724B14">
          <w:rPr>
            <w:noProof/>
            <w:webHidden/>
          </w:rPr>
          <w:instrText xml:space="preserve"> PAGEREF _Toc424307085 \h </w:instrText>
        </w:r>
        <w:r w:rsidR="00724B14">
          <w:rPr>
            <w:noProof/>
            <w:webHidden/>
          </w:rPr>
        </w:r>
        <w:r w:rsidR="00724B14">
          <w:rPr>
            <w:noProof/>
            <w:webHidden/>
          </w:rPr>
          <w:fldChar w:fldCharType="separate"/>
        </w:r>
        <w:r w:rsidR="009F3AF0">
          <w:rPr>
            <w:noProof/>
            <w:webHidden/>
          </w:rPr>
          <w:t>276</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86" w:history="1">
        <w:r w:rsidR="00724B14" w:rsidRPr="008E55E5">
          <w:rPr>
            <w:rStyle w:val="Hypertextovodkaz"/>
            <w:noProof/>
          </w:rPr>
          <w:t>8.4</w:t>
        </w:r>
        <w:r w:rsidR="00724B14">
          <w:rPr>
            <w:rFonts w:asciiTheme="minorHAnsi" w:eastAsiaTheme="minorEastAsia" w:hAnsiTheme="minorHAnsi" w:cstheme="minorBidi"/>
            <w:noProof/>
            <w:sz w:val="22"/>
            <w:szCs w:val="22"/>
            <w:lang w:eastAsia="cs-CZ"/>
          </w:rPr>
          <w:tab/>
        </w:r>
        <w:r w:rsidR="00724B14" w:rsidRPr="008E55E5">
          <w:rPr>
            <w:rStyle w:val="Hypertextovodkaz"/>
            <w:noProof/>
          </w:rPr>
          <w:t>Obnovitelné zdroje energie</w:t>
        </w:r>
        <w:r w:rsidR="00724B14">
          <w:rPr>
            <w:noProof/>
            <w:webHidden/>
          </w:rPr>
          <w:tab/>
        </w:r>
        <w:r w:rsidR="00724B14">
          <w:rPr>
            <w:noProof/>
            <w:webHidden/>
          </w:rPr>
          <w:fldChar w:fldCharType="begin"/>
        </w:r>
        <w:r w:rsidR="00724B14">
          <w:rPr>
            <w:noProof/>
            <w:webHidden/>
          </w:rPr>
          <w:instrText xml:space="preserve"> PAGEREF _Toc424307086 \h </w:instrText>
        </w:r>
        <w:r w:rsidR="00724B14">
          <w:rPr>
            <w:noProof/>
            <w:webHidden/>
          </w:rPr>
        </w:r>
        <w:r w:rsidR="00724B14">
          <w:rPr>
            <w:noProof/>
            <w:webHidden/>
          </w:rPr>
          <w:fldChar w:fldCharType="separate"/>
        </w:r>
        <w:r w:rsidR="009F3AF0">
          <w:rPr>
            <w:noProof/>
            <w:webHidden/>
          </w:rPr>
          <w:t>281</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7" w:history="1">
        <w:r w:rsidR="00724B14" w:rsidRPr="008E55E5">
          <w:rPr>
            <w:rStyle w:val="Hypertextovodkaz"/>
            <w:noProof/>
          </w:rPr>
          <w:t>8.4.1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Využití zemědělské produkce v energetice</w:t>
        </w:r>
        <w:r w:rsidR="00724B14">
          <w:rPr>
            <w:noProof/>
            <w:webHidden/>
          </w:rPr>
          <w:tab/>
        </w:r>
        <w:r w:rsidR="00724B14">
          <w:rPr>
            <w:noProof/>
            <w:webHidden/>
          </w:rPr>
          <w:fldChar w:fldCharType="begin"/>
        </w:r>
        <w:r w:rsidR="00724B14">
          <w:rPr>
            <w:noProof/>
            <w:webHidden/>
          </w:rPr>
          <w:instrText xml:space="preserve"> PAGEREF _Toc424307087 \h </w:instrText>
        </w:r>
        <w:r w:rsidR="00724B14">
          <w:rPr>
            <w:noProof/>
            <w:webHidden/>
          </w:rPr>
        </w:r>
        <w:r w:rsidR="00724B14">
          <w:rPr>
            <w:noProof/>
            <w:webHidden/>
          </w:rPr>
          <w:fldChar w:fldCharType="separate"/>
        </w:r>
        <w:r w:rsidR="009F3AF0">
          <w:rPr>
            <w:noProof/>
            <w:webHidden/>
          </w:rPr>
          <w:t>282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88" w:history="1">
        <w:r w:rsidR="00724B14" w:rsidRPr="008E55E5">
          <w:rPr>
            <w:rStyle w:val="Hypertextovodkaz"/>
            <w:noProof/>
          </w:rPr>
          <w:t>8.4.2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Využití zemědělské produkce v dopravě</w:t>
        </w:r>
        <w:r w:rsidR="00724B14">
          <w:rPr>
            <w:noProof/>
            <w:webHidden/>
          </w:rPr>
          <w:tab/>
        </w:r>
        <w:r w:rsidR="00724B14">
          <w:rPr>
            <w:noProof/>
            <w:webHidden/>
          </w:rPr>
          <w:fldChar w:fldCharType="begin"/>
        </w:r>
        <w:r w:rsidR="00724B14">
          <w:rPr>
            <w:noProof/>
            <w:webHidden/>
          </w:rPr>
          <w:instrText xml:space="preserve"> PAGEREF _Toc424307088 \h </w:instrText>
        </w:r>
        <w:r w:rsidR="00724B14">
          <w:rPr>
            <w:noProof/>
            <w:webHidden/>
          </w:rPr>
        </w:r>
        <w:r w:rsidR="00724B14">
          <w:rPr>
            <w:noProof/>
            <w:webHidden/>
          </w:rPr>
          <w:fldChar w:fldCharType="separate"/>
        </w:r>
        <w:r w:rsidR="009F3AF0">
          <w:rPr>
            <w:noProof/>
            <w:webHidden/>
          </w:rPr>
          <w:t>284</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89" w:history="1">
        <w:r w:rsidR="00724B14" w:rsidRPr="008E55E5">
          <w:rPr>
            <w:rStyle w:val="Hypertextovodkaz"/>
            <w:noProof/>
          </w:rPr>
          <w:t>8.5</w:t>
        </w:r>
        <w:r w:rsidR="00724B14">
          <w:rPr>
            <w:rFonts w:asciiTheme="minorHAnsi" w:eastAsiaTheme="minorEastAsia" w:hAnsiTheme="minorHAnsi" w:cstheme="minorBidi"/>
            <w:noProof/>
            <w:sz w:val="22"/>
            <w:szCs w:val="22"/>
            <w:lang w:eastAsia="cs-CZ"/>
          </w:rPr>
          <w:tab/>
        </w:r>
        <w:r w:rsidR="00724B14" w:rsidRPr="008E55E5">
          <w:rPr>
            <w:rStyle w:val="Hypertextovodkaz"/>
            <w:noProof/>
          </w:rPr>
          <w:t>Geneticky modifikované plodiny</w:t>
        </w:r>
        <w:r w:rsidR="00724B14">
          <w:rPr>
            <w:noProof/>
            <w:webHidden/>
          </w:rPr>
          <w:tab/>
        </w:r>
        <w:r w:rsidR="00724B14">
          <w:rPr>
            <w:noProof/>
            <w:webHidden/>
          </w:rPr>
          <w:fldChar w:fldCharType="begin"/>
        </w:r>
        <w:r w:rsidR="00724B14">
          <w:rPr>
            <w:noProof/>
            <w:webHidden/>
          </w:rPr>
          <w:instrText xml:space="preserve"> PAGEREF _Toc424307089 \h </w:instrText>
        </w:r>
        <w:r w:rsidR="00724B14">
          <w:rPr>
            <w:noProof/>
            <w:webHidden/>
          </w:rPr>
        </w:r>
        <w:r w:rsidR="00724B14">
          <w:rPr>
            <w:noProof/>
            <w:webHidden/>
          </w:rPr>
          <w:fldChar w:fldCharType="separate"/>
        </w:r>
        <w:r w:rsidR="009F3AF0">
          <w:rPr>
            <w:noProof/>
            <w:webHidden/>
          </w:rPr>
          <w:t>287</w:t>
        </w:r>
        <w:r w:rsidR="00724B14">
          <w:rPr>
            <w:noProof/>
            <w:webHidden/>
          </w:rPr>
          <w:fldChar w:fldCharType="end"/>
        </w:r>
      </w:hyperlink>
    </w:p>
    <w:p w:rsidR="00724B14" w:rsidRPr="00724B14" w:rsidRDefault="00234ED0" w:rsidP="00724B14">
      <w:pPr>
        <w:pStyle w:val="Obsah1"/>
        <w:rPr>
          <w:rFonts w:eastAsiaTheme="minorEastAsia"/>
        </w:rPr>
      </w:pPr>
      <w:hyperlink w:anchor="_Toc424307090" w:history="1">
        <w:r w:rsidR="00724B14" w:rsidRPr="008E55E5">
          <w:rPr>
            <w:rStyle w:val="Hypertextovodkaz"/>
          </w:rPr>
          <w:t>9</w:t>
        </w:r>
        <w:r w:rsidR="00724B14">
          <w:rPr>
            <w:rFonts w:asciiTheme="minorHAnsi" w:eastAsiaTheme="minorEastAsia" w:hAnsiTheme="minorHAnsi" w:cstheme="minorBidi"/>
            <w:sz w:val="22"/>
            <w:szCs w:val="22"/>
            <w:lang w:eastAsia="cs-CZ"/>
          </w:rPr>
          <w:tab/>
        </w:r>
        <w:r w:rsidR="00724B14" w:rsidRPr="008E55E5">
          <w:rPr>
            <w:rStyle w:val="Hypertextovodkaz"/>
          </w:rPr>
          <w:t>Ceny a trhy agrárních produktů a vstupů do zemědělství</w:t>
        </w:r>
        <w:r w:rsidR="00724B14">
          <w:rPr>
            <w:webHidden/>
          </w:rPr>
          <w:tab/>
        </w:r>
        <w:r w:rsidR="00724B14">
          <w:rPr>
            <w:webHidden/>
          </w:rPr>
          <w:fldChar w:fldCharType="begin"/>
        </w:r>
        <w:r w:rsidR="00724B14">
          <w:rPr>
            <w:webHidden/>
          </w:rPr>
          <w:instrText xml:space="preserve"> PAGEREF _Toc424307090 \h </w:instrText>
        </w:r>
        <w:r w:rsidR="00724B14">
          <w:rPr>
            <w:webHidden/>
          </w:rPr>
        </w:r>
        <w:r w:rsidR="00724B14">
          <w:rPr>
            <w:webHidden/>
          </w:rPr>
          <w:fldChar w:fldCharType="separate"/>
        </w:r>
        <w:r w:rsidR="009F3AF0">
          <w:rPr>
            <w:webHidden/>
          </w:rPr>
          <w:t>290</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91" w:history="1">
        <w:r w:rsidR="00724B14" w:rsidRPr="008E55E5">
          <w:rPr>
            <w:rStyle w:val="Hypertextovodkaz"/>
            <w:noProof/>
          </w:rPr>
          <w:t>9.1</w:t>
        </w:r>
        <w:r w:rsidR="00724B14">
          <w:rPr>
            <w:rFonts w:asciiTheme="minorHAnsi" w:eastAsiaTheme="minorEastAsia" w:hAnsiTheme="minorHAnsi" w:cstheme="minorBidi"/>
            <w:noProof/>
            <w:sz w:val="22"/>
            <w:szCs w:val="22"/>
            <w:lang w:eastAsia="cs-CZ"/>
          </w:rPr>
          <w:tab/>
        </w:r>
        <w:r w:rsidR="00724B14" w:rsidRPr="008E55E5">
          <w:rPr>
            <w:rStyle w:val="Hypertextovodkaz"/>
            <w:noProof/>
          </w:rPr>
          <w:t>Cenový vývoj na agrárním trhu ČR a EU</w:t>
        </w:r>
        <w:r w:rsidR="00724B14">
          <w:rPr>
            <w:noProof/>
            <w:webHidden/>
          </w:rPr>
          <w:tab/>
        </w:r>
        <w:r w:rsidR="00724B14">
          <w:rPr>
            <w:noProof/>
            <w:webHidden/>
          </w:rPr>
          <w:fldChar w:fldCharType="begin"/>
        </w:r>
        <w:r w:rsidR="00724B14">
          <w:rPr>
            <w:noProof/>
            <w:webHidden/>
          </w:rPr>
          <w:instrText xml:space="preserve"> PAGEREF _Toc424307091 \h </w:instrText>
        </w:r>
        <w:r w:rsidR="00724B14">
          <w:rPr>
            <w:noProof/>
            <w:webHidden/>
          </w:rPr>
        </w:r>
        <w:r w:rsidR="00724B14">
          <w:rPr>
            <w:noProof/>
            <w:webHidden/>
          </w:rPr>
          <w:fldChar w:fldCharType="separate"/>
        </w:r>
        <w:r w:rsidR="009F3AF0">
          <w:rPr>
            <w:noProof/>
            <w:webHidden/>
          </w:rPr>
          <w:t>290</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92" w:history="1">
        <w:r w:rsidR="00724B14" w:rsidRPr="008E55E5">
          <w:rPr>
            <w:rStyle w:val="Hypertextovodkaz"/>
            <w:noProof/>
          </w:rPr>
          <w:t>9.2</w:t>
        </w:r>
        <w:r w:rsidR="00724B14">
          <w:rPr>
            <w:rFonts w:asciiTheme="minorHAnsi" w:eastAsiaTheme="minorEastAsia" w:hAnsiTheme="minorHAnsi" w:cstheme="minorBidi"/>
            <w:noProof/>
            <w:sz w:val="22"/>
            <w:szCs w:val="22"/>
            <w:lang w:eastAsia="cs-CZ"/>
          </w:rPr>
          <w:tab/>
        </w:r>
        <w:r w:rsidR="00724B14" w:rsidRPr="008E55E5">
          <w:rPr>
            <w:rStyle w:val="Hypertextovodkaz"/>
            <w:noProof/>
          </w:rPr>
          <w:t>Agrární zahraniční obchod</w:t>
        </w:r>
        <w:r w:rsidR="00724B14">
          <w:rPr>
            <w:noProof/>
            <w:webHidden/>
          </w:rPr>
          <w:tab/>
        </w:r>
        <w:r w:rsidR="00724B14">
          <w:rPr>
            <w:noProof/>
            <w:webHidden/>
          </w:rPr>
          <w:fldChar w:fldCharType="begin"/>
        </w:r>
        <w:r w:rsidR="00724B14">
          <w:rPr>
            <w:noProof/>
            <w:webHidden/>
          </w:rPr>
          <w:instrText xml:space="preserve"> PAGEREF _Toc424307092 \h </w:instrText>
        </w:r>
        <w:r w:rsidR="00724B14">
          <w:rPr>
            <w:noProof/>
            <w:webHidden/>
          </w:rPr>
        </w:r>
        <w:r w:rsidR="00724B14">
          <w:rPr>
            <w:noProof/>
            <w:webHidden/>
          </w:rPr>
          <w:fldChar w:fldCharType="separate"/>
        </w:r>
        <w:r w:rsidR="009F3AF0">
          <w:rPr>
            <w:noProof/>
            <w:webHidden/>
          </w:rPr>
          <w:t>295</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93" w:history="1">
        <w:r w:rsidR="00724B14" w:rsidRPr="008E55E5">
          <w:rPr>
            <w:rStyle w:val="Hypertextovodkaz"/>
            <w:noProof/>
          </w:rPr>
          <w:t>9.2.1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Obecná charakteristika základních tendencí v agrárním zahraničním obchodě</w:t>
        </w:r>
        <w:r w:rsidR="00724B14">
          <w:rPr>
            <w:noProof/>
            <w:webHidden/>
          </w:rPr>
          <w:tab/>
        </w:r>
        <w:r w:rsidR="00724B14">
          <w:rPr>
            <w:noProof/>
            <w:webHidden/>
          </w:rPr>
          <w:fldChar w:fldCharType="begin"/>
        </w:r>
        <w:r w:rsidR="00724B14">
          <w:rPr>
            <w:noProof/>
            <w:webHidden/>
          </w:rPr>
          <w:instrText xml:space="preserve"> PAGEREF _Toc424307093 \h </w:instrText>
        </w:r>
        <w:r w:rsidR="00724B14">
          <w:rPr>
            <w:noProof/>
            <w:webHidden/>
          </w:rPr>
        </w:r>
        <w:r w:rsidR="00724B14">
          <w:rPr>
            <w:noProof/>
            <w:webHidden/>
          </w:rPr>
          <w:fldChar w:fldCharType="separate"/>
        </w:r>
        <w:r w:rsidR="009F3AF0">
          <w:rPr>
            <w:noProof/>
            <w:webHidden/>
          </w:rPr>
          <w:t>295</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94" w:history="1">
        <w:r w:rsidR="00724B14" w:rsidRPr="008E55E5">
          <w:rPr>
            <w:rStyle w:val="Hypertextovodkaz"/>
            <w:noProof/>
          </w:rPr>
          <w:t>9.2.2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Teritoriální skladba agrárního zahraničního obchodu</w:t>
        </w:r>
        <w:r w:rsidR="00724B14">
          <w:rPr>
            <w:noProof/>
            <w:webHidden/>
          </w:rPr>
          <w:tab/>
        </w:r>
        <w:r w:rsidR="00724B14">
          <w:rPr>
            <w:noProof/>
            <w:webHidden/>
          </w:rPr>
          <w:fldChar w:fldCharType="begin"/>
        </w:r>
        <w:r w:rsidR="00724B14">
          <w:rPr>
            <w:noProof/>
            <w:webHidden/>
          </w:rPr>
          <w:instrText xml:space="preserve"> PAGEREF _Toc424307094 \h </w:instrText>
        </w:r>
        <w:r w:rsidR="00724B14">
          <w:rPr>
            <w:noProof/>
            <w:webHidden/>
          </w:rPr>
        </w:r>
        <w:r w:rsidR="00724B14">
          <w:rPr>
            <w:noProof/>
            <w:webHidden/>
          </w:rPr>
          <w:fldChar w:fldCharType="separate"/>
        </w:r>
        <w:r w:rsidR="009F3AF0">
          <w:rPr>
            <w:noProof/>
            <w:webHidden/>
          </w:rPr>
          <w:t>296</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095" w:history="1">
        <w:r w:rsidR="00724B14" w:rsidRPr="008E55E5">
          <w:rPr>
            <w:rStyle w:val="Hypertextovodkaz"/>
            <w:noProof/>
          </w:rPr>
          <w:t>9.2.3</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Komoditní skladba agrárního zahraničního obchodu</w:t>
        </w:r>
        <w:r w:rsidR="00724B14">
          <w:rPr>
            <w:noProof/>
            <w:webHidden/>
          </w:rPr>
          <w:tab/>
        </w:r>
        <w:r w:rsidR="00724B14">
          <w:rPr>
            <w:noProof/>
            <w:webHidden/>
          </w:rPr>
          <w:fldChar w:fldCharType="begin"/>
        </w:r>
        <w:r w:rsidR="00724B14">
          <w:rPr>
            <w:noProof/>
            <w:webHidden/>
          </w:rPr>
          <w:instrText xml:space="preserve"> PAGEREF _Toc424307095 \h </w:instrText>
        </w:r>
        <w:r w:rsidR="00724B14">
          <w:rPr>
            <w:noProof/>
            <w:webHidden/>
          </w:rPr>
        </w:r>
        <w:r w:rsidR="00724B14">
          <w:rPr>
            <w:noProof/>
            <w:webHidden/>
          </w:rPr>
          <w:fldChar w:fldCharType="separate"/>
        </w:r>
        <w:r w:rsidR="009F3AF0">
          <w:rPr>
            <w:noProof/>
            <w:webHidden/>
          </w:rPr>
          <w:t>299</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96" w:history="1">
        <w:r w:rsidR="00724B14" w:rsidRPr="008E55E5">
          <w:rPr>
            <w:rStyle w:val="Hypertextovodkaz"/>
            <w:noProof/>
          </w:rPr>
          <w:t>9.3</w:t>
        </w:r>
        <w:r w:rsidR="00724B14">
          <w:rPr>
            <w:rFonts w:asciiTheme="minorHAnsi" w:eastAsiaTheme="minorEastAsia" w:hAnsiTheme="minorHAnsi" w:cstheme="minorBidi"/>
            <w:noProof/>
            <w:sz w:val="22"/>
            <w:szCs w:val="22"/>
            <w:lang w:eastAsia="cs-CZ"/>
          </w:rPr>
          <w:tab/>
        </w:r>
        <w:r w:rsidR="00724B14" w:rsidRPr="008E55E5">
          <w:rPr>
            <w:rStyle w:val="Hypertextovodkaz"/>
            <w:noProof/>
          </w:rPr>
          <w:t>Cenový vývoj finančních a materiálových vstupů do zemědělství</w:t>
        </w:r>
        <w:r w:rsidR="00724B14">
          <w:rPr>
            <w:noProof/>
            <w:webHidden/>
          </w:rPr>
          <w:tab/>
        </w:r>
        <w:r w:rsidR="00724B14">
          <w:rPr>
            <w:noProof/>
            <w:webHidden/>
          </w:rPr>
          <w:fldChar w:fldCharType="begin"/>
        </w:r>
        <w:r w:rsidR="00724B14">
          <w:rPr>
            <w:noProof/>
            <w:webHidden/>
          </w:rPr>
          <w:instrText xml:space="preserve"> PAGEREF _Toc424307096 \h </w:instrText>
        </w:r>
        <w:r w:rsidR="00724B14">
          <w:rPr>
            <w:noProof/>
            <w:webHidden/>
          </w:rPr>
        </w:r>
        <w:r w:rsidR="00724B14">
          <w:rPr>
            <w:noProof/>
            <w:webHidden/>
          </w:rPr>
          <w:fldChar w:fldCharType="separate"/>
        </w:r>
        <w:r w:rsidR="009F3AF0">
          <w:rPr>
            <w:noProof/>
            <w:webHidden/>
          </w:rPr>
          <w:t>301</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097" w:history="1">
        <w:r w:rsidR="00724B14" w:rsidRPr="008E55E5">
          <w:rPr>
            <w:rStyle w:val="Hypertextovodkaz"/>
          </w:rPr>
          <w:t>10</w:t>
        </w:r>
        <w:r w:rsidR="00724B14">
          <w:rPr>
            <w:rFonts w:asciiTheme="minorHAnsi" w:eastAsiaTheme="minorEastAsia" w:hAnsiTheme="minorHAnsi" w:cstheme="minorBidi"/>
            <w:sz w:val="22"/>
            <w:szCs w:val="22"/>
            <w:lang w:eastAsia="cs-CZ"/>
          </w:rPr>
          <w:tab/>
        </w:r>
        <w:r w:rsidR="00724B14" w:rsidRPr="008E55E5">
          <w:rPr>
            <w:rStyle w:val="Hypertextovodkaz"/>
          </w:rPr>
          <w:t>Ekonomické výsledky agrárního sektoru</w:t>
        </w:r>
        <w:r w:rsidR="00724B14">
          <w:rPr>
            <w:webHidden/>
          </w:rPr>
          <w:tab/>
        </w:r>
        <w:r w:rsidR="00724B14">
          <w:rPr>
            <w:webHidden/>
          </w:rPr>
          <w:fldChar w:fldCharType="begin"/>
        </w:r>
        <w:r w:rsidR="00724B14">
          <w:rPr>
            <w:webHidden/>
          </w:rPr>
          <w:instrText xml:space="preserve"> PAGEREF _Toc424307097 \h </w:instrText>
        </w:r>
        <w:r w:rsidR="00724B14">
          <w:rPr>
            <w:webHidden/>
          </w:rPr>
        </w:r>
        <w:r w:rsidR="00724B14">
          <w:rPr>
            <w:webHidden/>
          </w:rPr>
          <w:fldChar w:fldCharType="separate"/>
        </w:r>
        <w:r w:rsidR="009F3AF0">
          <w:rPr>
            <w:webHidden/>
          </w:rPr>
          <w:t>306</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98" w:history="1">
        <w:r w:rsidR="00724B14" w:rsidRPr="008E55E5">
          <w:rPr>
            <w:rStyle w:val="Hypertextovodkaz"/>
            <w:noProof/>
          </w:rPr>
          <w:t>10.1</w:t>
        </w:r>
        <w:r w:rsidR="00724B14">
          <w:rPr>
            <w:rFonts w:asciiTheme="minorHAnsi" w:eastAsiaTheme="minorEastAsia" w:hAnsiTheme="minorHAnsi" w:cstheme="minorBidi"/>
            <w:noProof/>
            <w:sz w:val="22"/>
            <w:szCs w:val="22"/>
            <w:lang w:eastAsia="cs-CZ"/>
          </w:rPr>
          <w:tab/>
        </w:r>
        <w:r w:rsidR="00724B14" w:rsidRPr="008E55E5">
          <w:rPr>
            <w:rStyle w:val="Hypertextovodkaz"/>
            <w:noProof/>
          </w:rPr>
          <w:t>Celkový ekonomický výsledek zemědělství (Souhrnný zemědělský účet)</w:t>
        </w:r>
        <w:r w:rsidR="00724B14">
          <w:rPr>
            <w:noProof/>
            <w:webHidden/>
          </w:rPr>
          <w:tab/>
        </w:r>
        <w:r w:rsidR="00724B14">
          <w:rPr>
            <w:noProof/>
            <w:webHidden/>
          </w:rPr>
          <w:fldChar w:fldCharType="begin"/>
        </w:r>
        <w:r w:rsidR="00724B14">
          <w:rPr>
            <w:noProof/>
            <w:webHidden/>
          </w:rPr>
          <w:instrText xml:space="preserve"> PAGEREF _Toc424307098 \h </w:instrText>
        </w:r>
        <w:r w:rsidR="00724B14">
          <w:rPr>
            <w:noProof/>
            <w:webHidden/>
          </w:rPr>
        </w:r>
        <w:r w:rsidR="00724B14">
          <w:rPr>
            <w:noProof/>
            <w:webHidden/>
          </w:rPr>
          <w:fldChar w:fldCharType="separate"/>
        </w:r>
        <w:r w:rsidR="009F3AF0">
          <w:rPr>
            <w:noProof/>
            <w:webHidden/>
          </w:rPr>
          <w:t>307</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099" w:history="1">
        <w:r w:rsidR="00724B14" w:rsidRPr="008E55E5">
          <w:rPr>
            <w:rStyle w:val="Hypertextovodkaz"/>
            <w:noProof/>
          </w:rPr>
          <w:t>10.2</w:t>
        </w:r>
        <w:r w:rsidR="00724B14">
          <w:rPr>
            <w:rFonts w:asciiTheme="minorHAnsi" w:eastAsiaTheme="minorEastAsia" w:hAnsiTheme="minorHAnsi" w:cstheme="minorBidi"/>
            <w:noProof/>
            <w:sz w:val="22"/>
            <w:szCs w:val="22"/>
            <w:lang w:eastAsia="cs-CZ"/>
          </w:rPr>
          <w:tab/>
        </w:r>
        <w:r w:rsidR="00724B14" w:rsidRPr="008E55E5">
          <w:rPr>
            <w:rStyle w:val="Hypertextovodkaz"/>
            <w:noProof/>
          </w:rPr>
          <w:t>Ekonomické výsledky zemědělských podniků</w:t>
        </w:r>
        <w:r w:rsidR="00724B14">
          <w:rPr>
            <w:noProof/>
            <w:webHidden/>
          </w:rPr>
          <w:tab/>
        </w:r>
        <w:r w:rsidR="00724B14">
          <w:rPr>
            <w:noProof/>
            <w:webHidden/>
          </w:rPr>
          <w:fldChar w:fldCharType="begin"/>
        </w:r>
        <w:r w:rsidR="00724B14">
          <w:rPr>
            <w:noProof/>
            <w:webHidden/>
          </w:rPr>
          <w:instrText xml:space="preserve"> PAGEREF _Toc424307099 \h </w:instrText>
        </w:r>
        <w:r w:rsidR="00724B14">
          <w:rPr>
            <w:noProof/>
            <w:webHidden/>
          </w:rPr>
        </w:r>
        <w:r w:rsidR="00724B14">
          <w:rPr>
            <w:noProof/>
            <w:webHidden/>
          </w:rPr>
          <w:fldChar w:fldCharType="separate"/>
        </w:r>
        <w:r w:rsidR="009F3AF0">
          <w:rPr>
            <w:noProof/>
            <w:webHidden/>
          </w:rPr>
          <w:t>310</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00" w:history="1">
        <w:r w:rsidR="00724B14" w:rsidRPr="008E55E5">
          <w:rPr>
            <w:rStyle w:val="Hypertextovodkaz"/>
            <w:noProof/>
          </w:rPr>
          <w:t>10.2.1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Celkové hospodářské výsledky zemědělských podniků</w:t>
        </w:r>
        <w:r w:rsidR="00724B14">
          <w:rPr>
            <w:noProof/>
            <w:webHidden/>
          </w:rPr>
          <w:tab/>
        </w:r>
        <w:r w:rsidR="00724B14">
          <w:rPr>
            <w:noProof/>
            <w:webHidden/>
          </w:rPr>
          <w:fldChar w:fldCharType="begin"/>
        </w:r>
        <w:r w:rsidR="00724B14">
          <w:rPr>
            <w:noProof/>
            <w:webHidden/>
          </w:rPr>
          <w:instrText xml:space="preserve"> PAGEREF _Toc424307100 \h </w:instrText>
        </w:r>
        <w:r w:rsidR="00724B14">
          <w:rPr>
            <w:noProof/>
            <w:webHidden/>
          </w:rPr>
        </w:r>
        <w:r w:rsidR="00724B14">
          <w:rPr>
            <w:noProof/>
            <w:webHidden/>
          </w:rPr>
          <w:fldChar w:fldCharType="separate"/>
        </w:r>
        <w:r w:rsidR="009F3AF0">
          <w:rPr>
            <w:noProof/>
            <w:webHidden/>
          </w:rPr>
          <w:t>311</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01" w:history="1">
        <w:r w:rsidR="00724B14" w:rsidRPr="008E55E5">
          <w:rPr>
            <w:rStyle w:val="Hypertextovodkaz"/>
            <w:noProof/>
          </w:rPr>
          <w:t>10.2.2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Ekonomické výsledky zemědělských podniků podle standardního výstupu EU</w:t>
        </w:r>
        <w:r w:rsidR="00724B14">
          <w:rPr>
            <w:noProof/>
            <w:webHidden/>
          </w:rPr>
          <w:tab/>
        </w:r>
        <w:r w:rsidR="00724B14">
          <w:rPr>
            <w:noProof/>
            <w:webHidden/>
          </w:rPr>
          <w:fldChar w:fldCharType="begin"/>
        </w:r>
        <w:r w:rsidR="00724B14">
          <w:rPr>
            <w:noProof/>
            <w:webHidden/>
          </w:rPr>
          <w:instrText xml:space="preserve"> PAGEREF _Toc424307101 \h </w:instrText>
        </w:r>
        <w:r w:rsidR="00724B14">
          <w:rPr>
            <w:noProof/>
            <w:webHidden/>
          </w:rPr>
        </w:r>
        <w:r w:rsidR="00724B14">
          <w:rPr>
            <w:noProof/>
            <w:webHidden/>
          </w:rPr>
          <w:fldChar w:fldCharType="separate"/>
        </w:r>
        <w:r w:rsidR="009F3AF0">
          <w:rPr>
            <w:noProof/>
            <w:webHidden/>
          </w:rPr>
          <w:t>317</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02" w:history="1">
        <w:r w:rsidR="00724B14" w:rsidRPr="008E55E5">
          <w:rPr>
            <w:rStyle w:val="Hypertextovodkaz"/>
            <w:noProof/>
          </w:rPr>
          <w:t>10.2.3</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Investiční rozvoj zemědělství</w:t>
        </w:r>
        <w:r w:rsidR="00724B14">
          <w:rPr>
            <w:noProof/>
            <w:webHidden/>
          </w:rPr>
          <w:tab/>
        </w:r>
        <w:r w:rsidR="00724B14">
          <w:rPr>
            <w:noProof/>
            <w:webHidden/>
          </w:rPr>
          <w:fldChar w:fldCharType="begin"/>
        </w:r>
        <w:r w:rsidR="00724B14">
          <w:rPr>
            <w:noProof/>
            <w:webHidden/>
          </w:rPr>
          <w:instrText xml:space="preserve"> PAGEREF _Toc424307102 \h </w:instrText>
        </w:r>
        <w:r w:rsidR="00724B14">
          <w:rPr>
            <w:noProof/>
            <w:webHidden/>
          </w:rPr>
        </w:r>
        <w:r w:rsidR="00724B14">
          <w:rPr>
            <w:noProof/>
            <w:webHidden/>
          </w:rPr>
          <w:fldChar w:fldCharType="separate"/>
        </w:r>
        <w:r w:rsidR="009F3AF0">
          <w:rPr>
            <w:noProof/>
            <w:webHidden/>
          </w:rPr>
          <w:t>334</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03" w:history="1">
        <w:r w:rsidR="00724B14" w:rsidRPr="008E55E5">
          <w:rPr>
            <w:rStyle w:val="Hypertextovodkaz"/>
            <w:noProof/>
          </w:rPr>
          <w:t>10.2.4</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Shrnutí ekonomických výsledků</w:t>
        </w:r>
        <w:r w:rsidR="00724B14">
          <w:rPr>
            <w:noProof/>
            <w:webHidden/>
          </w:rPr>
          <w:tab/>
        </w:r>
        <w:r w:rsidR="00724B14">
          <w:rPr>
            <w:noProof/>
            <w:webHidden/>
          </w:rPr>
          <w:fldChar w:fldCharType="begin"/>
        </w:r>
        <w:r w:rsidR="00724B14">
          <w:rPr>
            <w:noProof/>
            <w:webHidden/>
          </w:rPr>
          <w:instrText xml:space="preserve"> PAGEREF _Toc424307103 \h </w:instrText>
        </w:r>
        <w:r w:rsidR="00724B14">
          <w:rPr>
            <w:noProof/>
            <w:webHidden/>
          </w:rPr>
        </w:r>
        <w:r w:rsidR="00724B14">
          <w:rPr>
            <w:noProof/>
            <w:webHidden/>
          </w:rPr>
          <w:fldChar w:fldCharType="separate"/>
        </w:r>
        <w:r w:rsidR="009F3AF0">
          <w:rPr>
            <w:noProof/>
            <w:webHidden/>
          </w:rPr>
          <w:t>341</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104" w:history="1">
        <w:r w:rsidR="00724B14" w:rsidRPr="008E55E5">
          <w:rPr>
            <w:rStyle w:val="Hypertextovodkaz"/>
            <w:noProof/>
          </w:rPr>
          <w:t>10.3</w:t>
        </w:r>
        <w:r w:rsidR="00724B14">
          <w:rPr>
            <w:rFonts w:asciiTheme="minorHAnsi" w:eastAsiaTheme="minorEastAsia" w:hAnsiTheme="minorHAnsi" w:cstheme="minorBidi"/>
            <w:noProof/>
            <w:sz w:val="22"/>
            <w:szCs w:val="22"/>
            <w:lang w:eastAsia="cs-CZ"/>
          </w:rPr>
          <w:tab/>
        </w:r>
        <w:r w:rsidR="00724B14" w:rsidRPr="008E55E5">
          <w:rPr>
            <w:rStyle w:val="Hypertextovodkaz"/>
            <w:noProof/>
          </w:rPr>
          <w:t>Ekonomické výsledky oborů zpracovávajících zemědělské suroviny</w:t>
        </w:r>
        <w:r w:rsidR="00724B14">
          <w:rPr>
            <w:noProof/>
            <w:webHidden/>
          </w:rPr>
          <w:tab/>
        </w:r>
        <w:r w:rsidR="00724B14">
          <w:rPr>
            <w:noProof/>
            <w:webHidden/>
          </w:rPr>
          <w:fldChar w:fldCharType="begin"/>
        </w:r>
        <w:r w:rsidR="00724B14">
          <w:rPr>
            <w:noProof/>
            <w:webHidden/>
          </w:rPr>
          <w:instrText xml:space="preserve"> PAGEREF _Toc424307104 \h </w:instrText>
        </w:r>
        <w:r w:rsidR="00724B14">
          <w:rPr>
            <w:noProof/>
            <w:webHidden/>
          </w:rPr>
        </w:r>
        <w:r w:rsidR="00724B14">
          <w:rPr>
            <w:noProof/>
            <w:webHidden/>
          </w:rPr>
          <w:fldChar w:fldCharType="separate"/>
        </w:r>
        <w:r w:rsidR="009F3AF0">
          <w:rPr>
            <w:noProof/>
            <w:webHidden/>
          </w:rPr>
          <w:t>342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05" w:history="1">
        <w:r w:rsidR="00724B14" w:rsidRPr="008E55E5">
          <w:rPr>
            <w:rStyle w:val="Hypertextovodkaz"/>
            <w:noProof/>
          </w:rPr>
          <w:t>10.3.1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Ekonomické výsledky potravinářského odvětví a rozhodujících oborů</w:t>
        </w:r>
        <w:r w:rsidR="00724B14">
          <w:rPr>
            <w:noProof/>
            <w:webHidden/>
          </w:rPr>
          <w:tab/>
        </w:r>
        <w:r w:rsidR="00724B14">
          <w:rPr>
            <w:noProof/>
            <w:webHidden/>
          </w:rPr>
          <w:fldChar w:fldCharType="begin"/>
        </w:r>
        <w:r w:rsidR="00724B14">
          <w:rPr>
            <w:noProof/>
            <w:webHidden/>
          </w:rPr>
          <w:instrText xml:space="preserve"> PAGEREF _Toc424307105 \h </w:instrText>
        </w:r>
        <w:r w:rsidR="00724B14">
          <w:rPr>
            <w:noProof/>
            <w:webHidden/>
          </w:rPr>
        </w:r>
        <w:r w:rsidR="00724B14">
          <w:rPr>
            <w:noProof/>
            <w:webHidden/>
          </w:rPr>
          <w:fldChar w:fldCharType="separate"/>
        </w:r>
        <w:r w:rsidR="009F3AF0">
          <w:rPr>
            <w:noProof/>
            <w:webHidden/>
          </w:rPr>
          <w:t>342</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06" w:history="1">
        <w:r w:rsidR="00724B14" w:rsidRPr="008E55E5">
          <w:rPr>
            <w:rStyle w:val="Hypertextovodkaz"/>
            <w:noProof/>
          </w:rPr>
          <w:t>10.3.2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Práce a mzdy v potravinářském průmyslu</w:t>
        </w:r>
        <w:r w:rsidR="00724B14">
          <w:rPr>
            <w:noProof/>
            <w:webHidden/>
          </w:rPr>
          <w:tab/>
        </w:r>
        <w:r w:rsidR="00724B14">
          <w:rPr>
            <w:noProof/>
            <w:webHidden/>
          </w:rPr>
          <w:fldChar w:fldCharType="begin"/>
        </w:r>
        <w:r w:rsidR="00724B14">
          <w:rPr>
            <w:noProof/>
            <w:webHidden/>
          </w:rPr>
          <w:instrText xml:space="preserve"> PAGEREF _Toc424307106 \h </w:instrText>
        </w:r>
        <w:r w:rsidR="00724B14">
          <w:rPr>
            <w:noProof/>
            <w:webHidden/>
          </w:rPr>
        </w:r>
        <w:r w:rsidR="00724B14">
          <w:rPr>
            <w:noProof/>
            <w:webHidden/>
          </w:rPr>
          <w:fldChar w:fldCharType="separate"/>
        </w:r>
        <w:r w:rsidR="009F3AF0">
          <w:rPr>
            <w:noProof/>
            <w:webHidden/>
          </w:rPr>
          <w:t>349</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107" w:history="1">
        <w:r w:rsidR="00724B14" w:rsidRPr="008E55E5">
          <w:rPr>
            <w:rStyle w:val="Hypertextovodkaz"/>
          </w:rPr>
          <w:t>11</w:t>
        </w:r>
        <w:r w:rsidR="00724B14">
          <w:rPr>
            <w:rFonts w:asciiTheme="minorHAnsi" w:eastAsiaTheme="minorEastAsia" w:hAnsiTheme="minorHAnsi" w:cstheme="minorBidi"/>
            <w:sz w:val="22"/>
            <w:szCs w:val="22"/>
            <w:lang w:eastAsia="cs-CZ"/>
          </w:rPr>
          <w:tab/>
        </w:r>
        <w:r w:rsidR="00724B14" w:rsidRPr="008E55E5">
          <w:rPr>
            <w:rStyle w:val="Hypertextovodkaz"/>
          </w:rPr>
          <w:t>Souhrnné hodnocení agrární politiky</w:t>
        </w:r>
        <w:r w:rsidR="00724B14">
          <w:rPr>
            <w:webHidden/>
          </w:rPr>
          <w:tab/>
        </w:r>
        <w:r w:rsidR="00724B14">
          <w:rPr>
            <w:webHidden/>
          </w:rPr>
          <w:fldChar w:fldCharType="begin"/>
        </w:r>
        <w:r w:rsidR="00724B14">
          <w:rPr>
            <w:webHidden/>
          </w:rPr>
          <w:instrText xml:space="preserve"> PAGEREF _Toc424307107 \h </w:instrText>
        </w:r>
        <w:r w:rsidR="00724B14">
          <w:rPr>
            <w:webHidden/>
          </w:rPr>
        </w:r>
        <w:r w:rsidR="00724B14">
          <w:rPr>
            <w:webHidden/>
          </w:rPr>
          <w:fldChar w:fldCharType="separate"/>
        </w:r>
        <w:r w:rsidR="009F3AF0">
          <w:rPr>
            <w:webHidden/>
          </w:rPr>
          <w:t>351</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108" w:history="1">
        <w:r w:rsidR="00724B14" w:rsidRPr="008E55E5">
          <w:rPr>
            <w:rStyle w:val="Hypertextovodkaz"/>
          </w:rPr>
          <w:t>P1</w:t>
        </w:r>
        <w:r w:rsidR="00724B14">
          <w:rPr>
            <w:rFonts w:asciiTheme="minorHAnsi" w:eastAsiaTheme="minorEastAsia" w:hAnsiTheme="minorHAnsi" w:cstheme="minorBidi"/>
            <w:sz w:val="22"/>
            <w:szCs w:val="22"/>
            <w:lang w:eastAsia="cs-CZ"/>
          </w:rPr>
          <w:tab/>
        </w:r>
        <w:r w:rsidR="00724B14" w:rsidRPr="008E55E5">
          <w:rPr>
            <w:rStyle w:val="Hypertextovodkaz"/>
          </w:rPr>
          <w:t>Přehled legislativních opatření ve vztahu k agrárnímu sektoru</w:t>
        </w:r>
        <w:r w:rsidR="00724B14">
          <w:rPr>
            <w:webHidden/>
          </w:rPr>
          <w:tab/>
        </w:r>
        <w:r w:rsidR="00724B14">
          <w:rPr>
            <w:webHidden/>
          </w:rPr>
          <w:fldChar w:fldCharType="begin"/>
        </w:r>
        <w:r w:rsidR="00724B14">
          <w:rPr>
            <w:webHidden/>
          </w:rPr>
          <w:instrText xml:space="preserve"> PAGEREF _Toc424307108 \h </w:instrText>
        </w:r>
        <w:r w:rsidR="00724B14">
          <w:rPr>
            <w:webHidden/>
          </w:rPr>
        </w:r>
        <w:r w:rsidR="00724B14">
          <w:rPr>
            <w:webHidden/>
          </w:rPr>
          <w:fldChar w:fldCharType="separate"/>
        </w:r>
        <w:r w:rsidR="009F3AF0">
          <w:rPr>
            <w:webHidden/>
          </w:rPr>
          <w:t>358</w:t>
        </w:r>
        <w:r w:rsidR="00724B14">
          <w:rPr>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109" w:history="1">
        <w:r w:rsidR="00724B14" w:rsidRPr="008E55E5">
          <w:rPr>
            <w:rStyle w:val="Hypertextovodkaz"/>
            <w:noProof/>
          </w:rPr>
          <w:t>1.1</w:t>
        </w:r>
        <w:r w:rsidR="00724B14">
          <w:rPr>
            <w:rFonts w:asciiTheme="minorHAnsi" w:eastAsiaTheme="minorEastAsia" w:hAnsiTheme="minorHAnsi" w:cstheme="minorBidi"/>
            <w:noProof/>
            <w:sz w:val="22"/>
            <w:szCs w:val="22"/>
            <w:lang w:eastAsia="cs-CZ"/>
          </w:rPr>
          <w:tab/>
        </w:r>
        <w:r w:rsidR="00724B14" w:rsidRPr="008E55E5">
          <w:rPr>
            <w:rStyle w:val="Hypertextovodkaz"/>
            <w:noProof/>
          </w:rPr>
          <w:t>Přehled legislativních opatření přijatých od 1. 1. 2014 do 1. 3. 2015 a publikovaných ve Sbírce zákonů</w:t>
        </w:r>
        <w:r w:rsidR="00724B14">
          <w:rPr>
            <w:noProof/>
            <w:webHidden/>
          </w:rPr>
          <w:tab/>
        </w:r>
        <w:r w:rsidR="00724B14">
          <w:rPr>
            <w:noProof/>
            <w:webHidden/>
          </w:rPr>
          <w:fldChar w:fldCharType="begin"/>
        </w:r>
        <w:r w:rsidR="00724B14">
          <w:rPr>
            <w:noProof/>
            <w:webHidden/>
          </w:rPr>
          <w:instrText xml:space="preserve"> PAGEREF _Toc424307109 \h </w:instrText>
        </w:r>
        <w:r w:rsidR="00724B14">
          <w:rPr>
            <w:noProof/>
            <w:webHidden/>
          </w:rPr>
        </w:r>
        <w:r w:rsidR="00724B14">
          <w:rPr>
            <w:noProof/>
            <w:webHidden/>
          </w:rPr>
          <w:fldChar w:fldCharType="separate"/>
        </w:r>
        <w:r w:rsidR="009F3AF0">
          <w:rPr>
            <w:noProof/>
            <w:webHidden/>
          </w:rPr>
          <w:t>358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10" w:history="1">
        <w:r w:rsidR="00724B14" w:rsidRPr="008E55E5">
          <w:rPr>
            <w:rStyle w:val="Hypertextovodkaz"/>
            <w:noProof/>
          </w:rPr>
          <w:t>1.1.1</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Zákony</w:t>
        </w:r>
        <w:r w:rsidR="00724B14">
          <w:rPr>
            <w:noProof/>
            <w:webHidden/>
          </w:rPr>
          <w:tab/>
        </w:r>
        <w:r w:rsidR="00724B14">
          <w:rPr>
            <w:noProof/>
            <w:webHidden/>
          </w:rPr>
          <w:fldChar w:fldCharType="begin"/>
        </w:r>
        <w:r w:rsidR="00724B14">
          <w:rPr>
            <w:noProof/>
            <w:webHidden/>
          </w:rPr>
          <w:instrText xml:space="preserve"> PAGEREF _Toc424307110 \h </w:instrText>
        </w:r>
        <w:r w:rsidR="00724B14">
          <w:rPr>
            <w:noProof/>
            <w:webHidden/>
          </w:rPr>
        </w:r>
        <w:r w:rsidR="00724B14">
          <w:rPr>
            <w:noProof/>
            <w:webHidden/>
          </w:rPr>
          <w:fldChar w:fldCharType="separate"/>
        </w:r>
        <w:r w:rsidR="009F3AF0">
          <w:rPr>
            <w:noProof/>
            <w:webHidden/>
          </w:rPr>
          <w:t>358</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11" w:history="1">
        <w:r w:rsidR="00724B14" w:rsidRPr="008E55E5">
          <w:rPr>
            <w:rStyle w:val="Hypertextovodkaz"/>
            <w:noProof/>
          </w:rPr>
          <w:t>1.1.2</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Nařízení vlády</w:t>
        </w:r>
        <w:r w:rsidR="00724B14">
          <w:rPr>
            <w:noProof/>
            <w:webHidden/>
          </w:rPr>
          <w:tab/>
        </w:r>
        <w:r w:rsidR="00724B14">
          <w:rPr>
            <w:noProof/>
            <w:webHidden/>
          </w:rPr>
          <w:fldChar w:fldCharType="begin"/>
        </w:r>
        <w:r w:rsidR="00724B14">
          <w:rPr>
            <w:noProof/>
            <w:webHidden/>
          </w:rPr>
          <w:instrText xml:space="preserve"> PAGEREF _Toc424307111 \h </w:instrText>
        </w:r>
        <w:r w:rsidR="00724B14">
          <w:rPr>
            <w:noProof/>
            <w:webHidden/>
          </w:rPr>
        </w:r>
        <w:r w:rsidR="00724B14">
          <w:rPr>
            <w:noProof/>
            <w:webHidden/>
          </w:rPr>
          <w:fldChar w:fldCharType="separate"/>
        </w:r>
        <w:r w:rsidR="009F3AF0">
          <w:rPr>
            <w:noProof/>
            <w:webHidden/>
          </w:rPr>
          <w:t>359</w:t>
        </w:r>
        <w:r w:rsidR="00724B14">
          <w:rPr>
            <w:noProof/>
            <w:webHidden/>
          </w:rPr>
          <w:fldChar w:fldCharType="end"/>
        </w:r>
      </w:hyperlink>
    </w:p>
    <w:p w:rsidR="00724B14" w:rsidRDefault="00234ED0">
      <w:pPr>
        <w:pStyle w:val="Obsah3"/>
        <w:rPr>
          <w:rFonts w:asciiTheme="minorHAnsi" w:eastAsiaTheme="minorEastAsia" w:hAnsiTheme="minorHAnsi" w:cstheme="minorBidi"/>
          <w:i w:val="0"/>
          <w:noProof/>
          <w:sz w:val="22"/>
          <w:szCs w:val="22"/>
          <w:lang w:eastAsia="cs-CZ"/>
        </w:rPr>
      </w:pPr>
      <w:hyperlink w:anchor="_Toc424307112" w:history="1">
        <w:r w:rsidR="00724B14" w:rsidRPr="008E55E5">
          <w:rPr>
            <w:rStyle w:val="Hypertextovodkaz"/>
            <w:noProof/>
          </w:rPr>
          <w:t>1.1.3</w:t>
        </w:r>
        <w:r w:rsidR="00724B14">
          <w:rPr>
            <w:rFonts w:asciiTheme="minorHAnsi" w:eastAsiaTheme="minorEastAsia" w:hAnsiTheme="minorHAnsi" w:cstheme="minorBidi"/>
            <w:i w:val="0"/>
            <w:noProof/>
            <w:sz w:val="22"/>
            <w:szCs w:val="22"/>
            <w:lang w:eastAsia="cs-CZ"/>
          </w:rPr>
          <w:tab/>
        </w:r>
        <w:r w:rsidR="00724B14" w:rsidRPr="008E55E5">
          <w:rPr>
            <w:rStyle w:val="Hypertextovodkaz"/>
            <w:noProof/>
          </w:rPr>
          <w:t>Vyhlášky</w:t>
        </w:r>
        <w:r w:rsidR="00724B14">
          <w:rPr>
            <w:noProof/>
            <w:webHidden/>
          </w:rPr>
          <w:tab/>
        </w:r>
        <w:r w:rsidR="00724B14">
          <w:rPr>
            <w:noProof/>
            <w:webHidden/>
          </w:rPr>
          <w:fldChar w:fldCharType="begin"/>
        </w:r>
        <w:r w:rsidR="00724B14">
          <w:rPr>
            <w:noProof/>
            <w:webHidden/>
          </w:rPr>
          <w:instrText xml:space="preserve"> PAGEREF _Toc424307112 \h </w:instrText>
        </w:r>
        <w:r w:rsidR="00724B14">
          <w:rPr>
            <w:noProof/>
            <w:webHidden/>
          </w:rPr>
        </w:r>
        <w:r w:rsidR="00724B14">
          <w:rPr>
            <w:noProof/>
            <w:webHidden/>
          </w:rPr>
          <w:fldChar w:fldCharType="separate"/>
        </w:r>
        <w:r w:rsidR="009F3AF0">
          <w:rPr>
            <w:noProof/>
            <w:webHidden/>
          </w:rPr>
          <w:t>360</w:t>
        </w:r>
        <w:r w:rsidR="00724B14">
          <w:rPr>
            <w:noProof/>
            <w:webHidden/>
          </w:rPr>
          <w:fldChar w:fldCharType="end"/>
        </w:r>
      </w:hyperlink>
    </w:p>
    <w:p w:rsidR="00724B14" w:rsidRDefault="00234ED0">
      <w:pPr>
        <w:pStyle w:val="Obsah2"/>
        <w:rPr>
          <w:rFonts w:asciiTheme="minorHAnsi" w:eastAsiaTheme="minorEastAsia" w:hAnsiTheme="minorHAnsi" w:cstheme="minorBidi"/>
          <w:noProof/>
          <w:sz w:val="22"/>
          <w:szCs w:val="22"/>
          <w:lang w:eastAsia="cs-CZ"/>
        </w:rPr>
      </w:pPr>
      <w:hyperlink w:anchor="_Toc424307113" w:history="1">
        <w:r w:rsidR="00724B14" w:rsidRPr="008E55E5">
          <w:rPr>
            <w:rStyle w:val="Hypertextovodkaz"/>
            <w:noProof/>
          </w:rPr>
          <w:t>1.2</w:t>
        </w:r>
        <w:r w:rsidR="00724B14">
          <w:rPr>
            <w:rFonts w:asciiTheme="minorHAnsi" w:eastAsiaTheme="minorEastAsia" w:hAnsiTheme="minorHAnsi" w:cstheme="minorBidi"/>
            <w:noProof/>
            <w:sz w:val="22"/>
            <w:szCs w:val="22"/>
            <w:lang w:eastAsia="cs-CZ"/>
          </w:rPr>
          <w:tab/>
        </w:r>
        <w:r w:rsidR="00724B14" w:rsidRPr="008E55E5">
          <w:rPr>
            <w:rStyle w:val="Hypertextovodkaz"/>
            <w:noProof/>
          </w:rPr>
          <w:t>Připravované právní předpisy v roce 2014</w:t>
        </w:r>
        <w:r w:rsidR="00724B14">
          <w:rPr>
            <w:noProof/>
            <w:webHidden/>
          </w:rPr>
          <w:tab/>
        </w:r>
        <w:r w:rsidR="00724B14">
          <w:rPr>
            <w:noProof/>
            <w:webHidden/>
          </w:rPr>
          <w:fldChar w:fldCharType="begin"/>
        </w:r>
        <w:r w:rsidR="00724B14">
          <w:rPr>
            <w:noProof/>
            <w:webHidden/>
          </w:rPr>
          <w:instrText xml:space="preserve"> PAGEREF _Toc424307113 \h </w:instrText>
        </w:r>
        <w:r w:rsidR="00724B14">
          <w:rPr>
            <w:noProof/>
            <w:webHidden/>
          </w:rPr>
        </w:r>
        <w:r w:rsidR="00724B14">
          <w:rPr>
            <w:noProof/>
            <w:webHidden/>
          </w:rPr>
          <w:fldChar w:fldCharType="separate"/>
        </w:r>
        <w:r w:rsidR="009F3AF0">
          <w:rPr>
            <w:noProof/>
            <w:webHidden/>
          </w:rPr>
          <w:t>363</w:t>
        </w:r>
        <w:r w:rsidR="00724B14">
          <w:rPr>
            <w:noProof/>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114" w:history="1">
        <w:r w:rsidR="00724B14" w:rsidRPr="008E55E5">
          <w:rPr>
            <w:rStyle w:val="Hypertextovodkaz"/>
          </w:rPr>
          <w:t>P2</w:t>
        </w:r>
        <w:r w:rsidR="00724B14">
          <w:rPr>
            <w:rFonts w:asciiTheme="minorHAnsi" w:eastAsiaTheme="minorEastAsia" w:hAnsiTheme="minorHAnsi" w:cstheme="minorBidi"/>
            <w:sz w:val="22"/>
            <w:szCs w:val="22"/>
            <w:lang w:eastAsia="cs-CZ"/>
          </w:rPr>
          <w:tab/>
        </w:r>
        <w:r w:rsidR="00724B14" w:rsidRPr="008E55E5">
          <w:rPr>
            <w:rStyle w:val="Hypertextovodkaz"/>
          </w:rPr>
          <w:t>Oficiální výsledky šetření FADN zemí EU 27 za účetní rok 2012</w:t>
        </w:r>
        <w:r w:rsidR="00724B14">
          <w:rPr>
            <w:webHidden/>
          </w:rPr>
          <w:tab/>
        </w:r>
        <w:r w:rsidR="00724B14">
          <w:rPr>
            <w:webHidden/>
          </w:rPr>
          <w:fldChar w:fldCharType="begin"/>
        </w:r>
        <w:r w:rsidR="00724B14">
          <w:rPr>
            <w:webHidden/>
          </w:rPr>
          <w:instrText xml:space="preserve"> PAGEREF _Toc424307114 \h </w:instrText>
        </w:r>
        <w:r w:rsidR="00724B14">
          <w:rPr>
            <w:webHidden/>
          </w:rPr>
        </w:r>
        <w:r w:rsidR="00724B14">
          <w:rPr>
            <w:webHidden/>
          </w:rPr>
          <w:fldChar w:fldCharType="separate"/>
        </w:r>
        <w:r w:rsidR="009F3AF0">
          <w:rPr>
            <w:webHidden/>
          </w:rPr>
          <w:t>364</w:t>
        </w:r>
        <w:r w:rsidR="00724B14">
          <w:rPr>
            <w:webHidden/>
          </w:rPr>
          <w:fldChar w:fldCharType="end"/>
        </w:r>
      </w:hyperlink>
    </w:p>
    <w:p w:rsidR="00724B14" w:rsidRDefault="00234ED0" w:rsidP="00724B14">
      <w:pPr>
        <w:pStyle w:val="Obsah1"/>
        <w:rPr>
          <w:rFonts w:asciiTheme="minorHAnsi" w:eastAsiaTheme="minorEastAsia" w:hAnsiTheme="minorHAnsi" w:cstheme="minorBidi"/>
          <w:sz w:val="22"/>
          <w:szCs w:val="22"/>
          <w:lang w:eastAsia="cs-CZ"/>
        </w:rPr>
      </w:pPr>
      <w:hyperlink w:anchor="_Toc424307115" w:history="1">
        <w:r w:rsidR="00724B14" w:rsidRPr="008E55E5">
          <w:rPr>
            <w:rStyle w:val="Hypertextovodkaz"/>
          </w:rPr>
          <w:t>P3</w:t>
        </w:r>
        <w:r w:rsidR="00724B14">
          <w:rPr>
            <w:rFonts w:asciiTheme="minorHAnsi" w:eastAsiaTheme="minorEastAsia" w:hAnsiTheme="minorHAnsi" w:cstheme="minorBidi"/>
            <w:sz w:val="22"/>
            <w:szCs w:val="22"/>
            <w:lang w:eastAsia="cs-CZ"/>
          </w:rPr>
          <w:tab/>
        </w:r>
        <w:r w:rsidR="00724B14" w:rsidRPr="008E55E5">
          <w:rPr>
            <w:rStyle w:val="Hypertextovodkaz"/>
          </w:rPr>
          <w:t>Tabulková příloha</w:t>
        </w:r>
        <w:r w:rsidR="00724B14">
          <w:rPr>
            <w:webHidden/>
          </w:rPr>
          <w:tab/>
        </w:r>
        <w:r w:rsidR="00724B14">
          <w:rPr>
            <w:webHidden/>
          </w:rPr>
          <w:fldChar w:fldCharType="begin"/>
        </w:r>
        <w:r w:rsidR="00724B14">
          <w:rPr>
            <w:webHidden/>
          </w:rPr>
          <w:instrText xml:space="preserve"> PAGEREF _Toc424307115 \h </w:instrText>
        </w:r>
        <w:r w:rsidR="00724B14">
          <w:rPr>
            <w:webHidden/>
          </w:rPr>
        </w:r>
        <w:r w:rsidR="00724B14">
          <w:rPr>
            <w:webHidden/>
          </w:rPr>
          <w:fldChar w:fldCharType="separate"/>
        </w:r>
        <w:r w:rsidR="009F3AF0">
          <w:rPr>
            <w:webHidden/>
          </w:rPr>
          <w:t>367</w:t>
        </w:r>
        <w:r w:rsidR="00724B14">
          <w:rPr>
            <w:webHidden/>
          </w:rPr>
          <w:fldChar w:fldCharType="end"/>
        </w:r>
      </w:hyperlink>
    </w:p>
    <w:p w:rsidR="00945E23" w:rsidRDefault="00947B86" w:rsidP="001B1FDF">
      <w:pPr>
        <w:pStyle w:val="Nadpis1-bezodsazen"/>
      </w:pPr>
      <w:r>
        <w:rPr>
          <w:rFonts w:ascii="Times New Roman" w:hAnsi="Times New Roman"/>
          <w:kern w:val="0"/>
          <w:sz w:val="16"/>
          <w:szCs w:val="23"/>
          <w:highlight w:val="yellow"/>
        </w:rPr>
        <w:lastRenderedPageBreak/>
        <w:fldChar w:fldCharType="end"/>
      </w:r>
      <w:bookmarkStart w:id="3" w:name="_Toc424307002"/>
      <w:r w:rsidR="00945E23">
        <w:t xml:space="preserve">Použité </w:t>
      </w:r>
      <w:r w:rsidR="00945E23" w:rsidRPr="002646A2">
        <w:t>zkratky</w:t>
      </w:r>
      <w:bookmarkEnd w:id="0"/>
      <w:bookmarkEnd w:id="1"/>
      <w:bookmarkEnd w:id="2"/>
      <w:bookmarkEnd w:id="3"/>
    </w:p>
    <w:p w:rsidR="00945E23" w:rsidRPr="008420B0" w:rsidRDefault="00945E23" w:rsidP="00945E23">
      <w:pPr>
        <w:pStyle w:val="mezera"/>
      </w:pPr>
    </w:p>
    <w:tbl>
      <w:tblPr>
        <w:tblW w:w="9298" w:type="dxa"/>
        <w:tblInd w:w="-5" w:type="dxa"/>
        <w:tblLayout w:type="fixed"/>
        <w:tblLook w:val="0000" w:firstRow="0" w:lastRow="0" w:firstColumn="0" w:lastColumn="0" w:noHBand="0" w:noVBand="0"/>
      </w:tblPr>
      <w:tblGrid>
        <w:gridCol w:w="1531"/>
        <w:gridCol w:w="7767"/>
      </w:tblGrid>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a. 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akciová společnost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AEO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agroenvironmentální</w:t>
            </w:r>
            <w:proofErr w:type="spellEnd"/>
            <w:r>
              <w:rPr>
                <w:rFonts w:eastAsia="MS Mincho"/>
              </w:rPr>
              <w:t xml:space="preserve"> opatření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AMI</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DD1305">
              <w:rPr>
                <w:lang w:val="de-DE"/>
              </w:rPr>
              <w:t>Agrarmarkt Informations-Gesellschaft mbH</w:t>
            </w:r>
            <w:r>
              <w:t xml:space="preserve"> (Zemědělská tržní informační společnost)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AWU</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Annual Work Unit</w:t>
            </w:r>
            <w:r>
              <w:rPr>
                <w:rFonts w:eastAsia="MS Mincho"/>
              </w:rPr>
              <w:t xml:space="preserve"> (roční pracovní jednotka)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AZO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agrární zahraniční obchod</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 xml:space="preserve">b. </w:t>
            </w:r>
            <w:proofErr w:type="gramStart"/>
            <w:r>
              <w:rPr>
                <w:rFonts w:eastAsia="MS Mincho"/>
              </w:rPr>
              <w:t>c.</w:t>
            </w:r>
            <w:proofErr w:type="gram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běžné ceny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BPEJ</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925AED" w:rsidRDefault="00945E23" w:rsidP="00945E23">
            <w:pPr>
              <w:pStyle w:val="Tabulka"/>
              <w:rPr>
                <w:rFonts w:eastAsia="MS Mincho"/>
                <w:lang w:val="fr-FR"/>
              </w:rPr>
            </w:pPr>
            <w:r w:rsidRPr="00D31E2C">
              <w:t>bonitovan</w:t>
            </w:r>
            <w:r>
              <w:t>á půdně-ekologická jednotka</w:t>
            </w:r>
          </w:p>
        </w:tc>
      </w:tr>
      <w:tr w:rsidR="002B1280" w:rsidTr="00945E23">
        <w:trPr>
          <w:cantSplit/>
        </w:trPr>
        <w:tc>
          <w:tcPr>
            <w:tcW w:w="1531" w:type="dxa"/>
            <w:tcBorders>
              <w:top w:val="single" w:sz="4" w:space="0" w:color="000000"/>
              <w:left w:val="single" w:sz="4" w:space="0" w:color="000000"/>
              <w:bottom w:val="single" w:sz="4" w:space="0" w:color="000000"/>
            </w:tcBorders>
            <w:shd w:val="clear" w:color="auto" w:fill="auto"/>
          </w:tcPr>
          <w:p w:rsidR="002B1280" w:rsidRDefault="002B1280" w:rsidP="00945E23">
            <w:pPr>
              <w:pStyle w:val="Tabulka"/>
              <w:rPr>
                <w:rFonts w:eastAsia="MS Mincho"/>
              </w:rPr>
            </w:pPr>
            <w:r>
              <w:rPr>
                <w:rFonts w:eastAsia="MS Mincho"/>
              </w:rPr>
              <w:t>BPS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2B1280" w:rsidRDefault="002B1280" w:rsidP="00945E23">
            <w:pPr>
              <w:pStyle w:val="Tabulka"/>
              <w:rPr>
                <w:rFonts w:eastAsia="MS Mincho"/>
              </w:rPr>
            </w:pPr>
            <w:r>
              <w:rPr>
                <w:rFonts w:eastAsia="MS Mincho"/>
              </w:rPr>
              <w:t>bioplynové stanice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BTPM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bez tržní produkce mléka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COCERAL</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925AED" w:rsidRDefault="00945E23" w:rsidP="00945E23">
            <w:pPr>
              <w:pStyle w:val="Tabulka"/>
              <w:rPr>
                <w:rFonts w:eastAsia="MS Mincho"/>
              </w:rPr>
            </w:pPr>
            <w:r w:rsidRPr="00925AED">
              <w:rPr>
                <w:rFonts w:eastAsia="MS Mincho"/>
                <w:lang w:val="fr-FR"/>
              </w:rPr>
              <w:t>Comité du Commerce des céréales, aliments du bétail, oléagineux, huile d'olive, huiles et graisses et agrofournitures</w:t>
            </w:r>
            <w:r>
              <w:rPr>
                <w:rFonts w:eastAsia="MS Mincho"/>
              </w:rPr>
              <w:t xml:space="preserve"> (Asociace obchodníků s obilovinami a olejninami v EU)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CPV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ceny průmyslových výrobců</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CZ</w:t>
            </w:r>
            <w:r>
              <w:rPr>
                <w:rFonts w:eastAsia="MS Mincho"/>
              </w:rPr>
              <w:noBreakHyphen/>
              <w:t>NACE</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Klasifikace ekonomických činností v ČR</w:t>
            </w:r>
          </w:p>
          <w:p w:rsidR="00945E23" w:rsidRDefault="00945E23" w:rsidP="00945E23">
            <w:pPr>
              <w:pStyle w:val="Tabulka"/>
              <w:rPr>
                <w:rFonts w:eastAsia="MS Mincho"/>
              </w:rPr>
            </w:pPr>
            <w:r>
              <w:t xml:space="preserve">NACE – </w:t>
            </w:r>
            <w:r>
              <w:rPr>
                <w:rFonts w:eastAsia="MS Mincho"/>
                <w:lang w:val="fr-FR"/>
              </w:rPr>
              <w:t>Nomenclature générale des Activités économiques dans les Communautés Européennes</w:t>
            </w:r>
            <w:r>
              <w:rPr>
                <w:rFonts w:eastAsia="MS Mincho"/>
              </w:rPr>
              <w:t xml:space="preserve"> (Klasifikace ekonomických činností)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CZV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ceny zemědělských výrobců</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ČAP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Česká asociace pojišťoven</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ČHMÚ</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Český hydrometeorologický ústav</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ČIŽP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Česká inspekce životního prostředí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ČNB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Česká národní banka</w:t>
            </w:r>
          </w:p>
        </w:tc>
      </w:tr>
      <w:tr w:rsidR="00B07D79" w:rsidTr="00F90496">
        <w:trPr>
          <w:cantSplit/>
        </w:trPr>
        <w:tc>
          <w:tcPr>
            <w:tcW w:w="1531" w:type="dxa"/>
            <w:tcBorders>
              <w:top w:val="single" w:sz="4" w:space="0" w:color="000000"/>
              <w:left w:val="single" w:sz="4" w:space="0" w:color="000000"/>
              <w:bottom w:val="single" w:sz="4" w:space="0" w:color="000000"/>
            </w:tcBorders>
            <w:shd w:val="clear" w:color="auto" w:fill="auto"/>
          </w:tcPr>
          <w:p w:rsidR="00B07D79" w:rsidRDefault="00B07D79" w:rsidP="00F90496">
            <w:pPr>
              <w:pStyle w:val="Tabulka"/>
              <w:rPr>
                <w:rFonts w:eastAsia="MS Mincho"/>
              </w:rPr>
            </w:pPr>
            <w:r>
              <w:rPr>
                <w:rFonts w:eastAsia="MS Mincho"/>
              </w:rPr>
              <w:t>ČPI</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B07D79" w:rsidRDefault="00B07D79" w:rsidP="00F90496">
            <w:pPr>
              <w:pStyle w:val="Tabulka"/>
              <w:rPr>
                <w:rFonts w:eastAsia="MS Mincho"/>
              </w:rPr>
            </w:pPr>
            <w:r>
              <w:rPr>
                <w:rFonts w:eastAsia="MS Mincho"/>
              </w:rPr>
              <w:t>Česká plemenářská inspekce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ČSÚ</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Český statistický úřad</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ČÚZK</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Český úřad zeměměřický a katastrální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č. ž.</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čisté živiny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234ED0" w:rsidP="00945E23">
            <w:pPr>
              <w:pStyle w:val="Tabulka"/>
              <w:rPr>
                <w:rFonts w:eastAsia="MS Mincho"/>
              </w:rPr>
            </w:pPr>
            <w:hyperlink r:id="rId9" w:history="1">
              <w:r w:rsidR="00945E23" w:rsidRPr="00A5760A">
                <w:rPr>
                  <w:rStyle w:val="Hypertextovodkaz"/>
                  <w:rFonts w:eastAsia="MS Mincho"/>
                </w:rPr>
                <w:t>DDE</w:t>
              </w:r>
            </w:hyperlink>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sidRPr="00A5760A">
              <w:rPr>
                <w:rFonts w:eastAsia="MS Mincho"/>
              </w:rPr>
              <w:t>dichlorodiphenyldichloroethylene</w:t>
            </w:r>
            <w:proofErr w:type="spellEnd"/>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234ED0" w:rsidP="00945E23">
            <w:pPr>
              <w:pStyle w:val="Tabulka"/>
              <w:rPr>
                <w:rFonts w:eastAsia="MS Mincho"/>
              </w:rPr>
            </w:pPr>
            <w:hyperlink r:id="rId10" w:history="1">
              <w:r w:rsidR="00945E23" w:rsidRPr="009739C8">
                <w:rPr>
                  <w:rStyle w:val="Hypertextovodkaz"/>
                  <w:rFonts w:eastAsia="MS Mincho"/>
                </w:rPr>
                <w:t>DDT</w:t>
              </w:r>
            </w:hyperlink>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dichlor</w:t>
            </w:r>
            <w:proofErr w:type="spellEnd"/>
            <w:r>
              <w:rPr>
                <w:rFonts w:eastAsia="MS Mincho"/>
              </w:rPr>
              <w:t>-difenyl-</w:t>
            </w:r>
            <w:proofErr w:type="spellStart"/>
            <w:r>
              <w:rPr>
                <w:rFonts w:eastAsia="MS Mincho"/>
              </w:rPr>
              <w:t>trichlorethan</w:t>
            </w:r>
            <w:proofErr w:type="spellEnd"/>
            <w:r>
              <w:rPr>
                <w:rFonts w:eastAsia="MS Mincho"/>
              </w:rPr>
              <w:t xml:space="preserve"> (</w:t>
            </w:r>
            <w:proofErr w:type="spellStart"/>
            <w:r>
              <w:rPr>
                <w:rFonts w:eastAsia="MS Mincho"/>
              </w:rPr>
              <w:t>dichlor</w:t>
            </w:r>
            <w:proofErr w:type="spellEnd"/>
            <w:r>
              <w:rPr>
                <w:rFonts w:eastAsia="MS Mincho"/>
              </w:rPr>
              <w:t>-difenyl-</w:t>
            </w:r>
            <w:proofErr w:type="spellStart"/>
            <w:r>
              <w:rPr>
                <w:rFonts w:eastAsia="MS Mincho"/>
              </w:rPr>
              <w:t>trichlormethyl</w:t>
            </w:r>
            <w:proofErr w:type="spellEnd"/>
            <w:r>
              <w:rPr>
                <w:rFonts w:eastAsia="MS Mincho"/>
              </w:rPr>
              <w:t>-</w:t>
            </w:r>
            <w:proofErr w:type="spellStart"/>
            <w:r>
              <w:rPr>
                <w:rFonts w:eastAsia="MS Mincho"/>
              </w:rPr>
              <w:t>methan</w:t>
            </w:r>
            <w:proofErr w:type="spellEnd"/>
            <w:r>
              <w:rPr>
                <w:rFonts w:eastAsia="MS Mincho"/>
              </w:rPr>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sidRPr="0025444A">
              <w:rPr>
                <w:rFonts w:eastAsia="MS Mincho"/>
              </w:rPr>
              <w:t>DG AGRI</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25444A">
              <w:rPr>
                <w:rFonts w:eastAsia="MS Mincho"/>
                <w:lang w:val="en-GB"/>
              </w:rPr>
              <w:t>Directorate General for Agriculture and Rural Development</w:t>
            </w:r>
            <w:r w:rsidRPr="0025444A">
              <w:rPr>
                <w:rFonts w:eastAsia="MS Mincho"/>
              </w:rPr>
              <w:t xml:space="preserve"> </w:t>
            </w:r>
            <w:r>
              <w:rPr>
                <w:rFonts w:eastAsia="MS Mincho"/>
              </w:rPr>
              <w:t>(</w:t>
            </w:r>
            <w:r w:rsidRPr="0025444A">
              <w:rPr>
                <w:rFonts w:eastAsia="MS Mincho"/>
              </w:rPr>
              <w:t>Generální ředitelství pro zemědělství a rozvoj venkova</w:t>
            </w:r>
            <w:r>
              <w:rPr>
                <w:rFonts w:eastAsia="MS Mincho"/>
              </w:rPr>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DPH</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daň z přidané hodnoty</w:t>
            </w:r>
          </w:p>
        </w:tc>
      </w:tr>
      <w:tr w:rsidR="00550F6E" w:rsidTr="00945E23">
        <w:trPr>
          <w:cantSplit/>
        </w:trPr>
        <w:tc>
          <w:tcPr>
            <w:tcW w:w="1531" w:type="dxa"/>
            <w:tcBorders>
              <w:top w:val="single" w:sz="4" w:space="0" w:color="000000"/>
              <w:left w:val="single" w:sz="4" w:space="0" w:color="000000"/>
              <w:bottom w:val="single" w:sz="4" w:space="0" w:color="000000"/>
            </w:tcBorders>
            <w:shd w:val="clear" w:color="auto" w:fill="auto"/>
          </w:tcPr>
          <w:p w:rsidR="00550F6E" w:rsidRDefault="00550F6E" w:rsidP="00945E23">
            <w:pPr>
              <w:pStyle w:val="Tabulka"/>
              <w:rPr>
                <w:rFonts w:eastAsia="MS Mincho"/>
              </w:rPr>
            </w:pPr>
            <w:proofErr w:type="spellStart"/>
            <w:r>
              <w:rPr>
                <w:rFonts w:eastAsia="MS Mincho"/>
              </w:rPr>
              <w:t>DUoP</w:t>
            </w:r>
            <w:proofErr w:type="spell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550F6E" w:rsidRPr="00550F6E" w:rsidRDefault="00550F6E" w:rsidP="00945E23">
            <w:pPr>
              <w:pStyle w:val="Tabulka"/>
              <w:rPr>
                <w:rFonts w:eastAsia="MS Mincho"/>
              </w:rPr>
            </w:pPr>
            <w:r w:rsidRPr="00550F6E">
              <w:rPr>
                <w:rFonts w:eastAsia="MS Mincho"/>
              </w:rPr>
              <w:t>dosažitelný uchazeč o práci</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EAFRD</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European Agricultural Fund for Rural Development</w:t>
            </w:r>
            <w:r>
              <w:rPr>
                <w:rFonts w:eastAsia="MS Mincho"/>
              </w:rPr>
              <w:t xml:space="preserve"> (Evropský zemědělský fond pro rozvoj venkova)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EFF</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EB4092">
              <w:rPr>
                <w:rFonts w:eastAsia="MS Mincho"/>
              </w:rPr>
              <w:t>Evropsk</w:t>
            </w:r>
            <w:r>
              <w:rPr>
                <w:rFonts w:eastAsia="MS Mincho"/>
              </w:rPr>
              <w:t>ý</w:t>
            </w:r>
            <w:r w:rsidRPr="00EB4092">
              <w:rPr>
                <w:rFonts w:eastAsia="MS Mincho"/>
              </w:rPr>
              <w:t xml:space="preserve"> rybářsk</w:t>
            </w:r>
            <w:r>
              <w:rPr>
                <w:rFonts w:eastAsia="MS Mincho"/>
              </w:rPr>
              <w:t>ý fond</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EHS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Evropské hospodářské společenství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EK</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Evropská komise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Evropské společenství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EU 15</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Evropská unie po roce 1994 (vč. Rakouska, Finska, Švédska)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EU 25</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Evropská unie od 1. 5. 2004</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Pr="006C2152" w:rsidRDefault="00945E23" w:rsidP="00945E23">
            <w:pPr>
              <w:pStyle w:val="Tabulka"/>
              <w:rPr>
                <w:rFonts w:eastAsia="MS Mincho"/>
              </w:rPr>
            </w:pPr>
            <w:r w:rsidRPr="006C2152">
              <w:rPr>
                <w:rFonts w:eastAsia="MS Mincho"/>
              </w:rPr>
              <w:lastRenderedPageBreak/>
              <w:t>EU 27</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5C6417" w:rsidRDefault="00945E23" w:rsidP="00945E23">
            <w:pPr>
              <w:pStyle w:val="Tabulka"/>
              <w:rPr>
                <w:rFonts w:eastAsia="MS Mincho"/>
              </w:rPr>
            </w:pPr>
            <w:r w:rsidRPr="005C6417">
              <w:rPr>
                <w:rFonts w:eastAsia="MS Mincho"/>
              </w:rPr>
              <w:t>Evropská unie od 1. 1. 2007 (</w:t>
            </w:r>
            <w:r w:rsidRPr="0075252C">
              <w:rPr>
                <w:rFonts w:eastAsia="MS Mincho"/>
              </w:rPr>
              <w:t>Belgie, Bulharsko, Česká republika, Dánsko, Estonsko, Finsko, Francie, Irsko, Itálie, Kypr, Litva, Lotyšsko, Lucembursko, Maďarsko, Malta, Německo, Nizozemsko, Polsko, Portugalsko, Rakousko, Rumunsko, Řecko, Slovensko, Slovinsko, Spojené království, Španělsko, Švédsko</w:t>
            </w:r>
            <w:r w:rsidRPr="005C6417">
              <w:rPr>
                <w:rFonts w:eastAsia="MS Mincho"/>
              </w:rPr>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Pr="006C2152" w:rsidRDefault="00522CB7" w:rsidP="00522CB7">
            <w:pPr>
              <w:pStyle w:val="Tabulka"/>
              <w:rPr>
                <w:rFonts w:eastAsia="MS Mincho"/>
              </w:rPr>
            </w:pPr>
            <w:r>
              <w:rPr>
                <w:rFonts w:eastAsia="MS Mincho"/>
              </w:rPr>
              <w:t>EU</w:t>
            </w:r>
            <w:r w:rsidRPr="006C2152">
              <w:rPr>
                <w:rFonts w:eastAsia="MS Mincho"/>
              </w:rPr>
              <w:t xml:space="preserve"> </w:t>
            </w:r>
            <w:r>
              <w:rPr>
                <w:rFonts w:eastAsia="MS Mincho"/>
              </w:rPr>
              <w:t xml:space="preserve">= </w:t>
            </w:r>
            <w:r w:rsidR="00945E23" w:rsidRPr="006C2152">
              <w:rPr>
                <w:rFonts w:eastAsia="MS Mincho"/>
              </w:rPr>
              <w:t>EU 28</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C86BB2" w:rsidRDefault="00945E23" w:rsidP="00945E23">
            <w:pPr>
              <w:pStyle w:val="Tabulka"/>
              <w:rPr>
                <w:rFonts w:eastAsia="MS Mincho"/>
              </w:rPr>
            </w:pPr>
            <w:r w:rsidRPr="005C6417">
              <w:rPr>
                <w:rFonts w:eastAsia="MS Mincho"/>
              </w:rPr>
              <w:t xml:space="preserve">Evropská unie od </w:t>
            </w:r>
            <w:r w:rsidRPr="00945E23">
              <w:rPr>
                <w:rFonts w:eastAsia="MS Mincho"/>
              </w:rPr>
              <w:t>1.</w:t>
            </w:r>
            <w:r>
              <w:rPr>
                <w:rFonts w:eastAsia="MS Mincho"/>
              </w:rPr>
              <w:t xml:space="preserve"> </w:t>
            </w:r>
            <w:r w:rsidRPr="00945E23">
              <w:rPr>
                <w:rFonts w:eastAsia="MS Mincho"/>
              </w:rPr>
              <w:t>7.</w:t>
            </w:r>
            <w:r>
              <w:rPr>
                <w:rFonts w:eastAsia="MS Mincho"/>
              </w:rPr>
              <w:t xml:space="preserve"> </w:t>
            </w:r>
            <w:r w:rsidRPr="00945E23">
              <w:rPr>
                <w:rFonts w:eastAsia="MS Mincho"/>
              </w:rPr>
              <w:t>2013</w:t>
            </w:r>
          </w:p>
          <w:p w:rsidR="00945E23" w:rsidRPr="005C6417" w:rsidRDefault="00945E23" w:rsidP="00945E23">
            <w:pPr>
              <w:pStyle w:val="Tabulka"/>
              <w:rPr>
                <w:rFonts w:eastAsia="MS Mincho"/>
              </w:rPr>
            </w:pPr>
            <w:r w:rsidRPr="00945E23">
              <w:rPr>
                <w:rFonts w:eastAsia="MS Mincho"/>
              </w:rPr>
              <w:t>Belgie (1952), Bulharsko (2007), Česká republika (2004), Dánsko (1973), Estonsko (2004), Finsko (1995), Francie (1952), Chorvatsko (2013), Irsko (1973), Itálie (1952), Kypr (2004), Litva (2004), Lotyšsko (2004), Lucembursko (1952), Maďarsko (2004), Malta (2004), Německo (1952), Nizozemsko (1952), Polsko (2004), Portugalsko (1986), Rakousko (1995), Rumunsko (2007), Řecko (1981), Slovensko (2004), Slovinsko (2004), Spojené království (1973), Španělsko (1986), Švédsko (1995)</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 xml:space="preserve">euro = </w:t>
            </w:r>
            <w:r w:rsidRPr="00CD00FA">
              <w:rPr>
                <w:rFonts w:eastAsia="MS Mincho"/>
              </w:rPr>
              <w:t>oficiální platidlo v 17 státech Evropské unie (tzv. eurozóně) a v šesti dalších zemích mimo EU, v devizové podobě platí od 1. ledna 1999, ve valutové podobě od 1. ledna 2002</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234ED0" w:rsidP="00945E23">
            <w:pPr>
              <w:pStyle w:val="Tabulka"/>
              <w:rPr>
                <w:rFonts w:eastAsia="MS Mincho"/>
              </w:rPr>
            </w:pPr>
            <w:hyperlink r:id="rId11" w:history="1">
              <w:proofErr w:type="spellStart"/>
              <w:r w:rsidR="00945E23" w:rsidRPr="00F93A75">
                <w:rPr>
                  <w:rStyle w:val="Hypertextovodkaz"/>
                  <w:rFonts w:eastAsia="MS Mincho"/>
                </w:rPr>
                <w:t>Eurostat</w:t>
              </w:r>
              <w:proofErr w:type="spellEnd"/>
            </w:hyperlink>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544EE3">
              <w:rPr>
                <w:rFonts w:eastAsia="MS Mincho"/>
              </w:rPr>
              <w:t>Statistický úřad Evropské unie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sidRPr="00755F66">
              <w:rPr>
                <w:rFonts w:eastAsia="MS Mincho"/>
              </w:rPr>
              <w:t>eurozóna</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970F30" w:rsidRDefault="00945E23" w:rsidP="00945E23">
            <w:pPr>
              <w:pStyle w:val="Tabulka"/>
              <w:rPr>
                <w:rFonts w:eastAsia="MS Mincho"/>
              </w:rPr>
            </w:pPr>
            <w:r w:rsidRPr="00755F66">
              <w:rPr>
                <w:rFonts w:eastAsia="MS Mincho"/>
              </w:rPr>
              <w:t xml:space="preserve">euro oblast, území Evropské unie, na kterém se užívá společná evropská měna euro (Belgie, Estonsko, Finsko, Francie, Irsko, Itálie, Kypr, </w:t>
            </w:r>
            <w:r w:rsidR="002B1280">
              <w:rPr>
                <w:rFonts w:eastAsia="MS Mincho"/>
              </w:rPr>
              <w:t xml:space="preserve">Lotyšsko, </w:t>
            </w:r>
            <w:r w:rsidRPr="00755F66">
              <w:rPr>
                <w:rFonts w:eastAsia="MS Mincho"/>
              </w:rPr>
              <w:t>Lucembursko, Malta, Německo, Nizozemsko, Portugalsko, Rakousko, Řecko, Slovensko, Slovinsko</w:t>
            </w:r>
            <w:r>
              <w:rPr>
                <w:rFonts w:eastAsia="MS Mincho"/>
              </w:rPr>
              <w:t>,</w:t>
            </w:r>
            <w:r w:rsidRPr="00755F66">
              <w:rPr>
                <w:rFonts w:eastAsia="MS Mincho"/>
              </w:rPr>
              <w:t xml:space="preserve"> Španělsko)</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FADN</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Farm Accountancy Data Network</w:t>
            </w:r>
            <w:r>
              <w:rPr>
                <w:rFonts w:eastAsia="MS Mincho"/>
              </w:rPr>
              <w:t xml:space="preserve"> (Síť testovacích podniků)</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FAME</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sidRPr="008520EA">
              <w:rPr>
                <w:rFonts w:eastAsia="MS Mincho"/>
              </w:rPr>
              <w:t>Fatty</w:t>
            </w:r>
            <w:proofErr w:type="spellEnd"/>
            <w:r w:rsidRPr="008520EA">
              <w:rPr>
                <w:rFonts w:eastAsia="MS Mincho"/>
              </w:rPr>
              <w:t xml:space="preserve"> Acid </w:t>
            </w:r>
            <w:proofErr w:type="spellStart"/>
            <w:r w:rsidRPr="008520EA">
              <w:rPr>
                <w:rFonts w:eastAsia="MS Mincho"/>
              </w:rPr>
              <w:t>Methyl</w:t>
            </w:r>
            <w:proofErr w:type="spellEnd"/>
            <w:r w:rsidRPr="008520EA">
              <w:rPr>
                <w:rFonts w:eastAsia="MS Mincho"/>
              </w:rPr>
              <w:t xml:space="preserve"> Ester</w:t>
            </w:r>
            <w:r>
              <w:rPr>
                <w:rFonts w:eastAsia="MS Mincho"/>
              </w:rPr>
              <w:t xml:space="preserve"> (skupina esterů mastných kyselin, dříve MEŘO)</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FOB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DD1305">
              <w:rPr>
                <w:rFonts w:eastAsia="MS Mincho"/>
                <w:lang w:val="en-GB"/>
              </w:rPr>
              <w:t>Free on Board</w:t>
            </w:r>
            <w:r w:rsidRPr="00CD00FA">
              <w:rPr>
                <w:rFonts w:eastAsia="MS Mincho"/>
              </w:rPr>
              <w:t xml:space="preserve"> (vyplaceně na palubu lodi), dodací doložka INCOTERMS 2010</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GAEC</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Good Agricultural and Environmental Condition</w:t>
            </w:r>
            <w:r>
              <w:rPr>
                <w:rFonts w:eastAsia="MS Mincho"/>
              </w:rPr>
              <w:t xml:space="preserve"> (Dobrý zemědělský a environmentální stav)</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GJ</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gigajoule (jednotka energie)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GM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geneticky modifikované</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GMO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geneticky modifikované organizmy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GWh</w:t>
            </w:r>
            <w:proofErr w:type="spell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gigawatthodina</w:t>
            </w:r>
          </w:p>
        </w:tc>
      </w:tr>
      <w:tr w:rsidR="00197026" w:rsidTr="00945E23">
        <w:trPr>
          <w:cantSplit/>
        </w:trPr>
        <w:tc>
          <w:tcPr>
            <w:tcW w:w="1531" w:type="dxa"/>
            <w:tcBorders>
              <w:top w:val="single" w:sz="4" w:space="0" w:color="000000"/>
              <w:left w:val="single" w:sz="4" w:space="0" w:color="000000"/>
              <w:bottom w:val="single" w:sz="4" w:space="0" w:color="000000"/>
            </w:tcBorders>
            <w:shd w:val="clear" w:color="auto" w:fill="auto"/>
          </w:tcPr>
          <w:p w:rsidR="00197026" w:rsidRDefault="00197026" w:rsidP="00945E23">
            <w:pPr>
              <w:pStyle w:val="Tabulka"/>
              <w:rPr>
                <w:rFonts w:eastAsia="MS Mincho"/>
              </w:rPr>
            </w:pPr>
            <w:r w:rsidRPr="00197026">
              <w:rPr>
                <w:rFonts w:eastAsia="MS Mincho"/>
              </w:rPr>
              <w:t>HACCP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197026" w:rsidRDefault="00197026" w:rsidP="00197026">
            <w:pPr>
              <w:pStyle w:val="Normlnvlevo"/>
              <w:rPr>
                <w:rFonts w:eastAsia="MS Mincho"/>
              </w:rPr>
            </w:pPr>
            <w:r w:rsidRPr="00972E01">
              <w:rPr>
                <w:lang w:val="en-GB"/>
              </w:rPr>
              <w:t>Hazard Analysis and Critical Control Points</w:t>
            </w:r>
            <w:r>
              <w:t xml:space="preserve"> (Systém analýzy rizika a stanovení kritických kontrolních bodů)</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HDP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hrubý domácí produkt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HPH</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hrubá přidaná hodnota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HRDP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Horizontal Rural Development Plan</w:t>
            </w:r>
            <w:r>
              <w:rPr>
                <w:rFonts w:eastAsia="MS Mincho"/>
              </w:rPr>
              <w:t xml:space="preserve"> (Horizontální plán rozvoje venkova)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HS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H</w:t>
            </w:r>
            <w:r w:rsidRPr="00C61AAA">
              <w:rPr>
                <w:rFonts w:eastAsia="MS Mincho"/>
              </w:rPr>
              <w:t xml:space="preserve">armonizovaný systém </w:t>
            </w:r>
            <w:r>
              <w:rPr>
                <w:rFonts w:eastAsia="MS Mincho"/>
              </w:rPr>
              <w:t xml:space="preserve">popisu a číselného označování </w:t>
            </w:r>
            <w:r w:rsidRPr="00C61AAA">
              <w:rPr>
                <w:rFonts w:eastAsia="MS Mincho"/>
              </w:rPr>
              <w:t>zboží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CHKO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chráněná krajinná oblast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ILO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International Labour Organization</w:t>
            </w:r>
            <w:r>
              <w:rPr>
                <w:rFonts w:eastAsia="MS Mincho"/>
              </w:rPr>
              <w:t xml:space="preserve"> (Mezinárodní organizace práce)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Intrastat</w:t>
            </w:r>
            <w:proofErr w:type="spell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970F30" w:rsidRDefault="00945E23" w:rsidP="00945E23">
            <w:pPr>
              <w:pStyle w:val="Tabulka"/>
              <w:rPr>
                <w:rFonts w:eastAsia="MS Mincho"/>
              </w:rPr>
            </w:pPr>
            <w:r w:rsidRPr="00970F30">
              <w:rPr>
                <w:rFonts w:eastAsia="MS Mincho"/>
              </w:rPr>
              <w:t>statistický systém sběru a zpracování dat sledující pohyb zboží mezi členskými státy EU, tj. i mezi ČR a ostatními členskými státy EU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IPPC</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Integrated Pollution Prevention and Control</w:t>
            </w:r>
            <w:r>
              <w:rPr>
                <w:rFonts w:eastAsia="MS Mincho"/>
              </w:rPr>
              <w:t xml:space="preserve"> (Integrovaná prevence a omezování znečištění)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lastRenderedPageBreak/>
              <w:t>ISTA</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International Seed Testing Association</w:t>
            </w:r>
            <w:r>
              <w:rPr>
                <w:rFonts w:eastAsia="MS Mincho"/>
              </w:rPr>
              <w:t xml:space="preserve"> (Mezinárodní asociace pro zkoušení semen)</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j. hm.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jatečná hmotnost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kt</w:t>
            </w:r>
            <w:proofErr w:type="spell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kilotuna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kW</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kilowatt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KVS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Krajská veterinární správa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Pr="00F20191" w:rsidRDefault="00945E23" w:rsidP="00945E23">
            <w:pPr>
              <w:pStyle w:val="Tabulka"/>
              <w:rPr>
                <w:rFonts w:eastAsia="MS Mincho"/>
              </w:rPr>
            </w:pPr>
            <w:r>
              <w:rPr>
                <w:rFonts w:eastAsia="MS Mincho"/>
              </w:rPr>
              <w:t>LAU</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B50B91" w:rsidRDefault="00945E23" w:rsidP="00945E23">
            <w:pPr>
              <w:pStyle w:val="Tabulka"/>
              <w:rPr>
                <w:rFonts w:eastAsia="MS Mincho"/>
              </w:rPr>
            </w:pPr>
            <w:r w:rsidRPr="00445CD0">
              <w:rPr>
                <w:rFonts w:eastAsia="MS Mincho"/>
                <w:lang w:val="en-GB"/>
              </w:rPr>
              <w:t>Local Administrative Units</w:t>
            </w:r>
            <w:r w:rsidRPr="00445CD0">
              <w:rPr>
                <w:rFonts w:eastAsia="MS Mincho"/>
              </w:rPr>
              <w:t xml:space="preserve"> (</w:t>
            </w:r>
            <w:r>
              <w:rPr>
                <w:rFonts w:eastAsia="MS Mincho"/>
              </w:rPr>
              <w:t>m</w:t>
            </w:r>
            <w:r w:rsidRPr="00445CD0">
              <w:rPr>
                <w:rFonts w:eastAsia="MS Mincho"/>
              </w:rPr>
              <w:t>ístní samosprávné jednotky</w:t>
            </w:r>
            <w:r>
              <w:rPr>
                <w:rFonts w:eastAsia="MS Mincho"/>
              </w:rPr>
              <w:t xml:space="preserve">; LAU 1 – </w:t>
            </w:r>
            <w:r w:rsidRPr="00445CD0">
              <w:rPr>
                <w:rFonts w:eastAsia="MS Mincho"/>
              </w:rPr>
              <w:t>okres</w:t>
            </w:r>
            <w:r>
              <w:rPr>
                <w:rFonts w:eastAsia="MS Mincho"/>
              </w:rPr>
              <w:t xml:space="preserve">, LAU 2 – </w:t>
            </w:r>
            <w:r w:rsidRPr="00445CD0">
              <w:rPr>
                <w:rFonts w:eastAsia="MS Mincho"/>
              </w:rPr>
              <w:t>obec</w:t>
            </w:r>
            <w:r>
              <w:rPr>
                <w:rFonts w:eastAsia="MS Mincho"/>
              </w:rPr>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sidRPr="00F20191">
              <w:rPr>
                <w:rFonts w:eastAsia="MS Mincho"/>
              </w:rPr>
              <w:t>LEADER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EE536A" w:rsidRDefault="00945E23" w:rsidP="00945E23">
            <w:pPr>
              <w:pStyle w:val="Tabulka"/>
              <w:rPr>
                <w:rFonts w:eastAsia="MS Mincho"/>
              </w:rPr>
            </w:pPr>
            <w:r w:rsidRPr="00DD1305">
              <w:rPr>
                <w:rFonts w:eastAsia="MS Mincho"/>
                <w:lang w:val="fr-FR"/>
              </w:rPr>
              <w:t>Liaison Entre Actions de Développement de l'Economie Rurale</w:t>
            </w:r>
            <w:r>
              <w:rPr>
                <w:rFonts w:eastAsia="MS Mincho"/>
              </w:rPr>
              <w:t xml:space="preserve"> </w:t>
            </w:r>
            <w:r w:rsidRPr="00EE536A">
              <w:rPr>
                <w:rFonts w:eastAsia="MS Mincho"/>
              </w:rPr>
              <w:t xml:space="preserve">(Vazba mezi akcemi </w:t>
            </w:r>
            <w:r w:rsidRPr="000A2AAC">
              <w:rPr>
                <w:rFonts w:eastAsia="MS Mincho"/>
              </w:rPr>
              <w:t xml:space="preserve">hospodářského rozvoje venkova) </w:t>
            </w:r>
            <w:r>
              <w:rPr>
                <w:rFonts w:eastAsia="MS Mincho"/>
              </w:rPr>
              <w:t>–</w:t>
            </w:r>
            <w:r w:rsidRPr="00EE536A">
              <w:rPr>
                <w:rFonts w:eastAsia="MS Mincho"/>
              </w:rPr>
              <w:t xml:space="preserve"> </w:t>
            </w:r>
            <w:r w:rsidRPr="000A2AAC">
              <w:rPr>
                <w:rFonts w:eastAsia="MS Mincho"/>
              </w:rPr>
              <w:t>název iniciativy EU 1991-2006 a</w:t>
            </w:r>
            <w:r>
              <w:rPr>
                <w:rFonts w:eastAsia="MS Mincho"/>
              </w:rPr>
              <w:t> </w:t>
            </w:r>
            <w:r w:rsidRPr="00EE536A">
              <w:rPr>
                <w:rFonts w:eastAsia="MS Mincho"/>
              </w:rPr>
              <w:t>osy IV v PRV</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LFA</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Less Favoured Areas</w:t>
            </w:r>
            <w:r>
              <w:rPr>
                <w:rFonts w:eastAsia="MS Mincho"/>
              </w:rPr>
              <w:t xml:space="preserve"> (méně příznivé oblasti)</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LPIS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Land Parcel Identification System</w:t>
            </w:r>
            <w:r>
              <w:rPr>
                <w:rFonts w:eastAsia="MS Mincho"/>
              </w:rPr>
              <w:t xml:space="preserve"> (Systém pro identifikaci pozemků)</w:t>
            </w:r>
          </w:p>
        </w:tc>
      </w:tr>
      <w:tr w:rsidR="00500414" w:rsidTr="00945E23">
        <w:trPr>
          <w:cantSplit/>
        </w:trPr>
        <w:tc>
          <w:tcPr>
            <w:tcW w:w="1531" w:type="dxa"/>
            <w:tcBorders>
              <w:top w:val="single" w:sz="4" w:space="0" w:color="000000"/>
              <w:left w:val="single" w:sz="4" w:space="0" w:color="000000"/>
              <w:bottom w:val="single" w:sz="4" w:space="0" w:color="000000"/>
            </w:tcBorders>
            <w:shd w:val="clear" w:color="auto" w:fill="auto"/>
          </w:tcPr>
          <w:p w:rsidR="00500414" w:rsidRDefault="00500414" w:rsidP="00945E23">
            <w:pPr>
              <w:pStyle w:val="Tabulka"/>
              <w:rPr>
                <w:rFonts w:eastAsia="MS Mincho"/>
              </w:rPr>
            </w:pPr>
            <w:r>
              <w:rPr>
                <w:rFonts w:eastAsia="MS Mincho"/>
              </w:rPr>
              <w:t>MD</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500414" w:rsidRDefault="00500414" w:rsidP="00945E23">
            <w:pPr>
              <w:pStyle w:val="Tabulka"/>
              <w:rPr>
                <w:rFonts w:eastAsia="MS Mincho"/>
              </w:rPr>
            </w:pPr>
            <w:r>
              <w:rPr>
                <w:rFonts w:eastAsia="MS Mincho"/>
              </w:rPr>
              <w:t>Ministerstvo dopravy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MF</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financí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MJ</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měrná jednotka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MK</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kultury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MMR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pro místní rozvoj</w:t>
            </w:r>
          </w:p>
        </w:tc>
      </w:tr>
      <w:tr w:rsidR="007331E5" w:rsidTr="00945E23">
        <w:trPr>
          <w:cantSplit/>
        </w:trPr>
        <w:tc>
          <w:tcPr>
            <w:tcW w:w="1531" w:type="dxa"/>
            <w:tcBorders>
              <w:top w:val="single" w:sz="4" w:space="0" w:color="000000"/>
              <w:left w:val="single" w:sz="4" w:space="0" w:color="000000"/>
              <w:bottom w:val="single" w:sz="4" w:space="0" w:color="000000"/>
            </w:tcBorders>
            <w:shd w:val="clear" w:color="auto" w:fill="auto"/>
          </w:tcPr>
          <w:p w:rsidR="007331E5" w:rsidRDefault="007331E5" w:rsidP="00945E23">
            <w:pPr>
              <w:pStyle w:val="Tabulka"/>
              <w:rPr>
                <w:rFonts w:eastAsia="MS Mincho"/>
              </w:rPr>
            </w:pPr>
            <w:proofErr w:type="spellStart"/>
            <w:r>
              <w:rPr>
                <w:rFonts w:eastAsia="MS Mincho"/>
              </w:rPr>
              <w:t>MPa</w:t>
            </w:r>
            <w:proofErr w:type="spell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7331E5" w:rsidRDefault="007331E5" w:rsidP="00945E23">
            <w:pPr>
              <w:pStyle w:val="Tabulka"/>
              <w:rPr>
                <w:rFonts w:eastAsia="MS Mincho"/>
              </w:rPr>
            </w:pPr>
            <w:r>
              <w:rPr>
                <w:rFonts w:eastAsia="MS Mincho"/>
              </w:rPr>
              <w:t>megapascal, jednotka tlaku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MPO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průmyslu a obchodu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MPSV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práce a sociálních věcí</w:t>
            </w:r>
          </w:p>
        </w:tc>
      </w:tr>
      <w:tr w:rsidR="00422163" w:rsidTr="00945E23">
        <w:trPr>
          <w:cantSplit/>
        </w:trPr>
        <w:tc>
          <w:tcPr>
            <w:tcW w:w="1531" w:type="dxa"/>
            <w:tcBorders>
              <w:top w:val="single" w:sz="4" w:space="0" w:color="000000"/>
              <w:left w:val="single" w:sz="4" w:space="0" w:color="000000"/>
              <w:bottom w:val="single" w:sz="4" w:space="0" w:color="000000"/>
            </w:tcBorders>
            <w:shd w:val="clear" w:color="auto" w:fill="auto"/>
          </w:tcPr>
          <w:p w:rsidR="00422163" w:rsidRPr="004142D6" w:rsidRDefault="00422163" w:rsidP="00945E23">
            <w:pPr>
              <w:pStyle w:val="Tabulka"/>
              <w:rPr>
                <w:rFonts w:eastAsia="MS Mincho"/>
              </w:rPr>
            </w:pPr>
            <w:r>
              <w:rPr>
                <w:rFonts w:eastAsia="MS Mincho"/>
              </w:rPr>
              <w:t>MS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422163" w:rsidRDefault="00422163" w:rsidP="00945E23">
            <w:pPr>
              <w:pStyle w:val="Tabulka"/>
              <w:rPr>
                <w:rFonts w:eastAsia="MS Mincho"/>
              </w:rPr>
            </w:pPr>
            <w:r>
              <w:rPr>
                <w:rFonts w:eastAsia="MS Mincho"/>
              </w:rPr>
              <w:t>Ministerstvo spravedlnosti</w:t>
            </w:r>
          </w:p>
        </w:tc>
      </w:tr>
      <w:tr w:rsidR="00500414" w:rsidTr="00945E23">
        <w:trPr>
          <w:cantSplit/>
        </w:trPr>
        <w:tc>
          <w:tcPr>
            <w:tcW w:w="1531" w:type="dxa"/>
            <w:tcBorders>
              <w:top w:val="single" w:sz="4" w:space="0" w:color="000000"/>
              <w:left w:val="single" w:sz="4" w:space="0" w:color="000000"/>
              <w:bottom w:val="single" w:sz="4" w:space="0" w:color="000000"/>
            </w:tcBorders>
            <w:shd w:val="clear" w:color="auto" w:fill="auto"/>
          </w:tcPr>
          <w:p w:rsidR="00500414" w:rsidRPr="004142D6" w:rsidRDefault="00500414" w:rsidP="00945E23">
            <w:pPr>
              <w:pStyle w:val="Tabulka"/>
              <w:rPr>
                <w:rFonts w:eastAsia="MS Mincho"/>
              </w:rPr>
            </w:pPr>
            <w:r>
              <w:rPr>
                <w:rFonts w:eastAsia="MS Mincho"/>
              </w:rPr>
              <w:t>MŠMT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500414" w:rsidRDefault="00500414" w:rsidP="00945E23">
            <w:pPr>
              <w:pStyle w:val="Tabulka"/>
              <w:rPr>
                <w:rFonts w:eastAsia="MS Mincho"/>
              </w:rPr>
            </w:pPr>
            <w:r>
              <w:rPr>
                <w:rFonts w:eastAsia="MS Mincho"/>
              </w:rPr>
              <w:t>Ministerstvo školství, mládeže a tělovýchovy</w:t>
            </w:r>
          </w:p>
        </w:tc>
      </w:tr>
      <w:tr w:rsidR="00500414" w:rsidTr="00945E23">
        <w:trPr>
          <w:cantSplit/>
        </w:trPr>
        <w:tc>
          <w:tcPr>
            <w:tcW w:w="1531" w:type="dxa"/>
            <w:tcBorders>
              <w:top w:val="single" w:sz="4" w:space="0" w:color="000000"/>
              <w:left w:val="single" w:sz="4" w:space="0" w:color="000000"/>
              <w:bottom w:val="single" w:sz="4" w:space="0" w:color="000000"/>
            </w:tcBorders>
            <w:shd w:val="clear" w:color="auto" w:fill="auto"/>
          </w:tcPr>
          <w:p w:rsidR="00500414" w:rsidRPr="004142D6" w:rsidRDefault="00500414" w:rsidP="00945E23">
            <w:pPr>
              <w:pStyle w:val="Tabulka"/>
              <w:rPr>
                <w:rFonts w:eastAsia="MS Mincho"/>
              </w:rPr>
            </w:pPr>
            <w:r>
              <w:rPr>
                <w:rFonts w:eastAsia="MS Mincho"/>
              </w:rPr>
              <w:t>MV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500414" w:rsidRDefault="00500414" w:rsidP="00945E23">
            <w:pPr>
              <w:pStyle w:val="Tabulka"/>
              <w:rPr>
                <w:rFonts w:eastAsia="MS Mincho"/>
              </w:rPr>
            </w:pPr>
            <w:r>
              <w:rPr>
                <w:rFonts w:eastAsia="MS Mincho"/>
              </w:rPr>
              <w:t>Ministerstvo vnitra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proofErr w:type="spellStart"/>
            <w:r w:rsidRPr="004142D6">
              <w:rPr>
                <w:rFonts w:eastAsia="MS Mincho"/>
              </w:rPr>
              <w:t>MWh</w:t>
            </w:r>
            <w:proofErr w:type="spell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megawatthodina</w:t>
            </w:r>
            <w:r w:rsidR="007331E5">
              <w:rPr>
                <w:rFonts w:eastAsia="MS Mincho"/>
              </w:rPr>
              <w:t xml:space="preserve">, </w:t>
            </w:r>
            <w:r w:rsidR="007331E5" w:rsidRPr="007331E5">
              <w:rPr>
                <w:rFonts w:eastAsia="MS Mincho"/>
              </w:rPr>
              <w:t>jednotka energie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MZe</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zemědělství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500414">
            <w:pPr>
              <w:pStyle w:val="Tabulka"/>
              <w:rPr>
                <w:rFonts w:eastAsia="MS Mincho"/>
              </w:rPr>
            </w:pPr>
            <w:r>
              <w:rPr>
                <w:rFonts w:eastAsia="MS Mincho"/>
              </w:rPr>
              <w:t>MZ</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zdravotnictví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sidRPr="00D71AC1">
              <w:rPr>
                <w:rFonts w:eastAsia="MS Mincho"/>
              </w:rPr>
              <w:t>MZCHÚ</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D71AC1">
              <w:rPr>
                <w:rFonts w:eastAsia="MS Mincho"/>
              </w:rPr>
              <w:t>Maloplošné zvláště chráněné území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MŽP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Ministerstvo životního prostředí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Natura 2000</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Evropská ekologická síť chráněných území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NAZV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Národní agentura pro zemědělský výzkum</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NČZ</w:t>
            </w:r>
            <w:r w:rsidR="0055771D">
              <w:rPr>
                <w:rFonts w:eastAsia="MS Mincho"/>
              </w:rPr>
              <w:t xml:space="preserve"> 13</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6B6271">
            <w:pPr>
              <w:pStyle w:val="Tabulka"/>
              <w:rPr>
                <w:rFonts w:eastAsia="MS Mincho"/>
              </w:rPr>
            </w:pPr>
            <w:r>
              <w:rPr>
                <w:rFonts w:eastAsia="MS Mincho"/>
              </w:rPr>
              <w:t>nové členské země (země</w:t>
            </w:r>
            <w:r w:rsidR="006B6271">
              <w:rPr>
                <w:rFonts w:eastAsia="MS Mincho"/>
              </w:rPr>
              <w:t xml:space="preserve"> v</w:t>
            </w:r>
            <w:r>
              <w:rPr>
                <w:rFonts w:eastAsia="MS Mincho"/>
              </w:rPr>
              <w:t xml:space="preserve"> EU </w:t>
            </w:r>
            <w:r w:rsidR="006B6271">
              <w:rPr>
                <w:rFonts w:eastAsia="MS Mincho"/>
              </w:rPr>
              <w:t>od roku</w:t>
            </w:r>
            <w:r>
              <w:rPr>
                <w:rFonts w:eastAsia="MS Mincho"/>
              </w:rPr>
              <w:t xml:space="preserve"> 2004)</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NH</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národní hospodářství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normalizovaný moštoměr (množství cukru v kg/100 l moštu)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vertAlign w:val="superscript"/>
              </w:rPr>
            </w:pPr>
            <w:r>
              <w:rPr>
                <w:rFonts w:eastAsia="MS Mincho"/>
              </w:rPr>
              <w:t>NO</w:t>
            </w:r>
            <w:r>
              <w:rPr>
                <w:rFonts w:eastAsia="MS Mincho"/>
                <w:vertAlign w:val="subscript"/>
              </w:rPr>
              <w:t>3</w:t>
            </w:r>
            <w:r>
              <w:rPr>
                <w:rFonts w:eastAsia="MS Mincho"/>
                <w:vertAlign w:val="superscript"/>
              </w:rPr>
              <w:noBreakHyphen/>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dusičnany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národní park</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NPK</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dusík – fosfor – draslík</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NUTS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sidRPr="008520EA">
              <w:rPr>
                <w:rFonts w:eastAsia="MS Mincho"/>
              </w:rPr>
              <w:t>Nomenclature</w:t>
            </w:r>
            <w:proofErr w:type="spellEnd"/>
            <w:r w:rsidRPr="008520EA">
              <w:rPr>
                <w:rFonts w:eastAsia="MS Mincho"/>
              </w:rPr>
              <w:t xml:space="preserve"> des </w:t>
            </w:r>
            <w:proofErr w:type="spellStart"/>
            <w:r w:rsidRPr="008520EA">
              <w:rPr>
                <w:rFonts w:eastAsia="MS Mincho"/>
              </w:rPr>
              <w:t>unités</w:t>
            </w:r>
            <w:proofErr w:type="spellEnd"/>
            <w:r w:rsidRPr="008520EA">
              <w:rPr>
                <w:rFonts w:eastAsia="MS Mincho"/>
              </w:rPr>
              <w:t xml:space="preserve"> </w:t>
            </w:r>
            <w:proofErr w:type="spellStart"/>
            <w:r w:rsidRPr="008520EA">
              <w:rPr>
                <w:rFonts w:eastAsia="MS Mincho"/>
              </w:rPr>
              <w:t>territoriales</w:t>
            </w:r>
            <w:proofErr w:type="spellEnd"/>
            <w:r w:rsidRPr="008520EA">
              <w:rPr>
                <w:rFonts w:eastAsia="MS Mincho"/>
              </w:rPr>
              <w:t xml:space="preserve"> </w:t>
            </w:r>
            <w:proofErr w:type="spellStart"/>
            <w:r w:rsidRPr="008520EA">
              <w:rPr>
                <w:rFonts w:eastAsia="MS Mincho"/>
              </w:rPr>
              <w:t>statistique</w:t>
            </w:r>
            <w:proofErr w:type="spellEnd"/>
            <w:r>
              <w:rPr>
                <w:rFonts w:eastAsia="MS Mincho"/>
              </w:rPr>
              <w:t xml:space="preserve"> (nomenklatura územních statistických jednotek; </w:t>
            </w:r>
            <w:r w:rsidRPr="00445CD0">
              <w:rPr>
                <w:rFonts w:eastAsia="MS Mincho"/>
              </w:rPr>
              <w:t>NUTS 0</w:t>
            </w:r>
            <w:r>
              <w:rPr>
                <w:rFonts w:eastAsia="MS Mincho"/>
              </w:rPr>
              <w:t xml:space="preserve"> – </w:t>
            </w:r>
            <w:r w:rsidRPr="00445CD0">
              <w:rPr>
                <w:rFonts w:eastAsia="MS Mincho"/>
              </w:rPr>
              <w:t>stát</w:t>
            </w:r>
            <w:r>
              <w:rPr>
                <w:rFonts w:eastAsia="MS Mincho"/>
              </w:rPr>
              <w:t xml:space="preserve">, </w:t>
            </w:r>
            <w:r w:rsidRPr="00445CD0">
              <w:rPr>
                <w:rFonts w:eastAsia="MS Mincho"/>
              </w:rPr>
              <w:t>NUTS</w:t>
            </w:r>
            <w:r>
              <w:rPr>
                <w:rFonts w:eastAsia="MS Mincho"/>
              </w:rPr>
              <w:t xml:space="preserve"> </w:t>
            </w:r>
            <w:r w:rsidRPr="00445CD0">
              <w:rPr>
                <w:rFonts w:eastAsia="MS Mincho"/>
              </w:rPr>
              <w:t>1</w:t>
            </w:r>
            <w:r>
              <w:rPr>
                <w:rFonts w:eastAsia="MS Mincho"/>
              </w:rPr>
              <w:t xml:space="preserve"> – </w:t>
            </w:r>
            <w:r w:rsidRPr="00445CD0">
              <w:rPr>
                <w:rFonts w:eastAsia="MS Mincho"/>
              </w:rPr>
              <w:t>území</w:t>
            </w:r>
            <w:r>
              <w:rPr>
                <w:rFonts w:eastAsia="MS Mincho"/>
              </w:rPr>
              <w:t xml:space="preserve">, </w:t>
            </w:r>
            <w:r w:rsidRPr="00445CD0">
              <w:rPr>
                <w:rFonts w:eastAsia="MS Mincho"/>
              </w:rPr>
              <w:t>NUTS 2</w:t>
            </w:r>
            <w:r>
              <w:rPr>
                <w:rFonts w:eastAsia="MS Mincho"/>
              </w:rPr>
              <w:t xml:space="preserve"> – </w:t>
            </w:r>
            <w:r w:rsidRPr="00445CD0">
              <w:rPr>
                <w:rFonts w:eastAsia="MS Mincho"/>
              </w:rPr>
              <w:t>region</w:t>
            </w:r>
            <w:r>
              <w:rPr>
                <w:rFonts w:eastAsia="MS Mincho"/>
              </w:rPr>
              <w:t xml:space="preserve">, </w:t>
            </w:r>
            <w:r w:rsidRPr="00445CD0">
              <w:rPr>
                <w:rFonts w:eastAsia="MS Mincho"/>
              </w:rPr>
              <w:t>NUTS 3</w:t>
            </w:r>
            <w:r>
              <w:rPr>
                <w:rFonts w:eastAsia="MS Mincho"/>
              </w:rPr>
              <w:t xml:space="preserve"> – </w:t>
            </w:r>
            <w:r w:rsidRPr="00445CD0">
              <w:rPr>
                <w:rFonts w:eastAsia="MS Mincho"/>
              </w:rPr>
              <w:t>kraj</w:t>
            </w:r>
            <w:r>
              <w:rPr>
                <w:rFonts w:eastAsia="MS Mincho"/>
              </w:rPr>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NV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nařízení vlády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lastRenderedPageBreak/>
              <w:t>o. 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orná půda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OECD</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Organization for Economic Cooperation and Development</w:t>
            </w:r>
            <w:r>
              <w:rPr>
                <w:rFonts w:eastAsia="MS Mincho"/>
              </w:rPr>
              <w:t xml:space="preserve"> (Organizace pro hospodářskou spolupráci a rozvoj)</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OP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Operační program</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OP RVMZ</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OP Rozvoj venkova a multifunkční zemědělství (OP Zemědělství)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OR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ochrana rostlin</w:t>
            </w:r>
          </w:p>
        </w:tc>
      </w:tr>
      <w:tr w:rsidR="00BC0ECA" w:rsidTr="00945E23">
        <w:trPr>
          <w:cantSplit/>
        </w:trPr>
        <w:tc>
          <w:tcPr>
            <w:tcW w:w="1531" w:type="dxa"/>
            <w:tcBorders>
              <w:top w:val="single" w:sz="4" w:space="0" w:color="000000"/>
              <w:left w:val="single" w:sz="4" w:space="0" w:color="000000"/>
              <w:bottom w:val="single" w:sz="4" w:space="0" w:color="000000"/>
            </w:tcBorders>
            <w:shd w:val="clear" w:color="auto" w:fill="auto"/>
          </w:tcPr>
          <w:p w:rsidR="00BC0ECA" w:rsidRDefault="00BC0ECA" w:rsidP="00945E23">
            <w:pPr>
              <w:pStyle w:val="Tabulka"/>
              <w:rPr>
                <w:rFonts w:eastAsia="MS Mincho"/>
              </w:rPr>
            </w:pPr>
            <w:r>
              <w:rPr>
                <w:rFonts w:eastAsia="MS Mincho"/>
              </w:rPr>
              <w:t>OU ČR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BC0ECA" w:rsidRDefault="00BC0ECA" w:rsidP="00945E23">
            <w:pPr>
              <w:pStyle w:val="Tabulka"/>
              <w:rPr>
                <w:rFonts w:eastAsia="MS Mincho"/>
              </w:rPr>
            </w:pPr>
            <w:r>
              <w:rPr>
                <w:rFonts w:eastAsia="MS Mincho"/>
              </w:rPr>
              <w:t>Ovocnářská unie ČR</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OZE</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obnovitelné zdroje energie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 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procentní bod</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PAH</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AC7F7B" w:rsidP="00945E23">
            <w:pPr>
              <w:pStyle w:val="Tabulka"/>
              <w:rPr>
                <w:rFonts w:eastAsia="MS Mincho"/>
              </w:rPr>
            </w:pPr>
            <w:r w:rsidRPr="00AC7F7B">
              <w:rPr>
                <w:rFonts w:eastAsia="MS Mincho"/>
              </w:rPr>
              <w:t xml:space="preserve">polycyklické aromatické uhlovodíky </w:t>
            </w:r>
            <w:r>
              <w:rPr>
                <w:rFonts w:eastAsia="MS Mincho"/>
              </w:rPr>
              <w:t>(</w:t>
            </w:r>
            <w:proofErr w:type="spellStart"/>
            <w:r w:rsidR="00945E23">
              <w:rPr>
                <w:rFonts w:eastAsia="MS Mincho"/>
              </w:rPr>
              <w:t>polyaromatické</w:t>
            </w:r>
            <w:proofErr w:type="spellEnd"/>
            <w:r w:rsidR="00945E23">
              <w:rPr>
                <w:rFonts w:eastAsia="MS Mincho"/>
              </w:rPr>
              <w:t xml:space="preserve"> uhlovodíky</w:t>
            </w:r>
            <w:r>
              <w:rPr>
                <w:rFonts w:eastAsia="MS Mincho"/>
              </w:rPr>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PCB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polychlorované bifenyly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PF ČR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7B3540">
            <w:pPr>
              <w:pStyle w:val="Tabulka"/>
              <w:rPr>
                <w:rFonts w:eastAsia="MS Mincho"/>
              </w:rPr>
            </w:pPr>
            <w:r>
              <w:rPr>
                <w:rFonts w:eastAsia="MS Mincho"/>
              </w:rPr>
              <w:t>Pozemkový fond ČR</w:t>
            </w:r>
            <w:r w:rsidR="003F77C4">
              <w:rPr>
                <w:rFonts w:eastAsia="MS Mincho"/>
              </w:rPr>
              <w:t xml:space="preserve"> (</w:t>
            </w:r>
            <w:r w:rsidR="007B3540">
              <w:t>k</w:t>
            </w:r>
            <w:r w:rsidR="003F77C4" w:rsidRPr="0040281B">
              <w:t xml:space="preserve"> 1.</w:t>
            </w:r>
            <w:r w:rsidR="003F77C4">
              <w:t xml:space="preserve"> </w:t>
            </w:r>
            <w:r w:rsidR="003F77C4" w:rsidRPr="0040281B">
              <w:t>1.</w:t>
            </w:r>
            <w:r w:rsidR="003F77C4">
              <w:t xml:space="preserve"> </w:t>
            </w:r>
            <w:r w:rsidR="003F77C4" w:rsidRPr="0040281B">
              <w:t>201</w:t>
            </w:r>
            <w:r w:rsidR="007B3540">
              <w:t>3 zrušen</w:t>
            </w:r>
            <w:r w:rsidR="003F77C4">
              <w:t xml:space="preserve"> </w:t>
            </w:r>
            <w:r w:rsidR="007B3540">
              <w:t>zákonem č. 503/2012 Sb., jeho transformovanou agendu přejal</w:t>
            </w:r>
            <w:r w:rsidR="003F77C4">
              <w:t xml:space="preserve"> SPÚ)</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PFO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podniky fyzických osob</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PGRLF</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Podpůrný a garanční rolnický a lesnický fond</w:t>
            </w:r>
            <w:r w:rsidR="002B1280">
              <w:rPr>
                <w:rFonts w:eastAsia="MS Mincho"/>
              </w:rPr>
              <w:t>, a. s.</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PHM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pohonné hmoty a mazadla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PJ</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petajoule</w:t>
            </w:r>
            <w:proofErr w:type="spellEnd"/>
            <w:r>
              <w:rPr>
                <w:rFonts w:eastAsia="MS Mincho"/>
              </w:rPr>
              <w:t xml:space="preserve"> (= 1 000 000 GJ)</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PPO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podniky právnických osob</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PRV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Program rozvoje venkova ČR na období 2007</w:t>
            </w:r>
            <w:r>
              <w:rPr>
                <w:rFonts w:eastAsia="MS Mincho"/>
              </w:rPr>
              <w:noBreakHyphen/>
              <w:t>2013</w:t>
            </w:r>
          </w:p>
        </w:tc>
      </w:tr>
      <w:tr w:rsidR="00E77E9A" w:rsidTr="00945E23">
        <w:trPr>
          <w:cantSplit/>
        </w:trPr>
        <w:tc>
          <w:tcPr>
            <w:tcW w:w="1531" w:type="dxa"/>
            <w:tcBorders>
              <w:top w:val="single" w:sz="4" w:space="0" w:color="000000"/>
              <w:left w:val="single" w:sz="4" w:space="0" w:color="000000"/>
              <w:bottom w:val="single" w:sz="4" w:space="0" w:color="000000"/>
            </w:tcBorders>
            <w:shd w:val="clear" w:color="auto" w:fill="auto"/>
          </w:tcPr>
          <w:p w:rsidR="00E77E9A" w:rsidRDefault="00E77E9A" w:rsidP="00945E23">
            <w:pPr>
              <w:pStyle w:val="Tabulka"/>
              <w:rPr>
                <w:rFonts w:eastAsia="MS Mincho"/>
              </w:rPr>
            </w:pPr>
            <w:r>
              <w:t>PVP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E77E9A" w:rsidRDefault="00E77E9A" w:rsidP="00E77E9A">
            <w:pPr>
              <w:pStyle w:val="Tabulka"/>
              <w:rPr>
                <w:rFonts w:eastAsia="MS Mincho"/>
              </w:rPr>
            </w:pPr>
            <w:r>
              <w:t>přechodné vnitrostátní podpory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 c.</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stálá cena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 r. o.</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společnost s ručením omezeným</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SAPS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DD1305">
              <w:rPr>
                <w:rFonts w:eastAsia="MS Mincho"/>
                <w:lang w:val="en-GB"/>
              </w:rPr>
              <w:t>Single Area Payment Scheme</w:t>
            </w:r>
            <w:r>
              <w:rPr>
                <w:rFonts w:eastAsia="MS Mincho"/>
              </w:rPr>
              <w:t xml:space="preserve"> (zjednodušená přímá platba na plochu)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sbírka zákonů</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SEUROP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Klasifikace jatečně upravených těl prasat a skotu (třídy S, E, U, R, O, P)</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SFŽP ČR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Státní fond životního prostředí ČR</w:t>
            </w:r>
          </w:p>
        </w:tc>
      </w:tr>
      <w:tr w:rsidR="00945E23" w:rsidRPr="002C0398"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Pr="002C0398" w:rsidRDefault="00945E23" w:rsidP="00945E23">
            <w:pPr>
              <w:pStyle w:val="Tabulka"/>
              <w:rPr>
                <w:rFonts w:eastAsia="MS Mincho"/>
              </w:rPr>
            </w:pPr>
            <w:r w:rsidRPr="002C0398">
              <w:rPr>
                <w:rFonts w:eastAsia="MS Mincho"/>
              </w:rPr>
              <w:t>SLDB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2C0398" w:rsidRDefault="00945E23" w:rsidP="00945E23">
            <w:pPr>
              <w:pStyle w:val="Tabulka"/>
              <w:rPr>
                <w:rFonts w:eastAsia="MS Mincho"/>
              </w:rPr>
            </w:pPr>
            <w:r w:rsidRPr="002C0398">
              <w:rPr>
                <w:rFonts w:eastAsia="MS Mincho"/>
              </w:rPr>
              <w:t>Sčítání lidu, domů a bytů</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SMR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Statutory Management Requirements</w:t>
            </w:r>
            <w:r>
              <w:rPr>
                <w:rFonts w:eastAsia="MS Mincho"/>
              </w:rPr>
              <w:t xml:space="preserve"> (Povinné požadavky na hospodaření)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SNM30</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směsná nafta motorová obsahující min. 30 % biosložky (FAME)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SOT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společná organizace trhu</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SPÚ</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7B3540" w:rsidRPr="007B3540" w:rsidRDefault="00945E23" w:rsidP="00914D3B">
            <w:pPr>
              <w:pStyle w:val="Tabulka"/>
            </w:pPr>
            <w:r>
              <w:rPr>
                <w:rFonts w:eastAsia="MS Mincho"/>
              </w:rPr>
              <w:t xml:space="preserve">Státní pozemkový úřad (zřízen k 1. 1. 2013 </w:t>
            </w:r>
            <w:r w:rsidR="003F77C4" w:rsidRPr="00825FA2">
              <w:t>zákonem č. 503/2012 Sb</w:t>
            </w:r>
            <w:r w:rsidR="003F77C4">
              <w:t>., navazuje na činnost zrušeného Ústředního pozemkového úřadu v oblasti pozemkových úprav dle zákona č. 139/2002 Sb. a dále Pozemkového fondu ČR v oblasti správy státního majetku a půdy dle zákona č. 569/1991 Sb.</w:t>
            </w:r>
            <w:r w:rsidR="00914D3B">
              <w: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SRS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Státní rostlinolékařská správa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SVS ČR</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Státní veterinární správa ČR</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SZIF</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Státní zemědělský intervenční fond</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SZP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Společná zemědělská politika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SZPI</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Státní zemědělská a potravinářská inspekce</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SZÚ</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Souhrnný zemědělský účet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TIS</w:t>
            </w:r>
            <w:r>
              <w:rPr>
                <w:rFonts w:eastAsia="MS Mincho"/>
                <w:vertAlign w:val="superscript"/>
              </w:rPr>
              <w:t>ČR</w:t>
            </w:r>
            <w:r>
              <w:rPr>
                <w:rFonts w:eastAsia="MS Mincho"/>
              </w:rPr>
              <w:t xml:space="preserve"> SZIF</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Tržní informační systém České republiky SZIF</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lastRenderedPageBreak/>
              <w:t>TJ</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proofErr w:type="spellStart"/>
            <w:r>
              <w:rPr>
                <w:rFonts w:eastAsia="MS Mincho"/>
              </w:rPr>
              <w:t>terajoule</w:t>
            </w:r>
            <w:proofErr w:type="spellEnd"/>
            <w:r>
              <w:rPr>
                <w:rFonts w:eastAsia="MS Mincho"/>
              </w:rPr>
              <w:t xml:space="preserve"> (= 1 000 GJ)</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TP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travní porosty (podle zákona o zemědělství; LPIS)</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TPM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tržní produkce mléka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TTP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trvalé travní porosty (podle katastrálního zákona; ČÚZK)</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ÚKOZ</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Ústřední komise pro ochranu zvířat</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ÚKZÚZ</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Ústřední kontrolní a zkušební ústav zemědělský</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USDA</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lang w:val="en-GB"/>
              </w:rPr>
              <w:t>United States Department of Agriculture</w:t>
            </w:r>
            <w:r>
              <w:rPr>
                <w:rFonts w:eastAsia="MS Mincho"/>
              </w:rPr>
              <w:t xml:space="preserve"> (Ministerstvo zemědělství USA)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ÚSKVBL</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Ústav pro státní kontrolu veterinárních biopreparátů a léčiv</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sidRPr="0009694F">
              <w:rPr>
                <w:rFonts w:eastAsia="MS Mincho"/>
              </w:rPr>
              <w:t>ÚZEI</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09694F">
              <w:rPr>
                <w:rFonts w:eastAsia="MS Mincho"/>
              </w:rPr>
              <w:t>Ústav zemědělské ekonomiky a informací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VaV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výzkum a vývoj</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VDJ</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velká dobytčí jednotka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VFU</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Veterinární a farmaceutická univerzita Brno</w:t>
            </w:r>
          </w:p>
        </w:tc>
      </w:tr>
      <w:tr w:rsidR="00550F6E" w:rsidTr="00945E23">
        <w:trPr>
          <w:cantSplit/>
        </w:trPr>
        <w:tc>
          <w:tcPr>
            <w:tcW w:w="1531" w:type="dxa"/>
            <w:tcBorders>
              <w:top w:val="single" w:sz="4" w:space="0" w:color="000000"/>
              <w:left w:val="single" w:sz="4" w:space="0" w:color="000000"/>
              <w:bottom w:val="single" w:sz="4" w:space="0" w:color="000000"/>
            </w:tcBorders>
            <w:shd w:val="clear" w:color="auto" w:fill="auto"/>
          </w:tcPr>
          <w:p w:rsidR="00550F6E" w:rsidRDefault="00550F6E" w:rsidP="00945E23">
            <w:pPr>
              <w:pStyle w:val="Tabulka"/>
              <w:rPr>
                <w:rFonts w:eastAsia="MS Mincho"/>
              </w:rPr>
            </w:pPr>
            <w:r>
              <w:rPr>
                <w:rFonts w:eastAsia="MS Mincho"/>
              </w:rPr>
              <w:t>VPM</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550F6E" w:rsidRDefault="00550F6E" w:rsidP="00945E23">
            <w:pPr>
              <w:pStyle w:val="Tabulka"/>
              <w:rPr>
                <w:rFonts w:eastAsia="MS Mincho"/>
              </w:rPr>
            </w:pPr>
            <w:r>
              <w:rPr>
                <w:rFonts w:eastAsia="MS Mincho"/>
              </w:rPr>
              <w:t>volné pracovní místo</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VŠPS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výběrové šetření pracovních sil</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VÚMOP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pPr>
            <w:r>
              <w:rPr>
                <w:rFonts w:eastAsia="MS Mincho"/>
              </w:rPr>
              <w:t xml:space="preserve">Výzkumný ústav meliorací a ochrany půdy, </w:t>
            </w:r>
            <w:r>
              <w:t>v. v. i.</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VÚRV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pPr>
            <w:r>
              <w:rPr>
                <w:rFonts w:eastAsia="MS Mincho"/>
              </w:rPr>
              <w:t xml:space="preserve">Výzkumný ústav rostlinné výroby, </w:t>
            </w:r>
            <w:r>
              <w:t>v. v. i.</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VÚZT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pPr>
            <w:r>
              <w:rPr>
                <w:rFonts w:eastAsia="MS Mincho"/>
              </w:rPr>
              <w:t xml:space="preserve">Výzkumný ústav zemědělské techniky, </w:t>
            </w:r>
            <w:r>
              <w:t>v. v. i.</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VÚŽV</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pPr>
            <w:r>
              <w:rPr>
                <w:rFonts w:eastAsia="MS Mincho"/>
              </w:rPr>
              <w:t xml:space="preserve">Výzkumný ústav živočišné výroby, </w:t>
            </w:r>
            <w:r>
              <w:t>v. v. i.</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VV a S</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sidRPr="00440127">
              <w:t>vla</w:t>
            </w:r>
            <w:r>
              <w:t>stní výrobky a služby</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z. </w:t>
            </w:r>
            <w:proofErr w:type="gramStart"/>
            <w:r>
              <w:rPr>
                <w:rFonts w:eastAsia="MS Mincho"/>
              </w:rPr>
              <w:t>p.</w:t>
            </w:r>
            <w:proofErr w:type="gramEnd"/>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zemědělská půda</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ZCHÚ</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zvláště chráněné území</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lang w:val="de-DE"/>
              </w:rPr>
            </w:pPr>
            <w:r>
              <w:rPr>
                <w:rFonts w:eastAsia="MS Mincho"/>
                <w:lang w:val="de-DE"/>
              </w:rPr>
              <w:t>ZMB</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Pr="00925AED" w:rsidRDefault="00945E23" w:rsidP="00945E23">
            <w:pPr>
              <w:pStyle w:val="Tabulka"/>
              <w:rPr>
                <w:rFonts w:eastAsia="MS Mincho"/>
                <w:lang w:val="de-DE"/>
              </w:rPr>
            </w:pPr>
            <w:r w:rsidRPr="00925AED">
              <w:rPr>
                <w:lang w:val="de-DE"/>
              </w:rPr>
              <w:t>Zentrale Milchmarkt Berichterstattung GmbH</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lang w:val="de-DE"/>
              </w:rPr>
            </w:pPr>
            <w:r>
              <w:rPr>
                <w:rFonts w:eastAsia="MS Mincho"/>
                <w:lang w:val="de-DE"/>
              </w:rPr>
              <w:t>ZMP</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lang w:val="de-DE"/>
              </w:rPr>
            </w:pPr>
            <w:r>
              <w:rPr>
                <w:rFonts w:eastAsia="MS Mincho"/>
                <w:lang w:val="de-DE"/>
              </w:rPr>
              <w:t>Zentrale Markt- und Preisberichtstelle GmbH Bonn</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ZOD</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zranitelná oblast dusíkem</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ZPF</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zemědělský půdní fond</w:t>
            </w:r>
          </w:p>
        </w:tc>
      </w:tr>
      <w:tr w:rsidR="00945E23" w:rsidTr="00945E23">
        <w:trPr>
          <w:cantSplit/>
        </w:trPr>
        <w:tc>
          <w:tcPr>
            <w:tcW w:w="1531" w:type="dxa"/>
            <w:tcBorders>
              <w:top w:val="single" w:sz="4" w:space="0" w:color="000000"/>
              <w:left w:val="single" w:sz="4" w:space="0" w:color="000000"/>
              <w:bottom w:val="single" w:sz="4" w:space="0" w:color="000000"/>
            </w:tcBorders>
            <w:shd w:val="clear" w:color="auto" w:fill="auto"/>
          </w:tcPr>
          <w:p w:rsidR="00945E23" w:rsidRDefault="00945E23" w:rsidP="00945E23">
            <w:pPr>
              <w:pStyle w:val="Tabulka"/>
              <w:rPr>
                <w:rFonts w:eastAsia="MS Mincho"/>
              </w:rPr>
            </w:pPr>
            <w:r>
              <w:rPr>
                <w:rFonts w:eastAsia="MS Mincho"/>
              </w:rPr>
              <w:t xml:space="preserve">ž. </w:t>
            </w:r>
            <w:proofErr w:type="gramStart"/>
            <w:r>
              <w:rPr>
                <w:rFonts w:eastAsia="MS Mincho"/>
              </w:rPr>
              <w:t>hm</w:t>
            </w:r>
            <w:proofErr w:type="gramEnd"/>
            <w:r>
              <w:rPr>
                <w:rFonts w:eastAsia="MS Mincho"/>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945E23" w:rsidRDefault="00945E23" w:rsidP="00945E23">
            <w:pPr>
              <w:pStyle w:val="Tabulka"/>
              <w:rPr>
                <w:rFonts w:eastAsia="MS Mincho"/>
              </w:rPr>
            </w:pPr>
            <w:r>
              <w:rPr>
                <w:rFonts w:eastAsia="MS Mincho"/>
              </w:rPr>
              <w:t>živá hmotnost</w:t>
            </w:r>
          </w:p>
        </w:tc>
      </w:tr>
    </w:tbl>
    <w:p w:rsidR="00945E23" w:rsidRPr="00C61AAA" w:rsidRDefault="00945E23" w:rsidP="00945E23">
      <w:pPr>
        <w:pStyle w:val="mezera"/>
      </w:pPr>
    </w:p>
    <w:p w:rsidR="00945E23" w:rsidRDefault="00945E23" w:rsidP="001B1FDF">
      <w:pPr>
        <w:pStyle w:val="Nadpis1-bezodsazen"/>
      </w:pPr>
      <w:bookmarkStart w:id="4" w:name="_Toc296443084"/>
      <w:bookmarkStart w:id="5" w:name="_Toc328053780"/>
      <w:bookmarkStart w:id="6" w:name="_Toc391991448"/>
      <w:bookmarkStart w:id="7" w:name="_Toc424307003"/>
      <w:r>
        <w:lastRenderedPageBreak/>
        <w:t>Vysvětlivky k použitým číselným údajům</w:t>
      </w:r>
      <w:bookmarkEnd w:id="4"/>
      <w:bookmarkEnd w:id="5"/>
      <w:bookmarkEnd w:id="6"/>
      <w:bookmarkEnd w:id="7"/>
    </w:p>
    <w:p w:rsidR="00945E23" w:rsidRDefault="00945E23" w:rsidP="00945E23">
      <w:r>
        <w:t>Údaje použité ve Zprávě o stavu zemědělství ČR za rok 201</w:t>
      </w:r>
      <w:r w:rsidR="00AD5274">
        <w:t>4</w:t>
      </w:r>
      <w:r w:rsidR="00E8638E">
        <w:t xml:space="preserve"> (Zpráva 201</w:t>
      </w:r>
      <w:r w:rsidR="00AD5274">
        <w:t>4</w:t>
      </w:r>
      <w:r>
        <w:t xml:space="preserve">) pocházejí z různých zdrojů. Základním zdrojem jsou statistická data ČSÚ, dále údaje </w:t>
      </w:r>
      <w:r w:rsidR="00854B54">
        <w:t>rezort</w:t>
      </w:r>
      <w:r>
        <w:t>ní statistiky MZe, výběrového šetření FADN, výročních zpráv některých institucí, např. PGRLF, SZIF, data mezinárodních organizací atd. Zdroje použitých údajů jsou u každé tabulky uvedeny.</w:t>
      </w:r>
    </w:p>
    <w:p w:rsidR="00945E23" w:rsidRDefault="00945E23" w:rsidP="00945E23">
      <w:r>
        <w:t>Ukazatele v tabulkách, u nichž to datové zdroje umožnily, jsou převážně prezentovány v časové řadě 20</w:t>
      </w:r>
      <w:r w:rsidR="00AD5274">
        <w:t>10</w:t>
      </w:r>
      <w:r>
        <w:noBreakHyphen/>
        <w:t>1</w:t>
      </w:r>
      <w:r w:rsidR="00AD5274">
        <w:t>4</w:t>
      </w:r>
      <w:r>
        <w:t>.</w:t>
      </w:r>
    </w:p>
    <w:p w:rsidR="00945E23" w:rsidRDefault="00945E23" w:rsidP="00945E23">
      <w:r>
        <w:t>Uzávěrka všech dat pro Zprávu 201</w:t>
      </w:r>
      <w:r w:rsidR="00AD5274">
        <w:t>4</w:t>
      </w:r>
      <w:r>
        <w:t xml:space="preserve"> byla s ohledem na daný termín zpracování její konečné verze stanovena na </w:t>
      </w:r>
      <w:r w:rsidR="00AD5274">
        <w:t>1</w:t>
      </w:r>
      <w:r>
        <w:t>. </w:t>
      </w:r>
      <w:r w:rsidR="00AD5274">
        <w:t>4</w:t>
      </w:r>
      <w:r>
        <w:t>. 201</w:t>
      </w:r>
      <w:r w:rsidR="00AD5274">
        <w:t>5</w:t>
      </w:r>
      <w:r>
        <w:t>. Ve Zprávě 201</w:t>
      </w:r>
      <w:r w:rsidR="00AD5274">
        <w:t>4</w:t>
      </w:r>
      <w:r>
        <w:t xml:space="preserve"> jsou proto uvedeny pouze údaje, které byly dostupné k tomuto termínu. Většina údajů za marketingový rok 201</w:t>
      </w:r>
      <w:r w:rsidR="00AD5274">
        <w:t>4</w:t>
      </w:r>
      <w:r>
        <w:t>/1</w:t>
      </w:r>
      <w:r w:rsidR="00AD5274">
        <w:t>5</w:t>
      </w:r>
      <w:r>
        <w:t xml:space="preserve"> i za kalendářní rok 201</w:t>
      </w:r>
      <w:r w:rsidR="00AD5274">
        <w:t>4</w:t>
      </w:r>
      <w:r>
        <w:t xml:space="preserve"> má charakter předběžných dat. Pokud jsou použity kvalifikované odhady ÚZEI, je na to upozorněno. Vzhledem k tomu, že i v předchozích Zprávách měly údaje za analyzovaný rok předběžný charakter, nemusí být vždy hodnota téhož ukazatele za určitý rok ve všech Zprávách stejná. Ve Zprávě 201</w:t>
      </w:r>
      <w:r w:rsidR="00AD5274">
        <w:t>4</w:t>
      </w:r>
      <w:r>
        <w:t xml:space="preserve"> se to týká především údajů za rok 201</w:t>
      </w:r>
      <w:r w:rsidR="00AD5274">
        <w:t>3</w:t>
      </w:r>
      <w:r>
        <w:t>, které jsou zde uváděny ve své zpřesněné podobě, zatímco ve Zprávě 201</w:t>
      </w:r>
      <w:r w:rsidR="00AD5274">
        <w:t>3</w:t>
      </w:r>
      <w:r>
        <w:t xml:space="preserve"> byly použity předběžné nebo odhadované hodnoty. Údaje z výběrového šetření FADN obsahují definitivní výsledky za rok 201</w:t>
      </w:r>
      <w:r w:rsidR="00AD5274">
        <w:t>2</w:t>
      </w:r>
      <w:r>
        <w:t>.</w:t>
      </w:r>
    </w:p>
    <w:p w:rsidR="00945E23" w:rsidRDefault="00945E23" w:rsidP="00945E23">
      <w:r>
        <w:t>Vzhledem k počítačovému zpracování (Microsoft Excel) obsahují tabulky zaokrouhlené ukazatele (součty, procenta apod.). Proto součtové ukazatele nemusí vždy přesně odpovídat součtům jednotlivých položek.</w:t>
      </w:r>
    </w:p>
    <w:p w:rsidR="00945E23" w:rsidRDefault="00945E23" w:rsidP="00945E23">
      <w:r>
        <w:t>V číselné části tabulek jsou kromě významových hodnot použity i následující symboly:</w:t>
      </w:r>
    </w:p>
    <w:p w:rsidR="00945E23" w:rsidRDefault="00945E23" w:rsidP="00945E23">
      <w:pPr>
        <w:pStyle w:val="daje"/>
      </w:pPr>
      <w:r>
        <w:t>-</w:t>
      </w:r>
      <w:r>
        <w:tab/>
        <w:t>údaj se nevyskytuje;</w:t>
      </w:r>
    </w:p>
    <w:p w:rsidR="00945E23" w:rsidRDefault="00945E23" w:rsidP="00945E23">
      <w:pPr>
        <w:pStyle w:val="daje"/>
      </w:pPr>
      <w:r>
        <w:t>.</w:t>
      </w:r>
      <w:r>
        <w:tab/>
        <w:t>údaj není k dispozici nebo je nespolehlivý;</w:t>
      </w:r>
    </w:p>
    <w:p w:rsidR="00945E23" w:rsidRDefault="00945E23" w:rsidP="00945E23">
      <w:pPr>
        <w:pStyle w:val="daje"/>
      </w:pPr>
      <w:r>
        <w:t>x</w:t>
      </w:r>
      <w:r>
        <w:tab/>
        <w:t>údaj není smysluplný;</w:t>
      </w:r>
    </w:p>
    <w:p w:rsidR="00945E23" w:rsidRDefault="00945E23" w:rsidP="00945E23">
      <w:pPr>
        <w:pStyle w:val="daje"/>
      </w:pPr>
      <w:r>
        <w:t>0 nebo 0,0</w:t>
      </w:r>
      <w:r>
        <w:tab/>
        <w:t>údaj existuje, ale jeho výše je nevýznamná nebo nulová.</w:t>
      </w:r>
    </w:p>
    <w:p w:rsidR="00CB5270" w:rsidRDefault="00CB5270" w:rsidP="00BC6011">
      <w:pPr>
        <w:pStyle w:val="Nadpis1-bezodsazen"/>
      </w:pPr>
      <w:bookmarkStart w:id="8" w:name="_Toc424307004"/>
      <w:r>
        <w:lastRenderedPageBreak/>
        <w:t>Úvod</w:t>
      </w:r>
      <w:bookmarkEnd w:id="8"/>
    </w:p>
    <w:p w:rsidR="00CB5270" w:rsidRPr="00CA15FF" w:rsidRDefault="00CB5270" w:rsidP="00BC6011">
      <w:r w:rsidRPr="00CA15FF">
        <w:t>Zpráva</w:t>
      </w:r>
      <w:r>
        <w:t xml:space="preserve"> o stavu zemědělství za rok 2014 seznamuje veřejnost s komplexním představením a hodnocením meziročního vývoje českého zemědělství a potravinářství, které se od roku 2004 nacházejí v podmínkách EU. Meziročně se zvýšily celkové podpory agrárnímu sektoru o </w:t>
      </w:r>
      <w:r w:rsidR="00323E91">
        <w:t>7,8</w:t>
      </w:r>
      <w:r>
        <w:t xml:space="preserve"> % na </w:t>
      </w:r>
      <w:r w:rsidR="00323E91">
        <w:t>49,4</w:t>
      </w:r>
      <w:r>
        <w:t xml:space="preserve"> mld. Kč.</w:t>
      </w:r>
    </w:p>
    <w:p w:rsidR="00CB5270" w:rsidRDefault="00CB5270" w:rsidP="00BC6011">
      <w:r>
        <w:t>Z celkového pohledu došlo v roce 2014 k </w:t>
      </w:r>
      <w:r w:rsidR="007E3E26">
        <w:t xml:space="preserve">nepatrnému </w:t>
      </w:r>
      <w:r>
        <w:t>meziročnímu nárůstu nominálního podílu zemědělství na HPH na 1,82 %, podíl potravinářství se meziročně mírně snížil na 2,</w:t>
      </w:r>
      <w:r w:rsidR="00702A2C">
        <w:t>25</w:t>
      </w:r>
      <w:r>
        <w:t xml:space="preserve"> %.</w:t>
      </w:r>
      <w:r w:rsidRPr="006F32D7">
        <w:t xml:space="preserve"> </w:t>
      </w:r>
      <w:r>
        <w:t xml:space="preserve">Podíl zemědělství na celkové zaměstnanosti v NH se mírně snížil o 0,01 p. b., a to v důsledku výraznějšího nárůstu zaměstnanosti v ostatních odvětvích NH, než jaký zaznamenalo zemědělství. </w:t>
      </w:r>
      <w:r w:rsidRPr="00234ED0">
        <w:rPr>
          <w:highlight w:val="yellow"/>
        </w:rPr>
        <w:t>V důsledku zvýšení spotřebitelských cen potravin o 2,0 %, což bylo jako v roce 2013 výrazně více než průměrná míra inflace (0,4 %), vzrostl podíl výdajů domácností za potraviny a nealkoholické náp</w:t>
      </w:r>
      <w:r w:rsidR="00BC6011" w:rsidRPr="00234ED0">
        <w:rPr>
          <w:highlight w:val="yellow"/>
        </w:rPr>
        <w:t>oje na 20,3 % (zvýšení zhruba o </w:t>
      </w:r>
      <w:r w:rsidRPr="00234ED0">
        <w:rPr>
          <w:highlight w:val="yellow"/>
        </w:rPr>
        <w:t>0,1 p. b.).</w:t>
      </w:r>
    </w:p>
    <w:p w:rsidR="00CB5270" w:rsidRDefault="00CB5270" w:rsidP="00BC6011">
      <w:r>
        <w:t>Průběh počasí byl v roce 2014 pro rostlinnou výrobu příznivý a byl jednou z příčin dosažení rekordních výnosů většiny plodin. Zimní deficit srážek byl na většině území kompenzován nadprůměrnými květnovými srážkami.</w:t>
      </w:r>
    </w:p>
    <w:p w:rsidR="00CB5270" w:rsidRDefault="00CB5270" w:rsidP="00BC6011">
      <w:r>
        <w:t>Rok 2014 představuje z hlediska celkové úrovně ekonomických výsledků odvětví zemědělství, opírajících se o 2. předběžný odhad Souhrnného zemědělského účtu, posílení pozitivních tendencí z roku 2013.</w:t>
      </w:r>
    </w:p>
    <w:p w:rsidR="00CB5270" w:rsidRDefault="00CB5270" w:rsidP="00BC6011">
      <w:r>
        <w:t>Ekonomický výsledek odvětví v roce 2014 dosáhl (od roku 1995) rekordní výše 22,9 mld. Kč (16,</w:t>
      </w:r>
      <w:r w:rsidR="00DB1033">
        <w:t>2</w:t>
      </w:r>
      <w:r>
        <w:t xml:space="preserve"> mld. Kč v roce 2013. Mezi příznivé tendence lze zahrnout meziroční růst hodnoty produkce zemědělského odvětví o 6,5 %, růst hrubé, resp. čisté přidané hodnoty o</w:t>
      </w:r>
      <w:r w:rsidR="00707BDE">
        <w:t> </w:t>
      </w:r>
      <w:r>
        <w:t>11,6 %, resp. o 17,7 %, a růst důchodu z faktorů o téměř 15 %. Tyto tendence se promítly jak do čistého provozního přebytku, tak do podnikatelského důchodu (růst o 29,1 %, resp. o</w:t>
      </w:r>
      <w:r w:rsidR="00707BDE">
        <w:t> </w:t>
      </w:r>
      <w:r>
        <w:t>40,8 %).</w:t>
      </w:r>
    </w:p>
    <w:p w:rsidR="00CB5270" w:rsidRDefault="00CB5270" w:rsidP="00BC6011">
      <w:r>
        <w:t xml:space="preserve">Současně byl zaznamenán růst </w:t>
      </w:r>
      <w:proofErr w:type="spellStart"/>
      <w:r>
        <w:t>mezispotřeby</w:t>
      </w:r>
      <w:proofErr w:type="spellEnd"/>
      <w:r>
        <w:t xml:space="preserve"> a pokračoval trend růstu podpor měřený ukazatelem ostatní dotace na výrobu. Podíl </w:t>
      </w:r>
      <w:proofErr w:type="spellStart"/>
      <w:r>
        <w:t>mezispotřeby</w:t>
      </w:r>
      <w:proofErr w:type="spellEnd"/>
      <w:r>
        <w:t xml:space="preserve"> na celkové produkci odvětví v roce 2014 však meziročně mírně poklesl na 69,4 % (v roce 2013 činil 70,8 %) a podíl ostatních dotací na výrobu na důchodu z faktorů poklesl na 55,7 % </w:t>
      </w:r>
      <w:r w:rsidR="00854B54">
        <w:t>(meziroční pokles o 1,5 p. b.).</w:t>
      </w:r>
    </w:p>
    <w:p w:rsidR="00CB5270" w:rsidRDefault="00CB5270" w:rsidP="00BC6011">
      <w:r>
        <w:t>Při mírnějším meziročním úbytku o 1,4 % počet pracovníků v </w:t>
      </w:r>
      <w:r w:rsidRPr="00773B20">
        <w:t xml:space="preserve">zemědělských podnicích </w:t>
      </w:r>
      <w:r>
        <w:t xml:space="preserve">nevýrazně </w:t>
      </w:r>
      <w:r w:rsidRPr="00773B20">
        <w:t>překračuje stotisícovou hr</w:t>
      </w:r>
      <w:r>
        <w:t>anici a v roce 2014 činil 102,1 </w:t>
      </w:r>
      <w:r w:rsidR="00BC6011">
        <w:t xml:space="preserve">tis. </w:t>
      </w:r>
      <w:r w:rsidR="00B75878" w:rsidRPr="00A41D8C">
        <w:rPr>
          <w:highlight w:val="yellow"/>
        </w:rPr>
        <w:t>Průměrná mzda</w:t>
      </w:r>
      <w:r w:rsidR="00BC6011" w:rsidRPr="00A41D8C">
        <w:rPr>
          <w:highlight w:val="yellow"/>
        </w:rPr>
        <w:t xml:space="preserve"> v </w:t>
      </w:r>
      <w:r w:rsidRPr="00A41D8C">
        <w:rPr>
          <w:highlight w:val="yellow"/>
        </w:rPr>
        <w:t xml:space="preserve">zemědělství </w:t>
      </w:r>
      <w:r w:rsidR="00707BDE" w:rsidRPr="00A41D8C">
        <w:rPr>
          <w:highlight w:val="yellow"/>
        </w:rPr>
        <w:t xml:space="preserve">(vč. lesnictví a rybářství) </w:t>
      </w:r>
      <w:r w:rsidRPr="00A41D8C">
        <w:rPr>
          <w:highlight w:val="yellow"/>
        </w:rPr>
        <w:t xml:space="preserve">v roce 2014 </w:t>
      </w:r>
      <w:r w:rsidR="00B75878" w:rsidRPr="00A41D8C">
        <w:rPr>
          <w:highlight w:val="yellow"/>
        </w:rPr>
        <w:t>činila</w:t>
      </w:r>
      <w:r w:rsidRPr="00A41D8C">
        <w:rPr>
          <w:highlight w:val="yellow"/>
        </w:rPr>
        <w:t xml:space="preserve"> 82,2 % </w:t>
      </w:r>
      <w:r w:rsidR="00B75878" w:rsidRPr="00A41D8C">
        <w:rPr>
          <w:highlight w:val="yellow"/>
        </w:rPr>
        <w:t xml:space="preserve">průměru národního hospodářství </w:t>
      </w:r>
      <w:r w:rsidRPr="00A41D8C">
        <w:rPr>
          <w:highlight w:val="yellow"/>
        </w:rPr>
        <w:t>(8</w:t>
      </w:r>
      <w:r w:rsidR="00707BDE" w:rsidRPr="00A41D8C">
        <w:rPr>
          <w:highlight w:val="yellow"/>
        </w:rPr>
        <w:t>1,9</w:t>
      </w:r>
      <w:r w:rsidRPr="00A41D8C">
        <w:rPr>
          <w:highlight w:val="yellow"/>
        </w:rPr>
        <w:t xml:space="preserve"> %</w:t>
      </w:r>
      <w:r w:rsidR="00B75878" w:rsidRPr="00A41D8C">
        <w:rPr>
          <w:highlight w:val="yellow"/>
        </w:rPr>
        <w:t xml:space="preserve"> v roce 2013</w:t>
      </w:r>
      <w:r w:rsidRPr="00A41D8C">
        <w:rPr>
          <w:highlight w:val="yellow"/>
        </w:rPr>
        <w:t>).</w:t>
      </w:r>
    </w:p>
    <w:p w:rsidR="00AD5274" w:rsidRDefault="00CB5270" w:rsidP="001F053B">
      <w:r w:rsidRPr="00F163FD">
        <w:t xml:space="preserve">Schodek bilance českého </w:t>
      </w:r>
      <w:r>
        <w:t>agrárního zahraničního obchodu se v roce 2014</w:t>
      </w:r>
      <w:r w:rsidRPr="00F163FD">
        <w:t xml:space="preserve"> v důsledku vyššího přírůstku hodnoty na straně vývozu než dovozu mezir</w:t>
      </w:r>
      <w:r>
        <w:t>očně snížil o 5,9 mld. Kč na 18,2 </w:t>
      </w:r>
      <w:r w:rsidRPr="00F163FD">
        <w:t>mld. Kč</w:t>
      </w:r>
      <w:r>
        <w:t>. S</w:t>
      </w:r>
      <w:r w:rsidRPr="00F163FD">
        <w:t xml:space="preserve">tupeň krytí dovozu vývozem vzrostl o </w:t>
      </w:r>
      <w:r>
        <w:t xml:space="preserve">3,8 p. b. </w:t>
      </w:r>
      <w:proofErr w:type="gramStart"/>
      <w:r>
        <w:t>na</w:t>
      </w:r>
      <w:proofErr w:type="gramEnd"/>
      <w:r>
        <w:t xml:space="preserve"> 90,8</w:t>
      </w:r>
      <w:r w:rsidRPr="00F163FD">
        <w:t xml:space="preserve"> %</w:t>
      </w:r>
      <w:r>
        <w:t xml:space="preserve">. V obou případech se jedná o </w:t>
      </w:r>
      <w:r w:rsidRPr="00F163FD">
        <w:t xml:space="preserve">nejpříznivější </w:t>
      </w:r>
      <w:r>
        <w:t xml:space="preserve">relace v agrárním zahraničním obchodu </w:t>
      </w:r>
      <w:r w:rsidRPr="00F163FD">
        <w:t>od vstupu ČR do EU.</w:t>
      </w:r>
    </w:p>
    <w:p w:rsidR="001F053B" w:rsidRDefault="001F053B" w:rsidP="001F053B">
      <w:pPr>
        <w:sectPr w:rsidR="001F053B" w:rsidSect="001F053B">
          <w:footerReference w:type="default" r:id="rId12"/>
          <w:pgSz w:w="11906" w:h="16838"/>
          <w:pgMar w:top="1417" w:right="1417" w:bottom="1417" w:left="1417" w:header="708" w:footer="708" w:gutter="0"/>
          <w:pgNumType w:fmt="upperRoman"/>
          <w:cols w:space="708"/>
          <w:docGrid w:linePitch="360"/>
        </w:sectPr>
      </w:pPr>
    </w:p>
    <w:p w:rsidR="000E5274" w:rsidRDefault="000E5274" w:rsidP="00724B14">
      <w:pPr>
        <w:pStyle w:val="Nadpis1-bezodsazen"/>
      </w:pPr>
      <w:bookmarkStart w:id="9" w:name="_Toc424307005"/>
      <w:bookmarkStart w:id="10" w:name="_Toc296443106"/>
      <w:bookmarkStart w:id="11" w:name="_Toc328053802"/>
      <w:bookmarkStart w:id="12" w:name="_Toc364067778"/>
      <w:bookmarkStart w:id="13" w:name="_Toc296443107"/>
      <w:bookmarkStart w:id="14" w:name="_Toc296443108"/>
      <w:r w:rsidRPr="00A716C7">
        <w:lastRenderedPageBreak/>
        <w:t>S</w:t>
      </w:r>
      <w:r w:rsidR="00724B14">
        <w:t xml:space="preserve">ouhrn ke </w:t>
      </w:r>
      <w:r w:rsidRPr="00A716C7">
        <w:t>Z</w:t>
      </w:r>
      <w:r w:rsidR="00724B14">
        <w:t>právě o stavu zemědělství za rok</w:t>
      </w:r>
      <w:r w:rsidRPr="00A32DDD">
        <w:t xml:space="preserve"> 2014</w:t>
      </w:r>
      <w:bookmarkEnd w:id="9"/>
    </w:p>
    <w:p w:rsidR="000E5274" w:rsidRPr="003864CA" w:rsidRDefault="000E5274" w:rsidP="00535A8F">
      <w:pPr>
        <w:pStyle w:val="souhrn-N1"/>
      </w:pPr>
      <w:r w:rsidRPr="003864CA">
        <w:t>●</w:t>
      </w:r>
      <w:r w:rsidRPr="003864CA">
        <w:tab/>
      </w:r>
      <w:r w:rsidRPr="00535A8F">
        <w:t>Národní</w:t>
      </w:r>
      <w:r w:rsidRPr="003864CA">
        <w:t xml:space="preserve"> hospodářství ČR a pozice agrárního sektoru</w:t>
      </w:r>
    </w:p>
    <w:p w:rsidR="000E5274" w:rsidRPr="00136F3A" w:rsidRDefault="000E5274" w:rsidP="000E5274">
      <w:r w:rsidRPr="00136F3A">
        <w:t>V roce 2014 došlo v ČR k překonání dva roky trvající ekonomické recese a HDP meziročně ve stálých cenách vzrostl o 2,0 %. Reálný růst HDP byl v roce 2014 v ČR vyšší, než jaký vykázaly státy eurozóny (0,9 %), i než jaký vykázala EU 28 jako celek (1,3 %).</w:t>
      </w:r>
    </w:p>
    <w:p w:rsidR="000E5274" w:rsidRPr="00812260" w:rsidRDefault="000E5274" w:rsidP="000E5274">
      <w:r w:rsidRPr="00812260">
        <w:t>Obecná míra nezaměstnanosti se v roce 2014 proti roku 2013 snížila o 0,9 </w:t>
      </w:r>
      <w:proofErr w:type="gramStart"/>
      <w:r w:rsidRPr="00812260">
        <w:t>p. b. a v celoročním</w:t>
      </w:r>
      <w:proofErr w:type="gramEnd"/>
      <w:r w:rsidRPr="00812260">
        <w:t xml:space="preserve"> průměru činila 6,1 %. Nezaměstnanost měla přitom v průběhu roku 2014 spíše klesající trend. Průměrná míra nezaměstnanosti byla i v roce 2014 v ČR významně nižší než průměr všech členských států EU (10,2 %) i eurozóny (11,6 %), kde v roce 2014 došlo rovněž k poklesu míry nezaměstnanosti, a to o 0,6 p. b. v celé EU 28, </w:t>
      </w:r>
      <w:r>
        <w:t>resp. o 0,4 p. b. v eurozóně ve </w:t>
      </w:r>
      <w:r w:rsidRPr="00812260">
        <w:t>srovnání s rokem 2013. Průměrná hrubá nominální měsíční mzda</w:t>
      </w:r>
      <w:r>
        <w:t xml:space="preserve"> na přepočtené počty zaměstnanců </w:t>
      </w:r>
      <w:r w:rsidRPr="00364355">
        <w:rPr>
          <w:highlight w:val="yellow"/>
        </w:rPr>
        <w:t>v celém národním hospodářství dosáhla v roce 2014 úrovně 25 686 Kč, čímž se meziročně zvýšila o 2,4 %.</w:t>
      </w:r>
      <w:r w:rsidRPr="00812260">
        <w:t xml:space="preserve"> Při zohlednění míry inflace reálné mzdy vzrostly o 2,0 %. Průměrná hrubá nominální mzda narostla v roce 2014 meziročně stejným podílem ve výši 2,4</w:t>
      </w:r>
      <w:r>
        <w:t> </w:t>
      </w:r>
      <w:r w:rsidRPr="00812260">
        <w:t>% jak v podnikatelské, tak v nepodnikatelské sféře.</w:t>
      </w:r>
    </w:p>
    <w:p w:rsidR="000E5274" w:rsidRDefault="000E5274" w:rsidP="000E5274">
      <w:r w:rsidRPr="00812260">
        <w:t xml:space="preserve">Odvětví zemědělství se podílelo podle statistiky národních účtů v roce 2014 na celkové tvorbě HPH v základních b. </w:t>
      </w:r>
      <w:proofErr w:type="gramStart"/>
      <w:r w:rsidRPr="00812260">
        <w:t>c.</w:t>
      </w:r>
      <w:proofErr w:type="gramEnd"/>
      <w:r w:rsidRPr="00812260">
        <w:t xml:space="preserve"> 1,82 %, což představuje meziroční nepatrný nárůst o 0,01 p. b. V případě potravinářského průmyslu se naproti tomu podíl na celkové tvorbě HPH snížil o</w:t>
      </w:r>
      <w:r>
        <w:t> </w:t>
      </w:r>
      <w:r w:rsidRPr="00812260">
        <w:t xml:space="preserve">0,02 p. b. </w:t>
      </w:r>
      <w:proofErr w:type="gramStart"/>
      <w:r w:rsidRPr="00812260">
        <w:t>na</w:t>
      </w:r>
      <w:proofErr w:type="gramEnd"/>
      <w:r w:rsidRPr="00812260">
        <w:t xml:space="preserve"> 2,25 %. Při vyjádření HPH ve s. c. roku 2010 vzrostl uvedený podíl v případě odvětví zemědělství o 0,05 </w:t>
      </w:r>
      <w:proofErr w:type="gramStart"/>
      <w:r w:rsidRPr="00812260">
        <w:t>p. b. a u potravinářského</w:t>
      </w:r>
      <w:proofErr w:type="gramEnd"/>
      <w:r w:rsidRPr="00812260">
        <w:t xml:space="preserve"> průmyslu došlo k poklesu o 0,03 p. b.</w:t>
      </w:r>
    </w:p>
    <w:p w:rsidR="000E5274" w:rsidRDefault="000E5274" w:rsidP="000E5274">
      <w:pPr>
        <w:pStyle w:val="mezera"/>
      </w:pPr>
    </w:p>
    <w:p w:rsidR="000E5274" w:rsidRPr="00657563" w:rsidRDefault="00234ED0" w:rsidP="000E5274">
      <w:pPr>
        <w:pStyle w:val="mezera-svzan"/>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79.75pt">
            <v:imagedata r:id="rId13" o:title=""/>
          </v:shape>
        </w:pict>
      </w:r>
    </w:p>
    <w:p w:rsidR="000E5274" w:rsidRPr="00AD72B1" w:rsidRDefault="000E5274" w:rsidP="000E5274">
      <w:pPr>
        <w:pStyle w:val="TabPramZprac"/>
      </w:pPr>
      <w:r w:rsidRPr="00AD72B1">
        <w:t>Pramen:</w:t>
      </w:r>
      <w:r>
        <w:tab/>
      </w:r>
      <w:r w:rsidRPr="00AD72B1">
        <w:t>ČSÚ, MF</w:t>
      </w:r>
    </w:p>
    <w:p w:rsidR="000E5274" w:rsidRPr="00A465E1" w:rsidRDefault="000E5274" w:rsidP="000E5274">
      <w:pPr>
        <w:pStyle w:val="mezera"/>
      </w:pPr>
    </w:p>
    <w:p w:rsidR="000E5274" w:rsidRPr="00A465E1" w:rsidRDefault="000E5274" w:rsidP="000E5274">
      <w:r w:rsidRPr="00A465E1">
        <w:lastRenderedPageBreak/>
        <w:t>Vývoj cen zemědělských výrobců v roce 2014 vykázal meziroční pokles o 3,7 %</w:t>
      </w:r>
      <w:r>
        <w:t xml:space="preserve"> (zemědělská výroba včetně ryb)</w:t>
      </w:r>
      <w:r w:rsidRPr="00A465E1">
        <w:t>, což je větší pokles, než jaký zaznamenaly ceny vstupů do zemědělství (</w:t>
      </w:r>
      <w:r w:rsidRPr="00A465E1">
        <w:noBreakHyphen/>
        <w:t>1,3 %).</w:t>
      </w:r>
    </w:p>
    <w:p w:rsidR="000E5274" w:rsidRPr="00A465E1" w:rsidRDefault="000E5274" w:rsidP="000E5274">
      <w:pPr>
        <w:rPr>
          <w:szCs w:val="24"/>
        </w:rPr>
      </w:pPr>
      <w:r w:rsidRPr="00A465E1">
        <w:rPr>
          <w:szCs w:val="24"/>
        </w:rPr>
        <w:t>Podle údajů ČSÚ se počet zaměstnanců v odvětví zemědělství, lesnictví a rybářství v roce 2014 proti roku 2013 nezměnil a činil 97,7 tis</w:t>
      </w:r>
      <w:r>
        <w:rPr>
          <w:szCs w:val="24"/>
        </w:rPr>
        <w:t>.</w:t>
      </w:r>
      <w:r w:rsidRPr="00A465E1">
        <w:rPr>
          <w:szCs w:val="24"/>
        </w:rPr>
        <w:t xml:space="preserve"> zaměstnanců. Současně však podíl zaměstnanců odvětví na celkovém počtu zaměstnanců mírně klesl o 0,02 p. b. </w:t>
      </w:r>
      <w:proofErr w:type="gramStart"/>
      <w:r w:rsidRPr="00A465E1">
        <w:rPr>
          <w:szCs w:val="24"/>
        </w:rPr>
        <w:t>na</w:t>
      </w:r>
      <w:proofErr w:type="gramEnd"/>
      <w:r w:rsidRPr="00A465E1">
        <w:rPr>
          <w:szCs w:val="24"/>
        </w:rPr>
        <w:t xml:space="preserve"> 2,60 %, a to v důsledku nárůstu počtu zaměstnanců v národním hospodářství celkem. Podíl zaměstnanců v samotném zemědělství (včetně myslivosti a souvisejících činností) rovněž poklesl, a to o 0,01 p. b. </w:t>
      </w:r>
      <w:proofErr w:type="gramStart"/>
      <w:r w:rsidRPr="00A465E1">
        <w:rPr>
          <w:szCs w:val="24"/>
        </w:rPr>
        <w:t>na</w:t>
      </w:r>
      <w:proofErr w:type="gramEnd"/>
      <w:r w:rsidRPr="00A465E1">
        <w:rPr>
          <w:szCs w:val="24"/>
        </w:rPr>
        <w:t xml:space="preserve"> 2,23 %. </w:t>
      </w:r>
      <w:r w:rsidRPr="0018268B">
        <w:rPr>
          <w:szCs w:val="24"/>
        </w:rPr>
        <w:t>Průměrná mzda v zemědělství v roce 2014 do</w:t>
      </w:r>
      <w:r>
        <w:rPr>
          <w:szCs w:val="24"/>
        </w:rPr>
        <w:t xml:space="preserve">sáhla 80,7 % průměru mezd v ČR. </w:t>
      </w:r>
      <w:r w:rsidRPr="00A465E1">
        <w:rPr>
          <w:szCs w:val="24"/>
        </w:rPr>
        <w:t xml:space="preserve">Růst nominální mzdy zaměstnanců v zemědělství na přepočtené osoby činil 2,9 % a byl o 0,5 p. b. </w:t>
      </w:r>
      <w:proofErr w:type="gramStart"/>
      <w:r w:rsidRPr="00A465E1">
        <w:rPr>
          <w:szCs w:val="24"/>
        </w:rPr>
        <w:t>vyšší</w:t>
      </w:r>
      <w:proofErr w:type="gramEnd"/>
      <w:r w:rsidRPr="00A465E1">
        <w:rPr>
          <w:szCs w:val="24"/>
        </w:rPr>
        <w:t xml:space="preserve"> než průměr celkového růstu mezd v ČR. Tím došlo v zemědělství k nárůstu reálné mzdy o 2,5 %.</w:t>
      </w:r>
    </w:p>
    <w:p w:rsidR="000E5274" w:rsidRPr="00A465E1" w:rsidRDefault="000E5274" w:rsidP="000E5274">
      <w:pPr>
        <w:rPr>
          <w:szCs w:val="24"/>
        </w:rPr>
      </w:pPr>
      <w:r w:rsidRPr="00A465E1">
        <w:rPr>
          <w:szCs w:val="24"/>
        </w:rPr>
        <w:t xml:space="preserve">Podíl zemědělství na výdajích státního rozpočtu se v roce 2014 snížil o 0,23 p. b. </w:t>
      </w:r>
      <w:proofErr w:type="gramStart"/>
      <w:r w:rsidRPr="00A465E1">
        <w:rPr>
          <w:szCs w:val="24"/>
        </w:rPr>
        <w:t>na</w:t>
      </w:r>
      <w:proofErr w:type="gramEnd"/>
      <w:r w:rsidRPr="00A465E1">
        <w:rPr>
          <w:szCs w:val="24"/>
        </w:rPr>
        <w:t> 3,85 %. Zatímco celkové výdaje státního rozpočtu se v roce 2014 meziročně zvýšily o 3,3 %, výdaje státu do odvětví zemědělství se snížily ve srovnání s rokem 2013 o 2,6 %.</w:t>
      </w:r>
    </w:p>
    <w:p w:rsidR="000E5274" w:rsidRDefault="000E5274" w:rsidP="00535A8F">
      <w:pPr>
        <w:pStyle w:val="souhrn-N1"/>
      </w:pPr>
      <w:r w:rsidRPr="00945E42">
        <w:t>●</w:t>
      </w:r>
      <w:r w:rsidRPr="00945E42">
        <w:tab/>
        <w:t>Podpory agrárního sektoru a venkova</w:t>
      </w:r>
    </w:p>
    <w:p w:rsidR="000E5274" w:rsidRPr="003864CA" w:rsidRDefault="000E5274" w:rsidP="0046126F">
      <w:pPr>
        <w:pStyle w:val="souhrn-N2"/>
      </w:pPr>
      <w:r w:rsidRPr="00945E42">
        <w:t>Podpory v rámci politiky rozvoje venkova a rybářství</w:t>
      </w:r>
    </w:p>
    <w:p w:rsidR="000E5274" w:rsidRPr="00A465E1" w:rsidRDefault="000E5274" w:rsidP="000E5274">
      <w:pPr>
        <w:rPr>
          <w:szCs w:val="24"/>
        </w:rPr>
      </w:pPr>
      <w:r w:rsidRPr="00A465E1">
        <w:rPr>
          <w:szCs w:val="24"/>
        </w:rPr>
        <w:t>Program rozvoje venkova na období 2007</w:t>
      </w:r>
      <w:r w:rsidRPr="00A465E1">
        <w:rPr>
          <w:szCs w:val="24"/>
        </w:rPr>
        <w:noBreakHyphen/>
        <w:t>2013 (PRV) umožňuje čerpání prostředků pro zemědělství a venkov z Evropského zemědělského fondu pro rozvoj venkova (EAFRD). Celková částka přidělených prostředků z EAFRD je přibližně 2,8 mld. €, což spolu s příspěvkem ze státního rozpočtu ČR představuje na celé sedmileté období částku 3,7 mld. €.</w:t>
      </w:r>
    </w:p>
    <w:p w:rsidR="000E5274" w:rsidRPr="00A465E1" w:rsidRDefault="000E5274" w:rsidP="000E5274">
      <w:pPr>
        <w:rPr>
          <w:szCs w:val="24"/>
        </w:rPr>
      </w:pPr>
      <w:r w:rsidRPr="00A465E1">
        <w:rPr>
          <w:szCs w:val="24"/>
        </w:rPr>
        <w:t>Cílem PRV je zvýšení konkurenceschopnosti zemědělství, zlepšení stavu životního prostředí a snížení negativních vlivů zemědělského hospodaření, ochrana přírody a rozvoj kvality života na venkově. K realizaci těchto cílů byla připravena opatření v rámci 4 os. V roce 2014 byly vypláceny podpory jak na základě žádostí zaregistrovaných v roce 2014, tak na základě žádostí o dotaci zaregistrovaných v předchozích letech. Mimo podpor v rámci opatření PRV byly v roce 2013 a 2014 hrazeny víceleté závazky z obdobných opatření předchozích programových dokumentů (HRDP). Celkové prostředky PRV zahrnují i spolufinancování ze státního rozpočtu.</w:t>
      </w:r>
    </w:p>
    <w:p w:rsidR="000E5274" w:rsidRDefault="000E5274" w:rsidP="0046126F">
      <w:pPr>
        <w:pStyle w:val="souhrn-N2"/>
      </w:pPr>
      <w:r w:rsidRPr="00945E42">
        <w:t>Operační program Rybářství na období 2014-2020</w:t>
      </w:r>
    </w:p>
    <w:p w:rsidR="000E5274" w:rsidRPr="006721C7" w:rsidRDefault="000E5274" w:rsidP="000E5274">
      <w:pPr>
        <w:rPr>
          <w:szCs w:val="24"/>
        </w:rPr>
      </w:pPr>
      <w:r w:rsidRPr="006721C7">
        <w:rPr>
          <w:szCs w:val="24"/>
        </w:rPr>
        <w:t>Období let 2014</w:t>
      </w:r>
      <w:r w:rsidRPr="006721C7">
        <w:rPr>
          <w:szCs w:val="24"/>
        </w:rPr>
        <w:noBreakHyphen/>
        <w:t>2020 bude v EU odvětví akvakultury výrazně ovlivněno uplatňováním principů Společné rybářské politiky důsledně vycházející z klíčového strategického dokumentu Evropské unie EVROPA 2020 postaveného na účinnějším využití veškerých zdrojů, inovací a výsledků vědy a výzkumu a lidských zdrojů.</w:t>
      </w:r>
    </w:p>
    <w:p w:rsidR="000E5274" w:rsidRPr="006721C7" w:rsidRDefault="000E5274" w:rsidP="000E5274">
      <w:pPr>
        <w:rPr>
          <w:szCs w:val="24"/>
        </w:rPr>
      </w:pPr>
      <w:r w:rsidRPr="006721C7">
        <w:rPr>
          <w:szCs w:val="24"/>
        </w:rPr>
        <w:lastRenderedPageBreak/>
        <w:t>Hlavní priority OP Rybářství na období let 2014</w:t>
      </w:r>
      <w:r w:rsidRPr="006721C7">
        <w:rPr>
          <w:szCs w:val="24"/>
        </w:rPr>
        <w:noBreakHyphen/>
        <w:t>2020 jsou cíleny na zachování udržitelné produkce tržních ryb z tradiční akvakultury v ČR, investován</w:t>
      </w:r>
      <w:r>
        <w:rPr>
          <w:szCs w:val="24"/>
        </w:rPr>
        <w:t>í do recirkulačních zařízení za </w:t>
      </w:r>
      <w:r w:rsidRPr="006721C7">
        <w:rPr>
          <w:szCs w:val="24"/>
        </w:rPr>
        <w:t xml:space="preserve">účelem zvýšení produkce a na investování do konkurenceschopnosti tradiční akvakultury. Velká pozornost bude v příštím období věnována také zvýšení podílu zpracovaných ryb, propagaci akvakultury a podpoře transferu vědeckých poznatků do podniků akvakultury </w:t>
      </w:r>
      <w:r>
        <w:rPr>
          <w:szCs w:val="24"/>
        </w:rPr>
        <w:t>a </w:t>
      </w:r>
      <w:r w:rsidRPr="006721C7">
        <w:rPr>
          <w:szCs w:val="24"/>
        </w:rPr>
        <w:t>forem hospodaření přispívající k zachování či zlepšování stavu životního prostředí.</w:t>
      </w:r>
    </w:p>
    <w:p w:rsidR="000E5274" w:rsidRDefault="000E5274" w:rsidP="0046126F">
      <w:pPr>
        <w:pStyle w:val="souhrn-N2"/>
      </w:pPr>
      <w:r w:rsidRPr="00945E42">
        <w:t>Přímé platby</w:t>
      </w:r>
    </w:p>
    <w:p w:rsidR="000E5274" w:rsidRDefault="000E5274" w:rsidP="000E5274">
      <w:pPr>
        <w:rPr>
          <w:szCs w:val="24"/>
        </w:rPr>
      </w:pPr>
      <w:r w:rsidRPr="006721C7">
        <w:rPr>
          <w:szCs w:val="24"/>
        </w:rPr>
        <w:t>Přímé platby jsou nejvýznamnější kategorií podpor, které jsou poskytovány českému zemědělství po vstupu ČR do EU. V letech 2013 a 2014 mezi přímé platby shodně patřily: SAPS, oddělená platba za cukr (SSP), oddělená platba za rajčata (STP) a zvláštní podpory podle čl. 68 NR (ES) č. 73/2009 a nařízení vlády č. 60/2012 Sb. směrované na citlivé sektory (brambory pro výrobu škrobu, chmel, telata masného typu a bahnice, popřípadě kozy, pasené na travních porostech, krávy chované v systému s tržní produkcí mléka).</w:t>
      </w:r>
    </w:p>
    <w:p w:rsidR="000E5274" w:rsidRPr="006721C7" w:rsidRDefault="000E5274" w:rsidP="000E5274">
      <w:pPr>
        <w:rPr>
          <w:szCs w:val="24"/>
        </w:rPr>
      </w:pPr>
      <w:r w:rsidRPr="006721C7">
        <w:rPr>
          <w:szCs w:val="24"/>
        </w:rPr>
        <w:t>V naprosté většině jsou přímé platby poskytovány na hektar obhospodařované zemědělské půdy evidované v rámci LPIS a jsou vypláceny ze zdrojů EU v systému SAPS (tzv. jednotná platba na plochu). SAPS je hlavní přímou platbou plně hrazenou z prostředků Evropské Unie, o kterou může žádat fyzická nebo právnická osoba obhospodařující zemědělskou půdu.</w:t>
      </w:r>
    </w:p>
    <w:p w:rsidR="000E5274" w:rsidRPr="006721C7" w:rsidRDefault="000E5274" w:rsidP="000E5274">
      <w:pPr>
        <w:rPr>
          <w:szCs w:val="24"/>
        </w:rPr>
      </w:pPr>
      <w:r w:rsidRPr="006721C7">
        <w:rPr>
          <w:szCs w:val="24"/>
        </w:rPr>
        <w:t>Evropská komise v roce 2009 vydala nařízení rady (ES) č. 73/2009, kterým se stanoví společná pravidla pro režimy přímých podpor v rámci společné zemědělské politiky, kterým se zavádějí některé režimy podpor pro zemědělce a kterým se mění nařízení (ES) č. 1290/2005, (ES) č. 247/2006, (ES) č. 378/2007 a zrušuje nařízení (ES) č. 1782/2003. V roce 2013 dosáhla výše plateb pro ČR v rámci SAPS 100% úrovně plateb poskytovaných v EU 15. Pro rok 2014 bylo vydáno nařízení Evropského parlamentu a Rady (EU) č. 1310/2013. Přímé platby mohou být žadatelům přiděleny, pokud plní zásady „podmíněnosti“ zahrnující tři oblasti: 1) veřejné zdraví, zdraví zvířat a rostlin, 2) životní prostředí, 3) dobré životní podmínky zvířat. V případě neplnění jsou tyto platby žadateli sníženy nebo zcela odebrány. Souběžně se SAPS měla ČR možnost dorovnávat přímé podpory z vlastních národních zdrojů.</w:t>
      </w:r>
    </w:p>
    <w:p w:rsidR="000E5274" w:rsidRPr="006721C7" w:rsidRDefault="000E5274" w:rsidP="000E5274">
      <w:pPr>
        <w:rPr>
          <w:szCs w:val="24"/>
        </w:rPr>
      </w:pPr>
      <w:r w:rsidRPr="006721C7">
        <w:rPr>
          <w:szCs w:val="24"/>
        </w:rPr>
        <w:t>V roce 2013 byla již druhým rokem po sobě uplatňována modulace plateb (v souladu s čl. 10 nařízení Rady (ES) č. 73/2009). V roce 2014 již nebyla modulace uplatňována.</w:t>
      </w:r>
    </w:p>
    <w:p w:rsidR="000E5274" w:rsidRDefault="000E5274" w:rsidP="000E5274">
      <w:pPr>
        <w:rPr>
          <w:szCs w:val="24"/>
        </w:rPr>
      </w:pPr>
      <w:r w:rsidRPr="006721C7">
        <w:rPr>
          <w:szCs w:val="24"/>
        </w:rPr>
        <w:t>V roce 2013 byla při výplatě doplatků přímých plateb zemědělským podnikům nově zohledněna tzv. finanční kázeň. To znamenalo, že žadatelům, jejichž celkový součet přímých plateb převýšil úroveň 2 tis. € (tj. 51 460 Kč) byla snížena částka přesahující tento stanovený limit o 2,453658 %. V roce 2014 to bylo 1,302214 %.</w:t>
      </w:r>
    </w:p>
    <w:p w:rsidR="000E5274" w:rsidRDefault="000E5274" w:rsidP="0046126F">
      <w:pPr>
        <w:pStyle w:val="souhrn-N2"/>
      </w:pPr>
      <w:r w:rsidRPr="00945E42">
        <w:lastRenderedPageBreak/>
        <w:t>Podpory tržních cen a organizace trhu</w:t>
      </w:r>
    </w:p>
    <w:p w:rsidR="000E5274" w:rsidRDefault="000E5274" w:rsidP="000E5274">
      <w:pPr>
        <w:rPr>
          <w:szCs w:val="24"/>
        </w:rPr>
      </w:pPr>
      <w:r w:rsidRPr="006721C7">
        <w:rPr>
          <w:szCs w:val="24"/>
        </w:rPr>
        <w:t xml:space="preserve">Podpory tržních cen zahrnují jak podpory cen výrobců (formou subvencování vývozu, podpory soukromého skladování a jiných cenových podpor v rámci SOT a prostřednictvím celní ochrany), tak podpory cen spotřebitelů (např. formou subvencování školního mléka a ovoce a zeleniny do škol). V roce 2014 bylo celkově vydáno na podporu cen a organizaci trhu </w:t>
      </w:r>
      <w:r w:rsidRPr="00961945">
        <w:rPr>
          <w:szCs w:val="24"/>
        </w:rPr>
        <w:t>5 066,7</w:t>
      </w:r>
      <w:r w:rsidRPr="006721C7">
        <w:rPr>
          <w:szCs w:val="24"/>
        </w:rPr>
        <w:t xml:space="preserve"> mil. Kč, což bylo o </w:t>
      </w:r>
      <w:r w:rsidRPr="00961945">
        <w:rPr>
          <w:szCs w:val="24"/>
        </w:rPr>
        <w:t>658,9</w:t>
      </w:r>
      <w:r w:rsidRPr="006721C7">
        <w:rPr>
          <w:szCs w:val="24"/>
        </w:rPr>
        <w:t xml:space="preserve"> mil. Kč více než v předchozím roce. Tento růst byl způsoben především zvýšením podpor na </w:t>
      </w:r>
      <w:r w:rsidRPr="00961945">
        <w:rPr>
          <w:szCs w:val="24"/>
        </w:rPr>
        <w:t>provoz bioplynových stanic, které jsou podporovány prostřednictvím výkupních cen a zelených bonusů vázaných na množství vyrobené elektrické energie. Tyto podpory jsou v gesci Energetického regulačního úřadu a</w:t>
      </w:r>
      <w:r>
        <w:rPr>
          <w:szCs w:val="24"/>
        </w:rPr>
        <w:t> </w:t>
      </w:r>
      <w:r w:rsidRPr="00961945">
        <w:rPr>
          <w:szCs w:val="24"/>
        </w:rPr>
        <w:t>v</w:t>
      </w:r>
      <w:r>
        <w:rPr>
          <w:szCs w:val="24"/>
        </w:rPr>
        <w:t> </w:t>
      </w:r>
      <w:r w:rsidRPr="00961945">
        <w:rPr>
          <w:szCs w:val="24"/>
        </w:rPr>
        <w:t xml:space="preserve">roce 2014 činily 4 556,7 mil. Kč, což bylo o 639,1 mil. Kč více než v předchozím roce. Tento růst byl také ovlivněn zvýšením podpor na </w:t>
      </w:r>
      <w:r w:rsidRPr="006721C7">
        <w:rPr>
          <w:szCs w:val="24"/>
        </w:rPr>
        <w:t>propagaci zemědělských produktů, které se oproti roku 2013 zvýšily o 23,7 mil. Kč.</w:t>
      </w:r>
    </w:p>
    <w:p w:rsidR="000E5274" w:rsidRPr="006721C7" w:rsidRDefault="000E5274" w:rsidP="000E5274">
      <w:pPr>
        <w:rPr>
          <w:szCs w:val="24"/>
        </w:rPr>
      </w:pPr>
      <w:r w:rsidRPr="006721C7">
        <w:rPr>
          <w:szCs w:val="24"/>
        </w:rPr>
        <w:t>Podpory v rámci SOT vínem se snížily oproti roku 2013 o</w:t>
      </w:r>
      <w:r>
        <w:rPr>
          <w:szCs w:val="24"/>
        </w:rPr>
        <w:t> </w:t>
      </w:r>
      <w:r w:rsidRPr="006721C7">
        <w:rPr>
          <w:szCs w:val="24"/>
        </w:rPr>
        <w:t>22,4 mil. Kč a dále se snížily podpory pro Organizace producentů ovoce a zeleniny o</w:t>
      </w:r>
      <w:r>
        <w:rPr>
          <w:szCs w:val="24"/>
        </w:rPr>
        <w:t> </w:t>
      </w:r>
      <w:r w:rsidRPr="006721C7">
        <w:rPr>
          <w:szCs w:val="24"/>
        </w:rPr>
        <w:t>11,4</w:t>
      </w:r>
      <w:r>
        <w:rPr>
          <w:szCs w:val="24"/>
        </w:rPr>
        <w:t> </w:t>
      </w:r>
      <w:r w:rsidRPr="006721C7">
        <w:rPr>
          <w:szCs w:val="24"/>
        </w:rPr>
        <w:t>mil. Kč. Celkově podpory poskytnuté ze zdrojů ČR zůstaly v zásadě nezměněny, na rozdíl od podpor poskytnutých ze zdrojů EU, které se snížily o 4,3 mil. Kč.</w:t>
      </w:r>
    </w:p>
    <w:p w:rsidR="000E5274" w:rsidRPr="006721C7" w:rsidRDefault="000E5274" w:rsidP="000E5274">
      <w:pPr>
        <w:rPr>
          <w:szCs w:val="24"/>
        </w:rPr>
      </w:pPr>
      <w:r w:rsidRPr="006721C7">
        <w:rPr>
          <w:szCs w:val="24"/>
        </w:rPr>
        <w:t xml:space="preserve">Prostředky EU na restrukturalizaci a přeměnu vinic se v roce </w:t>
      </w:r>
      <w:r>
        <w:rPr>
          <w:szCs w:val="24"/>
        </w:rPr>
        <w:t>2014 oproti roku 2013 zvýšily o </w:t>
      </w:r>
      <w:r w:rsidRPr="006721C7">
        <w:rPr>
          <w:szCs w:val="24"/>
        </w:rPr>
        <w:t>25,4 mil. Kč na 106,2 mil. Kč.</w:t>
      </w:r>
    </w:p>
    <w:p w:rsidR="000E5274" w:rsidRPr="00445106" w:rsidRDefault="000E5274" w:rsidP="000E5274">
      <w:pPr>
        <w:rPr>
          <w:szCs w:val="24"/>
        </w:rPr>
      </w:pPr>
      <w:r w:rsidRPr="00445106">
        <w:rPr>
          <w:szCs w:val="24"/>
        </w:rPr>
        <w:t>V roce 2014 došlo k mírnému nárůstu podpor u projektu Ovoce a zelenina do škol, konkrétně o 5,1 mil. Kč a dosáhly úrovně 143,6 mil. Kč.</w:t>
      </w:r>
    </w:p>
    <w:p w:rsidR="000E5274" w:rsidRPr="00445106" w:rsidRDefault="000E5274" w:rsidP="000E5274">
      <w:pPr>
        <w:rPr>
          <w:szCs w:val="24"/>
        </w:rPr>
      </w:pPr>
      <w:r w:rsidRPr="00445106">
        <w:rPr>
          <w:szCs w:val="24"/>
        </w:rPr>
        <w:t>U celkového objemu vyplacených podpor na školní mléko došlo v roce 2014 k nepatrnému zvýšení o 2,2 mil. Kč a dosáhly úrovně 57,9 mil. Kč.</w:t>
      </w:r>
    </w:p>
    <w:p w:rsidR="000E5274" w:rsidRPr="00445106" w:rsidRDefault="000E5274" w:rsidP="000E5274">
      <w:pPr>
        <w:rPr>
          <w:szCs w:val="24"/>
        </w:rPr>
      </w:pPr>
      <w:r w:rsidRPr="00445106">
        <w:rPr>
          <w:szCs w:val="24"/>
        </w:rPr>
        <w:t>Exportní subvence již nebyly v roce 2014 poskytovány.</w:t>
      </w:r>
    </w:p>
    <w:p w:rsidR="000E5274" w:rsidRPr="00445106" w:rsidRDefault="000E5274" w:rsidP="000E5274">
      <w:pPr>
        <w:rPr>
          <w:szCs w:val="24"/>
        </w:rPr>
      </w:pPr>
      <w:r w:rsidRPr="00445106">
        <w:rPr>
          <w:szCs w:val="24"/>
        </w:rPr>
        <w:t>V roce 2014 byly nadále vypláceny podpory včelařům, určené na zlepšení výroby včelařských produktů a jejich uvedení na trh. V roce 2013 dosáhly výše 66,2 mil. Kč. (z toho 50 % bylo vyplaceno z rozpočtu EU), v roce 2014 se tyto podpory snížily o 2,2 mil. Kč na 64,0 mil. Kč.</w:t>
      </w:r>
    </w:p>
    <w:p w:rsidR="000E5274" w:rsidRDefault="000E5274" w:rsidP="00535A8F">
      <w:pPr>
        <w:pStyle w:val="souhrn-N1"/>
      </w:pPr>
      <w:r w:rsidRPr="00445106">
        <w:t>●</w:t>
      </w:r>
      <w:r w:rsidRPr="00445106">
        <w:tab/>
        <w:t>Zemědělství a životní prostředí, ochrana zvířat</w:t>
      </w:r>
    </w:p>
    <w:p w:rsidR="000E5274" w:rsidRDefault="000E5274" w:rsidP="0046126F">
      <w:pPr>
        <w:pStyle w:val="souhrn-N2"/>
      </w:pPr>
      <w:r w:rsidRPr="00945E42">
        <w:t>Vliv agrárního sektoru na jednotlivé složky životního prostředí</w:t>
      </w:r>
    </w:p>
    <w:p w:rsidR="000E5274" w:rsidRPr="00445106" w:rsidRDefault="000E5274" w:rsidP="000E5274">
      <w:pPr>
        <w:rPr>
          <w:szCs w:val="24"/>
        </w:rPr>
      </w:pPr>
      <w:r w:rsidRPr="00445106">
        <w:rPr>
          <w:szCs w:val="24"/>
        </w:rPr>
        <w:t>Zemědělský půdní fond (ZPF) tvořil v roce 2014 více než polovinu celkové výměry ČR (53,5 %), v porovnání s rokem 2013 se zmenšil o 4,2 tis. ha. Nepatrný pokles zaznamenala orná půda (o 0,2 %) a mírný nárůst byl identifikován u trvalých travních porostů (o 0,3 %). Výměra lesních pozemků zůstala přibližně stejná jako v roce 2013 (33,8 %).</w:t>
      </w:r>
    </w:p>
    <w:p w:rsidR="000E5274" w:rsidRPr="00445106" w:rsidRDefault="000E5274" w:rsidP="000E5274">
      <w:pPr>
        <w:rPr>
          <w:szCs w:val="24"/>
        </w:rPr>
      </w:pPr>
      <w:r w:rsidRPr="00445106">
        <w:rPr>
          <w:szCs w:val="24"/>
        </w:rPr>
        <w:t>Výměra ploch lokalit soustavy Na</w:t>
      </w:r>
      <w:r>
        <w:rPr>
          <w:szCs w:val="24"/>
        </w:rPr>
        <w:t>tura 2000 v roce 2014 byla 1 106</w:t>
      </w:r>
      <w:r w:rsidRPr="00445106">
        <w:rPr>
          <w:szCs w:val="24"/>
        </w:rPr>
        <w:t>,</w:t>
      </w:r>
      <w:r>
        <w:rPr>
          <w:szCs w:val="24"/>
        </w:rPr>
        <w:t>12 tis. ha, tj. 14,03</w:t>
      </w:r>
      <w:r w:rsidRPr="00445106">
        <w:rPr>
          <w:szCs w:val="24"/>
        </w:rPr>
        <w:t xml:space="preserve"> % celkové rozlohy ČR. Evropsky významné lokality zaujímaly výměru 785,6 tis. ha </w:t>
      </w:r>
      <w:r w:rsidRPr="00445106">
        <w:rPr>
          <w:szCs w:val="24"/>
        </w:rPr>
        <w:lastRenderedPageBreak/>
        <w:t>(10,0 % rozlohy ČR) a jejich počet byl 1 075. Ptačí</w:t>
      </w:r>
      <w:r>
        <w:rPr>
          <w:szCs w:val="24"/>
        </w:rPr>
        <w:t>ch oblastí bylo evidováno 41 na </w:t>
      </w:r>
      <w:r w:rsidRPr="00445106">
        <w:rPr>
          <w:szCs w:val="24"/>
        </w:rPr>
        <w:t>rozloze 703,4 tis. ha (8,9 % rozlohy ČR). Celková rozloha území chráněných podle zákona č. 114/1992 Sb. se odhaduje na 1 68</w:t>
      </w:r>
      <w:r>
        <w:rPr>
          <w:szCs w:val="24"/>
        </w:rPr>
        <w:t>6,4 tis. ha (21,4 % plochy ČR).</w:t>
      </w:r>
    </w:p>
    <w:p w:rsidR="000E5274" w:rsidRPr="00445106" w:rsidRDefault="000E5274" w:rsidP="000E5274">
      <w:pPr>
        <w:rPr>
          <w:szCs w:val="24"/>
        </w:rPr>
      </w:pPr>
      <w:r w:rsidRPr="00445106">
        <w:rPr>
          <w:szCs w:val="24"/>
        </w:rPr>
        <w:t>Celková výměra z. </w:t>
      </w:r>
      <w:proofErr w:type="gramStart"/>
      <w:r w:rsidRPr="00445106">
        <w:rPr>
          <w:szCs w:val="24"/>
        </w:rPr>
        <w:t>p.</w:t>
      </w:r>
      <w:proofErr w:type="gramEnd"/>
      <w:r w:rsidRPr="00445106">
        <w:rPr>
          <w:szCs w:val="24"/>
        </w:rPr>
        <w:t xml:space="preserve"> v LFA evidované v LPIS k 31. 12. 2014 je 1 775,7 tis. ha, (50,1 % z. p.), v tom orná půda zaujímá 913,2 tis. ha (51,4 % z. p. v LFA) a travní porosty 853,7 tis. ha (48,1 % z. p. v LFA).</w:t>
      </w:r>
    </w:p>
    <w:p w:rsidR="000E5274" w:rsidRDefault="000E5274" w:rsidP="000E5274">
      <w:pPr>
        <w:rPr>
          <w:szCs w:val="24"/>
        </w:rPr>
      </w:pPr>
      <w:r w:rsidRPr="00445106">
        <w:rPr>
          <w:szCs w:val="24"/>
        </w:rPr>
        <w:t>Odvodněné plochy jsou vykazovány jako souhrn evidovaných ploch provedeného odvodnění. V ČR je odvodněno 1 078 tis. ha (25,6 % z. </w:t>
      </w:r>
      <w:proofErr w:type="gramStart"/>
      <w:r w:rsidRPr="00445106">
        <w:rPr>
          <w:szCs w:val="24"/>
        </w:rPr>
        <w:t>p.</w:t>
      </w:r>
      <w:proofErr w:type="gramEnd"/>
      <w:r w:rsidRPr="00445106">
        <w:rPr>
          <w:szCs w:val="24"/>
        </w:rPr>
        <w:t>) drenážním det</w:t>
      </w:r>
      <w:r>
        <w:rPr>
          <w:szCs w:val="24"/>
        </w:rPr>
        <w:t>ailem (poslední dostupný údaj z </w:t>
      </w:r>
      <w:r w:rsidRPr="00445106">
        <w:rPr>
          <w:szCs w:val="24"/>
        </w:rPr>
        <w:t>roku 1992).</w:t>
      </w:r>
      <w:r>
        <w:rPr>
          <w:szCs w:val="24"/>
        </w:rPr>
        <w:t xml:space="preserve"> Strukturálním šetřením v zemědělství 2013 byly zjištěny aktuální údaje o rozsahu zavlažovaných půd v ČR. Zavlažovaná plocha byla 17,8 tis. ha a </w:t>
      </w:r>
      <w:proofErr w:type="spellStart"/>
      <w:r>
        <w:rPr>
          <w:szCs w:val="24"/>
        </w:rPr>
        <w:t>zavlažovatelná</w:t>
      </w:r>
      <w:proofErr w:type="spellEnd"/>
      <w:r w:rsidRPr="00445106">
        <w:rPr>
          <w:szCs w:val="24"/>
        </w:rPr>
        <w:t xml:space="preserve"> </w:t>
      </w:r>
      <w:r>
        <w:rPr>
          <w:szCs w:val="24"/>
        </w:rPr>
        <w:t>plocha byla 34,1 tis. ha.</w:t>
      </w:r>
    </w:p>
    <w:p w:rsidR="000E5274" w:rsidRPr="00445106" w:rsidRDefault="000E5274" w:rsidP="000E5274">
      <w:pPr>
        <w:rPr>
          <w:szCs w:val="24"/>
        </w:rPr>
      </w:pPr>
      <w:r w:rsidRPr="00445106">
        <w:rPr>
          <w:szCs w:val="24"/>
        </w:rPr>
        <w:t>V roce 2014 bylo v systému integrované produkce zeleniny evidováno 75 pěstitelů s plochou 5,7 tis. ha. Proplaceno bylo 78 žádostí, které byly podány v roce 2013 na rozlohu 5,9 tis. ha.</w:t>
      </w:r>
    </w:p>
    <w:p w:rsidR="000E5274" w:rsidRPr="00445106" w:rsidRDefault="000E5274" w:rsidP="000E5274">
      <w:pPr>
        <w:rPr>
          <w:szCs w:val="24"/>
        </w:rPr>
      </w:pPr>
      <w:r w:rsidRPr="00445106">
        <w:rPr>
          <w:szCs w:val="24"/>
        </w:rPr>
        <w:t>K 31. 12. 2014 bylo zaregistrováno v integrovaném systému pěstování ovoce 307 členů s výměrou ovocných sadů 10,9 tis. ha. Ve Svazu pro integrované systémy pěstování ovoce (SISPO) bylo celkem v rámci EAFRD proplaceno 307 žádostí z roku 2013 na výměru 10,9 tis. ha ovocných sadů. V roce 2014 bylo podáno 292 žádostí na plochu 10,5 tis. ha.</w:t>
      </w:r>
    </w:p>
    <w:p w:rsidR="000E5274" w:rsidRPr="006B5FF8" w:rsidRDefault="000E5274" w:rsidP="000E5274">
      <w:pPr>
        <w:rPr>
          <w:szCs w:val="24"/>
        </w:rPr>
      </w:pPr>
      <w:r w:rsidRPr="00445106">
        <w:rPr>
          <w:szCs w:val="24"/>
        </w:rPr>
        <w:t>K 31. 12. 2014 bylo evidováno 168 členů Svazu integrované</w:t>
      </w:r>
      <w:r>
        <w:rPr>
          <w:szCs w:val="24"/>
        </w:rPr>
        <w:t xml:space="preserve"> a ekologické produkce hroznů a </w:t>
      </w:r>
      <w:r w:rsidRPr="00445106">
        <w:rPr>
          <w:szCs w:val="24"/>
        </w:rPr>
        <w:t>vína o. s. – EKOVÍN, kteří hospodaří v systému integrovan</w:t>
      </w:r>
      <w:r>
        <w:rPr>
          <w:szCs w:val="24"/>
        </w:rPr>
        <w:t>é produkce révy vinné na </w:t>
      </w:r>
      <w:r w:rsidRPr="00445106">
        <w:rPr>
          <w:szCs w:val="24"/>
        </w:rPr>
        <w:t>6,8 tis. ha. Celkem bylo v integrované produkci vinné révy v</w:t>
      </w:r>
      <w:r w:rsidRPr="006B5FF8">
        <w:rPr>
          <w:szCs w:val="24"/>
        </w:rPr>
        <w:t xml:space="preserve"> roce 2014 podáno 591</w:t>
      </w:r>
      <w:r>
        <w:rPr>
          <w:szCs w:val="24"/>
        </w:rPr>
        <w:t xml:space="preserve"> žádostí na </w:t>
      </w:r>
      <w:r w:rsidRPr="006B5FF8">
        <w:rPr>
          <w:szCs w:val="24"/>
        </w:rPr>
        <w:t>výměru 11,3 tis. ha.</w:t>
      </w:r>
    </w:p>
    <w:p w:rsidR="000E5274" w:rsidRDefault="000E5274" w:rsidP="0046126F">
      <w:pPr>
        <w:pStyle w:val="souhrn-N2"/>
      </w:pPr>
      <w:r w:rsidRPr="00945E42">
        <w:t>Ochrana zvířat</w:t>
      </w:r>
    </w:p>
    <w:p w:rsidR="000E5274" w:rsidRPr="00445106" w:rsidRDefault="000E5274" w:rsidP="000E5274">
      <w:pPr>
        <w:rPr>
          <w:szCs w:val="24"/>
        </w:rPr>
      </w:pPr>
      <w:r w:rsidRPr="00445106">
        <w:rPr>
          <w:szCs w:val="24"/>
        </w:rPr>
        <w:t>V České republice je oblast ochrany zvířat proti týrání uprav</w:t>
      </w:r>
      <w:r>
        <w:rPr>
          <w:szCs w:val="24"/>
        </w:rPr>
        <w:t>ena zákonem č. 246/1992 Sb., na </w:t>
      </w:r>
      <w:r w:rsidRPr="00445106">
        <w:rPr>
          <w:szCs w:val="24"/>
        </w:rPr>
        <w:t>ochranu zvířat proti týrání, ve znění pozdějších předpisů (dále zákon na ochranu zvířat). Zákon na ochranu zvířat stanovuje jako hlavní orgány ochrany zvířat MZe a SVS ČR. Ochrana zvířat a péče o jejich pohodu (welfare) patří do kompetencí MZe, které pro tento účel zřídilo v rámci Odboru živočišných komodit Oddělení ochrany zvířat, a dále odborný poradní orgán ministra zemědělství – ÚKOZ. Dozor na úseku ochrany zvířat provádějí inspektoři krajských veterinárních správ SVS ČR.</w:t>
      </w:r>
    </w:p>
    <w:p w:rsidR="000E5274" w:rsidRPr="00445106" w:rsidRDefault="000E5274" w:rsidP="000E5274">
      <w:pPr>
        <w:rPr>
          <w:szCs w:val="24"/>
        </w:rPr>
      </w:pPr>
      <w:r w:rsidRPr="00445106">
        <w:rPr>
          <w:szCs w:val="24"/>
        </w:rPr>
        <w:t>V souladu s právními předpisy bylo v roce 2014 v rámci dozoru nad ochranou zvířat a péčí o</w:t>
      </w:r>
      <w:r>
        <w:rPr>
          <w:szCs w:val="24"/>
        </w:rPr>
        <w:t> </w:t>
      </w:r>
      <w:r w:rsidRPr="00445106">
        <w:rPr>
          <w:szCs w:val="24"/>
        </w:rPr>
        <w:t>jejich pohodu provedeno celkem 7 972 kontrol (z toho u hospodářských zvířat proběhlo 4 041 kontrol). Při 872 kontrolách byla zjištěna nevyhovující péče, která se týkala 203 917</w:t>
      </w:r>
      <w:r>
        <w:rPr>
          <w:szCs w:val="24"/>
        </w:rPr>
        <w:t> </w:t>
      </w:r>
      <w:r w:rsidRPr="00445106">
        <w:rPr>
          <w:szCs w:val="24"/>
        </w:rPr>
        <w:t>zvířat (z toho při 355 kontrolách u 194 064 hospodářských zvířat).</w:t>
      </w:r>
    </w:p>
    <w:p w:rsidR="000E5274" w:rsidRPr="00445106" w:rsidRDefault="000E5274" w:rsidP="000E5274">
      <w:pPr>
        <w:rPr>
          <w:szCs w:val="24"/>
        </w:rPr>
      </w:pPr>
      <w:r w:rsidRPr="00445106">
        <w:rPr>
          <w:szCs w:val="24"/>
        </w:rPr>
        <w:t>Podle informací Ministerstva spravedlnosti bylo podle trestního zákona za týrání zvířat v roce 2014 stíháno 26 a odsouzeno 31 osob.</w:t>
      </w:r>
    </w:p>
    <w:p w:rsidR="000E5274" w:rsidRPr="00B373A9" w:rsidRDefault="000E5274" w:rsidP="0046126F">
      <w:pPr>
        <w:pStyle w:val="souhrn-N2"/>
      </w:pPr>
      <w:r w:rsidRPr="00945E42">
        <w:lastRenderedPageBreak/>
        <w:t>Ekologické zemědělství</w:t>
      </w:r>
    </w:p>
    <w:p w:rsidR="000E5274" w:rsidRPr="00445106" w:rsidRDefault="000E5274" w:rsidP="000E5274">
      <w:pPr>
        <w:rPr>
          <w:szCs w:val="24"/>
        </w:rPr>
      </w:pPr>
      <w:r w:rsidRPr="00445106">
        <w:rPr>
          <w:szCs w:val="24"/>
        </w:rPr>
        <w:t>Ke konci roku 2014 hospodařilo v ČR 3 870</w:t>
      </w:r>
      <w:r w:rsidRPr="00945E42">
        <w:rPr>
          <w:i/>
          <w:szCs w:val="24"/>
          <w:vertAlign w:val="superscript"/>
        </w:rPr>
        <w:footnoteReference w:id="2"/>
      </w:r>
      <w:r w:rsidRPr="00445106">
        <w:rPr>
          <w:szCs w:val="24"/>
        </w:rPr>
        <w:t xml:space="preserve"> ekologických zemědělců, jedná se o mírný pokles oproti předchozímu roku. Naopak vzrostl počet výrobců biopotravin, kterých bylo k 31. 12. 2014</w:t>
      </w:r>
      <w:r>
        <w:rPr>
          <w:szCs w:val="24"/>
        </w:rPr>
        <w:t xml:space="preserve"> </w:t>
      </w:r>
      <w:r w:rsidRPr="00445106">
        <w:rPr>
          <w:szCs w:val="24"/>
        </w:rPr>
        <w:t>evidováno 506.</w:t>
      </w:r>
    </w:p>
    <w:p w:rsidR="000E5274" w:rsidRPr="00445106" w:rsidRDefault="000E5274" w:rsidP="000E5274">
      <w:pPr>
        <w:rPr>
          <w:szCs w:val="24"/>
        </w:rPr>
      </w:pPr>
      <w:r w:rsidRPr="00445106">
        <w:rPr>
          <w:szCs w:val="24"/>
        </w:rPr>
        <w:t>K 31. 12. 2014 byl podíl ekologicky obhospodařované půdy k celkové výměře zemědělské půdy 11,7 %, což je téměř stejný podíl jako v roce 2013. Zároveň mírně klesla výměra orné půdy na 56 555 ha a vzrostla výměra TP na 413 213 ha.</w:t>
      </w:r>
    </w:p>
    <w:p w:rsidR="000E5274" w:rsidRPr="00973ECE" w:rsidRDefault="000E5274" w:rsidP="000E5274">
      <w:pPr>
        <w:rPr>
          <w:szCs w:val="24"/>
        </w:rPr>
      </w:pPr>
      <w:r w:rsidRPr="00973ECE">
        <w:rPr>
          <w:szCs w:val="24"/>
        </w:rPr>
        <w:t xml:space="preserve">Podpora pro ekologické zemědělce v podobě dotací na plochu užívanou v ekologickém hospodaření, nebo zařazenou do přechodného období, byla v roce 2014 poskytována v rámci PRV jako součást tzv. </w:t>
      </w:r>
      <w:proofErr w:type="spellStart"/>
      <w:r w:rsidRPr="00973ECE">
        <w:rPr>
          <w:szCs w:val="24"/>
        </w:rPr>
        <w:t>agroenvironmentálního</w:t>
      </w:r>
      <w:proofErr w:type="spellEnd"/>
      <w:r w:rsidRPr="00973ECE">
        <w:rPr>
          <w:szCs w:val="24"/>
        </w:rPr>
        <w:t xml:space="preserve"> opatření. Výše podpor se liší podle obhospodařované kultury.</w:t>
      </w:r>
    </w:p>
    <w:p w:rsidR="000E5274" w:rsidRPr="00973ECE" w:rsidRDefault="000E5274" w:rsidP="000E5274">
      <w:pPr>
        <w:rPr>
          <w:szCs w:val="24"/>
        </w:rPr>
      </w:pPr>
      <w:r w:rsidRPr="00973ECE">
        <w:rPr>
          <w:szCs w:val="24"/>
        </w:rPr>
        <w:t>Od roku 2007 je ekologické zemědělství podporováno také výrazným bodovým zvýhodněním (preferencí) ekologických zemědělců při hodnocení investičních projektů v rámci Os I a III PRV.</w:t>
      </w:r>
    </w:p>
    <w:p w:rsidR="000E5274" w:rsidRPr="00973ECE" w:rsidRDefault="000E5274" w:rsidP="000E5274">
      <w:pPr>
        <w:rPr>
          <w:szCs w:val="24"/>
        </w:rPr>
      </w:pPr>
      <w:r w:rsidRPr="00973ECE">
        <w:rPr>
          <w:szCs w:val="24"/>
        </w:rPr>
        <w:t>Ekologické zemědělství v ČR má již dlouholetou tradici. Prav</w:t>
      </w:r>
      <w:r>
        <w:rPr>
          <w:szCs w:val="24"/>
        </w:rPr>
        <w:t>idla ekologického zemědělství a </w:t>
      </w:r>
      <w:r w:rsidRPr="00973ECE">
        <w:rPr>
          <w:szCs w:val="24"/>
        </w:rPr>
        <w:t xml:space="preserve">výroby biopotravin jsou upravena národními i evropskými předpisy. Od 1. 1. 2012 nabyl účinnosti zákon č. 344/2011 Sb., který novelizuje zákon o ekologickém zemědělství č. 242/2000 Sb. Změny v tomto právním předpisu směřují především ke zjednodušení administrativního řízení tohoto odvětví. Dále platí nařízení Rady (ES) č. 834/2007 a prováděcí nařízení Komise (ES) č. 889/2008, které poskytují národním předpisům rámec. 1. 4. 2012 nabyla účinnosti vyhláška č. 80/2012 Sb., kterou se provádí zákon č. 242/2000 Sb. Tato vyhláška obsahuje výčet hospodářských zvířat, která je možné chovat v systému ekologického zemědělství a aktualizuje pravidla pro chov králíků. Naopak bylo vypuštěno ustanovení týkající se pravidel ekologického chovu ryb, protože ta jsou obsahem nařízení Komise (ES) č. 710/2009 o </w:t>
      </w:r>
      <w:proofErr w:type="spellStart"/>
      <w:r w:rsidRPr="00973ECE">
        <w:rPr>
          <w:szCs w:val="24"/>
        </w:rPr>
        <w:t>ekoakvakultuře</w:t>
      </w:r>
      <w:proofErr w:type="spellEnd"/>
      <w:r w:rsidRPr="00973ECE">
        <w:rPr>
          <w:szCs w:val="24"/>
        </w:rPr>
        <w:t>.</w:t>
      </w:r>
    </w:p>
    <w:p w:rsidR="000E5274" w:rsidRDefault="000E5274" w:rsidP="00535A8F">
      <w:pPr>
        <w:pStyle w:val="souhrn-N1"/>
      </w:pPr>
      <w:r w:rsidRPr="00AD3DB8">
        <w:t>●</w:t>
      </w:r>
      <w:r w:rsidRPr="00AD3DB8">
        <w:tab/>
      </w:r>
      <w:r w:rsidRPr="00945E42">
        <w:t>Podnikatelská struktura zemědělství a zpracovatelů agrárních surovin</w:t>
      </w:r>
    </w:p>
    <w:p w:rsidR="000E5274" w:rsidRDefault="000E5274" w:rsidP="0046126F">
      <w:pPr>
        <w:pStyle w:val="souhrn-N2"/>
      </w:pPr>
      <w:r w:rsidRPr="00AD3DB8">
        <w:t>Podnikatelská struktura zemědělství v letech 201</w:t>
      </w:r>
      <w:r>
        <w:t>3</w:t>
      </w:r>
      <w:r w:rsidRPr="00AD3DB8">
        <w:t xml:space="preserve"> a 201</w:t>
      </w:r>
      <w:r>
        <w:t>4</w:t>
      </w:r>
    </w:p>
    <w:p w:rsidR="000E5274" w:rsidRDefault="000E5274" w:rsidP="000E5274">
      <w:pPr>
        <w:rPr>
          <w:szCs w:val="24"/>
        </w:rPr>
      </w:pPr>
      <w:r w:rsidRPr="00AD3DB8">
        <w:rPr>
          <w:szCs w:val="24"/>
        </w:rPr>
        <w:t>Koncem roku 2014 bylo ve strukturální zemědělské statistice ČSÚ ev</w:t>
      </w:r>
      <w:r>
        <w:rPr>
          <w:szCs w:val="24"/>
        </w:rPr>
        <w:t>idováno přes 48,5 tis. subjektů</w:t>
      </w:r>
      <w:r w:rsidRPr="00AD3DB8">
        <w:rPr>
          <w:szCs w:val="24"/>
        </w:rPr>
        <w:t>.</w:t>
      </w:r>
    </w:p>
    <w:p w:rsidR="000E5274" w:rsidRDefault="000E5274" w:rsidP="000E5274">
      <w:pPr>
        <w:pStyle w:val="mezera"/>
      </w:pPr>
    </w:p>
    <w:p w:rsidR="00394980" w:rsidRDefault="00394980" w:rsidP="000E5274">
      <w:pPr>
        <w:pStyle w:val="mezera"/>
      </w:pPr>
      <w:r w:rsidRPr="00394980">
        <w:rPr>
          <w:noProof/>
          <w:lang w:eastAsia="cs-CZ"/>
        </w:rPr>
        <w:lastRenderedPageBreak/>
        <w:drawing>
          <wp:inline distT="0" distB="0" distL="0" distR="0" wp14:anchorId="7BDD314F" wp14:editId="6FB99BCF">
            <wp:extent cx="5760720" cy="3553514"/>
            <wp:effectExtent l="0" t="0" r="0" b="889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553514"/>
                    </a:xfrm>
                    <a:prstGeom prst="rect">
                      <a:avLst/>
                    </a:prstGeom>
                    <a:noFill/>
                    <a:ln>
                      <a:noFill/>
                    </a:ln>
                  </pic:spPr>
                </pic:pic>
              </a:graphicData>
            </a:graphic>
          </wp:inline>
        </w:drawing>
      </w:r>
    </w:p>
    <w:p w:rsidR="000E5274" w:rsidRDefault="000E5274" w:rsidP="000E5274">
      <w:pPr>
        <w:pStyle w:val="TabPramZprac"/>
      </w:pPr>
      <w:r w:rsidRPr="00454936">
        <w:t>Pramen:</w:t>
      </w:r>
      <w:r>
        <w:tab/>
      </w:r>
      <w:r w:rsidRPr="00454936">
        <w:t>ČSÚ – Zemědělský registr</w:t>
      </w:r>
    </w:p>
    <w:p w:rsidR="000E5274" w:rsidRPr="003864CA" w:rsidRDefault="000E5274" w:rsidP="000E5274">
      <w:pPr>
        <w:pStyle w:val="mezera"/>
      </w:pPr>
    </w:p>
    <w:p w:rsidR="000E5274" w:rsidRPr="00454936" w:rsidRDefault="000E5274" w:rsidP="000E5274">
      <w:pPr>
        <w:rPr>
          <w:szCs w:val="24"/>
        </w:rPr>
      </w:pPr>
      <w:r w:rsidRPr="00454936">
        <w:rPr>
          <w:szCs w:val="24"/>
        </w:rPr>
        <w:t xml:space="preserve">Většina zemědělských podniků (téměř 97 %) vykázala alespoň minimální výměru </w:t>
      </w:r>
      <w:r>
        <w:rPr>
          <w:szCs w:val="24"/>
        </w:rPr>
        <w:t xml:space="preserve">z. </w:t>
      </w:r>
      <w:proofErr w:type="gramStart"/>
      <w:r>
        <w:rPr>
          <w:szCs w:val="24"/>
        </w:rPr>
        <w:t>p.</w:t>
      </w:r>
      <w:proofErr w:type="gramEnd"/>
      <w:r w:rsidRPr="00454936">
        <w:rPr>
          <w:szCs w:val="24"/>
        </w:rPr>
        <w:t xml:space="preserve"> a tyto podniky hospodařily na 3,52 mil. ha z. p. (z toho 2,49 mil. ha o. p.).</w:t>
      </w:r>
    </w:p>
    <w:p w:rsidR="000E5274" w:rsidRPr="00454936" w:rsidRDefault="000E5274" w:rsidP="000E5274">
      <w:pPr>
        <w:rPr>
          <w:szCs w:val="24"/>
        </w:rPr>
      </w:pPr>
      <w:r w:rsidRPr="00454936">
        <w:rPr>
          <w:szCs w:val="24"/>
        </w:rPr>
        <w:t>Podíl orné půdy celkově představoval 71 % zemědělské půdy. PPO vykázaly vyšší stupeň zornění obhospodařované půdy (celkově 76 %; podle jednotlivých právních forem s. r. o. 66 % a družstva shodně s a. s. 81 %) než PFO (59 %).</w:t>
      </w:r>
    </w:p>
    <w:p w:rsidR="000E5274" w:rsidRPr="00454936" w:rsidRDefault="000E5274" w:rsidP="000E5274">
      <w:pPr>
        <w:rPr>
          <w:szCs w:val="24"/>
        </w:rPr>
      </w:pPr>
      <w:r w:rsidRPr="00454936">
        <w:rPr>
          <w:szCs w:val="24"/>
        </w:rPr>
        <w:t>Na početních stavech základních druhů hospodářských zvířat měly PPO ještě vyšší podíl než na obhospodařované půdě. Na PPO připadlo 76 % skotu (v rámci toho téměř 90 % dojených krav) a téměř 93 % prasat a 91 % drůbeže.</w:t>
      </w:r>
    </w:p>
    <w:p w:rsidR="000E5274" w:rsidRDefault="000E5274" w:rsidP="000E5274">
      <w:pPr>
        <w:rPr>
          <w:szCs w:val="24"/>
        </w:rPr>
      </w:pPr>
      <w:r w:rsidRPr="00454936">
        <w:rPr>
          <w:szCs w:val="24"/>
        </w:rPr>
        <w:t>Podle právních forem podniků byly největšími chovateli skotu a. s., následované družstvy a zemědělskými podnikateli – FO. Na chovu prasat se téměř 63 % podílely a. s. a dále družstva (15 %) a s. r. o. (13 %), na chovu drůbeže se podílely zejména s. r. o. téměř 45 % a</w:t>
      </w:r>
      <w:r>
        <w:rPr>
          <w:szCs w:val="24"/>
        </w:rPr>
        <w:t> </w:t>
      </w:r>
      <w:proofErr w:type="spellStart"/>
      <w:r w:rsidRPr="00454936">
        <w:rPr>
          <w:szCs w:val="24"/>
        </w:rPr>
        <w:t>a</w:t>
      </w:r>
      <w:proofErr w:type="spellEnd"/>
      <w:r w:rsidRPr="00454936">
        <w:rPr>
          <w:szCs w:val="24"/>
        </w:rPr>
        <w:t>. s. více než 40 %, výrazně méně pak zemědělští podnikatelé – FO více než 8 %.</w:t>
      </w:r>
    </w:p>
    <w:p w:rsidR="000E5274" w:rsidRPr="004949FB" w:rsidRDefault="000E5274" w:rsidP="000E5274">
      <w:pPr>
        <w:rPr>
          <w:szCs w:val="24"/>
        </w:rPr>
      </w:pPr>
      <w:r w:rsidRPr="004949FB">
        <w:rPr>
          <w:szCs w:val="24"/>
        </w:rPr>
        <w:t>Podle údajů z registru ČSÚ byl v roce 2014 zaznamenán nárůst počtu podnikatelských subjektů zařazených do potravinářské výroby a výroby nápojů (NACE 10 + NACE 11). Celkový počet subjektů těchto výrob činil 19 677 (meziročně je to více o 1 360 firem). Ne</w:t>
      </w:r>
      <w:r>
        <w:rPr>
          <w:szCs w:val="24"/>
        </w:rPr>
        <w:t> </w:t>
      </w:r>
      <w:r w:rsidRPr="004949FB">
        <w:rPr>
          <w:szCs w:val="24"/>
        </w:rPr>
        <w:t>všechny registrované subjekty jsou však ekonomicky aktivní. Také se změnila struktura využívaných právních forem, neboť v roce 2014 se nejvíce rozrostl počet firem fyzických osob.</w:t>
      </w:r>
    </w:p>
    <w:p w:rsidR="000E5274" w:rsidRDefault="000E5274" w:rsidP="00535A8F">
      <w:pPr>
        <w:pStyle w:val="souhrn-N1"/>
      </w:pPr>
      <w:r w:rsidRPr="004949FB">
        <w:lastRenderedPageBreak/>
        <w:t>●</w:t>
      </w:r>
      <w:r w:rsidRPr="004949FB">
        <w:tab/>
        <w:t>Věda,</w:t>
      </w:r>
      <w:r>
        <w:t xml:space="preserve"> </w:t>
      </w:r>
      <w:r w:rsidRPr="004949FB">
        <w:t>výzkum, vzdělávání a poradenství</w:t>
      </w:r>
    </w:p>
    <w:p w:rsidR="000E5274" w:rsidRPr="004949FB" w:rsidRDefault="000E5274" w:rsidP="000E5274">
      <w:pPr>
        <w:rPr>
          <w:szCs w:val="24"/>
        </w:rPr>
      </w:pPr>
      <w:r w:rsidRPr="004949FB">
        <w:rPr>
          <w:szCs w:val="24"/>
        </w:rPr>
        <w:t>V roce 2014 se výzkumnou činností v oblasti zemědělství, potravinářství, vodního a lesního hospodářství a problematiky rozvoje venkova zabývalo 7 veřejných výzkumných institucí a</w:t>
      </w:r>
      <w:r>
        <w:rPr>
          <w:szCs w:val="24"/>
        </w:rPr>
        <w:t> </w:t>
      </w:r>
      <w:r w:rsidRPr="004949FB">
        <w:rPr>
          <w:szCs w:val="24"/>
        </w:rPr>
        <w:t>2</w:t>
      </w:r>
      <w:r>
        <w:rPr>
          <w:szCs w:val="24"/>
        </w:rPr>
        <w:t> </w:t>
      </w:r>
      <w:r w:rsidRPr="004949FB">
        <w:rPr>
          <w:szCs w:val="24"/>
        </w:rPr>
        <w:t>státní příspěvkové organizace se statutem výzkumné organizace podle Nařízení Komise (ES) č. 800/2008, které byly zřízeny MZe. Na rezortním výzkumu, experimentálním vývoji a</w:t>
      </w:r>
      <w:r>
        <w:rPr>
          <w:szCs w:val="24"/>
        </w:rPr>
        <w:t> </w:t>
      </w:r>
      <w:r w:rsidRPr="004949FB">
        <w:rPr>
          <w:szCs w:val="24"/>
        </w:rPr>
        <w:t>inovacích se dále podílelo kromě uvedených organizací také na dvě desítky významných soukromých výzkumných ústavů, z nichž 11 se statutem výzkumné organizace dle výše uvedeného nařízení, dále veřejné výzkumné instituce zřízené jiným rezortem, výzkumná pracoviště univerzit a vysokých škol, řada dalších menších výzkumných ústavů, organizací a</w:t>
      </w:r>
      <w:r>
        <w:rPr>
          <w:szCs w:val="24"/>
        </w:rPr>
        <w:t> </w:t>
      </w:r>
      <w:r w:rsidRPr="004949FB">
        <w:rPr>
          <w:szCs w:val="24"/>
        </w:rPr>
        <w:t>institucí a soukromých podnikatelských subjektů.</w:t>
      </w:r>
    </w:p>
    <w:p w:rsidR="000E5274" w:rsidRPr="004949FB" w:rsidRDefault="000E5274" w:rsidP="000E5274">
      <w:pPr>
        <w:rPr>
          <w:szCs w:val="24"/>
        </w:rPr>
      </w:pPr>
      <w:r w:rsidRPr="004949FB">
        <w:rPr>
          <w:szCs w:val="24"/>
        </w:rPr>
        <w:t xml:space="preserve">V oblasti mezinárodní spolupráce pokračovalo v roce 2014 řešení projektů v rámci mezinárodních programů výzkumu a vývoje, jmenovitě v </w:t>
      </w:r>
      <w:smartTag w:uri="urn:schemas-microsoft-com:office:smarttags" w:element="metricconverter">
        <w:smartTagPr>
          <w:attr w:name="ProductID" w:val="6. a"/>
        </w:smartTagPr>
        <w:r w:rsidRPr="004949FB">
          <w:rPr>
            <w:szCs w:val="24"/>
          </w:rPr>
          <w:t>6. a</w:t>
        </w:r>
      </w:smartTag>
      <w:r w:rsidRPr="004949FB">
        <w:rPr>
          <w:szCs w:val="24"/>
        </w:rPr>
        <w:t xml:space="preserve"> 7. </w:t>
      </w:r>
      <w:proofErr w:type="gramStart"/>
      <w:r w:rsidRPr="004949FB">
        <w:rPr>
          <w:szCs w:val="24"/>
        </w:rPr>
        <w:t>Rámcovém</w:t>
      </w:r>
      <w:proofErr w:type="gramEnd"/>
      <w:r w:rsidRPr="004949FB">
        <w:rPr>
          <w:szCs w:val="24"/>
        </w:rPr>
        <w:t xml:space="preserve"> programu EU a v dalších výzkumných programech.</w:t>
      </w:r>
    </w:p>
    <w:p w:rsidR="000E5274" w:rsidRPr="004949FB" w:rsidRDefault="000E5274" w:rsidP="000E5274">
      <w:pPr>
        <w:rPr>
          <w:szCs w:val="24"/>
        </w:rPr>
      </w:pPr>
      <w:r w:rsidRPr="004949FB">
        <w:rPr>
          <w:szCs w:val="24"/>
        </w:rPr>
        <w:t>Ministerstvo zemědělství počátkem prosince 2014 přijalo svoji koncepci vzdělávání po dlouhé přípravě a v návaznosti na související rezortní a evropské materiály. Koncepce stanovila 7 hlavních cílů a 13 vedlejších cílů. K hlavním cílům v období 2015</w:t>
      </w:r>
      <w:r w:rsidRPr="004949FB">
        <w:rPr>
          <w:szCs w:val="24"/>
        </w:rPr>
        <w:noBreakHyphen/>
        <w:t>2020 v oblasti vzdělávání patří další odborné vzdělávání, mimoškolní vzdělávání dětí a mládeže, transfer poznatků z oblasti vědy a výzkumu do praxe, optimalizace počtů a zvýšení kvality absolventů škol.</w:t>
      </w:r>
    </w:p>
    <w:p w:rsidR="000E5274" w:rsidRPr="004949FB" w:rsidRDefault="000E5274" w:rsidP="000E5274">
      <w:pPr>
        <w:rPr>
          <w:szCs w:val="24"/>
        </w:rPr>
      </w:pPr>
      <w:r w:rsidRPr="004949FB">
        <w:rPr>
          <w:szCs w:val="24"/>
        </w:rPr>
        <w:t>Prostřednictvím RVP bylo v roce 2014 realizováno 33 druhů vzdělávacích aktivit v celkovém počtu 370 akcí celkem za 3 654 169 Kč. Většina akcí probíhá pravidelně každý rok a navazuje na akce (semináře, konference, školení včetně zajištění sborníků a studijních či výukových materiálů) z předchozích let. Tradičně měly vysokou úroveň akce environmentálního vzdělávání pro děti a mládež z oblasti lesního hospodářství a programy pro děti zaměřené na bezpečnost a zacházení s potravinami. Významný vzdělávací efekt měla rovněž vodohospodářská školení vodoprávních úřadů, konference k ochraně a bioklimatologii zvířat, seminář k ochraně rostlin, odborná školení pro pěstitele brambor a chmele. V rámci RVP byly finančně podpořeny soutěže odborných znalostí a dovedností žáků středních škol s rezortním zaměřením. Na aktivity environmentálního vzdělávání</w:t>
      </w:r>
      <w:r>
        <w:rPr>
          <w:szCs w:val="24"/>
        </w:rPr>
        <w:t>, osvěty a propagace připadla z </w:t>
      </w:r>
      <w:r w:rsidRPr="004949FB">
        <w:rPr>
          <w:szCs w:val="24"/>
        </w:rPr>
        <w:t>celkového objemu finančních prostředků v roce 2014 částka ve výši 2 404 677 Kč, což je přibližně 66 %.</w:t>
      </w:r>
    </w:p>
    <w:p w:rsidR="000E5274" w:rsidRDefault="000E5274" w:rsidP="00535A8F">
      <w:pPr>
        <w:pStyle w:val="souhrn-N1"/>
      </w:pPr>
      <w:r w:rsidRPr="004949FB">
        <w:t>●</w:t>
      </w:r>
      <w:r w:rsidRPr="004949FB">
        <w:tab/>
      </w:r>
      <w:r w:rsidRPr="00945E42">
        <w:t>Pracovní síly a trh práce v zemědělství</w:t>
      </w:r>
    </w:p>
    <w:p w:rsidR="000E5274" w:rsidRPr="004949FB" w:rsidRDefault="000E5274" w:rsidP="000E5274">
      <w:pPr>
        <w:rPr>
          <w:szCs w:val="24"/>
        </w:rPr>
      </w:pPr>
      <w:r w:rsidRPr="004949FB">
        <w:rPr>
          <w:szCs w:val="24"/>
        </w:rPr>
        <w:t xml:space="preserve">Snižování zaměstnanosti v zemědělství pokračovalo mírnějším tempem i v roce 2014. Meziroční úbytek pracovníků v zemědělských podnicích činil 1,4 % a jejich počet se snížil </w:t>
      </w:r>
      <w:r w:rsidRPr="004949FB">
        <w:rPr>
          <w:szCs w:val="24"/>
        </w:rPr>
        <w:lastRenderedPageBreak/>
        <w:t>přibližně na 102,1 tis.</w:t>
      </w:r>
      <w:r w:rsidRPr="00945E42">
        <w:rPr>
          <w:i/>
          <w:szCs w:val="24"/>
          <w:vertAlign w:val="superscript"/>
        </w:rPr>
        <w:footnoteReference w:id="3"/>
      </w:r>
      <w:r w:rsidRPr="004949FB">
        <w:rPr>
          <w:szCs w:val="24"/>
        </w:rPr>
        <w:t>. Podíl pracovníků v zemědělství na celkové zaměstnanosti v národním hospodářství ČR činil 2,1 %</w:t>
      </w:r>
      <w:r w:rsidRPr="00945E42">
        <w:rPr>
          <w:i/>
          <w:szCs w:val="24"/>
          <w:vertAlign w:val="superscript"/>
        </w:rPr>
        <w:footnoteReference w:id="4"/>
      </w:r>
      <w:r w:rsidRPr="004949FB">
        <w:rPr>
          <w:szCs w:val="24"/>
        </w:rPr>
        <w:t xml:space="preserve"> (meziročně se prakticky nezměnil).</w:t>
      </w:r>
    </w:p>
    <w:p w:rsidR="000E5274" w:rsidRPr="004949FB" w:rsidRDefault="000E5274" w:rsidP="000E5274">
      <w:pPr>
        <w:rPr>
          <w:szCs w:val="24"/>
        </w:rPr>
      </w:pPr>
      <w:r w:rsidRPr="004949FB">
        <w:rPr>
          <w:szCs w:val="24"/>
        </w:rPr>
        <w:t>Meziročně došlo k úbytku pracovníků ve všech právních formách zemědělských podniků. Nejvíce poklesl počet pracovníků v obchodních společnostech – přibližně o 600 osob</w:t>
      </w:r>
      <w:r>
        <w:rPr>
          <w:szCs w:val="24"/>
        </w:rPr>
        <w:t xml:space="preserve"> </w:t>
      </w:r>
      <w:r w:rsidRPr="004949FB">
        <w:rPr>
          <w:szCs w:val="24"/>
        </w:rPr>
        <w:t>(o</w:t>
      </w:r>
      <w:r>
        <w:rPr>
          <w:szCs w:val="24"/>
        </w:rPr>
        <w:t> </w:t>
      </w:r>
      <w:r w:rsidRPr="004949FB">
        <w:rPr>
          <w:szCs w:val="24"/>
        </w:rPr>
        <w:t>1,1 %), v družstvech cca o 500 osob (o 2,3 %) a v podnicích fyzických osob cca o 300 osob (o 1,2 %).</w:t>
      </w:r>
    </w:p>
    <w:p w:rsidR="000E5274" w:rsidRPr="004949FB" w:rsidRDefault="000E5274" w:rsidP="000E5274">
      <w:pPr>
        <w:rPr>
          <w:szCs w:val="24"/>
        </w:rPr>
      </w:pPr>
      <w:r w:rsidRPr="004949FB">
        <w:rPr>
          <w:szCs w:val="24"/>
        </w:rPr>
        <w:t>Celková struktura zaměstnanosti podle právních forem se v posledních letech výrazně nemění. V roce 2014 více než polovina zemědělských pracovních sil (53,9 %) nadále pracovala v obchodních společnostech, přibližně pětina v družstvech (21,0 %) a čtvrtina v podnicích fyzických osob (25,0 %).</w:t>
      </w:r>
    </w:p>
    <w:p w:rsidR="000E5274" w:rsidRPr="00DC5A16" w:rsidRDefault="000E5274" w:rsidP="000E5274">
      <w:pPr>
        <w:rPr>
          <w:szCs w:val="24"/>
        </w:rPr>
      </w:pPr>
      <w:r w:rsidRPr="00DC5A16">
        <w:rPr>
          <w:szCs w:val="24"/>
        </w:rPr>
        <w:t>Věková skladba zemědělské populace představuje problém ve většině evropských zemí, ČR nevyjímaje. Ve 4. čtvrtletí 2014</w:t>
      </w:r>
      <w:r>
        <w:rPr>
          <w:szCs w:val="24"/>
        </w:rPr>
        <w:t xml:space="preserve"> </w:t>
      </w:r>
      <w:r w:rsidRPr="00DC5A16">
        <w:rPr>
          <w:szCs w:val="24"/>
        </w:rPr>
        <w:t>vykazovali v agrárním sektoru ČR nejvyšší zastoupení pracovníci ve věku 45</w:t>
      </w:r>
      <w:r w:rsidRPr="00DC5A16">
        <w:rPr>
          <w:szCs w:val="24"/>
        </w:rPr>
        <w:noBreakHyphen/>
        <w:t>59 let (43,8 %), následovala je kategorie pracovníků ve věku 30-44 let (34,5 %). Nižších podílů dosahovali pracovníci nejmladší kategorie 15</w:t>
      </w:r>
      <w:r w:rsidRPr="00DC5A16">
        <w:rPr>
          <w:szCs w:val="24"/>
        </w:rPr>
        <w:noBreakHyphen/>
        <w:t>29 let (12,4 %) a pracovníci nejstarší, tj. ve věku 60 a více let (9,3 %). V meziročním srovnání se mírně zvýšily podíly pracovníků ve věkové kategorii 15-29 let (o 0,7 p. b.) a v kategorii 30-44 let (o 0,7 p. b.). V kategorii 45-59 let naopak došlo k mírnému snížení (o 0,4 p. b.), stejně tak v kategorii 60 a více let (snížení o 1,0 p. b.).</w:t>
      </w:r>
    </w:p>
    <w:p w:rsidR="000E5274" w:rsidRPr="00DC5A16" w:rsidRDefault="000E5274" w:rsidP="000E5274">
      <w:pPr>
        <w:rPr>
          <w:szCs w:val="24"/>
        </w:rPr>
      </w:pPr>
      <w:r w:rsidRPr="00DC5A16">
        <w:rPr>
          <w:szCs w:val="24"/>
        </w:rPr>
        <w:t>Téměř polovina všech pracovníků sektoru byla dle SLDB 2011 tvořena osobami se středním vzděláním bez maturity včetně vyučených (48,1 %), menší podíly připadaly na středoškolsky vzdělané pracovníky s maturitou vč. vyššího odborného vzdělání (30,9 %), na vysokoškolsky vzdělané (11,7 %), nejméně pak na osoby se základním či chybějícím vzděláním (8,8 %). Přestože se vzdělanostní struktura pracovníků v zemědělství dlouhodobě zlepšuje, ve srovnání se situací v NH jsou mezi zemědělci vyšší podíly pracovníků bez maturity a se základním vzděláním (to je však do jisté míry determinováno charakterem zemědělské práce). Meziroční změny lze vzhledem k dostupnosti dat hodnotit pouze u kategorie zaměstnanců</w:t>
      </w:r>
      <w:r w:rsidRPr="00945E42">
        <w:rPr>
          <w:i/>
          <w:vertAlign w:val="superscript"/>
        </w:rPr>
        <w:footnoteReference w:id="5"/>
      </w:r>
      <w:r>
        <w:rPr>
          <w:szCs w:val="24"/>
        </w:rPr>
        <w:t>, jež se </w:t>
      </w:r>
      <w:r w:rsidRPr="00DC5A16">
        <w:rPr>
          <w:szCs w:val="24"/>
        </w:rPr>
        <w:t xml:space="preserve">vyznačuje mírně horším vzdělanostním profilem. V roce 2013 mělo 54,6 % zaměstnanců středoškolské vzdělání bez maturity, 23,5 % středoškolské s maturitou, 10,7 % základní (včetně nedokončeného, resp. bez vzdělání) a 9,6 % vysokoškolské (vč. vyššího odborného). Ve srovnání s průmyslem a národním hospodářstvím, kde došlo meziročně k mírnému zlepšení vzdělanostní úrovně zaměstnanců, vzdělanostní </w:t>
      </w:r>
      <w:r w:rsidRPr="00DC5A16">
        <w:rPr>
          <w:szCs w:val="24"/>
        </w:rPr>
        <w:lastRenderedPageBreak/>
        <w:t>struktura zaměstnanců zemědělství, lesnictví a</w:t>
      </w:r>
      <w:r>
        <w:rPr>
          <w:szCs w:val="24"/>
        </w:rPr>
        <w:t> </w:t>
      </w:r>
      <w:r w:rsidRPr="00DC5A16">
        <w:rPr>
          <w:szCs w:val="24"/>
        </w:rPr>
        <w:t>rybolovu zůstala proti předchozímu roku prakticky beze změn.</w:t>
      </w:r>
    </w:p>
    <w:p w:rsidR="000E5274" w:rsidRPr="00DC5A16" w:rsidRDefault="000E5274" w:rsidP="000E5274">
      <w:pPr>
        <w:rPr>
          <w:szCs w:val="24"/>
        </w:rPr>
      </w:pPr>
      <w:r w:rsidRPr="00DC5A16">
        <w:rPr>
          <w:szCs w:val="24"/>
        </w:rPr>
        <w:t>Rozhodující část pracovníků v zemědělství ČR získává svůj příjem formou mzdy, a lze tudíž průběžně sledovat úroveň a vývoj těchto příjmů ze mzdových statistik ČSÚ (do zaměstnanců jsou zde zahrnuti i pracující členové zemědělských družstev). Mzdy v zemědělství (vč.</w:t>
      </w:r>
      <w:r>
        <w:rPr>
          <w:szCs w:val="24"/>
        </w:rPr>
        <w:t> </w:t>
      </w:r>
      <w:r w:rsidRPr="00DC5A16">
        <w:rPr>
          <w:szCs w:val="24"/>
        </w:rPr>
        <w:t xml:space="preserve">lesnictví a </w:t>
      </w:r>
      <w:r>
        <w:rPr>
          <w:szCs w:val="24"/>
        </w:rPr>
        <w:t>rybářství) dlouhodobě setrvávají pod</w:t>
      </w:r>
      <w:r w:rsidRPr="00DC5A16">
        <w:rPr>
          <w:szCs w:val="24"/>
        </w:rPr>
        <w:t xml:space="preserve"> úrovní mezd v průmyslu i v národním hospodářství celkem. Zatímco v roce 2013 se v ČR všeobecně projevilo silné zpomalení růstu mezd (zejména v souvislosti s doznívající hospodářskou krizí), rok 2014 již zaznamenával vyšší mzdové nárůsty, ve většině hlavních odvětví na úrovni 2-3 %. V národním hospodářství celkem tak vzrostla průměrná mzda o</w:t>
      </w:r>
      <w:r>
        <w:rPr>
          <w:szCs w:val="24"/>
        </w:rPr>
        <w:t> 2,4 % na 25 686 Kč. Průmysl se </w:t>
      </w:r>
      <w:r w:rsidRPr="00DC5A16">
        <w:rPr>
          <w:szCs w:val="24"/>
        </w:rPr>
        <w:t>s nárůstem 2,8 % (na 26 083 Kč) řadil k úspěšnějším odvětvím (ve stavebnictví, kde se krize velmi silně a setrvale projevovala, došlo k mírnějšímu meziročnímu nárůstu, tj. 1,8 %). Průmysl tak dále mírně navýšil svůj náskok (dosažený v roce 2012) před průměrem národního hospodářství. V zemědělství (vč. lesnictví a rybářství) vzrostla mzda podobně jako v průmyslu o 2,9 % a</w:t>
      </w:r>
      <w:r>
        <w:rPr>
          <w:szCs w:val="24"/>
        </w:rPr>
        <w:t> </w:t>
      </w:r>
      <w:r w:rsidRPr="00DC5A16">
        <w:rPr>
          <w:szCs w:val="24"/>
        </w:rPr>
        <w:t>dosáhla 21 117 Kč. Jestliže v minulém roce docházelo v rámci národního hospodářství k určitému vyrovnávání mzdových rozdílů, pak v roce 2014 již tento trend všeobecně nepokračoval (projevoval se už pouze v některých případe</w:t>
      </w:r>
      <w:r>
        <w:rPr>
          <w:szCs w:val="24"/>
        </w:rPr>
        <w:t>ch). Peněžnictví a </w:t>
      </w:r>
      <w:r w:rsidRPr="00DC5A16">
        <w:rPr>
          <w:szCs w:val="24"/>
        </w:rPr>
        <w:t xml:space="preserve">pojišťovnictví vykázalo nejvyšší mzdový nárůst (3,3 %) a </w:t>
      </w:r>
      <w:r>
        <w:rPr>
          <w:szCs w:val="24"/>
        </w:rPr>
        <w:t>upevnilo svou vedoucí pozici ve </w:t>
      </w:r>
      <w:r w:rsidRPr="00DC5A16">
        <w:rPr>
          <w:szCs w:val="24"/>
        </w:rPr>
        <w:t>výši průměrných mezd v rámci všech odvětví NH.</w:t>
      </w:r>
    </w:p>
    <w:p w:rsidR="000E5274" w:rsidRDefault="000E5274" w:rsidP="000E5274">
      <w:pPr>
        <w:rPr>
          <w:szCs w:val="24"/>
        </w:rPr>
      </w:pPr>
      <w:r w:rsidRPr="00DC5A16">
        <w:rPr>
          <w:szCs w:val="24"/>
        </w:rPr>
        <w:t xml:space="preserve">Mzdová disparita zemědělství (vč. lesnictví a rybářství) se vůči průmyslu prakticky nezměnila </w:t>
      </w:r>
      <w:r>
        <w:rPr>
          <w:szCs w:val="24"/>
        </w:rPr>
        <w:t>a zůstala na úrovni 81,0 %, relace mezd vůči</w:t>
      </w:r>
      <w:r w:rsidRPr="00DC5A16">
        <w:rPr>
          <w:szCs w:val="24"/>
        </w:rPr>
        <w:t xml:space="preserve"> národnímu hospodářství ce</w:t>
      </w:r>
      <w:r>
        <w:rPr>
          <w:szCs w:val="24"/>
        </w:rPr>
        <w:t>lkem se zvýšila o 0,3 p. b. na </w:t>
      </w:r>
      <w:r w:rsidRPr="00DC5A16">
        <w:rPr>
          <w:szCs w:val="24"/>
        </w:rPr>
        <w:t>82,2</w:t>
      </w:r>
      <w:r>
        <w:rPr>
          <w:szCs w:val="24"/>
        </w:rPr>
        <w:t xml:space="preserve"> </w:t>
      </w:r>
      <w:r w:rsidRPr="00DC5A16">
        <w:rPr>
          <w:szCs w:val="24"/>
        </w:rPr>
        <w:t>%</w:t>
      </w:r>
      <w:r>
        <w:rPr>
          <w:szCs w:val="24"/>
        </w:rPr>
        <w:t>.</w:t>
      </w:r>
    </w:p>
    <w:p w:rsidR="000E5274" w:rsidRDefault="000E5274" w:rsidP="00535A8F">
      <w:pPr>
        <w:pStyle w:val="souhrn-N1"/>
      </w:pPr>
      <w:r w:rsidRPr="00DC5A16">
        <w:t>●</w:t>
      </w:r>
      <w:r w:rsidRPr="00DC5A16">
        <w:tab/>
      </w:r>
      <w:r w:rsidRPr="00945E42">
        <w:t>Půda a vlastnické vztahy</w:t>
      </w:r>
    </w:p>
    <w:p w:rsidR="000E5274" w:rsidRDefault="000E5274" w:rsidP="000E5274">
      <w:pPr>
        <w:rPr>
          <w:szCs w:val="24"/>
        </w:rPr>
      </w:pPr>
      <w:r w:rsidRPr="00DC5A16">
        <w:rPr>
          <w:szCs w:val="24"/>
        </w:rPr>
        <w:t>Zemědělský půdní fond představoval k 31. 12. 2014 podle evidence katastru nemovitostí celkem 4 215,6 tis. ha, tj. 53,5 % z rozlohy státu. Na jednoho obyvatele připadá jako v minulém roce 0,40 h</w:t>
      </w:r>
      <w:r>
        <w:rPr>
          <w:szCs w:val="24"/>
        </w:rPr>
        <w:t>a z. p. a 0,28 ha o. p. Proti roku 2013 došlo ke snížení rozlohy z. p.</w:t>
      </w:r>
      <w:r w:rsidRPr="00DC5A16">
        <w:rPr>
          <w:szCs w:val="24"/>
        </w:rPr>
        <w:t xml:space="preserve"> o cca 4,2 tis. ha, tj. o 0,1 %.</w:t>
      </w:r>
    </w:p>
    <w:p w:rsidR="000E5274" w:rsidRPr="00DC5A16" w:rsidRDefault="000E5274" w:rsidP="000E5274">
      <w:pPr>
        <w:rPr>
          <w:szCs w:val="24"/>
        </w:rPr>
      </w:pPr>
      <w:r w:rsidRPr="00DC5A16">
        <w:rPr>
          <w:szCs w:val="24"/>
        </w:rPr>
        <w:t>Meziroční úbytek ZPF v roce 2014 spočíval podle ČÚZK především ve snížení výměry orné půdy o 6,8 tis. ha, což je úbytek menší cca o 600 ha oproti roku 2013. Narostla výměra druhu pozemku trvalé travní porosty o 2,8 tis. ha, tedy o 100 ha mé</w:t>
      </w:r>
      <w:r>
        <w:rPr>
          <w:szCs w:val="24"/>
        </w:rPr>
        <w:t>ně než v roce 2013. Zvětšila se </w:t>
      </w:r>
      <w:r w:rsidRPr="00DC5A16">
        <w:rPr>
          <w:szCs w:val="24"/>
        </w:rPr>
        <w:t>výměra lesní půdy o 2,6 tis. ha a výměra v kategoriích</w:t>
      </w:r>
      <w:r>
        <w:rPr>
          <w:szCs w:val="24"/>
        </w:rPr>
        <w:t xml:space="preserve"> „zastavěné plochy a nádvoří“ a </w:t>
      </w:r>
      <w:r w:rsidRPr="00DC5A16">
        <w:rPr>
          <w:szCs w:val="24"/>
        </w:rPr>
        <w:t>„ostatní plochy“ o 1,2 tis. ha. Mírně se zvyšuje výměra zahrad (o 100 ha) a vodních ploch</w:t>
      </w:r>
      <w:r>
        <w:rPr>
          <w:szCs w:val="24"/>
        </w:rPr>
        <w:t xml:space="preserve"> </w:t>
      </w:r>
      <w:r w:rsidRPr="00DC5A16">
        <w:rPr>
          <w:szCs w:val="24"/>
        </w:rPr>
        <w:t>(o</w:t>
      </w:r>
      <w:r>
        <w:rPr>
          <w:szCs w:val="24"/>
        </w:rPr>
        <w:t> </w:t>
      </w:r>
      <w:r w:rsidRPr="00DC5A16">
        <w:rPr>
          <w:szCs w:val="24"/>
        </w:rPr>
        <w:t>500 ha), úbytek plochy ovocných sadů dosáhl 200</w:t>
      </w:r>
      <w:r>
        <w:rPr>
          <w:szCs w:val="24"/>
        </w:rPr>
        <w:t xml:space="preserve"> ha. Výměra chmelnic a vinic je </w:t>
      </w:r>
      <w:r w:rsidRPr="00DC5A16">
        <w:rPr>
          <w:szCs w:val="24"/>
        </w:rPr>
        <w:t>stabilizovaná</w:t>
      </w:r>
      <w:r>
        <w:rPr>
          <w:szCs w:val="24"/>
        </w:rPr>
        <w:t>.</w:t>
      </w:r>
    </w:p>
    <w:p w:rsidR="000E5274" w:rsidRDefault="000E5274" w:rsidP="000E5274">
      <w:pPr>
        <w:rPr>
          <w:szCs w:val="24"/>
        </w:rPr>
      </w:pPr>
      <w:r w:rsidRPr="00DC5A16">
        <w:rPr>
          <w:szCs w:val="24"/>
        </w:rPr>
        <w:t>V systému LPIS je evidovaná výměra půdy podle zákona o zemědělství č. 252/1997 Sb.</w:t>
      </w:r>
      <w:r>
        <w:rPr>
          <w:szCs w:val="24"/>
        </w:rPr>
        <w:t xml:space="preserve"> </w:t>
      </w:r>
      <w:r w:rsidRPr="00DC5A16">
        <w:rPr>
          <w:szCs w:val="24"/>
        </w:rPr>
        <w:t>K</w:t>
      </w:r>
      <w:r>
        <w:rPr>
          <w:szCs w:val="24"/>
        </w:rPr>
        <w:t> </w:t>
      </w:r>
      <w:r w:rsidRPr="00DC5A16">
        <w:rPr>
          <w:szCs w:val="24"/>
        </w:rPr>
        <w:t>31. 12. 2014 byla celková výměra ve výši 3 554 tis. ha, tj. větší oproti předchozímu roku o 5 818 ha a meziroční přírůstek byl o 1,1 tis. ha větší než v roce 2013.</w:t>
      </w:r>
    </w:p>
    <w:p w:rsidR="000E5274" w:rsidRPr="00302BD4" w:rsidRDefault="000E5274" w:rsidP="000E5274">
      <w:pPr>
        <w:rPr>
          <w:szCs w:val="24"/>
        </w:rPr>
      </w:pPr>
      <w:r w:rsidRPr="00DC5A16">
        <w:rPr>
          <w:szCs w:val="24"/>
        </w:rPr>
        <w:lastRenderedPageBreak/>
        <w:t>Rozdí</w:t>
      </w:r>
      <w:r>
        <w:rPr>
          <w:szCs w:val="24"/>
        </w:rPr>
        <w:t>l ve výměře</w:t>
      </w:r>
      <w:r w:rsidRPr="00DC5A16">
        <w:rPr>
          <w:szCs w:val="24"/>
        </w:rPr>
        <w:t xml:space="preserve"> zemědělské půdy podle LPIS a ČÚZK ve výši 661 tis. ha je dán odlišnou metodikou</w:t>
      </w:r>
      <w:r>
        <w:rPr>
          <w:szCs w:val="24"/>
        </w:rPr>
        <w:t xml:space="preserve"> její</w:t>
      </w:r>
      <w:r w:rsidRPr="00DC5A16">
        <w:rPr>
          <w:szCs w:val="24"/>
        </w:rPr>
        <w:t xml:space="preserve"> evidence</w:t>
      </w:r>
      <w:r>
        <w:rPr>
          <w:szCs w:val="24"/>
        </w:rPr>
        <w:t>, s čímž souvisí i změny výměr jednotlivých druhů pozemků s tím, že podle zákona o zemědělství se započítává do výměry zemědělsky obhospodařované půdy rovněž výměra zalesněné půdy, rybníků, mimoprodukčních ploch a jiných druhů pozemků.</w:t>
      </w:r>
      <w:r w:rsidRPr="00DC5A16">
        <w:rPr>
          <w:szCs w:val="24"/>
        </w:rPr>
        <w:t xml:space="preserve"> ČÚZK eviduje</w:t>
      </w:r>
      <w:r>
        <w:rPr>
          <w:szCs w:val="24"/>
        </w:rPr>
        <w:t xml:space="preserve"> veškeré zemědělské pozemky podle katastrálního zákona. K jejich změnám tak dochází na základě zápisů do katastru nemovitostí. Evidují se i zemědělské pozemky v zastavěném území, v zastavěných stavebních pozemcích a zastavitelných plochách obce a zemědělské pozemky mimo toto území, které nejsou obsaženy v evidenci LPIS. LPIS eviduje díly půdních bloků podle uživatelských vztahů a využití půdy, přičemž nejmenší evidovaná plocha může být 100 </w:t>
      </w:r>
      <w:r w:rsidRPr="00302BD4">
        <w:t>m</w:t>
      </w:r>
      <w:r w:rsidRPr="00302BD4">
        <w:rPr>
          <w:vertAlign w:val="superscript"/>
        </w:rPr>
        <w:t>2</w:t>
      </w:r>
      <w:r w:rsidRPr="00FE2A41">
        <w:t>.</w:t>
      </w:r>
      <w:r>
        <w:t xml:space="preserve"> </w:t>
      </w:r>
      <w:r w:rsidRPr="00302BD4">
        <w:rPr>
          <w:szCs w:val="24"/>
        </w:rPr>
        <w:t>Obhospodařovaná výměra je přitom nižší opro</w:t>
      </w:r>
      <w:r>
        <w:rPr>
          <w:szCs w:val="24"/>
        </w:rPr>
        <w:t>ti evidenci katastru nemovitostí</w:t>
      </w:r>
      <w:r w:rsidRPr="00302BD4">
        <w:rPr>
          <w:szCs w:val="24"/>
        </w:rPr>
        <w:t xml:space="preserve"> i vlivem zarůstání původní zemědělské půdy dřevinami. Evidovaná výměra zemědělské půdy v LPIS se může každoročně i v průběhu jednoho roku měnit v závislosti na evidenci uživatelů, kteří žádají o podpory.</w:t>
      </w:r>
    </w:p>
    <w:p w:rsidR="000E5274" w:rsidRDefault="000E5274" w:rsidP="00535A8F">
      <w:pPr>
        <w:pStyle w:val="souhrn-N1"/>
      </w:pPr>
      <w:r w:rsidRPr="00DC5A16">
        <w:t>●</w:t>
      </w:r>
      <w:r w:rsidRPr="00DC5A16">
        <w:tab/>
      </w:r>
      <w:r w:rsidRPr="00945E42">
        <w:t>Agrární produkce</w:t>
      </w:r>
    </w:p>
    <w:p w:rsidR="000E5274" w:rsidRDefault="000E5274" w:rsidP="0046126F">
      <w:pPr>
        <w:pStyle w:val="souhrn-N2"/>
      </w:pPr>
      <w:r w:rsidRPr="0046126F">
        <w:t>Rostlinná</w:t>
      </w:r>
      <w:r w:rsidRPr="00DC5A16">
        <w:t xml:space="preserve"> produkce</w:t>
      </w:r>
    </w:p>
    <w:p w:rsidR="000E5274" w:rsidRPr="00261700" w:rsidRDefault="000E5274" w:rsidP="000E5274">
      <w:pPr>
        <w:rPr>
          <w:szCs w:val="24"/>
        </w:rPr>
      </w:pPr>
      <w:r w:rsidRPr="00261700">
        <w:rPr>
          <w:szCs w:val="24"/>
        </w:rPr>
        <w:t>Z celkové sklizňové plochy obilovin v ČR v roce 2014, tj. 1 409,6 tis. ha (téměř shodné s plochou sklizenou v předchozím roce), zaujímaly největší podíl pšenice (835,9 tis. ha, tj.</w:t>
      </w:r>
      <w:r>
        <w:rPr>
          <w:szCs w:val="24"/>
        </w:rPr>
        <w:t> </w:t>
      </w:r>
      <w:r w:rsidRPr="00261700">
        <w:rPr>
          <w:szCs w:val="24"/>
        </w:rPr>
        <w:t>59,3 % celkové plochy) a ječmen (350,5 tis. ha, 24,9 %). Třetí nejvýznamnější obilovinou byla kukuřice na zrno s výměrou 98,7 tis. ha, podílející se 7,0 % na celkové ploše obilovin. Na sklizňové ploše obilovin se dále podílely minoritní obilné druhy, jmenovitě triticale (48,5 tis. ha, 3,4 %), oves (42,3 tis. ha, 3,0 %), žito (25,1 tis. ha, 1,8 %) a ostatní obiloviny, především proso, čirok a pohanka (v souhrnu pouhých 8,5 tis. ha, tj. 0,6 % celkové plochy obilovin).</w:t>
      </w:r>
    </w:p>
    <w:p w:rsidR="000E5274" w:rsidRPr="00261700" w:rsidRDefault="000E5274" w:rsidP="000E5274">
      <w:pPr>
        <w:rPr>
          <w:szCs w:val="24"/>
        </w:rPr>
      </w:pPr>
      <w:r w:rsidRPr="00261700">
        <w:rPr>
          <w:szCs w:val="24"/>
        </w:rPr>
        <w:t>Produkce obilovin, sklizených v ČR v roce 2014, dosáhla výše 8 779,3 tis. t, což proti předchozímu roku představuje nárůst o 16,9 % a jde tudíž o t</w:t>
      </w:r>
      <w:r>
        <w:rPr>
          <w:szCs w:val="24"/>
        </w:rPr>
        <w:t>řetí nejvyšší objem produkce za </w:t>
      </w:r>
      <w:r w:rsidRPr="00261700">
        <w:rPr>
          <w:szCs w:val="24"/>
        </w:rPr>
        <w:t>posledních 25 let (po rekordních sklizních v sezonách 1990 a 2004). Na celkové produkci se nejvyšším objemem podílela pšenice, a to 5 442,3 tis. t (62,0 %), ječmene bylo sklizeno 1 967,0 tis. t (22,4 %) a zrnové kukuřice 832,3 tis. t (9,5 % celkové produkce).</w:t>
      </w:r>
    </w:p>
    <w:p w:rsidR="000E5274" w:rsidRDefault="000E5274" w:rsidP="000E5274">
      <w:pPr>
        <w:rPr>
          <w:szCs w:val="24"/>
        </w:rPr>
      </w:pPr>
      <w:r w:rsidRPr="00261700">
        <w:rPr>
          <w:szCs w:val="24"/>
        </w:rPr>
        <w:t>Bilance výroby a spotřeby obilovin je dlouhodobě aktivní. Celková nabídka 10 027,4 tis. t pro marketingový rok 2014/15 je o 10,5 % vyšší než v předchozím roce. Odhaduje se stagnace objemu celkové domácí spotřeby obilovin ve výši 5 417,0 tis. t. Míra soběstačnosti u obilovin celkem v marketingovém roce 2014/15 díky vyšší produkci a stagnaci spotřeby meziročně vzrostla o 21,3 p. b. na vysokých 162,1 %, objem konečných zásob se meziročně, rovněž díky rekordní produkci, výrazně zvýšil o 63,7 % na 1 648,4 tis. t.</w:t>
      </w:r>
    </w:p>
    <w:p w:rsidR="000E5274" w:rsidRDefault="000E5274" w:rsidP="000E5274">
      <w:pPr>
        <w:rPr>
          <w:szCs w:val="24"/>
        </w:rPr>
      </w:pPr>
      <w:r w:rsidRPr="002F71EE">
        <w:rPr>
          <w:szCs w:val="24"/>
        </w:rPr>
        <w:t>V marketingovém roce 2014/15 byla sklizňová plocha p</w:t>
      </w:r>
      <w:r>
        <w:rPr>
          <w:szCs w:val="24"/>
        </w:rPr>
        <w:t>šenice v ČR téměř srovnatelná s </w:t>
      </w:r>
      <w:r w:rsidRPr="002F71EE">
        <w:rPr>
          <w:szCs w:val="24"/>
        </w:rPr>
        <w:t xml:space="preserve">předchozím rokem, a to 835,9 tis. ha (meziročně o 0,8 % větší), z níž ozimé odrůdy </w:t>
      </w:r>
      <w:r w:rsidRPr="002F71EE">
        <w:rPr>
          <w:szCs w:val="24"/>
        </w:rPr>
        <w:lastRenderedPageBreak/>
        <w:t>zaujímaly 790,7 tis. ha (tj. 94,6 % celkové výměry pšenice) a jarní odrůdy pouze 45,3 tis. ha. Díky vysokému průměrnému výnosu 6,51 t/ha (proti předchozímu roku vyššímu o 14,8 %) produkce pšeničného zrna meziročně vzrostla o 15,8 % na 5 442,3 tis. t.</w:t>
      </w:r>
    </w:p>
    <w:p w:rsidR="000E5274" w:rsidRPr="00261700" w:rsidRDefault="000E5274" w:rsidP="000E5274">
      <w:pPr>
        <w:rPr>
          <w:szCs w:val="24"/>
        </w:rPr>
      </w:pPr>
      <w:r w:rsidRPr="00261700">
        <w:rPr>
          <w:szCs w:val="24"/>
        </w:rPr>
        <w:t>V marketingovém roce 2014/15 činila sklizňová plocha ječmene 350,5 tis. ha a byla tak srovnatelná s rozlohou předchozího roku, která byla historicky nejmenší. Ozimé odrůdy zaujímaly 102,9 tis. ha (29,4 % celkové výměry ječmene), jarní odrůdy pak 247,6 tis. ha (70,6 %). Průměrný celkový výnos ječmene dosáhl 5,61 t/ha a byl meziročně vyšší o 22,8 %, a proto bylo i při srovnatelné sklizňové ploše dosaženo vyšší produkce zrna než v předchozím roce, a to 1 967,0 tis. t (meziroční nárůst o 23,4 %).</w:t>
      </w:r>
    </w:p>
    <w:p w:rsidR="000E5274" w:rsidRDefault="000E5274" w:rsidP="000E5274">
      <w:pPr>
        <w:rPr>
          <w:szCs w:val="24"/>
        </w:rPr>
      </w:pPr>
      <w:r w:rsidRPr="00261700">
        <w:rPr>
          <w:szCs w:val="24"/>
        </w:rPr>
        <w:t>Hodnocení kvality sladovnického ječmene ze sklizně 2014 je výsledkem komplexního pohledu na řadu sledovaných ukazatelů. Vzhledem k průměrné sklizňové vlhkosti lze předpokládat určitou nestabilitu v hodnocených kvalitativních parametrech, avšak při relativně nízkém objemu dovozu kvalitnějších partií zrna je zajištěno plné pokrytí potřeb tuzemského sladovnického průmyslu.</w:t>
      </w:r>
    </w:p>
    <w:p w:rsidR="000E5274" w:rsidRPr="00261700" w:rsidRDefault="000E5274" w:rsidP="000E5274">
      <w:pPr>
        <w:rPr>
          <w:szCs w:val="24"/>
        </w:rPr>
      </w:pPr>
      <w:r w:rsidRPr="00261700">
        <w:rPr>
          <w:szCs w:val="24"/>
        </w:rPr>
        <w:t>Výměra sklizňové plochy kukuřice na zrno v ČR v roce 201</w:t>
      </w:r>
      <w:r>
        <w:rPr>
          <w:szCs w:val="24"/>
        </w:rPr>
        <w:t>4 meziročně vzrostla o 1,9 % na </w:t>
      </w:r>
      <w:r w:rsidRPr="00261700">
        <w:rPr>
          <w:szCs w:val="24"/>
        </w:rPr>
        <w:t>98,7 tis. ha. Díky vysokému průměrnému výnosu 8,43 t/ha (proti roku 2013 vyššímu o 20,9 %) zaznamenala zrnová kukuřice výrazný nárůst objemu produkce, jež dosáhla 832,2 tis. t, což představuje historicky třetí nejvyšší úroveň (po sklizních v roce 2011 a 2012), meziročně vyšší o 23,2 %.</w:t>
      </w:r>
    </w:p>
    <w:p w:rsidR="000E5274" w:rsidRDefault="000E5274" w:rsidP="000E5274">
      <w:pPr>
        <w:rPr>
          <w:szCs w:val="24"/>
        </w:rPr>
      </w:pPr>
      <w:r w:rsidRPr="00261700">
        <w:rPr>
          <w:szCs w:val="24"/>
        </w:rPr>
        <w:t xml:space="preserve">V roce 2014 došlo v ČR opět k výraznému poklesu plochy, oseté geneticky modifikovanou kukuřicí (tzv. </w:t>
      </w:r>
      <w:proofErr w:type="spellStart"/>
      <w:r w:rsidRPr="00261700">
        <w:rPr>
          <w:szCs w:val="24"/>
        </w:rPr>
        <w:t>Bt</w:t>
      </w:r>
      <w:proofErr w:type="spellEnd"/>
      <w:r w:rsidRPr="00261700">
        <w:rPr>
          <w:szCs w:val="24"/>
        </w:rPr>
        <w:t xml:space="preserve"> kukuřice), a to o 68,5 % na 1 754 ha. Důvodem malého rozšíření GM kukuřice v ČR je problematický odbyt, nutnost oddělovat ji od běžné produkce a označovat ji jako GMO. </w:t>
      </w:r>
      <w:proofErr w:type="spellStart"/>
      <w:r w:rsidRPr="00261700">
        <w:rPr>
          <w:szCs w:val="24"/>
        </w:rPr>
        <w:t>Bt</w:t>
      </w:r>
      <w:proofErr w:type="spellEnd"/>
      <w:r w:rsidRPr="00261700">
        <w:rPr>
          <w:szCs w:val="24"/>
        </w:rPr>
        <w:t> kukuřice nachází uplatnění jako krmná a technická surovina a v ČR není užívána pro potravinářské účely.</w:t>
      </w:r>
    </w:p>
    <w:p w:rsidR="000E5274" w:rsidRPr="00695A70" w:rsidRDefault="000E5274" w:rsidP="000E5274">
      <w:pPr>
        <w:rPr>
          <w:szCs w:val="24"/>
        </w:rPr>
      </w:pPr>
      <w:r w:rsidRPr="00695A70">
        <w:rPr>
          <w:szCs w:val="24"/>
        </w:rPr>
        <w:t>V ČR se cukrová řepa pro výrobu cukru v roce 2014/15 pěstova</w:t>
      </w:r>
      <w:r>
        <w:rPr>
          <w:szCs w:val="24"/>
        </w:rPr>
        <w:t>la na ploše 53,8 tis. ha (102,1 </w:t>
      </w:r>
      <w:r w:rsidRPr="00695A70">
        <w:rPr>
          <w:szCs w:val="24"/>
        </w:rPr>
        <w:t xml:space="preserve">% skutečnosti předchozího roku). Průměrný výnos cukrové řepy při skutečně dosažené cukernatosti dosáhl hodnoty </w:t>
      </w:r>
      <w:r>
        <w:rPr>
          <w:szCs w:val="24"/>
        </w:rPr>
        <w:t>78,11</w:t>
      </w:r>
      <w:r w:rsidRPr="00695A70">
        <w:rPr>
          <w:szCs w:val="24"/>
        </w:rPr>
        <w:t xml:space="preserve"> t</w:t>
      </w:r>
      <w:r>
        <w:rPr>
          <w:szCs w:val="24"/>
        </w:rPr>
        <w:t>/ha</w:t>
      </w:r>
      <w:r w:rsidRPr="00695A70">
        <w:rPr>
          <w:szCs w:val="24"/>
        </w:rPr>
        <w:t xml:space="preserve"> (ve srovnání s rokem 2013/14 byl o </w:t>
      </w:r>
      <w:r>
        <w:rPr>
          <w:szCs w:val="24"/>
        </w:rPr>
        <w:t>24,4</w:t>
      </w:r>
      <w:r w:rsidRPr="00695A70">
        <w:rPr>
          <w:szCs w:val="24"/>
        </w:rPr>
        <w:t xml:space="preserve"> % vyšší). Cukernatost řepy se ve srovnání s rokem 2014/15 </w:t>
      </w:r>
      <w:r w:rsidRPr="004010A1">
        <w:rPr>
          <w:szCs w:val="24"/>
        </w:rPr>
        <w:t xml:space="preserve">významně vlivem počasí </w:t>
      </w:r>
      <w:r w:rsidRPr="00695A70">
        <w:rPr>
          <w:szCs w:val="24"/>
        </w:rPr>
        <w:t xml:space="preserve">snížila o </w:t>
      </w:r>
      <w:r>
        <w:rPr>
          <w:szCs w:val="24"/>
        </w:rPr>
        <w:t>9,6</w:t>
      </w:r>
      <w:r w:rsidRPr="00695A70">
        <w:rPr>
          <w:szCs w:val="24"/>
        </w:rPr>
        <w:t xml:space="preserve"> % na </w:t>
      </w:r>
      <w:r>
        <w:rPr>
          <w:szCs w:val="24"/>
        </w:rPr>
        <w:t>15,91</w:t>
      </w:r>
      <w:r w:rsidRPr="00695A70">
        <w:rPr>
          <w:szCs w:val="24"/>
        </w:rPr>
        <w:t xml:space="preserve"> %.</w:t>
      </w:r>
    </w:p>
    <w:p w:rsidR="000E5274" w:rsidRPr="00261700" w:rsidRDefault="000E5274" w:rsidP="000E5274">
      <w:pPr>
        <w:rPr>
          <w:szCs w:val="24"/>
        </w:rPr>
      </w:pPr>
      <w:r w:rsidRPr="00695A70">
        <w:rPr>
          <w:szCs w:val="24"/>
        </w:rPr>
        <w:t xml:space="preserve">Výroba cukru v ČR v roce 2014/15 dosáhla podle předběžných údajů </w:t>
      </w:r>
      <w:r w:rsidRPr="004010A1">
        <w:rPr>
          <w:szCs w:val="24"/>
        </w:rPr>
        <w:t xml:space="preserve">591,4 </w:t>
      </w:r>
      <w:r w:rsidRPr="00695A70">
        <w:rPr>
          <w:szCs w:val="24"/>
        </w:rPr>
        <w:t xml:space="preserve">tis. t. Celkově bylo vyrobeno </w:t>
      </w:r>
      <w:r w:rsidRPr="004010A1">
        <w:rPr>
          <w:szCs w:val="24"/>
        </w:rPr>
        <w:t xml:space="preserve">596,4 </w:t>
      </w:r>
      <w:r w:rsidRPr="00695A70">
        <w:rPr>
          <w:szCs w:val="24"/>
        </w:rPr>
        <w:t xml:space="preserve">tis. t cukru (rozdíl byl vyroben mimo ČR). Do kvóty hospodářského roku 2014/15 bylo z předchozího hospodářského roku převedeno 20,2 tis. t cukru. Kvóta cukru ČR zůstala nadále nezměněna a </w:t>
      </w:r>
      <w:r>
        <w:rPr>
          <w:szCs w:val="24"/>
        </w:rPr>
        <w:t>zůstala</w:t>
      </w:r>
      <w:r w:rsidRPr="00695A70">
        <w:rPr>
          <w:szCs w:val="24"/>
        </w:rPr>
        <w:t xml:space="preserve"> ve výši 372,5 tis. t. Nad rámec kvóty bylo vyrobeno </w:t>
      </w:r>
      <w:r w:rsidRPr="004010A1">
        <w:rPr>
          <w:szCs w:val="24"/>
        </w:rPr>
        <w:t xml:space="preserve">244,2 </w:t>
      </w:r>
      <w:r w:rsidRPr="00695A70">
        <w:rPr>
          <w:szCs w:val="24"/>
        </w:rPr>
        <w:t xml:space="preserve">tis. t cukru. Výnos polarizačního cukru dosáhl </w:t>
      </w:r>
      <w:r>
        <w:rPr>
          <w:szCs w:val="24"/>
        </w:rPr>
        <w:t>12,42</w:t>
      </w:r>
      <w:r w:rsidRPr="00695A70">
        <w:rPr>
          <w:szCs w:val="24"/>
        </w:rPr>
        <w:t xml:space="preserve"> t/ha</w:t>
      </w:r>
      <w:r>
        <w:rPr>
          <w:szCs w:val="24"/>
        </w:rPr>
        <w:t xml:space="preserve"> </w:t>
      </w:r>
      <w:r w:rsidRPr="00695A70">
        <w:rPr>
          <w:szCs w:val="24"/>
        </w:rPr>
        <w:t>(me</w:t>
      </w:r>
      <w:r>
        <w:rPr>
          <w:szCs w:val="24"/>
        </w:rPr>
        <w:t>ziroční zvýšení o 11,1</w:t>
      </w:r>
      <w:r w:rsidRPr="00695A70">
        <w:rPr>
          <w:szCs w:val="24"/>
        </w:rPr>
        <w:t xml:space="preserve"> %).</w:t>
      </w:r>
    </w:p>
    <w:p w:rsidR="000E5274" w:rsidRDefault="000E5274" w:rsidP="000E5274">
      <w:pPr>
        <w:rPr>
          <w:szCs w:val="24"/>
        </w:rPr>
      </w:pPr>
      <w:r w:rsidRPr="00695A70">
        <w:rPr>
          <w:szCs w:val="24"/>
        </w:rPr>
        <w:t xml:space="preserve">V ČR v hospodářském roce 2014/15 se pozastavil trend snižování produkční plochy brambor. V tomto roce se plocha brambor mírně zvýšila o 2,7 % na 30,1 tis. ha (se zápočtem </w:t>
      </w:r>
      <w:r w:rsidRPr="00695A70">
        <w:rPr>
          <w:szCs w:val="24"/>
        </w:rPr>
        <w:lastRenderedPageBreak/>
        <w:t>ploch domácností).</w:t>
      </w:r>
      <w:r>
        <w:rPr>
          <w:szCs w:val="24"/>
        </w:rPr>
        <w:t xml:space="preserve"> </w:t>
      </w:r>
      <w:r w:rsidRPr="00695A70">
        <w:rPr>
          <w:szCs w:val="24"/>
        </w:rPr>
        <w:t>Podmínky pro pěstování brambor byly</w:t>
      </w:r>
      <w:r>
        <w:rPr>
          <w:szCs w:val="24"/>
        </w:rPr>
        <w:t xml:space="preserve"> v roce 2014/15 nadstandardní a </w:t>
      </w:r>
      <w:r w:rsidRPr="00695A70">
        <w:rPr>
          <w:szCs w:val="24"/>
        </w:rPr>
        <w:t>projevilo se to především v hektarovém výnosu, který se me</w:t>
      </w:r>
      <w:r>
        <w:rPr>
          <w:szCs w:val="24"/>
        </w:rPr>
        <w:t>ziročně zvýšil o 25,4 % na 27,7 </w:t>
      </w:r>
      <w:r w:rsidRPr="00695A70">
        <w:rPr>
          <w:szCs w:val="24"/>
        </w:rPr>
        <w:t>t/ha. Úměrně zvýšeným výnosům se zvýšila celková produkce br</w:t>
      </w:r>
      <w:r>
        <w:rPr>
          <w:szCs w:val="24"/>
        </w:rPr>
        <w:t xml:space="preserve">ambor o 28,7 % na 832,8 tis. t. </w:t>
      </w:r>
      <w:r w:rsidRPr="00695A70">
        <w:rPr>
          <w:szCs w:val="24"/>
        </w:rPr>
        <w:t xml:space="preserve">Celková nabídka brambor ve výši 1 104,8 tis. t představovala proti roku </w:t>
      </w:r>
      <w:r>
        <w:rPr>
          <w:szCs w:val="24"/>
        </w:rPr>
        <w:t>2013/14 zvýšení o </w:t>
      </w:r>
      <w:r w:rsidRPr="00695A70">
        <w:rPr>
          <w:szCs w:val="24"/>
        </w:rPr>
        <w:t>4,3 %.</w:t>
      </w:r>
    </w:p>
    <w:p w:rsidR="000E5274" w:rsidRPr="00261700" w:rsidRDefault="000E5274" w:rsidP="000E5274">
      <w:pPr>
        <w:rPr>
          <w:szCs w:val="24"/>
        </w:rPr>
      </w:pPr>
      <w:r w:rsidRPr="00261700">
        <w:rPr>
          <w:szCs w:val="24"/>
        </w:rPr>
        <w:t>Sklizňová plocha olejnin celkem v marketingovém roce 2014/15 činila v ČR 464,3 tis. ha, což představuje pokles ve srovnání s předchozím rekordním rokem o 4,6 %. Průměrný hektarový výnos meziročně však vzrostl, a to na 3,54 t/ha. Celková produkce olejnin se tak zvýšila o 7,2 % a dosáhla rekordní výše 1 644,1 tis. t, z čehož 93,6 % tvořilo řepkové semeno.</w:t>
      </w:r>
    </w:p>
    <w:p w:rsidR="000E5274" w:rsidRDefault="000E5274" w:rsidP="000E5274">
      <w:pPr>
        <w:rPr>
          <w:szCs w:val="24"/>
        </w:rPr>
      </w:pPr>
      <w:r w:rsidRPr="00261700">
        <w:rPr>
          <w:szCs w:val="24"/>
        </w:rPr>
        <w:t>Řepka olejná se v marketingovém roce 2014/15 sklidila v ČR z produkční plochy 389,3 tis. ha, což představuje meziroční pokles o 7,0 %. Objem produkce řepky však proti předchozímu roku vzrostl o 6,5 % na historicky rekordní výši 1 537,3 tis. t, a to díky vysokému průměrnému výnosu 3,95 t/ha (v některých oblastech přesáhl i 4 t/ha).</w:t>
      </w:r>
    </w:p>
    <w:p w:rsidR="000E5274" w:rsidRPr="00261700" w:rsidRDefault="000E5274" w:rsidP="000E5274">
      <w:pPr>
        <w:rPr>
          <w:szCs w:val="24"/>
        </w:rPr>
      </w:pPr>
      <w:r w:rsidRPr="00814CD3">
        <w:rPr>
          <w:szCs w:val="24"/>
        </w:rPr>
        <w:t>Podle údajů ÚKZÚZ činila v roce 2014 celková skl</w:t>
      </w:r>
      <w:r>
        <w:rPr>
          <w:szCs w:val="24"/>
        </w:rPr>
        <w:t>izňová plocha chmele v ČR 4 460 </w:t>
      </w:r>
      <w:r w:rsidRPr="00814CD3">
        <w:rPr>
          <w:szCs w:val="24"/>
        </w:rPr>
        <w:t>ha.</w:t>
      </w:r>
      <w:r>
        <w:rPr>
          <w:szCs w:val="24"/>
        </w:rPr>
        <w:t xml:space="preserve"> V </w:t>
      </w:r>
      <w:r w:rsidRPr="00814CD3">
        <w:rPr>
          <w:szCs w:val="24"/>
        </w:rPr>
        <w:t>roce 2014 se podle ÚKZÚZ sklidilo celkem 6 202,0 t chm</w:t>
      </w:r>
      <w:r>
        <w:rPr>
          <w:szCs w:val="24"/>
        </w:rPr>
        <w:t>ele (meziročně o 16,4 % více) s </w:t>
      </w:r>
      <w:r w:rsidRPr="00814CD3">
        <w:rPr>
          <w:szCs w:val="24"/>
        </w:rPr>
        <w:t>průměrným výnosem 1,39 t/ha (2013 – 1,23 t/ha).</w:t>
      </w:r>
    </w:p>
    <w:p w:rsidR="000E5274" w:rsidRPr="00261700" w:rsidRDefault="000E5274" w:rsidP="000E5274">
      <w:pPr>
        <w:rPr>
          <w:szCs w:val="24"/>
        </w:rPr>
      </w:pPr>
      <w:r w:rsidRPr="00261700">
        <w:rPr>
          <w:szCs w:val="24"/>
        </w:rPr>
        <w:t>V roce 2014 činila podle údajů ČSÚ celková produkce ovoce v ČR (včetně dopočtu domácností) 325,0 tis. t. V porovnání se sklizní ovoce v roce 2013 byla tato úroda o 4 % větší a produkce ovoce tak byla nejvyšší za posledních pět let. Meziročně vzrostla sklizeň zejména třešní (o 43 % na 10,7 tis. t), jahod (o 30 % na 10,3 tis. t), ořechů vlašských (o 26 % na 6,3 tis. t), švestek, slív a renklód (o 15 % na 36,3 tis. t). Díky domácnostem meziročně byla výrazně vyšší úroda angreštu (o 76 % na 4,0 tis. t). V důsledku jarních mrazíků se v roce 2014 proti předcházejícímu roku výrazně snížila produkce meruněk (o 46 % na 6,7 tis. t) a broskví (o 23 % na 7,3 tis. t). Mrazová a chladová poškození se významně projevila na sklizni hrušek, která meziročně poklesla o 28 % na 12,4 tis. t. Celková sklizeň jablek byla v roce 2014 nejvyšší za posledních pět let a činila 208,0 tis. t, což bylo meziročně o 7 % více.</w:t>
      </w:r>
    </w:p>
    <w:p w:rsidR="000E5274" w:rsidRPr="00261700" w:rsidRDefault="000E5274" w:rsidP="000E5274">
      <w:pPr>
        <w:rPr>
          <w:szCs w:val="24"/>
        </w:rPr>
      </w:pPr>
      <w:r w:rsidRPr="00261700">
        <w:rPr>
          <w:szCs w:val="24"/>
        </w:rPr>
        <w:t>V ČR výměra pěstební plochy zeleniny (včetně dopočtu domácností) v roce 2014 meziročně vzrostla o 6,3 % na 13,4 tis. ha, největší podíl zaujímala opět cibule (16 %), hrách (10 %), zelí (10 %) a mrkev (8 %). K výraznějšímu nárůstu ploch došlo u ředkviček o 55 % na 273 ha, petržele o 26 % na 452 ha, česneku o 16 % na 425 ha a kapusty o 14 % na 155 ha. Zvýšení ploch bylo evidováno také u cibule o 11 % na 2 205 ha, mrkve o 11 % na 1 053 ha a okurek nakládaček o 11 % na 1 048 ha. Snížení ploch bylo zaznamenáno u kedluben o 5 % na 381 ha, hrachu o 5 % na 1 313 ha, salátových okurek o 1 % na 297 ha.</w:t>
      </w:r>
    </w:p>
    <w:p w:rsidR="000E5274" w:rsidRDefault="000E5274" w:rsidP="0046126F">
      <w:pPr>
        <w:pStyle w:val="souhrn-N2"/>
      </w:pPr>
      <w:r w:rsidRPr="00261700">
        <w:t>Živočišná produkce</w:t>
      </w:r>
    </w:p>
    <w:p w:rsidR="000E5274" w:rsidRPr="00B339D9" w:rsidRDefault="000E5274" w:rsidP="000E5274">
      <w:pPr>
        <w:rPr>
          <w:szCs w:val="24"/>
        </w:rPr>
      </w:pPr>
      <w:r w:rsidRPr="00B339D9">
        <w:rPr>
          <w:szCs w:val="24"/>
        </w:rPr>
        <w:t xml:space="preserve">Stavy skotu celkem v České republice podle ČSÚ Soupisu hospodářských zvířat k 1. 4. 2014 v meziročním srovnání mírně vzrostly o 1,5 % (tj. o 20,7 tis.) a dosáhly </w:t>
      </w:r>
      <w:r w:rsidRPr="00B339D9">
        <w:rPr>
          <w:szCs w:val="24"/>
        </w:rPr>
        <w:lastRenderedPageBreak/>
        <w:t>1 373,6 tis. ks, z toho stavy krav celkem se zvýšily o 2,2 % (tj. o 12 tis. ks). Téměř ve všech ostatních kategoriích došlo k mírnému nárůstu počtu chovaných zvířat, kromě skotu ve věku od 1 do 2 let (snížení o 1,6 %). Nárůst stavů skotu byl v roce 2014 evidován ve všech krajích ČR, kromě Středočeského, a to v rozmezí od 0,6 do 6,9 %. Podstatný vliv na stabilizaci stavů skotu v ČR, a zejména krav BTPM, má vyplácení přímých a nepřímých podpor směrovaných do tohoto odvětví, které pozitivně ovlivňují rentabilitu chovu a dále dlouhodobě dobrá poptávka po českém skotu masných plemen a jejich kříženců v ostatních zemích Unie.</w:t>
      </w:r>
    </w:p>
    <w:p w:rsidR="000E5274" w:rsidRPr="00B339D9" w:rsidRDefault="000E5274" w:rsidP="000E5274">
      <w:pPr>
        <w:rPr>
          <w:szCs w:val="24"/>
        </w:rPr>
      </w:pPr>
      <w:r w:rsidRPr="00B339D9">
        <w:rPr>
          <w:szCs w:val="24"/>
        </w:rPr>
        <w:t>V kalendářním roce 2014 vzrostla produkce mléka ke zpracování znatelně, ale dodávky mléka ke zpracování na území ČR se zvýšily jen mírně. Celkový objem mléka, který dodali výrobci ke zpracování v rámci dodávkové kvóty, dosáhl podle SZIF v přepočtu 2 770,5 mil. l, ale tuzemské mlékárny nakoupily podle ČSÚ jen 2 350,7 mil. l, neboť zbývající množství prodali výrobci mléka ke zpracování v zahraničí. Zatímco ke zpracování bylo dodáno meziročně o 4,4 % mléka více, nákup mléka tuzemskými mlékárnami od domácích výrobců se zvýšil jen o 1,3 %. Z nakoupeného mléka však zpracovatelé ještě část objemu přesunuli ke zpracování v zahraničí. Celkový objem mléčné suroviny vyvezené výrobci a zpracovateli dosáhl 20,6 % domácí tržní produkce. Oproti roku 2013 byl vývoz suroviny o 57,5 mil. l (tj. o 11,1 %) vyšší.</w:t>
      </w:r>
    </w:p>
    <w:p w:rsidR="000E5274" w:rsidRDefault="000E5274" w:rsidP="000E5274">
      <w:pPr>
        <w:rPr>
          <w:szCs w:val="24"/>
        </w:rPr>
      </w:pPr>
      <w:r w:rsidRPr="00B339D9">
        <w:rPr>
          <w:szCs w:val="24"/>
        </w:rPr>
        <w:t>Ekonomika chovu prasat se v ČR nachází dlouhodobě v červených číslech. Ani rok 2014 nebyl v tomto ohledu výjimkou, avšak podle předběžných údajů ÚZEI se meziročně zlepšila renta</w:t>
      </w:r>
      <w:r>
        <w:rPr>
          <w:szCs w:val="24"/>
        </w:rPr>
        <w:t>bilita výkrmu, neboť ceny krmných směsí</w:t>
      </w:r>
      <w:r w:rsidRPr="00B339D9">
        <w:rPr>
          <w:szCs w:val="24"/>
        </w:rPr>
        <w:t xml:space="preserve"> ve srovnání s cenami jatečných prasat klesly významněji. Přesto v roce 2014 dosahované realizační ceny nestačily pokrýt v plné výši náklady a </w:t>
      </w:r>
      <w:r>
        <w:rPr>
          <w:szCs w:val="24"/>
        </w:rPr>
        <w:t>výkrm prasat byl opět ztrátový.</w:t>
      </w:r>
    </w:p>
    <w:p w:rsidR="000E5274" w:rsidRPr="00B339D9" w:rsidRDefault="000E5274" w:rsidP="000E5274">
      <w:pPr>
        <w:rPr>
          <w:szCs w:val="24"/>
        </w:rPr>
      </w:pPr>
      <w:r w:rsidRPr="00B339D9">
        <w:rPr>
          <w:szCs w:val="24"/>
        </w:rPr>
        <w:t xml:space="preserve">Podle Soupisu hospodářských zvířat k 1. 4. 2014 se stavy drůbeže celkem v meziročním srovnání snížily o 7,7 % na 21,5 mil. ks. Stavy kuřat na výkrm pokračovaly v poklesu, snížily se o 1,6 % na 11,5 mil. ks, také stavy kuřat na chov výrazně poklesly o 35,9 % na 2,2 mil. ks. </w:t>
      </w:r>
      <w:r w:rsidRPr="00112653">
        <w:rPr>
          <w:szCs w:val="24"/>
        </w:rPr>
        <w:t>Stavy slepic se snížily o 6,7 % na 6,8 mil., stavy krůt o 9,9 % na 396,5 tis. ks a stavy hus o</w:t>
      </w:r>
      <w:r>
        <w:rPr>
          <w:szCs w:val="24"/>
        </w:rPr>
        <w:t> </w:t>
      </w:r>
      <w:r w:rsidRPr="00112653">
        <w:rPr>
          <w:szCs w:val="24"/>
        </w:rPr>
        <w:t>6,2</w:t>
      </w:r>
      <w:r>
        <w:rPr>
          <w:szCs w:val="24"/>
        </w:rPr>
        <w:t> </w:t>
      </w:r>
      <w:r w:rsidRPr="00112653">
        <w:rPr>
          <w:szCs w:val="24"/>
        </w:rPr>
        <w:t>% na 18,4 tis. ks. Stavy kachen vzrostly o 44,6 % na 393,2 tis. ks.</w:t>
      </w:r>
    </w:p>
    <w:p w:rsidR="000E5274" w:rsidRPr="008319E7" w:rsidRDefault="000E5274" w:rsidP="000E5274">
      <w:pPr>
        <w:rPr>
          <w:szCs w:val="24"/>
        </w:rPr>
      </w:pPr>
      <w:r w:rsidRPr="008319E7">
        <w:rPr>
          <w:szCs w:val="24"/>
        </w:rPr>
        <w:t>Podle ČSÚ produkce jatečné drůbeže v roce 2014 v porovnání s rokem 2013 vzrostla o 6,7 % na 182,8 tis. t j. hm. (243,8 tis. t ž. hm.), což odpovídá přibližně 2 % produkce zemí EU. Samozásobení a drobný prodej se meziročně nezměnil a dosáhl podle odhadu 5,3 tis. t j. hm. (7,0 tis. t ž. hm.).</w:t>
      </w:r>
    </w:p>
    <w:p w:rsidR="000E5274" w:rsidRPr="008319E7" w:rsidRDefault="000E5274" w:rsidP="000E5274">
      <w:pPr>
        <w:rPr>
          <w:szCs w:val="24"/>
        </w:rPr>
      </w:pPr>
      <w:r w:rsidRPr="008319E7">
        <w:rPr>
          <w:szCs w:val="24"/>
        </w:rPr>
        <w:t>V roce 2014 došlo meziročně k nárůstu celkového dovozu živé drůbeže a drůbežího masa. V porovnání s rokem 2013 celkový dovoz drůbežího masa včetně živé drůbeže vzrostl předběžně o 2,7 % na 117,3 tis. t j. hm. (156,4 tis. t ž. hm.), z toho import samotného drůbežího masa činil 112,0 tis. t j. hm. (149,3 tis. t ž. hm.).</w:t>
      </w:r>
    </w:p>
    <w:p w:rsidR="000E5274" w:rsidRDefault="000E5274" w:rsidP="000E5274">
      <w:pPr>
        <w:rPr>
          <w:szCs w:val="24"/>
        </w:rPr>
      </w:pPr>
      <w:r w:rsidRPr="008319E7">
        <w:rPr>
          <w:szCs w:val="24"/>
        </w:rPr>
        <w:lastRenderedPageBreak/>
        <w:t>K 1. 4. 2014 bylo v ČR evidováno 129,0 tis. ks bahnic, což je meziroční nárůst základního stáda o 3,1 %. Celkové stavy ovcí a beranů ke stejnému datu dosáhly 225,4 tis. ks, tj. o 2,2 % více než v předchozím roce. V kategorii koz a kozlů bylo k 1. 4. 2014 evidováno 24,3 tis. ks, což je o 1,3 % více než v předchozím roce. Pozitivní vývoj stavů ovcí a koz byl pravděpodobně stimulován rostoucí spotřebitelskou oblibou produktů chovu a podporou dotačních titulů.</w:t>
      </w:r>
    </w:p>
    <w:p w:rsidR="000E5274" w:rsidRDefault="000E5274" w:rsidP="00535A8F">
      <w:pPr>
        <w:pStyle w:val="souhrn-N1"/>
      </w:pPr>
      <w:r w:rsidRPr="008319E7">
        <w:t>●</w:t>
      </w:r>
      <w:r w:rsidRPr="008319E7">
        <w:tab/>
        <w:t>Obnovitelné zdroje energie</w:t>
      </w:r>
    </w:p>
    <w:p w:rsidR="000E5274" w:rsidRPr="008319E7" w:rsidRDefault="000E5274" w:rsidP="000E5274">
      <w:pPr>
        <w:rPr>
          <w:szCs w:val="24"/>
        </w:rPr>
      </w:pPr>
      <w:r w:rsidRPr="008319E7">
        <w:rPr>
          <w:szCs w:val="24"/>
        </w:rPr>
        <w:t>Novela zákona č. 165/2012 Sb. z roku 2013 omezila podporu pro nové výr</w:t>
      </w:r>
      <w:r>
        <w:rPr>
          <w:szCs w:val="24"/>
        </w:rPr>
        <w:t>obny elektřiny z </w:t>
      </w:r>
      <w:r w:rsidRPr="008319E7">
        <w:rPr>
          <w:szCs w:val="24"/>
        </w:rPr>
        <w:t>obnovitelných zdrojů, a to od roku 2014 s ročním přechodným ustanovením umožňujícím dokončit již rozpracované projekty využívající energii větru, vody, země a biomasy. Dále stanovila maximální výše poplatků na podporu obnovitelných zdrojů,</w:t>
      </w:r>
      <w:r>
        <w:rPr>
          <w:szCs w:val="24"/>
        </w:rPr>
        <w:t xml:space="preserve"> které jsou vybírány od </w:t>
      </w:r>
      <w:r w:rsidRPr="008319E7">
        <w:rPr>
          <w:szCs w:val="24"/>
        </w:rPr>
        <w:t>zákazníků v regulované složce ceny elektřiny a z</w:t>
      </w:r>
      <w:r>
        <w:rPr>
          <w:szCs w:val="24"/>
        </w:rPr>
        <w:t>avedla 10% odvod z elektřiny ze </w:t>
      </w:r>
      <w:r w:rsidRPr="008319E7">
        <w:rPr>
          <w:szCs w:val="24"/>
        </w:rPr>
        <w:t>slunečního záření od 1. 1. 2014 pro výrobny elektřiny uv</w:t>
      </w:r>
      <w:r>
        <w:rPr>
          <w:szCs w:val="24"/>
        </w:rPr>
        <w:t>edené do provozu v roce 2010. Z </w:t>
      </w:r>
      <w:r w:rsidRPr="008319E7">
        <w:rPr>
          <w:szCs w:val="24"/>
        </w:rPr>
        <w:t>důvodu předvídatelnosti a transparentnosti dané zákonem č. 458/2000 Sb. (energetický zákon) ERÚ v souladu s ustanovením § 4 odst. 8 zákona č. 165/2012 Sb., o podporovaných zdrojích energie a o změně některých zákonů, ve znění pozdějších předpisů, nestanovil pro elektřinu vyrobenou využitím slunečního záření a pro elektřinu vyrobenou spalováním bioplynu v bioplynových stanicích uvedených do provozu od 1. ledna 2014 provozní podporu elektřiny.</w:t>
      </w:r>
    </w:p>
    <w:p w:rsidR="000E5274" w:rsidRPr="008319E7" w:rsidRDefault="000E5274" w:rsidP="000E5274">
      <w:pPr>
        <w:rPr>
          <w:szCs w:val="24"/>
        </w:rPr>
      </w:pPr>
      <w:r w:rsidRPr="008319E7">
        <w:rPr>
          <w:szCs w:val="24"/>
        </w:rPr>
        <w:t>Užití biopaliv v České republice je v současné době určováno na základě právních předpisů jejich přimíchávání k minerálním pohonným hmotám. Tato povinnost byla poprvé zavedena od září 2007 pro přídavek FAME v motorové naftě (2 % objemová), od roku 2008 i pro přídavek bioetanolu do benzinu.</w:t>
      </w:r>
    </w:p>
    <w:p w:rsidR="000E5274" w:rsidRPr="008319E7" w:rsidRDefault="000E5274" w:rsidP="000E5274">
      <w:pPr>
        <w:rPr>
          <w:szCs w:val="24"/>
        </w:rPr>
      </w:pPr>
      <w:r w:rsidRPr="008319E7">
        <w:rPr>
          <w:szCs w:val="24"/>
        </w:rPr>
        <w:t xml:space="preserve">Tuzemská výroba </w:t>
      </w:r>
      <w:proofErr w:type="spellStart"/>
      <w:r w:rsidRPr="008319E7">
        <w:rPr>
          <w:szCs w:val="24"/>
        </w:rPr>
        <w:t>bioethanolu</w:t>
      </w:r>
      <w:proofErr w:type="spellEnd"/>
      <w:r w:rsidRPr="008319E7">
        <w:rPr>
          <w:szCs w:val="24"/>
        </w:rPr>
        <w:t xml:space="preserve"> v roce 2014 zůstala téměř na stejné úrovni jako v roce 2013. Zvýšil se jeho dovoz z 1 979 t v roce 2013 na 37 352 t v roce 2014 (cca 18x). O 30,5 % stoupl vývoz </w:t>
      </w:r>
      <w:proofErr w:type="spellStart"/>
      <w:r w:rsidRPr="008319E7">
        <w:rPr>
          <w:szCs w:val="24"/>
        </w:rPr>
        <w:t>bioethanolu</w:t>
      </w:r>
      <w:proofErr w:type="spellEnd"/>
      <w:r w:rsidRPr="008319E7">
        <w:rPr>
          <w:szCs w:val="24"/>
        </w:rPr>
        <w:t xml:space="preserve"> v roce 2014 oproti roku 2013. Hrubá spot</w:t>
      </w:r>
      <w:r>
        <w:rPr>
          <w:szCs w:val="24"/>
        </w:rPr>
        <w:t xml:space="preserve">řeba </w:t>
      </w:r>
      <w:proofErr w:type="spellStart"/>
      <w:r>
        <w:rPr>
          <w:szCs w:val="24"/>
        </w:rPr>
        <w:t>bioethanolu</w:t>
      </w:r>
      <w:proofErr w:type="spellEnd"/>
      <w:r>
        <w:rPr>
          <w:szCs w:val="24"/>
        </w:rPr>
        <w:t xml:space="preserve"> v roce 2014 se </w:t>
      </w:r>
      <w:r w:rsidRPr="008319E7">
        <w:rPr>
          <w:szCs w:val="24"/>
        </w:rPr>
        <w:t xml:space="preserve">zvýšila o 37,7 % na 119 042 t oproti roku 2013. Spotřeba paliva </w:t>
      </w:r>
      <w:proofErr w:type="spellStart"/>
      <w:r w:rsidRPr="008319E7">
        <w:rPr>
          <w:szCs w:val="24"/>
        </w:rPr>
        <w:t>Ethanol</w:t>
      </w:r>
      <w:proofErr w:type="spellEnd"/>
      <w:r w:rsidRPr="008319E7">
        <w:rPr>
          <w:szCs w:val="24"/>
        </w:rPr>
        <w:t xml:space="preserve"> E85 vzrostla o</w:t>
      </w:r>
      <w:r>
        <w:rPr>
          <w:szCs w:val="24"/>
        </w:rPr>
        <w:t> </w:t>
      </w:r>
      <w:r w:rsidRPr="008319E7">
        <w:rPr>
          <w:szCs w:val="24"/>
        </w:rPr>
        <w:t xml:space="preserve">8,4 % ve srovnání s rokem 2013. Využití </w:t>
      </w:r>
      <w:proofErr w:type="spellStart"/>
      <w:r w:rsidRPr="008319E7">
        <w:rPr>
          <w:szCs w:val="24"/>
        </w:rPr>
        <w:t>bioethanolových</w:t>
      </w:r>
      <w:proofErr w:type="spellEnd"/>
      <w:r w:rsidRPr="008319E7">
        <w:rPr>
          <w:szCs w:val="24"/>
        </w:rPr>
        <w:t xml:space="preserve"> lihovarů v roce 2014 nepřevýšilo 36 %.</w:t>
      </w:r>
    </w:p>
    <w:p w:rsidR="000E5274" w:rsidRPr="008319E7" w:rsidRDefault="000E5274" w:rsidP="000E5274">
      <w:pPr>
        <w:rPr>
          <w:szCs w:val="24"/>
        </w:rPr>
      </w:pPr>
      <w:r w:rsidRPr="008319E7">
        <w:rPr>
          <w:szCs w:val="24"/>
        </w:rPr>
        <w:t xml:space="preserve">Celková tuzemská produkční kapacita závodů na výrobu FAME v roce 2014 zůstala na úrovni 410 tis. t. Výrobu certifikovaného FAME ovšem prakticky zajišťovaly jen společnosti </w:t>
      </w:r>
      <w:proofErr w:type="spellStart"/>
      <w:r w:rsidRPr="008319E7">
        <w:rPr>
          <w:szCs w:val="24"/>
        </w:rPr>
        <w:t>Kratolia</w:t>
      </w:r>
      <w:proofErr w:type="spellEnd"/>
      <w:r w:rsidRPr="008319E7">
        <w:rPr>
          <w:szCs w:val="24"/>
        </w:rPr>
        <w:t xml:space="preserve"> </w:t>
      </w:r>
      <w:proofErr w:type="spellStart"/>
      <w:r w:rsidRPr="008319E7">
        <w:rPr>
          <w:szCs w:val="24"/>
        </w:rPr>
        <w:t>Trade</w:t>
      </w:r>
      <w:proofErr w:type="spellEnd"/>
      <w:r w:rsidRPr="008319E7">
        <w:rPr>
          <w:szCs w:val="24"/>
        </w:rPr>
        <w:t xml:space="preserve"> a.s. Ústí nad Labem, </w:t>
      </w:r>
      <w:proofErr w:type="spellStart"/>
      <w:r w:rsidRPr="008319E7">
        <w:rPr>
          <w:szCs w:val="24"/>
        </w:rPr>
        <w:t>Preol</w:t>
      </w:r>
      <w:proofErr w:type="spellEnd"/>
      <w:r w:rsidRPr="008319E7">
        <w:rPr>
          <w:szCs w:val="24"/>
        </w:rPr>
        <w:t xml:space="preserve">, a.s. Lovosice a </w:t>
      </w:r>
      <w:proofErr w:type="spellStart"/>
      <w:r w:rsidRPr="008319E7">
        <w:rPr>
          <w:szCs w:val="24"/>
        </w:rPr>
        <w:t>Primagra</w:t>
      </w:r>
      <w:proofErr w:type="spellEnd"/>
      <w:r w:rsidRPr="008319E7">
        <w:rPr>
          <w:szCs w:val="24"/>
        </w:rPr>
        <w:t>, a.s. Milín s celkovou výrobní kapacitou 255 tis. t. Někteří z ostatních výrobc</w:t>
      </w:r>
      <w:r>
        <w:rPr>
          <w:szCs w:val="24"/>
        </w:rPr>
        <w:t>ů buď výrobu přerušili, nebo se </w:t>
      </w:r>
      <w:r w:rsidRPr="008319E7">
        <w:rPr>
          <w:szCs w:val="24"/>
        </w:rPr>
        <w:t>zaměřili na dílčí činnosti, jako je lisování řepky olejné, prodej řepkového oleje a surového FAME. Někteří další výrobci zajišťovali výrobu směsné motorové nafty SMN30 spojenou s nákupem FAME a dodávku SMN30 a FAME na trh s motorovými palivy. Průměrné využití výrobních kapacit v roce 2014 dosáhlo 53,5 %.</w:t>
      </w:r>
    </w:p>
    <w:p w:rsidR="000E5274" w:rsidRDefault="000E5274" w:rsidP="00535A8F">
      <w:pPr>
        <w:pStyle w:val="souhrn-N1"/>
      </w:pPr>
      <w:r w:rsidRPr="008319E7">
        <w:lastRenderedPageBreak/>
        <w:t>●</w:t>
      </w:r>
      <w:r w:rsidRPr="008319E7">
        <w:tab/>
      </w:r>
      <w:r w:rsidRPr="00945E42">
        <w:t>Cenový vývoj na agrárním trhu</w:t>
      </w:r>
    </w:p>
    <w:p w:rsidR="000E5274" w:rsidRPr="004B7081" w:rsidRDefault="000E5274" w:rsidP="000E5274">
      <w:pPr>
        <w:rPr>
          <w:szCs w:val="24"/>
        </w:rPr>
      </w:pPr>
      <w:r w:rsidRPr="004B7081">
        <w:rPr>
          <w:szCs w:val="24"/>
        </w:rPr>
        <w:t>V roce 2014 došlo k meziročnímu snížení cen zemědělských výrobců o 3,7 % Ceny průmyslových výrobců potravinářských výrobků, nápojů a tabáku se ve stejné době snížily menší měrou, a to o 0,3 %, spotřebitelské ceny se zvýšily naopak výrazněji, a to o 2,0 %. Ceny vstupů do zemědělství meziročně poklesly o 1,3 %.</w:t>
      </w:r>
    </w:p>
    <w:p w:rsidR="000E5274" w:rsidRPr="004B7081" w:rsidRDefault="000E5274" w:rsidP="000E5274">
      <w:pPr>
        <w:rPr>
          <w:szCs w:val="24"/>
        </w:rPr>
      </w:pPr>
      <w:r w:rsidRPr="004B7081">
        <w:rPr>
          <w:szCs w:val="24"/>
        </w:rPr>
        <w:t>Meziroční pokles CZV v rostlinné výrobě v roce 2014 dosáhl 10,3 % a týkal se všech sledovaných komodit. Nejvýrazněji se snížila cena obilov</w:t>
      </w:r>
      <w:r>
        <w:rPr>
          <w:szCs w:val="24"/>
        </w:rPr>
        <w:t>in (o 14 %), ovoce (o 12,8 %) a </w:t>
      </w:r>
      <w:r w:rsidRPr="004B7081">
        <w:rPr>
          <w:szCs w:val="24"/>
        </w:rPr>
        <w:t>brambor (o 10,4 %). U obilovin a zvláště u brambor však došlo v předchozím roce k meziročnímu nárůstu ceny. Pouze nepatrné meziroční snížení ceny bylo v roce 2014 zaznamenáno u cukrové řepy (v roce 2013 naproti tomu nepatrně vzrostla). Meziroční pokles v roce 2014 i v roce 2013 zaznamenala cena olejnin.</w:t>
      </w:r>
    </w:p>
    <w:p w:rsidR="000E5274" w:rsidRPr="004B7081" w:rsidRDefault="000E5274" w:rsidP="000E5274">
      <w:pPr>
        <w:rPr>
          <w:szCs w:val="24"/>
        </w:rPr>
      </w:pPr>
      <w:r w:rsidRPr="004B7081">
        <w:rPr>
          <w:szCs w:val="24"/>
        </w:rPr>
        <w:t>Průměrný nárůst CZV živočišných komodit byl v roce 2014 ve srovnání s rokem 2013 vyšší o 1,1 p. b. a činil 4,9 %. Nejvýraznější meziroční zvýšení ceny bylo zaznamenáno u mléka (o 13,1 %) a k mírnému zvýšení ceny došlo i u vajec (o 1,0 %). Naopak snížení ceny bylo vykázáno u drůbeže (o 2,3 %), jatečného skotu a prasat (v obou případech o 1,3 %).</w:t>
      </w:r>
    </w:p>
    <w:p w:rsidR="000E5274" w:rsidRDefault="000E5274" w:rsidP="00535A8F">
      <w:pPr>
        <w:pStyle w:val="souhrn-N1"/>
      </w:pPr>
      <w:r w:rsidRPr="004B7081">
        <w:t>●</w:t>
      </w:r>
      <w:r w:rsidRPr="004B7081">
        <w:tab/>
      </w:r>
      <w:r w:rsidRPr="00945E42">
        <w:t>Agrární zahraniční obchod (AZO)</w:t>
      </w:r>
    </w:p>
    <w:p w:rsidR="000E5274" w:rsidRPr="004B7081" w:rsidRDefault="000E5274" w:rsidP="000E5274">
      <w:pPr>
        <w:rPr>
          <w:szCs w:val="24"/>
        </w:rPr>
      </w:pPr>
      <w:r w:rsidRPr="004B7081">
        <w:rPr>
          <w:szCs w:val="24"/>
        </w:rPr>
        <w:t>Obrat českého AZO trvale roste. V roce 2014 se mezir</w:t>
      </w:r>
      <w:r>
        <w:rPr>
          <w:szCs w:val="24"/>
        </w:rPr>
        <w:t>očně zvýšil o 32,0 mld. Kč, tj. </w:t>
      </w:r>
      <w:r w:rsidRPr="004B7081">
        <w:rPr>
          <w:szCs w:val="24"/>
        </w:rPr>
        <w:t>o 9,3 %, na 377,3 mld. Kč. Z toho na straně vývozu se hodn</w:t>
      </w:r>
      <w:r>
        <w:rPr>
          <w:szCs w:val="24"/>
        </w:rPr>
        <w:t>ota zvýšila o 18,9 mld. Kč, tj. </w:t>
      </w:r>
      <w:r w:rsidRPr="004B7081">
        <w:rPr>
          <w:szCs w:val="24"/>
        </w:rPr>
        <w:t xml:space="preserve">o 11,8 %, na 179,5 mld. Kč a na straně dovozu vzrostla </w:t>
      </w:r>
      <w:r>
        <w:rPr>
          <w:szCs w:val="24"/>
        </w:rPr>
        <w:t>o 13,1 mld. Kč, tj. o 7,1 %, na </w:t>
      </w:r>
      <w:r w:rsidRPr="004B7081">
        <w:rPr>
          <w:szCs w:val="24"/>
        </w:rPr>
        <w:t>197,7 mld. Kč. V důsledku tohoto vývoje se záporná bilance AZO ČR meziročně snížila o 5,9 mld. Kč, tj. o téměř jednu čtvrtinu, na 18,2 mld. Kč a</w:t>
      </w:r>
      <w:r>
        <w:rPr>
          <w:szCs w:val="24"/>
        </w:rPr>
        <w:t> stupeň krytí dovozu vývozem se </w:t>
      </w:r>
      <w:r w:rsidRPr="004B7081">
        <w:rPr>
          <w:szCs w:val="24"/>
        </w:rPr>
        <w:t>zlepšil o 3,8 p. b. na 90,8 %, což jsou nejpříznivější hodnoty od vstupu ČR do EU. Podíl bilančního schodku na českém agrárním vývozu se snížil během posledních pět let z jedné třetiny na jednu desetinu.</w:t>
      </w:r>
    </w:p>
    <w:p w:rsidR="000E5274" w:rsidRDefault="000E5274" w:rsidP="000E5274">
      <w:pPr>
        <w:rPr>
          <w:szCs w:val="24"/>
        </w:rPr>
      </w:pPr>
      <w:r w:rsidRPr="004B7081">
        <w:rPr>
          <w:szCs w:val="24"/>
        </w:rPr>
        <w:t>Na úrovni jednotlivých zemí byly hlavními odběrateli v roce 2014 tradičně Slovensko, Německo, Polsko, Itálie, Rakousko a Maďarsko a v rámci třetích zemí Rusko. V meziročním porovnání se v roce 2014 nejvýraznější zvýšila hodnota vývozu do Německa (o 4,6 mld. Kč), Polska (o 2,2 mld. Kč), Rakouska (o 2,0 mld. Kč) a na Slovensko (o 1,9 mld. Kč).</w:t>
      </w:r>
    </w:p>
    <w:p w:rsidR="000E5274" w:rsidRDefault="000E5274" w:rsidP="000E5274">
      <w:pPr>
        <w:rPr>
          <w:szCs w:val="24"/>
        </w:rPr>
      </w:pPr>
      <w:r w:rsidRPr="004B7081">
        <w:rPr>
          <w:szCs w:val="24"/>
        </w:rPr>
        <w:t>Nejvýznamnějšími dodavateli zůstaly v roce 2014 Německo, Polsko, Slovensko, Nizozemsko, Itálie, Španělsko, Rakousko a Maďarsko a z třetích zemí Brazílie, Čína, USA a Turecko. Meziročně vzrostla hodnota dovozu především z Polska (o 2,9 mld. Kč), Nizozemska (o</w:t>
      </w:r>
      <w:r>
        <w:rPr>
          <w:szCs w:val="24"/>
        </w:rPr>
        <w:t> </w:t>
      </w:r>
      <w:r w:rsidRPr="004B7081">
        <w:rPr>
          <w:szCs w:val="24"/>
        </w:rPr>
        <w:t>1,8</w:t>
      </w:r>
      <w:r>
        <w:rPr>
          <w:szCs w:val="24"/>
        </w:rPr>
        <w:t> </w:t>
      </w:r>
      <w:r w:rsidRPr="004B7081">
        <w:rPr>
          <w:szCs w:val="24"/>
        </w:rPr>
        <w:t>mld. Kč) a Německa (o 1,7 mld. Kč). Ke stagnaci došlo v případě dovozu ze Slovenska (resp. hodnota dovozu poklesla o pouhých 0,1 %).</w:t>
      </w:r>
    </w:p>
    <w:p w:rsidR="000E5274" w:rsidRPr="00DA63F5" w:rsidRDefault="000E5274" w:rsidP="000E5274">
      <w:pPr>
        <w:rPr>
          <w:szCs w:val="24"/>
        </w:rPr>
      </w:pPr>
      <w:r w:rsidRPr="00DA63F5">
        <w:rPr>
          <w:szCs w:val="24"/>
        </w:rPr>
        <w:t>V podrobnějším zbožovém pohledu (na úrovni 4 a 6místných kódů HS) měly v roce 2014 největší podíl na českém agrárním vývozu „cigarety“ (6,8 %), „pšenice“ (6,7 %), „nezahuštěné mléko“</w:t>
      </w:r>
      <w:r>
        <w:rPr>
          <w:szCs w:val="24"/>
        </w:rPr>
        <w:t xml:space="preserve"> (4,6 %), </w:t>
      </w:r>
      <w:r w:rsidRPr="00DA63F5">
        <w:rPr>
          <w:szCs w:val="24"/>
        </w:rPr>
        <w:t>„řepkový olej (s nízkým obsahem kyseliny erukové)“ (4,6 %), „přípravky používané k výživě zvířat“</w:t>
      </w:r>
      <w:r>
        <w:rPr>
          <w:szCs w:val="24"/>
        </w:rPr>
        <w:t xml:space="preserve"> (4,5%), </w:t>
      </w:r>
      <w:r w:rsidRPr="00DA63F5">
        <w:rPr>
          <w:szCs w:val="24"/>
        </w:rPr>
        <w:t xml:space="preserve">„pečivo, sušenky, oplatky apod.“ (4,2 %), </w:t>
      </w:r>
      <w:r w:rsidRPr="00DA63F5">
        <w:rPr>
          <w:szCs w:val="24"/>
        </w:rPr>
        <w:lastRenderedPageBreak/>
        <w:t>„různé potravinové přípravky“ (HS 2106) (3,8 %), „čokoláda a ostatní přípravky s kakaem“ (3,8 %), „pivo“ (3,2 %), „sýry a tvaroh“ (2,8 %), dále „káva“, „semena řepky“, „cukrovinky bez kakaa“, „cukr“, „limonády“, „živý skot“, „slad“, „zahuštěné mléko a smetana“, „vepřové maso“, „jiné přípravky a konzervy z masa, drobů nebo krve“ (HS 1602), „živá drůbež“, „uzenky a salámy“ a „přípravky a koncentráty z kávy (vč. přípravků na jejich bázi)“.</w:t>
      </w:r>
    </w:p>
    <w:p w:rsidR="000E5274" w:rsidRDefault="000E5274" w:rsidP="00535A8F">
      <w:pPr>
        <w:pStyle w:val="souhrn-N1"/>
      </w:pPr>
      <w:r w:rsidRPr="00DA63F5">
        <w:t>●</w:t>
      </w:r>
      <w:r w:rsidRPr="00DA63F5">
        <w:tab/>
        <w:t>Ekonomické výsledky agrárního sektoru</w:t>
      </w:r>
    </w:p>
    <w:p w:rsidR="000E5274" w:rsidRPr="00DA63F5" w:rsidRDefault="000E5274" w:rsidP="000E5274">
      <w:pPr>
        <w:rPr>
          <w:szCs w:val="24"/>
        </w:rPr>
      </w:pPr>
      <w:r w:rsidRPr="00DA63F5">
        <w:rPr>
          <w:szCs w:val="24"/>
        </w:rPr>
        <w:t>Rok 2014 představuje vůči výsledkům 2013 další posílení stabilizace odvětví zemědělství s významným růstem všech globálních ukazatelů SZÚ. Ekonomický výsledek v roce 2014 dosáhl rekordní hodnoty 22,9 mld. Kč. Produkce zemědělského odvětví vzrostla o 6,5 %</w:t>
      </w:r>
      <w:r>
        <w:rPr>
          <w:szCs w:val="24"/>
        </w:rPr>
        <w:t xml:space="preserve"> </w:t>
      </w:r>
      <w:r w:rsidRPr="00DA63F5">
        <w:rPr>
          <w:szCs w:val="24"/>
        </w:rPr>
        <w:t>(s</w:t>
      </w:r>
      <w:r>
        <w:rPr>
          <w:szCs w:val="24"/>
        </w:rPr>
        <w:t> </w:t>
      </w:r>
      <w:r w:rsidRPr="00DA63F5">
        <w:rPr>
          <w:szCs w:val="24"/>
        </w:rPr>
        <w:t xml:space="preserve">růstem produkce RV, resp. ŽV o 4,7 %, resp. 10,0 %), </w:t>
      </w:r>
      <w:proofErr w:type="spellStart"/>
      <w:r w:rsidRPr="00DA63F5">
        <w:rPr>
          <w:szCs w:val="24"/>
        </w:rPr>
        <w:t>mezispotřeba</w:t>
      </w:r>
      <w:proofErr w:type="spellEnd"/>
      <w:r w:rsidRPr="00DA63F5">
        <w:rPr>
          <w:szCs w:val="24"/>
        </w:rPr>
        <w:t xml:space="preserve"> rostla pomaleji (o 4,4 %), což se pozitivně promítlo do růstu dalších globálních ukazatelů. Významně vzrostly základní ekonomické ukazatele odvětví „Hrubá přidaná hodnota“ a „Čistá přidaná hodnota“ o 11,6 %, resp. 17,7 % a dále „Důchod z faktorů“ o téměř 15 %. Na vývoj těchto ukazatelů měly vliv pomalejší nárůsty fixních nákladů – odpisů a mzdových nákladů („Spotřeba fixního kapitálu“ o 3,0 % a „Náhrady zaměstnancům“ o 2,4 %) a progresivní růst podpor („Ostatní dotace na výrobu“ o 12,3 %). Důsledek těchto pozitivních vývojových trendů se projevil v rekordním růstu 2 finálových ukazatelů SZÚ, a to v „Čistém provozním přebytku“ (růst o 29,1 %) a v „Podnikatelském důchod</w:t>
      </w:r>
      <w:r>
        <w:rPr>
          <w:szCs w:val="24"/>
        </w:rPr>
        <w:t>u“ (rekordní meziroční nárůst o </w:t>
      </w:r>
      <w:r w:rsidRPr="00DA63F5">
        <w:rPr>
          <w:szCs w:val="24"/>
        </w:rPr>
        <w:t>40,8 %).</w:t>
      </w:r>
    </w:p>
    <w:p w:rsidR="000E5274" w:rsidRDefault="000E5274" w:rsidP="000E5274">
      <w:pPr>
        <w:rPr>
          <w:szCs w:val="24"/>
        </w:rPr>
      </w:pPr>
      <w:r w:rsidRPr="00DA63F5">
        <w:rPr>
          <w:szCs w:val="24"/>
        </w:rPr>
        <w:t xml:space="preserve">Ekonomická úroveň vyjádřená ukazatelem ČPH/AWU se zvýšila u podniků fyzických i právnických osob (o 8,5 % u PFO, o 8,8 % u PPO). </w:t>
      </w:r>
      <w:r>
        <w:rPr>
          <w:szCs w:val="24"/>
        </w:rPr>
        <w:t>Na celkovém zlepšení ČPH/AWU se </w:t>
      </w:r>
      <w:r w:rsidRPr="00DA63F5">
        <w:rPr>
          <w:szCs w:val="24"/>
        </w:rPr>
        <w:t>podílelo zvýšení hodnoty celkové produkce na hektar z. p. (o 2,3 %), zejména živočišné produkce (o 6,7 %). Podíl rostlinné produkce na celkové hodnotě zemědělské výroby činil necelých 60 %. Rostlinná produkce na hektar z. p. se zvýšila jen o více než 1,1 % u PFO a o 2,1 % u PPO vlivem vyšší hodnoty produkce brambor a olejnin. Naopak hodnota produkce obilovin se snížila výrazněji u PFO, zatímco u PPO byla přibližně na úrovni roku 2012. Příznivé povětrnostní podmínky se projevily na vyšších výnosech obilovin a olejnin. Hodnota produkce obilovin se však snížila vlivem nižších realizačních cen v rozhodujících měsících roku 2013 u PFO, které zřejmě nemají tolik možností skladování jako PPO. V živočišné výrobě se v důsledku vyšší užitkovosti, respektive vyšších realizačních cen zvýšila hodnota produkce všech hlavních komodit (mléko a mléčné výrobky, hovězí a telecí maso, vepřové maso, drůbeží maso a vejce).</w:t>
      </w:r>
    </w:p>
    <w:p w:rsidR="000E5274" w:rsidRDefault="000E5274" w:rsidP="000E5274">
      <w:pPr>
        <w:rPr>
          <w:szCs w:val="24"/>
        </w:rPr>
      </w:pPr>
      <w:r w:rsidRPr="00DA63F5">
        <w:rPr>
          <w:szCs w:val="24"/>
        </w:rPr>
        <w:t xml:space="preserve">Náklady v přepočtu na hektar z. p. se vyvíjely odlišně u fyzických a právnických osob, celkově vzrostly v průměru o 4 %. U fyzických osob celkové náklady i výrobní spotřeba zůstaly na úrovni roku 2012. U PFO v rámci výrobní spotřeby meziročně stagnovaly jak přímé náklady, tak ostatní věcné náklady. Z hlediska výsledného důchodu ze zemědělské činnosti měly naopak nepříznivý vliv náklady na externí faktory, které se zvýšily o 10,7 %, </w:t>
      </w:r>
      <w:r w:rsidRPr="00DA63F5">
        <w:rPr>
          <w:szCs w:val="24"/>
        </w:rPr>
        <w:lastRenderedPageBreak/>
        <w:t>zejména v důsledku vyšších mzdových nákladů (které však nejsou u PFO příliš významné) a vyššího nájemného půdy a budov.</w:t>
      </w:r>
    </w:p>
    <w:p w:rsidR="000E5274" w:rsidRDefault="000E5274" w:rsidP="000E5274">
      <w:pPr>
        <w:rPr>
          <w:szCs w:val="24"/>
        </w:rPr>
      </w:pPr>
      <w:r w:rsidRPr="0029778E">
        <w:rPr>
          <w:szCs w:val="24"/>
        </w:rPr>
        <w:t>U právnických osob se celkové náklady na hektar z. p. zvýšily o 5,2 % vlivem meziročního zvýšení všech hlavních nákladových položek, tj. všech významných položek přímých i</w:t>
      </w:r>
      <w:r>
        <w:rPr>
          <w:szCs w:val="24"/>
        </w:rPr>
        <w:t> </w:t>
      </w:r>
      <w:r w:rsidRPr="0029778E">
        <w:rPr>
          <w:szCs w:val="24"/>
        </w:rPr>
        <w:t>režijních nákladů a odpisů. Náklady na externí faktory se u právnických osob zvýšily o</w:t>
      </w:r>
      <w:r>
        <w:rPr>
          <w:szCs w:val="24"/>
        </w:rPr>
        <w:t> </w:t>
      </w:r>
      <w:r w:rsidRPr="0029778E">
        <w:rPr>
          <w:szCs w:val="24"/>
        </w:rPr>
        <w:t>3,5</w:t>
      </w:r>
      <w:r>
        <w:rPr>
          <w:szCs w:val="24"/>
        </w:rPr>
        <w:t> </w:t>
      </w:r>
      <w:r w:rsidRPr="0029778E">
        <w:rPr>
          <w:szCs w:val="24"/>
        </w:rPr>
        <w:t>% vlivem vyšších mzdových nákladů a vyššího nájemného půdy a budov. Je tedy možné konstatovat, že meziroční nárůst nákladů zemědělské výroby u právnických osob částečně utlumil pozitivní vývoj příjmové úrovně podniků.</w:t>
      </w:r>
    </w:p>
    <w:p w:rsidR="000E5274" w:rsidRPr="0029778E" w:rsidRDefault="000E5274" w:rsidP="000E5274">
      <w:pPr>
        <w:pStyle w:val="mezera"/>
      </w:pPr>
    </w:p>
    <w:p w:rsidR="000E5274" w:rsidRDefault="00234ED0" w:rsidP="000E5274">
      <w:pPr>
        <w:pStyle w:val="mezera-svzan"/>
      </w:pPr>
      <w:r>
        <w:pict>
          <v:shape id="_x0000_i1026" type="#_x0000_t75" style="width:453pt;height:279.75pt">
            <v:imagedata r:id="rId15" o:title=""/>
          </v:shape>
        </w:pict>
      </w:r>
    </w:p>
    <w:p w:rsidR="000E5274" w:rsidRDefault="000E5274" w:rsidP="000E5274">
      <w:pPr>
        <w:pStyle w:val="TabPramZprac"/>
      </w:pPr>
      <w:r w:rsidRPr="009B3E7D">
        <w:t>Pramen:</w:t>
      </w:r>
      <w:r>
        <w:tab/>
      </w:r>
      <w:r w:rsidRPr="009B3E7D">
        <w:t>ČSÚ</w:t>
      </w:r>
      <w:r>
        <w:t xml:space="preserve"> – </w:t>
      </w:r>
      <w:r w:rsidRPr="009B3E7D">
        <w:t>souhrnné zemědělské účty, ÚZEI</w:t>
      </w:r>
    </w:p>
    <w:p w:rsidR="000E5274" w:rsidRPr="00402789" w:rsidRDefault="000E5274" w:rsidP="000E5274">
      <w:pPr>
        <w:pStyle w:val="mezera"/>
      </w:pPr>
    </w:p>
    <w:p w:rsidR="000E5274" w:rsidRPr="0029778E" w:rsidRDefault="000E5274" w:rsidP="000E5274">
      <w:pPr>
        <w:rPr>
          <w:szCs w:val="24"/>
        </w:rPr>
      </w:pPr>
      <w:r w:rsidRPr="0029778E">
        <w:rPr>
          <w:szCs w:val="24"/>
        </w:rPr>
        <w:t>Souhrnně lze konstatovat, že příznivější ekonomická situace zemědělských podniků v roce 2013 proti roku 2012 byla zapříčiněna především vyššími hektarovými výnosy klíčových polních plodin a lepší užitkovostí a realizačními cenami v živočišné výrobě. Celková zemědělská produkce, zejména produkce živočišné výroby a v</w:t>
      </w:r>
      <w:r>
        <w:rPr>
          <w:szCs w:val="24"/>
        </w:rPr>
        <w:t>yšší provozní dotace přispěly k </w:t>
      </w:r>
      <w:r w:rsidRPr="0029778E">
        <w:rPr>
          <w:szCs w:val="24"/>
        </w:rPr>
        <w:t>lepší příjmové situaci zemědělských podniků. Týká se to nejen ČPH/AWU, ale také ukazatele hospodářského výsledku sektoru vyjádřeném důchodem ze zemědělské činnosti, který v přepočtu na hektar z. p. vzrostl průměrně o 8,9 % na 6 090 Kč/ha.</w:t>
      </w:r>
    </w:p>
    <w:p w:rsidR="000E5274" w:rsidRPr="0046126F" w:rsidRDefault="000E5274" w:rsidP="00535A8F">
      <w:pPr>
        <w:pStyle w:val="souhrn-N1"/>
      </w:pPr>
      <w:r w:rsidRPr="0046126F">
        <w:t>●</w:t>
      </w:r>
      <w:r w:rsidRPr="0046126F">
        <w:tab/>
        <w:t>Souhrnné hodnocení agrární politiky</w:t>
      </w:r>
    </w:p>
    <w:p w:rsidR="000E5274" w:rsidRPr="006B5FF8" w:rsidRDefault="000E5274" w:rsidP="000E5274">
      <w:pPr>
        <w:rPr>
          <w:szCs w:val="24"/>
        </w:rPr>
      </w:pPr>
      <w:r w:rsidRPr="00A04E21">
        <w:rPr>
          <w:szCs w:val="24"/>
        </w:rPr>
        <w:t>Rok 2013 byl konečným rokem rozpočtového období 2007</w:t>
      </w:r>
      <w:r w:rsidRPr="00A04E21">
        <w:rPr>
          <w:szCs w:val="24"/>
        </w:rPr>
        <w:noBreakHyphen/>
        <w:t xml:space="preserve">2013, ve kterém přímé platby EU dosáhly 100% úrovně v porovnání se vstupním rokem 2004. V souladu s Víceletým finančním rámcem EU a s aplikací tzv. finanční disciplíny v EU pro rok 2013 byly přímé platby u podniků, kde tyto platby převýšily 2 000 €, sníženy o 2,45 %. Rok 2014 </w:t>
      </w:r>
      <w:r w:rsidRPr="00A04E21">
        <w:rPr>
          <w:szCs w:val="24"/>
        </w:rPr>
        <w:lastRenderedPageBreak/>
        <w:t>pak představuje první rok nového rozpočtového období 2014–2020 s více přechodnými opatřeními před konečnými rozhodnutími o SZP v EU i ČR od roku 2015. Poprvé jsou za rok 2013 i 2014 evidovány také přímé podpory výroby energie ze zemědělských BPS, které hradí spotřebitelé energie a které tvoří velmi významnou součást celkových podpor</w:t>
      </w:r>
      <w:r>
        <w:rPr>
          <w:szCs w:val="24"/>
        </w:rPr>
        <w:t xml:space="preserve"> odvětví.</w:t>
      </w:r>
    </w:p>
    <w:p w:rsidR="000E5274" w:rsidRPr="00A04E21" w:rsidRDefault="000E5274" w:rsidP="000E5274">
      <w:pPr>
        <w:rPr>
          <w:szCs w:val="24"/>
        </w:rPr>
      </w:pPr>
      <w:r w:rsidRPr="00A04E21">
        <w:rPr>
          <w:szCs w:val="24"/>
        </w:rPr>
        <w:t xml:space="preserve">Celkové podpory podle hlavních institucí po započtení evidovaných podpor OZE se v roce 2014 meziročně zvýšily ze 45,8 mld. Kč na </w:t>
      </w:r>
      <w:r>
        <w:rPr>
          <w:szCs w:val="24"/>
        </w:rPr>
        <w:t>49,4</w:t>
      </w:r>
      <w:r w:rsidRPr="00A04E21">
        <w:rPr>
          <w:szCs w:val="24"/>
        </w:rPr>
        <w:t> mld. </w:t>
      </w:r>
      <w:r>
        <w:rPr>
          <w:szCs w:val="24"/>
        </w:rPr>
        <w:t xml:space="preserve">Kč, </w:t>
      </w:r>
      <w:r w:rsidRPr="00A04E21">
        <w:rPr>
          <w:szCs w:val="24"/>
        </w:rPr>
        <w:t>tj. o </w:t>
      </w:r>
      <w:r>
        <w:rPr>
          <w:szCs w:val="24"/>
        </w:rPr>
        <w:t>7,8</w:t>
      </w:r>
      <w:r w:rsidRPr="00A04E21">
        <w:rPr>
          <w:szCs w:val="24"/>
        </w:rPr>
        <w:t xml:space="preserve"> %. Podpory samotným zemědělským podnikům (tj. bez výdajů na tzv. obecné služby) se zvýšily z 38,2 mld. Kč </w:t>
      </w:r>
      <w:r>
        <w:rPr>
          <w:szCs w:val="24"/>
        </w:rPr>
        <w:t>na 41,6</w:t>
      </w:r>
      <w:r w:rsidRPr="00A04E21">
        <w:rPr>
          <w:szCs w:val="24"/>
        </w:rPr>
        <w:t xml:space="preserve"> mld. Kč, tj. o </w:t>
      </w:r>
      <w:r>
        <w:rPr>
          <w:szCs w:val="24"/>
        </w:rPr>
        <w:t>9,0</w:t>
      </w:r>
      <w:r w:rsidRPr="00A04E21">
        <w:rPr>
          <w:szCs w:val="24"/>
        </w:rPr>
        <w:t> %. Nejvíce k této meziroční změně přispělo meziroční zvýšení výdajů jak ze zdrojů EU</w:t>
      </w:r>
      <w:r>
        <w:rPr>
          <w:szCs w:val="24"/>
        </w:rPr>
        <w:t>,</w:t>
      </w:r>
      <w:r w:rsidRPr="00A04E21">
        <w:rPr>
          <w:szCs w:val="24"/>
        </w:rPr>
        <w:t xml:space="preserve"> tak rezortu MZe o zhruba 8 %</w:t>
      </w:r>
      <w:r w:rsidRPr="000413A2">
        <w:rPr>
          <w:szCs w:val="24"/>
        </w:rPr>
        <w:t>; o více než 16 % meziročně vzrostly i podpory OZE</w:t>
      </w:r>
      <w:r w:rsidRPr="00A04E21">
        <w:rPr>
          <w:szCs w:val="24"/>
        </w:rPr>
        <w:t>.</w:t>
      </w:r>
    </w:p>
    <w:p w:rsidR="000E5274" w:rsidRPr="00A04E21" w:rsidRDefault="000E5274" w:rsidP="000E5274">
      <w:pPr>
        <w:rPr>
          <w:szCs w:val="24"/>
        </w:rPr>
      </w:pPr>
      <w:r w:rsidRPr="00A04E21">
        <w:rPr>
          <w:szCs w:val="24"/>
        </w:rPr>
        <w:t>Největší podíl podpor podle hlavních směrů a zdrojů (ČR, EU)</w:t>
      </w:r>
      <w:r>
        <w:rPr>
          <w:szCs w:val="24"/>
        </w:rPr>
        <w:t xml:space="preserve"> </w:t>
      </w:r>
      <w:r w:rsidRPr="00A04E21">
        <w:rPr>
          <w:szCs w:val="24"/>
        </w:rPr>
        <w:t>připadl v roce 201</w:t>
      </w:r>
      <w:r>
        <w:rPr>
          <w:szCs w:val="24"/>
        </w:rPr>
        <w:t>4</w:t>
      </w:r>
      <w:r w:rsidRPr="00A04E21">
        <w:rPr>
          <w:szCs w:val="24"/>
        </w:rPr>
        <w:t xml:space="preserve"> na přímé platby (</w:t>
      </w:r>
      <w:r>
        <w:rPr>
          <w:szCs w:val="24"/>
        </w:rPr>
        <w:t>50,5</w:t>
      </w:r>
      <w:r w:rsidRPr="00A04E21">
        <w:rPr>
          <w:szCs w:val="24"/>
        </w:rPr>
        <w:t> %), což představuje proti roku 2013 další nárůst podílu (o </w:t>
      </w:r>
      <w:r>
        <w:rPr>
          <w:szCs w:val="24"/>
        </w:rPr>
        <w:t>0,9</w:t>
      </w:r>
      <w:r w:rsidRPr="00A04E21">
        <w:rPr>
          <w:szCs w:val="24"/>
        </w:rPr>
        <w:t xml:space="preserve"> p. b.). Druhou největší složku podpor představují podpory v rámci PRV, jejichž podíl v roce 2014 na úrovni </w:t>
      </w:r>
      <w:r>
        <w:rPr>
          <w:szCs w:val="24"/>
        </w:rPr>
        <w:t>25,4</w:t>
      </w:r>
      <w:r w:rsidRPr="00A04E21">
        <w:rPr>
          <w:szCs w:val="24"/>
        </w:rPr>
        <w:t> % se proti roku 2013 zvýšil o </w:t>
      </w:r>
      <w:r>
        <w:rPr>
          <w:szCs w:val="24"/>
        </w:rPr>
        <w:t>1,3</w:t>
      </w:r>
      <w:r w:rsidRPr="00A04E21">
        <w:rPr>
          <w:szCs w:val="24"/>
        </w:rPr>
        <w:t xml:space="preserve"> p. b. V důsledku započtení podpor OZE podíl podpor organizace trhu a cen v roce 2014 převýšil </w:t>
      </w:r>
      <w:r>
        <w:rPr>
          <w:szCs w:val="24"/>
        </w:rPr>
        <w:t>10</w:t>
      </w:r>
      <w:r w:rsidRPr="00A04E21">
        <w:rPr>
          <w:szCs w:val="24"/>
        </w:rPr>
        <w:t> %. Podíl zdro</w:t>
      </w:r>
      <w:r>
        <w:rPr>
          <w:szCs w:val="24"/>
        </w:rPr>
        <w:t>jů EU na celkových podporách do </w:t>
      </w:r>
      <w:r w:rsidRPr="00A04E21">
        <w:rPr>
          <w:szCs w:val="24"/>
        </w:rPr>
        <w:t xml:space="preserve">českého agrárního sektoru se </w:t>
      </w:r>
      <w:r>
        <w:rPr>
          <w:szCs w:val="24"/>
        </w:rPr>
        <w:t xml:space="preserve">meziročně mírně </w:t>
      </w:r>
      <w:r w:rsidRPr="00A04E21">
        <w:rPr>
          <w:szCs w:val="24"/>
        </w:rPr>
        <w:t xml:space="preserve">zvýšil na </w:t>
      </w:r>
      <w:r>
        <w:rPr>
          <w:szCs w:val="24"/>
        </w:rPr>
        <w:t>69,3</w:t>
      </w:r>
      <w:r w:rsidRPr="00A04E21">
        <w:rPr>
          <w:szCs w:val="24"/>
        </w:rPr>
        <w:t xml:space="preserve"> %.</w:t>
      </w:r>
    </w:p>
    <w:p w:rsidR="000E5274" w:rsidRPr="00A04E21" w:rsidRDefault="000E5274" w:rsidP="000E5274">
      <w:pPr>
        <w:rPr>
          <w:szCs w:val="24"/>
        </w:rPr>
      </w:pPr>
      <w:r w:rsidRPr="00A04E21">
        <w:rPr>
          <w:szCs w:val="24"/>
        </w:rPr>
        <w:t>Podle klasifikace EU se největší část podpor nadále soustřeďuje</w:t>
      </w:r>
      <w:r>
        <w:rPr>
          <w:szCs w:val="24"/>
        </w:rPr>
        <w:t xml:space="preserve"> v Pilíři I (důchodové podpory –</w:t>
      </w:r>
      <w:r w:rsidRPr="00A04E21">
        <w:rPr>
          <w:szCs w:val="24"/>
        </w:rPr>
        <w:t xml:space="preserve"> podpory příjmů podniků). Podpory v tomto pilíři včetně podpory cen v roce 2014 zaujímaly </w:t>
      </w:r>
      <w:r>
        <w:rPr>
          <w:szCs w:val="24"/>
        </w:rPr>
        <w:t>65,7</w:t>
      </w:r>
      <w:r w:rsidRPr="00A04E21">
        <w:rPr>
          <w:szCs w:val="24"/>
        </w:rPr>
        <w:t xml:space="preserve"> % z celkových </w:t>
      </w:r>
      <w:r>
        <w:rPr>
          <w:szCs w:val="24"/>
        </w:rPr>
        <w:t>podpor.</w:t>
      </w:r>
    </w:p>
    <w:p w:rsidR="000E5274" w:rsidRDefault="000E5274" w:rsidP="000E5274">
      <w:pPr>
        <w:rPr>
          <w:szCs w:val="24"/>
        </w:rPr>
      </w:pPr>
      <w:r w:rsidRPr="00A04E21">
        <w:rPr>
          <w:szCs w:val="24"/>
        </w:rPr>
        <w:t xml:space="preserve">Dlouhodobě nejvíce podpor připadá na podpory příjmů podniků (včetně plateb LFA), jejichž podíl se v roce 2014 zvýšil na </w:t>
      </w:r>
      <w:r>
        <w:rPr>
          <w:szCs w:val="24"/>
        </w:rPr>
        <w:t>59,6</w:t>
      </w:r>
      <w:r w:rsidRPr="00A04E21">
        <w:rPr>
          <w:szCs w:val="24"/>
        </w:rPr>
        <w:t xml:space="preserve"> % (v roce 2013 podíl činil 58,5 %). Druhý největší objem podpor se týká zlepšování vztahu zemědělství k životnímu prostředí a venkovu (dohromady kolem 20 % v obou sledovaných letech). Souhrnný podíl podpor na rozvoj podnikatelské struktury, restrukturalizaci a modernizaci, tedy podpor orientovaných více na zvyšování konkurenceschopnosti agrárního sektoru, v obou sledovaných letech dosahuje pouze kolem 11 %. Proti předchozím rokům v důsledku evidence podpor OZE se jejich podíl výrazně zvýšil a v roce 2014 dosahuje </w:t>
      </w:r>
      <w:r>
        <w:rPr>
          <w:szCs w:val="24"/>
        </w:rPr>
        <w:t>9,2</w:t>
      </w:r>
      <w:r w:rsidRPr="00A04E21">
        <w:rPr>
          <w:szCs w:val="24"/>
        </w:rPr>
        <w:t> % celkových podpor.</w:t>
      </w:r>
    </w:p>
    <w:p w:rsidR="000E5274" w:rsidRPr="00724B14" w:rsidRDefault="000E5274" w:rsidP="00724B14">
      <w:pPr>
        <w:pStyle w:val="Nadpis1-bezodsazen"/>
      </w:pPr>
      <w:bookmarkStart w:id="15" w:name="_Toc424307006"/>
      <w:r w:rsidRPr="00724B14">
        <w:lastRenderedPageBreak/>
        <w:t>Návrh nezbytných opatření vyplývajících ze Zprávy o stavu zemědělství České republiky za rok 2014 v oblasti agrární politiky (podle ustanovení §</w:t>
      </w:r>
      <w:r w:rsidR="0046126F" w:rsidRPr="00724B14">
        <w:t xml:space="preserve"> </w:t>
      </w:r>
      <w:r w:rsidRPr="00724B14">
        <w:t>6 zákona č. 252/1997 Sb., o zemědělství)</w:t>
      </w:r>
      <w:bookmarkEnd w:id="15"/>
    </w:p>
    <w:p w:rsidR="000E5274" w:rsidRPr="0046126F" w:rsidRDefault="000E5274" w:rsidP="00724B14">
      <w:pPr>
        <w:pStyle w:val="opaten-N2"/>
      </w:pPr>
      <w:r w:rsidRPr="0046126F">
        <w:t>Zajistit rozvoj zemědělského a potravinářského sektoru</w:t>
      </w:r>
    </w:p>
    <w:p w:rsidR="000E5274" w:rsidRPr="00681678" w:rsidRDefault="000E5274" w:rsidP="000E5274">
      <w:pPr>
        <w:pStyle w:val="vet1"/>
        <w:numPr>
          <w:ilvl w:val="0"/>
          <w:numId w:val="42"/>
        </w:numPr>
        <w:suppressAutoHyphens w:val="0"/>
        <w:ind w:left="567" w:hanging="567"/>
      </w:pPr>
      <w:r w:rsidRPr="00681678">
        <w:t>Nastavit takové parametry a opatření nové SZP, které pomohou rozvoji strukturálně vyváženějšímu zemědělskému sektoru, který bude schopen významně přispívat k míře trvale udržitelné soběstačnosti a zlepšit vztahy k jím užívaným přírodním zdrojům.</w:t>
      </w:r>
    </w:p>
    <w:p w:rsidR="000E5274" w:rsidRPr="00681678" w:rsidRDefault="000E5274" w:rsidP="000E5274">
      <w:pPr>
        <w:pStyle w:val="vet1"/>
        <w:numPr>
          <w:ilvl w:val="0"/>
          <w:numId w:val="42"/>
        </w:numPr>
        <w:suppressAutoHyphens w:val="0"/>
        <w:ind w:left="567" w:hanging="567"/>
      </w:pPr>
      <w:r w:rsidRPr="00681678">
        <w:t>Podporou sdružování více prvovýrobních subjektů do společných výrobních provozoven a prodejních míst zvýšit provázanost domácích zemědělských podniků s českým potravinářským průmyslem.</w:t>
      </w:r>
    </w:p>
    <w:p w:rsidR="000E5274" w:rsidRPr="00681678" w:rsidRDefault="000E5274" w:rsidP="000E5274">
      <w:pPr>
        <w:pStyle w:val="vet1"/>
        <w:numPr>
          <w:ilvl w:val="0"/>
          <w:numId w:val="42"/>
        </w:numPr>
        <w:suppressAutoHyphens w:val="0"/>
        <w:ind w:left="567" w:hanging="567"/>
      </w:pPr>
      <w:r w:rsidRPr="00681678">
        <w:t>Posilovat důvěru obyvatel České republiky v tuzemské potraviny a biopotraviny, zejména zvyšováním bezpečnosti potravin a jejich kvality.</w:t>
      </w:r>
    </w:p>
    <w:p w:rsidR="000E5274" w:rsidRPr="00681678" w:rsidRDefault="000E5274" w:rsidP="000E5274">
      <w:pPr>
        <w:pStyle w:val="vet1"/>
        <w:numPr>
          <w:ilvl w:val="0"/>
          <w:numId w:val="42"/>
        </w:numPr>
        <w:suppressAutoHyphens w:val="0"/>
        <w:ind w:left="567" w:hanging="567"/>
      </w:pPr>
      <w:r w:rsidRPr="00681678">
        <w:t>Zajistit kvalitní a důsledné kontroly v obchodní síti zvýšením práce inspektorů v terénu, zejména v boji s falšováním potravin.</w:t>
      </w:r>
    </w:p>
    <w:p w:rsidR="000E5274" w:rsidRPr="00681678" w:rsidRDefault="000E5274" w:rsidP="000E5274">
      <w:pPr>
        <w:pStyle w:val="vet1"/>
        <w:numPr>
          <w:ilvl w:val="0"/>
          <w:numId w:val="42"/>
        </w:numPr>
        <w:suppressAutoHyphens w:val="0"/>
        <w:ind w:left="567" w:hanging="567"/>
      </w:pPr>
      <w:r w:rsidRPr="00681678">
        <w:t>Podpořit kvalitní domácí výroby a produkce a zpracování základních zemědělských komodit využitím dotačních programů SZP a PGRLF.</w:t>
      </w:r>
    </w:p>
    <w:p w:rsidR="000E5274" w:rsidRPr="00DF25E2" w:rsidRDefault="000E5274" w:rsidP="000E5274">
      <w:pPr>
        <w:pStyle w:val="vet1"/>
        <w:numPr>
          <w:ilvl w:val="0"/>
          <w:numId w:val="42"/>
        </w:numPr>
        <w:suppressAutoHyphens w:val="0"/>
        <w:ind w:left="567" w:hanging="567"/>
      </w:pPr>
      <w:r w:rsidRPr="00681678">
        <w:t xml:space="preserve">„Strategickým plánem pro rozvoj chovu ryb do roku 2024“ podporovat naplňování podmínek Společné </w:t>
      </w:r>
      <w:r w:rsidRPr="00DF25E2">
        <w:t>rybářské politiky Evropské unie v České republice.</w:t>
      </w:r>
    </w:p>
    <w:p w:rsidR="000E5274" w:rsidRDefault="000E5274" w:rsidP="00724B14">
      <w:pPr>
        <w:pStyle w:val="opaten-N2"/>
      </w:pPr>
      <w:r>
        <w:t xml:space="preserve">Zvýšit </w:t>
      </w:r>
      <w:r w:rsidRPr="00645941">
        <w:t>kvalitu životního prostředí a krajiny,</w:t>
      </w:r>
      <w:r>
        <w:t xml:space="preserve"> zlepšit vztah k přírodním zdrojům a </w:t>
      </w:r>
      <w:r w:rsidRPr="00645941">
        <w:t>podpořit kvalitu života na venkově</w:t>
      </w:r>
    </w:p>
    <w:p w:rsidR="000E5274" w:rsidRDefault="000E5274" w:rsidP="000E5274">
      <w:pPr>
        <w:pStyle w:val="vet1"/>
        <w:numPr>
          <w:ilvl w:val="0"/>
          <w:numId w:val="42"/>
        </w:numPr>
        <w:suppressAutoHyphens w:val="0"/>
        <w:ind w:left="567" w:hanging="567"/>
      </w:pPr>
      <w:r w:rsidRPr="0038461A">
        <w:t>Podporovat</w:t>
      </w:r>
      <w:r>
        <w:t xml:space="preserve"> tvorbu a udržení pracovních míst a diverzifikaci činností na venkově.</w:t>
      </w:r>
    </w:p>
    <w:p w:rsidR="000E5274" w:rsidRPr="005F744D" w:rsidRDefault="000E5274" w:rsidP="000E5274">
      <w:pPr>
        <w:pStyle w:val="vet1"/>
        <w:numPr>
          <w:ilvl w:val="0"/>
          <w:numId w:val="42"/>
        </w:numPr>
        <w:suppressAutoHyphens w:val="0"/>
        <w:ind w:left="567" w:hanging="567"/>
      </w:pPr>
      <w:r w:rsidRPr="005F744D">
        <w:t>Vytvořit koncepci řešení problematiky negativních dopadů výskytu sucha nedostatku vody v České republice s prioritou omezit projevy vodní eroze.</w:t>
      </w:r>
    </w:p>
    <w:p w:rsidR="000E5274" w:rsidRPr="006B040F" w:rsidRDefault="000E5274" w:rsidP="000E5274">
      <w:pPr>
        <w:pStyle w:val="vet1"/>
        <w:numPr>
          <w:ilvl w:val="0"/>
          <w:numId w:val="42"/>
        </w:numPr>
        <w:suppressAutoHyphens w:val="0"/>
        <w:ind w:left="567" w:hanging="567"/>
      </w:pPr>
      <w:r w:rsidRPr="005F744D">
        <w:t xml:space="preserve"> „Akčním plánem České republiky na období 2011-2015“ podporovat ekologické zeměd</w:t>
      </w:r>
      <w:r w:rsidRPr="00645941">
        <w:t>ělství tak, aby do konce roku 2015 dosáhla výměra zemědělské půdy 15 % s důrazem na navýšení produkce biopotravin.</w:t>
      </w:r>
    </w:p>
    <w:p w:rsidR="000E5274" w:rsidRPr="00EE439E" w:rsidRDefault="000E5274" w:rsidP="000E5274">
      <w:pPr>
        <w:pStyle w:val="vet1"/>
        <w:numPr>
          <w:ilvl w:val="0"/>
          <w:numId w:val="42"/>
        </w:numPr>
        <w:suppressAutoHyphens w:val="0"/>
        <w:ind w:left="567" w:hanging="567"/>
      </w:pPr>
      <w:r w:rsidRPr="00EE439E">
        <w:t>Z hlediska ochrany půdy před degradací její kvality podporovat živočišnou výrobu, která strukturou spotřeby pícnin a další rostlinné produkce vyvolává rozmanitost pěstovaných plodin a následně zajišťuje přísun nepostradatelných statkových hnojiv.</w:t>
      </w:r>
    </w:p>
    <w:p w:rsidR="000E5274" w:rsidRDefault="000E5274" w:rsidP="000E5274">
      <w:pPr>
        <w:pStyle w:val="vet1"/>
        <w:numPr>
          <w:ilvl w:val="0"/>
          <w:numId w:val="42"/>
        </w:numPr>
        <w:suppressAutoHyphens w:val="0"/>
        <w:ind w:left="567" w:hanging="567"/>
      </w:pPr>
      <w:r w:rsidRPr="00EE439E">
        <w:t>Podporovat zlepšení hospodářské, ekologické a sociální funkce lesů.</w:t>
      </w:r>
    </w:p>
    <w:p w:rsidR="000E5274" w:rsidRPr="00EE439E" w:rsidRDefault="000E5274" w:rsidP="000E5274">
      <w:pPr>
        <w:pStyle w:val="vet1"/>
        <w:numPr>
          <w:ilvl w:val="0"/>
          <w:numId w:val="42"/>
        </w:numPr>
        <w:suppressAutoHyphens w:val="0"/>
        <w:ind w:left="567" w:hanging="567"/>
      </w:pPr>
      <w:r>
        <w:t>Více finančně podpořit pěstitele citlivých komodit a okrasných rostlin.</w:t>
      </w:r>
    </w:p>
    <w:p w:rsidR="000E5274" w:rsidRDefault="000E5274" w:rsidP="000E5274">
      <w:pPr>
        <w:pStyle w:val="vet1"/>
        <w:numPr>
          <w:ilvl w:val="0"/>
          <w:numId w:val="42"/>
        </w:numPr>
        <w:suppressAutoHyphens w:val="0"/>
        <w:ind w:left="567" w:hanging="567"/>
      </w:pPr>
      <w:r w:rsidRPr="0077796B">
        <w:t>Nadále realizovat opatření pro podporu nákupu zemědělské půdy do vlastnictví samotných zemědělců s cílem zvyšování jejich motivace k hospodaření.</w:t>
      </w:r>
    </w:p>
    <w:p w:rsidR="000E5274" w:rsidRPr="0067320A" w:rsidRDefault="000E5274" w:rsidP="00724B14">
      <w:pPr>
        <w:pStyle w:val="opaten-N2"/>
      </w:pPr>
      <w:r w:rsidRPr="0067320A">
        <w:lastRenderedPageBreak/>
        <w:t>Dosáhnout liberální</w:t>
      </w:r>
      <w:r>
        <w:t>ho</w:t>
      </w:r>
      <w:r w:rsidRPr="0067320A">
        <w:t>, ale spravedlivé</w:t>
      </w:r>
      <w:r>
        <w:t>ho</w:t>
      </w:r>
      <w:r w:rsidRPr="0067320A">
        <w:t xml:space="preserve"> poje</w:t>
      </w:r>
      <w:r>
        <w:t>tí zemědělství EU</w:t>
      </w:r>
    </w:p>
    <w:p w:rsidR="000E5274" w:rsidRDefault="000E5274" w:rsidP="000E5274">
      <w:pPr>
        <w:pStyle w:val="vet1"/>
        <w:numPr>
          <w:ilvl w:val="0"/>
          <w:numId w:val="42"/>
        </w:numPr>
        <w:suppressAutoHyphens w:val="0"/>
        <w:ind w:left="567" w:hanging="567"/>
      </w:pPr>
      <w:r w:rsidRPr="00526462">
        <w:t>Aktivně se podílet na vytváření zjednodušené, přitom ale efektivní a silné společné zemědělské politiky.</w:t>
      </w:r>
    </w:p>
    <w:p w:rsidR="000E5274" w:rsidRDefault="000E5274" w:rsidP="000E5274">
      <w:pPr>
        <w:pStyle w:val="vet1"/>
        <w:numPr>
          <w:ilvl w:val="0"/>
          <w:numId w:val="42"/>
        </w:numPr>
        <w:suppressAutoHyphens w:val="0"/>
        <w:ind w:left="567" w:hanging="567"/>
      </w:pPr>
      <w:r w:rsidRPr="00526462">
        <w:t>Vytvářet vhodné podmínky pro zvyšování přidané hodnoty zemědělské produkce.</w:t>
      </w:r>
    </w:p>
    <w:p w:rsidR="000E5274" w:rsidRPr="004F5519" w:rsidRDefault="000E5274" w:rsidP="000E5274">
      <w:pPr>
        <w:pStyle w:val="vet1"/>
        <w:numPr>
          <w:ilvl w:val="0"/>
          <w:numId w:val="42"/>
        </w:numPr>
        <w:suppressAutoHyphens w:val="0"/>
        <w:ind w:left="567" w:hanging="567"/>
      </w:pPr>
      <w:r w:rsidRPr="00526462">
        <w:t xml:space="preserve">Podporovat evropské zemědělství bez bariér na vnitřním trhu a usilovat o nastavení rovných podmínek pro všechny státy Evropské </w:t>
      </w:r>
      <w:r>
        <w:t>u</w:t>
      </w:r>
      <w:r w:rsidRPr="00526462">
        <w:t>nie.</w:t>
      </w:r>
    </w:p>
    <w:p w:rsidR="000E5274" w:rsidRDefault="000E5274" w:rsidP="00724B14">
      <w:pPr>
        <w:pStyle w:val="opaten-N2"/>
      </w:pPr>
      <w:r w:rsidRPr="00645941">
        <w:t xml:space="preserve">Podporovat </w:t>
      </w:r>
      <w:r>
        <w:t>zvýšení efektivnosti</w:t>
      </w:r>
      <w:r w:rsidRPr="00645941">
        <w:t xml:space="preserve"> a omezit byrokracii </w:t>
      </w:r>
      <w:r>
        <w:t>podnikání v zemědělském sektoru</w:t>
      </w:r>
    </w:p>
    <w:p w:rsidR="000E5274" w:rsidRPr="00DF25E2" w:rsidRDefault="000E5274" w:rsidP="000E5274">
      <w:pPr>
        <w:pStyle w:val="vet1"/>
        <w:numPr>
          <w:ilvl w:val="0"/>
          <w:numId w:val="42"/>
        </w:numPr>
        <w:suppressAutoHyphens w:val="0"/>
        <w:ind w:left="567" w:hanging="567"/>
      </w:pPr>
      <w:r w:rsidRPr="00DF25E2">
        <w:t>Usnadnit nové generaci zemědělců vstup do zemědělského podnikatelského prostoru za pomoci vhodných nástrojů.</w:t>
      </w:r>
    </w:p>
    <w:p w:rsidR="000E5274" w:rsidRDefault="000E5274" w:rsidP="000E5274">
      <w:pPr>
        <w:pStyle w:val="vet1"/>
        <w:numPr>
          <w:ilvl w:val="0"/>
          <w:numId w:val="42"/>
        </w:numPr>
        <w:suppressAutoHyphens w:val="0"/>
        <w:ind w:left="567" w:hanging="567"/>
      </w:pPr>
      <w:r w:rsidRPr="00DF25E2">
        <w:t>Vytvořit strategii rozvoje agrárního sektoru do roku 2020 s přesahem do roku 2030.</w:t>
      </w:r>
    </w:p>
    <w:p w:rsidR="000E5274" w:rsidRDefault="000E5274" w:rsidP="000E5274">
      <w:pPr>
        <w:pStyle w:val="vet1"/>
        <w:numPr>
          <w:ilvl w:val="0"/>
          <w:numId w:val="42"/>
        </w:numPr>
        <w:suppressAutoHyphens w:val="0"/>
        <w:ind w:left="567" w:hanging="567"/>
      </w:pPr>
      <w:r>
        <w:t>Podporovat užší spolupráci se školami zařazenými do Trvalé vzdělávací základny MZe.</w:t>
      </w:r>
    </w:p>
    <w:p w:rsidR="000E5274" w:rsidRPr="00DF25E2" w:rsidRDefault="000E5274" w:rsidP="000E5274">
      <w:pPr>
        <w:pStyle w:val="vet1"/>
        <w:numPr>
          <w:ilvl w:val="0"/>
          <w:numId w:val="42"/>
        </w:numPr>
        <w:suppressAutoHyphens w:val="0"/>
        <w:ind w:left="567" w:hanging="567"/>
      </w:pPr>
      <w:r>
        <w:t>Podporovat vzdělávání pedagogů středních odborných škol v odborné rezortní problematice.</w:t>
      </w:r>
    </w:p>
    <w:p w:rsidR="000E5274" w:rsidRPr="004F5519" w:rsidRDefault="000E5274" w:rsidP="000E5274">
      <w:pPr>
        <w:pStyle w:val="vet1"/>
        <w:numPr>
          <w:ilvl w:val="0"/>
          <w:numId w:val="42"/>
        </w:numPr>
        <w:suppressAutoHyphens w:val="0"/>
        <w:ind w:left="567" w:hanging="567"/>
      </w:pPr>
      <w:r w:rsidRPr="0077796B">
        <w:t>Zajišťovat českým zemědělským podnikatelům v rámci projektu e-AGRI neustálý přísun potřebných informací a poskytování co možná nejširší komunikace s úřady státní správy v resortu zemědělství.</w:t>
      </w:r>
    </w:p>
    <w:p w:rsidR="000E5274" w:rsidRDefault="000E5274" w:rsidP="000E5274">
      <w:pPr>
        <w:pStyle w:val="vet1"/>
        <w:numPr>
          <w:ilvl w:val="0"/>
          <w:numId w:val="42"/>
        </w:numPr>
        <w:suppressAutoHyphens w:val="0"/>
        <w:ind w:left="567" w:hanging="567"/>
      </w:pPr>
      <w:r w:rsidRPr="0077796B">
        <w:t>Podporovat agropotravinářský export (know-how, komodity, technologie) z ČR do třetích zemí.</w:t>
      </w:r>
    </w:p>
    <w:p w:rsidR="000E5274" w:rsidRPr="0077796B" w:rsidRDefault="000E5274" w:rsidP="000E5274">
      <w:pPr>
        <w:pStyle w:val="vet1"/>
        <w:numPr>
          <w:ilvl w:val="0"/>
          <w:numId w:val="42"/>
        </w:numPr>
        <w:suppressAutoHyphens w:val="0"/>
        <w:ind w:left="567" w:hanging="567"/>
      </w:pPr>
      <w:r w:rsidRPr="0077796B">
        <w:t>Podporovat růst konkurenceschopnosti u všech typů a forem zemědělského podnikání ve spravedlivém podnikatelském prostředí.</w:t>
      </w:r>
    </w:p>
    <w:p w:rsidR="000E5274" w:rsidRPr="0077796B" w:rsidRDefault="000E5274" w:rsidP="000E5274">
      <w:pPr>
        <w:pStyle w:val="vet1"/>
        <w:numPr>
          <w:ilvl w:val="0"/>
          <w:numId w:val="42"/>
        </w:numPr>
        <w:suppressAutoHyphens w:val="0"/>
        <w:ind w:left="567" w:hanging="567"/>
      </w:pPr>
      <w:r w:rsidRPr="0077796B">
        <w:t>V souladu s připravovaným zjednodušováním SZP maximálně omezit administrativní požadavky na české zemědělské podnikatele a sníž</w:t>
      </w:r>
      <w:r>
        <w:t>it tak jejich administrativní a </w:t>
      </w:r>
      <w:r w:rsidRPr="0077796B">
        <w:t>byrokratickou zátěž.</w:t>
      </w:r>
    </w:p>
    <w:p w:rsidR="000E5274" w:rsidRPr="00402789" w:rsidRDefault="000E5274" w:rsidP="000E5274">
      <w:pPr>
        <w:pStyle w:val="vet1"/>
        <w:numPr>
          <w:ilvl w:val="0"/>
          <w:numId w:val="42"/>
        </w:numPr>
        <w:suppressAutoHyphens w:val="0"/>
        <w:ind w:left="567" w:hanging="567"/>
      </w:pPr>
      <w:r w:rsidRPr="0077796B">
        <w:t>Podporovat transfer výsledků tuzemského i nadnárodního evropského výzkumu do praxe v agrárním sektoru.</w:t>
      </w:r>
    </w:p>
    <w:p w:rsidR="00B05B4A" w:rsidRPr="001B1FDF" w:rsidRDefault="00B05B4A" w:rsidP="001B1FDF">
      <w:pPr>
        <w:pStyle w:val="Nadpis1"/>
      </w:pPr>
      <w:bookmarkStart w:id="16" w:name="_Toc424307007"/>
      <w:r w:rsidRPr="001B1FDF">
        <w:lastRenderedPageBreak/>
        <w:t>1</w:t>
      </w:r>
      <w:r w:rsidRPr="001B1FDF">
        <w:tab/>
        <w:t>Obecné podmínky vývoje agrárního sektoru a venkova ČR</w:t>
      </w:r>
      <w:bookmarkEnd w:id="16"/>
    </w:p>
    <w:p w:rsidR="00BF5C2F" w:rsidRPr="00AF6A57" w:rsidRDefault="00BF5C2F" w:rsidP="0046126F">
      <w:pPr>
        <w:pStyle w:val="souhrn-kap"/>
        <w:keepNext/>
      </w:pPr>
      <w:r w:rsidRPr="00AF6A57">
        <w:t>V roce 2014 česká ekonomika překonala dvouletou recesi a HDP proti roku 2013 vzrostl o 2 %. Podíl zemědělství na hrubé přidané hodnotě v běžných cenách přitom nepatrně vzrostl o 0,01 p. b., přestože ceny zemědělských výrobců poklesly o 3,7 %. Míra inflace se dále snížila na 0,4 % a koruna poměrně výrazně (o 6 %) oslabila vůči euru i vůči dolaru. Povětrnostní podmínky byly pro rostlinnou výrobu převážně příznivé a umožnily dosažení rekordních výnosů</w:t>
      </w:r>
      <w:r>
        <w:t>.</w:t>
      </w:r>
    </w:p>
    <w:p w:rsidR="00B05B4A" w:rsidRPr="001B1FDF" w:rsidRDefault="00B05B4A" w:rsidP="001B1FDF">
      <w:pPr>
        <w:pStyle w:val="Nadpis2"/>
      </w:pPr>
      <w:bookmarkStart w:id="17" w:name="_Toc424307008"/>
      <w:r w:rsidRPr="001B1FDF">
        <w:t>1.1</w:t>
      </w:r>
      <w:r w:rsidRPr="001B1FDF">
        <w:tab/>
        <w:t>Národní hospodářství ČR a pozice agrárního sektoru</w:t>
      </w:r>
      <w:bookmarkEnd w:id="17"/>
    </w:p>
    <w:p w:rsidR="00B05B4A" w:rsidRPr="001B1FDF" w:rsidRDefault="00B05B4A" w:rsidP="001B1FDF">
      <w:pPr>
        <w:pStyle w:val="Nadpis3"/>
      </w:pPr>
      <w:bookmarkStart w:id="18" w:name="_Toc424307009"/>
      <w:r w:rsidRPr="001B1FDF">
        <w:t>1.1.1</w:t>
      </w:r>
      <w:r w:rsidRPr="001B1FDF">
        <w:tab/>
        <w:t>Vývoj národního hospodářství</w:t>
      </w:r>
      <w:bookmarkEnd w:id="18"/>
    </w:p>
    <w:p w:rsidR="00B05B4A" w:rsidRPr="00631876" w:rsidRDefault="00B05B4A" w:rsidP="00242EDF">
      <w:r w:rsidRPr="00304C75">
        <w:t>V roce 201</w:t>
      </w:r>
      <w:r>
        <w:t>4</w:t>
      </w:r>
      <w:r w:rsidRPr="00304C75">
        <w:t xml:space="preserve"> došlo v ČR k</w:t>
      </w:r>
      <w:r>
        <w:t> </w:t>
      </w:r>
      <w:r w:rsidRPr="00304C75">
        <w:t>p</w:t>
      </w:r>
      <w:r>
        <w:t>řekonání dva roky trvající ekonomické recese a</w:t>
      </w:r>
      <w:r w:rsidRPr="00304C75">
        <w:t xml:space="preserve"> HDP meziročně ve stálých cenách </w:t>
      </w:r>
      <w:r>
        <w:t>vzrostl o</w:t>
      </w:r>
      <w:r w:rsidRPr="00304C75">
        <w:t xml:space="preserve"> </w:t>
      </w:r>
      <w:r>
        <w:t>2,0</w:t>
      </w:r>
      <w:r w:rsidRPr="00CB0C53">
        <w:t> %</w:t>
      </w:r>
      <w:r>
        <w:t xml:space="preserve">. </w:t>
      </w:r>
      <w:r w:rsidRPr="00EB0541">
        <w:t xml:space="preserve">Reálný růst HDP byl v roce 2014 v ČR vyšší, než jaký </w:t>
      </w:r>
      <w:r w:rsidRPr="00631876">
        <w:t>vykázaly státy eurozóny</w:t>
      </w:r>
      <w:r w:rsidRPr="00631876">
        <w:rPr>
          <w:i/>
          <w:sz w:val="20"/>
          <w:vertAlign w:val="superscript"/>
        </w:rPr>
        <w:footnoteReference w:id="6"/>
      </w:r>
      <w:r w:rsidRPr="00631876">
        <w:t xml:space="preserve"> (0,9 %), i než jaký vykázala EU 28 jako celek (1,3 %).</w:t>
      </w:r>
    </w:p>
    <w:p w:rsidR="00B05B4A" w:rsidRPr="00631876" w:rsidRDefault="00B05B4A" w:rsidP="00242EDF">
      <w:pPr>
        <w:pStyle w:val="mezera"/>
      </w:pPr>
    </w:p>
    <w:p w:rsidR="00B05B4A" w:rsidRPr="00631876" w:rsidRDefault="001E1D04" w:rsidP="00242EDF">
      <w:pPr>
        <w:pStyle w:val="mezera"/>
      </w:pPr>
      <w:r w:rsidRPr="001E1D04">
        <w:rPr>
          <w:noProof/>
          <w:lang w:eastAsia="cs-CZ"/>
        </w:rPr>
        <w:drawing>
          <wp:inline distT="0" distB="0" distL="0" distR="0" wp14:anchorId="5F064411" wp14:editId="0E6E23C2">
            <wp:extent cx="5760720" cy="424114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241147"/>
                    </a:xfrm>
                    <a:prstGeom prst="rect">
                      <a:avLst/>
                    </a:prstGeom>
                    <a:noFill/>
                    <a:ln>
                      <a:noFill/>
                    </a:ln>
                  </pic:spPr>
                </pic:pic>
              </a:graphicData>
            </a:graphic>
          </wp:inline>
        </w:drawing>
      </w:r>
    </w:p>
    <w:p w:rsidR="00B05B4A" w:rsidRPr="00631876" w:rsidRDefault="00B05B4A" w:rsidP="00242EDF">
      <w:pPr>
        <w:pStyle w:val="mezera"/>
      </w:pPr>
    </w:p>
    <w:p w:rsidR="00B05B4A" w:rsidRPr="000A1711" w:rsidRDefault="00B05B4A" w:rsidP="00242EDF">
      <w:r w:rsidRPr="00631876">
        <w:lastRenderedPageBreak/>
        <w:t>Podle údajů Eurostatu dosáhla ČR v roce 2013 úrovně 82 % průměrného HDP</w:t>
      </w:r>
      <w:r w:rsidRPr="00175243">
        <w:t xml:space="preserve"> na obyvatele</w:t>
      </w:r>
      <w:r w:rsidRPr="002074FB">
        <w:t xml:space="preserve"> za EU 28</w:t>
      </w:r>
      <w:r>
        <w:rPr>
          <w:rStyle w:val="Znakapoznpodarou"/>
        </w:rPr>
        <w:footnoteReference w:id="7"/>
      </w:r>
      <w:r>
        <w:t xml:space="preserve"> vyjádřeného </w:t>
      </w:r>
      <w:r w:rsidRPr="00175243">
        <w:t>v paritě kupní síly</w:t>
      </w:r>
      <w:r>
        <w:t xml:space="preserve">. Při přepočtu HDP na euro na obyvatele dosáhla ČR v roce 2013 úrovně ve výši 56 % průměru EU 28, v roce 2014 pak </w:t>
      </w:r>
      <w:r w:rsidRPr="000A1711">
        <w:t>54 %, což souvisí s oslabením koruny vůči euru po intervenci ČNB v listopadu 2013.</w:t>
      </w:r>
    </w:p>
    <w:p w:rsidR="00B05B4A" w:rsidRPr="00D44183" w:rsidRDefault="00B05B4A" w:rsidP="00242EDF">
      <w:r w:rsidRPr="00D44183">
        <w:t xml:space="preserve">Na poptávkové straně se na celkovém ekonomickém růstu </w:t>
      </w:r>
      <w:r>
        <w:t xml:space="preserve">na úrovni 2,0 % </w:t>
      </w:r>
      <w:r w:rsidRPr="00D44183">
        <w:t>v roce 201</w:t>
      </w:r>
      <w:r>
        <w:t>4</w:t>
      </w:r>
      <w:r w:rsidRPr="00D44183">
        <w:t xml:space="preserve"> ve stálých cenách po </w:t>
      </w:r>
      <w:r w:rsidR="005227F9">
        <w:t>sezon</w:t>
      </w:r>
      <w:r w:rsidRPr="00D44183">
        <w:t xml:space="preserve">ním očištění podílel především zahraniční obchod meziročním zvýšením vývozu zboží a služeb o </w:t>
      </w:r>
      <w:r>
        <w:t>8,8</w:t>
      </w:r>
      <w:r w:rsidRPr="00D44183">
        <w:t xml:space="preserve"> % a dovozu o </w:t>
      </w:r>
      <w:r>
        <w:t>9,6</w:t>
      </w:r>
      <w:r w:rsidRPr="00D44183">
        <w:t xml:space="preserve"> %</w:t>
      </w:r>
      <w:r>
        <w:t xml:space="preserve">, dále </w:t>
      </w:r>
      <w:r w:rsidRPr="00D44183">
        <w:t xml:space="preserve">tvorba hrubého kapitálu, která se meziročně </w:t>
      </w:r>
      <w:r>
        <w:t>zvýš</w:t>
      </w:r>
      <w:r w:rsidRPr="00D44183">
        <w:t>ila o </w:t>
      </w:r>
      <w:r>
        <w:t>3,0</w:t>
      </w:r>
      <w:r w:rsidRPr="00D44183">
        <w:t xml:space="preserve"> %, výdaje </w:t>
      </w:r>
      <w:r w:rsidRPr="00F94596">
        <w:t>vládních institucí</w:t>
      </w:r>
      <w:r w:rsidRPr="00D44183">
        <w:t xml:space="preserve">, které se </w:t>
      </w:r>
      <w:r>
        <w:t>zvýši</w:t>
      </w:r>
      <w:r w:rsidRPr="00D44183">
        <w:t>ly meziročně o </w:t>
      </w:r>
      <w:r>
        <w:t>2,3</w:t>
      </w:r>
      <w:r w:rsidRPr="00D44183">
        <w:t xml:space="preserve"> % </w:t>
      </w:r>
      <w:r>
        <w:t xml:space="preserve">a </w:t>
      </w:r>
      <w:r w:rsidRPr="00D44183">
        <w:t>výdaje</w:t>
      </w:r>
      <w:r w:rsidRPr="00F94596">
        <w:t xml:space="preserve"> domácností</w:t>
      </w:r>
      <w:r w:rsidRPr="00D44183">
        <w:t>, které se zvýšily o 1,</w:t>
      </w:r>
      <w:r>
        <w:t>7</w:t>
      </w:r>
      <w:r w:rsidRPr="00D44183">
        <w:t xml:space="preserve"> %.</w:t>
      </w:r>
      <w:r>
        <w:t xml:space="preserve"> </w:t>
      </w:r>
      <w:r w:rsidRPr="00D44183">
        <w:t xml:space="preserve">Na nabídkové straně ekonomiky </w:t>
      </w:r>
      <w:r>
        <w:t>vzrostla</w:t>
      </w:r>
      <w:r w:rsidRPr="00D44183">
        <w:t xml:space="preserve"> </w:t>
      </w:r>
      <w:r>
        <w:t xml:space="preserve">v roce 2014 </w:t>
      </w:r>
      <w:r w:rsidRPr="00D44183">
        <w:t>HPH v</w:t>
      </w:r>
      <w:r>
        <w:t xml:space="preserve"> základních</w:t>
      </w:r>
      <w:r w:rsidRPr="00D44183">
        <w:t xml:space="preserve"> stálých cenách po </w:t>
      </w:r>
      <w:r w:rsidR="005227F9">
        <w:t>sezon</w:t>
      </w:r>
      <w:r w:rsidRPr="00D44183">
        <w:t>ním očištění o </w:t>
      </w:r>
      <w:r>
        <w:t>2,6</w:t>
      </w:r>
      <w:r w:rsidRPr="00D44183">
        <w:t xml:space="preserve"> %, přičemž nejvíce </w:t>
      </w:r>
      <w:r>
        <w:t>vzrostla</w:t>
      </w:r>
      <w:r w:rsidRPr="00D44183">
        <w:t xml:space="preserve"> HPH </w:t>
      </w:r>
      <w:r>
        <w:t xml:space="preserve">zpracovatelského průmyslu a </w:t>
      </w:r>
      <w:r w:rsidRPr="00D44183">
        <w:t xml:space="preserve">zemědělství, lesnictví a rybářství, a to </w:t>
      </w:r>
      <w:r>
        <w:t xml:space="preserve">shodně </w:t>
      </w:r>
      <w:r w:rsidRPr="00D44183">
        <w:t>o </w:t>
      </w:r>
      <w:r>
        <w:t>6</w:t>
      </w:r>
      <w:r w:rsidRPr="00D44183">
        <w:t>,</w:t>
      </w:r>
      <w:r>
        <w:t>0</w:t>
      </w:r>
      <w:r w:rsidRPr="00D44183">
        <w:t xml:space="preserve"> %. </w:t>
      </w:r>
      <w:r>
        <w:t xml:space="preserve">Naopak nejvíce se snížila </w:t>
      </w:r>
      <w:r w:rsidRPr="00D44183">
        <w:t xml:space="preserve">HPH </w:t>
      </w:r>
      <w:r>
        <w:t>peněžnictví a pojišťovnictví, a to</w:t>
      </w:r>
      <w:r w:rsidRPr="00D44183">
        <w:t xml:space="preserve"> </w:t>
      </w:r>
      <w:r>
        <w:t>na</w:t>
      </w:r>
      <w:r w:rsidRPr="00D44183">
        <w:t xml:space="preserve"> 9</w:t>
      </w:r>
      <w:r>
        <w:t>7</w:t>
      </w:r>
      <w:r w:rsidRPr="00D44183">
        <w:t>,</w:t>
      </w:r>
      <w:r>
        <w:t>0</w:t>
      </w:r>
      <w:r w:rsidRPr="00D44183">
        <w:t> % úrovně roku 201</w:t>
      </w:r>
      <w:r>
        <w:t>3</w:t>
      </w:r>
      <w:r w:rsidRPr="00D44183">
        <w:t>.</w:t>
      </w:r>
    </w:p>
    <w:p w:rsidR="00B05B4A" w:rsidRPr="00E96CC2" w:rsidRDefault="00B05B4A" w:rsidP="00242EDF">
      <w:r>
        <w:t>Běžný účet platební bilance v roce 2014 byl poprvé od roku 1993 kladný, a to s přebytkem ve výši 26,1 mld. Kč.</w:t>
      </w:r>
      <w:r w:rsidRPr="00E96CC2">
        <w:t xml:space="preserve"> </w:t>
      </w:r>
      <w:r>
        <w:t>B</w:t>
      </w:r>
      <w:r w:rsidRPr="00E96CC2">
        <w:t xml:space="preserve">ilance </w:t>
      </w:r>
      <w:r>
        <w:t>obchodu se zbožím</w:t>
      </w:r>
      <w:r w:rsidRPr="00E96CC2">
        <w:t xml:space="preserve"> dosáhla hodnoty</w:t>
      </w:r>
      <w:r>
        <w:t xml:space="preserve"> 238,9 mld. Kč, což je</w:t>
      </w:r>
      <w:r w:rsidRPr="00E96CC2">
        <w:t xml:space="preserve"> nejvyšší přebyt</w:t>
      </w:r>
      <w:r>
        <w:t>e</w:t>
      </w:r>
      <w:r w:rsidRPr="00E96CC2">
        <w:t>k v historii samostatné ČR</w:t>
      </w:r>
      <w:r>
        <w:t xml:space="preserve">, </w:t>
      </w:r>
      <w:r w:rsidRPr="00E96CC2">
        <w:t>při meziročním zvýšení o </w:t>
      </w:r>
      <w:r>
        <w:t>71,9</w:t>
      </w:r>
      <w:r w:rsidRPr="00E96CC2">
        <w:t> mld. Kč</w:t>
      </w:r>
      <w:r w:rsidRPr="00C5753C">
        <w:rPr>
          <w:rStyle w:val="Znakapoznpodarou"/>
        </w:rPr>
        <w:footnoteReference w:id="8"/>
      </w:r>
      <w:r w:rsidRPr="00E96CC2">
        <w:t>. Této bilance bylo dosaženo při meziročním nárůstu vývozů o </w:t>
      </w:r>
      <w:r>
        <w:t>362 mld. Kč a </w:t>
      </w:r>
      <w:r w:rsidRPr="00E96CC2">
        <w:t>současném růstu dovozů o </w:t>
      </w:r>
      <w:r>
        <w:t>290</w:t>
      </w:r>
      <w:r w:rsidRPr="00E96CC2">
        <w:t> mld. Kč.</w:t>
      </w:r>
    </w:p>
    <w:p w:rsidR="00B05B4A" w:rsidRPr="002111C8" w:rsidRDefault="00B05B4A" w:rsidP="00242EDF">
      <w:r w:rsidRPr="002111C8">
        <w:t xml:space="preserve">Obecná míra nezaměstnanosti </w:t>
      </w:r>
      <w:r>
        <w:t xml:space="preserve">se </w:t>
      </w:r>
      <w:r w:rsidRPr="002111C8">
        <w:t>v roce 201</w:t>
      </w:r>
      <w:r>
        <w:t>4</w:t>
      </w:r>
      <w:r w:rsidRPr="002111C8">
        <w:t xml:space="preserve"> proti roku 201</w:t>
      </w:r>
      <w:r>
        <w:t>3</w:t>
      </w:r>
      <w:r w:rsidRPr="002111C8">
        <w:t xml:space="preserve"> </w:t>
      </w:r>
      <w:r>
        <w:t>snížila o 0,9 p. b. a </w:t>
      </w:r>
      <w:r w:rsidRPr="002111C8">
        <w:t xml:space="preserve">v celoročním průměru činila </w:t>
      </w:r>
      <w:r>
        <w:t>6,1</w:t>
      </w:r>
      <w:r w:rsidRPr="002111C8">
        <w:t> %. Nezaměstnanost měla přitom v průběhu roku 201</w:t>
      </w:r>
      <w:r>
        <w:t>4</w:t>
      </w:r>
      <w:r w:rsidRPr="002111C8">
        <w:t xml:space="preserve"> spíše klesající trend. Průměrná míra nezaměstnanosti byla i v roce 201</w:t>
      </w:r>
      <w:r>
        <w:t>4</w:t>
      </w:r>
      <w:r w:rsidRPr="002111C8">
        <w:t xml:space="preserve"> v ČR významně nižší než průměr všech členských států EU (10,</w:t>
      </w:r>
      <w:r>
        <w:t>2</w:t>
      </w:r>
      <w:r w:rsidRPr="002111C8">
        <w:t> %) i eurozóny (</w:t>
      </w:r>
      <w:r>
        <w:t>11,6</w:t>
      </w:r>
      <w:r w:rsidRPr="002111C8">
        <w:t> %), kde v roce 201</w:t>
      </w:r>
      <w:r>
        <w:t>4</w:t>
      </w:r>
      <w:r w:rsidRPr="002111C8">
        <w:t xml:space="preserve"> došlo </w:t>
      </w:r>
      <w:r>
        <w:t xml:space="preserve">rovněž </w:t>
      </w:r>
      <w:r w:rsidRPr="002111C8">
        <w:t>k </w:t>
      </w:r>
      <w:r>
        <w:t>poklesu</w:t>
      </w:r>
      <w:r w:rsidRPr="002111C8">
        <w:t xml:space="preserve"> míry nezaměstnanosti</w:t>
      </w:r>
      <w:r>
        <w:t>, a to</w:t>
      </w:r>
      <w:r w:rsidRPr="002111C8">
        <w:t xml:space="preserve"> o 0,</w:t>
      </w:r>
      <w:r>
        <w:t>6</w:t>
      </w:r>
      <w:r w:rsidRPr="002111C8">
        <w:t xml:space="preserve"> p. b. v celé</w:t>
      </w:r>
      <w:r>
        <w:t xml:space="preserve"> </w:t>
      </w:r>
      <w:r w:rsidRPr="002111C8">
        <w:t>EU 28, resp. o 0,</w:t>
      </w:r>
      <w:r>
        <w:t>4</w:t>
      </w:r>
      <w:r w:rsidRPr="002111C8">
        <w:t xml:space="preserve"> p. b. </w:t>
      </w:r>
      <w:r>
        <w:t xml:space="preserve">v </w:t>
      </w:r>
      <w:r w:rsidRPr="002111C8">
        <w:t>eurozón</w:t>
      </w:r>
      <w:r>
        <w:t>ě</w:t>
      </w:r>
      <w:r w:rsidRPr="002111C8">
        <w:t xml:space="preserve"> ve srovnání s rokem 201</w:t>
      </w:r>
      <w:r>
        <w:t>3</w:t>
      </w:r>
      <w:r w:rsidRPr="002111C8">
        <w:t>. Průměrná hrubá nominální měsíční mzda</w:t>
      </w:r>
      <w:r w:rsidRPr="00C5753C">
        <w:rPr>
          <w:rStyle w:val="Znakapoznpodarou"/>
        </w:rPr>
        <w:footnoteReference w:id="9"/>
      </w:r>
      <w:r w:rsidRPr="002111C8">
        <w:t xml:space="preserve"> dosáhla v roce 201</w:t>
      </w:r>
      <w:r>
        <w:t>4</w:t>
      </w:r>
      <w:r w:rsidRPr="002111C8">
        <w:t xml:space="preserve"> úrovně 25</w:t>
      </w:r>
      <w:r>
        <w:t> 686 Kč</w:t>
      </w:r>
      <w:r w:rsidRPr="002111C8">
        <w:t>, čímž se meziročně zvýšila o </w:t>
      </w:r>
      <w:r>
        <w:t>2</w:t>
      </w:r>
      <w:r w:rsidRPr="002111C8">
        <w:t>,</w:t>
      </w:r>
      <w:r>
        <w:t>4</w:t>
      </w:r>
      <w:r w:rsidRPr="002111C8">
        <w:t xml:space="preserve"> %. Při zohlednění míry inflace reálné mzdy </w:t>
      </w:r>
      <w:r>
        <w:t>vzrostl</w:t>
      </w:r>
      <w:r w:rsidRPr="002111C8">
        <w:t>y o </w:t>
      </w:r>
      <w:r>
        <w:t>2</w:t>
      </w:r>
      <w:r w:rsidRPr="002111C8">
        <w:t>,</w:t>
      </w:r>
      <w:r>
        <w:t>0</w:t>
      </w:r>
      <w:r w:rsidRPr="002111C8">
        <w:t xml:space="preserve"> %. </w:t>
      </w:r>
      <w:r>
        <w:t>Průměrná hrubá nominální mzda narostla v roce 2014 meziročně stejným podílem ve výši 2,4 % jak v podnikatelské, tak v nepodnikatelské sféře.</w:t>
      </w:r>
    </w:p>
    <w:p w:rsidR="00B05B4A" w:rsidRPr="00631876" w:rsidRDefault="00B05B4A" w:rsidP="00242EDF">
      <w:r w:rsidRPr="00631876">
        <w:t>Deficit sektoru vládních institucí vyjádřený podílem na HDP se v roce 2014 meziročně prohloubil o 0,</w:t>
      </w:r>
      <w:r>
        <w:t>84</w:t>
      </w:r>
      <w:r w:rsidRPr="00631876">
        <w:t> p. b.</w:t>
      </w:r>
    </w:p>
    <w:p w:rsidR="00B05B4A" w:rsidRDefault="00B05B4A" w:rsidP="00242EDF">
      <w:r w:rsidRPr="00083EB7">
        <w:t>Míra inflace za rok 2014 činila 0,4 %, čímž meziročně poklesla o 1 p. b. Cenový růst byl nejvyšší u odívání a obuvi (o 3,0 %), alkoholických nápojů a tabáku (o 2,8 %), potravin</w:t>
      </w:r>
      <w:r>
        <w:t xml:space="preserve"> a </w:t>
      </w:r>
      <w:r w:rsidRPr="00083EB7">
        <w:t>nealkoholických nápojů (o 2,0 %), dále v oblasti stravování a ubytování (o 1,7 %), v</w:t>
      </w:r>
      <w:r>
        <w:t>e</w:t>
      </w:r>
      <w:r w:rsidRPr="00083EB7">
        <w:t xml:space="preserve"> </w:t>
      </w:r>
      <w:r w:rsidRPr="00083EB7">
        <w:lastRenderedPageBreak/>
        <w:t>vzdělávání (o 1,3 %), v rekreaci a kultuře (o 0,4 %) a v dopravě (o 0,2 %). Naopak k poklesu cen došlo nejvýrazněji u pošt a telekomunikací (o 5,3 %), dále v oblasti zdraví (o 1,8 %)</w:t>
      </w:r>
      <w:r>
        <w:t>, u </w:t>
      </w:r>
      <w:r w:rsidRPr="00083EB7">
        <w:t>bydlení, vody, energie a paliv (o 1,4 %) a v oblasti bytového vybavení, zařízení domácností a oprav (o 0,7 %). Úrokové sazby korunových úvěrů poskytnutých nefinančním podnikům v průměru klesly o 0,</w:t>
      </w:r>
      <w:r>
        <w:t>2</w:t>
      </w:r>
      <w:r w:rsidRPr="00083EB7">
        <w:t xml:space="preserve"> p. b. Průměrný nominální devizový kurz české koruny v roce 2014 proti roku 2013 poklesl vůči euru </w:t>
      </w:r>
      <w:r>
        <w:t xml:space="preserve">i vůči dolaru </w:t>
      </w:r>
      <w:r w:rsidRPr="00083EB7">
        <w:t>o </w:t>
      </w:r>
      <w:r>
        <w:t>6,0</w:t>
      </w:r>
      <w:r w:rsidRPr="00083EB7">
        <w:t> %</w:t>
      </w:r>
      <w:r>
        <w:t>.</w:t>
      </w:r>
      <w:r w:rsidRPr="00083EB7">
        <w:t xml:space="preserve"> Kurz koruny vůči euru </w:t>
      </w:r>
      <w:r>
        <w:t>v průběhu roku 2014 víceméně stagnoval, proti dolaru potom koruna v průběhu roku spíše oslabovala.</w:t>
      </w:r>
      <w:r w:rsidRPr="009967DB">
        <w:t xml:space="preserve"> </w:t>
      </w:r>
      <w:r>
        <w:t>Oslabení koruny vůči euru</w:t>
      </w:r>
      <w:r w:rsidRPr="009967DB">
        <w:t xml:space="preserve"> mělo pozitivní vliv na objem </w:t>
      </w:r>
      <w:r>
        <w:t xml:space="preserve">v korunách </w:t>
      </w:r>
      <w:r w:rsidRPr="009967DB">
        <w:t>vyplácených podpor</w:t>
      </w:r>
      <w:r>
        <w:t xml:space="preserve"> z prostředků EU.</w:t>
      </w:r>
    </w:p>
    <w:p w:rsidR="00B05B4A" w:rsidRPr="001B1FDF" w:rsidRDefault="00B05B4A" w:rsidP="001B1FDF">
      <w:pPr>
        <w:pStyle w:val="Nadpis3"/>
      </w:pPr>
      <w:bookmarkStart w:id="19" w:name="_Toc424307010"/>
      <w:r w:rsidRPr="001B1FDF">
        <w:t>1.1.2</w:t>
      </w:r>
      <w:r w:rsidRPr="001B1FDF">
        <w:tab/>
        <w:t>Pozice agrárního sektoru</w:t>
      </w:r>
      <w:bookmarkEnd w:id="19"/>
    </w:p>
    <w:p w:rsidR="00B05B4A" w:rsidRDefault="00B05B4A" w:rsidP="00242EDF">
      <w:r w:rsidRPr="00A32E91">
        <w:t>Odvětví zemědělství se podílelo podle statistiky národních účtů v roce 201</w:t>
      </w:r>
      <w:r>
        <w:t>4</w:t>
      </w:r>
      <w:r w:rsidRPr="00A32E91">
        <w:t xml:space="preserve"> na celkové tvorbě HPH v</w:t>
      </w:r>
      <w:r>
        <w:t> základních b. c.</w:t>
      </w:r>
      <w:r>
        <w:rPr>
          <w:rStyle w:val="Znakapoznpodarou"/>
        </w:rPr>
        <w:footnoteReference w:id="10"/>
      </w:r>
      <w:r w:rsidRPr="00A32E91">
        <w:t xml:space="preserve"> 1,</w:t>
      </w:r>
      <w:r>
        <w:t>82</w:t>
      </w:r>
      <w:r w:rsidRPr="00A32E91">
        <w:t> %, což představuje meziroční nepatrný nárůst o 0,0</w:t>
      </w:r>
      <w:r>
        <w:t>1</w:t>
      </w:r>
      <w:r w:rsidRPr="00A32E91">
        <w:t> p. b. (tab. T1/1.02 a </w:t>
      </w:r>
      <w:proofErr w:type="spellStart"/>
      <w:r w:rsidRPr="00A32E91">
        <w:t>příl</w:t>
      </w:r>
      <w:proofErr w:type="spellEnd"/>
      <w:r w:rsidRPr="00A32E91">
        <w:t xml:space="preserve">. tab. 1/1.01). V případě potravinářského průmyslu </w:t>
      </w:r>
      <w:r>
        <w:t>se</w:t>
      </w:r>
      <w:r w:rsidRPr="00A32E91">
        <w:t xml:space="preserve"> </w:t>
      </w:r>
      <w:r>
        <w:t xml:space="preserve">naproti tomu </w:t>
      </w:r>
      <w:r w:rsidRPr="00A32E91">
        <w:t>podíl na celkové tvorbě HPH</w:t>
      </w:r>
      <w:r>
        <w:t xml:space="preserve"> snížil o 0,02 p. b. na 2,25 %</w:t>
      </w:r>
      <w:r w:rsidRPr="00A32E91">
        <w:t>. Při vyjádření HPH ve s. c. roku 20</w:t>
      </w:r>
      <w:r>
        <w:t>10</w:t>
      </w:r>
      <w:r w:rsidRPr="00A32E91">
        <w:t xml:space="preserve"> </w:t>
      </w:r>
      <w:r>
        <w:t xml:space="preserve">vzrostl </w:t>
      </w:r>
      <w:r w:rsidRPr="00A32E91">
        <w:t>uvedený podíl v případě odvětví zemědělství o 0,</w:t>
      </w:r>
      <w:r>
        <w:t>05</w:t>
      </w:r>
      <w:r w:rsidRPr="00A32E91">
        <w:t xml:space="preserve"> p. b. a u potravinářského průmyslu </w:t>
      </w:r>
      <w:r>
        <w:t>došlo k poklesu</w:t>
      </w:r>
      <w:r w:rsidRPr="00A32E91">
        <w:t xml:space="preserve"> o 0,03 p. b. Vývoj cen zemědělských výrobců v roce 201</w:t>
      </w:r>
      <w:r>
        <w:t>4</w:t>
      </w:r>
      <w:r w:rsidRPr="00A32E91">
        <w:t xml:space="preserve"> vykázal meziroční </w:t>
      </w:r>
      <w:r>
        <w:t>pokles</w:t>
      </w:r>
      <w:r w:rsidRPr="00A32E91">
        <w:t xml:space="preserve"> o </w:t>
      </w:r>
      <w:r>
        <w:t>3,7</w:t>
      </w:r>
      <w:r w:rsidRPr="00A32E91">
        <w:t> %</w:t>
      </w:r>
      <w:r>
        <w:rPr>
          <w:rStyle w:val="Znakapoznpodarou"/>
        </w:rPr>
        <w:footnoteReference w:id="11"/>
      </w:r>
      <w:r w:rsidRPr="00A32E91">
        <w:t xml:space="preserve">, </w:t>
      </w:r>
      <w:r>
        <w:t>což je větší pokles, než jaký zaznamenaly ceny vstupů do zemědělství (</w:t>
      </w:r>
      <w:r>
        <w:noBreakHyphen/>
        <w:t>1,3 %).</w:t>
      </w:r>
    </w:p>
    <w:p w:rsidR="00B05B4A" w:rsidRPr="00A32E91" w:rsidRDefault="00B05B4A" w:rsidP="00242EDF">
      <w:pPr>
        <w:pStyle w:val="mezera"/>
      </w:pPr>
    </w:p>
    <w:p w:rsidR="00B05B4A" w:rsidRPr="00A32E91" w:rsidRDefault="00CA25A5" w:rsidP="00242EDF">
      <w:pPr>
        <w:pStyle w:val="mezera"/>
      </w:pPr>
      <w:r w:rsidRPr="00CA25A5">
        <w:rPr>
          <w:noProof/>
          <w:lang w:eastAsia="cs-CZ"/>
        </w:rPr>
        <w:lastRenderedPageBreak/>
        <w:drawing>
          <wp:inline distT="0" distB="0" distL="0" distR="0" wp14:anchorId="325E8C50" wp14:editId="7039B3CC">
            <wp:extent cx="5760720" cy="4389496"/>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89496"/>
                    </a:xfrm>
                    <a:prstGeom prst="rect">
                      <a:avLst/>
                    </a:prstGeom>
                    <a:noFill/>
                    <a:ln>
                      <a:noFill/>
                    </a:ln>
                  </pic:spPr>
                </pic:pic>
              </a:graphicData>
            </a:graphic>
          </wp:inline>
        </w:drawing>
      </w:r>
    </w:p>
    <w:p w:rsidR="00B05B4A" w:rsidRPr="000A1711" w:rsidRDefault="00B05B4A" w:rsidP="000A1711">
      <w:pPr>
        <w:pStyle w:val="mezera"/>
      </w:pPr>
    </w:p>
    <w:p w:rsidR="00B05B4A" w:rsidRPr="00906391" w:rsidRDefault="00B05B4A" w:rsidP="00242EDF">
      <w:r w:rsidRPr="00906391">
        <w:t xml:space="preserve">Podíl agrárního vývozu na celkovém vývozu se </w:t>
      </w:r>
      <w:r>
        <w:t xml:space="preserve">v roce 2014 </w:t>
      </w:r>
      <w:r w:rsidRPr="00906391">
        <w:t xml:space="preserve">meziročně </w:t>
      </w:r>
      <w:r>
        <w:t xml:space="preserve">nepatrně snížil </w:t>
      </w:r>
      <w:r w:rsidR="00EE4AD5">
        <w:t>a </w:t>
      </w:r>
      <w:r w:rsidRPr="00906391">
        <w:t>činil 5,0 %</w:t>
      </w:r>
      <w:r>
        <w:t>. Podíl agrárního dovozu na celkovém dovozu se rovněž snížil, a to na 6,2 %.</w:t>
      </w:r>
      <w:r w:rsidRPr="00906391">
        <w:t xml:space="preserve"> Agrární vývoz se </w:t>
      </w:r>
      <w:r>
        <w:t xml:space="preserve">přitom </w:t>
      </w:r>
      <w:r w:rsidRPr="00906391">
        <w:t>v roce 201</w:t>
      </w:r>
      <w:r>
        <w:t>4</w:t>
      </w:r>
      <w:r w:rsidRPr="00906391">
        <w:t xml:space="preserve"> zvýšil proti roku 201</w:t>
      </w:r>
      <w:r>
        <w:t>3</w:t>
      </w:r>
      <w:r w:rsidRPr="00906391">
        <w:t xml:space="preserve"> o </w:t>
      </w:r>
      <w:r>
        <w:t>11,8</w:t>
      </w:r>
      <w:r w:rsidRPr="00906391">
        <w:t> % a agrární dovoz narostl o </w:t>
      </w:r>
      <w:r>
        <w:t>7,1</w:t>
      </w:r>
      <w:r w:rsidRPr="00906391">
        <w:t xml:space="preserve"> %. Následkem </w:t>
      </w:r>
      <w:r>
        <w:t>toho</w:t>
      </w:r>
      <w:r w:rsidRPr="00906391">
        <w:t xml:space="preserve"> se bilanční schodek AZO</w:t>
      </w:r>
      <w:r>
        <w:t xml:space="preserve"> v roce 2014 </w:t>
      </w:r>
      <w:r w:rsidRPr="00906391">
        <w:t>meziročně snížil o </w:t>
      </w:r>
      <w:r>
        <w:t>téměř</w:t>
      </w:r>
      <w:r w:rsidRPr="00906391">
        <w:t xml:space="preserve"> </w:t>
      </w:r>
      <w:r>
        <w:t>6</w:t>
      </w:r>
      <w:r w:rsidRPr="00906391">
        <w:t xml:space="preserve"> mld. Kč na úroveň </w:t>
      </w:r>
      <w:r>
        <w:t>18,2</w:t>
      </w:r>
      <w:r w:rsidRPr="00906391">
        <w:t xml:space="preserve"> mld. Kč. Současně opětovně došlo ke zvýšení stupně krytí agrárních dovozů vývozy na </w:t>
      </w:r>
      <w:r>
        <w:t>91</w:t>
      </w:r>
      <w:r w:rsidRPr="00906391">
        <w:t> %.</w:t>
      </w:r>
    </w:p>
    <w:p w:rsidR="00B05B4A" w:rsidRPr="00C12DCC" w:rsidRDefault="00B05B4A" w:rsidP="00242EDF">
      <w:r w:rsidRPr="00C12DCC">
        <w:t xml:space="preserve">Podíl výdajů domácností za potraviny, nápoje a tabákové výrobky na celkových výdajích za zboží a služby se podle čtvrtletních údajů </w:t>
      </w:r>
      <w:r>
        <w:t xml:space="preserve">statistiky rodinných účtů ČSÚ </w:t>
      </w:r>
      <w:r w:rsidRPr="00C12DCC">
        <w:t>v roce 201</w:t>
      </w:r>
      <w:r>
        <w:t>4</w:t>
      </w:r>
      <w:r w:rsidRPr="00C12DCC">
        <w:t xml:space="preserve"> v ČR ve srovnání s rokem 201</w:t>
      </w:r>
      <w:r>
        <w:t xml:space="preserve">3 </w:t>
      </w:r>
      <w:r w:rsidRPr="00C12DCC">
        <w:t>zvýšil o 0,2 p. b. na 23,</w:t>
      </w:r>
      <w:r>
        <w:t>2</w:t>
      </w:r>
      <w:r w:rsidRPr="00C12DCC">
        <w:t xml:space="preserve"> %, přičemž </w:t>
      </w:r>
      <w:r w:rsidRPr="0062620F">
        <w:t xml:space="preserve">se </w:t>
      </w:r>
      <w:r w:rsidRPr="00C12DCC">
        <w:t xml:space="preserve">zvýšení týkalo </w:t>
      </w:r>
      <w:r>
        <w:t xml:space="preserve">jak podílu </w:t>
      </w:r>
      <w:r w:rsidRPr="00C12DCC">
        <w:t>samotných výdajů za potraviny a nealkoholické nápoje, kter</w:t>
      </w:r>
      <w:r>
        <w:t>ý</w:t>
      </w:r>
      <w:r w:rsidRPr="00C12DCC">
        <w:t xml:space="preserve"> </w:t>
      </w:r>
      <w:r>
        <w:t>se zvýšil o 0,1 p. b. a </w:t>
      </w:r>
      <w:r w:rsidRPr="00C12DCC">
        <w:t>představoval</w:t>
      </w:r>
      <w:r>
        <w:t xml:space="preserve"> </w:t>
      </w:r>
      <w:r w:rsidRPr="00C12DCC">
        <w:t>20,</w:t>
      </w:r>
      <w:r>
        <w:t xml:space="preserve">3 </w:t>
      </w:r>
      <w:r w:rsidRPr="00C12DCC">
        <w:t>% celkových výdajů</w:t>
      </w:r>
      <w:r>
        <w:t>, tak podílu výdajů za alkoholické nápoje a tabák, který se zvýšil rovněž o 0,1 p. b. na 2,9 %</w:t>
      </w:r>
      <w:r w:rsidRPr="00C12DCC">
        <w:t>.</w:t>
      </w:r>
    </w:p>
    <w:p w:rsidR="00B05B4A" w:rsidRPr="00483038" w:rsidRDefault="00B05B4A" w:rsidP="00242EDF">
      <w:r w:rsidRPr="00483038">
        <w:t>Podle údajů ČSÚ</w:t>
      </w:r>
      <w:r w:rsidRPr="00C5753C">
        <w:rPr>
          <w:rStyle w:val="Znakapoznpodarou"/>
        </w:rPr>
        <w:footnoteReference w:id="12"/>
      </w:r>
      <w:r w:rsidRPr="00483038">
        <w:t xml:space="preserve"> </w:t>
      </w:r>
      <w:r>
        <w:t xml:space="preserve">se počet zaměstnanců </w:t>
      </w:r>
      <w:r w:rsidRPr="00483038">
        <w:t>v odvětví zemědělství, lesnictví a rybářství v roce 201</w:t>
      </w:r>
      <w:r>
        <w:t>4</w:t>
      </w:r>
      <w:r w:rsidRPr="00483038">
        <w:t xml:space="preserve"> </w:t>
      </w:r>
      <w:r>
        <w:t>p</w:t>
      </w:r>
      <w:r w:rsidRPr="00483038">
        <w:t>roti roku 201</w:t>
      </w:r>
      <w:r>
        <w:t>3 nezměnil a činil 97,7 tis</w:t>
      </w:r>
      <w:r w:rsidR="00BA74FF">
        <w:t>.</w:t>
      </w:r>
      <w:r>
        <w:t xml:space="preserve"> zaměstnanců</w:t>
      </w:r>
      <w:r w:rsidRPr="00483038">
        <w:t>. Současně však podíl</w:t>
      </w:r>
      <w:r>
        <w:t xml:space="preserve"> </w:t>
      </w:r>
      <w:r>
        <w:lastRenderedPageBreak/>
        <w:t>z</w:t>
      </w:r>
      <w:r w:rsidRPr="00483038">
        <w:t>aměstnanců odvětví na</w:t>
      </w:r>
      <w:r>
        <w:t xml:space="preserve"> </w:t>
      </w:r>
      <w:r w:rsidRPr="00483038">
        <w:t>celkovém počtu zaměstnanců</w:t>
      </w:r>
      <w:r>
        <w:t xml:space="preserve"> mírně klesl </w:t>
      </w:r>
      <w:r w:rsidRPr="00483038">
        <w:t>o 0,0</w:t>
      </w:r>
      <w:r>
        <w:t>2</w:t>
      </w:r>
      <w:r w:rsidRPr="00483038">
        <w:t> p. b. na 2,6</w:t>
      </w:r>
      <w:r>
        <w:t>0</w:t>
      </w:r>
      <w:r w:rsidRPr="00483038">
        <w:t> %</w:t>
      </w:r>
      <w:r>
        <w:t>, a to v důsledku nárůstu počtu zaměstnanců v národním hospodářství celkem</w:t>
      </w:r>
      <w:r w:rsidRPr="00483038">
        <w:t xml:space="preserve">. </w:t>
      </w:r>
      <w:r>
        <w:t>P</w:t>
      </w:r>
      <w:r w:rsidRPr="00483038">
        <w:t xml:space="preserve">odíl zaměstnanců v samotném zemědělství (včetně myslivosti a souvisejících činností) </w:t>
      </w:r>
      <w:r>
        <w:t>rovněž</w:t>
      </w:r>
      <w:r w:rsidRPr="00483038">
        <w:t xml:space="preserve"> </w:t>
      </w:r>
      <w:r>
        <w:t>poklesl, a to</w:t>
      </w:r>
      <w:r w:rsidRPr="00483038">
        <w:t xml:space="preserve"> o 0,0</w:t>
      </w:r>
      <w:r>
        <w:t>1</w:t>
      </w:r>
      <w:r w:rsidRPr="00483038">
        <w:t> p. b.</w:t>
      </w:r>
      <w:r>
        <w:t xml:space="preserve"> na 2,23 %. </w:t>
      </w:r>
      <w:r w:rsidR="002C5495">
        <w:t>Průměrná mzda v z</w:t>
      </w:r>
      <w:r w:rsidRPr="002C5495">
        <w:t xml:space="preserve">emědělství </w:t>
      </w:r>
      <w:r w:rsidR="002C5495">
        <w:t>v</w:t>
      </w:r>
      <w:r w:rsidRPr="002C5495">
        <w:t xml:space="preserve"> roce 2014 </w:t>
      </w:r>
      <w:r w:rsidR="002C5495">
        <w:t>dosáhla</w:t>
      </w:r>
      <w:r w:rsidRPr="002C5495">
        <w:t xml:space="preserve"> 80,7 %</w:t>
      </w:r>
      <w:r w:rsidR="002C5495">
        <w:t xml:space="preserve"> průměru mezd v ČR</w:t>
      </w:r>
      <w:r w:rsidRPr="002C5495">
        <w:t>.</w:t>
      </w:r>
      <w:r w:rsidRPr="00483038">
        <w:t xml:space="preserve"> Růst nominální mzdy zaměstnanců v zemědělství na přepočtené osoby činil 2,</w:t>
      </w:r>
      <w:r>
        <w:t>9</w:t>
      </w:r>
      <w:r w:rsidRPr="00483038">
        <w:t> % a byl o </w:t>
      </w:r>
      <w:r>
        <w:t>0</w:t>
      </w:r>
      <w:r w:rsidRPr="00483038">
        <w:t>,</w:t>
      </w:r>
      <w:r>
        <w:t>5</w:t>
      </w:r>
      <w:r w:rsidRPr="00483038">
        <w:t> p. b. vyšší než průměr celkového růstu mezd v</w:t>
      </w:r>
      <w:r>
        <w:t> </w:t>
      </w:r>
      <w:r w:rsidRPr="00483038">
        <w:t xml:space="preserve">ČR. </w:t>
      </w:r>
      <w:r>
        <w:t xml:space="preserve">Tím došlo v zemědělství k </w:t>
      </w:r>
      <w:r w:rsidRPr="00483038">
        <w:t>nárůstu reálné mzdy o </w:t>
      </w:r>
      <w:r>
        <w:t>2</w:t>
      </w:r>
      <w:r w:rsidRPr="00483038">
        <w:t>,</w:t>
      </w:r>
      <w:r>
        <w:t>5</w:t>
      </w:r>
      <w:r w:rsidRPr="00483038">
        <w:t> %.</w:t>
      </w:r>
    </w:p>
    <w:p w:rsidR="00B05B4A" w:rsidRPr="005A0F3D" w:rsidRDefault="00B05B4A" w:rsidP="00242EDF">
      <w:r w:rsidRPr="005A0F3D">
        <w:t>Podíl zemědělství na výdajích státního rozpočtu se v roce 2014 snížil o 0,23 p. b. na 3,85 %. Zatímco celkové výdaje státního rozpočtu se v roce 2014 meziročně zvýšily o 3,3 %, výdaje státu do odvětví zemědělství se snížily ve srovnání s rokem 2013 o 2,6 %.</w:t>
      </w:r>
    </w:p>
    <w:p w:rsidR="00B05B4A" w:rsidRPr="001B1FDF" w:rsidRDefault="00B05B4A" w:rsidP="001B1FDF">
      <w:pPr>
        <w:pStyle w:val="Nadpis2"/>
      </w:pPr>
      <w:bookmarkStart w:id="20" w:name="_Toc424307011"/>
      <w:bookmarkStart w:id="21" w:name="_Toc261959107"/>
      <w:r w:rsidRPr="001B1FDF">
        <w:t>1.2</w:t>
      </w:r>
      <w:r w:rsidRPr="001B1FDF">
        <w:tab/>
        <w:t>Povětrnostní podmínky a jejich vliv na agrární sektor</w:t>
      </w:r>
      <w:bookmarkEnd w:id="20"/>
    </w:p>
    <w:p w:rsidR="00B05B4A" w:rsidRPr="00615AA5" w:rsidRDefault="00B05B4A" w:rsidP="00242EDF">
      <w:pPr>
        <w:pStyle w:val="Norm-Bold"/>
      </w:pPr>
      <w:r w:rsidRPr="00615AA5">
        <w:t>Úhrny srážek v období od září 201</w:t>
      </w:r>
      <w:r>
        <w:t>3</w:t>
      </w:r>
      <w:r w:rsidRPr="00615AA5">
        <w:t xml:space="preserve"> do září 201</w:t>
      </w:r>
      <w:r>
        <w:t>4</w:t>
      </w:r>
    </w:p>
    <w:p w:rsidR="00B05B4A" w:rsidRDefault="00B05B4A" w:rsidP="00242EDF">
      <w:r>
        <w:t>V období od září 2013 do září 2014 byly na území ČR srážkově podnormální až silně podnormální měsíce prosinec až únor a červen. Srážkově nadnormální bylo září 2013, květen, červenec a září 2014.</w:t>
      </w:r>
    </w:p>
    <w:p w:rsidR="00B05B4A" w:rsidRDefault="00B05B4A" w:rsidP="00242EDF">
      <w:r>
        <w:t xml:space="preserve">Zimní období bylo suché, průměrný prosincový srážkový úhrn na území ČR 19 mm představuje 40 % normálu 1961-1990 (dále jen </w:t>
      </w:r>
      <w:r w:rsidR="008969A9">
        <w:t>„</w:t>
      </w:r>
      <w:r>
        <w:t>normálu</w:t>
      </w:r>
      <w:r w:rsidR="008969A9">
        <w:t>“</w:t>
      </w:r>
      <w:r>
        <w:t>), lednový úhrn 27 mm 64 % a únorový úhrn 10 mm pouze 26 % normálu. Průměrný srážkový úhrn v Čechách v lednu dosáhl 26 mm (53 % normálu), na Moravě 29 mm (76 % normálu). V únoru spadlo v Čechách v průměru pouze 6 mm srážek (16 % normálu), na Moravě 18 mm (49 % normálu). Mezi velmi suché měsíce se řadí také červen, kdy srážkový úhrn dosáhl na území ČR hodnoty 38 mm, což je 46 % normálu, v Čechách spadlo v průměru 33 mm srážek (41 % normálu), na Moravě 47 mm srážek (53 % normálu).</w:t>
      </w:r>
    </w:p>
    <w:p w:rsidR="00B05B4A" w:rsidRDefault="00B05B4A" w:rsidP="00242EDF">
      <w:r>
        <w:t>Květen s průměrným srážkovým úhrnem 111 mm (150 % normálu) byl srážkově nadnormální. Květnový srážkový úhrn v Čechách dosáhl 115 mm (162 % normálu), na Moravě 103 mm (134 % normálu). Srážkově nadnormální byly i měsíce červenec a září, červencový srážkový úhrn pro celé území ČR 102 mm představuje 129 % normálu. V září dosáhl průměrný srážkový úhrn hodnoty 96 mm, což je 185 % normálu.</w:t>
      </w:r>
    </w:p>
    <w:p w:rsidR="00B05B4A" w:rsidRDefault="00B05B4A" w:rsidP="00242EDF">
      <w:pPr>
        <w:pStyle w:val="mezera"/>
      </w:pPr>
    </w:p>
    <w:p w:rsidR="00B05B4A" w:rsidRDefault="00B05B4A" w:rsidP="00242EDF">
      <w:pPr>
        <w:pStyle w:val="mezera"/>
      </w:pPr>
      <w:r w:rsidRPr="0044492F">
        <w:rPr>
          <w:noProof/>
          <w:lang w:eastAsia="cs-CZ"/>
        </w:rPr>
        <w:lastRenderedPageBreak/>
        <w:drawing>
          <wp:inline distT="0" distB="0" distL="0" distR="0" wp14:anchorId="70B39809" wp14:editId="34DC85EF">
            <wp:extent cx="5760720" cy="37163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716390"/>
                    </a:xfrm>
                    <a:prstGeom prst="rect">
                      <a:avLst/>
                    </a:prstGeom>
                    <a:noFill/>
                    <a:ln>
                      <a:noFill/>
                    </a:ln>
                  </pic:spPr>
                </pic:pic>
              </a:graphicData>
            </a:graphic>
          </wp:inline>
        </w:drawing>
      </w:r>
    </w:p>
    <w:p w:rsidR="00B05B4A" w:rsidRPr="009D58D6" w:rsidRDefault="00B05B4A" w:rsidP="00242EDF">
      <w:pPr>
        <w:pStyle w:val="TabPramZprac"/>
      </w:pPr>
      <w:r w:rsidRPr="009D58D6">
        <w:t>Pramen:</w:t>
      </w:r>
      <w:r w:rsidRPr="009D58D6">
        <w:tab/>
        <w:t>ČHMÚ</w:t>
      </w:r>
    </w:p>
    <w:p w:rsidR="00B05B4A" w:rsidRPr="009D58D6" w:rsidRDefault="00B05B4A" w:rsidP="00242EDF">
      <w:pPr>
        <w:pStyle w:val="TabPramZprac"/>
      </w:pPr>
      <w:r w:rsidRPr="009D58D6">
        <w:t>Zpracoval:</w:t>
      </w:r>
      <w:r w:rsidRPr="009D58D6">
        <w:tab/>
        <w:t>V. Vilhelm (ÚZEI)</w:t>
      </w:r>
    </w:p>
    <w:p w:rsidR="00B05B4A" w:rsidRPr="009D58D6" w:rsidRDefault="00B05B4A" w:rsidP="00242EDF">
      <w:pPr>
        <w:pStyle w:val="mezera"/>
      </w:pPr>
    </w:p>
    <w:p w:rsidR="00B05B4A" w:rsidRPr="00615AA5" w:rsidRDefault="00B05B4A" w:rsidP="00242EDF">
      <w:pPr>
        <w:pStyle w:val="Norm-Bold"/>
      </w:pPr>
      <w:r w:rsidRPr="00615AA5">
        <w:t>Teploty vzduchu v období od září 201</w:t>
      </w:r>
      <w:r>
        <w:t>3</w:t>
      </w:r>
      <w:r w:rsidRPr="00615AA5">
        <w:t xml:space="preserve"> do září 201</w:t>
      </w:r>
      <w:r>
        <w:t>4</w:t>
      </w:r>
    </w:p>
    <w:p w:rsidR="00B05B4A" w:rsidRDefault="00B05B4A" w:rsidP="00242EDF">
      <w:r w:rsidRPr="00615AA5">
        <w:t xml:space="preserve">Průměrné měsíční teploty vzduchu na území ČR v období od září 2013 do září 2014 kolísaly kolem hodnot normálu. Teplotně nadnormální až </w:t>
      </w:r>
      <w:r>
        <w:t>silně nadnormální byly měsíce v </w:t>
      </w:r>
      <w:r w:rsidRPr="00615AA5">
        <w:t>období od listopadu 2013 do dubna 2014, nadnormálně teplý byl i červenec 2014. Podnormální měsíční teplota byla zaznamenána pouze v září 2013.</w:t>
      </w:r>
    </w:p>
    <w:p w:rsidR="00B05B4A" w:rsidRPr="00615AA5" w:rsidRDefault="00B05B4A" w:rsidP="00242EDF">
      <w:r w:rsidRPr="00615AA5">
        <w:t xml:space="preserve">V průběhu zimní sezony 2013-2014 mělo počasí teplý a suchý charakter. </w:t>
      </w:r>
      <w:r>
        <w:t>Prosinec a </w:t>
      </w:r>
      <w:r w:rsidRPr="00615AA5">
        <w:t>leden byly v porovnání s normálem teplotně nadnormální. Únor, jehož průměrná teplota 2,1</w:t>
      </w:r>
      <w:r>
        <w:t> </w:t>
      </w:r>
      <w:r w:rsidRPr="00615AA5">
        <w:t>°C byla o 3,2 °C vyšší než normál, byl teplotně silně nadnormální. Mezi teplotně silně nadnormální měsíce se řadí i březen s průměrnou teplotou vzduchu 6,2 °C (3,7</w:t>
      </w:r>
      <w:r>
        <w:t xml:space="preserve"> </w:t>
      </w:r>
      <w:r w:rsidRPr="00615AA5">
        <w:t>°C nad normálem) a duben s průměrnou teplotou 9,8 °C (2,5 °C</w:t>
      </w:r>
      <w:r>
        <w:t xml:space="preserve"> nad normálem). Měsíce květen a </w:t>
      </w:r>
      <w:r w:rsidRPr="00615AA5">
        <w:t>červen byly jako celek teplotně normální, v průběhu obo</w:t>
      </w:r>
      <w:r>
        <w:t>u měsíců se střídala teplejší a </w:t>
      </w:r>
      <w:r w:rsidRPr="00615AA5">
        <w:t>chladnější období. V průběhu velmi teplého období na konci první a na začátku druhé červnové dekády vystoupily denní maximální teploty vzduchu nad 30 °C téměř na celém území ČR. Teplotně silně nadnormální byl červenec, průměrná</w:t>
      </w:r>
      <w:r>
        <w:t xml:space="preserve"> měsíční teplota 19,2 °C byla o </w:t>
      </w:r>
      <w:r w:rsidRPr="00615AA5">
        <w:t>2,3 °C vyšší než dlouhodobý průměr 1961-1990.</w:t>
      </w:r>
      <w:r>
        <w:t xml:space="preserve"> </w:t>
      </w:r>
      <w:r w:rsidRPr="00615AA5">
        <w:t>V průběhu téměř celého měsíce se průměrné denní teploty pohybovaly nad dlouhodobým průměrem, nejvyšší naměřená maximální teplota dosáhla 20. července hodnoty 36,3 °C na stanici Praha-Karlov. Po teplotně podnormálním srpnu následovalo teplotně nadnormální září.</w:t>
      </w:r>
    </w:p>
    <w:p w:rsidR="00B05B4A" w:rsidRPr="000A1711" w:rsidRDefault="00B05B4A" w:rsidP="00242EDF">
      <w:pPr>
        <w:pStyle w:val="mezera"/>
      </w:pPr>
    </w:p>
    <w:p w:rsidR="00B05B4A" w:rsidRPr="000A1711" w:rsidRDefault="00B05B4A" w:rsidP="001B1FDF">
      <w:pPr>
        <w:pStyle w:val="mezera-svzan"/>
      </w:pPr>
      <w:r w:rsidRPr="000A1711">
        <w:rPr>
          <w:noProof/>
          <w:lang w:eastAsia="cs-CZ"/>
        </w:rPr>
        <w:lastRenderedPageBreak/>
        <w:drawing>
          <wp:inline distT="0" distB="0" distL="0" distR="0" wp14:anchorId="0B0AF4A0" wp14:editId="3E574696">
            <wp:extent cx="5760720" cy="37163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716390"/>
                    </a:xfrm>
                    <a:prstGeom prst="rect">
                      <a:avLst/>
                    </a:prstGeom>
                    <a:noFill/>
                    <a:ln>
                      <a:noFill/>
                    </a:ln>
                  </pic:spPr>
                </pic:pic>
              </a:graphicData>
            </a:graphic>
          </wp:inline>
        </w:drawing>
      </w:r>
    </w:p>
    <w:p w:rsidR="00B05B4A" w:rsidRPr="009D58D6" w:rsidRDefault="00B05B4A" w:rsidP="00242EDF">
      <w:pPr>
        <w:pStyle w:val="TabPramZprac"/>
      </w:pPr>
      <w:r w:rsidRPr="009D58D6">
        <w:t>Pramen:</w:t>
      </w:r>
      <w:r w:rsidRPr="009D58D6">
        <w:tab/>
        <w:t>ČHMÚ</w:t>
      </w:r>
    </w:p>
    <w:p w:rsidR="00B05B4A" w:rsidRPr="009D58D6" w:rsidRDefault="00B05B4A" w:rsidP="00242EDF">
      <w:pPr>
        <w:pStyle w:val="TabPramZprac"/>
      </w:pPr>
      <w:r w:rsidRPr="009D58D6">
        <w:t>Zpracoval:</w:t>
      </w:r>
      <w:r w:rsidRPr="009D58D6">
        <w:tab/>
        <w:t>V. Vilhelm (ÚZEI)</w:t>
      </w:r>
    </w:p>
    <w:p w:rsidR="00B05B4A" w:rsidRPr="009D58D6" w:rsidRDefault="00B05B4A" w:rsidP="00242EDF">
      <w:pPr>
        <w:pStyle w:val="mezera"/>
      </w:pPr>
    </w:p>
    <w:p w:rsidR="00B05B4A" w:rsidRPr="00615AA5" w:rsidRDefault="00B05B4A" w:rsidP="00242EDF">
      <w:r w:rsidRPr="00615AA5">
        <w:t xml:space="preserve">Průběh počasí </w:t>
      </w:r>
      <w:r>
        <w:t xml:space="preserve">byl pro rostlinnou výrobu </w:t>
      </w:r>
      <w:r w:rsidRPr="00615AA5">
        <w:t>příznivý</w:t>
      </w:r>
      <w:r>
        <w:t xml:space="preserve"> a umožnil dosažení rekordních</w:t>
      </w:r>
      <w:r w:rsidRPr="00F472C3">
        <w:t xml:space="preserve"> výnos</w:t>
      </w:r>
      <w:r>
        <w:t xml:space="preserve">ů </w:t>
      </w:r>
      <w:r w:rsidRPr="00F472C3">
        <w:t>většiny plodin</w:t>
      </w:r>
      <w:r>
        <w:t>. Zimní deficit srážek byl na většině území kompenzován nadprůměrnými květnovými srážkami.</w:t>
      </w:r>
      <w:r w:rsidRPr="00615AA5">
        <w:t xml:space="preserve"> Škody na pojištěných plodinách způsobené nepříznivými projevy počasí, zejména krupobitím, ale i </w:t>
      </w:r>
      <w:proofErr w:type="spellStart"/>
      <w:r w:rsidRPr="00615AA5">
        <w:t>vyzimováním</w:t>
      </w:r>
      <w:proofErr w:type="spellEnd"/>
      <w:r w:rsidRPr="00615AA5">
        <w:t xml:space="preserve"> a jarními mrazy, byly v roce 201</w:t>
      </w:r>
      <w:r>
        <w:t>4</w:t>
      </w:r>
      <w:r w:rsidRPr="00615AA5">
        <w:t xml:space="preserve"> nižší než v roce 201</w:t>
      </w:r>
      <w:r>
        <w:t>3</w:t>
      </w:r>
      <w:r w:rsidRPr="00615AA5">
        <w:t xml:space="preserve"> (viz kap. 6.4).</w:t>
      </w:r>
    </w:p>
    <w:p w:rsidR="00B05B4A" w:rsidRPr="001B1FDF" w:rsidRDefault="00B05B4A" w:rsidP="001B1FDF">
      <w:pPr>
        <w:pStyle w:val="Nadpis2"/>
      </w:pPr>
      <w:bookmarkStart w:id="22" w:name="_Toc106002896"/>
      <w:bookmarkStart w:id="23" w:name="_Toc107647329"/>
      <w:bookmarkStart w:id="24" w:name="_Toc135800854"/>
      <w:bookmarkStart w:id="25" w:name="_Toc230593072"/>
      <w:bookmarkStart w:id="26" w:name="_Toc261959108"/>
      <w:bookmarkStart w:id="27" w:name="_Toc424307012"/>
      <w:bookmarkEnd w:id="21"/>
      <w:r w:rsidRPr="001B1FDF">
        <w:t>1.3</w:t>
      </w:r>
      <w:r w:rsidRPr="001B1FDF">
        <w:tab/>
        <w:t>Podnikatelské prostředí</w:t>
      </w:r>
      <w:bookmarkEnd w:id="22"/>
      <w:bookmarkEnd w:id="23"/>
      <w:bookmarkEnd w:id="24"/>
      <w:bookmarkEnd w:id="25"/>
      <w:bookmarkEnd w:id="26"/>
      <w:bookmarkEnd w:id="27"/>
    </w:p>
    <w:p w:rsidR="00B05B4A" w:rsidRPr="00426A75" w:rsidRDefault="00B05B4A" w:rsidP="00242EDF">
      <w:r w:rsidRPr="00426A75">
        <w:t>Podnikatelské prostředí je utvářeno cenami vstupů a výstupů ovlivňovanými inflací, kurzem koruny, dále vývojem zahraničního obchodu, daňovým zatížením včetně daňových úlev, dostupností úvěrů a mírou podnikatelského rizika. Vý</w:t>
      </w:r>
      <w:r>
        <w:t>znamnou roli hraje i množství a </w:t>
      </w:r>
      <w:r w:rsidRPr="00426A75">
        <w:t>kvalita právních předpisů, vymahatelnost práva a rozměr korupce.</w:t>
      </w:r>
      <w:r>
        <w:t xml:space="preserve"> V roce 2014 měly </w:t>
      </w:r>
      <w:r w:rsidRPr="00FF66EF">
        <w:t xml:space="preserve">na vybrané zemědělské a potravinářské producenty </w:t>
      </w:r>
      <w:r>
        <w:t>negativní dopad ruské sankce na dovoz vybraných potravin z EU zavedené od srpna 2014.</w:t>
      </w:r>
      <w:r w:rsidRPr="00426A75">
        <w:t xml:space="preserve"> Pro zemědělské podnikatele má rozhodující význam úroveň unijních i národních podpor.</w:t>
      </w:r>
    </w:p>
    <w:p w:rsidR="00B05B4A" w:rsidRPr="009C430C" w:rsidRDefault="00B05B4A" w:rsidP="00242EDF">
      <w:pPr>
        <w:pStyle w:val="Norm-Bold"/>
      </w:pPr>
      <w:r w:rsidRPr="009C430C">
        <w:t>Vliv cenového vývoje na agrární trh a podnikatelské prostředí</w:t>
      </w:r>
    </w:p>
    <w:p w:rsidR="00B05B4A" w:rsidRDefault="00B05B4A" w:rsidP="00242EDF">
      <w:r w:rsidRPr="00104EC4">
        <w:t>Celkový index cen vstupů do zemědělství v roce 201</w:t>
      </w:r>
      <w:r>
        <w:t>4 poklesl</w:t>
      </w:r>
      <w:r w:rsidRPr="00104EC4">
        <w:t xml:space="preserve"> proti předešlému roku </w:t>
      </w:r>
      <w:r>
        <w:t>na úroveň 98,7</w:t>
      </w:r>
      <w:r w:rsidRPr="00104EC4">
        <w:t> %. V</w:t>
      </w:r>
      <w:r>
        <w:t>ýrazný pokles</w:t>
      </w:r>
      <w:r w:rsidRPr="00104EC4">
        <w:t xml:space="preserve"> proti roku 201</w:t>
      </w:r>
      <w:r>
        <w:t>3</w:t>
      </w:r>
      <w:r w:rsidRPr="00104EC4">
        <w:t xml:space="preserve"> zaznamenaly zejména ceny </w:t>
      </w:r>
      <w:r>
        <w:t>krmiv, naopak vzrostly ceny strojů a ostatních zařízení pro zemědělství a pesticidů.</w:t>
      </w:r>
    </w:p>
    <w:p w:rsidR="00B05B4A" w:rsidRDefault="00B05B4A" w:rsidP="00242EDF">
      <w:r w:rsidRPr="00F133C5">
        <w:lastRenderedPageBreak/>
        <w:t>Ceny</w:t>
      </w:r>
      <w:r w:rsidRPr="00F133C5">
        <w:rPr>
          <w:bCs/>
        </w:rPr>
        <w:t xml:space="preserve"> zemědělských výrobců</w:t>
      </w:r>
      <w:r w:rsidRPr="00F133C5">
        <w:t xml:space="preserve"> </w:t>
      </w:r>
      <w:r>
        <w:t xml:space="preserve">(včetně produkce ryb) </w:t>
      </w:r>
      <w:r w:rsidRPr="00F133C5">
        <w:t xml:space="preserve">v meziročním srovnání </w:t>
      </w:r>
      <w:r>
        <w:t>poklesl</w:t>
      </w:r>
      <w:r w:rsidRPr="00F133C5">
        <w:t>y v roce 201</w:t>
      </w:r>
      <w:r>
        <w:t>4</w:t>
      </w:r>
      <w:r w:rsidRPr="00F133C5">
        <w:t xml:space="preserve"> na </w:t>
      </w:r>
      <w:r>
        <w:t>96,3</w:t>
      </w:r>
      <w:r w:rsidRPr="00F133C5">
        <w:t> % úrovně roku 201</w:t>
      </w:r>
      <w:r>
        <w:t>3</w:t>
      </w:r>
      <w:r w:rsidRPr="00F133C5">
        <w:t xml:space="preserve">. </w:t>
      </w:r>
      <w:r>
        <w:t>Pokles cen se týkal rostlinné výroby, kde ceny dosažené v roce 2014 představovaly 89,7 % úrovně roku 2013, naopak v živočišné výrobě ceny zemědělských výrobců v roce 2014 zaznamenaly nárůst na 104,9 % úrovně roku 2013. K nejvýraznějšímu poklesu cen došlo v roce 2014 u obilovin, naopak nejvyšší růst zaznamenaly ceny mléka</w:t>
      </w:r>
      <w:r w:rsidRPr="00F133C5">
        <w:t xml:space="preserve"> (podrobněji kap. 9).</w:t>
      </w:r>
    </w:p>
    <w:p w:rsidR="00B05B4A" w:rsidRDefault="00B05B4A" w:rsidP="00242EDF">
      <w:r w:rsidRPr="00F133C5">
        <w:t>Spotřebitelské ceny potravin a nealkoholických nápojů se zvýšily v roce 201</w:t>
      </w:r>
      <w:r>
        <w:t>4</w:t>
      </w:r>
      <w:r w:rsidRPr="00F133C5">
        <w:t xml:space="preserve"> na 102,0 % úrovně předchozího roku</w:t>
      </w:r>
      <w:r w:rsidR="00254AB2">
        <w:t>,</w:t>
      </w:r>
      <w:r w:rsidRPr="00F133C5">
        <w:t xml:space="preserve"> a tím byl jejich růst </w:t>
      </w:r>
      <w:r w:rsidR="00B13175">
        <w:t>výrazně vyšší</w:t>
      </w:r>
      <w:r w:rsidRPr="00F133C5">
        <w:t xml:space="preserve"> ve srovnání s celkovou mírou inflace.</w:t>
      </w:r>
    </w:p>
    <w:p w:rsidR="00B05B4A" w:rsidRPr="00E00088" w:rsidRDefault="00B05B4A" w:rsidP="00242EDF">
      <w:pPr>
        <w:pStyle w:val="Norm-Bold"/>
      </w:pPr>
      <w:r w:rsidRPr="00E00088">
        <w:t>Daňové zatížení a daňové úlevy</w:t>
      </w:r>
    </w:p>
    <w:p w:rsidR="00B05B4A" w:rsidRDefault="00B05B4A" w:rsidP="00242EDF">
      <w:r w:rsidRPr="00E00088">
        <w:t>Ve srovnání s EU je česká daňová kvóta, tj. suma všech daňových příjmů</w:t>
      </w:r>
      <w:r>
        <w:t xml:space="preserve"> státu</w:t>
      </w:r>
      <w:r w:rsidRPr="00E00088">
        <w:t xml:space="preserve"> poměřovaná k HDP, </w:t>
      </w:r>
      <w:r>
        <w:t xml:space="preserve">zhruba o 5 p. b. </w:t>
      </w:r>
      <w:r w:rsidRPr="00E00088">
        <w:t>pod průměrem EU 28</w:t>
      </w:r>
      <w:r>
        <w:t>.</w:t>
      </w:r>
    </w:p>
    <w:p w:rsidR="00B05B4A" w:rsidRPr="00671A85" w:rsidRDefault="00B05B4A" w:rsidP="00242EDF">
      <w:r w:rsidRPr="005A0F3D">
        <w:t>V roce 2014 došlo v rámci rezortu zemědělství ve srovnání s rokem 2013 ke zvýšení předpisu daně z příjmu právnických osob a daně z příjmu fyzických osob podávajících daňové přiznání. Předpis daně z nemovitostí se meziročně v </w:t>
      </w:r>
      <w:r w:rsidR="00854B54">
        <w:t>rezort</w:t>
      </w:r>
      <w:r w:rsidRPr="005A0F3D">
        <w:t xml:space="preserve">u zemědělství v roce 2014 snížil o 3,5 % a předpis daně z přidané hodnoty byl v roce 2014 více než dvojnásobný než v roce 2013. Objem vratky spotřební daně za tzv. </w:t>
      </w:r>
      <w:r w:rsidR="008969A9">
        <w:t>„</w:t>
      </w:r>
      <w:r w:rsidRPr="005A0F3D">
        <w:t>zelenou naftu</w:t>
      </w:r>
      <w:r w:rsidR="008969A9">
        <w:t>“</w:t>
      </w:r>
      <w:r w:rsidRPr="005A0F3D">
        <w:rPr>
          <w:rStyle w:val="Znakapoznpodarou"/>
        </w:rPr>
        <w:footnoteReference w:id="13"/>
      </w:r>
      <w:r w:rsidRPr="005A0F3D">
        <w:t xml:space="preserve"> se v roce 2014 proti roku 2013 zhruba o čtvrtinu snížil, a to v souvislosti se znovuzavedením možnosti vratky části spotřební daně za minerální oleje spotřebované v zemědělské prvovýrobě</w:t>
      </w:r>
      <w:r w:rsidRPr="005A0F3D">
        <w:rPr>
          <w:rStyle w:val="Znakapoznpodarou"/>
        </w:rPr>
        <w:footnoteReference w:id="14"/>
      </w:r>
      <w:r w:rsidRPr="005A0F3D">
        <w:t xml:space="preserve"> od 1. července 2014. Výše nároku na vrácení spotřební daně zahrnuté</w:t>
      </w:r>
      <w:r w:rsidRPr="00077A2A">
        <w:t xml:space="preserve"> do ceny nakoupené nafty 40 % (resp. 57 %</w:t>
      </w:r>
      <w:r>
        <w:t xml:space="preserve"> v </w:t>
      </w:r>
      <w:r w:rsidRPr="00077A2A">
        <w:t xml:space="preserve">případě nafty s nejméně 30 % podílem </w:t>
      </w:r>
      <w:r w:rsidR="00254AB2">
        <w:t>FAME</w:t>
      </w:r>
      <w:r w:rsidRPr="00077A2A">
        <w:t xml:space="preserve">) </w:t>
      </w:r>
      <w:r>
        <w:t>se v roce 2014 ve srovnání s rokem 2013 nezměnila</w:t>
      </w:r>
      <w:r w:rsidRPr="00671A85">
        <w:t xml:space="preserve">. Vývoj zatížení zemědělských podnikatelských subjektů předepsanými daněmi v uplynulých pěti letech uvádí </w:t>
      </w:r>
      <w:proofErr w:type="spellStart"/>
      <w:r w:rsidR="00254AB2">
        <w:t>příl</w:t>
      </w:r>
      <w:proofErr w:type="spellEnd"/>
      <w:r w:rsidR="00254AB2">
        <w:t xml:space="preserve">. </w:t>
      </w:r>
      <w:r w:rsidRPr="00671A85">
        <w:t>tab. 1.3/01.</w:t>
      </w:r>
    </w:p>
    <w:p w:rsidR="00B05B4A" w:rsidRPr="00671A85" w:rsidRDefault="00B05B4A" w:rsidP="00242EDF">
      <w:r w:rsidRPr="00671A85">
        <w:t>Ze specifických daňových úlev ovlivňujících ekonomiku zemědělských podniků, které se v daňovém systému dlouhodobě uplatňují, se především se jedná o:</w:t>
      </w:r>
    </w:p>
    <w:p w:rsidR="00B05B4A" w:rsidRPr="00671A85" w:rsidRDefault="00B05B4A" w:rsidP="00DF6A39">
      <w:pPr>
        <w:pStyle w:val="vet1"/>
      </w:pPr>
      <w:r w:rsidRPr="00671A85">
        <w:t>snížení sazby daně silniční o 25 % u vozidel určených pro činnosti výrobní povahy v rostlinné výrobě</w:t>
      </w:r>
      <w:r w:rsidRPr="00671A85">
        <w:rPr>
          <w:rStyle w:val="Znakapoznpodarou"/>
        </w:rPr>
        <w:footnoteReference w:id="15"/>
      </w:r>
      <w:r w:rsidRPr="00671A85">
        <w:t>;</w:t>
      </w:r>
    </w:p>
    <w:p w:rsidR="00B05B4A" w:rsidRPr="002B6991" w:rsidRDefault="00B05B4A" w:rsidP="00DF6A39">
      <w:pPr>
        <w:pStyle w:val="vet1"/>
      </w:pPr>
      <w:r w:rsidRPr="002B6991">
        <w:t xml:space="preserve">možnost vyšší odpisové sazby, kdy podniky s převážně zemědělskou a lesní výrobou mohou uplatnit u vybraných skupin strojů v prvním roce odepisování o 20 % vyšší odpisové sazby (za předpokladu, že jsou </w:t>
      </w:r>
      <w:r w:rsidRPr="001720E6">
        <w:t xml:space="preserve">prvními </w:t>
      </w:r>
      <w:proofErr w:type="spellStart"/>
      <w:r w:rsidR="001720E6" w:rsidRPr="001720E6">
        <w:t>odpisovateli</w:t>
      </w:r>
      <w:proofErr w:type="spellEnd"/>
      <w:r w:rsidR="001720E6" w:rsidRPr="002B6991">
        <w:t xml:space="preserve"> </w:t>
      </w:r>
      <w:r w:rsidRPr="002B6991">
        <w:t>zmiňované techniky)</w:t>
      </w:r>
      <w:r w:rsidRPr="002B6991">
        <w:rPr>
          <w:rStyle w:val="Znakapoznpodarou"/>
        </w:rPr>
        <w:footnoteReference w:id="16"/>
      </w:r>
      <w:r w:rsidRPr="002B6991">
        <w:t>.</w:t>
      </w:r>
    </w:p>
    <w:p w:rsidR="00B05B4A" w:rsidRPr="002B6991" w:rsidRDefault="00B05B4A" w:rsidP="00242EDF">
      <w:r w:rsidRPr="002B6991">
        <w:lastRenderedPageBreak/>
        <w:t xml:space="preserve">Velký význam má i daňové zvýhodnění minerálních olejů s vyšším obsahem </w:t>
      </w:r>
      <w:r w:rsidR="00841CAC">
        <w:t>FAME</w:t>
      </w:r>
      <w:r w:rsidRPr="002B6991">
        <w:t>, které významně zvyšuje poptávku po řepce.</w:t>
      </w:r>
    </w:p>
    <w:p w:rsidR="00B05B4A" w:rsidRPr="00691A4D" w:rsidRDefault="00B05B4A" w:rsidP="00242EDF">
      <w:pPr>
        <w:pStyle w:val="Norm-Bold"/>
      </w:pPr>
      <w:r w:rsidRPr="00691A4D">
        <w:t>Úvěrové služby</w:t>
      </w:r>
    </w:p>
    <w:p w:rsidR="00B05B4A" w:rsidRPr="00691A4D" w:rsidRDefault="00B05B4A" w:rsidP="00242EDF">
      <w:r w:rsidRPr="00691A4D">
        <w:t>V roce 201</w:t>
      </w:r>
      <w:r>
        <w:t>4</w:t>
      </w:r>
      <w:r w:rsidRPr="00691A4D">
        <w:t xml:space="preserve"> se</w:t>
      </w:r>
      <w:r w:rsidRPr="00691A4D">
        <w:rPr>
          <w:color w:val="0000FF"/>
        </w:rPr>
        <w:t xml:space="preserve"> </w:t>
      </w:r>
      <w:r w:rsidRPr="00691A4D">
        <w:t>meziročně zvýšil trend alokace úvěrů do zemědělství, myslivosti a rybolovu v úhrnu o </w:t>
      </w:r>
      <w:r>
        <w:t>3</w:t>
      </w:r>
      <w:r w:rsidRPr="00691A4D">
        <w:t>,</w:t>
      </w:r>
      <w:r>
        <w:t>5</w:t>
      </w:r>
      <w:r w:rsidRPr="00691A4D">
        <w:t xml:space="preserve"> % za všechny typů úvěrů a pohledávek za klienty. Největší tempo nárůstu vykázaly krátkodobé úvěry. </w:t>
      </w:r>
      <w:r>
        <w:t>Podíl d</w:t>
      </w:r>
      <w:r w:rsidRPr="00691A4D">
        <w:t>louhodob</w:t>
      </w:r>
      <w:r>
        <w:t>ých</w:t>
      </w:r>
      <w:r w:rsidRPr="00691A4D">
        <w:t xml:space="preserve"> úvěr</w:t>
      </w:r>
      <w:r>
        <w:t>ů, které</w:t>
      </w:r>
      <w:r w:rsidRPr="00691A4D">
        <w:t xml:space="preserve"> mají převážně investiční charakter</w:t>
      </w:r>
      <w:r>
        <w:t>,</w:t>
      </w:r>
      <w:r w:rsidRPr="00691A4D">
        <w:t xml:space="preserve"> činil 7</w:t>
      </w:r>
      <w:r>
        <w:t>3</w:t>
      </w:r>
      <w:r w:rsidRPr="00691A4D">
        <w:t>,</w:t>
      </w:r>
      <w:r>
        <w:t>9</w:t>
      </w:r>
      <w:r w:rsidRPr="00691A4D">
        <w:t xml:space="preserve"> % úvěrů a pohledávek obchodních bank za klienty. Při míře inflace na úrovni </w:t>
      </w:r>
      <w:r>
        <w:t>0</w:t>
      </w:r>
      <w:r w:rsidRPr="00691A4D">
        <w:t>,4 % v roce 201</w:t>
      </w:r>
      <w:r>
        <w:t>4</w:t>
      </w:r>
      <w:r w:rsidRPr="00691A4D">
        <w:t xml:space="preserve"> </w:t>
      </w:r>
      <w:r>
        <w:t xml:space="preserve">pokračovalo </w:t>
      </w:r>
      <w:r w:rsidRPr="00691A4D">
        <w:t>snižov</w:t>
      </w:r>
      <w:r>
        <w:t>ání</w:t>
      </w:r>
      <w:r w:rsidRPr="00691A4D">
        <w:t xml:space="preserve"> úrokové sazby úvěrů poskytnutých nefinančním podnikům. Alokaci úvěrů do zemědělství i v roce 201</w:t>
      </w:r>
      <w:r>
        <w:t>4</w:t>
      </w:r>
      <w:r w:rsidRPr="00691A4D">
        <w:t xml:space="preserve"> podporoval PGRLF poskytováním finančních prostředků určených na snížení úrokového zatížení v rámci investiční</w:t>
      </w:r>
      <w:r>
        <w:t>ch</w:t>
      </w:r>
      <w:r w:rsidRPr="00691A4D">
        <w:t xml:space="preserve"> program</w:t>
      </w:r>
      <w:r>
        <w:t>ů</w:t>
      </w:r>
      <w:r w:rsidRPr="00691A4D">
        <w:t xml:space="preserve"> Zemědělec</w:t>
      </w:r>
      <w:r>
        <w:t xml:space="preserve"> a Podpora nákupu půdy</w:t>
      </w:r>
      <w:r w:rsidRPr="00691A4D">
        <w:t xml:space="preserve"> (podrobněji kap. 6.4).</w:t>
      </w:r>
    </w:p>
    <w:p w:rsidR="00B05B4A" w:rsidRPr="0059351E" w:rsidRDefault="00B05B4A" w:rsidP="00242EDF">
      <w:pPr>
        <w:pStyle w:val="Norm-Bold"/>
      </w:pPr>
      <w:r w:rsidRPr="0059351E">
        <w:t>Podnikatelské riziko a jeho eliminace</w:t>
      </w:r>
    </w:p>
    <w:p w:rsidR="00B05B4A" w:rsidRDefault="00B05B4A" w:rsidP="00242EDF">
      <w:r>
        <w:t>Při snižování podnikatelského rizika v zemědělství sehrává, v</w:t>
      </w:r>
      <w:r w:rsidRPr="0059351E">
        <w:t>edle vlastních aktivit zemědělských podniků, jako jsou diverzifikace nebo investi</w:t>
      </w:r>
      <w:r w:rsidR="00841CAC">
        <w:t>ce do preventivních opatření, a </w:t>
      </w:r>
      <w:r w:rsidRPr="0059351E">
        <w:t>státem zajišťovaného systému prevence rizik nákaz zvířat a chorob rostlin</w:t>
      </w:r>
      <w:r>
        <w:t>,</w:t>
      </w:r>
      <w:r w:rsidRPr="0059351E">
        <w:t xml:space="preserve"> významnou roli zemědělské pojištění. Pojištění je důležitým nástrojem snižování dopadů řady rizik v rostlinné i živočišné produkci. </w:t>
      </w:r>
      <w:r>
        <w:t>Přestože v roce 2014 došlo meziročně k poklesu předepsaného pojistného za pojištění plodin a hospodářských zvířat, c</w:t>
      </w:r>
      <w:r w:rsidRPr="00691A4D">
        <w:t xml:space="preserve">elkový objem pojistného za zemědělské pojištění vykázaný v žádostech o dotaci z PGRLF </w:t>
      </w:r>
      <w:r>
        <w:t xml:space="preserve">meziročně </w:t>
      </w:r>
      <w:r w:rsidRPr="00691A4D">
        <w:t>vzrostl</w:t>
      </w:r>
      <w:r>
        <w:t xml:space="preserve"> </w:t>
      </w:r>
      <w:r w:rsidRPr="00691A4D">
        <w:t>o 1,</w:t>
      </w:r>
      <w:r>
        <w:t>4</w:t>
      </w:r>
      <w:r w:rsidRPr="00691A4D">
        <w:t xml:space="preserve"> % při nárůstu v pojištění </w:t>
      </w:r>
      <w:r>
        <w:t xml:space="preserve">speciálních </w:t>
      </w:r>
      <w:r w:rsidRPr="00691A4D">
        <w:t>plodin</w:t>
      </w:r>
      <w:r>
        <w:t xml:space="preserve"> a v</w:t>
      </w:r>
      <w:r w:rsidRPr="00691A4D">
        <w:t> pojištění hospodářských zvířat</w:t>
      </w:r>
      <w:r>
        <w:t>, avšak poklesu v pojištění ostatních plodin.</w:t>
      </w:r>
      <w:r w:rsidRPr="00691A4D">
        <w:t xml:space="preserve"> </w:t>
      </w:r>
      <w:r>
        <w:t xml:space="preserve">Tento vývoj souvisí s tím, že došlo k poklesu objemu pojistného za nepodporované </w:t>
      </w:r>
      <w:r w:rsidRPr="00493730">
        <w:t>typy pojištění nebo u podniků, které nemohou podporu pojištění získat</w:t>
      </w:r>
      <w:r>
        <w:t xml:space="preserve">. </w:t>
      </w:r>
      <w:r w:rsidRPr="00493730">
        <w:t>Výměra pojištěných plodin přesáhla 1,</w:t>
      </w:r>
      <w:r>
        <w:t>7</w:t>
      </w:r>
      <w:r w:rsidRPr="00493730">
        <w:t> mil. ha.</w:t>
      </w:r>
      <w:r w:rsidRPr="00691A4D">
        <w:t xml:space="preserve"> Podpora zemědělského pojištění poskytnutá PGRLF se v roce 201</w:t>
      </w:r>
      <w:r>
        <w:t>4</w:t>
      </w:r>
      <w:r w:rsidRPr="00691A4D">
        <w:t xml:space="preserve"> v důsledku nárůstu pojistného zvýšila a za pojistné uhrazené v roce 201</w:t>
      </w:r>
      <w:r>
        <w:t>4</w:t>
      </w:r>
      <w:r w:rsidRPr="00691A4D">
        <w:t xml:space="preserve"> dosáhla výše </w:t>
      </w:r>
      <w:r>
        <w:t xml:space="preserve">téměř </w:t>
      </w:r>
      <w:r w:rsidRPr="00691A4D">
        <w:t>3</w:t>
      </w:r>
      <w:r>
        <w:t>21</w:t>
      </w:r>
      <w:r w:rsidRPr="00691A4D">
        <w:t xml:space="preserve"> miliónů Kč při průměrné sazbě </w:t>
      </w:r>
      <w:r>
        <w:t>30</w:t>
      </w:r>
      <w:r w:rsidRPr="00691A4D">
        <w:t> % z uhrazeného pojistného (podrobněji kap. 6.4).</w:t>
      </w:r>
    </w:p>
    <w:p w:rsidR="00B05B4A" w:rsidRPr="005C551D" w:rsidRDefault="00B05B4A" w:rsidP="00242EDF">
      <w:pPr>
        <w:pStyle w:val="Norm-Bold"/>
      </w:pPr>
      <w:r w:rsidRPr="005C551D">
        <w:t>Trh s půdou</w:t>
      </w:r>
    </w:p>
    <w:p w:rsidR="00B05B4A" w:rsidRDefault="00B05B4A" w:rsidP="00242EDF">
      <w:r w:rsidRPr="005C551D">
        <w:t>Důležitým faktorem podnikatelského prostředí v zemědělství je fungování trhu s půdou, který je podrobněji popsán v kap. 7.2.</w:t>
      </w:r>
      <w:r w:rsidRPr="005C551D">
        <w:rPr>
          <w:color w:val="0000FF"/>
        </w:rPr>
        <w:t xml:space="preserve"> </w:t>
      </w:r>
      <w:r w:rsidRPr="005C551D">
        <w:t>Podíl propachtované</w:t>
      </w:r>
      <w:r>
        <w:rPr>
          <w:rStyle w:val="Znakapoznpodarou"/>
        </w:rPr>
        <w:footnoteReference w:id="17"/>
      </w:r>
      <w:r w:rsidRPr="005C551D">
        <w:t xml:space="preserve"> zemědělské půdy na celkové obhospodařované ploše je po Slovensku v českém zemědělství nejvyšší ze všech zemí EU. Celkově činil podíl propachtované půdy v roce 2014 necelých 7</w:t>
      </w:r>
      <w:r>
        <w:t>4</w:t>
      </w:r>
      <w:r w:rsidRPr="005C551D">
        <w:t> %</w:t>
      </w:r>
      <w:r w:rsidRPr="005C551D">
        <w:rPr>
          <w:rStyle w:val="Znakapoznpodarou"/>
        </w:rPr>
        <w:footnoteReference w:id="18"/>
      </w:r>
      <w:r w:rsidRPr="005C551D">
        <w:t xml:space="preserve"> a dlouhodobě (od </w:t>
      </w:r>
      <w:r w:rsidRPr="005C551D">
        <w:lastRenderedPageBreak/>
        <w:t xml:space="preserve">počátku transformace) klesá, zatímco podíl vlastní obhospodařované půdy narůstá. Prodejní ceny zemědělské půdy </w:t>
      </w:r>
      <w:r>
        <w:t xml:space="preserve">i </w:t>
      </w:r>
      <w:proofErr w:type="spellStart"/>
      <w:r>
        <w:t>pachtovné</w:t>
      </w:r>
      <w:proofErr w:type="spellEnd"/>
      <w:r>
        <w:t xml:space="preserve"> za zemědělskou půdu </w:t>
      </w:r>
      <w:r w:rsidRPr="005C551D">
        <w:t xml:space="preserve">v ČR v roce 2014 dále rostly, ve srovnání se státy EU 15 jsou však stále na </w:t>
      </w:r>
      <w:r>
        <w:t xml:space="preserve">významně </w:t>
      </w:r>
      <w:r w:rsidRPr="005C551D">
        <w:t xml:space="preserve">nižší úrovni. </w:t>
      </w:r>
      <w:proofErr w:type="spellStart"/>
      <w:r>
        <w:t>P</w:t>
      </w:r>
      <w:r w:rsidRPr="005C551D">
        <w:t>achtovné</w:t>
      </w:r>
      <w:proofErr w:type="spellEnd"/>
      <w:r w:rsidRPr="005C551D">
        <w:t xml:space="preserve"> za zemědělskou půdu vzrostlo v roce 201</w:t>
      </w:r>
      <w:r>
        <w:t>4</w:t>
      </w:r>
      <w:r w:rsidRPr="005C551D">
        <w:t xml:space="preserve"> </w:t>
      </w:r>
      <w:r>
        <w:t>výrazněji než ceny zemědělské půdy a dle odborného odhadu jeho průměrná výše dosáhla 2 000 </w:t>
      </w:r>
      <w:r w:rsidRPr="009A13C4">
        <w:t>Kč při poměrně</w:t>
      </w:r>
      <w:r w:rsidRPr="005C551D">
        <w:t xml:space="preserve"> vysoké variabilitě v závislosti na charakteristikách pronajímaného pozemku a době uzavření </w:t>
      </w:r>
      <w:proofErr w:type="spellStart"/>
      <w:r>
        <w:t>pachtovní</w:t>
      </w:r>
      <w:proofErr w:type="spellEnd"/>
      <w:r>
        <w:t xml:space="preserve"> (</w:t>
      </w:r>
      <w:r w:rsidRPr="005C551D">
        <w:t>nájemní</w:t>
      </w:r>
      <w:r>
        <w:t>)</w:t>
      </w:r>
      <w:r w:rsidRPr="005C551D">
        <w:t xml:space="preserve"> smlouvy.</w:t>
      </w:r>
    </w:p>
    <w:p w:rsidR="00B05B4A" w:rsidRPr="00CD3ED2" w:rsidRDefault="00B05B4A" w:rsidP="00242EDF">
      <w:pPr>
        <w:pStyle w:val="Norm-Bold"/>
      </w:pPr>
      <w:r w:rsidRPr="00CD3ED2">
        <w:t>Administrativní zátěž</w:t>
      </w:r>
    </w:p>
    <w:p w:rsidR="00B05B4A" w:rsidRPr="00CD3ED2" w:rsidRDefault="00B05B4A" w:rsidP="00242EDF">
      <w:r w:rsidRPr="00CD3ED2">
        <w:t xml:space="preserve">Odstraňování nadbytečné regulace a byrokratické zátěže je jednou z hlavních priorit činnosti </w:t>
      </w:r>
      <w:r w:rsidR="00854B54">
        <w:t>rezort</w:t>
      </w:r>
      <w:r w:rsidRPr="00CD3ED2">
        <w:t xml:space="preserve">u </w:t>
      </w:r>
      <w:r w:rsidR="00841CAC">
        <w:t>MZe</w:t>
      </w:r>
      <w:r w:rsidRPr="00CD3ED2">
        <w:t xml:space="preserve"> i přesto, že je gestorem cca 40 % veškerých předpisů Evropské unie (několik stovek směrnic EU a několik d</w:t>
      </w:r>
      <w:r>
        <w:t xml:space="preserve">esítek tisíc nařízení </w:t>
      </w:r>
      <w:r w:rsidR="00841CAC">
        <w:t>a rozhodnutí EU), které v </w:t>
      </w:r>
      <w:r w:rsidRPr="00CD3ED2">
        <w:t>některých příp</w:t>
      </w:r>
      <w:r>
        <w:t>adech obsahují prvky regulace a </w:t>
      </w:r>
      <w:r w:rsidRPr="00CD3ED2">
        <w:t>byrokratické zátěže,</w:t>
      </w:r>
      <w:r>
        <w:t xml:space="preserve"> </w:t>
      </w:r>
      <w:r w:rsidR="00841CAC">
        <w:t>ale které je nutné, s </w:t>
      </w:r>
      <w:r w:rsidRPr="00CD3ED2">
        <w:t>ohledem na závazky vyplývající z členství Č</w:t>
      </w:r>
      <w:r>
        <w:t>R v </w:t>
      </w:r>
      <w:r w:rsidRPr="00CD3ED2">
        <w:t>E</w:t>
      </w:r>
      <w:r>
        <w:t>U</w:t>
      </w:r>
      <w:r w:rsidRPr="00CD3ED2">
        <w:t>, implementovat do našeho právního řádu.</w:t>
      </w:r>
    </w:p>
    <w:p w:rsidR="00B05B4A" w:rsidRPr="00CD3ED2" w:rsidRDefault="00B05B4A" w:rsidP="00242EDF">
      <w:r w:rsidRPr="00CD3ED2">
        <w:t>M</w:t>
      </w:r>
      <w:r w:rsidR="00841CAC">
        <w:t>Ze</w:t>
      </w:r>
      <w:r w:rsidRPr="00CD3ED2">
        <w:t xml:space="preserve"> se na procesech o</w:t>
      </w:r>
      <w:r>
        <w:t>dstraňování nadbytečné regulace a </w:t>
      </w:r>
      <w:r w:rsidRPr="00CD3ED2">
        <w:t>byrokratické zátěže aktivně podílelo spoluprací s Úřadem vlády – oddělením pro k</w:t>
      </w:r>
      <w:r w:rsidR="00E87B7E">
        <w:t>oordinaci procesu RIA tím, že u </w:t>
      </w:r>
      <w:r w:rsidRPr="00CD3ED2">
        <w:t>naprosté většiny legislativních návrhů postupovalo při jejich projednávání v legislativním procesu podle usnesení vlády ze dne 14. prosince 2011 č. 922</w:t>
      </w:r>
      <w:r>
        <w:t xml:space="preserve"> o </w:t>
      </w:r>
      <w:r w:rsidRPr="00CD3ED2">
        <w:t>Obecných zásadách pro hodnocení dopadů regulace (RIA) a o změně Legislativních pravidel vlády a Jednacího řádu vlády, ve znění usnesení vlády ze dne 8. ledna 2014 č. 26.</w:t>
      </w:r>
    </w:p>
    <w:p w:rsidR="00B05B4A" w:rsidRPr="00CD3ED2" w:rsidRDefault="00B05B4A" w:rsidP="00242EDF">
      <w:r w:rsidRPr="00CD3ED2">
        <w:t>M</w:t>
      </w:r>
      <w:r w:rsidR="00E87B7E">
        <w:t>Ze</w:t>
      </w:r>
      <w:r w:rsidRPr="00CD3ED2">
        <w:t xml:space="preserve"> rovněž spolupracovalo v oblasti odstraňování nadbytečné regulace a byrokratické zátěže s Ministerstvem průmyslu a obchodu v souladu s usnesením vlády ze dne 9. srpna 2013 č. 595 ke Zprávě o plnění Plánu snižování administrativní zátěže podnikatelů do 31. prosince 2012 a k Závěrečné zp</w:t>
      </w:r>
      <w:r>
        <w:t>rávě o stavu provedeného měření a </w:t>
      </w:r>
      <w:r w:rsidRPr="00CD3ED2">
        <w:t>přeměření administrativní zátěže podnikatelů a v souladu s usnesením vlády č. 543</w:t>
      </w:r>
      <w:r>
        <w:t xml:space="preserve"> </w:t>
      </w:r>
      <w:r w:rsidRPr="00CD3ED2">
        <w:t>ze dne 9.</w:t>
      </w:r>
      <w:r>
        <w:t> </w:t>
      </w:r>
      <w:r w:rsidRPr="005F2E90">
        <w:t xml:space="preserve">července 2014 </w:t>
      </w:r>
      <w:r w:rsidR="00E87B7E">
        <w:t>ke Zprávě o </w:t>
      </w:r>
      <w:r w:rsidRPr="00CD3ED2">
        <w:t>pokroku ve snižování administrativní zátěže podnikatelů za rok 2013.</w:t>
      </w:r>
    </w:p>
    <w:p w:rsidR="00B05B4A" w:rsidRDefault="00B05B4A" w:rsidP="00242EDF">
      <w:r w:rsidRPr="00CD3ED2">
        <w:t>Dále M</w:t>
      </w:r>
      <w:r w:rsidR="00E87B7E">
        <w:t>Ze</w:t>
      </w:r>
      <w:r w:rsidRPr="00CD3ED2">
        <w:t xml:space="preserve"> odstraňuje nadbytečnou regu</w:t>
      </w:r>
      <w:r>
        <w:t xml:space="preserve">laci a byrokratickou zátěž tím, </w:t>
      </w:r>
      <w:r w:rsidRPr="00CD3ED2">
        <w:t>že legislativní návrhy v rámci mezi</w:t>
      </w:r>
      <w:r w:rsidR="00854B54">
        <w:t>rezort</w:t>
      </w:r>
      <w:r w:rsidRPr="00CD3ED2">
        <w:t>ního připomínkového řízení postupuje k diskusi odborné</w:t>
      </w:r>
      <w:r>
        <w:t xml:space="preserve"> </w:t>
      </w:r>
      <w:r w:rsidRPr="00CD3ED2">
        <w:t>a zájmové veřejnosti.</w:t>
      </w:r>
    </w:p>
    <w:p w:rsidR="00B05B4A" w:rsidRPr="00CD3ED2" w:rsidRDefault="00B05B4A" w:rsidP="00242EDF">
      <w:r w:rsidRPr="00CD3ED2">
        <w:t>Při M</w:t>
      </w:r>
      <w:r w:rsidR="00E87B7E">
        <w:t>Ze</w:t>
      </w:r>
      <w:r w:rsidRPr="00CD3ED2">
        <w:t xml:space="preserve"> pracuje Antibyrokratická komise Ministerstva zemědělství</w:t>
      </w:r>
      <w:r>
        <w:t>,</w:t>
      </w:r>
      <w:r w:rsidRPr="00CD3ED2">
        <w:t xml:space="preserve"> která byla zřízena ministrem zemědělství ve snaze snížit administrativní náročnost různých opatření uplatňovaných a využívaných v </w:t>
      </w:r>
      <w:r w:rsidR="00854B54">
        <w:t>rezort</w:t>
      </w:r>
      <w:r w:rsidRPr="00CD3ED2">
        <w:t>u M</w:t>
      </w:r>
      <w:r w:rsidR="00E87B7E">
        <w:t>Ze</w:t>
      </w:r>
      <w:r w:rsidRPr="00CD3ED2">
        <w:t>. Členy komise jmenuje ministr zemědělství</w:t>
      </w:r>
      <w:r w:rsidR="00E87B7E">
        <w:t xml:space="preserve"> a z </w:t>
      </w:r>
      <w:r>
        <w:t>nich</w:t>
      </w:r>
      <w:r w:rsidRPr="00CD3ED2">
        <w:t xml:space="preserve"> jmenuje předsedu </w:t>
      </w:r>
      <w:proofErr w:type="spellStart"/>
      <w:r w:rsidRPr="00CD3ED2">
        <w:t>Antibyrokratické</w:t>
      </w:r>
      <w:proofErr w:type="spellEnd"/>
      <w:r w:rsidRPr="00CD3ED2">
        <w:t xml:space="preserve"> komise. Členové </w:t>
      </w:r>
      <w:proofErr w:type="spellStart"/>
      <w:r w:rsidRPr="00CD3ED2">
        <w:t>Antibyrokratické</w:t>
      </w:r>
      <w:proofErr w:type="spellEnd"/>
      <w:r w:rsidRPr="00CD3ED2">
        <w:t xml:space="preserve"> komise prostřednictvím organizací, které zastupují</w:t>
      </w:r>
      <w:r>
        <w:t>,</w:t>
      </w:r>
      <w:r w:rsidRPr="00CD3ED2">
        <w:t xml:space="preserve"> a prostřednictvím zemědělské veřejnosti vyhledávají případy zbytečné adminis</w:t>
      </w:r>
      <w:r>
        <w:t>trativní zátěže, tuto evidují a </w:t>
      </w:r>
      <w:r w:rsidRPr="00CD3ED2">
        <w:t xml:space="preserve">předkládají k projednání </w:t>
      </w:r>
      <w:proofErr w:type="spellStart"/>
      <w:r w:rsidRPr="00CD3ED2">
        <w:t>Antibyrokratické</w:t>
      </w:r>
      <w:proofErr w:type="spellEnd"/>
      <w:r w:rsidRPr="00CD3ED2">
        <w:t xml:space="preserve"> komisi.</w:t>
      </w:r>
    </w:p>
    <w:p w:rsidR="00B05B4A" w:rsidRPr="001B1FDF" w:rsidRDefault="00B05B4A" w:rsidP="001B1FDF">
      <w:pPr>
        <w:pStyle w:val="Nadpis2"/>
      </w:pPr>
      <w:bookmarkStart w:id="28" w:name="_Toc424307013"/>
      <w:r w:rsidRPr="001B1FDF">
        <w:lastRenderedPageBreak/>
        <w:t>1.4</w:t>
      </w:r>
      <w:r w:rsidRPr="001B1FDF">
        <w:tab/>
        <w:t>Důležitá opatření a rozhodnutí orgánů ČR a EU</w:t>
      </w:r>
      <w:bookmarkEnd w:id="28"/>
    </w:p>
    <w:p w:rsidR="00B05B4A" w:rsidRPr="001B1FDF" w:rsidRDefault="00B05B4A" w:rsidP="001B1FDF">
      <w:pPr>
        <w:pStyle w:val="Nadpis3"/>
      </w:pPr>
      <w:bookmarkStart w:id="29" w:name="_Toc424307014"/>
      <w:r w:rsidRPr="001B1FDF">
        <w:t>1.4.1</w:t>
      </w:r>
      <w:r w:rsidRPr="001B1FDF">
        <w:tab/>
        <w:t>Nejvýznamnější legislativní opatření připravovaná MZe v roce 2014</w:t>
      </w:r>
      <w:bookmarkEnd w:id="29"/>
    </w:p>
    <w:p w:rsidR="00B05B4A" w:rsidRDefault="00B05B4A" w:rsidP="00242EDF">
      <w:r>
        <w:t>V roce 2014 bylo Parlamentem Č</w:t>
      </w:r>
      <w:r w:rsidR="00E87B7E">
        <w:t>R</w:t>
      </w:r>
      <w:r>
        <w:t>, vládou a Ministe</w:t>
      </w:r>
      <w:r w:rsidR="00E87B7E">
        <w:t>rstvem zemědělství projednáno a </w:t>
      </w:r>
      <w:r>
        <w:t>schváleno několik desítek právních předpisů týkajících se bezprostředně zemědělství, mnoho jiných bylo zpracováváno v různých stupních legislativního procesu, např. ve stadiu návrhu zákona, návrhu nařízení vlády nebo návrhu vyhlášky. Naprostá většina z těchto legislativních opatření ve vztahu k agrárnímu sektoru byla v roce 2014 předkládána s cílem implementace předpisů Evropské unie.</w:t>
      </w:r>
    </w:p>
    <w:p w:rsidR="00B05B4A" w:rsidRDefault="00B05B4A" w:rsidP="00242EDF">
      <w:r>
        <w:t xml:space="preserve">Nejvýznamnější změnou právní úpravy v roce 2014 v oblasti agrárního sektoru bylo přijetí zákona č. 139/2014 Sb., kterým se mění zákon č. 110/1997 Sb., o potravinách a tabákových výrobcích a zákon č. 166/1999 Sb., o veterinární péči. Jedná se o největší reformu potravinového práva za poslední dekádu. Tato novela obsahuje zejména změny, které se týkají především rozdělení gescí </w:t>
      </w:r>
      <w:r w:rsidR="00854B54">
        <w:t>rezort</w:t>
      </w:r>
      <w:r>
        <w:t>ů zemědělství a zdravotnictví a kompetencí dozorových orgánů. Cílem je kontrola plnění požadavků potravinového práva tak, aby byla primárně zajištěna ochrana zdraví konečného spotřebitele. Státní zemědělská a potravinářská inspekce, Státní veterinární správa a orgány ochrany veřejného zdraví budou v souladu s požadavky kontrolního řádu vzájemně spolupracovat a koordinovat své kontroly tak, aby předcházely vzniku nové administrativní zátěže.</w:t>
      </w:r>
    </w:p>
    <w:p w:rsidR="00B05B4A" w:rsidRDefault="00B05B4A" w:rsidP="00242EDF">
      <w:r>
        <w:t>Další významné změny proběhly, při plnění závazků České republiky vyplývajících z členství v Evropské unii, přijetím následujících právních předpisů:</w:t>
      </w:r>
    </w:p>
    <w:p w:rsidR="00B05B4A" w:rsidRDefault="00B05B4A" w:rsidP="00DF6A39">
      <w:pPr>
        <w:pStyle w:val="vet1"/>
      </w:pPr>
      <w:r>
        <w:t>Zákon č. 138/2014 Sb., kterým se mění zákon č. 146/2002 Sb., o Státní zemědělské a potravinářské inspekci, který přímo navazuje na přijatou změnu zákona o potravinách a tabákových výrobcích a zejména doplňuje kompetence státní dozorové instituce a zpřísňuje sankce za porušení předpisů v oblasti dozoru nad potravinami a tabákovými výrobky. Cílem je posílení ochrany spotřebitelů prostřednictvím zpřísnění sankčních postihů nepoctivých výrobců a prodejců.</w:t>
      </w:r>
    </w:p>
    <w:p w:rsidR="00B05B4A" w:rsidRDefault="00B05B4A" w:rsidP="00DF6A39">
      <w:pPr>
        <w:pStyle w:val="vet1"/>
      </w:pPr>
      <w:r>
        <w:t>Zákon č. 179/2014 Sb., kterým se mění zákon č. 252/1997 Sb., o zemědělství, který umožní žadatelům o zemědělské dotace čerpání dotací Společné zemědělské politiky EU do roku 2020 v řádu desítek mld. Kč ročně. Současně dochází na základě aplikační praxe k usnadnění čerpání dotací zjednodušením jednotlivých úředních postupů.</w:t>
      </w:r>
    </w:p>
    <w:p w:rsidR="00B05B4A" w:rsidRDefault="00B05B4A" w:rsidP="00242EDF">
      <w:r>
        <w:t>Dále došlo k přijetí vyhlášky č. 202/2014 Sb., o způsobu výpočtu nároku na vrácení daně z minerálních olejů zaplacené v cenách některých minerálních olejů spotřebovaných v zemědělské prvovýrobě a způsobu a podmínkách vedení dokladů a evidence s nimi souvisejícími, která v návaznosti na přijatou změnu zákona č. 353/2003 Sb., o spotřebních daních, umožní vrácení spotřební daně z minerálních olejů osobám užívajícím tyto oleje pro zemědělskou prvovýrobu obdobně jako v ostatních okolních členských státech EU.</w:t>
      </w:r>
    </w:p>
    <w:p w:rsidR="00B05B4A" w:rsidRDefault="00B05B4A" w:rsidP="00242EDF">
      <w:r>
        <w:lastRenderedPageBreak/>
        <w:t>V roce 2014 rovněž ve velké intenzitě probíhal proces přípravy a schválení desítek prováděcích právních předpisů, a to ve formě nařízení vlády, zejména dotačního charakteru v působnosti S</w:t>
      </w:r>
      <w:r w:rsidR="00E87B7E">
        <w:t>ZIF</w:t>
      </w:r>
      <w:r>
        <w:t>, a vyhlášek zejména k provedení větši</w:t>
      </w:r>
      <w:r w:rsidR="00E87B7E">
        <w:t>ny z výše uvedených zákonů, a o </w:t>
      </w:r>
      <w:r>
        <w:t>tyto právní předpisy byl náš právní řád významně rozšířen.</w:t>
      </w:r>
    </w:p>
    <w:p w:rsidR="00B05B4A" w:rsidRDefault="00B05B4A" w:rsidP="00242EDF">
      <w:r w:rsidRPr="0067445D">
        <w:t>Podrobný přehled legislativních opatření je uveden v příloze P1.</w:t>
      </w:r>
    </w:p>
    <w:p w:rsidR="00B05B4A" w:rsidRPr="001B1FDF" w:rsidRDefault="00B05B4A" w:rsidP="001B1FDF">
      <w:pPr>
        <w:pStyle w:val="Nadpis3"/>
      </w:pPr>
      <w:bookmarkStart w:id="30" w:name="_Toc424307015"/>
      <w:r w:rsidRPr="001B1FDF">
        <w:t>1.4.2</w:t>
      </w:r>
      <w:r w:rsidRPr="001B1FDF">
        <w:tab/>
        <w:t>Důležitá rozhodnutí a právní akty orgánů EU v roce 2014</w:t>
      </w:r>
      <w:bookmarkEnd w:id="30"/>
    </w:p>
    <w:p w:rsidR="00B05B4A" w:rsidRDefault="00B05B4A" w:rsidP="00242EDF">
      <w:r>
        <w:t>Z hledi</w:t>
      </w:r>
      <w:r w:rsidR="001513ED">
        <w:t>ska obsahového, poté co byl v roce</w:t>
      </w:r>
      <w:r>
        <w:t xml:space="preserve"> 2013 přijat </w:t>
      </w:r>
      <w:r w:rsidR="008969A9">
        <w:t>„</w:t>
      </w:r>
      <w:r>
        <w:t>legislativní balíček</w:t>
      </w:r>
      <w:r w:rsidR="008969A9">
        <w:t>“</w:t>
      </w:r>
      <w:r>
        <w:t xml:space="preserve"> základních nařízení pro fungování Společné zemědělské politiky, se legislativní činnost v této oblasti v roce 2014 soustředila především na přijímání prováděcích aktů, které přispívají k aplikaci nařízení v rámci </w:t>
      </w:r>
      <w:r w:rsidR="008969A9">
        <w:t>„</w:t>
      </w:r>
      <w:r>
        <w:t>balíčku</w:t>
      </w:r>
      <w:r w:rsidR="008969A9">
        <w:t>“</w:t>
      </w:r>
      <w:r>
        <w:t xml:space="preserve"> v jednotlivých členských státech. Pro oblast přímých plateb (nařízení EP a Rady (EU) č. 1307/2013) tak byla přijata nařízení Komise v přenesené pravomoci, související např. s režimy plateb a platbami na zemědělské postupy příznivé pro klima a životní prostředí. Pro oblast tzv. horizontálního nařízení (nařízení EP a Rady (EU) č. 1306/2013) byla přijata řada nařízení Komise v přenesené pravomoci, resp. prováděcích nařízení, která např. upřesňují podmínky pro integrovaný administrativní a kontrolní systém, podmínky pro zamítnutí nebo odnětí plateb či správní sankce uplatňované na přímé platby, zpřesňují výdaje na veřejnou intervenci, pokud jde o platební agentury a další subjekty, nebo se týkají finančního řízení, schvalování účetní závěrky, transparentnosti či použití eura. V rámci společné organizace trhu (nařízení EP a Rady (EU) č. 1308/2013) byla přijata nařízení Komise v přenesené pravomoci týkající se odvětví ovoce a zeleniny a odvětví výrobků z ovoce a zeleniny, </w:t>
      </w:r>
      <w:r w:rsidR="00953761" w:rsidRPr="00953761">
        <w:t xml:space="preserve">projektu Ovoce a zelenina do škol </w:t>
      </w:r>
      <w:r>
        <w:t xml:space="preserve">a také nařízení související s programy podpory v odvětví vína. Oblast rozvoje venkova (nařízení EP a Rady (EU) č. 1305/2013) byla upřesněna a doplněna nařízeními Komise v přenesené pravomoci, resp. prováděcími nařízeními, která se týkají zejména úpravy podpory v rámci EZFRV a fungování Evropské sítě pro rozvoj venkova a sítě Evropského inovačního partnerství. Upravena byla také oblast prováděcích kontrol IACS, společného rámce pro monitoring a hodnocení SZP a otázky související s finančním řízením a kontrolou. V oblasti tržních řádů pak byla přijata nařízení, týkající se celních kvót, resp. množstevních omezení pro vývoz komodit cukru a </w:t>
      </w:r>
      <w:proofErr w:type="spellStart"/>
      <w:r>
        <w:t>izoglukózy</w:t>
      </w:r>
      <w:proofErr w:type="spellEnd"/>
      <w:r>
        <w:t xml:space="preserve">. V sektoru vína, vinohradnictví a vinařství bylo přijato nařízení EP a Rady (EU) č. 251/2014 o definici, popisu, obchodní úpravě, označování a ochraně zeměpisných označení aromatizovaných vinných výrobků a o zrušení nařízení Rady (EHS) č. 1601/91. V rámci oblasti propagace zemědělských produktů bylo přijato nařízení EP a Rady (EU) č. 1144/2014 o informačních a propagačních opatřeních na podporu zemědělských produktů na vnitřním trhu a ve třetích zemích a o zrušení nařízení Rady (ES) č. 3/2008. V případě ekologického zemědělství bylo přijato nařízení EP a Rady (EU) č. 511/2014 o opatřeních pro dodržování pravidel, která vyplývají z Nagojského protokolu o přístupu ke genetickým zdrojům a spravedlivém a rovnocenném sdílení přínosů plynoucích </w:t>
      </w:r>
      <w:r>
        <w:lastRenderedPageBreak/>
        <w:t xml:space="preserve">z jejich využívání, ze strany uživatelů v Unii. V návaznosti na ukončenou revizi pravidel pro poskytování veřejných podpor Evropská komise na konci června 2014 završila proces modernizace veřejných podpor zveřejněním balíčku nových předpisů v Úředním věstníku EU. Nová pravidla vstoupila v platnost 1. července 2014 a budou platit do 31. prosince 2020. Jedná se o následující předpisy k poskytování veřejných podpor dotýkající se oblasti zemědělství (včetně zpracování zemědělských výrobků a jejich uvádění na trh), lesnictví a rozvoje venkova: nařízení Komise (EU) č. 702/2014, kterým se v souladu s články 107 a 108 Smlouvy o fungování Evropské unie prohlašují určité kategorie podpory v odvětvích zemědělství a lesnictví a ve venkovských oblastech za slučitelné s vnitřním trhem; Pokyny Evropské unie ke státní podpoře v odvětvích zemědělství a lesnictví a ve venkovských oblastech na období 2014 až 2020; nařízení Komise (EU) č. 651/2014, kterým se v souladu s články 107 a 108 Smlouvy prohlašují určité kategorie podpory za slučitelné s vnitřním trhem. Co se týče odvětví rybolovu a akvakultury, bylo rovněž přijato nové nařízení k podpoře de </w:t>
      </w:r>
      <w:proofErr w:type="spellStart"/>
      <w:r>
        <w:t>minimis</w:t>
      </w:r>
      <w:proofErr w:type="spellEnd"/>
      <w:r>
        <w:t xml:space="preserve">, a to nařízení Komise (EU) č. 717/2014 o použití článků 107 a 108 Smlouvy o fungování Evropské unie na podporu de </w:t>
      </w:r>
      <w:proofErr w:type="spellStart"/>
      <w:r>
        <w:t>minimis</w:t>
      </w:r>
      <w:proofErr w:type="spellEnd"/>
      <w:r>
        <w:t xml:space="preserve"> v odvětví rybolovu a akvakultury, kde zůstal zachován strop maximální možné podpory ve stejné výši jako v předchozím období. Evropská komise následně doplnila balíček nařízení k blokovým výjimkám o nařízení Komise (EU) č. 1388/2014, kterým se určité kategorie podpory pro podniky působící v oblasti produkce, zpracování a uvádění produktů rybolovu a akvakultury na trh prohlašují za slučitelné s vnitřním trhem podle článků 107 a 108 Smlouvy o fungování Evropské unie.</w:t>
      </w:r>
    </w:p>
    <w:p w:rsidR="00B05B4A" w:rsidRDefault="00B05B4A" w:rsidP="00242EDF">
      <w:r>
        <w:t>V oblasti potravin a ochrany spotřebitele byla nově právně upravena oblast tabáku (Směrnice EP a Rady 2014/40/EU o sbližování právních a správních předpisů členských států týkajících se výroby, obchodní úpravy a prodeje tabákových a souvisejících výrobků a o zrušení směrnice 2001/37/ES) a oblast medu (Směrnice EP a Rady 2014/63/EU, kterou se mění směrnice Rady 2001/110/ES o medu). V roce 2014 bylo také např. novelizováno nařízení EP a Rady (EU) č. 1169/2011 o poskytování informací o potravinách spotřebitelům, přijato bylo rovněž prováděcí nařízení Komise (EU) č. 828/2014 o požadavcích na poskytování informací o nepřítomnosti či sníženém obsahu lepku v potravinách spotřebitelům. Také prostřednictvím prováděcích nařízení Komise byly do rejstříku CHZO zapsány Hořické trubičky (č. 227/2014), Lomnické suchary (č. 326/2014) a Třeboňský kapr (č. 57/2014).</w:t>
      </w:r>
    </w:p>
    <w:p w:rsidR="00B05B4A" w:rsidRDefault="00B05B4A" w:rsidP="00242EDF">
      <w:r>
        <w:t xml:space="preserve">V oblasti veterinární bylo přijato z hlediska horizontálního dopadu důležité nařízení EP a Rady, kterým se stanoví pravidla pro řízení výdajů v oblasti potravinového řetězce, zdraví a dobrých životních podmínek zvířat a zdraví rostlin a rozmnožovacího materiálu rostlin, kterým se mění směrnice Rady 98/56/ES, 2000/29/ES a 2008/90/ES, nařízení (ES) č. 178/2002, (ES) č. 882/2004 a (ES) č. 396/2005, směrnice 2009/128/ES a nařízení (ES) č. 1107/2009 a kterým se zrušují rozhodnutí Rady 66/399/EHS, 76/894/EHS a 2009/470/ES, </w:t>
      </w:r>
      <w:r>
        <w:lastRenderedPageBreak/>
        <w:t xml:space="preserve">které především stanovuje a určuje míru spolufinancování a uznatelné náklady, včetně postupů pro přiznání finanční podpory ze strany EU. Dále bylo přijato nařízení Komise (EU) č. 216/2014 a prováděcí nařízení Komise (EU) č. 1114/2014, kterými se mění nařízení (ES) č. 2075/2005, kterým se stanoví zvláštní předpisy pro úřední kontroly </w:t>
      </w:r>
      <w:proofErr w:type="spellStart"/>
      <w:r>
        <w:t>trichinel</w:t>
      </w:r>
      <w:proofErr w:type="spellEnd"/>
      <w:r>
        <w:t xml:space="preserve"> v mase, nařízení Komise (EU) č. 217/2014, kterým se mění nařízení (ES) č. 2073/2005, pokud jde o salmonelu u jatečně upravených těl prasat, nařízení Komise (EU) č. 218/2014, kterým se mění přílohy nařízení EP a Rady (ES) č. 853/2004 a (ES) č. 854/2004 a nařízení Komise (ES) č. 2074/2005, nařízení Komise (EU) č. 219/2014, kterým se mění příloha I nařízení EP a Rady (ES) č. 854/2004, pokud jde o zvláštní požadavky na prohlídky po porážce prasat domácích, nařízení Komise (EU) č. 633/2014, kterým se mění příloha III nařízení EP a Rady (ES) č. 853/2004 a příloha I nařízení Evropského parlamentu a Rady (ES) č. 854/2004, pokud jde o zvláštní požadavky na nakládání s velkou volně žijící zvěří a na prohlídku po poražení volně žijící zvěře, nařízení Komise (EU) č. 592/2014, kterým se mění nařízení (EU) č. 142/2011, pokud jde o používání vedlejších produktů živočišného původu a získaných produktů jako paliva ve spalovacích zařízeních, prováděcí nařízení Komise (EU) č. 846/2014, kterým se mění příloha D směrnice Rady 92/65/EHS, pokud jde o podmínky pro dárcovská zvířata z čeledi koňovitých, nařízení Komise (EU) č. 1137/2014, kterým se mění příloha III nařízení EP a Rady (ES) č. 853/2004, pokud jde o zpracování některých drobů ze zvířat určených k lidské spotřebě, nařízení Komise (EU) č. 1148/2014, kterým se mění přílohy II, VII, VIII, IX a X nařízení EP a Rady (ES) č. 999/2001 o stanovení pravidel pro prevenci, tlumení a eradikaci některých přenosných spongiformních encefalopatií, prováděcí rozhodnutí Komise 2014/92/EU o změně přílohy II rozhodnutí 97/794/ES, kterým se stanoví některá prováděcí pravidla ke směrnici Rady 91/496/EHS, pokud jde o veterinární kontroly živých zvířat dovážených ze třetích zemí a prováděcí rozhodnutí Komise 2014/709/EU o veterinárních opatřeních pro tlumení afrického moru prasat v některých členských státech a o zrušení prováděcího rozhodnutí 2014/178/EU.</w:t>
      </w:r>
    </w:p>
    <w:p w:rsidR="00B05B4A" w:rsidRDefault="00B05B4A" w:rsidP="00242EDF">
      <w:r>
        <w:t xml:space="preserve">V oblasti fytosanitární byl přijat důležitý horizontální předpis (pozn.: týká se oblasti potravinového řetězce, zdraví a dobrých životních podmínek zvířat a zdraví rostlin a rozmnožovacího materiálu rostlin) </w:t>
      </w:r>
      <w:r w:rsidR="00BC2DA2">
        <w:t>–</w:t>
      </w:r>
      <w:r>
        <w:t xml:space="preserve"> nařízení EP a Rady (EU) č. 652/2014, kterým se stanoví pravidla pro řízení výdajů v oblasti potravinového řetězce, zdraví a dobrých životních podmínek zvířat a zdraví rostlin a rozmnožovacího materiálu rostlin, kterým se mění směrnice Rady 98/56/ES, 2000/29/ES a 2008/90/ES, nařízení EP a Rady (ES) č. 178/2002, (ES) č. 882/2004 a (ES) č. 396/2005, směrnice EP a Rady 2009/128/ES a nařízení EP a Rady (ES) č. 1107/2009 a kterým se zrušují rozhodnutí Rady 66/399/EHS, 76/894/EHS a 2009/470/ES. V oblasti rozmnožovacího materiálu/osiva a sadby/odrůdy byl přijat balíček směrnic, který souvisí se směrnicí k uvádění rozmnožovacího materiálu ovocných rostlin a ovocných rostlin určených k produkci ovoce na trh a který aktualizuje a harmonizuje uceleně režim nastavený směrnicemi z roku 1993. Jedná se o prováděcí směrnici Komise 2014/96/EU o požadavcích </w:t>
      </w:r>
      <w:r>
        <w:lastRenderedPageBreak/>
        <w:t>na označování, uzavírání a balení rozmnožovacího materiálu ovocných rostlin a ovocných rostlin určených k produkci ovoce, spadajících do oblasti působnosti směrnice Rady 2008/90/ES, prováděcí směrnici Komise 2014/97/EU, kterou se provádí směrnice Rady 2008/90/ES, pokud jde o registraci dodavatelů a odrůd a společný seznam odrůd a o prováděcí směrnici Komise 2014/98/EU, kterou se provádí směrnice Rady 2008/90/ES, pokud jde o zvláštní požadavky na rody a druhy ovocných rostlin uvedených v příloze I uvedené směrnice, zvláštní požadavky na dodavatele a podrobná pravidla pro úřední inspekce. Dále byla přijata prováděcí směrnice Komise 2014/20/EU o vymezení tříd Unie pro základní a certifikovanou sadbu brambor a o podmínkách a označování těchto tříd a prováděcí směrnice Komise 2014/21/EU o minimálních podmínkách a třídách Unie pro sadbu brambor předcházející základní sadbě brambor. V oblasti zdraví rostlin/ochrana rostlin proti škodlivým organismům byla přijata řada rozhodnutí týkajících se mimořádných opatření proti určitým škodlivým organismům, v případě přípravků na ochranu rostlin pak bylo přijato několik desítek nařízení, která se týkají povolení účinných látek, resp. doplňují požadavky na údaje o účinných látkách a přípravcích na ochranu rostlin pro účely schvalování či obnovení schválení k zajištění jednotného a harmonizovaného přístupu k posuzování těchto údajů (nařízení Komise č. 1136/2014, kterým se mění nařízení (EU) č. 283/2013, pokud jde o přechodná opatření použitelná na postupy týkající se přípravků na ochranu rostlin).</w:t>
      </w:r>
    </w:p>
    <w:p w:rsidR="00B05B4A" w:rsidRPr="00FF70C1" w:rsidRDefault="00B05B4A" w:rsidP="00242EDF">
      <w:r>
        <w:t>V oblasti Společné rybářské politiky bylo přijato nařízení EP a Rady (EU) č. 508/2014 o Evropském námořním a rybářském fondu a o zrušení nařízení Rady (ES) č. 2328/2003, (ES) č. 861/2006, (ES) č. 1198/2006 a (ES) č. 791/2007 a nařízení EP a Rady (EU) č. 1255/2011.</w:t>
      </w:r>
    </w:p>
    <w:p w:rsidR="00396FE7" w:rsidRDefault="00396FE7" w:rsidP="000B7BEE">
      <w:pPr>
        <w:pStyle w:val="Nadpis1"/>
      </w:pPr>
      <w:bookmarkStart w:id="31" w:name="_Toc417303031"/>
      <w:bookmarkStart w:id="32" w:name="_Toc424307016"/>
      <w:bookmarkStart w:id="33" w:name="_Toc391991462"/>
      <w:bookmarkStart w:id="34" w:name="_Toc261959116"/>
      <w:bookmarkStart w:id="35" w:name="_Toc359920519"/>
      <w:bookmarkStart w:id="36" w:name="_Toc359920520"/>
      <w:r>
        <w:t>2</w:t>
      </w:r>
      <w:r>
        <w:tab/>
        <w:t>Podpory agrárního sektoru a venkova</w:t>
      </w:r>
      <w:bookmarkEnd w:id="31"/>
      <w:bookmarkEnd w:id="32"/>
    </w:p>
    <w:p w:rsidR="00F83615" w:rsidRDefault="00F83615" w:rsidP="00F83615">
      <w:pPr>
        <w:pStyle w:val="souhrn-kap"/>
      </w:pPr>
      <w:r>
        <w:t>V rámci programu PRV celková suma vyplacená v roce 2014 činila 12,6 mld. Kč, což bylo o 13,5 % více než v roce 2013</w:t>
      </w:r>
      <w:r w:rsidR="005926FC">
        <w:t>.</w:t>
      </w:r>
      <w:r w:rsidR="005926FC" w:rsidRPr="005926FC">
        <w:t xml:space="preserve"> </w:t>
      </w:r>
      <w:r w:rsidR="005926FC">
        <w:t>Tento rok</w:t>
      </w:r>
      <w:r>
        <w:t xml:space="preserve"> připadalo 16,6 %</w:t>
      </w:r>
      <w:r w:rsidR="005926FC">
        <w:t xml:space="preserve"> vyplacených prostředků na osu I</w:t>
      </w:r>
      <w:r>
        <w:t>, 59,0 %</w:t>
      </w:r>
      <w:r w:rsidR="005926FC" w:rsidRPr="005926FC">
        <w:t xml:space="preserve"> </w:t>
      </w:r>
      <w:r w:rsidR="005926FC">
        <w:t>na osu II</w:t>
      </w:r>
      <w:r>
        <w:t xml:space="preserve"> a </w:t>
      </w:r>
      <w:r w:rsidR="005926FC">
        <w:t>16,9 </w:t>
      </w:r>
      <w:r>
        <w:t xml:space="preserve">% </w:t>
      </w:r>
      <w:r w:rsidR="005926FC">
        <w:t>na osu III</w:t>
      </w:r>
      <w:r>
        <w:t>. Za víceleté závazky z obdobných opatření předchozích programových dokumentů (HRDP) bylo vynaloženo 0,004 mil. Kč.</w:t>
      </w:r>
    </w:p>
    <w:p w:rsidR="00F83615" w:rsidRDefault="00F83615" w:rsidP="0024506D">
      <w:pPr>
        <w:pStyle w:val="souhrn-kap"/>
      </w:pPr>
      <w:r>
        <w:t>V rámci SAPS byl n</w:t>
      </w:r>
      <w:r w:rsidRPr="00790BA4">
        <w:t xml:space="preserve">a rok 2014 pro ČR celkový příjem plateb ze </w:t>
      </w:r>
      <w:r>
        <w:t>zdrojů EU určen ve </w:t>
      </w:r>
      <w:r w:rsidRPr="00790BA4">
        <w:t xml:space="preserve">výši 773,75 mil. €, což představovalo celkovou nárokovou částku </w:t>
      </w:r>
      <w:r w:rsidRPr="005E5CB9">
        <w:t>21</w:t>
      </w:r>
      <w:r w:rsidR="005E5CB9">
        <w:t> </w:t>
      </w:r>
      <w:r w:rsidRPr="005E5CB9">
        <w:t>278</w:t>
      </w:r>
      <w:r w:rsidR="005E5CB9">
        <w:t xml:space="preserve"> </w:t>
      </w:r>
      <w:r w:rsidRPr="005E5CB9">
        <w:t>mil. Kč</w:t>
      </w:r>
      <w:r w:rsidRPr="00790BA4">
        <w:t>. Na hektar z.</w:t>
      </w:r>
      <w:r>
        <w:t> </w:t>
      </w:r>
      <w:r w:rsidRPr="00790BA4">
        <w:t xml:space="preserve">p. byla stanovena suma 5 997 Kč. </w:t>
      </w:r>
      <w:r w:rsidRPr="00B936E0">
        <w:t>M</w:t>
      </w:r>
      <w:r w:rsidRPr="00F86D3F">
        <w:t xml:space="preserve">ezi přímé platby </w:t>
      </w:r>
      <w:r w:rsidRPr="00B936E0">
        <w:t xml:space="preserve">i nadále </w:t>
      </w:r>
      <w:r>
        <w:t>kromě SAPS patřily oddělená platba za cukr</w:t>
      </w:r>
      <w:r w:rsidRPr="00F86D3F">
        <w:t xml:space="preserve">, oddělená platba za rajčata a zvláštní podpory podle čl. 68 </w:t>
      </w:r>
      <w:r>
        <w:t>nařízení Rady</w:t>
      </w:r>
      <w:r w:rsidRPr="00F86D3F">
        <w:t xml:space="preserve"> (ES) č. 73/2009 </w:t>
      </w:r>
      <w:r>
        <w:t>a nařízení vlády</w:t>
      </w:r>
      <w:r w:rsidR="005E5CB9">
        <w:t xml:space="preserve"> č.</w:t>
      </w:r>
      <w:r>
        <w:t xml:space="preserve"> </w:t>
      </w:r>
      <w:r w:rsidRPr="00F86D3F">
        <w:t>6</w:t>
      </w:r>
      <w:r w:rsidR="005E5CB9">
        <w:t>0</w:t>
      </w:r>
      <w:r w:rsidRPr="00F86D3F">
        <w:t>/2012 Sb.</w:t>
      </w:r>
      <w:r>
        <w:t>,</w:t>
      </w:r>
      <w:r w:rsidRPr="00F86D3F">
        <w:t xml:space="preserve"> směrované na citlivé sektory (</w:t>
      </w:r>
      <w:r w:rsidR="0024506D" w:rsidRPr="0024506D">
        <w:t>brambory pro výrobu škrobu, chmel, telata masného typu a bahnice, popřípadě kozy, pasené na travních porostech, krávy chované v systému s tržní produkcí mléka</w:t>
      </w:r>
      <w:r w:rsidRPr="00F86D3F">
        <w:t>).</w:t>
      </w:r>
      <w:r w:rsidRPr="003E24FE">
        <w:t xml:space="preserve"> </w:t>
      </w:r>
      <w:r w:rsidRPr="00B936E0">
        <w:t>Zároveň</w:t>
      </w:r>
      <w:r w:rsidRPr="00F86D3F">
        <w:t xml:space="preserve"> v ČR mohly </w:t>
      </w:r>
      <w:r>
        <w:t xml:space="preserve">v roce 2014 </w:t>
      </w:r>
      <w:r w:rsidRPr="00F86D3F">
        <w:t>zemědělské podniky žádat o přechodnou vnitrostátní podporu</w:t>
      </w:r>
      <w:r>
        <w:t xml:space="preserve"> (PVP) hrazenou z národních zdrojů. </w:t>
      </w:r>
      <w:r w:rsidRPr="00F86D3F">
        <w:t>V jejím rámci m</w:t>
      </w:r>
      <w:r w:rsidRPr="00B936E0">
        <w:t>ohli</w:t>
      </w:r>
      <w:r w:rsidRPr="00F86D3F">
        <w:t xml:space="preserve"> žadatelé získat dotace na chmel, brambory pro výrobu škrobu, přežvýkavce, na chov ovcí, koz, chov</w:t>
      </w:r>
      <w:r>
        <w:t xml:space="preserve"> krav na maso a </w:t>
      </w:r>
      <w:r w:rsidRPr="00F86D3F">
        <w:t xml:space="preserve">na zemědělskou půdu. </w:t>
      </w:r>
      <w:r>
        <w:t>Objem</w:t>
      </w:r>
      <w:r w:rsidRPr="00B936E0">
        <w:t xml:space="preserve"> finančních prostředků pro tento typ podpory byl pro rok 201</w:t>
      </w:r>
      <w:r>
        <w:t>4</w:t>
      </w:r>
      <w:r w:rsidRPr="00B936E0">
        <w:t xml:space="preserve"> vyčleněn ve výši zhruba </w:t>
      </w:r>
      <w:r>
        <w:t>8</w:t>
      </w:r>
      <w:r w:rsidR="0024506D">
        <w:t>49</w:t>
      </w:r>
      <w:r w:rsidRPr="00B936E0">
        <w:t> mil. Kč</w:t>
      </w:r>
      <w:r>
        <w:t>, z toho rozhodující podíl (77 %) připadl na zemědělskou půdu.</w:t>
      </w:r>
      <w:r w:rsidRPr="003E24FE">
        <w:t xml:space="preserve"> </w:t>
      </w:r>
      <w:r w:rsidRPr="00790BA4">
        <w:t>V roce 2014 nebude při vyplácení PVP uplatňována modulace.</w:t>
      </w:r>
      <w:r>
        <w:t xml:space="preserve"> </w:t>
      </w:r>
      <w:r w:rsidRPr="00D0665C">
        <w:t>Největší skupinu podpor představovaly dotační programy poskytované na základě Zásad, kterými se stanovují podmínky pro poskytování dotací pro rok 201</w:t>
      </w:r>
      <w:r>
        <w:t>4</w:t>
      </w:r>
      <w:r w:rsidRPr="00D0665C">
        <w:t xml:space="preserve"> (totéž pro rok 201</w:t>
      </w:r>
      <w:r>
        <w:t>3</w:t>
      </w:r>
      <w:r w:rsidRPr="00D0665C">
        <w:t xml:space="preserve">). </w:t>
      </w:r>
      <w:r>
        <w:t xml:space="preserve">Největší skupinu podpor představovaly ostatní národní podpory institucí rezortu MZe a jiných rezortů. Jednalo se </w:t>
      </w:r>
      <w:r w:rsidRPr="00D0665C">
        <w:t>zejména o</w:t>
      </w:r>
      <w:r>
        <w:t xml:space="preserve"> podpory </w:t>
      </w:r>
      <w:r>
        <w:lastRenderedPageBreak/>
        <w:t>vyplacené z </w:t>
      </w:r>
      <w:r w:rsidRPr="00D0665C">
        <w:t>nákazového fondu, úvěrové výpomoci a dále o výdaje na tzv. obecné služby</w:t>
      </w:r>
      <w:r>
        <w:t xml:space="preserve"> (tj. </w:t>
      </w:r>
      <w:r w:rsidRPr="00D0665C">
        <w:t>výzkum, servisní činnosti, programy MŽP, pozemkové úpravy a další</w:t>
      </w:r>
      <w:r>
        <w:t>)</w:t>
      </w:r>
      <w:r w:rsidRPr="00D0665C">
        <w:t>.</w:t>
      </w:r>
      <w:r>
        <w:t xml:space="preserve"> </w:t>
      </w:r>
      <w:r w:rsidRPr="00D0665C">
        <w:t>Další významnou skupinu podpor tvořily podpory poskytované prostřednictvím PGRLF (dotace úroků z úvěrů) především v</w:t>
      </w:r>
      <w:r>
        <w:t> </w:t>
      </w:r>
      <w:r w:rsidRPr="00D0665C">
        <w:t xml:space="preserve">rámci jeho investičních programů. PGRLF </w:t>
      </w:r>
      <w:r>
        <w:t xml:space="preserve">rovněž </w:t>
      </w:r>
      <w:r w:rsidRPr="00D0665C">
        <w:t xml:space="preserve">poskytl značnou pomoc </w:t>
      </w:r>
      <w:r>
        <w:t>z </w:t>
      </w:r>
      <w:r w:rsidRPr="00D0665C">
        <w:t>programu „Podpora pojištění“. Od roku 2013 je</w:t>
      </w:r>
      <w:r>
        <w:t xml:space="preserve"> rovněž</w:t>
      </w:r>
      <w:r w:rsidRPr="00D0665C">
        <w:t xml:space="preserve"> poskytována podpora nákupu půdy.</w:t>
      </w:r>
    </w:p>
    <w:p w:rsidR="00396FE7" w:rsidRPr="00EC3602" w:rsidRDefault="00396FE7" w:rsidP="000B7BEE">
      <w:pPr>
        <w:pStyle w:val="Nadpis2"/>
      </w:pPr>
      <w:bookmarkStart w:id="37" w:name="_Toc424307017"/>
      <w:r w:rsidRPr="00EC3602">
        <w:t>2.1</w:t>
      </w:r>
      <w:r w:rsidRPr="00EC3602">
        <w:tab/>
        <w:t>Podpory v rámci politiky rozvoje venkova a rybářství</w:t>
      </w:r>
      <w:bookmarkEnd w:id="33"/>
      <w:bookmarkEnd w:id="37"/>
    </w:p>
    <w:p w:rsidR="00396FE7" w:rsidRPr="00EC3602" w:rsidRDefault="00396FE7" w:rsidP="000B7BEE">
      <w:pPr>
        <w:pStyle w:val="Nadpis3"/>
      </w:pPr>
      <w:bookmarkStart w:id="38" w:name="_Toc265072458"/>
      <w:bookmarkStart w:id="39" w:name="_Toc291061549"/>
      <w:bookmarkStart w:id="40" w:name="_Toc296443097"/>
      <w:bookmarkStart w:id="41" w:name="_Toc328053793"/>
      <w:bookmarkStart w:id="42" w:name="_Toc391991463"/>
      <w:bookmarkStart w:id="43" w:name="_Toc424307018"/>
      <w:bookmarkStart w:id="44" w:name="_Toc233533928"/>
      <w:r w:rsidRPr="00EC3602">
        <w:t>2.1.1</w:t>
      </w:r>
      <w:r w:rsidRPr="00EC3602">
        <w:tab/>
        <w:t>Program rozvoje venkova ČR na období 2007</w:t>
      </w:r>
      <w:r w:rsidRPr="00EC3602">
        <w:noBreakHyphen/>
        <w:t>2013</w:t>
      </w:r>
      <w:bookmarkEnd w:id="38"/>
      <w:bookmarkEnd w:id="39"/>
      <w:bookmarkEnd w:id="40"/>
      <w:bookmarkEnd w:id="41"/>
      <w:bookmarkEnd w:id="42"/>
      <w:bookmarkEnd w:id="43"/>
    </w:p>
    <w:p w:rsidR="00396FE7" w:rsidRPr="00EC3602" w:rsidRDefault="00396FE7" w:rsidP="000B7BEE">
      <w:r w:rsidRPr="00EC3602">
        <w:t>Program rozvoje venkova na období 2007</w:t>
      </w:r>
      <w:r w:rsidRPr="00EC3602">
        <w:noBreakHyphen/>
        <w:t>2013 (PRV) umožň</w:t>
      </w:r>
      <w:r w:rsidR="00E87B7E">
        <w:t>oval</w:t>
      </w:r>
      <w:r w:rsidRPr="00EC3602">
        <w:t xml:space="preserve"> čerpání prostředků pro zemědělství a venkov z Evropského zemědělského fondu pro rozvoj venkova (EAFRD). Celková částka přidělených prostředků z EAFRD </w:t>
      </w:r>
      <w:r w:rsidR="00E87B7E">
        <w:t>byla</w:t>
      </w:r>
      <w:r w:rsidRPr="00EC3602">
        <w:t xml:space="preserve"> přibližně 2,8 mld. €, což spolu s příspěvkem ze státního rozpočtu ČR představ</w:t>
      </w:r>
      <w:r w:rsidR="00E87B7E">
        <w:t>ovalo</w:t>
      </w:r>
      <w:r w:rsidRPr="00EC3602">
        <w:t xml:space="preserve"> na c</w:t>
      </w:r>
      <w:r w:rsidR="00E87B7E">
        <w:t>elé sedmileté období částku 3,7 </w:t>
      </w:r>
      <w:r w:rsidRPr="00EC3602">
        <w:t>mld. €.</w:t>
      </w:r>
    </w:p>
    <w:p w:rsidR="00396FE7" w:rsidRDefault="00396FE7" w:rsidP="000B7BEE">
      <w:r w:rsidRPr="00EC3602">
        <w:t>Cílem PRV je zvýšení konkurenceschopnosti zemědělství, zlepšení stavu životního prostředí a snížení negativních vlivů zemědělského hospodaření, ochrana přírody a rozvoj kvality života na venkově. K realizaci těchto cílů byla připravena opatření v rámci 4 os. V roce 2014 byly vypláceny podpory jak na základě žádostí zaregistrovaných v roce 2014, tak na základě žádostí o dotaci zaregistrovaných v předchozích letech. Přehled opatření PRV podle os a čerpání prostředků na tato opatření za rok 2013 a 2014 je uveden v tab. T2.1/01. Mimo podpor v rámci opatření PRV byly v roce 2013 a 2014 hrazeny víceleté závazky z obdobných opatření předchozích programových dokumentů (HRDP). Celkové prostředky PRV zahrnují i spolufinancování ze státního rozpočtu.</w:t>
      </w:r>
    </w:p>
    <w:p w:rsidR="00F83615" w:rsidRDefault="00F83615" w:rsidP="0056705C">
      <w:r>
        <w:t>Nový programový dokument PRV 2014-2020 byl poprvé oficiálně zaslán Evropské komisi 16. 7. 2014, poté co byl schválen vládou dne 9. července 2014. Po zaslání připomínek Evropské komise oficiální cestou probíhalo intenzivní projednávání a vypořádávání připomínek, které pokračovalo až do začátku roku 2015.</w:t>
      </w:r>
    </w:p>
    <w:p w:rsidR="00B07809" w:rsidRPr="00EC3602" w:rsidRDefault="00B07809" w:rsidP="000B7BEE">
      <w:pPr>
        <w:pStyle w:val="mezera"/>
      </w:pPr>
    </w:p>
    <w:p w:rsidR="00396FE7" w:rsidRDefault="00605EE6" w:rsidP="000B7BEE">
      <w:pPr>
        <w:pStyle w:val="mezera"/>
      </w:pPr>
      <w:r w:rsidRPr="00605EE6">
        <w:rPr>
          <w:noProof/>
          <w:lang w:eastAsia="cs-CZ"/>
        </w:rPr>
        <w:lastRenderedPageBreak/>
        <w:drawing>
          <wp:inline distT="0" distB="0" distL="0" distR="0" wp14:anchorId="353BC5A1" wp14:editId="511982DC">
            <wp:extent cx="5760720" cy="8485577"/>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485577"/>
                    </a:xfrm>
                    <a:prstGeom prst="rect">
                      <a:avLst/>
                    </a:prstGeom>
                    <a:noFill/>
                    <a:ln>
                      <a:noFill/>
                    </a:ln>
                  </pic:spPr>
                </pic:pic>
              </a:graphicData>
            </a:graphic>
          </wp:inline>
        </w:drawing>
      </w:r>
    </w:p>
    <w:p w:rsidR="00396FE7" w:rsidRDefault="00396FE7" w:rsidP="000B7BEE">
      <w:pPr>
        <w:pStyle w:val="mezera"/>
      </w:pPr>
    </w:p>
    <w:p w:rsidR="00396FE7" w:rsidRDefault="00396FE7" w:rsidP="000B7BEE">
      <w:pPr>
        <w:pStyle w:val="mezera"/>
      </w:pPr>
    </w:p>
    <w:p w:rsidR="000B7BEE" w:rsidRDefault="00605EE6" w:rsidP="000B7BEE">
      <w:pPr>
        <w:pStyle w:val="mezera"/>
      </w:pPr>
      <w:r w:rsidRPr="00605EE6">
        <w:rPr>
          <w:noProof/>
          <w:lang w:eastAsia="cs-CZ"/>
        </w:rPr>
        <w:lastRenderedPageBreak/>
        <w:drawing>
          <wp:inline distT="0" distB="0" distL="0" distR="0" wp14:anchorId="5ABE15CD" wp14:editId="4957382F">
            <wp:extent cx="5760720" cy="2261041"/>
            <wp:effectExtent l="0" t="0" r="0" b="635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261041"/>
                    </a:xfrm>
                    <a:prstGeom prst="rect">
                      <a:avLst/>
                    </a:prstGeom>
                    <a:noFill/>
                    <a:ln>
                      <a:noFill/>
                    </a:ln>
                  </pic:spPr>
                </pic:pic>
              </a:graphicData>
            </a:graphic>
          </wp:inline>
        </w:drawing>
      </w:r>
    </w:p>
    <w:p w:rsidR="00396FE7" w:rsidRDefault="00396FE7" w:rsidP="000B7BEE">
      <w:pPr>
        <w:pStyle w:val="mezera"/>
      </w:pPr>
    </w:p>
    <w:p w:rsidR="00396FE7" w:rsidRPr="00EC3602" w:rsidRDefault="00396FE7" w:rsidP="000B7BEE">
      <w:r w:rsidRPr="00EC3602">
        <w:t>Osa I je zaměřena na podporu konkurenceschopnosti zemědělství a lesnictví a posílení rozvoje podnikání v zemědělské výrobě a v navazujícím potravinářství. V roce 2014 bylo prostřednictvím osy I vyplaceno 16,6 % celkových prostředků PRV ze zdrojů EAFRD.</w:t>
      </w:r>
    </w:p>
    <w:p w:rsidR="00396FE7" w:rsidRPr="00EC3602" w:rsidRDefault="00396FE7" w:rsidP="000B7BEE">
      <w:r w:rsidRPr="00EC3602">
        <w:t>Cílem osy II je zvýšení biologické rozmanitosti, ochrana vod a půdy a zmírnění dopadů klimatických změn. Z celkového objemu finančních prostředků vyplacených z PRV ze zdrojů EAFRD bylo na jejich splnění v roce 2014 použito 59 %. Většina opatření osy II je vázána na podmínky kontroly podmíněnosti (viz kap. 2.2). Pokračující opatření Horizontálního plánu rozvoje venkova (HRDP) z období 2004</w:t>
      </w:r>
      <w:r w:rsidRPr="00EC3602">
        <w:noBreakHyphen/>
        <w:t>2006, hrazená od roku 2008 ze zdrojů PRV, jsou uvedena v tab. T2.1/02</w:t>
      </w:r>
      <w:r w:rsidRPr="00EC3602">
        <w:rPr>
          <w:i/>
          <w:vertAlign w:val="superscript"/>
        </w:rPr>
        <w:footnoteReference w:id="19"/>
      </w:r>
      <w:r w:rsidRPr="00EC3602">
        <w:t>. Vzhledem k přelomu mezi novým a starým programovým období</w:t>
      </w:r>
      <w:r w:rsidR="00626F95">
        <w:t>m</w:t>
      </w:r>
      <w:r w:rsidRPr="00EC3602">
        <w:t xml:space="preserve"> byla část opatření v této ose částečně financována z rozpočtu nového PRV 2014-2020 (viz tab. T2.1/01 a T2.1/02).</w:t>
      </w:r>
    </w:p>
    <w:p w:rsidR="00396FE7" w:rsidRPr="00EC3602" w:rsidRDefault="00396FE7" w:rsidP="000B7BEE">
      <w:r w:rsidRPr="00EC3602">
        <w:t>Osa III, týkající se zlepšování kvality života ve venkovských oblastech a diverzifikace aktivit venkova, je zaměřena na tvorbu pracovních příležitostí a podporu využívání obnovitelných zdrojů energie, na růst kvality života na venkově a na vzdělávání. Na osu III bylo využito 16,9 % z celkových vyplacených prostředků EAFRD.</w:t>
      </w:r>
    </w:p>
    <w:p w:rsidR="00396FE7" w:rsidRPr="00EC3602" w:rsidRDefault="00396FE7" w:rsidP="000B7BEE">
      <w:r w:rsidRPr="003B1068">
        <w:t xml:space="preserve">Osa IV – LEADER je osou metodickou, při které je uplatňován princip </w:t>
      </w:r>
      <w:r w:rsidR="008969A9" w:rsidRPr="003B1068">
        <w:t>„</w:t>
      </w:r>
      <w:r w:rsidRPr="003B1068">
        <w:t>zdola-nahoru</w:t>
      </w:r>
      <w:r w:rsidR="008969A9" w:rsidRPr="003B1068">
        <w:t>“</w:t>
      </w:r>
      <w:r w:rsidRPr="003B1068">
        <w:t xml:space="preserve">. Realizovány jsou dílčí projekty vybrané </w:t>
      </w:r>
      <w:r w:rsidR="003B1068" w:rsidRPr="003B1068">
        <w:t xml:space="preserve">především </w:t>
      </w:r>
      <w:r w:rsidRPr="003B1068">
        <w:t>k realizaci strategického plánu LEADER na území vybrané místní akční skupiny.</w:t>
      </w:r>
    </w:p>
    <w:bookmarkEnd w:id="44"/>
    <w:p w:rsidR="00396FE7" w:rsidRPr="00EC3602" w:rsidRDefault="00396FE7" w:rsidP="000B7BEE">
      <w:r w:rsidRPr="00EC3602">
        <w:t>V rámci osy V jsou poskytovány podpory na zajištění činností souvisejících s přípravou, řízením, monitoringem, hodnocením, šířením informací a kontrolními činnostmi ve vztahu k realizaci PRV a další akce v rámci zřízení a provozu Celostátní sítě pro venkov.</w:t>
      </w:r>
    </w:p>
    <w:p w:rsidR="00396FE7" w:rsidRDefault="00396FE7" w:rsidP="000B7BEE">
      <w:r w:rsidRPr="00EC3602">
        <w:t xml:space="preserve">Celkem bylo v roce 2014 na opatření programů HRDP a PRV vynaloženo 12,6 mld. Kč, </w:t>
      </w:r>
      <w:r w:rsidR="00626F95">
        <w:t>což je o</w:t>
      </w:r>
      <w:r w:rsidRPr="00EC3602">
        <w:t xml:space="preserve"> 13,5 % </w:t>
      </w:r>
      <w:r w:rsidR="00626F95">
        <w:t xml:space="preserve">více </w:t>
      </w:r>
      <w:r w:rsidRPr="00EC3602">
        <w:t>vyplacených finančních prostředků oproti roku 2013.</w:t>
      </w:r>
    </w:p>
    <w:p w:rsidR="00817FD1" w:rsidRPr="00790BA4" w:rsidRDefault="00817FD1" w:rsidP="000B7BEE">
      <w:pPr>
        <w:pStyle w:val="Nadpis3"/>
      </w:pPr>
      <w:bookmarkStart w:id="45" w:name="_Toc424307019"/>
      <w:r w:rsidRPr="00790BA4">
        <w:lastRenderedPageBreak/>
        <w:t>2.1.2</w:t>
      </w:r>
      <w:r w:rsidRPr="00790BA4">
        <w:tab/>
        <w:t>Operační program Rybářství</w:t>
      </w:r>
      <w:bookmarkEnd w:id="45"/>
    </w:p>
    <w:p w:rsidR="00817FD1" w:rsidRPr="00790BA4" w:rsidRDefault="00817FD1" w:rsidP="000B7BEE">
      <w:pPr>
        <w:pStyle w:val="Norm-Bold"/>
      </w:pPr>
      <w:r w:rsidRPr="00790BA4">
        <w:t>Operační program Rybářství na období 2007</w:t>
      </w:r>
      <w:r w:rsidRPr="00790BA4">
        <w:noBreakHyphen/>
        <w:t>2013</w:t>
      </w:r>
    </w:p>
    <w:p w:rsidR="00817FD1" w:rsidRPr="00790BA4" w:rsidRDefault="00817FD1" w:rsidP="000B7BEE">
      <w:r w:rsidRPr="00790BA4">
        <w:t>Operační program Rybářství na období 2007</w:t>
      </w:r>
      <w:r>
        <w:noBreakHyphen/>
      </w:r>
      <w:r w:rsidRPr="00790BA4">
        <w:t>2013</w:t>
      </w:r>
      <w:r>
        <w:t xml:space="preserve"> (dále jen OP Rybářství)</w:t>
      </w:r>
      <w:r w:rsidRPr="00790BA4">
        <w:t xml:space="preserve"> jako střednědobý programový dokument</w:t>
      </w:r>
      <w:r w:rsidRPr="008920CB">
        <w:rPr>
          <w:rStyle w:val="Znakapoznpodarou"/>
        </w:rPr>
        <w:footnoteReference w:id="20"/>
      </w:r>
      <w:r w:rsidRPr="00790BA4">
        <w:t xml:space="preserve"> podporuje rybářství z Evropského rybářského fondu (EFF) za účelem prosazování cílů Společné rybářské politiky. Tento Program byl rozčleněn do třech prioritních os 2, 3 a 5 a pokrýval oblasti, na které se vztahuje cíl </w:t>
      </w:r>
      <w:r>
        <w:t>„</w:t>
      </w:r>
      <w:r w:rsidRPr="00790BA4">
        <w:t>Konvergence</w:t>
      </w:r>
      <w:r>
        <w:t>“</w:t>
      </w:r>
      <w:r w:rsidRPr="00790BA4">
        <w:t>, tzn. celé území České republiky, vyjma hlavního města Prahy</w:t>
      </w:r>
      <w:r w:rsidRPr="00790BA4">
        <w:rPr>
          <w:b/>
          <w:bCs/>
        </w:rPr>
        <w:t>.</w:t>
      </w:r>
      <w:r w:rsidRPr="00790BA4">
        <w:t xml:space="preserve"> Jednotlivá opatření OP Rybářství 2007</w:t>
      </w:r>
      <w:r w:rsidRPr="00790BA4">
        <w:noBreakHyphen/>
        <w:t>2013 byla zaměřena na posílení konkurenceschopnosti, na udržení stávající produkce ryb a zachování současné úrovně zaměstnanosti v odvětví rybářství. Cílem Programu bylo směrování podpor v tomto sektoru tak, aby opatření realizovaná podle nařízení o EFF přispěla k dosažení obecných cílů stanovených v čl. 33 Smlouvy o Evropském společenství</w:t>
      </w:r>
      <w:r>
        <w:t xml:space="preserve"> (čl. 39 Smlouvy o fungování EU)</w:t>
      </w:r>
      <w:r w:rsidRPr="00790BA4">
        <w:t xml:space="preserve"> a cílů definovaných jako součást Společné rybářské politiky (SRP). Na celé programov</w:t>
      </w:r>
      <w:r>
        <w:t>é</w:t>
      </w:r>
      <w:r w:rsidRPr="00790BA4">
        <w:t xml:space="preserve"> období 2007</w:t>
      </w:r>
      <w:r w:rsidRPr="00790BA4">
        <w:noBreakHyphen/>
      </w:r>
      <w:r>
        <w:t>20</w:t>
      </w:r>
      <w:r w:rsidRPr="00790BA4">
        <w:t>13 byly České republice vyčleněny finanční prostředky v celkové výši 36,1 mil. € (75 % z fondu EFF a 25 % z národních veřejných zdrojů).</w:t>
      </w:r>
    </w:p>
    <w:p w:rsidR="00817FD1" w:rsidRPr="00790BA4" w:rsidRDefault="00817FD1" w:rsidP="000B7BEE">
      <w:r w:rsidRPr="00790BA4">
        <w:t xml:space="preserve">Prostřednictvím </w:t>
      </w:r>
      <w:r>
        <w:t>OP</w:t>
      </w:r>
      <w:r w:rsidRPr="00790BA4">
        <w:t xml:space="preserve"> Rybářství bylo v ČR podporováno udržení stávající produkce sladkovodních ryb, modernizace a rozšíření zpracovatelských kapacit za účelem zvýšit přidanou hodnotu výrobků a zefektivnit výrobu podniků. Podpory byly rovněž zaměřeny na odstranění vlivu činnosti tohoto odvětví na životní prostředí, na podporu produkčních metod šetrných k životnímu prostředí, na ověřování výsledků aplikovaného výzkumu a na zavádění nových technologií do rybářských podniků v rámci pilotních projektů. Část prostředků byla určena na odborné vzdělávací aktivity v odvětví rybářství.</w:t>
      </w:r>
    </w:p>
    <w:p w:rsidR="00817FD1" w:rsidRDefault="00817FD1" w:rsidP="000B7BEE">
      <w:r w:rsidRPr="00790BA4">
        <w:t xml:space="preserve">V roce 2014 byla spuštěna poslední dvě kola (tj. devatenácté a dvacáté) </w:t>
      </w:r>
      <w:r>
        <w:t xml:space="preserve">příjmu </w:t>
      </w:r>
      <w:r w:rsidRPr="00790BA4">
        <w:t>žádostí o dotac</w:t>
      </w:r>
      <w:r>
        <w:t>i</w:t>
      </w:r>
      <w:r w:rsidRPr="00790BA4">
        <w:t xml:space="preserve"> z tohoto programu. Devatenácté kolo bylo otevřeno v březnu 2014 a bylo zaměřeno na podporu projektů v rámci Opatření na ochranu a rozvoj vodních živočichů a rostlin, záměr b) vysazování úhoře říčního. Všechna opatření v rámci posledního dvacátého kola, které bylo spuštěno v </w:t>
      </w:r>
      <w:r>
        <w:t>září</w:t>
      </w:r>
      <w:r w:rsidRPr="00790BA4">
        <w:t xml:space="preserve"> 2014, byla zaměřena na podporu projektů, které přispějí k posílení konkurenceschopnosti rybářského odvětví.</w:t>
      </w:r>
    </w:p>
    <w:p w:rsidR="00817FD1" w:rsidRDefault="00817FD1" w:rsidP="000B7BEE">
      <w:pPr>
        <w:rPr>
          <w:rFonts w:eastAsia="Calibri"/>
        </w:rPr>
      </w:pPr>
      <w:r w:rsidRPr="00790BA4">
        <w:rPr>
          <w:rFonts w:eastAsia="Calibri"/>
        </w:rPr>
        <w:t>V roce 2014 dosáhl objem čerpání finančních prostředků z OP Rybářství částku 77,</w:t>
      </w:r>
      <w:r w:rsidR="008829BC">
        <w:rPr>
          <w:rFonts w:eastAsia="Calibri"/>
        </w:rPr>
        <w:t>8</w:t>
      </w:r>
      <w:r w:rsidRPr="00790BA4">
        <w:rPr>
          <w:rFonts w:eastAsia="Calibri"/>
        </w:rPr>
        <w:t> mil. Kč, z toho 64 % bylo využito v rámci prioritní osy 2, a to především v rámci Opatření 2.1. Podíl prioritní osy 3 z celkového objemu proplacených prostředků představoval 32 %. Mírně převažoval zájem o Opatření 3.2</w:t>
      </w:r>
      <w:r w:rsidR="008829BC">
        <w:rPr>
          <w:rFonts w:eastAsia="Calibri"/>
        </w:rPr>
        <w:t>.</w:t>
      </w:r>
      <w:r w:rsidRPr="00790BA4">
        <w:rPr>
          <w:rFonts w:eastAsia="Calibri"/>
        </w:rPr>
        <w:t xml:space="preserve"> zaměřené na ochranu a rozvoj vodních živočichů a rostlin.</w:t>
      </w:r>
    </w:p>
    <w:p w:rsidR="00817FD1" w:rsidRPr="00790BA4" w:rsidRDefault="00817FD1" w:rsidP="000B7BEE">
      <w:pPr>
        <w:rPr>
          <w:rFonts w:eastAsia="Calibri"/>
        </w:rPr>
      </w:pPr>
      <w:r w:rsidRPr="00790BA4">
        <w:rPr>
          <w:rFonts w:eastAsia="Calibri"/>
        </w:rPr>
        <w:lastRenderedPageBreak/>
        <w:t xml:space="preserve">Za období trvání </w:t>
      </w:r>
      <w:r>
        <w:rPr>
          <w:rFonts w:eastAsia="Calibri"/>
        </w:rPr>
        <w:t>OP</w:t>
      </w:r>
      <w:r w:rsidRPr="00790BA4">
        <w:rPr>
          <w:rFonts w:eastAsia="Calibri"/>
        </w:rPr>
        <w:t xml:space="preserve"> Rybářství, tj. 2007</w:t>
      </w:r>
      <w:r w:rsidRPr="00790BA4">
        <w:rPr>
          <w:rFonts w:eastAsia="Calibri"/>
        </w:rPr>
        <w:noBreakHyphen/>
        <w:t xml:space="preserve">2014 byly v ČR podpořeny projekty v oblasti akvakultury v celkové částce 692,5 mil. Kč. Největší zájem žadatelů byl o prioritní osu 2, </w:t>
      </w:r>
      <w:r>
        <w:rPr>
          <w:rFonts w:eastAsia="Calibri"/>
        </w:rPr>
        <w:t>ze které bylo čerpán</w:t>
      </w:r>
      <w:r w:rsidRPr="00790BA4">
        <w:rPr>
          <w:rFonts w:eastAsia="Calibri"/>
        </w:rPr>
        <w:t>o téměř 60 % prostředků (tj. 414,</w:t>
      </w:r>
      <w:r>
        <w:rPr>
          <w:rFonts w:eastAsia="Calibri"/>
        </w:rPr>
        <w:t>5</w:t>
      </w:r>
      <w:r w:rsidRPr="00790BA4">
        <w:rPr>
          <w:rFonts w:eastAsia="Calibri"/>
        </w:rPr>
        <w:t xml:space="preserve"> mil. Kč), z toho dominantní objem prostředků připadl na Opatření 2.1. cílené na podporu produktivních investic do akvakultury. V rámci prioritní osy 3, kam </w:t>
      </w:r>
      <w:r>
        <w:rPr>
          <w:rFonts w:eastAsia="Calibri"/>
        </w:rPr>
        <w:t>v roce 2014</w:t>
      </w:r>
      <w:r w:rsidRPr="00790BA4">
        <w:rPr>
          <w:rFonts w:eastAsia="Calibri"/>
        </w:rPr>
        <w:t xml:space="preserve"> směřovalo více než 37 % (tj. 258,</w:t>
      </w:r>
      <w:r>
        <w:rPr>
          <w:rFonts w:eastAsia="Calibri"/>
        </w:rPr>
        <w:t>1</w:t>
      </w:r>
      <w:r w:rsidRPr="00790BA4">
        <w:rPr>
          <w:rFonts w:eastAsia="Calibri"/>
        </w:rPr>
        <w:t> mil. Kč) z celkového objemu prostředků</w:t>
      </w:r>
      <w:r w:rsidR="008829BC">
        <w:rPr>
          <w:rFonts w:eastAsia="Calibri"/>
        </w:rPr>
        <w:t>,</w:t>
      </w:r>
      <w:r w:rsidRPr="00790BA4">
        <w:rPr>
          <w:rFonts w:eastAsia="Calibri"/>
        </w:rPr>
        <w:t xml:space="preserve"> byl největší zájem o Opat</w:t>
      </w:r>
      <w:r>
        <w:rPr>
          <w:rFonts w:eastAsia="Calibri"/>
        </w:rPr>
        <w:t>ření 3.3. zaměřené na Podporu a </w:t>
      </w:r>
      <w:r w:rsidRPr="00790BA4">
        <w:rPr>
          <w:rFonts w:eastAsia="Calibri"/>
        </w:rPr>
        <w:t>rozvoj nových trhů a propagační kampaně.</w:t>
      </w:r>
    </w:p>
    <w:p w:rsidR="00817FD1" w:rsidRPr="00790BA4" w:rsidRDefault="00817FD1" w:rsidP="000B7BEE">
      <w:pPr>
        <w:pStyle w:val="mezera"/>
      </w:pPr>
    </w:p>
    <w:p w:rsidR="00817FD1" w:rsidRDefault="007B41B7" w:rsidP="000B7BEE">
      <w:pPr>
        <w:pStyle w:val="mezera"/>
      </w:pPr>
      <w:r w:rsidRPr="007B41B7">
        <w:rPr>
          <w:noProof/>
          <w:lang w:eastAsia="cs-CZ"/>
        </w:rPr>
        <w:drawing>
          <wp:inline distT="0" distB="0" distL="0" distR="0" wp14:anchorId="32132D54" wp14:editId="24BEC995">
            <wp:extent cx="5760720" cy="1811254"/>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811254"/>
                    </a:xfrm>
                    <a:prstGeom prst="rect">
                      <a:avLst/>
                    </a:prstGeom>
                    <a:noFill/>
                    <a:ln>
                      <a:noFill/>
                    </a:ln>
                  </pic:spPr>
                </pic:pic>
              </a:graphicData>
            </a:graphic>
          </wp:inline>
        </w:drawing>
      </w:r>
    </w:p>
    <w:p w:rsidR="00BC4880" w:rsidRPr="00790BA4" w:rsidRDefault="00BC4880" w:rsidP="000B7BEE">
      <w:pPr>
        <w:pStyle w:val="mezera"/>
      </w:pPr>
    </w:p>
    <w:p w:rsidR="00817FD1" w:rsidRPr="00790BA4" w:rsidRDefault="00817FD1" w:rsidP="000B7BEE">
      <w:pPr>
        <w:pStyle w:val="Norm-Bold"/>
      </w:pPr>
      <w:r w:rsidRPr="00790BA4">
        <w:t>Operační program Rybářství na období 2014</w:t>
      </w:r>
      <w:r>
        <w:noBreakHyphen/>
      </w:r>
      <w:r w:rsidRPr="00790BA4">
        <w:t>2020</w:t>
      </w:r>
    </w:p>
    <w:p w:rsidR="00817FD1" w:rsidRPr="00790BA4" w:rsidRDefault="00817FD1" w:rsidP="00E406EF">
      <w:r w:rsidRPr="00790BA4">
        <w:t>Období let 2014</w:t>
      </w:r>
      <w:r>
        <w:noBreakHyphen/>
      </w:r>
      <w:r w:rsidRPr="00790BA4">
        <w:t>2020 bude v EU odvětví akvakultury výrazně ovlivněno uplatňováním principů Společné rybářské politiky důsledně vycházející z klíčového strategického dokumentu Evropské unie EVROPA 2020 postaveného na účinnějším využití veškerých zdrojů, inovací a výsledků vědy a výzkumu a lidských zdrojů.</w:t>
      </w:r>
    </w:p>
    <w:p w:rsidR="00817FD1" w:rsidRPr="00790BA4" w:rsidRDefault="00817FD1" w:rsidP="00E406EF">
      <w:r w:rsidRPr="00790BA4">
        <w:t>V České republice byl na základě těchto principů zpracován Operační program Rybářství na období 2014</w:t>
      </w:r>
      <w:r>
        <w:noBreakHyphen/>
      </w:r>
      <w:r w:rsidRPr="00790BA4">
        <w:t>2020</w:t>
      </w:r>
      <w:r>
        <w:t xml:space="preserve"> (dále jen OP Rybářství)</w:t>
      </w:r>
      <w:r w:rsidRPr="00790BA4">
        <w:t xml:space="preserve">, </w:t>
      </w:r>
      <w:r>
        <w:t>který je nástrojem čerpání podpory z </w:t>
      </w:r>
      <w:r w:rsidRPr="009E0D5F">
        <w:t>ENRF</w:t>
      </w:r>
      <w:r w:rsidRPr="008920CB">
        <w:rPr>
          <w:rStyle w:val="Znakapoznpodarou"/>
        </w:rPr>
        <w:footnoteReference w:id="21"/>
      </w:r>
      <w:r w:rsidRPr="009E0D5F">
        <w:t xml:space="preserve"> a naplňuje priority Unie v oblasti udržitelného rozvoje akvakultury (priorita Unie 2 Podpora environmentálně udržitelné, inovativní a konkurenceschopné akvakultury založené na znalostech a účinně využívající zdroje, priorita Unie 3 Podpora provádění společné rybářské politiky, priorita Unie 5 Podpora uvádění na trh a zpracování).</w:t>
      </w:r>
      <w:r>
        <w:t xml:space="preserve"> OP Rybářství 2014</w:t>
      </w:r>
      <w:r>
        <w:noBreakHyphen/>
        <w:t>2020 navazuje na OP Rybářství</w:t>
      </w:r>
      <w:r w:rsidRPr="009E0D5F">
        <w:t xml:space="preserve"> </w:t>
      </w:r>
      <w:r>
        <w:t>2007-2013.</w:t>
      </w:r>
    </w:p>
    <w:p w:rsidR="00817FD1" w:rsidRDefault="00817FD1" w:rsidP="00E406EF">
      <w:r w:rsidRPr="00790BA4">
        <w:t>Hlavní priority OP Rybářství na období let 2014</w:t>
      </w:r>
      <w:r>
        <w:noBreakHyphen/>
      </w:r>
      <w:r w:rsidRPr="00790BA4">
        <w:t xml:space="preserve">2020 jsou cíleny na zachování udržitelné produkce tržních ryb z tradiční akvakultury v ČR, investování do recirkulačních zařízení za účelem zvýšení produkce a na investování do konkurenceschopnosti tradiční akvakultury. Velká pozornost bude v příštím období věnována také zvýšení podílu </w:t>
      </w:r>
      <w:r w:rsidRPr="00790BA4">
        <w:lastRenderedPageBreak/>
        <w:t>zpracovaných ryb, propagaci akvakultury a </w:t>
      </w:r>
      <w:r>
        <w:t>podpoře transferu vědeckých poznatků do podniků akvakultury</w:t>
      </w:r>
      <w:r w:rsidRPr="00082FBD">
        <w:t xml:space="preserve"> </w:t>
      </w:r>
      <w:r>
        <w:t xml:space="preserve">a </w:t>
      </w:r>
      <w:r w:rsidRPr="00790BA4">
        <w:t>for</w:t>
      </w:r>
      <w:r>
        <w:t>em</w:t>
      </w:r>
      <w:r w:rsidRPr="00790BA4">
        <w:t xml:space="preserve"> hospodaření přispívající k zachování či zlepšování stavu životního prostředí</w:t>
      </w:r>
      <w:r>
        <w:t>.</w:t>
      </w:r>
      <w:r w:rsidR="00917AAD">
        <w:t xml:space="preserve"> Celková alokace OP Rybářství 2014-2020 je ve výši cca 1,11 mld. Kč, z toho cca 840 mil. Kč z EU a cca 271 mil. Kč z národního rozpočtu.</w:t>
      </w:r>
    </w:p>
    <w:p w:rsidR="00396FE7" w:rsidRPr="00790BA4" w:rsidRDefault="00396FE7" w:rsidP="000B7BEE">
      <w:pPr>
        <w:pStyle w:val="Nadpis2"/>
      </w:pPr>
      <w:bookmarkStart w:id="46" w:name="_Toc424307020"/>
      <w:r w:rsidRPr="00790BA4">
        <w:t>2.2</w:t>
      </w:r>
      <w:r w:rsidRPr="00790BA4">
        <w:tab/>
        <w:t>Přímé platby</w:t>
      </w:r>
      <w:bookmarkEnd w:id="46"/>
    </w:p>
    <w:p w:rsidR="00396FE7" w:rsidRDefault="00396FE7" w:rsidP="000B7BEE">
      <w:bookmarkStart w:id="47" w:name="_Toc359920521"/>
      <w:r w:rsidRPr="00790BA4">
        <w:t xml:space="preserve">Přímé platby jsou nejvýznamnější kategorií podpor, které jsou poskytovány českému zemědělství po vstupu ČR do EU. </w:t>
      </w:r>
      <w:r w:rsidRPr="00A44BDA">
        <w:t xml:space="preserve">V letech 2013 a 2014 mezi přímé platby shodně patřily: SAPS, oddělená platba za </w:t>
      </w:r>
      <w:r w:rsidRPr="00E0254F">
        <w:t>cukr (S</w:t>
      </w:r>
      <w:r w:rsidR="00E0254F" w:rsidRPr="00E0254F">
        <w:t>S</w:t>
      </w:r>
      <w:r w:rsidRPr="00E0254F">
        <w:t>P),</w:t>
      </w:r>
      <w:r w:rsidRPr="00A44BDA">
        <w:t xml:space="preserve"> oddělená platba za rajčata (STP) a zvláštní podpory podle čl. 68 NR (ES) č. 73/2009 a </w:t>
      </w:r>
      <w:r w:rsidR="006F287F">
        <w:t>nařízení vlády</w:t>
      </w:r>
      <w:r w:rsidRPr="00A44BDA">
        <w:t xml:space="preserve"> </w:t>
      </w:r>
      <w:r w:rsidR="006F287F">
        <w:t xml:space="preserve">č. </w:t>
      </w:r>
      <w:r w:rsidRPr="00E0254F">
        <w:t>6</w:t>
      </w:r>
      <w:r w:rsidR="00E0254F" w:rsidRPr="00E0254F">
        <w:t>0</w:t>
      </w:r>
      <w:r w:rsidRPr="00E0254F">
        <w:t xml:space="preserve">/2012 Sb. směrované na citlivé sektory (brambory pro výrobu škrobu, chmel, telata masného typu a </w:t>
      </w:r>
      <w:r w:rsidR="00CB2904">
        <w:t>bahnice</w:t>
      </w:r>
      <w:r w:rsidRPr="00E0254F">
        <w:t>, popřípadě kozy, pasené na travních porostech</w:t>
      </w:r>
      <w:r w:rsidR="00E0254F" w:rsidRPr="00E0254F">
        <w:t>, krávy chované v systému s tržní produkcí mléka</w:t>
      </w:r>
      <w:r w:rsidRPr="00E0254F">
        <w:t>).</w:t>
      </w:r>
    </w:p>
    <w:p w:rsidR="00396FE7" w:rsidRDefault="00396FE7" w:rsidP="000B7BEE">
      <w:r w:rsidRPr="00790BA4">
        <w:t xml:space="preserve">V naprosté většině jsou </w:t>
      </w:r>
      <w:r>
        <w:t xml:space="preserve">přímé </w:t>
      </w:r>
      <w:r w:rsidRPr="00790BA4">
        <w:t>platby poskytovány na hektar obhospodařované zemědělské půdy evidované v rámci LPIS a jsou vypláceny ze zdrojů EU v systému SAPS (tzv. jednotná platba na plochu). SAPS je hlavní přímou platbou plně hrazenou z prostředků Evropské Unie, o kterou může žádat fyzická nebo právnická osoba obhospodařující zemědělskou půdu.</w:t>
      </w:r>
    </w:p>
    <w:p w:rsidR="00396FE7" w:rsidRDefault="00396FE7" w:rsidP="000B7BEE">
      <w:r w:rsidRPr="00790BA4">
        <w:t xml:space="preserve">Evropská komise v roce 2009 vydala nařízení rady (ES) č. 73/2009, kterým se stanoví společná pravidla pro režimy přímých podpor v rámci společné zemědělské politiky, kterým se zavádějí některé režimy podpor pro zemědělce a </w:t>
      </w:r>
      <w:r>
        <w:t>kterým se mění nařízení (ES) č. </w:t>
      </w:r>
      <w:r w:rsidRPr="00790BA4">
        <w:t>1290/2005, (ES) č. 247/2006, (ES) č. 378/2007 a zrušuj</w:t>
      </w:r>
      <w:r>
        <w:t>e nařízení (ES) č. 1782/2003. V </w:t>
      </w:r>
      <w:r w:rsidRPr="00790BA4">
        <w:t>roce 2013 dosáhla výše plateb pro ČR v rámci SAPS 100% úrovně plateb poskytovaných v EU 15. Pro rok 2014 bylo vydáno nařízení Evrop</w:t>
      </w:r>
      <w:r>
        <w:t>ského parlamentu a Rady (EU) č. </w:t>
      </w:r>
      <w:r w:rsidRPr="00790BA4">
        <w:t xml:space="preserve">1310/2013. Přímé platby mohou být žadatelům přiděleny, pokud plní zásady </w:t>
      </w:r>
      <w:r w:rsidR="008969A9">
        <w:t>„</w:t>
      </w:r>
      <w:r w:rsidRPr="00790BA4">
        <w:t>podmíněnosti</w:t>
      </w:r>
      <w:r w:rsidR="008969A9">
        <w:t>“</w:t>
      </w:r>
      <w:r w:rsidRPr="00790BA4">
        <w:t xml:space="preserve"> zahrnující tři oblasti: 1) veřejné zdraví, zdraví zvířat a rostlin, 2) životní prostředí, 3) dobré životní podmínky zvířat. V případě neplnění jsou tyto platby žadateli sníženy nebo zcela odebrány.</w:t>
      </w:r>
      <w:r>
        <w:t xml:space="preserve"> </w:t>
      </w:r>
      <w:r w:rsidRPr="00790BA4">
        <w:t>Souběžně se SAPS měla ČR možnost dorovnávat přímé podpory z vlastních národních zdrojů.</w:t>
      </w:r>
    </w:p>
    <w:p w:rsidR="00396FE7" w:rsidRPr="00790BA4" w:rsidRDefault="00396FE7" w:rsidP="000B7BEE">
      <w:r w:rsidRPr="00790BA4">
        <w:t>V roce 2013 byla již druhým rokem po sobě uplatňována modulace plateb (v souladu s čl. 10 nařízení Rady (ES) č. 73/2009). V roce 2014 již nebyla modulace uplatňována.</w:t>
      </w:r>
    </w:p>
    <w:p w:rsidR="00396FE7" w:rsidRDefault="00396FE7" w:rsidP="000B7BEE">
      <w:r w:rsidRPr="00790BA4">
        <w:t>V roce 2013 byla při výplatě doplatků přímých plateb zemědělským podnikům nově zohledněna tzv. finanční kázeň. To znamenalo, že žadatelům, jejichž celkový součet přímých plateb převýšil úroveň 2 tis. € (tj. 51 460 Kč) byla snížena částka přesahující tento stanovený limit o 2,453658 %. V roce 2014 to bylo 1,302214 %.</w:t>
      </w:r>
    </w:p>
    <w:p w:rsidR="00396FE7" w:rsidRDefault="00396FE7" w:rsidP="000B7BEE">
      <w:pPr>
        <w:pStyle w:val="Nadpis3"/>
      </w:pPr>
      <w:bookmarkStart w:id="48" w:name="_Toc424307021"/>
      <w:r w:rsidRPr="00790BA4">
        <w:lastRenderedPageBreak/>
        <w:t>2.2.1</w:t>
      </w:r>
      <w:r w:rsidRPr="00790BA4">
        <w:tab/>
        <w:t>Přímé platby ze zdrojů EU</w:t>
      </w:r>
      <w:bookmarkEnd w:id="47"/>
      <w:bookmarkEnd w:id="48"/>
    </w:p>
    <w:p w:rsidR="00396FE7" w:rsidRPr="00790BA4" w:rsidRDefault="00396FE7" w:rsidP="000B7BEE">
      <w:pPr>
        <w:pStyle w:val="Norm-Bold"/>
      </w:pPr>
      <w:r w:rsidRPr="00790BA4">
        <w:t>Jednotná platba na plochu (SAPS)</w:t>
      </w:r>
    </w:p>
    <w:p w:rsidR="00396FE7" w:rsidRPr="00790BA4" w:rsidRDefault="00396FE7" w:rsidP="000B7BEE">
      <w:r w:rsidRPr="00790BA4">
        <w:t xml:space="preserve">Na rok 2013 byl celkový příjem plateb ze zdrojů </w:t>
      </w:r>
      <w:r>
        <w:t>EU pro ČR v rámci SAPS určen ve </w:t>
      </w:r>
      <w:r w:rsidRPr="00790BA4">
        <w:t>výši 832,8 mil. €, což při stanoveném kurzu 25,730 Kč/€</w:t>
      </w:r>
      <w:r w:rsidR="00677363">
        <w:t xml:space="preserve"> představovalo výslednou částku </w:t>
      </w:r>
      <w:r w:rsidRPr="00790BA4">
        <w:t>21 428,</w:t>
      </w:r>
      <w:r w:rsidR="00CB2904">
        <w:t>7</w:t>
      </w:r>
      <w:r w:rsidRPr="00790BA4">
        <w:t> mil. Kč. Celkem byl</w:t>
      </w:r>
      <w:r w:rsidR="00677363">
        <w:t>a</w:t>
      </w:r>
      <w:r w:rsidRPr="00790BA4">
        <w:t xml:space="preserve"> 28</w:t>
      </w:r>
      <w:r w:rsidR="00677363">
        <w:t> </w:t>
      </w:r>
      <w:r w:rsidRPr="00790BA4">
        <w:t>34</w:t>
      </w:r>
      <w:r w:rsidR="00677363">
        <w:t>0 </w:t>
      </w:r>
      <w:r w:rsidRPr="00790BA4">
        <w:t>žadatelů</w:t>
      </w:r>
      <w:r w:rsidR="00677363">
        <w:t>m</w:t>
      </w:r>
      <w:r w:rsidRPr="00790BA4">
        <w:t xml:space="preserve"> vy</w:t>
      </w:r>
      <w:r>
        <w:t xml:space="preserve">placena částka 20,74 mld. Kč </w:t>
      </w:r>
      <w:r w:rsidRPr="002764B3">
        <w:t>na 3</w:t>
      </w:r>
      <w:r w:rsidR="002764B3" w:rsidRPr="002764B3">
        <w:t>,53 mil.</w:t>
      </w:r>
      <w:r w:rsidRPr="002764B3">
        <w:t xml:space="preserve"> ha z. p. Přímé platby na plochu obdrželi zemědělci ve dvou fázích. Zálohové</w:t>
      </w:r>
      <w:r w:rsidRPr="00790BA4">
        <w:t xml:space="preserve"> platby se začaly příjemcům rozesílat 16. 10. 2013, doplatky</w:t>
      </w:r>
      <w:r>
        <w:t xml:space="preserve"> pak v období od 1. 12. 2013 do </w:t>
      </w:r>
      <w:r w:rsidRPr="00790BA4">
        <w:t>30. 6. 2014.</w:t>
      </w:r>
    </w:p>
    <w:p w:rsidR="00396FE7" w:rsidRPr="00790BA4" w:rsidRDefault="00396FE7" w:rsidP="000B7BEE">
      <w:r w:rsidRPr="00790BA4">
        <w:t xml:space="preserve">Na rok 2014 byl pro ČR celkový příjem plateb ze </w:t>
      </w:r>
      <w:r>
        <w:t>zdrojů EU v rámci SAPS určen ve </w:t>
      </w:r>
      <w:r w:rsidRPr="00790BA4">
        <w:t>výši 773,75 mil. €, což při stanoveném kurzu 27,50 Kč/€ představovalo celkovou nárokovou částku 21 278,5 mil. Kč. Na hektar z.</w:t>
      </w:r>
      <w:r>
        <w:t> </w:t>
      </w:r>
      <w:r w:rsidRPr="00790BA4">
        <w:t>p.</w:t>
      </w:r>
      <w:r w:rsidR="00CB2904">
        <w:t xml:space="preserve"> byla stanovena suma 218 €, tj. </w:t>
      </w:r>
      <w:r w:rsidRPr="00790BA4">
        <w:t>5</w:t>
      </w:r>
      <w:r w:rsidR="00CB2904">
        <w:t> </w:t>
      </w:r>
      <w:r w:rsidRPr="00790BA4">
        <w:t>997</w:t>
      </w:r>
      <w:r w:rsidR="00CB2904">
        <w:t>,23</w:t>
      </w:r>
      <w:r w:rsidRPr="00790BA4">
        <w:t xml:space="preserve"> Kč. Na SZIF bylo podáno o platbu SAPS celkem 29,9 tis. žádostí na </w:t>
      </w:r>
      <w:r w:rsidR="00CB2904" w:rsidRPr="002764B3">
        <w:t>3,54 </w:t>
      </w:r>
      <w:r w:rsidR="002764B3" w:rsidRPr="002764B3">
        <w:t>mil</w:t>
      </w:r>
      <w:r w:rsidR="00CB2904" w:rsidRPr="002764B3">
        <w:t>. ha </w:t>
      </w:r>
      <w:r w:rsidRPr="002764B3">
        <w:t>z. p. v celkové požadované částce 21,25 mld. Kč.</w:t>
      </w:r>
    </w:p>
    <w:p w:rsidR="00396FE7" w:rsidRPr="00790BA4" w:rsidRDefault="00396FE7" w:rsidP="000B7BEE">
      <w:pPr>
        <w:pStyle w:val="mezera"/>
      </w:pPr>
    </w:p>
    <w:p w:rsidR="00396FE7" w:rsidRPr="00790BA4" w:rsidRDefault="00605EE6" w:rsidP="000B7BEE">
      <w:pPr>
        <w:pStyle w:val="mezera"/>
      </w:pPr>
      <w:r w:rsidRPr="00605EE6">
        <w:rPr>
          <w:noProof/>
          <w:lang w:eastAsia="cs-CZ"/>
        </w:rPr>
        <w:lastRenderedPageBreak/>
        <w:drawing>
          <wp:inline distT="0" distB="0" distL="0" distR="0" wp14:anchorId="46481958" wp14:editId="570111FE">
            <wp:extent cx="5760720" cy="8181372"/>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81372"/>
                    </a:xfrm>
                    <a:prstGeom prst="rect">
                      <a:avLst/>
                    </a:prstGeom>
                    <a:noFill/>
                    <a:ln>
                      <a:noFill/>
                    </a:ln>
                  </pic:spPr>
                </pic:pic>
              </a:graphicData>
            </a:graphic>
          </wp:inline>
        </w:drawing>
      </w:r>
    </w:p>
    <w:p w:rsidR="00396FE7" w:rsidRDefault="00396FE7" w:rsidP="00605EE6">
      <w:pPr>
        <w:pStyle w:val="mezera"/>
      </w:pPr>
    </w:p>
    <w:p w:rsidR="00396FE7" w:rsidRPr="00790BA4" w:rsidRDefault="00396FE7" w:rsidP="000B7BEE">
      <w:pPr>
        <w:pStyle w:val="Norm-Bold"/>
      </w:pPr>
      <w:r w:rsidRPr="00790BA4">
        <w:lastRenderedPageBreak/>
        <w:t>Oddělená platba za cukr (SSP)</w:t>
      </w:r>
    </w:p>
    <w:p w:rsidR="00396FE7" w:rsidRPr="00790BA4" w:rsidRDefault="00396FE7" w:rsidP="000B7BEE">
      <w:r w:rsidRPr="00790BA4">
        <w:t>Oddělená platba za cukr je formou podpory financované ze zdrojů EU, která má částečně kompenzovat pěstitelům cukrovky ztráty příjmů způsobené postupným snižováním garantované (minimální) ceny cukrové řepy v období reformy SOT pro odvětví cukru.</w:t>
      </w:r>
    </w:p>
    <w:p w:rsidR="00396FE7" w:rsidRPr="00790BA4" w:rsidRDefault="00396FE7" w:rsidP="000B7BEE">
      <w:r w:rsidRPr="00790BA4">
        <w:t>Sazba oddělené platby za cukr byla v ČR pro hospodářský rok 2013/14 stanovena podle nařízení vlády č. 45/2007 Sb. ve znění pozdějších předpisů, o stanovení některých podmínek poskytování oddělené platby za cukr pěstitelům cukrové řepy, ve znění pozdějších předpisů. V roce 2013 bylo SZIF kladně vyřízeno a proplaceno 818 pěstitelům na množství 3 186 tis. t cukrové řepy v přepočtu na standardní 16% cukernatost a vyplacena celková suma 1 076,6 mil. Kč.</w:t>
      </w:r>
    </w:p>
    <w:p w:rsidR="00396FE7" w:rsidRPr="00790BA4" w:rsidRDefault="00396FE7" w:rsidP="000B7BEE">
      <w:r w:rsidRPr="00790BA4">
        <w:t>Na hospodářský rok 2014/15 byla českým pěstitelům řepy přiznána na tuto platbu částka v hodnotě 44,25 mil. €. Přidělená suma se vztahovala na produkci 3 181,6 tis. t a sazba na 1 t cukrové řepy přepočítané na standardní 16% c</w:t>
      </w:r>
      <w:r>
        <w:t>ukernatost dosáhla 13,90 €, tj. </w:t>
      </w:r>
      <w:r w:rsidRPr="00790BA4">
        <w:t>382,25 Kč/t. O tuto platbu požádalo SZIF celkem 815 zemědělských podniků.</w:t>
      </w:r>
    </w:p>
    <w:p w:rsidR="00396FE7" w:rsidRPr="00790BA4" w:rsidRDefault="00396FE7" w:rsidP="000B7BEE">
      <w:pPr>
        <w:pStyle w:val="Norm-Bold"/>
      </w:pPr>
      <w:r w:rsidRPr="00790BA4">
        <w:t>Oddělená platba za rajčata (STP)</w:t>
      </w:r>
    </w:p>
    <w:p w:rsidR="00396FE7" w:rsidRPr="00790BA4" w:rsidRDefault="00396FE7" w:rsidP="000B7BEE">
      <w:r w:rsidRPr="00790BA4">
        <w:t>Pěstitelé rajčat v ČR mohou čerpat podporu v rámci Oddělené platby za rajčata (STP). Podmínkou pro poskytnutí této platby je přiznání dotace SAPS a uzavření smlouvy producenta na dodávku rajčat s organizací producentů ovoce a zeleniny, která má sídlo na území České republiky.</w:t>
      </w:r>
    </w:p>
    <w:p w:rsidR="00396FE7" w:rsidRPr="00790BA4" w:rsidRDefault="00396FE7" w:rsidP="000B7BEE">
      <w:r w:rsidRPr="00790BA4">
        <w:t>Na rok 2013 byla pěstitelům rajčat v rámci STP vyčleněna celková částka 414 tis. € (10,2 mil. Kč). Sazba oddělené platby za rajčata v ČR (podle nařízení vlády č. 95/2008 Sb., o stanovení některých podmínek poskytování odděl</w:t>
      </w:r>
      <w:r>
        <w:t>ené platby za rajčata určená ke </w:t>
      </w:r>
      <w:r w:rsidRPr="00790BA4">
        <w:t>zpracování) dosáhla 34,50 €, tj. 887,68 Kč. V roce 2013 bylo SZIF celkem 14 žadatelům vyplaceno 10,1 mil. Kč na 11,9 tis. t rajčat.</w:t>
      </w:r>
    </w:p>
    <w:p w:rsidR="00396FE7" w:rsidRPr="00790BA4" w:rsidRDefault="00396FE7" w:rsidP="000B7BEE">
      <w:r w:rsidRPr="00790BA4">
        <w:t>Pro 2014 byla v rámci této podpory pěstitelům rajčat vyčleněna opět částka 414 tis. € (tj. 11,4 mil. Kč), což představovalo na 1 t rajčat částku 34,70 €, tj. 954,25 Kč. V roce 2014 bylo celkem podáno o tuto podporu 14 žádostí na množství 11,9 tis. t rajčat v požadované sumě 11,2 </w:t>
      </w:r>
      <w:r w:rsidR="00CB2904">
        <w:t>mil</w:t>
      </w:r>
      <w:r w:rsidRPr="00790BA4">
        <w:t>. Kč.</w:t>
      </w:r>
    </w:p>
    <w:p w:rsidR="00396FE7" w:rsidRPr="00790BA4" w:rsidRDefault="00396FE7" w:rsidP="000B7BEE">
      <w:pPr>
        <w:pStyle w:val="Norm-Bold"/>
      </w:pPr>
      <w:r w:rsidRPr="00790BA4">
        <w:t>Zvláštní podpory</w:t>
      </w:r>
    </w:p>
    <w:p w:rsidR="00396FE7" w:rsidRDefault="00396FE7" w:rsidP="000B7BEE">
      <w:r w:rsidRPr="00790BA4">
        <w:t xml:space="preserve">Od roku 2012 mohou čeští zemědělci čerpat zvláštní podporu podle čl. 68 nařízení Rady (ES) č. 73/2009 a nařízení vlády č. 60/2012 Sb. nejen na krávy chované v systému s tržní produkcí mléka, ale došlo k jejímu rozšíření na další vybraná citlivá odvětví zemědělské produkce (tj. na brambory pro výrobu škrobu, na chmel, na telata masného typu, a na </w:t>
      </w:r>
      <w:r w:rsidR="00CB2904">
        <w:t>bahnice</w:t>
      </w:r>
      <w:r w:rsidRPr="00790BA4">
        <w:t>, popřípadě kozy, pasené na travních porostech</w:t>
      </w:r>
      <w:r w:rsidR="00CB2904">
        <w:t>, krávy chované v systému s tržní produkcí mléka</w:t>
      </w:r>
      <w:r>
        <w:t>)</w:t>
      </w:r>
      <w:r w:rsidRPr="00790BA4">
        <w:t>. V roce 2013 představovala výše vyplacených finančních prostředků pro všechna tato podporovaná odvětví žadatelům celkem 77</w:t>
      </w:r>
      <w:r w:rsidR="00CB2904">
        <w:t xml:space="preserve">5 mil. Kč. Pro rok 2014 došlo </w:t>
      </w:r>
      <w:r w:rsidR="00CB2904">
        <w:lastRenderedPageBreak/>
        <w:t>k </w:t>
      </w:r>
      <w:r w:rsidRPr="00790BA4">
        <w:t>navýšení celkové částky na podporu citlivých komodit téměř o 100 % na 1 54</w:t>
      </w:r>
      <w:r w:rsidR="00CB2904">
        <w:t>7</w:t>
      </w:r>
      <w:r w:rsidRPr="00790BA4">
        <w:t xml:space="preserve"> mil. Kč. </w:t>
      </w:r>
      <w:r w:rsidRPr="00E45C09">
        <w:t>V roce 2013 se jednalo celkem o 3,5 % národní obálky přímých plateb, v roce 2014</w:t>
      </w:r>
      <w:r w:rsidR="00E45C09" w:rsidRPr="00E45C09">
        <w:t xml:space="preserve"> došlo ke zvýšení na </w:t>
      </w:r>
      <w:r w:rsidRPr="00E45C09">
        <w:t>6</w:t>
      </w:r>
      <w:r w:rsidR="00E45C09" w:rsidRPr="00E45C09">
        <w:t>,5</w:t>
      </w:r>
      <w:r w:rsidRPr="00E45C09">
        <w:t xml:space="preserve"> %. Na zvýšení obálky v K</w:t>
      </w:r>
      <w:r w:rsidR="00E0254F" w:rsidRPr="00E45C09">
        <w:t>č</w:t>
      </w:r>
      <w:r w:rsidRPr="00E45C09">
        <w:t xml:space="preserve"> se také podílela devalvace koruny.</w:t>
      </w:r>
    </w:p>
    <w:p w:rsidR="00396FE7" w:rsidRDefault="00396FE7" w:rsidP="000B7BEE">
      <w:r w:rsidRPr="00E0254F">
        <w:t>SZIF poskytuje platbu zvláštní podpory podle § 1 na základě žádosti na:</w:t>
      </w:r>
      <w:bookmarkStart w:id="49" w:name="p2-1-a"/>
      <w:bookmarkEnd w:id="49"/>
      <w:r w:rsidRPr="00E0254F">
        <w:t xml:space="preserve"> a) brambory pro výrobu škrobu; b) chmel; c) tele masného typu; d) bahnice, popřípadě kozy, pasené na travních porostech; e)</w:t>
      </w:r>
      <w:r w:rsidR="00E0254F" w:rsidRPr="00E0254F">
        <w:t xml:space="preserve"> krávy chované v systému s tržní produkcí mléka.</w:t>
      </w:r>
    </w:p>
    <w:p w:rsidR="00396FE7" w:rsidRPr="00790BA4" w:rsidRDefault="00396FE7" w:rsidP="000B7BEE">
      <w:pPr>
        <w:pStyle w:val="Norm-Ital"/>
      </w:pPr>
      <w:r w:rsidRPr="00790BA4">
        <w:t>a) Brambory pro výrobu škrobu</w:t>
      </w:r>
    </w:p>
    <w:p w:rsidR="00396FE7" w:rsidRPr="00790BA4" w:rsidRDefault="00396FE7" w:rsidP="000B7BEE">
      <w:r w:rsidRPr="00790BA4">
        <w:t>Žadatelem o poskytnutí platby zvláštní podpory na brambory pro výrobu škrobu může být fyzická nebo právnická osoba obhospodařující zemědělskou půdu evidovanou na ni v evidenci jako orná půda podle zákona o zemědělství. Minimální výměra, na kterou lze poskytnout tuto platbu, představuje 1 ha orné půdy, na kterém jsou pěstovány brambory pro výrobu škrobu. Žadatel musí mimo jiné doložit smlouvu o pěstování brambor pro výrobu škrobu s výrobcem škrobu pro příslušný hospodářský rok, potvrzení o účasti na odborném školení v příslušném kalendářním roce konaném ÚKZÚZ, seznam a výměru půdních bloků, event. dílů půdních bloků, jichž se podaná žádost o poskytnutí platby zvláštní podpory týká, uznávací list o uznání odrůdy brambor aj. Žadatel musí používat pouze certifikovanou sadbu brambor v minimálním množství 2,2 t/ha.</w:t>
      </w:r>
    </w:p>
    <w:p w:rsidR="00396FE7" w:rsidRPr="00790BA4" w:rsidRDefault="00396FE7" w:rsidP="000B7BEE">
      <w:r w:rsidRPr="00790BA4">
        <w:t>V roce 2013 byla v rámci této podpory vyplacena 224 pěstitelům brambor na 3,8 tis. t částka 43,9 mil. Kč. Na rok 2014 byla pro tuto platbu vyčleněna 244 žadatelům na produkci 4,5 tis. t brambor pro výrobu škrobu finanční částka 88,2 mil. Kč.</w:t>
      </w:r>
    </w:p>
    <w:p w:rsidR="00396FE7" w:rsidRPr="00790BA4" w:rsidRDefault="00396FE7" w:rsidP="000B7BEE">
      <w:pPr>
        <w:pStyle w:val="Norm-Ital"/>
      </w:pPr>
      <w:r w:rsidRPr="00790BA4">
        <w:t>b) Chmel</w:t>
      </w:r>
    </w:p>
    <w:p w:rsidR="00396FE7" w:rsidRPr="00790BA4" w:rsidRDefault="00396FE7" w:rsidP="000B7BEE">
      <w:r w:rsidRPr="00790BA4">
        <w:t>Žadatel o poskytnutí platby na chmel musí obhospodařovat zemědělskou půdu, která je v evidenci jako chmelnice podle zákona o zemědělství a je na ní pěstována aromatická odrůda chmele uvedená v podmínkách pěstování chmele příslušného nařízení vlády.</w:t>
      </w:r>
    </w:p>
    <w:p w:rsidR="00396FE7" w:rsidRPr="00790BA4" w:rsidRDefault="00396FE7" w:rsidP="000B7BEE">
      <w:r w:rsidRPr="00790BA4">
        <w:t>Součástí žádosti o poskytnutí platby zvláštní podpory na chmel je mimo jiné potvrzení o účasti pěstitele na odborném školení v příslušném kalendářním roce konaném ÚKZÚZ, seznam a výměra půdních bloků, popřípadě dílů půdních bloků, jichž se podaná žádost o poskytnutí platby na chmel týká. Minimální výměra, na kterou lze poskytnout platbu zvláštní podpory na chmel, činí nejméně 1 ha chmelnice.</w:t>
      </w:r>
    </w:p>
    <w:p w:rsidR="00396FE7" w:rsidRPr="00790BA4" w:rsidRDefault="00396FE7" w:rsidP="000B7BEE">
      <w:r w:rsidRPr="00790BA4">
        <w:t>V roce 2013 bylo v rámci této zvláštní platby vyplaceno 113 pěstitelům chmele na 4,3 tis. ha 20,6 mil. Kč. Pro rok 2014 požádalo o platbu celkem 115 pěstitelů na výměru 4,5 tis. ha chmelnic v požadované sumě 40,7 mil. Kč.</w:t>
      </w:r>
    </w:p>
    <w:p w:rsidR="00396FE7" w:rsidRPr="00790BA4" w:rsidRDefault="00396FE7" w:rsidP="000B7BEE">
      <w:pPr>
        <w:pStyle w:val="Norm-Ital"/>
      </w:pPr>
      <w:r w:rsidRPr="00790BA4">
        <w:t>c) Tele masného typu</w:t>
      </w:r>
    </w:p>
    <w:p w:rsidR="00396FE7" w:rsidRPr="00790BA4" w:rsidRDefault="00396FE7" w:rsidP="000B7BEE">
      <w:r w:rsidRPr="00790BA4">
        <w:t xml:space="preserve">Platba na tele masného typu se poskytne žadateli, který vykázal na hospodářství registrovaném v ústřední evidenci narození telete masného typu v období od 1. dubna roku předcházejícího podání žádosti do 31. března příslušného kalendářního roku. Matkou telete </w:t>
      </w:r>
      <w:r w:rsidRPr="00790BA4">
        <w:lastRenderedPageBreak/>
        <w:t>musí být kráva chovaná v systému BTPM a zároveň otcem telete musí být býk masného plemene skotu evidovaný v ústředním registru plemeníků. SZIF poskytne žadateli platbu na celkový počet VDJ, stanovených podle počtu telat narozených v období od 1. 4. předchozího roku do 31. 3. roku podání žádosti, pokud celková částka přímých plateb, o kterou bylo zažádáno, nebo která má být poskytnuta před uplatněním snížení a vyloučení z plateb v daném kalendářním roce, je nejméně 100 €.</w:t>
      </w:r>
    </w:p>
    <w:p w:rsidR="00396FE7" w:rsidRPr="00790BA4" w:rsidRDefault="00396FE7" w:rsidP="000B7BEE">
      <w:r w:rsidRPr="00790BA4">
        <w:t>Celkem byla v roce 2013 v rámci této zvláštní platby na tele masného typu vyplacena 4 tis. chovatelům na 19,3 tis. VDJ narozených telat suma 216,3 mil. Kč. Na rok 2014 bylo podáno 4,9 tis. žádostí pro 28,6 tis. VDJ telat v požadované částce 431,5 mil. Kč.</w:t>
      </w:r>
    </w:p>
    <w:p w:rsidR="00396FE7" w:rsidRPr="00790BA4" w:rsidRDefault="00396FE7" w:rsidP="000B7BEE">
      <w:pPr>
        <w:pStyle w:val="Norm-Ital"/>
      </w:pPr>
      <w:r w:rsidRPr="00052484">
        <w:t>d) Bahnice, popřípadě kozy, pasené na travních porostech</w:t>
      </w:r>
    </w:p>
    <w:p w:rsidR="00817FD1" w:rsidRPr="0024743D" w:rsidRDefault="00817FD1" w:rsidP="00817FD1">
      <w:r>
        <w:t xml:space="preserve">Žadatel, fyzická nebo právnická osoba, je povinen v období nejméně od 15. května do 11. září příslušného kalendářního roku vést denně záznam o pastvě a po dobu 5 let od data podání žádosti ho uchovávat. Pokud žadatel pase na daném půdním bloku veškeré bahnice, popř. kozy, ze stáje nebo hospodářství evidovaného v ústřední evidenci, postačí do záznamu o pastvě k danému půdnímu bloku místo identifikačních čísel bahnic či koz uvést číslo stáje nebo registrační </w:t>
      </w:r>
      <w:r w:rsidRPr="0024743D">
        <w:t>číslo hospodářství.</w:t>
      </w:r>
    </w:p>
    <w:p w:rsidR="00396FE7" w:rsidRPr="00790BA4" w:rsidRDefault="00396FE7" w:rsidP="000B7BEE">
      <w:r w:rsidRPr="00790BA4">
        <w:t xml:space="preserve">Platba je poskytnuta chovateli na minimálně 2 VDJ </w:t>
      </w:r>
      <w:r w:rsidR="00CB2904">
        <w:t>bahnic</w:t>
      </w:r>
      <w:r w:rsidRPr="00790BA4">
        <w:t xml:space="preserve"> nebo koz a na celkovou částku přímých plateb, o kterou bylo zažádáno, nebo která má být poskytnuta před uplatněním snížení a vyloučení z plateb v daném kalendářním roce, která dosahuje nejméně 100 €.</w:t>
      </w:r>
    </w:p>
    <w:p w:rsidR="00396FE7" w:rsidRPr="00790BA4" w:rsidRDefault="00396FE7" w:rsidP="000B7BEE">
      <w:r w:rsidRPr="00790BA4">
        <w:t>V roce 2013 bylo v rámci této zvláštní platby podpořeno 2,4 tis. chovatelů a 18,3 tis. VDJ chovaných a pasených bahnic, popřípadě koz v celkové částce 32,6 mil. Kč. Na rok 2014 bylo podáno 2,6 tis. žádostí pro 20,0 tis. VDJ chovaných a pasených bahnic, popřípadě koz v požadované částce 70,1 mil. Kč.</w:t>
      </w:r>
    </w:p>
    <w:p w:rsidR="00396FE7" w:rsidRPr="00790BA4" w:rsidRDefault="00396FE7" w:rsidP="000B7BEE">
      <w:pPr>
        <w:pStyle w:val="Norm-Ital"/>
      </w:pPr>
      <w:r w:rsidRPr="00790BA4">
        <w:t>e) Krávy chované v systému s tržní produkcí mléka</w:t>
      </w:r>
    </w:p>
    <w:p w:rsidR="00396FE7" w:rsidRDefault="00396FE7" w:rsidP="000B7BEE">
      <w:r w:rsidRPr="00790BA4">
        <w:t xml:space="preserve">Platba na krávy chované v systému tržní produkce mléka je od roku 2012 žadatelům poskytována na základě </w:t>
      </w:r>
      <w:r w:rsidR="006F287F">
        <w:t>nařízení vlády</w:t>
      </w:r>
      <w:r w:rsidRPr="00790BA4">
        <w:t xml:space="preserve"> č. 60/2012 Sb. a </w:t>
      </w:r>
      <w:r w:rsidR="006F287F">
        <w:t>nařízení vlády</w:t>
      </w:r>
      <w:r w:rsidR="006F287F" w:rsidRPr="00790BA4">
        <w:t xml:space="preserve"> </w:t>
      </w:r>
      <w:r w:rsidRPr="00790BA4">
        <w:t>č. 61/2012 Sb. na celkový počet VDJ krav s tržní produkcí mléka chovaných na hospodářství ke dni 31. března daného kalendářního roku. Podmínkou poskytnutí plateb žadateli je, aby podíl příjmů a výnosů za celkové prodané mléko na celkových příjmech nebo výnosech ze zemědělské výroby za kalendářní rok převyšoval nebo byl roven 15 %. Plná sazba je žadateli vyplácena pokud byl tento podíl vyšší nebo roven 30 %, poloviční sazbu obdržel žadatel při podílu vyšším nebo rov</w:t>
      </w:r>
      <w:r>
        <w:t>ném 15 % a </w:t>
      </w:r>
      <w:r w:rsidRPr="00790BA4">
        <w:t>nižším než 30 %.</w:t>
      </w:r>
    </w:p>
    <w:p w:rsidR="00396FE7" w:rsidRPr="00790BA4" w:rsidRDefault="00396FE7" w:rsidP="000B7BEE">
      <w:r w:rsidRPr="00790BA4">
        <w:t>V roce 2013 obdrželo tuto podporu celkem 1,8 tis. chovatelů na 358,8 tis. VDJ dojnic v celkové sumě 460,5 mil. Kč. V roce 2014 bylo možno opět čerpat podporu na krávy chované na mléko. Celkem bylo podáno 1,8 tis. žádostí na 363,4 tis. VDJ dojnic a nárokována částka představovala 915,9 </w:t>
      </w:r>
      <w:r w:rsidR="00CB2904">
        <w:t>mil.</w:t>
      </w:r>
      <w:r w:rsidRPr="00790BA4">
        <w:t> Kč.</w:t>
      </w:r>
    </w:p>
    <w:p w:rsidR="00396FE7" w:rsidRPr="00790BA4" w:rsidRDefault="00396FE7" w:rsidP="000B7BEE">
      <w:pPr>
        <w:pStyle w:val="Nadpis3"/>
      </w:pPr>
      <w:bookmarkStart w:id="50" w:name="_Toc359920522"/>
      <w:bookmarkStart w:id="51" w:name="_Toc424307022"/>
      <w:r w:rsidRPr="00790BA4">
        <w:lastRenderedPageBreak/>
        <w:t>2.2.2</w:t>
      </w:r>
      <w:r w:rsidRPr="00790BA4">
        <w:tab/>
        <w:t>Národní doplňkové platby</w:t>
      </w:r>
      <w:bookmarkEnd w:id="50"/>
      <w:bookmarkEnd w:id="51"/>
    </w:p>
    <w:p w:rsidR="00396FE7" w:rsidRPr="00790BA4" w:rsidRDefault="00396FE7" w:rsidP="000B7BEE">
      <w:bookmarkStart w:id="52" w:name="_Toc359920523"/>
      <w:r w:rsidRPr="00790BA4">
        <w:t>V souladu s Přístupovou smlouvou EU měla Česká republika v období od roku 2004 do roku 2012 možnost dorovnávat přímé platby z vlastních zdrojů formou národních doplňkových plateb (Top-Up). Tyto platby byly poskytovány k jednotné platbě na plochu (SAPS). Podmínky jednotlivých plateb byly zahrnuty v nařízení vlády č. 112/2008 Sb., který byl v roce 2012 novelizován nařízením vlády č. 332/2012 Sb. a v roce 2013 doplněn o </w:t>
      </w:r>
      <w:r w:rsidR="006F287F">
        <w:t>nařízení vlády</w:t>
      </w:r>
      <w:r w:rsidR="004157BC">
        <w:t xml:space="preserve"> č.</w:t>
      </w:r>
      <w:r w:rsidRPr="00790BA4">
        <w:t> 298/2013 Sb.</w:t>
      </w:r>
    </w:p>
    <w:p w:rsidR="00396FE7" w:rsidRDefault="00396FE7" w:rsidP="000B7BEE">
      <w:r w:rsidRPr="00790BA4">
        <w:t xml:space="preserve">V roce 2013 v ČR došlo ke změně a místo Top-Up mohly zemědělské podniky na základě nařízení EP a Rady (EU) č. 671/2012, kterým se mění nařízení Rady (ES) č. 73/2009 žádat o přechodné vnitrostátní podpory (PVP). V jejich rámci mohli žadatelé získat dotace obdobně jako u národních doplňkových plateb na tyto komodity: </w:t>
      </w:r>
      <w:r w:rsidR="00CB2904">
        <w:t>n</w:t>
      </w:r>
      <w:r w:rsidRPr="00790BA4">
        <w:t xml:space="preserve">a zemědělskou půdu, chmel, na brambory pro výrobu škrobu, na přežvýkavce, na chov </w:t>
      </w:r>
      <w:r w:rsidR="00F04D29">
        <w:t>bahnic</w:t>
      </w:r>
      <w:r w:rsidRPr="00790BA4">
        <w:t>, koz a na chov krav na maso.</w:t>
      </w:r>
    </w:p>
    <w:p w:rsidR="00396FE7" w:rsidRDefault="00396FE7" w:rsidP="000B7BEE">
      <w:r w:rsidRPr="00790BA4">
        <w:t>Jelikož podmínky poskytování PVP byly stejné jako v případě národních doplňkových plateb vyplácených v roce 2012, byly platby PVP v roce 2013 negativně ovlivněny uplatněním modulace. Na přechodné vnitrostátní podpory byla v roce 2013 čerpána celková suma 67 mil. Kč. Nejvýznamnější podíl</w:t>
      </w:r>
      <w:r>
        <w:t>,</w:t>
      </w:r>
      <w:r w:rsidRPr="00790BA4">
        <w:t xml:space="preserve"> a to </w:t>
      </w:r>
      <w:r w:rsidR="00F04D29">
        <w:t>téměř</w:t>
      </w:r>
      <w:r w:rsidRPr="00790BA4">
        <w:t xml:space="preserve"> 51 %</w:t>
      </w:r>
      <w:r>
        <w:t>,</w:t>
      </w:r>
      <w:r w:rsidRPr="00790BA4">
        <w:t xml:space="preserve"> byl vyplacen na zemědělskou půdu a více než 2</w:t>
      </w:r>
      <w:r w:rsidR="00F04D29">
        <w:t>2</w:t>
      </w:r>
      <w:r w:rsidRPr="00790BA4">
        <w:t> % bylo určeno pěstitelům škrobu. Pro rok 2014 je na tyto podpory vyhrazena suma 8</w:t>
      </w:r>
      <w:r w:rsidR="00F04D29">
        <w:t>49</w:t>
      </w:r>
      <w:r w:rsidRPr="00790BA4">
        <w:t> mil. Kč, z toho rozhodující podíl (77 %) připadá na zemědělskou půdu a z ostatních komodit významnější podíl (11 %) na přežvýkavce. V roce 2014 nebude při vyplácení PVP uplatňována modulace.</w:t>
      </w:r>
    </w:p>
    <w:p w:rsidR="00396FE7" w:rsidRPr="00D218B9" w:rsidRDefault="00396FE7" w:rsidP="000B7BEE">
      <w:pPr>
        <w:pStyle w:val="Nadpis3"/>
      </w:pPr>
      <w:bookmarkStart w:id="53" w:name="_Toc391991468"/>
      <w:bookmarkStart w:id="54" w:name="_Toc424307023"/>
      <w:r w:rsidRPr="00D218B9">
        <w:t>2.2.3</w:t>
      </w:r>
      <w:r w:rsidRPr="00D218B9">
        <w:tab/>
        <w:t>Ostatní přímé platby</w:t>
      </w:r>
      <w:bookmarkEnd w:id="53"/>
      <w:bookmarkEnd w:id="54"/>
    </w:p>
    <w:p w:rsidR="00396FE7" w:rsidRPr="00D218B9" w:rsidRDefault="00396FE7" w:rsidP="000B7BEE">
      <w:r w:rsidRPr="00D218B9">
        <w:t xml:space="preserve">Ostatní přímé platby na vybrané zemědělské komodity byly žadatelům vypláceny z národních zdrojů v rámci dotačních programů stanovených v </w:t>
      </w:r>
      <w:r w:rsidR="008969A9">
        <w:t>„</w:t>
      </w:r>
      <w:r w:rsidRPr="00D218B9">
        <w:t>Zásadách</w:t>
      </w:r>
      <w:r w:rsidR="008969A9">
        <w:t>“</w:t>
      </w:r>
      <w:r w:rsidRPr="00D218B9">
        <w:t xml:space="preserve"> na základě zákona č. 252/1997 Sb., o zemědělství. V roce 2014 se tyto podpory týkaly pouze dotačního programu 1.D. Podpora včelařství. Výše dotace na jedno zazimované včelstvo byla stanovena na 180 Kč. Celkem bylo v ČR podpořeno 602,9 tis. včelstev v hodnotě 79,9 mil. Kč, což představovalo skutečně vyplacenou částku na včelstvo ve výši 1</w:t>
      </w:r>
      <w:r>
        <w:t>26</w:t>
      </w:r>
      <w:r w:rsidRPr="00D218B9">
        <w:t> Kč.</w:t>
      </w:r>
    </w:p>
    <w:p w:rsidR="00396FE7" w:rsidRDefault="00396FE7" w:rsidP="000B7BEE">
      <w:pPr>
        <w:pStyle w:val="Nadpis3"/>
      </w:pPr>
      <w:bookmarkStart w:id="55" w:name="_Toc424307024"/>
      <w:bookmarkEnd w:id="52"/>
      <w:r>
        <w:t>2.2.4</w:t>
      </w:r>
      <w:r>
        <w:tab/>
        <w:t>Kontrola podmíněnosti (</w:t>
      </w:r>
      <w:proofErr w:type="spellStart"/>
      <w:r>
        <w:t>Cross</w:t>
      </w:r>
      <w:proofErr w:type="spellEnd"/>
      <w:r>
        <w:t xml:space="preserve"> </w:t>
      </w:r>
      <w:proofErr w:type="spellStart"/>
      <w:r>
        <w:t>Compliance</w:t>
      </w:r>
      <w:proofErr w:type="spellEnd"/>
      <w:r>
        <w:t>)</w:t>
      </w:r>
      <w:bookmarkEnd w:id="55"/>
    </w:p>
    <w:p w:rsidR="00396FE7" w:rsidRDefault="00396FE7" w:rsidP="000B7BEE">
      <w:r>
        <w:t>Podmínky Kontroly podmíněnosti, jejichž dodržování ze strany zemědělsky hospodařících subjektů má přispět k omezení možných negativních dopadů vlivu zemědělství na krajinu, životní prostředí, na kvalitu půdy a vody a také k zajištění bezpečnosti potravin, zdraví zvířat a rostlin i welfare hospodářských zvířat, jsou zavedeny v České republice již pátým rokem.</w:t>
      </w:r>
    </w:p>
    <w:p w:rsidR="00396FE7" w:rsidRDefault="00396FE7" w:rsidP="000B7BEE">
      <w:r>
        <w:t xml:space="preserve">Dodržování požadavků Kontroly podmíněnosti je ověřováno u žadatelů přímých plateb, některých stanovených podpor Programu rozvoje venkova a podpory na restrukturalizaci </w:t>
      </w:r>
      <w:r>
        <w:lastRenderedPageBreak/>
        <w:t>a přeměnu vinic v rámci Společné organizace trhu s vínem. V případě, že žadatel o uvedené zemědělské dotace tyto podmínky nedodrží, může mu být celková požadovaná částka dotace snížena, nebo v nejkrajnějším případě neposkytnuta.</w:t>
      </w:r>
    </w:p>
    <w:p w:rsidR="00396FE7" w:rsidRDefault="00396FE7" w:rsidP="000B7BEE">
      <w:r>
        <w:t xml:space="preserve">Požadavky Kontrol podmíněnosti jsou stanoveny standardy dobrého zemědělského a environmentálního stavu půdy (GAEC </w:t>
      </w:r>
      <w:r w:rsidR="00BC2DA2">
        <w:t>–</w:t>
      </w:r>
      <w:r>
        <w:t xml:space="preserve"> </w:t>
      </w:r>
      <w:proofErr w:type="spellStart"/>
      <w:r w:rsidRPr="008520EA">
        <w:t>Good</w:t>
      </w:r>
      <w:proofErr w:type="spellEnd"/>
      <w:r w:rsidRPr="008520EA">
        <w:t xml:space="preserve"> </w:t>
      </w:r>
      <w:proofErr w:type="spellStart"/>
      <w:r w:rsidRPr="008520EA">
        <w:t>Agricultural</w:t>
      </w:r>
      <w:proofErr w:type="spellEnd"/>
      <w:r w:rsidRPr="008520EA">
        <w:t xml:space="preserve"> and </w:t>
      </w:r>
      <w:proofErr w:type="spellStart"/>
      <w:r w:rsidRPr="008520EA">
        <w:t>Environmental</w:t>
      </w:r>
      <w:proofErr w:type="spellEnd"/>
      <w:r w:rsidRPr="008520EA">
        <w:t xml:space="preserve"> </w:t>
      </w:r>
      <w:proofErr w:type="spellStart"/>
      <w:r w:rsidRPr="008520EA">
        <w:t>Conditions</w:t>
      </w:r>
      <w:proofErr w:type="spellEnd"/>
      <w:r>
        <w:t xml:space="preserve">), kterých v roce 2014 bylo dvanáct. Dále pak povinnými požadavky na hospodaření (SMR </w:t>
      </w:r>
      <w:r w:rsidR="00BC2DA2">
        <w:t>–</w:t>
      </w:r>
      <w:r>
        <w:t xml:space="preserve"> </w:t>
      </w:r>
      <w:proofErr w:type="spellStart"/>
      <w:r w:rsidRPr="008520EA">
        <w:t>Statutory</w:t>
      </w:r>
      <w:proofErr w:type="spellEnd"/>
      <w:r w:rsidRPr="008520EA">
        <w:t xml:space="preserve"> Management </w:t>
      </w:r>
      <w:proofErr w:type="spellStart"/>
      <w:r w:rsidRPr="008520EA">
        <w:t>Requirements</w:t>
      </w:r>
      <w:proofErr w:type="spellEnd"/>
      <w:r>
        <w:t>), které jsou v tomto roce stanoveny podle vybraných ustanovení 17 evropských nařízení a směrnic. Požadavky podmíněnosti pak doplňuje soubor minimálních požadavků agroenvironmentálních opatření pro zacházení s hnojivy a používání přípravků na ochranu rostlin.</w:t>
      </w:r>
    </w:p>
    <w:p w:rsidR="00396FE7" w:rsidRDefault="00396FE7" w:rsidP="000B7BEE">
      <w:r>
        <w:t xml:space="preserve">V přechodném roce 2014 Společné zemědělské politiky </w:t>
      </w:r>
      <w:r w:rsidR="00F04D29">
        <w:t>na období 2014-2020 došlo k </w:t>
      </w:r>
      <w:r>
        <w:t>přeřazení požadavků na ochranu podzemních vod před zne</w:t>
      </w:r>
      <w:r w:rsidR="00F04D29">
        <w:t>čištěním nebezpečnými látkami z </w:t>
      </w:r>
      <w:r>
        <w:t>oblasti povinných požadavků na hospodaření (SMR 2) do oblasti standardů dobrého zemědělského a environmentálního stavu</w:t>
      </w:r>
      <w:r w:rsidR="00F04D29">
        <w:t>,</w:t>
      </w:r>
      <w:r>
        <w:t xml:space="preserve"> tzv. GAEC. Nově je tedy zaveden GAEC 12. Tato úprava je provedena </w:t>
      </w:r>
      <w:r w:rsidR="00953761" w:rsidRPr="001234BB">
        <w:t>na základě změn předpisů EU</w:t>
      </w:r>
      <w:r w:rsidR="00480ADC">
        <w:t>,</w:t>
      </w:r>
      <w:r w:rsidR="00953761">
        <w:t xml:space="preserve"> </w:t>
      </w:r>
      <w:r>
        <w:t>tj. zrušení směrnice na ochranu podzemních vod. Pro zemědělské subjekty nepřináší žádné nové požadavky</w:t>
      </w:r>
      <w:r w:rsidR="00F04D29">
        <w:t>, které jsou i </w:t>
      </w:r>
      <w:r>
        <w:t>nadále stanoveny zejména § 39 vodního zákona (č. 254/2001 Sb., o vodách).</w:t>
      </w:r>
    </w:p>
    <w:p w:rsidR="00396FE7" w:rsidRDefault="00396FE7" w:rsidP="000B7BEE">
      <w:r>
        <w:t>Upřesnění doznaly některé požadavky v oblasti Životní prostředí pro ochranu volně žijících ptáků (SMR 1) nebo požadavky v rámci evidence a označování zvířat (SMR 6 až 8). U požadavků pro evidenci zvířat bylo hlavní změnou rozšíření také o provádění kontroly zasílání hlášení o přemístění zvířat na hospodářství a hodnocení opožděných hlášení. Tyto povinnosti stanovené plemenářským zákonem a jeho prováděcí vyhláškou byly do tohoto roku ověřovány pouze u plnění národních požadavků.</w:t>
      </w:r>
    </w:p>
    <w:p w:rsidR="00396FE7" w:rsidRDefault="00396FE7" w:rsidP="000B7BEE">
      <w:r>
        <w:t>Zaveden je nový kontrolní bod v rámci SMR 4 pro žadatele v nitrátově zranitelných oblastech sledující kvalitu skladovacích kapacit</w:t>
      </w:r>
      <w:r w:rsidR="00F04D29">
        <w:t>,</w:t>
      </w:r>
      <w:r>
        <w:t xml:space="preserve"> tj. jímek a skladů statkových hnojiv z hlediska ochrany vod, který doposud </w:t>
      </w:r>
      <w:r w:rsidR="00480ADC" w:rsidRPr="00480ADC">
        <w:t xml:space="preserve">dle daných ustanovení právních předpisů </w:t>
      </w:r>
      <w:r>
        <w:t>ve výčtu chyběl.</w:t>
      </w:r>
    </w:p>
    <w:p w:rsidR="00396FE7" w:rsidRDefault="00396FE7" w:rsidP="000B7BEE">
      <w:r>
        <w:t xml:space="preserve">Upravena je také terminologie pro označení tzv. </w:t>
      </w:r>
      <w:r w:rsidR="008969A9">
        <w:t>„</w:t>
      </w:r>
      <w:r>
        <w:t>širokořádkových</w:t>
      </w:r>
      <w:r w:rsidR="008969A9">
        <w:t>“</w:t>
      </w:r>
      <w:r>
        <w:t xml:space="preserve"> plodin u standardu GAEC 2 nebo u požadavku SMR 4. Pro výstižnější označení skupiny plodin, které jsou vyjmuty z pěstování na silně erozně ohrožených plochách a na mírně erozně ohrožených plochách je jejich pěstování podmíněno použitím </w:t>
      </w:r>
      <w:proofErr w:type="spellStart"/>
      <w:r>
        <w:t>půdoochranných</w:t>
      </w:r>
      <w:proofErr w:type="spellEnd"/>
      <w:r>
        <w:t xml:space="preserve"> technologií, je nově zaveden výraz </w:t>
      </w:r>
      <w:r w:rsidR="008969A9">
        <w:t>„</w:t>
      </w:r>
      <w:r>
        <w:t>erozně nebezpečné</w:t>
      </w:r>
      <w:r w:rsidR="008969A9">
        <w:t>“</w:t>
      </w:r>
      <w:r>
        <w:t xml:space="preserve"> plodiny.</w:t>
      </w:r>
    </w:p>
    <w:p w:rsidR="00396FE7" w:rsidRDefault="00396FE7" w:rsidP="000B7BEE">
      <w:r>
        <w:t>Počet dozorových organizací provádějících kontroly dodržování požadavků podmíněnosti se v roce 2014 snížil vzhledem k tomu, že SRS byla začleněna pod ÚKZÚZ</w:t>
      </w:r>
      <w:r w:rsidR="009B6171">
        <w:t>. Od </w:t>
      </w:r>
      <w:r>
        <w:t>tohoto roku je proto povinn</w:t>
      </w:r>
      <w:r w:rsidR="009B6171">
        <w:t xml:space="preserve">ost </w:t>
      </w:r>
      <w:r>
        <w:t>vybra</w:t>
      </w:r>
      <w:r w:rsidR="009B6171">
        <w:t xml:space="preserve">t 1 % </w:t>
      </w:r>
      <w:r>
        <w:t>žadatelů ke kontrole podmíněnosti za tyto dozorové organizace plněna společně. Dalšími dozorovými organizacemi zůstávají SZIF, SZPI, ČIŽP, ČPI a SVS ČR včetně ÚSKVBL.</w:t>
      </w:r>
    </w:p>
    <w:p w:rsidR="00396FE7" w:rsidRDefault="00396FE7" w:rsidP="000B7BEE">
      <w:r>
        <w:lastRenderedPageBreak/>
        <w:t xml:space="preserve">Ke kontrolám podmíněnosti bylo vybráno uvedenými dozorovými organizacemi </w:t>
      </w:r>
      <w:r w:rsidR="00B07D79">
        <w:t>10,76 </w:t>
      </w:r>
      <w:r>
        <w:t>% z celkového počtu žadatelů, kteří v roce 2014 požádali o některou z vybraných zemědělských dotací. Dodržování podmínek standardů G</w:t>
      </w:r>
      <w:r w:rsidR="00277640">
        <w:t>AEC a SMR bylo ověřeno celkem u </w:t>
      </w:r>
      <w:r>
        <w:t>3 324 žadatelů z jejich</w:t>
      </w:r>
      <w:r w:rsidRPr="00623CB3">
        <w:t xml:space="preserve"> </w:t>
      </w:r>
      <w:r>
        <w:t>celkového počtu 30 891.</w:t>
      </w:r>
    </w:p>
    <w:p w:rsidR="00396FE7" w:rsidRDefault="00396FE7" w:rsidP="000B7BEE">
      <w:r>
        <w:t xml:space="preserve">Plnění požadavků podmíněnosti bylo posuzováno při celkem 4 489 kontrolách. V rámci těchto kontrol bylo zjištěno porušení ve 204 případech, to znamená, že v 95,5 % kontrolovaných případech nedošlo k porušení podmínek podmíněnosti </w:t>
      </w:r>
      <w:r w:rsidR="00BC2DA2">
        <w:t>–</w:t>
      </w:r>
      <w:r>
        <w:t xml:space="preserve"> </w:t>
      </w:r>
      <w:proofErr w:type="spellStart"/>
      <w:r>
        <w:t>Cross</w:t>
      </w:r>
      <w:proofErr w:type="spellEnd"/>
      <w:r>
        <w:t xml:space="preserve"> </w:t>
      </w:r>
      <w:proofErr w:type="spellStart"/>
      <w:r>
        <w:t>Compliance</w:t>
      </w:r>
      <w:proofErr w:type="spellEnd"/>
      <w:r>
        <w:t>.</w:t>
      </w:r>
    </w:p>
    <w:p w:rsidR="00396FE7" w:rsidRDefault="00396FE7" w:rsidP="000B7BEE">
      <w:r>
        <w:t>Pro rok 2014 byly na základě metody náhodného výběru a na základě analýzy rizik provedeny kontroly na místě v rámci AEO u 671 zemědělských subjektů, jež disponují celkovou výměrou 57 452 ha,</w:t>
      </w:r>
      <w:r w:rsidR="00DB7724">
        <w:t xml:space="preserve"> </w:t>
      </w:r>
      <w:r>
        <w:t>z nichž u 448 byly zjištěny nedostatky.</w:t>
      </w:r>
    </w:p>
    <w:p w:rsidR="00396FE7" w:rsidRDefault="00396FE7" w:rsidP="000B7BEE">
      <w:r>
        <w:t xml:space="preserve">Podrobnější výsledky kontrol obsahují tab. T2.2/02-04. Přehled </w:t>
      </w:r>
      <w:r w:rsidRPr="00941CD5">
        <w:t>kontrolních organizací v roce 2014</w:t>
      </w:r>
      <w:r>
        <w:t xml:space="preserve"> je uveden v tab. </w:t>
      </w:r>
      <w:r w:rsidRPr="00941CD5">
        <w:t>T2.2/05</w:t>
      </w:r>
      <w:r>
        <w:t>.</w:t>
      </w:r>
    </w:p>
    <w:p w:rsidR="00396FE7" w:rsidRDefault="00396FE7" w:rsidP="000B7BEE">
      <w:pPr>
        <w:pStyle w:val="mezera"/>
      </w:pPr>
    </w:p>
    <w:p w:rsidR="00396FE7" w:rsidRDefault="002633D1" w:rsidP="000B7BEE">
      <w:pPr>
        <w:pStyle w:val="mezera"/>
      </w:pPr>
      <w:r w:rsidRPr="002633D1">
        <w:rPr>
          <w:noProof/>
          <w:lang w:eastAsia="cs-CZ"/>
        </w:rPr>
        <w:lastRenderedPageBreak/>
        <w:drawing>
          <wp:inline distT="0" distB="0" distL="0" distR="0" wp14:anchorId="5F1C32FC" wp14:editId="57DCD519">
            <wp:extent cx="5760720" cy="7533021"/>
            <wp:effectExtent l="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533021"/>
                    </a:xfrm>
                    <a:prstGeom prst="rect">
                      <a:avLst/>
                    </a:prstGeom>
                    <a:noFill/>
                    <a:ln>
                      <a:noFill/>
                    </a:ln>
                  </pic:spPr>
                </pic:pic>
              </a:graphicData>
            </a:graphic>
          </wp:inline>
        </w:drawing>
      </w:r>
    </w:p>
    <w:p w:rsidR="00396FE7" w:rsidRDefault="00396FE7" w:rsidP="000B7BEE">
      <w:pPr>
        <w:pStyle w:val="mezera"/>
      </w:pPr>
    </w:p>
    <w:p w:rsidR="00396FE7" w:rsidRDefault="00396FE7" w:rsidP="000B7BEE">
      <w:pPr>
        <w:pStyle w:val="mezera"/>
      </w:pPr>
    </w:p>
    <w:p w:rsidR="00396FE7" w:rsidRDefault="002633D1" w:rsidP="000B7BEE">
      <w:pPr>
        <w:pStyle w:val="mezera"/>
      </w:pPr>
      <w:r w:rsidRPr="002633D1">
        <w:rPr>
          <w:noProof/>
          <w:lang w:eastAsia="cs-CZ"/>
        </w:rPr>
        <w:lastRenderedPageBreak/>
        <w:drawing>
          <wp:inline distT="0" distB="0" distL="0" distR="0" wp14:anchorId="4DE7FAF8" wp14:editId="5793E298">
            <wp:extent cx="5760720" cy="2895350"/>
            <wp:effectExtent l="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895350"/>
                    </a:xfrm>
                    <a:prstGeom prst="rect">
                      <a:avLst/>
                    </a:prstGeom>
                    <a:noFill/>
                    <a:ln>
                      <a:noFill/>
                    </a:ln>
                  </pic:spPr>
                </pic:pic>
              </a:graphicData>
            </a:graphic>
          </wp:inline>
        </w:drawing>
      </w:r>
    </w:p>
    <w:p w:rsidR="00396FE7" w:rsidRDefault="00396FE7" w:rsidP="000B7BEE">
      <w:pPr>
        <w:pStyle w:val="mezera"/>
      </w:pPr>
    </w:p>
    <w:p w:rsidR="00396FE7" w:rsidRDefault="00396FE7" w:rsidP="000B7BEE">
      <w:pPr>
        <w:pStyle w:val="mezera"/>
      </w:pPr>
    </w:p>
    <w:p w:rsidR="00396FE7" w:rsidRDefault="002633D1" w:rsidP="000B7BEE">
      <w:pPr>
        <w:pStyle w:val="mezera"/>
      </w:pPr>
      <w:r w:rsidRPr="004D1031">
        <w:rPr>
          <w:noProof/>
          <w:lang w:eastAsia="cs-CZ"/>
        </w:rPr>
        <w:drawing>
          <wp:inline distT="0" distB="0" distL="0" distR="0" wp14:anchorId="5F68CDA3" wp14:editId="52A5E00C">
            <wp:extent cx="5760720" cy="2975453"/>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975453"/>
                    </a:xfrm>
                    <a:prstGeom prst="rect">
                      <a:avLst/>
                    </a:prstGeom>
                    <a:noFill/>
                    <a:ln>
                      <a:noFill/>
                    </a:ln>
                  </pic:spPr>
                </pic:pic>
              </a:graphicData>
            </a:graphic>
          </wp:inline>
        </w:drawing>
      </w:r>
    </w:p>
    <w:p w:rsidR="00396FE7" w:rsidRDefault="00396FE7" w:rsidP="000B7BEE">
      <w:pPr>
        <w:pStyle w:val="mezera"/>
      </w:pPr>
    </w:p>
    <w:p w:rsidR="00396FE7" w:rsidRDefault="00396FE7" w:rsidP="000B7BEE">
      <w:pPr>
        <w:pStyle w:val="mezera"/>
      </w:pPr>
    </w:p>
    <w:p w:rsidR="00396FE7" w:rsidRDefault="002633D1" w:rsidP="000B7BEE">
      <w:pPr>
        <w:pStyle w:val="mezera"/>
      </w:pPr>
      <w:r w:rsidRPr="002633D1">
        <w:rPr>
          <w:noProof/>
          <w:lang w:eastAsia="cs-CZ"/>
        </w:rPr>
        <w:lastRenderedPageBreak/>
        <w:drawing>
          <wp:inline distT="0" distB="0" distL="0" distR="0" wp14:anchorId="40911389" wp14:editId="18A74D2F">
            <wp:extent cx="5760720" cy="6172841"/>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6172841"/>
                    </a:xfrm>
                    <a:prstGeom prst="rect">
                      <a:avLst/>
                    </a:prstGeom>
                    <a:noFill/>
                    <a:ln>
                      <a:noFill/>
                    </a:ln>
                  </pic:spPr>
                </pic:pic>
              </a:graphicData>
            </a:graphic>
          </wp:inline>
        </w:drawing>
      </w:r>
    </w:p>
    <w:p w:rsidR="00396FE7" w:rsidRDefault="00396FE7" w:rsidP="000B7BEE">
      <w:pPr>
        <w:pStyle w:val="mezera"/>
      </w:pPr>
    </w:p>
    <w:p w:rsidR="00396FE7" w:rsidRPr="00E679C0" w:rsidRDefault="00396FE7" w:rsidP="000B7BEE">
      <w:pPr>
        <w:pStyle w:val="Nadpis2"/>
      </w:pPr>
      <w:bookmarkStart w:id="56" w:name="_Toc328053800"/>
      <w:bookmarkStart w:id="57" w:name="_Toc388267668"/>
      <w:bookmarkStart w:id="58" w:name="_Toc424307025"/>
      <w:bookmarkStart w:id="59" w:name="_Toc296443105"/>
      <w:bookmarkStart w:id="60" w:name="_Toc328053801"/>
      <w:bookmarkStart w:id="61" w:name="_Toc388267669"/>
      <w:bookmarkEnd w:id="34"/>
      <w:bookmarkEnd w:id="35"/>
      <w:bookmarkEnd w:id="36"/>
      <w:r w:rsidRPr="00E679C0">
        <w:t>2.3</w:t>
      </w:r>
      <w:r w:rsidRPr="00E679C0">
        <w:tab/>
        <w:t>Národní podpory a opatření</w:t>
      </w:r>
      <w:bookmarkEnd w:id="56"/>
      <w:bookmarkEnd w:id="57"/>
      <w:bookmarkEnd w:id="58"/>
    </w:p>
    <w:p w:rsidR="00396FE7" w:rsidRPr="00E679C0" w:rsidRDefault="00396FE7" w:rsidP="000B7BEE">
      <w:r w:rsidRPr="00E679C0">
        <w:t>Přehled vyplacených národních podpor (mimo národní doplňkové platby</w:t>
      </w:r>
      <w:r>
        <w:t>, přechodné vnitrostátní podpory,</w:t>
      </w:r>
      <w:r w:rsidRPr="00E679C0">
        <w:t xml:space="preserve"> přímé platby) v</w:t>
      </w:r>
      <w:r>
        <w:t> období 2013</w:t>
      </w:r>
      <w:r>
        <w:noBreakHyphen/>
        <w:t>2014</w:t>
      </w:r>
      <w:r w:rsidRPr="00E679C0">
        <w:t xml:space="preserve"> je uveden v</w:t>
      </w:r>
      <w:r>
        <w:t> </w:t>
      </w:r>
      <w:r w:rsidRPr="00E679C0">
        <w:t>tab. T2.3/01.</w:t>
      </w:r>
    </w:p>
    <w:p w:rsidR="00396FE7" w:rsidRDefault="00396FE7" w:rsidP="000B7BEE">
      <w:pPr>
        <w:pStyle w:val="mezera"/>
      </w:pPr>
    </w:p>
    <w:p w:rsidR="00396FE7" w:rsidRPr="00E679C0" w:rsidRDefault="00605EE6" w:rsidP="000B7BEE">
      <w:pPr>
        <w:pStyle w:val="mezera"/>
      </w:pPr>
      <w:r w:rsidRPr="00605EE6">
        <w:rPr>
          <w:noProof/>
          <w:lang w:eastAsia="cs-CZ"/>
        </w:rPr>
        <w:lastRenderedPageBreak/>
        <w:drawing>
          <wp:inline distT="0" distB="0" distL="0" distR="0" wp14:anchorId="6548B274" wp14:editId="30F2F6B1">
            <wp:extent cx="5364000" cy="8820339"/>
            <wp:effectExtent l="0" t="0" r="8255"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4000" cy="8820339"/>
                    </a:xfrm>
                    <a:prstGeom prst="rect">
                      <a:avLst/>
                    </a:prstGeom>
                    <a:noFill/>
                    <a:ln>
                      <a:noFill/>
                    </a:ln>
                  </pic:spPr>
                </pic:pic>
              </a:graphicData>
            </a:graphic>
          </wp:inline>
        </w:drawing>
      </w:r>
    </w:p>
    <w:p w:rsidR="00396FE7" w:rsidRPr="00E679C0" w:rsidRDefault="00396FE7" w:rsidP="000B7BEE">
      <w:pPr>
        <w:pStyle w:val="mezera"/>
      </w:pPr>
    </w:p>
    <w:p w:rsidR="00396FE7" w:rsidRDefault="00396FE7" w:rsidP="000B7BEE">
      <w:r>
        <w:t>Celkový objem národních podpor a opatření se v roce 2014 snížil o 7</w:t>
      </w:r>
      <w:r w:rsidR="00B42C7A">
        <w:t>77</w:t>
      </w:r>
      <w:r>
        <w:t xml:space="preserve"> mil. Kč na částku 6 </w:t>
      </w:r>
      <w:r w:rsidR="00B42C7A">
        <w:t>814</w:t>
      </w:r>
      <w:r>
        <w:t xml:space="preserve"> mil. Kč.</w:t>
      </w:r>
      <w:r w:rsidRPr="002C4804">
        <w:t xml:space="preserve"> </w:t>
      </w:r>
      <w:r>
        <w:t>Největší skupinu podpor představovaly ostatní národní podpory institucí rezortu MZe a jiných rezortů. Z této kategorie se nejvíce vyplatilo na vratce spotřební daně, konkrétně 970,7 mil. Kč</w:t>
      </w:r>
      <w:r w:rsidR="00F90496">
        <w:t>. O</w:t>
      </w:r>
      <w:r>
        <w:t xml:space="preserve">d 1. 10. 2014 začala platit novela zákona o spotřebních daních, která umožňuje zemědělcům získat zpět část spotřební daně na pohonné hmoty využité při práci na polích a v sadech </w:t>
      </w:r>
      <w:r w:rsidR="008D5D31">
        <w:t xml:space="preserve">od 1. 7. 2014 </w:t>
      </w:r>
      <w:r>
        <w:t>(tzv. zelená nafta). Jednotlivé kraje poskytují podpory do zemědělství ze svých rozpočtů, a to především na zemědělské akce a výstavy, na regionální potraviny a včelařství. Dále jsou v kategorii ostatních národních podpor obsaženy pozemkové úpravy, výdaje SPÚ, MŽP a dalších institucí.</w:t>
      </w:r>
    </w:p>
    <w:p w:rsidR="00396FE7" w:rsidRDefault="00396FE7" w:rsidP="000B7BEE">
      <w:r>
        <w:t xml:space="preserve">Druhou nejvýznamnější skupinu podpor tvořily ostatní výdaje MZe, na jejíž konečné </w:t>
      </w:r>
      <w:r w:rsidRPr="00072115">
        <w:t>částce 1 852 mil. Kč se v roce 2014 nejvýznamněji podílely výdaje na výzkum, které činily</w:t>
      </w:r>
      <w:r>
        <w:t xml:space="preserve"> 769,7 mil. Kč.</w:t>
      </w:r>
    </w:p>
    <w:p w:rsidR="00396FE7" w:rsidRPr="00E679C0" w:rsidRDefault="00396FE7" w:rsidP="000B7BEE">
      <w:r>
        <w:t>Důležitou kategorii</w:t>
      </w:r>
      <w:r w:rsidRPr="00E679C0">
        <w:t xml:space="preserve"> podpor představovaly dotační programy poskytované na základě Zásad, kterými se stanovují podmínky pro</w:t>
      </w:r>
      <w:r>
        <w:t xml:space="preserve"> poskytování dotací pro rok 2014 (totéž </w:t>
      </w:r>
      <w:r w:rsidRPr="00B42C7A">
        <w:t>pro rok 2013). V rámci těchto podpor bylo v roce 2014 vyplaceno 1 </w:t>
      </w:r>
      <w:r w:rsidR="00B42C7A" w:rsidRPr="00B42C7A">
        <w:t>83</w:t>
      </w:r>
      <w:r w:rsidR="00B42C7A">
        <w:t>2</w:t>
      </w:r>
      <w:r w:rsidRPr="00B42C7A">
        <w:t xml:space="preserve"> mil. Kč, což bylo</w:t>
      </w:r>
      <w:r>
        <w:t xml:space="preserve"> o </w:t>
      </w:r>
      <w:r w:rsidR="00B42C7A">
        <w:t>447</w:t>
      </w:r>
      <w:r>
        <w:t xml:space="preserve"> mil. Kč více než v předchozím období.</w:t>
      </w:r>
    </w:p>
    <w:p w:rsidR="00396FE7" w:rsidRPr="00E679C0" w:rsidRDefault="00396FE7" w:rsidP="000B7BEE">
      <w:r w:rsidRPr="00E679C0">
        <w:t>D</w:t>
      </w:r>
      <w:r>
        <w:t xml:space="preserve">ále byly poskytovány podpory </w:t>
      </w:r>
      <w:r w:rsidRPr="00E679C0">
        <w:t>prostřednictvím PGRLF (dotace úroků z</w:t>
      </w:r>
      <w:r>
        <w:t> </w:t>
      </w:r>
      <w:r w:rsidRPr="00E679C0">
        <w:t>úvěrů) především v</w:t>
      </w:r>
      <w:r>
        <w:t> </w:t>
      </w:r>
      <w:r w:rsidRPr="00E679C0">
        <w:t>rámci jeho investičních programů. PGRLF poskytl značnou pomoc v</w:t>
      </w:r>
      <w:r>
        <w:t> </w:t>
      </w:r>
      <w:r w:rsidRPr="00E679C0">
        <w:t xml:space="preserve">rámci programu </w:t>
      </w:r>
      <w:r w:rsidR="008969A9">
        <w:t>„</w:t>
      </w:r>
      <w:r w:rsidRPr="00E679C0">
        <w:t>Podpora pojištění</w:t>
      </w:r>
      <w:r w:rsidR="008969A9">
        <w:t>“</w:t>
      </w:r>
      <w:r w:rsidRPr="00E679C0">
        <w:t>.</w:t>
      </w:r>
      <w:r>
        <w:t xml:space="preserve"> Konkrétně bylo v roce 2014 v rámci tohoto programu vyplaceno 359 mil. Kč, což představovalo zvýšení o 50 mil. Kč oproti předchozímu roku. </w:t>
      </w:r>
      <w:r w:rsidR="00B42C7A">
        <w:t xml:space="preserve">Finanční prostředky ze státního rozpočtu určené na financování podpor se pro účely zúčtování se státním rozpočtem považují za čerpané dnem uzavření smlouvy s příjemcem podpory, a to v rozsahu celého sjednaného závazku k jejich vyplacení. </w:t>
      </w:r>
      <w:r>
        <w:t>Podrobné členění podpor PGRLF je uvedeno v tab. T2.3/02.</w:t>
      </w:r>
    </w:p>
    <w:p w:rsidR="00396FE7" w:rsidRPr="00E679C0" w:rsidRDefault="00396FE7" w:rsidP="000B7BEE">
      <w:pPr>
        <w:pStyle w:val="mezera"/>
      </w:pPr>
    </w:p>
    <w:p w:rsidR="00396FE7" w:rsidRDefault="00396FE7" w:rsidP="000B7BEE">
      <w:pPr>
        <w:pStyle w:val="mezera"/>
      </w:pPr>
      <w:r w:rsidRPr="006572C5">
        <w:rPr>
          <w:noProof/>
          <w:lang w:eastAsia="cs-CZ"/>
        </w:rPr>
        <w:lastRenderedPageBreak/>
        <w:drawing>
          <wp:inline distT="0" distB="0" distL="0" distR="0" wp14:anchorId="73EEA303" wp14:editId="24F0AB91">
            <wp:extent cx="5760720" cy="4808317"/>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808317"/>
                    </a:xfrm>
                    <a:prstGeom prst="rect">
                      <a:avLst/>
                    </a:prstGeom>
                    <a:noFill/>
                    <a:ln>
                      <a:noFill/>
                    </a:ln>
                  </pic:spPr>
                </pic:pic>
              </a:graphicData>
            </a:graphic>
          </wp:inline>
        </w:drawing>
      </w:r>
    </w:p>
    <w:p w:rsidR="00396FE7" w:rsidRDefault="00396FE7" w:rsidP="000B7BEE">
      <w:pPr>
        <w:pStyle w:val="mezera"/>
      </w:pPr>
    </w:p>
    <w:p w:rsidR="00396FE7" w:rsidRPr="00E679C0" w:rsidRDefault="00396FE7" w:rsidP="000B7BEE">
      <w:pPr>
        <w:pStyle w:val="Nadpis2"/>
      </w:pPr>
      <w:bookmarkStart w:id="62" w:name="_Toc424307026"/>
      <w:r w:rsidRPr="00F569A4">
        <w:t>2.4</w:t>
      </w:r>
      <w:r w:rsidRPr="00F569A4">
        <w:tab/>
        <w:t>Podpory tržních cen</w:t>
      </w:r>
      <w:r>
        <w:t xml:space="preserve"> a organizace trhu</w:t>
      </w:r>
      <w:bookmarkEnd w:id="62"/>
    </w:p>
    <w:p w:rsidR="00396FE7" w:rsidRPr="00E679C0" w:rsidRDefault="00396FE7" w:rsidP="000B7BEE">
      <w:r w:rsidRPr="00E679C0">
        <w:t>Podpory tržních cen zahrnují jak podpory cen výrobců (formou subvencování vývozu, podpory soukromého skladování a</w:t>
      </w:r>
      <w:r>
        <w:t> </w:t>
      </w:r>
      <w:r w:rsidRPr="00E679C0">
        <w:t>jiných cenových podpor v rámci SOT a</w:t>
      </w:r>
      <w:r>
        <w:t> </w:t>
      </w:r>
      <w:r w:rsidRPr="00E679C0">
        <w:t>prostřednictvím celní ochrany), tak podpory cen spotřebitelů (např. formou subvencování školního mléka a ovoce</w:t>
      </w:r>
      <w:r w:rsidR="00A315F5">
        <w:t xml:space="preserve"> a zeleniny do škol</w:t>
      </w:r>
      <w:r w:rsidRPr="00E679C0">
        <w:t>). Srovnání prostředků vyplacených v</w:t>
      </w:r>
      <w:r>
        <w:t> </w:t>
      </w:r>
      <w:r w:rsidRPr="00E679C0">
        <w:t>rámci SOT v</w:t>
      </w:r>
      <w:r>
        <w:t> letech 2013 a 2014</w:t>
      </w:r>
      <w:r w:rsidRPr="00E679C0">
        <w:t xml:space="preserve"> uvádí tab. T2.4/01.</w:t>
      </w:r>
    </w:p>
    <w:p w:rsidR="00396FE7" w:rsidRDefault="00396FE7" w:rsidP="000B7BEE">
      <w:pPr>
        <w:pStyle w:val="mezera"/>
      </w:pPr>
    </w:p>
    <w:p w:rsidR="00EB2BEF" w:rsidRDefault="003B610E" w:rsidP="000B7BEE">
      <w:pPr>
        <w:pStyle w:val="mezera"/>
      </w:pPr>
      <w:r w:rsidRPr="003B610E">
        <w:rPr>
          <w:noProof/>
          <w:lang w:eastAsia="cs-CZ"/>
        </w:rPr>
        <w:lastRenderedPageBreak/>
        <w:drawing>
          <wp:inline distT="0" distB="0" distL="0" distR="0" wp14:anchorId="3FF2AEB8" wp14:editId="5C25A8E7">
            <wp:extent cx="5760720" cy="3073364"/>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73364"/>
                    </a:xfrm>
                    <a:prstGeom prst="rect">
                      <a:avLst/>
                    </a:prstGeom>
                    <a:noFill/>
                    <a:ln>
                      <a:noFill/>
                    </a:ln>
                  </pic:spPr>
                </pic:pic>
              </a:graphicData>
            </a:graphic>
          </wp:inline>
        </w:drawing>
      </w:r>
    </w:p>
    <w:p w:rsidR="003B610E" w:rsidRPr="00E679C0" w:rsidRDefault="003B610E" w:rsidP="000B7BEE">
      <w:pPr>
        <w:pStyle w:val="mezera"/>
      </w:pPr>
    </w:p>
    <w:p w:rsidR="00396FE7" w:rsidRDefault="00396FE7" w:rsidP="000B7BEE">
      <w:r>
        <w:t xml:space="preserve">V roce 2014 bylo celkově vydáno na podporu cen a organizaci trhu </w:t>
      </w:r>
      <w:r w:rsidR="00877EDA">
        <w:t>5 066,7</w:t>
      </w:r>
      <w:r>
        <w:t xml:space="preserve"> mil. Kč, což bylo o </w:t>
      </w:r>
      <w:r w:rsidR="00877EDA">
        <w:t xml:space="preserve">658,9 </w:t>
      </w:r>
      <w:r>
        <w:t xml:space="preserve">mil. Kč </w:t>
      </w:r>
      <w:r w:rsidR="002D2510">
        <w:t>více</w:t>
      </w:r>
      <w:r>
        <w:t xml:space="preserve"> než v předchozím roce. Tento </w:t>
      </w:r>
      <w:r w:rsidR="002D2510">
        <w:t>růst</w:t>
      </w:r>
      <w:r>
        <w:t xml:space="preserve"> byl způsoben především </w:t>
      </w:r>
      <w:r w:rsidR="002D2510">
        <w:t>zvýšením</w:t>
      </w:r>
      <w:r>
        <w:t xml:space="preserve"> podpor</w:t>
      </w:r>
      <w:r w:rsidR="002D2510">
        <w:t xml:space="preserve"> na </w:t>
      </w:r>
      <w:r w:rsidR="00877EDA">
        <w:t>provoz bioplynových stanic, které jsou podporovány prostřednictvím výkupních cen a zelených bonusů vázaných na množství vyrobené elektrické energie. Tyto podpory jsou v gesci Energetického regulačního úřa</w:t>
      </w:r>
      <w:r w:rsidR="00484220">
        <w:t>du a v roce 2014 činily 4 556,7 mil. Kč, což bylo o 639,1 mil. </w:t>
      </w:r>
      <w:r w:rsidR="00877EDA">
        <w:t xml:space="preserve">Kč více než v předchozím roce. </w:t>
      </w:r>
      <w:r w:rsidR="00484220">
        <w:t>T</w:t>
      </w:r>
      <w:r w:rsidR="00877EDA">
        <w:t xml:space="preserve">ento růst </w:t>
      </w:r>
      <w:r w:rsidR="00484220">
        <w:t xml:space="preserve">byl také </w:t>
      </w:r>
      <w:r w:rsidR="00877EDA">
        <w:t>ovlivněn</w:t>
      </w:r>
      <w:r w:rsidR="00484220">
        <w:t xml:space="preserve"> </w:t>
      </w:r>
      <w:r w:rsidR="00877EDA">
        <w:t xml:space="preserve">zvýšením podpor na </w:t>
      </w:r>
      <w:r w:rsidR="002D2510">
        <w:t>propagaci zemědělských produktů, které se oproti roku 2013 zvýšily o</w:t>
      </w:r>
      <w:r w:rsidR="00C145FA">
        <w:t> </w:t>
      </w:r>
      <w:r w:rsidR="002D2510">
        <w:t>23,7</w:t>
      </w:r>
      <w:r w:rsidR="00C145FA">
        <w:t> </w:t>
      </w:r>
      <w:r w:rsidR="002D2510">
        <w:t>mil.</w:t>
      </w:r>
      <w:r w:rsidR="00C145FA">
        <w:t> </w:t>
      </w:r>
      <w:r w:rsidR="002D2510">
        <w:t>Kč.</w:t>
      </w:r>
      <w:r>
        <w:t xml:space="preserve"> </w:t>
      </w:r>
      <w:r w:rsidR="00B014A8">
        <w:t>Podpory v</w:t>
      </w:r>
      <w:r>
        <w:t> rámci SOT vínem se snížily oproti roku 2013 o 22,4 mil. Kč a dále se snížily podpory pro Organizace producentů ovoce a zeleniny o 11,</w:t>
      </w:r>
      <w:r w:rsidR="00B014A8">
        <w:t>4</w:t>
      </w:r>
      <w:r>
        <w:t xml:space="preserve"> mil. Kč. Celkově podpory poskytnuté ze zdrojů ČR zůstaly v zásadě nezměněny, na rozdíl od podpor poskytnutých ze zdrojů EU, které se snížily o 4,</w:t>
      </w:r>
      <w:r w:rsidR="00B014A8">
        <w:t>3</w:t>
      </w:r>
      <w:r>
        <w:t xml:space="preserve"> mil. Kč.</w:t>
      </w:r>
    </w:p>
    <w:p w:rsidR="00396FE7" w:rsidRDefault="00396FE7" w:rsidP="000B7BEE">
      <w:r>
        <w:t>Prostředky EU na restrukturalizaci a přeměnu vinic se v roce 2014 oproti roku 2013 zvýšily o 25,4 mil. Kč na 106,2 mil. Kč.</w:t>
      </w:r>
    </w:p>
    <w:p w:rsidR="00396FE7" w:rsidRDefault="00396FE7" w:rsidP="000B7BEE">
      <w:r>
        <w:t>V roce 2014</w:t>
      </w:r>
      <w:r w:rsidRPr="00E679C0">
        <w:t xml:space="preserve"> došlo k mírnému nárůstu podpor u </w:t>
      </w:r>
      <w:r w:rsidR="00953761" w:rsidRPr="00953761">
        <w:t xml:space="preserve">projektu Ovoce a zelenina </w:t>
      </w:r>
      <w:r w:rsidRPr="00E679C0">
        <w:t>do škol</w:t>
      </w:r>
      <w:r>
        <w:t>, konkrétně o 5,1 mil. Kč a dosáhly úrovně 143,6 mil. Kč.</w:t>
      </w:r>
    </w:p>
    <w:p w:rsidR="00802443" w:rsidRPr="00802443" w:rsidRDefault="00802443" w:rsidP="000B7BEE">
      <w:r w:rsidRPr="00802443">
        <w:t>U celkového objemu vyplacených podpor na školní mléko došlo v roce 2014 k nepatrnému zvýšení o 2,2 mil. Kč a dosáhly úrovně 57,9 mil. Kč.</w:t>
      </w:r>
    </w:p>
    <w:p w:rsidR="00396FE7" w:rsidRPr="00E679C0" w:rsidRDefault="00396FE7" w:rsidP="000B7BEE">
      <w:r>
        <w:t>Exportní subvence již nebyly v roce 2014 poskytovány.</w:t>
      </w:r>
    </w:p>
    <w:p w:rsidR="00396FE7" w:rsidRDefault="00396FE7" w:rsidP="000B7BEE">
      <w:r>
        <w:t>V roce 2014</w:t>
      </w:r>
      <w:r w:rsidRPr="00E679C0">
        <w:t xml:space="preserve"> byly nadále vypláceny podpory včelařům, určené na zlepšení výroby včelařských produktů a je</w:t>
      </w:r>
      <w:r>
        <w:t>jich uvedení na trh. V roce 2013 dosáhly výše 66,2</w:t>
      </w:r>
      <w:r w:rsidRPr="00E679C0">
        <w:t> mil. Kč. (z toho 50 % bylo vypla</w:t>
      </w:r>
      <w:r>
        <w:t>ceno z rozpočtu EU), v roce 2014 se tyto podpory snížily o 2,</w:t>
      </w:r>
      <w:r w:rsidR="00B014A8">
        <w:t>2</w:t>
      </w:r>
      <w:r>
        <w:t xml:space="preserve"> mil. Kč na 6</w:t>
      </w:r>
      <w:r w:rsidR="00B014A8">
        <w:t>4,0</w:t>
      </w:r>
      <w:r>
        <w:t xml:space="preserve"> mil. Kč.</w:t>
      </w:r>
    </w:p>
    <w:p w:rsidR="00F10805" w:rsidRPr="001B1FDF" w:rsidRDefault="00F10805" w:rsidP="001B1FDF">
      <w:pPr>
        <w:pStyle w:val="Nadpis1"/>
      </w:pPr>
      <w:bookmarkStart w:id="63" w:name="_Toc424307027"/>
      <w:bookmarkEnd w:id="59"/>
      <w:bookmarkEnd w:id="60"/>
      <w:bookmarkEnd w:id="61"/>
      <w:r w:rsidRPr="001B1FDF">
        <w:lastRenderedPageBreak/>
        <w:t>3</w:t>
      </w:r>
      <w:r w:rsidRPr="001B1FDF">
        <w:tab/>
        <w:t>Zemědělství a rozvoj venkova</w:t>
      </w:r>
      <w:bookmarkEnd w:id="10"/>
      <w:bookmarkEnd w:id="11"/>
      <w:bookmarkEnd w:id="12"/>
      <w:bookmarkEnd w:id="63"/>
    </w:p>
    <w:p w:rsidR="00BF5C2F" w:rsidRDefault="00BF5C2F" w:rsidP="00793697">
      <w:pPr>
        <w:pStyle w:val="souhrn-kap"/>
      </w:pPr>
      <w:bookmarkStart w:id="64" w:name="_Toc388267671"/>
      <w:bookmarkStart w:id="65" w:name="_Toc261959103"/>
      <w:bookmarkStart w:id="66" w:name="_Toc323199483"/>
      <w:bookmarkStart w:id="67" w:name="_Toc354736979"/>
      <w:bookmarkStart w:id="68" w:name="_Toc106002894"/>
      <w:bookmarkStart w:id="69" w:name="_Toc109120959"/>
      <w:bookmarkStart w:id="70" w:name="_Toc135800852"/>
      <w:bookmarkStart w:id="71" w:name="_Toc170550148"/>
      <w:bookmarkStart w:id="72" w:name="_Toc199214657"/>
      <w:bookmarkStart w:id="73" w:name="_Toc328053804"/>
      <w:bookmarkStart w:id="74" w:name="_Toc364067780"/>
      <w:bookmarkEnd w:id="13"/>
      <w:r w:rsidRPr="00A3317A">
        <w:t xml:space="preserve">Venkov, ať už je pojat tradičně jako menší obce (s méně než 2 000 obyvateli), či jako oblasti s významným podílem řídce osídleného území (převážně venkovské a přechodné regiony), vykazuje při srovnání s městy odlišnosti v ukazatelích jak demografického, tak ekonomického a sociálního charakteru. Rozvoj venkova je zabezpečován prostřednictvím dotačních intervencí, které pomáhají na venkově zabezpečit řadu aktivit. Tyto intervence jsou zajištovány řadou dotačních programů a titulů, ty lze rozdělit na národní, které jsou financovány prostřednictvím státního rozpočtu ČR, a evropské, které jsou financovány prostřednictvím strukturálních fondů (Evropský fond pro regionální rozvoj (ERDF), Evropský sociální fond (ESF)) a Evropského zemědělského fondu pro rozvoj venkova (EAFRD). Hlavním programem zabezpečující rozvoj venkova na národní úrovni je Program obnovy venkova, který podporuje soutěž Vesnice roku. Z evropských fondů jsou implementovány Regionální operační programy (ROP) a Program rozvoje venkova (PRV). </w:t>
      </w:r>
      <w:r w:rsidRPr="00A3317A">
        <w:rPr>
          <w:rFonts w:eastAsia="Calibri"/>
          <w:lang w:eastAsia="en-US"/>
        </w:rPr>
        <w:t xml:space="preserve">Rozvoj venkova je zabezpečován především prostřednictvím PRV, u toho programu jsou omezeny žadatelské obce </w:t>
      </w:r>
      <w:r>
        <w:rPr>
          <w:rFonts w:eastAsia="Calibri"/>
          <w:lang w:eastAsia="en-US"/>
        </w:rPr>
        <w:t>velikostí do</w:t>
      </w:r>
      <w:r w:rsidRPr="00A3317A">
        <w:rPr>
          <w:rFonts w:eastAsia="Calibri"/>
          <w:lang w:eastAsia="en-US"/>
        </w:rPr>
        <w:t xml:space="preserve"> 2000 obyvatel, z </w:t>
      </w:r>
      <w:r>
        <w:rPr>
          <w:rFonts w:eastAsia="Calibri"/>
          <w:lang w:eastAsia="en-US"/>
        </w:rPr>
        <w:t>če</w:t>
      </w:r>
      <w:r w:rsidRPr="00A3317A">
        <w:rPr>
          <w:rFonts w:eastAsia="Calibri"/>
          <w:lang w:eastAsia="en-US"/>
        </w:rPr>
        <w:t>ho</w:t>
      </w:r>
      <w:r>
        <w:rPr>
          <w:rFonts w:eastAsia="Calibri"/>
          <w:lang w:eastAsia="en-US"/>
        </w:rPr>
        <w:t>ž</w:t>
      </w:r>
      <w:r w:rsidRPr="00A3317A">
        <w:rPr>
          <w:rFonts w:eastAsia="Calibri"/>
          <w:lang w:eastAsia="en-US"/>
        </w:rPr>
        <w:t xml:space="preserve"> je patrná cílenost na rozvoj </w:t>
      </w:r>
      <w:r w:rsidRPr="00A3317A">
        <w:t xml:space="preserve">venkova. K posilování životaschopnosti venkova přispívá mj. rozvoj místních akčních skupin (LEADER) a Celostátní síť pro venkov. Alokace veřejných zdrojů v národních podmínkách ČR do jednotlivých tematických os PRV 2007-2013 se blíží průměru EU-12 v Osách </w:t>
      </w:r>
      <w:r>
        <w:t>III</w:t>
      </w:r>
      <w:r w:rsidRPr="00A3317A">
        <w:t xml:space="preserve"> a </w:t>
      </w:r>
      <w:r>
        <w:t>IV</w:t>
      </w:r>
      <w:r w:rsidRPr="00A3317A">
        <w:t xml:space="preserve"> a je srovnatelná s průměrem EU-27. V roce 2014 ještě dobíhají podpory z Operačních program</w:t>
      </w:r>
      <w:r>
        <w:t>ů</w:t>
      </w:r>
      <w:r w:rsidRPr="00A3317A">
        <w:t xml:space="preserve"> minulého ob</w:t>
      </w:r>
      <w:r>
        <w:t>d</w:t>
      </w:r>
      <w:r w:rsidRPr="00A3317A">
        <w:t xml:space="preserve">obí díky pravidlu </w:t>
      </w:r>
      <w:r>
        <w:t>n+2</w:t>
      </w:r>
      <w:r w:rsidRPr="00E04FB8">
        <w:rPr>
          <w:rStyle w:val="Znakapoznpodarou"/>
          <w:i/>
        </w:rPr>
        <w:footnoteReference w:id="22"/>
      </w:r>
      <w:r w:rsidRPr="00A3317A">
        <w:t xml:space="preserve">. </w:t>
      </w:r>
      <w:r w:rsidR="00793697" w:rsidRPr="00793697">
        <w:t>Nemalé prostředky byly poskytnuty venkovu formou dotací v rámci Podpory obnovy a rozvoje venkova, který předpokládal participaci obyvatel venkova, občanských spolků a sdružení při obnově jejich obce v souladu s místními tradicemi. Jedná se o podporu vítězů soutěže Vesnic</w:t>
      </w:r>
      <w:r w:rsidR="00793697">
        <w:t>e roku, podpor</w:t>
      </w:r>
      <w:r w:rsidR="008A0193">
        <w:t>u</w:t>
      </w:r>
      <w:r w:rsidR="00793697">
        <w:t xml:space="preserve"> zapojení dětí a </w:t>
      </w:r>
      <w:r w:rsidR="00793697" w:rsidRPr="00793697">
        <w:t>mládeže do komunitního života v obci, podpor</w:t>
      </w:r>
      <w:r w:rsidR="008A0193">
        <w:t>u</w:t>
      </w:r>
      <w:r w:rsidR="00793697" w:rsidRPr="00793697">
        <w:t xml:space="preserve"> spolupráce obcí na obnově a rozvoji venkova a podpor</w:t>
      </w:r>
      <w:r w:rsidR="008A0193">
        <w:t>u</w:t>
      </w:r>
      <w:r w:rsidR="00793697" w:rsidRPr="00793697">
        <w:t xml:space="preserve"> obnovy drobných sakrálních staveb v obci.</w:t>
      </w:r>
      <w:r w:rsidR="00793697">
        <w:t xml:space="preserve"> </w:t>
      </w:r>
      <w:r w:rsidRPr="00A3317A">
        <w:t>V</w:t>
      </w:r>
      <w:r w:rsidR="00793697">
        <w:t xml:space="preserve"> </w:t>
      </w:r>
      <w:r w:rsidRPr="00A3317A">
        <w:t>následujícím roce</w:t>
      </w:r>
      <w:r>
        <w:t xml:space="preserve"> </w:t>
      </w:r>
      <w:r w:rsidRPr="00A3317A">
        <w:t>(2015) se již předpokládá čerpání dotací z programů nového období 2014–</w:t>
      </w:r>
      <w:r>
        <w:t>2020.</w:t>
      </w:r>
    </w:p>
    <w:p w:rsidR="00F10805" w:rsidRPr="001B1FDF" w:rsidRDefault="00F10805" w:rsidP="001B1FDF">
      <w:pPr>
        <w:pStyle w:val="Nadpis2"/>
      </w:pPr>
      <w:bookmarkStart w:id="75" w:name="_Toc424307028"/>
      <w:r w:rsidRPr="001B1FDF">
        <w:t>3.1</w:t>
      </w:r>
      <w:r w:rsidRPr="001B1FDF">
        <w:tab/>
        <w:t>Obyvatelstvo venkova a struktura venkovského osídlení</w:t>
      </w:r>
      <w:bookmarkEnd w:id="64"/>
      <w:bookmarkEnd w:id="75"/>
    </w:p>
    <w:p w:rsidR="00F10805" w:rsidRDefault="00F10805" w:rsidP="009148B8">
      <w:r>
        <w:t xml:space="preserve">Pro vymezení venkova na úrovni krajů byly použity typologie </w:t>
      </w:r>
      <w:hyperlink r:id="rId31" w:history="1">
        <w:r w:rsidRPr="0030012D">
          <w:rPr>
            <w:rStyle w:val="Hypertextovodkaz"/>
          </w:rPr>
          <w:t>OECD</w:t>
        </w:r>
      </w:hyperlink>
      <w:r>
        <w:t xml:space="preserve"> a </w:t>
      </w:r>
      <w:hyperlink r:id="rId32" w:history="1">
        <w:r w:rsidRPr="0030012D">
          <w:rPr>
            <w:rStyle w:val="Hypertextovodkaz"/>
          </w:rPr>
          <w:t>EU</w:t>
        </w:r>
      </w:hyperlink>
      <w:r>
        <w:t>, které shodně vymezují tři kategorie regionů (převážně venkovské, přechodné, převážně městské), avšak na základě odlišné metodologie výpočtu</w:t>
      </w:r>
      <w:r w:rsidRPr="002D7CF8">
        <w:rPr>
          <w:rStyle w:val="Znakapoznpodarou"/>
        </w:rPr>
        <w:footnoteReference w:id="23"/>
      </w:r>
      <w:r>
        <w:t xml:space="preserve">. Pro vymezení venkova na nižších úrovních byla použita jak metodologie OECD, tak tradiční </w:t>
      </w:r>
      <w:r w:rsidRPr="00423711">
        <w:t>české</w:t>
      </w:r>
      <w:r>
        <w:t xml:space="preserve"> vymezení venkovských obcí jako obcí do 2 000 obyvatel.</w:t>
      </w:r>
    </w:p>
    <w:p w:rsidR="00F10805" w:rsidRDefault="00F10805" w:rsidP="009148B8">
      <w:pPr>
        <w:pStyle w:val="Norm-Bold"/>
      </w:pPr>
      <w:r>
        <w:t>Venkovské regiony na úrovni krajů (podle typologie OECD a EU)</w:t>
      </w:r>
    </w:p>
    <w:p w:rsidR="00F10805" w:rsidRDefault="00F10805" w:rsidP="009148B8">
      <w:r>
        <w:t>Podle typologie OECD byl k 1. 1. </w:t>
      </w:r>
      <w:r w:rsidRPr="00C314E0">
        <w:t>201</w:t>
      </w:r>
      <w:r>
        <w:t>4</w:t>
      </w:r>
      <w:r w:rsidRPr="00C314E0">
        <w:t xml:space="preserve"> převážně venkovským regionem pouze </w:t>
      </w:r>
      <w:r>
        <w:t>K</w:t>
      </w:r>
      <w:r w:rsidRPr="00C314E0">
        <w:t xml:space="preserve">raj Vysočina a naopak převážně městským regionem pouze </w:t>
      </w:r>
      <w:r>
        <w:t>H</w:t>
      </w:r>
      <w:r w:rsidRPr="00C314E0">
        <w:t>l. m. Praha. Ostatních 12 krajů se řadilo mezi přechodné regiony</w:t>
      </w:r>
      <w:r>
        <w:t>, jež zabíraly na území ČR téměř 91 % plochy a v nichž žilo 83 % obyvatel.</w:t>
      </w:r>
    </w:p>
    <w:p w:rsidR="00F10805" w:rsidRDefault="00F10805" w:rsidP="009148B8">
      <w:r>
        <w:lastRenderedPageBreak/>
        <w:t xml:space="preserve">Typologie EU řadí více regionů do kategorie převážně venkovských, což se v ČR </w:t>
      </w:r>
      <w:r w:rsidRPr="00423711">
        <w:t>projevuje</w:t>
      </w:r>
      <w:r w:rsidRPr="00743C2D">
        <w:t xml:space="preserve"> </w:t>
      </w:r>
      <w:r>
        <w:t>významně. Vymezuje v ČR 6 převážně venkovských regionů (</w:t>
      </w:r>
      <w:r w:rsidRPr="00013E2F">
        <w:t>Jihočeský, Olomoucký</w:t>
      </w:r>
      <w:r>
        <w:t xml:space="preserve">, </w:t>
      </w:r>
      <w:r w:rsidRPr="00013E2F">
        <w:t>Pardubický, Plzeňský, Vysočina a Zlínský</w:t>
      </w:r>
      <w:r>
        <w:t>) se 48% podílem na území a téměř třetinovým podílem na obyvatelstvu. Na druhé straně vykazuje i vyšší počet převážně městských regionů (Hl. m. Praha a Středočeský kraj); jejich územní podíl činí 15 % a podíl populace 24 %. Mezi přechodné regiony spadá 6 krajů (</w:t>
      </w:r>
      <w:r w:rsidRPr="00013E2F">
        <w:t>Jihomoravský</w:t>
      </w:r>
      <w:r>
        <w:t>,</w:t>
      </w:r>
      <w:r w:rsidRPr="00013E2F">
        <w:t xml:space="preserve"> Karlovarský, Královéhradecký, Liberecký, Moravskoslezský</w:t>
      </w:r>
      <w:r>
        <w:t xml:space="preserve"> a</w:t>
      </w:r>
      <w:r w:rsidRPr="00013E2F">
        <w:t xml:space="preserve"> </w:t>
      </w:r>
      <w:r>
        <w:t xml:space="preserve">Ústecký), jež se </w:t>
      </w:r>
      <w:r w:rsidRPr="00013E2F">
        <w:t>rozkládají</w:t>
      </w:r>
      <w:r>
        <w:t xml:space="preserve"> na 37 % plochy ČR, a </w:t>
      </w:r>
      <w:r w:rsidRPr="00013E2F">
        <w:t>žije</w:t>
      </w:r>
      <w:r>
        <w:t xml:space="preserve"> v nich 43 % obyvatel.</w:t>
      </w:r>
    </w:p>
    <w:p w:rsidR="00F10805" w:rsidRDefault="00F10805" w:rsidP="009148B8">
      <w:r>
        <w:t>Při použití typologie EU má ČR vyrovnanější zastoupení regionů ve sledovaných kategoriích.</w:t>
      </w:r>
    </w:p>
    <w:p w:rsidR="00F10805" w:rsidRDefault="00F10805" w:rsidP="009148B8">
      <w:pPr>
        <w:pStyle w:val="mezera"/>
      </w:pPr>
    </w:p>
    <w:p w:rsidR="00F10805" w:rsidRDefault="00F90496" w:rsidP="009148B8">
      <w:pPr>
        <w:pStyle w:val="mezera"/>
      </w:pPr>
      <w:r w:rsidRPr="00F90496">
        <w:rPr>
          <w:noProof/>
          <w:lang w:eastAsia="cs-CZ"/>
        </w:rPr>
        <w:drawing>
          <wp:inline distT="0" distB="0" distL="0" distR="0" wp14:anchorId="2BCD7A83" wp14:editId="04E1D035">
            <wp:extent cx="5760720" cy="132373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323734"/>
                    </a:xfrm>
                    <a:prstGeom prst="rect">
                      <a:avLst/>
                    </a:prstGeom>
                    <a:noFill/>
                    <a:ln>
                      <a:noFill/>
                    </a:ln>
                  </pic:spPr>
                </pic:pic>
              </a:graphicData>
            </a:graphic>
          </wp:inline>
        </w:drawing>
      </w:r>
    </w:p>
    <w:p w:rsidR="00F10805" w:rsidRDefault="00F10805" w:rsidP="009148B8">
      <w:pPr>
        <w:pStyle w:val="mezera"/>
      </w:pPr>
    </w:p>
    <w:p w:rsidR="00F10805" w:rsidRDefault="00F10805" w:rsidP="009148B8">
      <w:pPr>
        <w:pStyle w:val="Norm-Bold"/>
      </w:pPr>
      <w:r>
        <w:t>Venkovské regiony na úrovni okresů a obcí (podle typologie OECD)</w:t>
      </w:r>
    </w:p>
    <w:p w:rsidR="00F10805" w:rsidRDefault="00F10805" w:rsidP="009148B8">
      <w:r>
        <w:t>Podle typologie OECD spadalo v roce 2014 21 okresů do kategorie převážně venkovských, zabíraly zhruba třetinu území ČR a na jejich území žila šestina obyvatel ČR. Kategorii převážně městských regionů tvořilo 8 okresů, jejichž podíl na území ČR činil 4,0 % a podíl na obyvatelstvu zhruba čtvrtinu. 48 okresů tvořilo kategorii přechodných regionů, přičemž z hlediska podílu na území i obyvatelstvu zabíraly zhruba 60 % z celku. Meziročně došlo k přesunu jednoho okresu z kategorie přechodných do převážně venkovských.</w:t>
      </w:r>
    </w:p>
    <w:p w:rsidR="00F10805" w:rsidRDefault="00F10805" w:rsidP="009148B8">
      <w:pPr>
        <w:pStyle w:val="mezera"/>
      </w:pPr>
    </w:p>
    <w:p w:rsidR="00F10805" w:rsidRDefault="00F90496" w:rsidP="009148B8">
      <w:pPr>
        <w:pStyle w:val="mezera"/>
      </w:pPr>
      <w:r w:rsidRPr="00F90496">
        <w:rPr>
          <w:noProof/>
          <w:lang w:eastAsia="cs-CZ"/>
        </w:rPr>
        <w:drawing>
          <wp:inline distT="0" distB="0" distL="0" distR="0" wp14:anchorId="65FD21D9" wp14:editId="3B085C32">
            <wp:extent cx="4427220" cy="150558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7220" cy="1505585"/>
                    </a:xfrm>
                    <a:prstGeom prst="rect">
                      <a:avLst/>
                    </a:prstGeom>
                    <a:noFill/>
                    <a:ln>
                      <a:noFill/>
                    </a:ln>
                  </pic:spPr>
                </pic:pic>
              </a:graphicData>
            </a:graphic>
          </wp:inline>
        </w:drawing>
      </w:r>
    </w:p>
    <w:p w:rsidR="00F10805" w:rsidRDefault="00F10805" w:rsidP="009148B8">
      <w:pPr>
        <w:pStyle w:val="mezera"/>
      </w:pPr>
    </w:p>
    <w:p w:rsidR="00F10805" w:rsidRDefault="00F10805" w:rsidP="009148B8">
      <w:r>
        <w:t>Na nejnižší administrativní úrovni (LAU 2) tvořilo venkovský prostor 5 375 obcí (obce s hustotou zalidnění nižší než 150 obyvatel/km</w:t>
      </w:r>
      <w:r>
        <w:rPr>
          <w:vertAlign w:val="superscript"/>
        </w:rPr>
        <w:t>2</w:t>
      </w:r>
      <w:r>
        <w:t>). Představovaly 86 % z celkového počtu obcí v ČR a 82 % rozlohy státu, avšak žilo v nich pouze 30 % obyvatelstva. Městských obcí bylo 878 (14 % všech obcí, 18 % plochy ČR a 70 % obyvatel ČR). Ve srovnání se stejným obdobím předchozího roku se počet venkovských obcí navýšil o 1, ale ve strukturálních podílech se to prakticky neprojevilo.</w:t>
      </w:r>
    </w:p>
    <w:p w:rsidR="00F10805" w:rsidRDefault="00F10805" w:rsidP="009148B8">
      <w:pPr>
        <w:pStyle w:val="Norm-Bold"/>
      </w:pPr>
      <w:r w:rsidRPr="005D045D">
        <w:lastRenderedPageBreak/>
        <w:t>Venkov</w:t>
      </w:r>
      <w:r>
        <w:t>ské obce do 2 000 obyvatel</w:t>
      </w:r>
    </w:p>
    <w:p w:rsidR="00F10805" w:rsidRDefault="00F10805" w:rsidP="009148B8">
      <w:r>
        <w:t>Vedle typologie OECD se na úrovni LAU 2 používá v ČR také tradiční vymezení venkovských obcí jako obcí do 2 000 obyvatel. Podle něho bylo v ČR 5 570 obcí s méně než 2 000 obyvateli, což představovalo 89 % všech obcí ČR a 73 % rozlohy ČR. Žilo zde necelých 27 % obyvatel státu. Ve srovnání se stejným obdobím předchozího roku počet venkovských obcí poklesl o 1.</w:t>
      </w:r>
    </w:p>
    <w:p w:rsidR="00F10805" w:rsidRDefault="00F10805" w:rsidP="009148B8">
      <w:r>
        <w:t xml:space="preserve">Dlouhodobé srovnání ukazuje, že ve venkovských obcích ČR kontinuálně roste počet obyvatel rychlejším tempem než v ČR celkem. </w:t>
      </w:r>
      <w:r w:rsidRPr="007B0983">
        <w:t>V období 2001-201</w:t>
      </w:r>
      <w:r>
        <w:t>4</w:t>
      </w:r>
      <w:r w:rsidRPr="007B0983">
        <w:t xml:space="preserve"> vzrostl celkový počet obyvatel venkova o </w:t>
      </w:r>
      <w:r>
        <w:t>6,3</w:t>
      </w:r>
      <w:r w:rsidRPr="007B0983">
        <w:t xml:space="preserve"> %</w:t>
      </w:r>
      <w:r>
        <w:t>,</w:t>
      </w:r>
      <w:r w:rsidRPr="007B0983">
        <w:t xml:space="preserve"> zatímco počet obyvatel v ČR se zvýšil pouze o </w:t>
      </w:r>
      <w:r>
        <w:t>2,8</w:t>
      </w:r>
      <w:r w:rsidRPr="007B0983">
        <w:t xml:space="preserve"> %.</w:t>
      </w:r>
      <w:r>
        <w:t xml:space="preserve"> V důsledku toho se podíl venkovského obyvatelstva na celkové populaci od roku 2001 zvýšil </w:t>
      </w:r>
      <w:r w:rsidRPr="00EF30E9">
        <w:t>o 0,</w:t>
      </w:r>
      <w:r>
        <w:t>8</w:t>
      </w:r>
      <w:r w:rsidRPr="00EF30E9">
        <w:t xml:space="preserve"> p. b., </w:t>
      </w:r>
      <w:r>
        <w:t>přičemž meziročně zůstal beze změny</w:t>
      </w:r>
      <w:r w:rsidRPr="00EF30E9">
        <w:t xml:space="preserve">. Naproti tomu se po celé sledované období </w:t>
      </w:r>
      <w:r>
        <w:t>mírně snižuje počet venkovských obcí (zpravidla se zvýšením počtu obyvatel obcí přesunou do vyšších velikostních kategorií).</w:t>
      </w:r>
    </w:p>
    <w:p w:rsidR="00F10805" w:rsidRDefault="00F10805" w:rsidP="009148B8">
      <w:pPr>
        <w:pStyle w:val="mezera"/>
      </w:pPr>
    </w:p>
    <w:p w:rsidR="00F10805" w:rsidRDefault="00570DA3" w:rsidP="009148B8">
      <w:pPr>
        <w:pStyle w:val="mezera"/>
      </w:pPr>
      <w:r w:rsidRPr="00570DA3">
        <w:rPr>
          <w:noProof/>
          <w:lang w:eastAsia="cs-CZ"/>
        </w:rPr>
        <w:drawing>
          <wp:inline distT="0" distB="0" distL="0" distR="0" wp14:anchorId="4AC5C640" wp14:editId="20536828">
            <wp:extent cx="5760720" cy="1876064"/>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876064"/>
                    </a:xfrm>
                    <a:prstGeom prst="rect">
                      <a:avLst/>
                    </a:prstGeom>
                    <a:noFill/>
                    <a:ln>
                      <a:noFill/>
                    </a:ln>
                  </pic:spPr>
                </pic:pic>
              </a:graphicData>
            </a:graphic>
          </wp:inline>
        </w:drawing>
      </w:r>
    </w:p>
    <w:p w:rsidR="00F10805" w:rsidRDefault="00F10805" w:rsidP="009148B8">
      <w:pPr>
        <w:pStyle w:val="mezera"/>
      </w:pPr>
    </w:p>
    <w:p w:rsidR="00851A76" w:rsidRDefault="00851A76" w:rsidP="009148B8">
      <w:pPr>
        <w:pStyle w:val="mezera"/>
      </w:pPr>
    </w:p>
    <w:p w:rsidR="00F10805" w:rsidRDefault="00851A76" w:rsidP="009148B8">
      <w:pPr>
        <w:pStyle w:val="mezera"/>
      </w:pPr>
      <w:r w:rsidRPr="00851A76">
        <w:rPr>
          <w:noProof/>
          <w:lang w:eastAsia="cs-CZ"/>
        </w:rPr>
        <w:drawing>
          <wp:inline distT="0" distB="0" distL="0" distR="0" wp14:anchorId="3ACF9761" wp14:editId="48EF3DB4">
            <wp:extent cx="5093970" cy="21990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3970" cy="2199005"/>
                    </a:xfrm>
                    <a:prstGeom prst="rect">
                      <a:avLst/>
                    </a:prstGeom>
                    <a:noFill/>
                    <a:ln>
                      <a:noFill/>
                    </a:ln>
                  </pic:spPr>
                </pic:pic>
              </a:graphicData>
            </a:graphic>
          </wp:inline>
        </w:drawing>
      </w:r>
    </w:p>
    <w:p w:rsidR="00F10805" w:rsidRDefault="00F10805" w:rsidP="009148B8">
      <w:pPr>
        <w:pStyle w:val="mezera"/>
      </w:pPr>
    </w:p>
    <w:p w:rsidR="00F10805" w:rsidRDefault="00F10805" w:rsidP="009148B8">
      <w:r>
        <w:t>Po celé období je patrný rozdílný vývoj mezi</w:t>
      </w:r>
      <w:r>
        <w:rPr>
          <w:i/>
          <w:iCs/>
        </w:rPr>
        <w:t xml:space="preserve"> </w:t>
      </w:r>
      <w:r>
        <w:t xml:space="preserve">velikostními kategoriemi venkovských obcí. Zatímco počet obcí nad 500 obyvatel i počet jejich obyvatel se zvyšuje, počet obcí do 500 obyvatel i počet jejich obyvatel naopak klesá. Souhrnně ve sledovaném období ubylo 6,6 % obcí do 500 obyvatel a počet jejich obyvatel klesl o 4,2 %. Trvale nepříznivá situace je </w:t>
      </w:r>
      <w:r>
        <w:lastRenderedPageBreak/>
        <w:t>v tomto směru především v obcích s méně než 200 obyvateli, což souvisí s řadou faktorů, zejména se vzdáleností obcí od center zaměstnanosti.</w:t>
      </w:r>
      <w:bookmarkEnd w:id="65"/>
      <w:bookmarkEnd w:id="66"/>
      <w:bookmarkEnd w:id="67"/>
      <w:bookmarkEnd w:id="68"/>
      <w:bookmarkEnd w:id="69"/>
      <w:bookmarkEnd w:id="70"/>
      <w:bookmarkEnd w:id="71"/>
      <w:bookmarkEnd w:id="72"/>
    </w:p>
    <w:p w:rsidR="00F10805" w:rsidRPr="001B1FDF" w:rsidRDefault="00F10805" w:rsidP="001B1FDF">
      <w:pPr>
        <w:pStyle w:val="Nadpis2"/>
      </w:pPr>
      <w:bookmarkStart w:id="76" w:name="_Toc354737001"/>
      <w:bookmarkStart w:id="77" w:name="_Toc391991474"/>
      <w:bookmarkStart w:id="78" w:name="_Toc424307029"/>
      <w:bookmarkEnd w:id="14"/>
      <w:bookmarkEnd w:id="73"/>
      <w:bookmarkEnd w:id="74"/>
      <w:r w:rsidRPr="001B1FDF">
        <w:t>3.2</w:t>
      </w:r>
      <w:r w:rsidRPr="001B1FDF">
        <w:tab/>
        <w:t>Podnikatelská struktura venkova ve vztahu k podporám zemědělské politiky</w:t>
      </w:r>
      <w:bookmarkEnd w:id="76"/>
      <w:bookmarkEnd w:id="77"/>
      <w:bookmarkEnd w:id="78"/>
    </w:p>
    <w:p w:rsidR="00F10805" w:rsidRPr="001C45CD" w:rsidRDefault="00F10805" w:rsidP="009148B8">
      <w:r>
        <w:t>K</w:t>
      </w:r>
      <w:r w:rsidRPr="001C45CD">
        <w:t xml:space="preserve"> 31. 12. 201</w:t>
      </w:r>
      <w:r>
        <w:t>3</w:t>
      </w:r>
      <w:r w:rsidRPr="002D7CF8">
        <w:rPr>
          <w:rStyle w:val="Znakapoznpodarou"/>
        </w:rPr>
        <w:footnoteReference w:id="24"/>
      </w:r>
      <w:r w:rsidRPr="001C45CD">
        <w:t xml:space="preserve"> </w:t>
      </w:r>
      <w:r>
        <w:t xml:space="preserve">bylo v ČR </w:t>
      </w:r>
      <w:r w:rsidRPr="001C45CD">
        <w:t xml:space="preserve">registrováno </w:t>
      </w:r>
      <w:r>
        <w:t>(dle údajů ČSÚ) celkem 2 694 737 podnikatelských subjektů, meziročně jich ubylo</w:t>
      </w:r>
      <w:r w:rsidRPr="001C45CD">
        <w:t xml:space="preserve"> </w:t>
      </w:r>
      <w:r>
        <w:t>33</w:t>
      </w:r>
      <w:r w:rsidRPr="001C45CD">
        <w:t xml:space="preserve"> tisíc. </w:t>
      </w:r>
      <w:r>
        <w:t xml:space="preserve">Početní úbytek postihl téměř všechna odvětví, zemědělství nevyjímaje (vysoký nárůst </w:t>
      </w:r>
      <w:r w:rsidR="007C28F0">
        <w:t>zaznamenalo pouze peněžnictví a </w:t>
      </w:r>
      <w:r>
        <w:t xml:space="preserve">pojišťovnictví). </w:t>
      </w:r>
      <w:r w:rsidRPr="001C45CD">
        <w:t>V organizační struktuře národního hospodářství podle velikosti subjektů domi</w:t>
      </w:r>
      <w:r>
        <w:t>novaly, stejně jako v předchozích</w:t>
      </w:r>
      <w:r w:rsidRPr="001C45CD">
        <w:t xml:space="preserve"> </w:t>
      </w:r>
      <w:r>
        <w:t xml:space="preserve">letech, </w:t>
      </w:r>
      <w:r w:rsidRPr="001C45CD">
        <w:t>podniky bez zaměstnanců</w:t>
      </w:r>
      <w:r w:rsidRPr="002D7CF8">
        <w:rPr>
          <w:rStyle w:val="Znakapoznpodarou"/>
        </w:rPr>
        <w:footnoteReference w:id="25"/>
      </w:r>
      <w:r w:rsidRPr="001C45CD">
        <w:t xml:space="preserve"> (</w:t>
      </w:r>
      <w:r>
        <w:t>89,7</w:t>
      </w:r>
      <w:r w:rsidRPr="001C45CD">
        <w:t xml:space="preserve"> %) následované </w:t>
      </w:r>
      <w:proofErr w:type="spellStart"/>
      <w:r w:rsidRPr="001C45CD">
        <w:t>mikropodniky</w:t>
      </w:r>
      <w:proofErr w:type="spellEnd"/>
      <w:r w:rsidRPr="002D7CF8">
        <w:rPr>
          <w:rStyle w:val="Znakapoznpodarou"/>
        </w:rPr>
        <w:footnoteReference w:id="26"/>
      </w:r>
      <w:r w:rsidRPr="001C45CD">
        <w:t xml:space="preserve"> s podílem </w:t>
      </w:r>
      <w:r>
        <w:t>8,3</w:t>
      </w:r>
      <w:r w:rsidRPr="001C45CD">
        <w:t xml:space="preserve"> % na celkovém počtu podniků. Z odvětví </w:t>
      </w:r>
      <w:r>
        <w:t>(</w:t>
      </w:r>
      <w:r w:rsidRPr="001C45CD">
        <w:t>definovaných podle CZ</w:t>
      </w:r>
      <w:r w:rsidRPr="001C45CD">
        <w:noBreakHyphen/>
        <w:t>NACE</w:t>
      </w:r>
      <w:r>
        <w:t>) byl nejvíce zastoupen v</w:t>
      </w:r>
      <w:r w:rsidRPr="00400FA4">
        <w:t>elkoobchod a maloobchod</w:t>
      </w:r>
      <w:r>
        <w:t xml:space="preserve"> společně s </w:t>
      </w:r>
      <w:r w:rsidRPr="00400FA4">
        <w:t>oprav</w:t>
      </w:r>
      <w:r>
        <w:t>ami</w:t>
      </w:r>
      <w:r w:rsidRPr="00400FA4">
        <w:t xml:space="preserve"> a údržb</w:t>
      </w:r>
      <w:r>
        <w:t>ou</w:t>
      </w:r>
      <w:r w:rsidRPr="00400FA4">
        <w:t xml:space="preserve"> motorových vozidel</w:t>
      </w:r>
      <w:r>
        <w:t xml:space="preserve"> (22</w:t>
      </w:r>
      <w:r w:rsidRPr="001C45CD">
        <w:t>,</w:t>
      </w:r>
      <w:r>
        <w:t>2</w:t>
      </w:r>
      <w:r w:rsidRPr="001C45CD">
        <w:t> %</w:t>
      </w:r>
      <w:r>
        <w:t>)</w:t>
      </w:r>
      <w:r w:rsidRPr="001C45CD">
        <w:t>, dále profesní, vědecké a technické činnosti (12,</w:t>
      </w:r>
      <w:r>
        <w:t>0</w:t>
      </w:r>
      <w:r w:rsidRPr="001C45CD">
        <w:t xml:space="preserve"> %), </w:t>
      </w:r>
      <w:r>
        <w:t>průmysl (11,8</w:t>
      </w:r>
      <w:r w:rsidRPr="001C45CD">
        <w:t> %)</w:t>
      </w:r>
      <w:r>
        <w:t xml:space="preserve"> a </w:t>
      </w:r>
      <w:r w:rsidRPr="001C45CD">
        <w:t>stavebnictví (1</w:t>
      </w:r>
      <w:r>
        <w:t>1</w:t>
      </w:r>
      <w:r w:rsidRPr="001C45CD">
        <w:t>,</w:t>
      </w:r>
      <w:r>
        <w:t>5</w:t>
      </w:r>
      <w:r w:rsidRPr="001C45CD">
        <w:t> %)</w:t>
      </w:r>
      <w:r>
        <w:t>.</w:t>
      </w:r>
    </w:p>
    <w:p w:rsidR="00F10805" w:rsidRDefault="00F10805" w:rsidP="009148B8">
      <w:r>
        <w:t xml:space="preserve">V průměrech za jednotlivé typy regionů dle jejich venkovskosti (typologie </w:t>
      </w:r>
      <w:r w:rsidRPr="00373B31">
        <w:t>EU</w:t>
      </w:r>
      <w:r w:rsidRPr="002D7CF8">
        <w:rPr>
          <w:rStyle w:val="Znakapoznpodarou"/>
        </w:rPr>
        <w:footnoteReference w:id="27"/>
      </w:r>
      <w:r>
        <w:t>) se s</w:t>
      </w:r>
      <w:r w:rsidRPr="006C156E">
        <w:t xml:space="preserve">truktura podniků podle počtu zaměstnanců výrazně neliší. </w:t>
      </w:r>
      <w:r>
        <w:t xml:space="preserve">Zejména blízké jsou si převážně venkovské a přechodné regiony (v obou skupinách činí podíl podniků bez zaměstnanců zhruba 90 %, </w:t>
      </w:r>
      <w:proofErr w:type="spellStart"/>
      <w:r>
        <w:t>mikropodniků</w:t>
      </w:r>
      <w:proofErr w:type="spellEnd"/>
      <w:r>
        <w:t xml:space="preserve"> necelých 8 %, malých podniků</w:t>
      </w:r>
      <w:r w:rsidRPr="002D7CF8">
        <w:rPr>
          <w:rStyle w:val="Znakapoznpodarou"/>
        </w:rPr>
        <w:footnoteReference w:id="28"/>
      </w:r>
      <w:r>
        <w:t xml:space="preserve"> 1,6 % a velkých podniků 0,5 %). Převážně městské regiony pak vykazují poněkud nižší podíl podniků bez zaměstnanců (88,5 %), a na druhé straně vyšší podíl </w:t>
      </w:r>
      <w:proofErr w:type="spellStart"/>
      <w:r>
        <w:t>mikropodniků</w:t>
      </w:r>
      <w:proofErr w:type="spellEnd"/>
      <w:r>
        <w:t xml:space="preserve"> (9,4 %).</w:t>
      </w:r>
    </w:p>
    <w:p w:rsidR="00F10805" w:rsidRDefault="00F10805" w:rsidP="009148B8">
      <w:r>
        <w:t xml:space="preserve">Odvětvová struktura podniků vykazuje mezi jednotlivými typy regionů charakteristické odlišnosti. Podíl zemědělských podniků (včetně lesnických a rybářských) je nejvyšší v regionech převážně venkovských (6,3 %) a nejnižší pak v převážně městských (2,6 %). Obdobně je tomu v případě zastoupení průmyslových i stavebních podniků (zde při minimálních rozdílech mezi převážně venkovskými a přechodnými regiony). Opačně je tomu pak u všeobecně početně nejvýznamnějšího odvětví služeb, tj. velkoobchodu a maloobchodu včetně oprav, jež jsou nejvíce rozvinuté v převážně městských regionech. Uvedené charakteristiky platí jak pro podniky celkem, tak pro </w:t>
      </w:r>
      <w:proofErr w:type="spellStart"/>
      <w:r>
        <w:t>mikropodniky</w:t>
      </w:r>
      <w:proofErr w:type="spellEnd"/>
      <w:r>
        <w:t xml:space="preserve"> (v nich podíl zmíněného obchodu dosáhl v převážně venkovských oblastech necelých 21 %, v přechodných téměř 23 %, v převážně městských pak 28,5 %). Méně početné (z hlediska zaměstnávání však velmi </w:t>
      </w:r>
      <w:r>
        <w:lastRenderedPageBreak/>
        <w:t xml:space="preserve">významné) větší podniky (tj. nad hranicí vymezující </w:t>
      </w:r>
      <w:proofErr w:type="spellStart"/>
      <w:r>
        <w:t>mikropodniky</w:t>
      </w:r>
      <w:proofErr w:type="spellEnd"/>
      <w:r>
        <w:t>) vykazují odlišnou odvětvovou strukturu – mezi nimi zaujímá nejvyšší podíl průmysl, jenž má dokonce ve skupině největších podniků (250 a více zaměstnanců) nadpoloviční zastoupení v převážně venkovských i přechodných regionech.</w:t>
      </w:r>
    </w:p>
    <w:p w:rsidR="00F10805" w:rsidRDefault="00F10805" w:rsidP="009148B8">
      <w:r>
        <w:t xml:space="preserve">Regionálně rozdělené údaje ČSÚ o HPH dosáhly v úhrnu za ČR za rok 2013 hodnoty 3 664,7 mld. Kč, z toho v převážně venkovských regionech 1 012,3 mld. Kč a v přechodných regionech 1 339,5 mld. Kč. </w:t>
      </w:r>
      <w:r w:rsidRPr="002D3D01">
        <w:t>V převážně venkovských regionech</w:t>
      </w:r>
      <w:r>
        <w:t xml:space="preserve"> dosáhl</w:t>
      </w:r>
      <w:r w:rsidRPr="002D3D01">
        <w:t xml:space="preserve"> nejvyšší</w:t>
      </w:r>
      <w:r>
        <w:t>ho</w:t>
      </w:r>
      <w:r w:rsidRPr="002D3D01">
        <w:t xml:space="preserve"> podíl</w:t>
      </w:r>
      <w:r>
        <w:t>u</w:t>
      </w:r>
      <w:r w:rsidRPr="002D3D01">
        <w:t xml:space="preserve"> na tvorbě HPH </w:t>
      </w:r>
      <w:r>
        <w:t>kraj</w:t>
      </w:r>
      <w:r w:rsidRPr="002D3D01">
        <w:t xml:space="preserve"> Jihočeský </w:t>
      </w:r>
      <w:r w:rsidRPr="00515AEC">
        <w:t>(1</w:t>
      </w:r>
      <w:r>
        <w:t>88,8 mld. Kč), v</w:t>
      </w:r>
      <w:r w:rsidRPr="002D3D01">
        <w:t xml:space="preserve"> přechodných regionech </w:t>
      </w:r>
      <w:r>
        <w:t xml:space="preserve">kraj </w:t>
      </w:r>
      <w:r w:rsidRPr="002D3D01">
        <w:t>Jihomoravský (3</w:t>
      </w:r>
      <w:r>
        <w:t>99</w:t>
      </w:r>
      <w:r w:rsidRPr="002D3D01">
        <w:t>,</w:t>
      </w:r>
      <w:r>
        <w:t>3 mld. Kč). Podíl sektorů na tvorbě HPH se při porovnání převážně venkovských a přechodných regionů příliš neodlišoval. V obou skupinách dominují služby (51,2 %, resp. 54,3 %) následované průmyslem včetně stavebnictví (44,5 %, resp. 43,0 %). Obecně nízký podíl zemědělství (včetně lesnictví a rybářství) v ČR byl pak jednoznačně vyšší v převážně venkovských (4,3 %) než v přechodných regionech (2,6 %). Samozřejmě nejnižší podíl dosahuje zemědělství v převážně městských regionech (1,3 %), kde naopak služby tvoří již téměř tři čtvrtiny HPH (především na úkor průmyslu).</w:t>
      </w:r>
    </w:p>
    <w:p w:rsidR="00F10805" w:rsidRDefault="00F10805" w:rsidP="009148B8">
      <w:r>
        <w:t>Počet zaměstnaných v ČR v průměru za celý rok 2013 činil dle údajů ČSÚ 4 937 tis., meziročně jich přibylo o 47 tis. Přírůstek se týkal všech typů regionů, přičemž nejvyšší absolutní i relativní přírůstek vykázala skupina přechodných regionů. Tyto se také nejvíce podílejí na celkové zaměstnanosti (41,6 %, u převážně venkovských regionů je to 32,6 %). V odvětvové struktuře zaměstnanosti převládají ve všech typech regionů služby, přičemž jejich podíl roste od 52,0 % v převážně venkovských regionech přes 57,8 % v přechodných až po 71,6 % v převážně městských regionech. Naopak při stejném porovnání klesá podíl průmyslu včetně stavebnictví (ze 43,3 % přes 39,6 % po 26,8 % v převážně městských regionech) a zemědělského sektoru (ze 4,7 % přes 2,6 % po 1,6 %).</w:t>
      </w:r>
    </w:p>
    <w:p w:rsidR="00F10805" w:rsidRDefault="00F10805" w:rsidP="009148B8">
      <w:r>
        <w:t>Z výše uváděných regionálních údajů o tvorbě HPH a zaměstnanosti je zřejmé, že spolu korespondují a charakterizují rozdíly mezi různými typy regionů z hlediska jejich odvětvové struktury. V ekonomice převážně venkovských i přechodných regionů si dosud uchovává velmi silnou pozici průmysl včetně stavebnictví (byť ne již nadpoloviční). Zemědělství si ještě svůj význam udržuje především v převážně venkovských, případně některých přechodných regionech (přičemž na zemědělské výrobě je dále závislá část průmyslu a služeb na vstupu a výstupu ze sektoru). Pro převážně městské regiony je pak typická výrazná dominance služeb.</w:t>
      </w:r>
    </w:p>
    <w:p w:rsidR="00F10805" w:rsidRDefault="00F10805" w:rsidP="009148B8">
      <w:r>
        <w:t xml:space="preserve">Počty registrovaných </w:t>
      </w:r>
      <w:proofErr w:type="spellStart"/>
      <w:r>
        <w:t>mikropodniků</w:t>
      </w:r>
      <w:proofErr w:type="spellEnd"/>
      <w:r>
        <w:t xml:space="preserve"> na tisíc obyvatel kraje </w:t>
      </w:r>
      <w:r w:rsidRPr="00037F8F">
        <w:t>(tab. T3.2/01)</w:t>
      </w:r>
      <w:r>
        <w:t xml:space="preserve"> se pohybují v převážně venkovských i přechodných regionech shodně v rozmezí zhruba 15-18. Tuto hranici překračuje pouze Jihomoravský kraj (21,15), naopak hodnoty 15 plně nedosáhly kraje Ústecký a Vysočina. Více než dvojnásobného počtu (45,07) dosáhlo Hlavní město Praha, kde navíc jako v jediném kraji došlo meziročně k nárůstu (ve všech ostatních krajích ČR pak k poklesu).</w:t>
      </w:r>
    </w:p>
    <w:p w:rsidR="00F10805" w:rsidRPr="001C45CD" w:rsidRDefault="00F10805" w:rsidP="009148B8">
      <w:pPr>
        <w:pStyle w:val="mezera"/>
        <w:rPr>
          <w:noProof/>
        </w:rPr>
      </w:pPr>
    </w:p>
    <w:p w:rsidR="00F10805" w:rsidRPr="001C45CD" w:rsidRDefault="005F7C25" w:rsidP="009148B8">
      <w:pPr>
        <w:pStyle w:val="mezera"/>
        <w:rPr>
          <w:noProof/>
          <w:szCs w:val="16"/>
        </w:rPr>
      </w:pPr>
      <w:r w:rsidRPr="005F7C25">
        <w:rPr>
          <w:noProof/>
          <w:lang w:eastAsia="cs-CZ"/>
        </w:rPr>
        <w:drawing>
          <wp:inline distT="0" distB="0" distL="0" distR="0" wp14:anchorId="4078DB52" wp14:editId="7782A0CB">
            <wp:extent cx="5760720" cy="2532185"/>
            <wp:effectExtent l="0" t="0" r="0" b="190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532185"/>
                    </a:xfrm>
                    <a:prstGeom prst="rect">
                      <a:avLst/>
                    </a:prstGeom>
                    <a:noFill/>
                    <a:ln>
                      <a:noFill/>
                    </a:ln>
                  </pic:spPr>
                </pic:pic>
              </a:graphicData>
            </a:graphic>
          </wp:inline>
        </w:drawing>
      </w:r>
    </w:p>
    <w:p w:rsidR="00F10805" w:rsidRPr="001C45CD" w:rsidRDefault="00F10805" w:rsidP="009148B8">
      <w:pPr>
        <w:pStyle w:val="mezera"/>
      </w:pPr>
    </w:p>
    <w:p w:rsidR="00F10805" w:rsidRDefault="00F10805" w:rsidP="009148B8">
      <w:r w:rsidRPr="00DD5B9A">
        <w:t xml:space="preserve">V rozvinutých ekonomikách představují malé soukromé podniky významný inovační potenciál. </w:t>
      </w:r>
      <w:proofErr w:type="spellStart"/>
      <w:r>
        <w:t>Mikropodniky</w:t>
      </w:r>
      <w:proofErr w:type="spellEnd"/>
      <w:r>
        <w:t xml:space="preserve"> a malé podniky tvoří na venkově významnou příležitost pro podnikání a zaměstn</w:t>
      </w:r>
      <w:r w:rsidR="00EA26C4">
        <w:t>á</w:t>
      </w:r>
      <w:r>
        <w:t xml:space="preserve">ní lidí. Proto taky na </w:t>
      </w:r>
      <w:r w:rsidRPr="00DD5B9A">
        <w:t xml:space="preserve">jejich podporu </w:t>
      </w:r>
      <w:r>
        <w:t xml:space="preserve">byla </w:t>
      </w:r>
      <w:r w:rsidRPr="00DD5B9A">
        <w:t xml:space="preserve">v rámci PRV zaměřena opatření spadající pod první prioritu Osy III (Tvorba pracovních příležitostí a podpora využívání obnovitelných zdrojů energie). Jejím cílem bylo vytvoření </w:t>
      </w:r>
      <w:r>
        <w:t>pracovních míst a </w:t>
      </w:r>
      <w:r w:rsidRPr="00DD5B9A">
        <w:t xml:space="preserve">zajištění vyšší příjmové úrovně obyvatel venkova rozvojem a diverzifikací aktivit na venkově a podporou venkovské turistiky a dále zajištění naplnění závazků ČR v oblasti využití obnovitelných zdrojů energie. </w:t>
      </w:r>
      <w:r>
        <w:t>Os</w:t>
      </w:r>
      <w:r w:rsidR="00EA26C4">
        <w:t>a</w:t>
      </w:r>
      <w:r>
        <w:t xml:space="preserve"> III </w:t>
      </w:r>
      <w:r w:rsidR="00EA26C4">
        <w:t>se člení</w:t>
      </w:r>
      <w:r>
        <w:t xml:space="preserve"> na tři skupiny o</w:t>
      </w:r>
      <w:r w:rsidRPr="00DD5B9A">
        <w:t>patření</w:t>
      </w:r>
      <w:r w:rsidR="00EA26C4">
        <w:t>:</w:t>
      </w:r>
      <w:r w:rsidRPr="00DD5B9A">
        <w:t xml:space="preserve"> III.1.1 Diverzifikace činností nezemědělské povahy</w:t>
      </w:r>
      <w:r w:rsidR="00EA26C4">
        <w:t>;</w:t>
      </w:r>
      <w:r w:rsidRPr="00DD5B9A">
        <w:t xml:space="preserve"> </w:t>
      </w:r>
      <w:r>
        <w:t>o</w:t>
      </w:r>
      <w:r w:rsidRPr="00DD5B9A">
        <w:t>patření III.1.2 Podpora zak</w:t>
      </w:r>
      <w:r w:rsidR="00EA26C4">
        <w:t xml:space="preserve">ládání podniků a jejich rozvoje; </w:t>
      </w:r>
      <w:r>
        <w:t>o</w:t>
      </w:r>
      <w:r w:rsidRPr="00DD5B9A">
        <w:t>patření III.1.3 Podpora cestovního ruchu</w:t>
      </w:r>
      <w:r w:rsidRPr="002D7CF8">
        <w:rPr>
          <w:rStyle w:val="Znakapoznpodarou"/>
        </w:rPr>
        <w:footnoteReference w:id="29"/>
      </w:r>
      <w:r w:rsidRPr="00DD5B9A">
        <w:t>.</w:t>
      </w:r>
      <w:r>
        <w:t xml:space="preserve"> Přehled přijatých a schválených žádostí opatření III. osy </w:t>
      </w:r>
      <w:r w:rsidR="002F2F45">
        <w:t xml:space="preserve">uvádí </w:t>
      </w:r>
      <w:r>
        <w:t>tab</w:t>
      </w:r>
      <w:r w:rsidR="002F2F45">
        <w:t>.</w:t>
      </w:r>
      <w:r>
        <w:t xml:space="preserve"> </w:t>
      </w:r>
      <w:r w:rsidRPr="006B4B89">
        <w:t>T3.2/02.</w:t>
      </w:r>
    </w:p>
    <w:p w:rsidR="00F10805" w:rsidRDefault="00F10805" w:rsidP="009148B8">
      <w:pPr>
        <w:pStyle w:val="mezera"/>
      </w:pPr>
    </w:p>
    <w:p w:rsidR="00F10805" w:rsidRDefault="00733827" w:rsidP="009148B8">
      <w:pPr>
        <w:pStyle w:val="mezera"/>
      </w:pPr>
      <w:r w:rsidRPr="00733827">
        <w:rPr>
          <w:noProof/>
          <w:lang w:eastAsia="cs-CZ"/>
        </w:rPr>
        <w:drawing>
          <wp:inline distT="0" distB="0" distL="0" distR="0" wp14:anchorId="695F7AF0" wp14:editId="0EFC384F">
            <wp:extent cx="5760720" cy="1119291"/>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119291"/>
                    </a:xfrm>
                    <a:prstGeom prst="rect">
                      <a:avLst/>
                    </a:prstGeom>
                    <a:noFill/>
                    <a:ln>
                      <a:noFill/>
                    </a:ln>
                  </pic:spPr>
                </pic:pic>
              </a:graphicData>
            </a:graphic>
          </wp:inline>
        </w:drawing>
      </w:r>
    </w:p>
    <w:p w:rsidR="00F10805" w:rsidRDefault="00F10805" w:rsidP="009148B8">
      <w:pPr>
        <w:pStyle w:val="mezera"/>
      </w:pPr>
    </w:p>
    <w:p w:rsidR="00F10805" w:rsidRDefault="00F10805" w:rsidP="009148B8">
      <w:r>
        <w:t xml:space="preserve">Opatření III.1.1 je dále členěno na záměry </w:t>
      </w:r>
      <w:r w:rsidRPr="003E75C7">
        <w:t xml:space="preserve">diverzifikace činností nezemědělské povahy, výstavba a modernizace bioplynové stanice, výstavba a modernizace kotelen a výtopen na </w:t>
      </w:r>
      <w:r w:rsidRPr="00B61738">
        <w:t xml:space="preserve">biomasu včetně kombinované výroby tepla a elektřiny a výstavba a modernizace zařízení na </w:t>
      </w:r>
      <w:r w:rsidRPr="00411706">
        <w:t xml:space="preserve">výrobu tvarovaných biopaliv. Podle údajů SZIF v roce 2014 na podporu </w:t>
      </w:r>
      <w:r>
        <w:t>o</w:t>
      </w:r>
      <w:r w:rsidRPr="00411706">
        <w:t xml:space="preserve">patření III.1.1 </w:t>
      </w:r>
      <w:r>
        <w:t xml:space="preserve">již nebyla vypsána výzva a nebyla </w:t>
      </w:r>
      <w:r w:rsidRPr="00411706">
        <w:t>přijat</w:t>
      </w:r>
      <w:r>
        <w:t xml:space="preserve">a žádná </w:t>
      </w:r>
      <w:r w:rsidRPr="00411706">
        <w:t xml:space="preserve">žádost, vyplacená částka </w:t>
      </w:r>
      <w:r>
        <w:t>v roce 2014</w:t>
      </w:r>
      <w:r w:rsidRPr="00411706">
        <w:t xml:space="preserve"> </w:t>
      </w:r>
      <w:r>
        <w:t xml:space="preserve">na </w:t>
      </w:r>
      <w:r>
        <w:lastRenderedPageBreak/>
        <w:t xml:space="preserve">schválené žádosti z roku 2013 </w:t>
      </w:r>
      <w:r w:rsidRPr="00411706">
        <w:t>činila</w:t>
      </w:r>
      <w:r>
        <w:t xml:space="preserve"> 271</w:t>
      </w:r>
      <w:r w:rsidRPr="00411706">
        <w:t> mil. Kč</w:t>
      </w:r>
      <w:r>
        <w:t xml:space="preserve">, </w:t>
      </w:r>
      <w:r w:rsidRPr="00DA3DFF">
        <w:t xml:space="preserve">přitom průměrná finanční podpora projektu byla 4,5 mil. Kč. Vyplacené projekty </w:t>
      </w:r>
      <w:r w:rsidR="00EA26C4">
        <w:t xml:space="preserve">z opatření </w:t>
      </w:r>
      <w:r w:rsidRPr="00DA3DFF">
        <w:t>III.1.1 náležely do záměru a), který je ur</w:t>
      </w:r>
      <w:r w:rsidRPr="00DA3DFF">
        <w:rPr>
          <w:rFonts w:hint="eastAsia"/>
        </w:rPr>
        <w:t>č</w:t>
      </w:r>
      <w:r w:rsidR="00EA26C4">
        <w:t>en k </w:t>
      </w:r>
      <w:r w:rsidRPr="00DA3DFF">
        <w:t>zahájen</w:t>
      </w:r>
      <w:r>
        <w:t>í</w:t>
      </w:r>
      <w:r w:rsidR="00161B61">
        <w:t xml:space="preserve"> a </w:t>
      </w:r>
      <w:r w:rsidRPr="00DA3DFF">
        <w:t>rozvoji aktivit, zejména v oblasti výroby a zpracov</w:t>
      </w:r>
      <w:r w:rsidR="00EA26C4">
        <w:t>á</w:t>
      </w:r>
      <w:r w:rsidRPr="00DA3DFF">
        <w:t>ní, v</w:t>
      </w:r>
      <w:r w:rsidRPr="00DA3DFF">
        <w:rPr>
          <w:rFonts w:hint="eastAsia"/>
        </w:rPr>
        <w:t>č</w:t>
      </w:r>
      <w:r w:rsidRPr="00DA3DFF">
        <w:t>etn</w:t>
      </w:r>
      <w:r w:rsidRPr="00DA3DFF">
        <w:rPr>
          <w:rFonts w:hint="eastAsia"/>
        </w:rPr>
        <w:t>ě</w:t>
      </w:r>
      <w:r w:rsidRPr="00DA3DFF">
        <w:t xml:space="preserve"> podpory tradičních </w:t>
      </w:r>
      <w:r w:rsidRPr="00543BC0">
        <w:rPr>
          <w:rFonts w:hint="eastAsia"/>
        </w:rPr>
        <w:t>ř</w:t>
      </w:r>
      <w:r w:rsidRPr="00543BC0">
        <w:t>emesel.</w:t>
      </w:r>
      <w:r>
        <w:t xml:space="preserve"> </w:t>
      </w:r>
      <w:r w:rsidR="00161B61">
        <w:t>V </w:t>
      </w:r>
      <w:r w:rsidRPr="00543BC0">
        <w:t>roce</w:t>
      </w:r>
      <w:r w:rsidRPr="00B75B97">
        <w:t xml:space="preserve"> 2014, v rámci </w:t>
      </w:r>
      <w:r>
        <w:t>o</w:t>
      </w:r>
      <w:r w:rsidRPr="00B75B97">
        <w:t>patření III.1.2, záměru e) a f</w:t>
      </w:r>
      <w:r w:rsidR="00EA26C4">
        <w:t>), který je určen k zakládání a </w:t>
      </w:r>
      <w:r w:rsidRPr="00B75B97">
        <w:t xml:space="preserve">rozvoji </w:t>
      </w:r>
      <w:proofErr w:type="spellStart"/>
      <w:r w:rsidRPr="00B75B97">
        <w:t>mikropodniků</w:t>
      </w:r>
      <w:proofErr w:type="spellEnd"/>
      <w:r w:rsidRPr="00B75B97">
        <w:t>, bylo přijato 501 žádosti, schváleno k proplacení bylo v roce 2014 celkem 22</w:t>
      </w:r>
      <w:r w:rsidR="00161B61">
        <w:t xml:space="preserve">3 </w:t>
      </w:r>
      <w:r w:rsidRPr="00B75B97">
        <w:t>a vyplacená částka činila 362 mil. Kč.</w:t>
      </w:r>
      <w:r w:rsidR="002D3960">
        <w:t xml:space="preserve"> </w:t>
      </w:r>
      <w:r w:rsidR="002D3960" w:rsidRPr="00B75B97">
        <w:t xml:space="preserve">Průměrná finanční podpora jednoho projektu dosáhla 2,5 mil. </w:t>
      </w:r>
      <w:r w:rsidR="002D3960" w:rsidRPr="006B4B89">
        <w:t>Kč</w:t>
      </w:r>
      <w:r w:rsidR="002D3960">
        <w:t>.</w:t>
      </w:r>
      <w:r w:rsidRPr="00B75B97">
        <w:t xml:space="preserve"> </w:t>
      </w:r>
      <w:r w:rsidR="002D3960">
        <w:t xml:space="preserve">Na opatření III.1.3 </w:t>
      </w:r>
      <w:r w:rsidR="002D3960" w:rsidRPr="002D3960">
        <w:t xml:space="preserve">byla vyplacena </w:t>
      </w:r>
      <w:r w:rsidR="002D3960">
        <w:t>částka 220 mil. </w:t>
      </w:r>
      <w:r w:rsidR="002D3960" w:rsidRPr="002D3960">
        <w:t>Kč na projekty zaregistrované v 10.,</w:t>
      </w:r>
      <w:r w:rsidR="002D3960">
        <w:t xml:space="preserve"> </w:t>
      </w:r>
      <w:r w:rsidR="002D3960" w:rsidRPr="002D3960">
        <w:t>13. a 17. kole.</w:t>
      </w:r>
    </w:p>
    <w:p w:rsidR="00F10805" w:rsidRDefault="00F10805" w:rsidP="009148B8">
      <w:pPr>
        <w:pStyle w:val="mezera"/>
      </w:pPr>
    </w:p>
    <w:p w:rsidR="00F10805" w:rsidRDefault="00F10805" w:rsidP="009148B8">
      <w:pPr>
        <w:pStyle w:val="mezera"/>
      </w:pPr>
      <w:r w:rsidRPr="00A93AD4">
        <w:rPr>
          <w:noProof/>
          <w:lang w:eastAsia="cs-CZ"/>
        </w:rPr>
        <w:drawing>
          <wp:inline distT="0" distB="0" distL="0" distR="0" wp14:anchorId="7D08F07C" wp14:editId="5AFEB151">
            <wp:extent cx="5760720" cy="2093737"/>
            <wp:effectExtent l="0" t="0" r="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093737"/>
                    </a:xfrm>
                    <a:prstGeom prst="rect">
                      <a:avLst/>
                    </a:prstGeom>
                    <a:noFill/>
                    <a:ln>
                      <a:noFill/>
                    </a:ln>
                  </pic:spPr>
                </pic:pic>
              </a:graphicData>
            </a:graphic>
          </wp:inline>
        </w:drawing>
      </w:r>
    </w:p>
    <w:p w:rsidR="00F10805" w:rsidRDefault="00F10805" w:rsidP="009148B8">
      <w:pPr>
        <w:pStyle w:val="mezera"/>
      </w:pPr>
    </w:p>
    <w:p w:rsidR="002D3960" w:rsidRDefault="00F10805" w:rsidP="009148B8">
      <w:r w:rsidRPr="001A42EF">
        <w:t xml:space="preserve">V opatření III.1.3 již nebyly v roce 2014 přijaty žádné žádosti, byly však uvolněny prostředky na projekty schválené dříve </w:t>
      </w:r>
      <w:r w:rsidR="001A42EF" w:rsidRPr="001A42EF">
        <w:t>a na realizaci</w:t>
      </w:r>
      <w:r w:rsidRPr="001A42EF">
        <w:t xml:space="preserve"> bylo vyplaceno 220 mil. Kč.</w:t>
      </w:r>
    </w:p>
    <w:p w:rsidR="00F10805" w:rsidRDefault="00F10805" w:rsidP="009148B8">
      <w:r w:rsidRPr="00954368">
        <w:t>V rozvoji venkova hraje důležitou roli zaměstnanost lidí, sledovaný indikátor vytvoření nových pracovních míst, úspěšnost Osy III. PRV na tento indikátor je patrná z tab</w:t>
      </w:r>
      <w:r w:rsidR="00433610">
        <w:t>.</w:t>
      </w:r>
      <w:r w:rsidRPr="00954368">
        <w:t xml:space="preserve"> T3.2/04. Nejvíce pracovních míst </w:t>
      </w:r>
      <w:r w:rsidR="00EA26C4">
        <w:t xml:space="preserve">(přes 300) </w:t>
      </w:r>
      <w:r w:rsidRPr="00954368">
        <w:t xml:space="preserve">vzniklo </w:t>
      </w:r>
      <w:r>
        <w:t xml:space="preserve">v Jihomoravském kraji, </w:t>
      </w:r>
      <w:r w:rsidRPr="00954368">
        <w:t xml:space="preserve">na Vysočině </w:t>
      </w:r>
      <w:r>
        <w:t xml:space="preserve">a </w:t>
      </w:r>
      <w:r w:rsidRPr="00954368">
        <w:t xml:space="preserve">ve </w:t>
      </w:r>
      <w:r>
        <w:t>S</w:t>
      </w:r>
      <w:r w:rsidRPr="00954368">
        <w:t>tředočeském kraji</w:t>
      </w:r>
      <w:r>
        <w:t>. N</w:t>
      </w:r>
      <w:r w:rsidRPr="00954368">
        <w:t>ejvíce</w:t>
      </w:r>
      <w:r w:rsidR="00EA26C4">
        <w:t xml:space="preserve"> pracovních míst v průměru na 1 </w:t>
      </w:r>
      <w:r w:rsidRPr="00954368">
        <w:t xml:space="preserve">projekt bylo zaznamenáno v Jihomoravském kraji (1,51), rozdíly však nebyly velké, většinou </w:t>
      </w:r>
      <w:r>
        <w:t>vytvoři</w:t>
      </w:r>
      <w:r w:rsidRPr="00954368">
        <w:t>ly projekty v průměru kole</w:t>
      </w:r>
      <w:r>
        <w:t>m</w:t>
      </w:r>
      <w:r w:rsidRPr="00954368">
        <w:t xml:space="preserve"> jednoho pracovního místa na projekt.</w:t>
      </w:r>
    </w:p>
    <w:p w:rsidR="00F10805" w:rsidRDefault="00F10805" w:rsidP="009148B8">
      <w:pPr>
        <w:pStyle w:val="mezera"/>
      </w:pPr>
    </w:p>
    <w:p w:rsidR="00F10805" w:rsidRDefault="00EA26C4" w:rsidP="009148B8">
      <w:pPr>
        <w:pStyle w:val="mezera"/>
      </w:pPr>
      <w:r w:rsidRPr="00EA26C4">
        <w:rPr>
          <w:noProof/>
          <w:lang w:eastAsia="cs-CZ"/>
        </w:rPr>
        <w:drawing>
          <wp:inline distT="0" distB="0" distL="0" distR="0" wp14:anchorId="77E55C65" wp14:editId="35168514">
            <wp:extent cx="5760720" cy="2698139"/>
            <wp:effectExtent l="0" t="0" r="0" b="6985"/>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698139"/>
                    </a:xfrm>
                    <a:prstGeom prst="rect">
                      <a:avLst/>
                    </a:prstGeom>
                    <a:noFill/>
                    <a:ln>
                      <a:noFill/>
                    </a:ln>
                  </pic:spPr>
                </pic:pic>
              </a:graphicData>
            </a:graphic>
          </wp:inline>
        </w:drawing>
      </w:r>
    </w:p>
    <w:p w:rsidR="00F10805" w:rsidRPr="00954368" w:rsidRDefault="00F10805" w:rsidP="009148B8">
      <w:pPr>
        <w:pStyle w:val="mezera"/>
      </w:pPr>
    </w:p>
    <w:p w:rsidR="00F10805" w:rsidRPr="001B1FDF" w:rsidRDefault="00F10805" w:rsidP="001B1FDF">
      <w:pPr>
        <w:pStyle w:val="Nadpis2"/>
      </w:pPr>
      <w:bookmarkStart w:id="79" w:name="_Toc424307030"/>
      <w:bookmarkStart w:id="80" w:name="_Toc296443110"/>
      <w:bookmarkStart w:id="81" w:name="_Toc328053806"/>
      <w:bookmarkStart w:id="82" w:name="_Toc364067782"/>
      <w:r w:rsidRPr="001B1FDF">
        <w:t>3.3</w:t>
      </w:r>
      <w:r w:rsidRPr="001B1FDF">
        <w:tab/>
        <w:t>Občanská vybavenost venkova ve vztahu k podporám zemědělské politiky</w:t>
      </w:r>
      <w:bookmarkEnd w:id="79"/>
    </w:p>
    <w:p w:rsidR="00F10805" w:rsidRPr="00160A31" w:rsidRDefault="00F10805" w:rsidP="009148B8">
      <w:r w:rsidRPr="0039118D">
        <w:t>K 1. lednu 2014 v ČR podle ČSÚ existovalo 6 253 obcí. Venkovský prostor poskytuje příležitosti pro činnosti v oblasti rozvoje cestovního ruchu, služeb, využití a péče o přírodní zdroje a krajinu. Osa III PRV je zaměřená nejen na tvorbu pracovních příležitostí a podporu využívání OZE, ale také</w:t>
      </w:r>
      <w:r w:rsidRPr="00160A31">
        <w:t xml:space="preserve"> na zlepšení kvality života na venkově a vzdělávání.</w:t>
      </w:r>
    </w:p>
    <w:p w:rsidR="00F10805" w:rsidRPr="002A360C" w:rsidRDefault="00F10805" w:rsidP="009148B8">
      <w:r w:rsidRPr="00160A31">
        <w:t xml:space="preserve">Zlepšení kvality života na venkově je podporováno formou </w:t>
      </w:r>
      <w:r>
        <w:t>o</w:t>
      </w:r>
      <w:r w:rsidRPr="00160A31">
        <w:t xml:space="preserve">patření III.2.1 a III.2.2. Žadateli </w:t>
      </w:r>
      <w:r>
        <w:t>o</w:t>
      </w:r>
      <w:r w:rsidRPr="00160A31">
        <w:t>patření III.2.1 Obnova a rozvoj vesnice, občansk</w:t>
      </w:r>
      <w:r w:rsidR="00984917">
        <w:t>é vybavení a služby</w:t>
      </w:r>
      <w:r w:rsidRPr="00160A31">
        <w:t xml:space="preserve"> mohou být obce, svazky obcí, nestátní neziskové organizace, zájmová sdružení právnických osob, církve </w:t>
      </w:r>
      <w:r w:rsidRPr="002A360C">
        <w:t xml:space="preserve">a jejich organizace. Projekty na výstavbu vodovodů, kanalizací a čistíren odpadních vod mohou být realizovány v obcích do 2 000 obyvatel, ostatní projekty v obcích do 500 obyvatel. Vzhledem k vyčerpanému rozpočtu nebyl již od roku 2012 pro opatření III.2.1 vyhlášen příjem žádostí. Celkově na opatření byla během let 2007-2014 vyhlášena 4 kola výzev, </w:t>
      </w:r>
      <w:r>
        <w:t>ve</w:t>
      </w:r>
      <w:r w:rsidRPr="002A360C">
        <w:t xml:space="preserve"> kterých bylo k 31.</w:t>
      </w:r>
      <w:r>
        <w:t> </w:t>
      </w:r>
      <w:r w:rsidRPr="002A360C">
        <w:t>12.</w:t>
      </w:r>
      <w:r>
        <w:t> </w:t>
      </w:r>
      <w:r w:rsidRPr="002A360C">
        <w:t>2014 přijato 4 813 žádostí</w:t>
      </w:r>
      <w:r>
        <w:t xml:space="preserve"> </w:t>
      </w:r>
      <w:r w:rsidRPr="002A360C">
        <w:t xml:space="preserve">a </w:t>
      </w:r>
      <w:r w:rsidRPr="008E684E">
        <w:t>schváleno 1</w:t>
      </w:r>
      <w:r w:rsidR="006120DE" w:rsidRPr="008E684E">
        <w:t> </w:t>
      </w:r>
      <w:r w:rsidRPr="008E684E">
        <w:t>39</w:t>
      </w:r>
      <w:r w:rsidR="008E684E" w:rsidRPr="008E684E">
        <w:t>0</w:t>
      </w:r>
      <w:r w:rsidRPr="008E684E">
        <w:t xml:space="preserve"> žádostí</w:t>
      </w:r>
      <w:r w:rsidRPr="002A360C">
        <w:t>. Podle zprávy monitorovacího výboru PRV bylo k 30.</w:t>
      </w:r>
      <w:r>
        <w:t xml:space="preserve"> </w:t>
      </w:r>
      <w:r w:rsidRPr="002A360C">
        <w:t>9.</w:t>
      </w:r>
      <w:r>
        <w:t xml:space="preserve"> </w:t>
      </w:r>
      <w:r w:rsidRPr="002A360C">
        <w:t>2014</w:t>
      </w:r>
      <w:r>
        <w:t xml:space="preserve"> </w:t>
      </w:r>
      <w:r w:rsidRPr="002A360C">
        <w:t>proplaceno 5</w:t>
      </w:r>
      <w:r>
        <w:t xml:space="preserve"> </w:t>
      </w:r>
      <w:r w:rsidRPr="002A360C">
        <w:t xml:space="preserve">842 mil. Kč. Úspěšnost žadatelů o dotaci </w:t>
      </w:r>
      <w:r w:rsidRPr="00E14173">
        <w:t>dosáhla 2</w:t>
      </w:r>
      <w:r w:rsidR="00E14173" w:rsidRPr="00E14173">
        <w:t>8,9</w:t>
      </w:r>
      <w:r w:rsidRPr="002A360C">
        <w:t> %.</w:t>
      </w:r>
    </w:p>
    <w:p w:rsidR="00F10805" w:rsidRPr="002A360C" w:rsidRDefault="00F10805" w:rsidP="009148B8">
      <w:r w:rsidRPr="002A360C">
        <w:t xml:space="preserve">Opatření III.2.2 Ochrana a rozvoj dědictví venkova je určeno na vypracování studií obnovy a využití kulturního dědictví, zpracování programů regenerace památkově chráněných území, plánů péče o krajinné památkové zóny a budování výstavních expozic a muzeí s vazbou na danou lokalitu. Žadateli mohou být obce, svazky obcí, nestátní neziskové organizace, zájmová sdružení právnických osob a církve a jejich organizace. V roce 2014 v tomto opatření nebyly přijaty žádné nové žádosti. Celkově na opatření bylo vyhlášeno 5 kol výzev. Úspěšnost žadatelů </w:t>
      </w:r>
      <w:r w:rsidRPr="00E14173">
        <w:t>byla 6</w:t>
      </w:r>
      <w:r w:rsidR="00E14173">
        <w:t>6,4 </w:t>
      </w:r>
      <w:r w:rsidRPr="002A360C">
        <w:t xml:space="preserve">% a celkový počet schválených </w:t>
      </w:r>
      <w:r w:rsidRPr="00E14173">
        <w:t>projektů 6</w:t>
      </w:r>
      <w:r w:rsidR="00E14173" w:rsidRPr="00E14173">
        <w:t>56</w:t>
      </w:r>
      <w:r w:rsidRPr="00E14173">
        <w:t>.</w:t>
      </w:r>
      <w:r w:rsidRPr="002A360C">
        <w:t xml:space="preserve"> K 30. 9. 2014 bylo na toto opatření vyplaceno 1 165 mil. Kč.</w:t>
      </w:r>
    </w:p>
    <w:p w:rsidR="00F10805" w:rsidRDefault="00F10805" w:rsidP="009148B8">
      <w:r w:rsidRPr="002A360C">
        <w:t xml:space="preserve">Podpora v rámci </w:t>
      </w:r>
      <w:r>
        <w:t>o</w:t>
      </w:r>
      <w:r w:rsidRPr="002A360C">
        <w:t xml:space="preserve">patření III.3.1 Vzdělávání a informace je zaměřena na vzdělávání a informování fyzických a právnických osob, které mají vážný zájem zahájit nebo rozšířit podnikání, případně jiné působení na venkově v rámci aktivit podporovaných v Ose III. </w:t>
      </w:r>
      <w:r w:rsidR="00C07B43" w:rsidRPr="0059598B">
        <w:t>K 31. 12. 2014 bylo s</w:t>
      </w:r>
      <w:r w:rsidR="00EE762A" w:rsidRPr="0059598B">
        <w:t xml:space="preserve">chváleno 99 žádostí a úspěšnost žadatelů byla ve 2. kole 69 %, v 5. kole 30 %, v 8. kole 66 %. </w:t>
      </w:r>
      <w:r w:rsidRPr="002A360C">
        <w:t>Podle zprávy monitorovacího výboru PRV bylo k 30.</w:t>
      </w:r>
      <w:r>
        <w:t> </w:t>
      </w:r>
      <w:r w:rsidRPr="002A360C">
        <w:t>9.</w:t>
      </w:r>
      <w:r>
        <w:t> </w:t>
      </w:r>
      <w:r w:rsidRPr="002A360C">
        <w:t>2014 v tomto opatření proplaceno 60 mil. Kč</w:t>
      </w:r>
      <w:r w:rsidR="00E22668">
        <w:rPr>
          <w:rStyle w:val="Znakapoznpodarou"/>
        </w:rPr>
        <w:footnoteReference w:id="30"/>
      </w:r>
      <w:r w:rsidRPr="002A360C">
        <w:t>.</w:t>
      </w:r>
    </w:p>
    <w:p w:rsidR="00F10805" w:rsidRDefault="00F10805" w:rsidP="009148B8">
      <w:pPr>
        <w:pStyle w:val="mezera"/>
      </w:pPr>
    </w:p>
    <w:p w:rsidR="00F10805" w:rsidRDefault="008E684E" w:rsidP="009148B8">
      <w:pPr>
        <w:pStyle w:val="mezera"/>
      </w:pPr>
      <w:r w:rsidRPr="008E684E">
        <w:rPr>
          <w:noProof/>
          <w:lang w:eastAsia="cs-CZ"/>
        </w:rPr>
        <w:lastRenderedPageBreak/>
        <w:drawing>
          <wp:inline distT="0" distB="0" distL="0" distR="0" wp14:anchorId="3BFC29CE" wp14:editId="53DC9FFF">
            <wp:extent cx="5760720" cy="194847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948479"/>
                    </a:xfrm>
                    <a:prstGeom prst="rect">
                      <a:avLst/>
                    </a:prstGeom>
                    <a:noFill/>
                    <a:ln>
                      <a:noFill/>
                    </a:ln>
                  </pic:spPr>
                </pic:pic>
              </a:graphicData>
            </a:graphic>
          </wp:inline>
        </w:drawing>
      </w:r>
    </w:p>
    <w:p w:rsidR="008E684E" w:rsidRPr="00160A31" w:rsidRDefault="008E684E" w:rsidP="009148B8">
      <w:pPr>
        <w:pStyle w:val="mezera"/>
      </w:pPr>
    </w:p>
    <w:p w:rsidR="00F10805" w:rsidRPr="001B1FDF" w:rsidRDefault="00F10805" w:rsidP="001B1FDF">
      <w:pPr>
        <w:pStyle w:val="Nadpis2"/>
      </w:pPr>
      <w:bookmarkStart w:id="83" w:name="_Toc388267674"/>
      <w:bookmarkStart w:id="84" w:name="_Toc424307031"/>
      <w:bookmarkStart w:id="85" w:name="_Toc296443114"/>
      <w:bookmarkStart w:id="86" w:name="_Toc328053810"/>
      <w:bookmarkStart w:id="87" w:name="_Toc296443182"/>
      <w:bookmarkStart w:id="88" w:name="_Toc296443172"/>
      <w:bookmarkStart w:id="89" w:name="_Toc296443171"/>
      <w:bookmarkStart w:id="90" w:name="_Toc170550171"/>
      <w:bookmarkStart w:id="91" w:name="_Toc202588574"/>
      <w:bookmarkStart w:id="92" w:name="_Toc261959143"/>
      <w:bookmarkStart w:id="93" w:name="_Toc296443111"/>
      <w:bookmarkStart w:id="94" w:name="_Toc328053807"/>
      <w:bookmarkStart w:id="95" w:name="_Toc364067783"/>
      <w:bookmarkEnd w:id="80"/>
      <w:bookmarkEnd w:id="81"/>
      <w:bookmarkEnd w:id="82"/>
      <w:r w:rsidRPr="001B1FDF">
        <w:t>3.4</w:t>
      </w:r>
      <w:r w:rsidRPr="001B1FDF">
        <w:tab/>
        <w:t>Zaměstnanost a ekonomické postavení venkovské populace</w:t>
      </w:r>
      <w:bookmarkEnd w:id="83"/>
      <w:bookmarkEnd w:id="84"/>
    </w:p>
    <w:p w:rsidR="00F10805" w:rsidRDefault="00F10805" w:rsidP="009148B8">
      <w:pPr>
        <w:pStyle w:val="Norm-Bold"/>
      </w:pPr>
      <w:r>
        <w:t>Ekonomická aktivita na venkově</w:t>
      </w:r>
    </w:p>
    <w:p w:rsidR="00F10805" w:rsidRPr="007373DA" w:rsidRDefault="00F10805" w:rsidP="009148B8">
      <w:r w:rsidRPr="00154B4C">
        <w:t>Pro obyvatele venkovských obcí</w:t>
      </w:r>
      <w:r w:rsidRPr="00154B4C">
        <w:rPr>
          <w:rStyle w:val="Znakapoznpodarou"/>
        </w:rPr>
        <w:footnoteReference w:id="31"/>
      </w:r>
      <w:r w:rsidRPr="00154B4C">
        <w:t xml:space="preserve"> je ve srovnání s obyvateli měst charakteristická nižší míra ekonomické aktivity (47,9 % proti 49 %). Na venkově se projevují i specifika z hlediska odvětvové zaměstnanosti, zejména vyšší zaměstnanost v agrárním sektoru. Podíl pracovníků </w:t>
      </w:r>
      <w:r>
        <w:t xml:space="preserve">v zemědělství </w:t>
      </w:r>
      <w:r w:rsidRPr="00154B4C">
        <w:t>na zaměstnanosti na venkově (zde v obcích do 2 000 obyvatel) v roce 2011 činil 6,5 %. Ve sledovaném roce žilo na venkově 62,8 % ze všech pracovníků sektoru. Na venkově jsou rovněž vyšší podíly zaměstnaných v průmyslu a stavebnictví a nově pak v dopravě a skladování, podíly zaměstnanosti v ostatních odvětvích zahrnutých do služeb jsou naopak vyšší ve městech.</w:t>
      </w:r>
    </w:p>
    <w:p w:rsidR="00F10805" w:rsidRDefault="00F10805" w:rsidP="009148B8">
      <w:pPr>
        <w:pStyle w:val="Norm-Bold"/>
      </w:pPr>
      <w:r>
        <w:t>Míra zaměstnanosti</w:t>
      </w:r>
    </w:p>
    <w:p w:rsidR="00F10805" w:rsidRDefault="00F10805" w:rsidP="009148B8">
      <w:r>
        <w:t xml:space="preserve">Ve 4. </w:t>
      </w:r>
      <w:r w:rsidRPr="000B1A9E">
        <w:t>čtvrtle</w:t>
      </w:r>
      <w:r>
        <w:t>tí 2014</w:t>
      </w:r>
      <w:r w:rsidRPr="000B1A9E">
        <w:t xml:space="preserve"> dosáhla míra zaměstnanosti</w:t>
      </w:r>
      <w:r w:rsidRPr="002D7CF8">
        <w:rPr>
          <w:rStyle w:val="Znakapoznpodarou"/>
        </w:rPr>
        <w:footnoteReference w:id="32"/>
      </w:r>
      <w:r>
        <w:t xml:space="preserve"> (zde podíl zaměstnaných na </w:t>
      </w:r>
      <w:r w:rsidRPr="000B1A9E">
        <w:t>obyvatelstvu starším 15 let) v ČR 5</w:t>
      </w:r>
      <w:r>
        <w:t>6</w:t>
      </w:r>
      <w:r w:rsidRPr="000B1A9E">
        <w:t>,</w:t>
      </w:r>
      <w:r>
        <w:t>2 % při mírném meziročním nárůstu o 0,7 p. b. Nejvyšší míru zaměstnanosti si dlouhodobě udržují Hl. m. Praha (61,1 %) a Středočeský kraj (58,3 %). Podle typologie EU spadají tyto dva kraje jako jediné do kategorie převážně městských regionů v rámci ČR. Za Středočeským krajem skončil převážně venkovský kraj Pardubický (s mírou zaměstnanosti 57,9 %), jenž tak na třetím místě nahradil kraj Plzeňský. Na samotné dno se propadl kraj Ústecký a vystřídal tak kraj Olomoucký. Trojici regionů s nejnižší mírou zaměstnanosti doplňuje Moravskoslezský kraj. Problémy na trhu práce v Ústeckém a Moravskoslezském kraji jsou dlouhodobého charakteru (mj. jsou v nich koncentrovány tzv. strukturálně postižené regiony, vymezené na úrovni okresů).</w:t>
      </w:r>
    </w:p>
    <w:p w:rsidR="00F10805" w:rsidRDefault="00F10805" w:rsidP="009148B8">
      <w:pPr>
        <w:pStyle w:val="Norm-Bold"/>
      </w:pPr>
      <w:r>
        <w:lastRenderedPageBreak/>
        <w:t>Nezaměstnanost a volná pracovní místa na venkově</w:t>
      </w:r>
    </w:p>
    <w:p w:rsidR="00F10805" w:rsidRPr="00F421DC" w:rsidRDefault="00F10805" w:rsidP="009148B8">
      <w:pPr>
        <w:rPr>
          <w:i/>
        </w:rPr>
      </w:pPr>
      <w:r>
        <w:t xml:space="preserve">Rok 2014 sice znamenal hospodářské oživení, na trhu práce se to však příliš neprojevilo. Podle údajů </w:t>
      </w:r>
      <w:hyperlink r:id="rId42" w:history="1">
        <w:r w:rsidRPr="00893096">
          <w:rPr>
            <w:rStyle w:val="Hypertextovodkaz"/>
          </w:rPr>
          <w:t>MPSV</w:t>
        </w:r>
      </w:hyperlink>
      <w:r>
        <w:t xml:space="preserve"> dosáhl v ČR </w:t>
      </w:r>
      <w:hyperlink r:id="rId43" w:history="1">
        <w:r w:rsidRPr="00CA34D1">
          <w:rPr>
            <w:rStyle w:val="Hypertextovodkaz"/>
          </w:rPr>
          <w:t>podíl nezaměstnaných osob</w:t>
        </w:r>
      </w:hyperlink>
      <w:r w:rsidRPr="00CA34D1">
        <w:rPr>
          <w:rStyle w:val="Znakapoznpodarou"/>
        </w:rPr>
        <w:footnoteReference w:id="33"/>
      </w:r>
      <w:r>
        <w:t xml:space="preserve"> 7,7 % a proti předchozímu roku se nezměnil. Zůstává tak nejvyšší od roku </w:t>
      </w:r>
      <w:r w:rsidRPr="008506C6">
        <w:t>2005. Zůstává tak nejvyšší v časové řadě sledované od roku 2005.</w:t>
      </w:r>
    </w:p>
    <w:p w:rsidR="00F10805" w:rsidRPr="00716763" w:rsidRDefault="00F10805" w:rsidP="009148B8">
      <w:r>
        <w:t>Průměrný p</w:t>
      </w:r>
      <w:r w:rsidRPr="00763A57">
        <w:t>odíl nezaměstnaných osob</w:t>
      </w:r>
      <w:r>
        <w:t xml:space="preserve"> v období od března do prosince 2014 činil na venkově 6,8 % a ve městech 7,6 %.</w:t>
      </w:r>
      <w:r w:rsidRPr="00FC7D61">
        <w:rPr>
          <w:szCs w:val="24"/>
        </w:rPr>
        <w:t xml:space="preserve"> </w:t>
      </w:r>
      <w:r>
        <w:rPr>
          <w:szCs w:val="24"/>
        </w:rPr>
        <w:t xml:space="preserve">Přestože </w:t>
      </w:r>
      <w:r>
        <w:t xml:space="preserve">poslední </w:t>
      </w:r>
      <w:r w:rsidRPr="00FC7D61">
        <w:t xml:space="preserve">publikované </w:t>
      </w:r>
      <w:r>
        <w:t xml:space="preserve">údaje o venkovské a městské míře nezaměstnanosti ze </w:t>
      </w:r>
      <w:r w:rsidRPr="00FC7D61">
        <w:t>SLDB 2011</w:t>
      </w:r>
      <w:r>
        <w:t xml:space="preserve"> byly příznivější pro města</w:t>
      </w:r>
      <w:r>
        <w:rPr>
          <w:rStyle w:val="Znakapoznpodarou"/>
        </w:rPr>
        <w:footnoteReference w:id="34"/>
      </w:r>
      <w:r>
        <w:t>,</w:t>
      </w:r>
      <w:r w:rsidRPr="002534BF">
        <w:t xml:space="preserve"> </w:t>
      </w:r>
      <w:r>
        <w:t>neúplnost a nekompatibilita dat</w:t>
      </w:r>
      <w:r>
        <w:rPr>
          <w:rStyle w:val="Znakapoznpodarou"/>
        </w:rPr>
        <w:footnoteReference w:id="35"/>
      </w:r>
      <w:r>
        <w:t xml:space="preserve"> </w:t>
      </w:r>
      <w:r w:rsidRPr="00014FC5">
        <w:t>zatím</w:t>
      </w:r>
      <w:r w:rsidRPr="007C5007">
        <w:rPr>
          <w:i/>
        </w:rPr>
        <w:t xml:space="preserve"> </w:t>
      </w:r>
      <w:r>
        <w:t>neumožňují hovořit o změně trendu ve prospěch venkova.</w:t>
      </w:r>
    </w:p>
    <w:p w:rsidR="00F10805" w:rsidRDefault="00F10805" w:rsidP="009148B8">
      <w:r w:rsidRPr="006E5A86">
        <w:t>Od března do prosince 2014 se na úřadech prá</w:t>
      </w:r>
      <w:r>
        <w:t>ce evidovalo v průměru 530 tis. </w:t>
      </w:r>
      <w:r w:rsidRPr="006E5A86">
        <w:t>dosažitelných uchazečů</w:t>
      </w:r>
      <w:r>
        <w:t xml:space="preserve"> o práci (</w:t>
      </w:r>
      <w:proofErr w:type="spellStart"/>
      <w:r>
        <w:t>DUoP</w:t>
      </w:r>
      <w:proofErr w:type="spellEnd"/>
      <w:r>
        <w:t>)</w:t>
      </w:r>
      <w:r w:rsidRPr="006E5A86">
        <w:t xml:space="preserve">, z toho </w:t>
      </w:r>
      <w:r>
        <w:t xml:space="preserve">na venkově </w:t>
      </w:r>
      <w:r w:rsidRPr="006E5A86">
        <w:t xml:space="preserve">130 tis. </w:t>
      </w:r>
      <w:r>
        <w:t xml:space="preserve">Zaměstnavatelé nabízeli prostřednictvím úřadů práce v průměru 52 tis. volných pracovních míst </w:t>
      </w:r>
      <w:r w:rsidRPr="00391A23">
        <w:t>(VPM),</w:t>
      </w:r>
      <w:r>
        <w:t xml:space="preserve"> z toho ve venkovském prostoru jich bylo k dispozici téměř 10 tis. </w:t>
      </w:r>
      <w:r w:rsidRPr="00AA6EE0">
        <w:t>Počet dosažitelných uchazečů</w:t>
      </w:r>
      <w:r w:rsidRPr="00701FE7">
        <w:rPr>
          <w:i/>
        </w:rPr>
        <w:t xml:space="preserve"> </w:t>
      </w:r>
      <w:r w:rsidRPr="00AA6EE0">
        <w:t xml:space="preserve">na </w:t>
      </w:r>
      <w:r>
        <w:t>volné pracovní místo</w:t>
      </w:r>
      <w:r w:rsidRPr="00AA6EE0">
        <w:t xml:space="preserve"> činil </w:t>
      </w:r>
      <w:r>
        <w:t>ve sledovaném období</w:t>
      </w:r>
      <w:r w:rsidRPr="00AA6EE0">
        <w:t xml:space="preserve"> </w:t>
      </w:r>
      <w:r>
        <w:t>10</w:t>
      </w:r>
      <w:r w:rsidRPr="00AA6EE0">
        <w:t>,</w:t>
      </w:r>
      <w:r>
        <w:t>9</w:t>
      </w:r>
      <w:r w:rsidRPr="00AA6EE0">
        <w:t xml:space="preserve">, </w:t>
      </w:r>
      <w:r w:rsidRPr="00391A23">
        <w:t>přitom</w:t>
      </w:r>
      <w:r>
        <w:t xml:space="preserve"> </w:t>
      </w:r>
      <w:r w:rsidRPr="00AA6EE0">
        <w:t xml:space="preserve">na venkově dosáhl hodnoty </w:t>
      </w:r>
      <w:r>
        <w:t>13</w:t>
      </w:r>
      <w:r w:rsidRPr="00AA6EE0">
        <w:t>,</w:t>
      </w:r>
      <w:r>
        <w:t>3</w:t>
      </w:r>
      <w:r w:rsidRPr="00AA6EE0">
        <w:t>.</w:t>
      </w:r>
    </w:p>
    <w:p w:rsidR="00F10805" w:rsidRDefault="00F10805" w:rsidP="009148B8">
      <w:r w:rsidRPr="00391A23">
        <w:t xml:space="preserve">Dlouhodobé srovnání ukazuje, že venkovští uchazeči tvoří přibližně čtvrtinu všech uchazečů, zatímco venkovská VPM tvoří jen zhruba šestinu všech VPM. Zastoupení venkovských uchazečů a VPM ve struktuře se promítá i do ukazatele počtu </w:t>
      </w:r>
      <w:proofErr w:type="spellStart"/>
      <w:r w:rsidRPr="00391A23">
        <w:t>DUoP</w:t>
      </w:r>
      <w:proofErr w:type="spellEnd"/>
      <w:r w:rsidRPr="00391A23">
        <w:t>/VPM, jehož hodnoty jsou pro venkov vždy vyšší ve srovnání s</w:t>
      </w:r>
      <w:r>
        <w:t xml:space="preserve"> celou </w:t>
      </w:r>
      <w:r w:rsidRPr="00391A23">
        <w:t>ČR. To platilo i v roce 2014, avšak rozdíl mezi venkovem a ČR se viditelně zmenšil. Nicméně i zde musíme na potvrzení nového trendu počkat na údaje z následujících let.</w:t>
      </w:r>
    </w:p>
    <w:p w:rsidR="00F10805" w:rsidRDefault="00F10805" w:rsidP="009148B8">
      <w:pPr>
        <w:pStyle w:val="Norm-Bold"/>
      </w:pPr>
      <w:r>
        <w:t>Situace venkovských domácností</w:t>
      </w:r>
    </w:p>
    <w:p w:rsidR="00F10805" w:rsidRPr="00525567" w:rsidRDefault="00F10805" w:rsidP="009148B8">
      <w:r>
        <w:t>Venkovské domácnosti</w:t>
      </w:r>
      <w:r w:rsidRPr="002D7CF8">
        <w:rPr>
          <w:rStyle w:val="Znakapoznpodarou"/>
        </w:rPr>
        <w:footnoteReference w:id="36"/>
      </w:r>
      <w:r>
        <w:t xml:space="preserve"> sestávají tradičně z většího počtu členů než průměrná domácnost v ČR (2,50 proti 2,26 v roce 2013). Ve struktuře domácností nedošlo meziročně k výraznějším změnám, nepříznivé je snížení podílu pracujících osob ve venkovských </w:t>
      </w:r>
      <w:r w:rsidRPr="00525567">
        <w:t>domácnostech</w:t>
      </w:r>
      <w:r>
        <w:t xml:space="preserve"> (za domácnosti celkem ke změně nedošlo</w:t>
      </w:r>
      <w:r w:rsidRPr="00525567">
        <w:t>).</w:t>
      </w:r>
    </w:p>
    <w:p w:rsidR="00F10805" w:rsidRDefault="00F10805" w:rsidP="009148B8">
      <w:r>
        <w:lastRenderedPageBreak/>
        <w:t>Nepříznivě se v roce 2013 vyvíjely peněžní příjmy domácností. Celkové peněžní hrubé příjmy za všechny domácnosti meziročně poklesly (o 0,6 %</w:t>
      </w:r>
      <w:r w:rsidRPr="00650D35">
        <w:t xml:space="preserve"> </w:t>
      </w:r>
      <w:r>
        <w:t>na 169 276 Kč v průměru na jednoho člena domácnosti za rok), přičemž pokles příjmů ve venkovských domácnostech byl hlubší (o 1,9 %). Nadále zůstává</w:t>
      </w:r>
      <w:r w:rsidRPr="008770E5">
        <w:t xml:space="preserve"> celkově nižší úroveň příjmů venkovských domácností ve srovnání s celkovým průměrem (disparita se meziročně prohloubila na 9</w:t>
      </w:r>
      <w:r>
        <w:t>0</w:t>
      </w:r>
      <w:r w:rsidRPr="008770E5">
        <w:t>,</w:t>
      </w:r>
      <w:r>
        <w:t xml:space="preserve">3 %), přitom </w:t>
      </w:r>
      <w:r w:rsidRPr="008770E5">
        <w:t>úroveň příjmů progresivně narůstá s velikostní kategorií obc</w:t>
      </w:r>
      <w:r>
        <w:t>e</w:t>
      </w:r>
      <w:r w:rsidRPr="008770E5">
        <w:t>. Příjmy</w:t>
      </w:r>
      <w:r>
        <w:t xml:space="preserve"> ze závislé činnosti (tj. mzdy) velmi mírně vzrostly </w:t>
      </w:r>
      <w:r w:rsidR="00BC2DA2">
        <w:t>–</w:t>
      </w:r>
      <w:r>
        <w:t xml:space="preserve"> v</w:t>
      </w:r>
      <w:r w:rsidRPr="008770E5">
        <w:t xml:space="preserve">e venkovských domácnostech </w:t>
      </w:r>
      <w:r>
        <w:t>(</w:t>
      </w:r>
      <w:r w:rsidRPr="008770E5">
        <w:t>o</w:t>
      </w:r>
      <w:r>
        <w:t> 0,5 %) obdobně jako v celkovém průměru (o 0,6 %). Podílejí se na celkových čistých příjmech domácností ve všech kategoriích</w:t>
      </w:r>
      <w:r w:rsidR="00E22668">
        <w:t xml:space="preserve"> obcí více než 50 % (nejvyššího</w:t>
      </w:r>
      <w:r>
        <w:t xml:space="preserve"> 57% podílu dosáhly právě ve venkovských domácnostech). Poklesly </w:t>
      </w:r>
      <w:r w:rsidRPr="006A7875">
        <w:t xml:space="preserve">příjmy z podnikání, a to </w:t>
      </w:r>
      <w:r>
        <w:t>podstatně hlouběji ve venkovských domácnostech (o 10,6 %) než v celkovém průměru (o 5,6 %). Jejich podí</w:t>
      </w:r>
      <w:r w:rsidRPr="006A7875">
        <w:t xml:space="preserve">l na celkových příjmech </w:t>
      </w:r>
      <w:r>
        <w:t xml:space="preserve">se zastavil ve venkovských domácnostech těsně pod hranicí 8 % (celkový průměrný podíl byl 8,6 %). Sociální </w:t>
      </w:r>
      <w:r w:rsidRPr="006A7875">
        <w:t xml:space="preserve">příjmy celkem </w:t>
      </w:r>
      <w:r>
        <w:t>vzrostly (o 1</w:t>
      </w:r>
      <w:r w:rsidRPr="006A7875">
        <w:t>,</w:t>
      </w:r>
      <w:r>
        <w:t>1 </w:t>
      </w:r>
      <w:r w:rsidRPr="006A7875">
        <w:t>%),</w:t>
      </w:r>
      <w:r>
        <w:t xml:space="preserve"> ve venkovských domácnostech přitom prakticky stagnovaly. Ve všech kategoriích obcí tvoří aktuálně zhruba 28</w:t>
      </w:r>
      <w:r>
        <w:noBreakHyphen/>
        <w:t xml:space="preserve">30 % celkových příjmů. Jejich nejvýznamnější složkou jsou důchody, jež samotné tvoří již zhruba čtvrtinu všech příjmů (napříč kategoriemi obcí). Ve venkovských domácnostech se meziročně o celou třetinu propadly dávky při pracovní neschopnosti, přičemž v průměru obcí za celou ČR došlo jen k dvouprocentnímu poklesu. Další výrazný propad (o čtvrtinu) zaznamenaly venkovské domácnosti v oblasti ostatních příjmů (celkový průměrný pokles činil 15 %), přičemž zde zahrnuté příjmy z prodeje nemovitostí a movitých věcí byly ve venkovských domácnostech nejnižší (a nejvyšší naopak ve velkých městech). Podíl ostatních příjmů na celkových </w:t>
      </w:r>
      <w:r w:rsidRPr="006A7875">
        <w:t xml:space="preserve">příjmech </w:t>
      </w:r>
      <w:r>
        <w:t>poklesl ve venkovských domácnostech na 5,6 %, celkový průměr se zastavil na 7,1 %.</w:t>
      </w:r>
    </w:p>
    <w:p w:rsidR="00F10805" w:rsidRDefault="00F10805" w:rsidP="009148B8">
      <w:r>
        <w:t xml:space="preserve">Poklesu příjmů přizpůsobily domácnosti i svá vydání – venkovské domácnosti je omezily výrazněji než průměrná domácnost v ČR (o 2,5 % oproti 0,3 % při porovnání hrubých peněžních vydání). Nicméně výdaje na potraviny vzrostly zhruba o 2 % jak ve venkovských domácnostech, tak celkově. Jejich podíl na celkových čistých peněžních </w:t>
      </w:r>
      <w:r w:rsidRPr="00A82751">
        <w:t>vydáních</w:t>
      </w:r>
      <w:r>
        <w:t xml:space="preserve"> </w:t>
      </w:r>
      <w:r w:rsidRPr="00A82751">
        <w:t xml:space="preserve">se tak zvýšil </w:t>
      </w:r>
      <w:r w:rsidR="00BC2DA2">
        <w:t>–</w:t>
      </w:r>
      <w:r w:rsidRPr="00A82751">
        <w:t xml:space="preserve"> ve venkovských domácnostech přesně na jednu čtvrtinu</w:t>
      </w:r>
      <w:r>
        <w:t xml:space="preserve"> </w:t>
      </w:r>
      <w:r w:rsidRPr="00A82751">
        <w:t>(</w:t>
      </w:r>
      <w:r>
        <w:t xml:space="preserve">z celkových </w:t>
      </w:r>
      <w:r w:rsidRPr="00A82751">
        <w:t>117 805 Kč), v celkovém prům</w:t>
      </w:r>
      <w:r>
        <w:t xml:space="preserve">ěru na 23,4 % (ze 133 279 Kč). Nákupy průmyslového zboží celkově stagnovaly, venkovské domácnosti je omezily zhruba o 1 %. Ještě silněji stlačily dolů výdaje na služby (zhruba o 2 %), přičemž průměrné snížení činilo jen 0,5 %. Pomyslné nůžky ve využívání služeb se tak ještě více rozevřely (domácnosti venkova vydávaly na služby už jen 59,4 % toho, co domácnosti velkých měst). Platby a jiná vydání snížily venkovské domácnosti o výrazných 16 %, což se promítlo i do celkového průměrného úbytku, jenž překročil 7 %. </w:t>
      </w:r>
      <w:r w:rsidRPr="00521AB1">
        <w:t xml:space="preserve">Naturální příjmy </w:t>
      </w:r>
      <w:r>
        <w:t>venkovských domácností vz</w:t>
      </w:r>
      <w:r w:rsidRPr="00521AB1">
        <w:t xml:space="preserve">rostly </w:t>
      </w:r>
      <w:r>
        <w:t>o 4,0 %, což je mnohem menší nárůst než v celkovém průměru. Ve vývoji naturálních výdajů se tento rozdíl neprojevil (nárůst se v obou případech pohyboval kolem 5 %).</w:t>
      </w:r>
    </w:p>
    <w:p w:rsidR="00F10805" w:rsidRDefault="00F10805" w:rsidP="009148B8">
      <w:r>
        <w:lastRenderedPageBreak/>
        <w:t>Hospodaření domácností odráží celkovou ekonomickou a sociální situaci ve státě, přičemž se projevují značné rozdílnosti v závislosti na velikosti obcí. V roce 2013 se mírně prohloubila disparita příjmů i rozdíly ve struktuře vydání venkovských domácností a domácností celkem (zejména v míře využívání služeb).</w:t>
      </w:r>
      <w:bookmarkEnd w:id="85"/>
      <w:bookmarkEnd w:id="86"/>
      <w:bookmarkEnd w:id="87"/>
      <w:bookmarkEnd w:id="88"/>
      <w:bookmarkEnd w:id="89"/>
      <w:bookmarkEnd w:id="90"/>
      <w:bookmarkEnd w:id="91"/>
      <w:bookmarkEnd w:id="92"/>
    </w:p>
    <w:p w:rsidR="00F10805" w:rsidRPr="001B1FDF" w:rsidRDefault="00F10805" w:rsidP="001B1FDF">
      <w:pPr>
        <w:pStyle w:val="Nadpis2"/>
      </w:pPr>
      <w:bookmarkStart w:id="96" w:name="_Toc424307032"/>
      <w:r w:rsidRPr="001B1FDF">
        <w:t>3.5</w:t>
      </w:r>
      <w:r w:rsidRPr="001B1FDF">
        <w:tab/>
        <w:t>Institucionální zázemí rozvoje venkova</w:t>
      </w:r>
      <w:bookmarkEnd w:id="93"/>
      <w:bookmarkEnd w:id="94"/>
      <w:bookmarkEnd w:id="95"/>
      <w:bookmarkEnd w:id="96"/>
    </w:p>
    <w:p w:rsidR="00F10805" w:rsidRPr="001B1FDF" w:rsidRDefault="00F10805" w:rsidP="001B1FDF">
      <w:pPr>
        <w:pStyle w:val="Nadpis3"/>
      </w:pPr>
      <w:bookmarkStart w:id="97" w:name="_Toc296443112"/>
      <w:bookmarkStart w:id="98" w:name="_Toc328053808"/>
      <w:bookmarkStart w:id="99" w:name="_Toc364067784"/>
      <w:bookmarkStart w:id="100" w:name="_Toc424307033"/>
      <w:r w:rsidRPr="001B1FDF">
        <w:t>3.5.1</w:t>
      </w:r>
      <w:r w:rsidRPr="001B1FDF">
        <w:tab/>
        <w:t>Organizační a institucionální zabezpečení</w:t>
      </w:r>
      <w:bookmarkEnd w:id="97"/>
      <w:bookmarkEnd w:id="98"/>
      <w:bookmarkEnd w:id="99"/>
      <w:bookmarkEnd w:id="100"/>
    </w:p>
    <w:p w:rsidR="00643559" w:rsidRPr="00643559" w:rsidRDefault="00643559" w:rsidP="009148B8">
      <w:r w:rsidRPr="00643559">
        <w:t>Politika rozvoje venkova se zaměřuje na tři klíčové oblasti: zemědělskopotravinářské hospodářství, životní prostředí a venkovské obyvatelstvo. Priority EU rozvoje venkova pro programové období 2007</w:t>
      </w:r>
      <w:r w:rsidRPr="00643559">
        <w:noBreakHyphen/>
        <w:t>2013 a 2014</w:t>
      </w:r>
      <w:r w:rsidRPr="00643559">
        <w:noBreakHyphen/>
        <w:t>2020 se ve své podstatě nemění. Evropské priority jsou začleněny do národních strategických plánů členských států a do programů venkovského rozvoje. Pro venkov byly v PRV 2007</w:t>
      </w:r>
      <w:r w:rsidRPr="00643559">
        <w:noBreakHyphen/>
        <w:t>2013 využity opatření osy III a IV, které podporovaly zlepšování kvality života ve venkovských oblastech, vybavenost obcí, podpora diverzifikace hospodářství venkova a</w:t>
      </w:r>
      <w:r w:rsidRPr="00643559">
        <w:rPr>
          <w:szCs w:val="24"/>
        </w:rPr>
        <w:t xml:space="preserve"> pracovních příležitosti a zlepšení podmínek pro růst ve venkovských oblastech.</w:t>
      </w:r>
    </w:p>
    <w:p w:rsidR="008E684E" w:rsidRDefault="00F10805" w:rsidP="008E684E">
      <w:r>
        <w:t>Na období 2014</w:t>
      </w:r>
      <w:r w:rsidR="00152C8B">
        <w:noBreakHyphen/>
      </w:r>
      <w:r>
        <w:t>2020 je podpora obyvatel venkova v rámci PRV pokryta Prioritou 6 –</w:t>
      </w:r>
      <w:r w:rsidRPr="00AD61DD">
        <w:t xml:space="preserve"> Podpora sociálního začleňování, snižování chudoby a hospodářského</w:t>
      </w:r>
      <w:r>
        <w:t xml:space="preserve"> </w:t>
      </w:r>
      <w:r w:rsidRPr="00AD61DD">
        <w:t>rozvoje ve venkovských oblastech</w:t>
      </w:r>
      <w:r>
        <w:t>. Zaměření podpor na</w:t>
      </w:r>
      <w:r w:rsidRPr="00AD61DD">
        <w:t xml:space="preserve"> oblasti</w:t>
      </w:r>
      <w:r>
        <w:t xml:space="preserve"> n</w:t>
      </w:r>
      <w:r w:rsidRPr="00AD61DD">
        <w:t>aplňování cílů a potřeb v oblasti sociálního začleňování, snižování chudoby</w:t>
      </w:r>
      <w:r>
        <w:t xml:space="preserve"> </w:t>
      </w:r>
      <w:r w:rsidRPr="00AD61DD">
        <w:t xml:space="preserve">a hospodářského rozvoje ve venkovských oblastech </w:t>
      </w:r>
      <w:r>
        <w:t>je založeno</w:t>
      </w:r>
      <w:r w:rsidRPr="00AD61DD">
        <w:t xml:space="preserve"> na základě analýzy a posouzení potřeb</w:t>
      </w:r>
      <w:r>
        <w:t>.</w:t>
      </w:r>
      <w:r w:rsidR="008E684E">
        <w:t xml:space="preserve"> V České republice byly pro podporu venkovských oblastí vybrány Prioritní oblasti 6A a 6B.</w:t>
      </w:r>
    </w:p>
    <w:p w:rsidR="000826EE" w:rsidRDefault="008E684E" w:rsidP="009148B8">
      <w:r w:rsidRPr="008E684E">
        <w:t xml:space="preserve">Prioritní oblast </w:t>
      </w:r>
      <w:r w:rsidR="00F10805" w:rsidRPr="008E684E">
        <w:t>6A) Rozvoj zemědělských podniků a podnikatelské činnosti, podpora investic na založení a rozvoj nezemědělských činností (podle čl. 19 1.b)) se zaměřuje na posílení diverzifikace zemědělských podniků do jiných druhů aktivit, s cílem získat další zdroje příjmů z podnikání a rozdělit podnikatelské riziko plynoucí ze zemědělské výroby do dalších oblastí. Diverzifikace může přinést efekty, mj. prostřednictvím tvorby pracovních</w:t>
      </w:r>
      <w:r w:rsidR="00F10805" w:rsidRPr="00AD61DD">
        <w:t xml:space="preserve"> příležitostí na venkově a užšího</w:t>
      </w:r>
      <w:r w:rsidR="00F10805">
        <w:t xml:space="preserve"> </w:t>
      </w:r>
      <w:r w:rsidR="00F10805" w:rsidRPr="00AD61DD">
        <w:t>propojení zemědělské výroby a dalšího podnikání na venkově. Jedná se zejména o nabídku</w:t>
      </w:r>
      <w:r w:rsidR="00F10805">
        <w:t xml:space="preserve"> </w:t>
      </w:r>
      <w:r w:rsidR="00F10805" w:rsidRPr="00AD61DD">
        <w:t>služeb agroturistiky nebo využití zemědělské produkce/odpadů k výrobě obnovitelných zdrojů</w:t>
      </w:r>
      <w:r w:rsidR="00F10805">
        <w:t xml:space="preserve"> </w:t>
      </w:r>
      <w:r w:rsidR="00F10805" w:rsidRPr="00AD61DD">
        <w:t>energie a další.</w:t>
      </w:r>
    </w:p>
    <w:p w:rsidR="00F10805" w:rsidRDefault="000826EE" w:rsidP="009148B8">
      <w:r w:rsidRPr="008E684E">
        <w:t>Prioritní oblast</w:t>
      </w:r>
      <w:r w:rsidR="00F10805">
        <w:t xml:space="preserve"> </w:t>
      </w:r>
      <w:r w:rsidR="00F10805" w:rsidRPr="00AD61DD">
        <w:t xml:space="preserve">6B) </w:t>
      </w:r>
      <w:r w:rsidRPr="000826EE">
        <w:t>P</w:t>
      </w:r>
      <w:r w:rsidR="00F10805" w:rsidRPr="000826EE">
        <w:t>osílení místního rozvoje ve venkovských oblastech pomocí iniciativy LEADER (čl. 43</w:t>
      </w:r>
      <w:r w:rsidR="00152C8B" w:rsidRPr="000826EE">
        <w:noBreakHyphen/>
      </w:r>
      <w:r w:rsidR="00F10805" w:rsidRPr="000826EE">
        <w:t>44)</w:t>
      </w:r>
      <w:r>
        <w:rPr>
          <w:rStyle w:val="Znakapoznpodarou"/>
        </w:rPr>
        <w:footnoteReference w:id="37"/>
      </w:r>
      <w:r w:rsidR="00F10805" w:rsidRPr="000826EE">
        <w:t xml:space="preserve"> </w:t>
      </w:r>
      <w:r w:rsidRPr="000826EE">
        <w:t xml:space="preserve">nabízí díky principu implementace strategií „zdola-nahoru“ řadu příspěvků k prioritním oblastem rozvoje venkova. </w:t>
      </w:r>
      <w:r w:rsidR="00F10805" w:rsidRPr="000826EE">
        <w:t>Znalost</w:t>
      </w:r>
      <w:r w:rsidR="00F10805" w:rsidRPr="00AD61DD">
        <w:t xml:space="preserve"> místního prostředí</w:t>
      </w:r>
      <w:r w:rsidR="00F10805">
        <w:t xml:space="preserve"> </w:t>
      </w:r>
      <w:r w:rsidR="00F10805" w:rsidRPr="00AD61DD">
        <w:t>a využití potenciálu dané lokality povede k realizaci akcí, které budou nejlépe reagovat</w:t>
      </w:r>
      <w:r w:rsidR="00F10805">
        <w:t xml:space="preserve"> </w:t>
      </w:r>
      <w:r w:rsidR="00F10805" w:rsidRPr="00AD61DD">
        <w:t xml:space="preserve">na konkrétní </w:t>
      </w:r>
      <w:r w:rsidR="00F10805" w:rsidRPr="00AD61DD">
        <w:lastRenderedPageBreak/>
        <w:t>místní problémy a podpora PRV tak může být efektivnější než při plošném</w:t>
      </w:r>
      <w:r w:rsidR="00F10805">
        <w:t xml:space="preserve"> </w:t>
      </w:r>
      <w:r w:rsidR="00F10805" w:rsidRPr="00AD61DD">
        <w:t>centrálním řízení.</w:t>
      </w:r>
      <w:r w:rsidR="00F10805">
        <w:t xml:space="preserve"> </w:t>
      </w:r>
      <w:r w:rsidRPr="000826EE">
        <w:t>Místní akční skupiny při realizaci SCLLD</w:t>
      </w:r>
      <w:r w:rsidR="00652B0C">
        <w:rPr>
          <w:rStyle w:val="Znakapoznpodarou"/>
        </w:rPr>
        <w:footnoteReference w:id="38"/>
      </w:r>
      <w:r w:rsidRPr="000826EE">
        <w:t xml:space="preserve"> mohou využít více zdrojů financování. </w:t>
      </w:r>
      <w:r w:rsidR="00F10805" w:rsidRPr="000826EE">
        <w:rPr>
          <w:rFonts w:ascii="TimesNewRomanPSMT" w:eastAsiaTheme="minorHAnsi" w:hAnsi="TimesNewRomanPSMT" w:cs="TimesNewRomanPSMT"/>
          <w:szCs w:val="24"/>
          <w:lang w:eastAsia="en-US"/>
        </w:rPr>
        <w:t>Za koordinaci podpory CLLD</w:t>
      </w:r>
      <w:r w:rsidR="00652B0C">
        <w:rPr>
          <w:rStyle w:val="Znakapoznpodarou"/>
          <w:rFonts w:eastAsiaTheme="minorHAnsi" w:cs="TimesNewRomanPSMT"/>
          <w:szCs w:val="24"/>
          <w:lang w:eastAsia="en-US"/>
        </w:rPr>
        <w:footnoteReference w:id="39"/>
      </w:r>
      <w:r w:rsidR="00F10805" w:rsidRPr="000826EE">
        <w:rPr>
          <w:rFonts w:ascii="TimesNewRomanPSMT" w:eastAsiaTheme="minorHAnsi" w:hAnsi="TimesNewRomanPSMT" w:cs="TimesNewRomanPSMT"/>
          <w:szCs w:val="24"/>
          <w:lang w:eastAsia="en-US"/>
        </w:rPr>
        <w:t xml:space="preserve"> je zodpovědné</w:t>
      </w:r>
      <w:r w:rsidR="00F10805">
        <w:rPr>
          <w:rFonts w:ascii="TimesNewRomanPSMT" w:eastAsiaTheme="minorHAnsi" w:hAnsi="TimesNewRomanPSMT" w:cs="TimesNewRomanPSMT"/>
          <w:szCs w:val="24"/>
          <w:lang w:eastAsia="en-US"/>
        </w:rPr>
        <w:t xml:space="preserve"> Ministerstvo pro místní rozvoj. Využití integrovaných nástrojů (včetně CLLD) shrnuje Metodický pokyn pro využití integrovaných nástrojů v programovém období 2014</w:t>
      </w:r>
      <w:r w:rsidR="00152C8B">
        <w:rPr>
          <w:rFonts w:ascii="TimesNewRomanPSMT" w:eastAsiaTheme="minorHAnsi" w:hAnsi="TimesNewRomanPSMT" w:cs="TimesNewRomanPSMT"/>
          <w:szCs w:val="24"/>
          <w:lang w:eastAsia="en-US"/>
        </w:rPr>
        <w:noBreakHyphen/>
      </w:r>
      <w:r w:rsidR="00F10805">
        <w:rPr>
          <w:rFonts w:ascii="TimesNewRomanPSMT" w:eastAsiaTheme="minorHAnsi" w:hAnsi="TimesNewRomanPSMT" w:cs="TimesNewRomanPSMT"/>
          <w:szCs w:val="24"/>
          <w:lang w:eastAsia="en-US"/>
        </w:rPr>
        <w:t>2020. Pokyn obsahuje mimo jiné návod k přípravě integrovaných strategií a způsob hodnocení a schvalování integrovaných strategií. V ČR bude realizován CLLD za podpory více fondů, a proto byl stanov</w:t>
      </w:r>
      <w:r w:rsidR="00652B0C">
        <w:rPr>
          <w:rFonts w:ascii="TimesNewRomanPSMT" w:eastAsiaTheme="minorHAnsi" w:hAnsi="TimesNewRomanPSMT" w:cs="TimesNewRomanPSMT"/>
          <w:szCs w:val="24"/>
          <w:lang w:eastAsia="en-US"/>
        </w:rPr>
        <w:t>en tzv. hlavní fond v souladu s </w:t>
      </w:r>
      <w:r w:rsidR="00F10805" w:rsidRPr="000826EE">
        <w:rPr>
          <w:rFonts w:ascii="TimesNewRomanPSMT" w:eastAsiaTheme="minorHAnsi" w:hAnsi="TimesNewRomanPSMT" w:cs="TimesNewRomanPSMT"/>
          <w:szCs w:val="24"/>
          <w:lang w:eastAsia="en-US"/>
        </w:rPr>
        <w:t>článkem 32</w:t>
      </w:r>
      <w:r w:rsidRPr="000826EE">
        <w:rPr>
          <w:rFonts w:ascii="TimesNewRomanPSMT" w:eastAsiaTheme="minorHAnsi" w:hAnsi="TimesNewRomanPSMT" w:cs="TimesNewRomanPSMT"/>
          <w:szCs w:val="24"/>
          <w:lang w:eastAsia="en-US"/>
        </w:rPr>
        <w:t xml:space="preserve"> odst. </w:t>
      </w:r>
      <w:r w:rsidR="00F10805" w:rsidRPr="000826EE">
        <w:rPr>
          <w:rFonts w:ascii="TimesNewRomanPSMT" w:eastAsiaTheme="minorHAnsi" w:hAnsi="TimesNewRomanPSMT" w:cs="TimesNewRomanPSMT"/>
          <w:szCs w:val="24"/>
          <w:lang w:eastAsia="en-US"/>
        </w:rPr>
        <w:t>4 obecného</w:t>
      </w:r>
      <w:r w:rsidR="00F10805">
        <w:rPr>
          <w:rFonts w:ascii="TimesNewRomanPSMT" w:eastAsiaTheme="minorHAnsi" w:hAnsi="TimesNewRomanPSMT" w:cs="TimesNewRomanPSMT"/>
          <w:szCs w:val="24"/>
          <w:lang w:eastAsia="en-US"/>
        </w:rPr>
        <w:t xml:space="preserve"> nařízení č. 1303/2013, ze kterého budou financované provozní náklady a náklady na oživení SCLLD – tímto fondem bude Evropský regionální fond pro rozvoj venkova. Výdaje budou hrazeny z Integrovaného r</w:t>
      </w:r>
      <w:r w:rsidR="00652B0C">
        <w:rPr>
          <w:rFonts w:ascii="TimesNewRomanPSMT" w:eastAsiaTheme="minorHAnsi" w:hAnsi="TimesNewRomanPSMT" w:cs="TimesNewRomanPSMT"/>
          <w:szCs w:val="24"/>
          <w:lang w:eastAsia="en-US"/>
        </w:rPr>
        <w:t>egionálního operačního programu</w:t>
      </w:r>
      <w:r w:rsidR="00F10805">
        <w:rPr>
          <w:rFonts w:ascii="TimesNewRomanPSMT" w:eastAsiaTheme="minorHAnsi" w:hAnsi="TimesNewRomanPSMT" w:cs="TimesNewRomanPSMT"/>
          <w:szCs w:val="24"/>
          <w:lang w:eastAsia="en-US"/>
        </w:rPr>
        <w:t>.</w:t>
      </w:r>
    </w:p>
    <w:p w:rsidR="00643559" w:rsidRPr="00643559" w:rsidRDefault="00643559" w:rsidP="00643559">
      <w:r w:rsidRPr="00643559">
        <w:t>Program rozvoje venkova a operační programy jsou v systému koordinace MMR. Záměrem Evropské unie je, aby její fondy maximálním možným způsobem přispěly k naplňování strategie EU 2020 – Strategie pro inteligentní a udržitelný růst podporující začlenění, což je dlouhodobá vize rozvoje Evropské unie. Dohoda o partnerství je dokument vypracovaný členským státem Evropské unie, který stanoví cíle a priority pro efektivní využívání Evropských strukturálních a investičních fondů (ESI fondy) za účelem naplňování strategie Evropa 2020 na základě vydefinovaných národních priorit. ESI fondy zahrnují Evropský fond pro regionální rozvoj (EFRR), Evropský sociální fond (ESF), Fond soudržnosti (FS), Evropský zemědělský fond pro rozvoj venkova (EZFRV) a Evropský námořní a rybářský fond (ENRF). Dohoda o partnerství zastřešuje operační programy cíle Investice pro růst a zaměstnanost a cíle Evropská územní spolupráce spadající pod politiku soudržnosti EU a programy spadající pod II. pilíř Společné zemědělské politiky a Společné rybářské politiky. Dohoda o partnerství je zpracována v souladu s čl. 15 obecného nařízení (nařízení EP a Rady č. 1303/2013), který stanovuje její obsah, a zároveň v souladu s šablonou EK (</w:t>
      </w:r>
      <w:r w:rsidRPr="008520EA">
        <w:t xml:space="preserve">Draft </w:t>
      </w:r>
      <w:proofErr w:type="spellStart"/>
      <w:r w:rsidRPr="008520EA">
        <w:t>Template</w:t>
      </w:r>
      <w:proofErr w:type="spellEnd"/>
      <w:r w:rsidRPr="008520EA">
        <w:t xml:space="preserve"> and </w:t>
      </w:r>
      <w:proofErr w:type="spellStart"/>
      <w:r w:rsidRPr="008520EA">
        <w:t>Guidelines</w:t>
      </w:r>
      <w:proofErr w:type="spellEnd"/>
      <w:r w:rsidRPr="008520EA">
        <w:t xml:space="preserve"> on </w:t>
      </w:r>
      <w:proofErr w:type="spellStart"/>
      <w:r w:rsidRPr="008520EA">
        <w:t>the</w:t>
      </w:r>
      <w:proofErr w:type="spellEnd"/>
      <w:r w:rsidRPr="008520EA">
        <w:t xml:space="preserve"> </w:t>
      </w:r>
      <w:proofErr w:type="spellStart"/>
      <w:r w:rsidRPr="008520EA">
        <w:t>Content</w:t>
      </w:r>
      <w:proofErr w:type="spellEnd"/>
      <w:r w:rsidRPr="008520EA">
        <w:t xml:space="preserve"> </w:t>
      </w:r>
      <w:proofErr w:type="spellStart"/>
      <w:r w:rsidRPr="008520EA">
        <w:t>of</w:t>
      </w:r>
      <w:proofErr w:type="spellEnd"/>
      <w:r w:rsidRPr="008520EA">
        <w:t xml:space="preserve"> </w:t>
      </w:r>
      <w:proofErr w:type="spellStart"/>
      <w:r w:rsidRPr="008520EA">
        <w:t>the</w:t>
      </w:r>
      <w:proofErr w:type="spellEnd"/>
      <w:r w:rsidRPr="008520EA">
        <w:t xml:space="preserve"> </w:t>
      </w:r>
      <w:proofErr w:type="spellStart"/>
      <w:r w:rsidRPr="008520EA">
        <w:t>Partnership</w:t>
      </w:r>
      <w:proofErr w:type="spellEnd"/>
      <w:r w:rsidRPr="008520EA">
        <w:t xml:space="preserve"> </w:t>
      </w:r>
      <w:proofErr w:type="spellStart"/>
      <w:r w:rsidRPr="008520EA">
        <w:t>Agreement</w:t>
      </w:r>
      <w:proofErr w:type="spellEnd"/>
      <w:r w:rsidRPr="00643559">
        <w:t xml:space="preserve">), která jej dále rozpracovává. Dohoda o partnerství byla vypracována za účasti partnerů v souladu s přístupem založeným na víceúrovňové správě, tj. se zapojením regionálních partnerů a dalších partnerů (sociální a hospodářští partneři, akademická sféra, nezisková sféra, podnikatelská sféra. K naplňování Dohoda o partnerství přispějí </w:t>
      </w:r>
      <w:hyperlink r:id="rId44" w:history="1">
        <w:r w:rsidRPr="00643559">
          <w:t>jednotlivé programy</w:t>
        </w:r>
      </w:hyperlink>
      <w:r w:rsidRPr="00643559">
        <w:t>. V tab</w:t>
      </w:r>
      <w:r w:rsidR="00854B54">
        <w:t>.</w:t>
      </w:r>
      <w:r w:rsidRPr="00643559">
        <w:t xml:space="preserve"> T3.5/01 jsou uvedeny programy i rozdělení přidělených finančních prostředků z ESI fondy.</w:t>
      </w:r>
    </w:p>
    <w:p w:rsidR="00F10805" w:rsidRDefault="00F10805" w:rsidP="009148B8">
      <w:r w:rsidRPr="005E1AF9">
        <w:t>PRV</w:t>
      </w:r>
      <w:r w:rsidRPr="008470CC">
        <w:t xml:space="preserve"> je uplatňován ve venkovských oblastech České</w:t>
      </w:r>
      <w:r w:rsidR="00EE762A">
        <w:t xml:space="preserve"> republiky a je administrován a </w:t>
      </w:r>
      <w:r w:rsidRPr="008470CC">
        <w:t>řízen na centrální úrovni.</w:t>
      </w:r>
    </w:p>
    <w:p w:rsidR="00F10805" w:rsidRDefault="00F10805" w:rsidP="009148B8">
      <w:r w:rsidRPr="0059598B">
        <w:lastRenderedPageBreak/>
        <w:t>Program rozvoje venkova a operační programy</w:t>
      </w:r>
      <w:r w:rsidRPr="005E1AF9">
        <w:t xml:space="preserve"> </w:t>
      </w:r>
      <w:r>
        <w:t xml:space="preserve">jsou v systému </w:t>
      </w:r>
      <w:r w:rsidRPr="005E1AF9">
        <w:t>koordinac</w:t>
      </w:r>
      <w:r>
        <w:t>e</w:t>
      </w:r>
      <w:r w:rsidRPr="005E1AF9">
        <w:t xml:space="preserve"> MMR</w:t>
      </w:r>
      <w:r>
        <w:t xml:space="preserve">. Záměrem Evropské unie je, aby její fondy maximálním možným způsobem přispěly k naplňování strategie EU 2020 – Strategie pro inteligentní a udržitelný růst podporující začlenění, což je dlouhodobá vize rozvoje Evropské unie. Pro lepší využití těchto fondů ve prospěch strategie EU 2020 zpracoval každý stát </w:t>
      </w:r>
      <w:hyperlink r:id="rId45" w:history="1">
        <w:r w:rsidRPr="00B53278">
          <w:t>Dohodu o partnerství</w:t>
        </w:r>
      </w:hyperlink>
      <w:r>
        <w:t xml:space="preserve">, kterou posoudila a schválila Evropská komise. K jejímu naplňování přispějí </w:t>
      </w:r>
      <w:hyperlink r:id="rId46" w:history="1">
        <w:r w:rsidRPr="00EF5AFC">
          <w:t>jednotlivé programy</w:t>
        </w:r>
      </w:hyperlink>
      <w:r>
        <w:t>.</w:t>
      </w:r>
      <w:r w:rsidR="008A233C">
        <w:t xml:space="preserve"> V </w:t>
      </w:r>
      <w:r w:rsidR="00FA5211" w:rsidRPr="00FA5211">
        <w:t>tab</w:t>
      </w:r>
      <w:r w:rsidR="00FA5211">
        <w:t>.</w:t>
      </w:r>
      <w:r w:rsidR="008A233C">
        <w:t> </w:t>
      </w:r>
      <w:r w:rsidR="00FA5211" w:rsidRPr="00FA5211">
        <w:t>T3.5/01 jsou uvedeny programy a rozdělení přidělených finančních prostředků z ESI</w:t>
      </w:r>
      <w:r w:rsidR="0059598B">
        <w:t xml:space="preserve"> fondů</w:t>
      </w:r>
      <w:r>
        <w:t>.</w:t>
      </w:r>
    </w:p>
    <w:p w:rsidR="00F10805" w:rsidRDefault="00F10805" w:rsidP="009148B8">
      <w:pPr>
        <w:pStyle w:val="mezera"/>
      </w:pPr>
    </w:p>
    <w:p w:rsidR="00F10805" w:rsidRDefault="00F10805" w:rsidP="009148B8">
      <w:pPr>
        <w:pStyle w:val="mezera"/>
      </w:pPr>
      <w:r w:rsidRPr="00002A78">
        <w:rPr>
          <w:noProof/>
          <w:lang w:eastAsia="cs-CZ"/>
        </w:rPr>
        <w:drawing>
          <wp:inline distT="0" distB="0" distL="0" distR="0" wp14:anchorId="51F2E382" wp14:editId="6E0EE550">
            <wp:extent cx="5760720" cy="1671415"/>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671415"/>
                    </a:xfrm>
                    <a:prstGeom prst="rect">
                      <a:avLst/>
                    </a:prstGeom>
                    <a:noFill/>
                    <a:ln>
                      <a:noFill/>
                    </a:ln>
                  </pic:spPr>
                </pic:pic>
              </a:graphicData>
            </a:graphic>
          </wp:inline>
        </w:drawing>
      </w:r>
    </w:p>
    <w:p w:rsidR="00F10805" w:rsidRDefault="00F10805" w:rsidP="009148B8">
      <w:pPr>
        <w:pStyle w:val="mezera"/>
      </w:pPr>
    </w:p>
    <w:p w:rsidR="00F10805" w:rsidRDefault="00F10805" w:rsidP="009148B8">
      <w:r>
        <w:t>Kromě programů, které jsou uvedeny v tab. T3.5/01, byly usnesením vlády ČR č. 867 vymezeny také další programy, kde je možné čerpat podporu. Jedná se o:</w:t>
      </w:r>
    </w:p>
    <w:p w:rsidR="00F10805" w:rsidRPr="00894FB7" w:rsidRDefault="00234ED0" w:rsidP="00DF6A39">
      <w:pPr>
        <w:pStyle w:val="vet1"/>
      </w:pPr>
      <w:hyperlink r:id="rId48" w:history="1">
        <w:proofErr w:type="spellStart"/>
        <w:r w:rsidR="00F10805" w:rsidRPr="00894FB7">
          <w:rPr>
            <w:rStyle w:val="Hypertextovodkaz"/>
          </w:rPr>
          <w:t>Interreg</w:t>
        </w:r>
        <w:proofErr w:type="spellEnd"/>
        <w:r w:rsidR="00F10805">
          <w:rPr>
            <w:rStyle w:val="Hypertextovodkaz"/>
          </w:rPr>
          <w:t xml:space="preserve"> </w:t>
        </w:r>
        <w:r w:rsidR="00F10805" w:rsidRPr="00894FB7">
          <w:rPr>
            <w:rStyle w:val="Hypertextovodkaz"/>
          </w:rPr>
          <w:t>V-A</w:t>
        </w:r>
        <w:r w:rsidR="00F10805">
          <w:rPr>
            <w:rStyle w:val="Hypertextovodkaz"/>
          </w:rPr>
          <w:t xml:space="preserve"> </w:t>
        </w:r>
      </w:hyperlink>
      <w:hyperlink r:id="rId49" w:history="1">
        <w:r w:rsidR="00F10805" w:rsidRPr="00894FB7">
          <w:rPr>
            <w:rStyle w:val="Hypertextovodkaz"/>
          </w:rPr>
          <w:t>Česká</w:t>
        </w:r>
        <w:r w:rsidR="00F10805">
          <w:rPr>
            <w:rStyle w:val="Hypertextovodkaz"/>
          </w:rPr>
          <w:t xml:space="preserve"> </w:t>
        </w:r>
        <w:r w:rsidR="00F10805" w:rsidRPr="00894FB7">
          <w:rPr>
            <w:rStyle w:val="Hypertextovodkaz"/>
          </w:rPr>
          <w:t>republika – Polsko</w:t>
        </w:r>
      </w:hyperlink>
      <w:r w:rsidR="00F10805" w:rsidRPr="00894FB7">
        <w:t>, řízený Ministerstvem pro místní rozvoj;</w:t>
      </w:r>
    </w:p>
    <w:p w:rsidR="00F10805" w:rsidRPr="00894FB7" w:rsidRDefault="00234ED0" w:rsidP="00DF6A39">
      <w:pPr>
        <w:pStyle w:val="vet1"/>
      </w:pPr>
      <w:hyperlink r:id="rId50" w:history="1">
        <w:proofErr w:type="spellStart"/>
        <w:r w:rsidR="00F10805" w:rsidRPr="00894FB7">
          <w:rPr>
            <w:rStyle w:val="Hypertextovodkaz"/>
          </w:rPr>
          <w:t>In</w:t>
        </w:r>
        <w:r w:rsidR="00F10805">
          <w:rPr>
            <w:rStyle w:val="Hypertextovodkaz"/>
          </w:rPr>
          <w:t>terreg</w:t>
        </w:r>
        <w:proofErr w:type="spellEnd"/>
        <w:r w:rsidR="00F10805">
          <w:rPr>
            <w:rStyle w:val="Hypertextovodkaz"/>
          </w:rPr>
          <w:t xml:space="preserve"> V-A Slovenská republika –</w:t>
        </w:r>
        <w:r w:rsidR="00F10805" w:rsidRPr="00894FB7">
          <w:rPr>
            <w:rStyle w:val="Hypertextovodkaz"/>
          </w:rPr>
          <w:t xml:space="preserve"> Česká republika</w:t>
        </w:r>
      </w:hyperlink>
      <w:r w:rsidR="00F10805" w:rsidRPr="00894FB7">
        <w:t>, koordinovaný na území České republiky Ministerstvem pro místní rozvoj;</w:t>
      </w:r>
    </w:p>
    <w:p w:rsidR="00F10805" w:rsidRPr="00894FB7" w:rsidRDefault="00234ED0" w:rsidP="00DF6A39">
      <w:pPr>
        <w:pStyle w:val="vet1"/>
      </w:pPr>
      <w:hyperlink r:id="rId51" w:history="1">
        <w:r w:rsidR="00F10805" w:rsidRPr="00894FB7">
          <w:rPr>
            <w:rStyle w:val="Hypertextovodkaz"/>
          </w:rPr>
          <w:t>Program</w:t>
        </w:r>
        <w:r w:rsidR="00F10805">
          <w:rPr>
            <w:rStyle w:val="Hypertextovodkaz"/>
          </w:rPr>
          <w:t xml:space="preserve"> </w:t>
        </w:r>
        <w:r w:rsidR="00F10805" w:rsidRPr="00894FB7">
          <w:rPr>
            <w:rStyle w:val="Hypertextovodkaz"/>
          </w:rPr>
          <w:t>spolupráce</w:t>
        </w:r>
        <w:r w:rsidR="00F10805">
          <w:rPr>
            <w:rStyle w:val="Hypertextovodkaz"/>
          </w:rPr>
          <w:t xml:space="preserve"> </w:t>
        </w:r>
        <w:r w:rsidR="00F10805" w:rsidRPr="00894FB7">
          <w:rPr>
            <w:rStyle w:val="Hypertextovodkaz"/>
          </w:rPr>
          <w:t>Rak</w:t>
        </w:r>
        <w:r w:rsidR="00F10805">
          <w:rPr>
            <w:rStyle w:val="Hypertextovodkaz"/>
          </w:rPr>
          <w:t>ousko –</w:t>
        </w:r>
        <w:r w:rsidR="00F10805" w:rsidRPr="00894FB7">
          <w:rPr>
            <w:rStyle w:val="Hypertextovodkaz"/>
          </w:rPr>
          <w:t xml:space="preserve"> Česká republika 2014-2020</w:t>
        </w:r>
      </w:hyperlink>
      <w:r w:rsidR="00F10805" w:rsidRPr="00894FB7">
        <w:t>, koordinovaný na území České republiky Ministerstvem pro místní rozvoj;</w:t>
      </w:r>
    </w:p>
    <w:p w:rsidR="00F10805" w:rsidRPr="00894FB7" w:rsidRDefault="00234ED0" w:rsidP="00DF6A39">
      <w:pPr>
        <w:pStyle w:val="vet1"/>
      </w:pPr>
      <w:hyperlink r:id="rId52" w:history="1">
        <w:r w:rsidR="00F10805" w:rsidRPr="00894FB7">
          <w:rPr>
            <w:rStyle w:val="Hypertextovodkaz"/>
          </w:rPr>
          <w:t>Program přeshrani</w:t>
        </w:r>
        <w:r w:rsidR="00F10805">
          <w:rPr>
            <w:rStyle w:val="Hypertextovodkaz"/>
          </w:rPr>
          <w:t>ční spolupráce Česká republika –</w:t>
        </w:r>
        <w:r w:rsidR="00F10805" w:rsidRPr="00894FB7">
          <w:rPr>
            <w:rStyle w:val="Hypertextovodkaz"/>
          </w:rPr>
          <w:t xml:space="preserve"> Svobodný stát Bavorsko Cíl EÚS 2014-2020</w:t>
        </w:r>
      </w:hyperlink>
      <w:r w:rsidR="00F10805" w:rsidRPr="00894FB7">
        <w:t>, koordinovaný na území České republiky Ministerstvem pro místní rozvoj;</w:t>
      </w:r>
    </w:p>
    <w:p w:rsidR="00F10805" w:rsidRPr="00894FB7" w:rsidRDefault="00234ED0" w:rsidP="00DF6A39">
      <w:pPr>
        <w:pStyle w:val="vet1"/>
      </w:pPr>
      <w:hyperlink r:id="rId53" w:history="1">
        <w:r w:rsidR="00F10805" w:rsidRPr="00894FB7">
          <w:rPr>
            <w:rStyle w:val="Hypertextovodkaz"/>
          </w:rPr>
          <w:t>Program</w:t>
        </w:r>
        <w:r w:rsidR="00F10805">
          <w:rPr>
            <w:rStyle w:val="Hypertextovodkaz"/>
          </w:rPr>
          <w:t xml:space="preserve"> </w:t>
        </w:r>
        <w:r w:rsidR="00F10805" w:rsidRPr="00894FB7">
          <w:rPr>
            <w:rStyle w:val="Hypertextovodkaz"/>
          </w:rPr>
          <w:t>s</w:t>
        </w:r>
        <w:r w:rsidR="00F10805">
          <w:rPr>
            <w:rStyle w:val="Hypertextovodkaz"/>
          </w:rPr>
          <w:t xml:space="preserve">polupráce Svobodný stát Sasko – </w:t>
        </w:r>
        <w:r w:rsidR="00F10805" w:rsidRPr="00894FB7">
          <w:rPr>
            <w:rStyle w:val="Hypertextovodkaz"/>
          </w:rPr>
          <w:t>Česká</w:t>
        </w:r>
        <w:r w:rsidR="00F10805">
          <w:rPr>
            <w:rStyle w:val="Hypertextovodkaz"/>
          </w:rPr>
          <w:t xml:space="preserve"> </w:t>
        </w:r>
        <w:r w:rsidR="00F10805" w:rsidRPr="00894FB7">
          <w:rPr>
            <w:rStyle w:val="Hypertextovodkaz"/>
          </w:rPr>
          <w:t>republika 2014-2020</w:t>
        </w:r>
      </w:hyperlink>
      <w:r w:rsidR="00F10805" w:rsidRPr="00894FB7">
        <w:t>, koordinovaný na území České republiky Ministerstvem pro místní rozvoj;</w:t>
      </w:r>
    </w:p>
    <w:p w:rsidR="00F10805" w:rsidRPr="00894FB7" w:rsidRDefault="00F10805" w:rsidP="00DF6A39">
      <w:pPr>
        <w:pStyle w:val="vet1"/>
      </w:pPr>
      <w:r w:rsidRPr="00894FB7">
        <w:t>Program nadnárodní spolupráce</w:t>
      </w:r>
      <w:r>
        <w:t xml:space="preserve"> </w:t>
      </w:r>
      <w:hyperlink r:id="rId54" w:history="1">
        <w:proofErr w:type="spellStart"/>
        <w:r w:rsidRPr="00894FB7">
          <w:rPr>
            <w:rStyle w:val="Hypertextovodkaz"/>
          </w:rPr>
          <w:t>Interreg</w:t>
        </w:r>
        <w:proofErr w:type="spellEnd"/>
        <w:r w:rsidRPr="00894FB7">
          <w:rPr>
            <w:rStyle w:val="Hypertextovodkaz"/>
          </w:rPr>
          <w:t xml:space="preserve"> CENTRAL EUROPE</w:t>
        </w:r>
      </w:hyperlink>
      <w:r w:rsidRPr="00894FB7">
        <w:t>, koordinovaný na území České republiky Ministerstvem pro místní rozvoj;</w:t>
      </w:r>
    </w:p>
    <w:p w:rsidR="00F10805" w:rsidRPr="00894FB7" w:rsidRDefault="00F10805" w:rsidP="00DF6A39">
      <w:pPr>
        <w:pStyle w:val="vet1"/>
      </w:pPr>
      <w:r w:rsidRPr="00894FB7">
        <w:t>Program nadnárodní spolupráce</w:t>
      </w:r>
      <w:r>
        <w:t xml:space="preserve"> </w:t>
      </w:r>
      <w:hyperlink r:id="rId55" w:history="1">
        <w:r w:rsidRPr="00894FB7">
          <w:rPr>
            <w:rStyle w:val="Hypertextovodkaz"/>
          </w:rPr>
          <w:t>DANUBE</w:t>
        </w:r>
      </w:hyperlink>
      <w:r w:rsidRPr="00894FB7">
        <w:t>,</w:t>
      </w:r>
      <w:r>
        <w:t xml:space="preserve"> </w:t>
      </w:r>
      <w:r w:rsidRPr="00894FB7">
        <w:t>koordinovaný na území České republiky Ministerstvem pro místní rozvoj (schválen dodatečně usnesením vlády ČR č. 447 ze dne 12. června 2013);</w:t>
      </w:r>
    </w:p>
    <w:p w:rsidR="00F10805" w:rsidRPr="00894FB7" w:rsidRDefault="00F10805" w:rsidP="00DF6A39">
      <w:pPr>
        <w:pStyle w:val="vet1"/>
      </w:pPr>
      <w:r w:rsidRPr="00894FB7">
        <w:t>Program meziregionální spolupráce</w:t>
      </w:r>
      <w:r>
        <w:t xml:space="preserve"> </w:t>
      </w:r>
      <w:hyperlink r:id="rId56" w:history="1">
        <w:r w:rsidRPr="00894FB7">
          <w:rPr>
            <w:rStyle w:val="Hypertextovodkaz"/>
          </w:rPr>
          <w:t>INTERREG EUROPE</w:t>
        </w:r>
      </w:hyperlink>
      <w:r w:rsidRPr="00894FB7">
        <w:t xml:space="preserve">, koordinované na území České republiky </w:t>
      </w:r>
      <w:r>
        <w:t>Ministerstvem pro místní rozvoj;</w:t>
      </w:r>
    </w:p>
    <w:p w:rsidR="00F10805" w:rsidRPr="00894FB7" w:rsidRDefault="00F10805" w:rsidP="00DF6A39">
      <w:pPr>
        <w:pStyle w:val="vet1"/>
      </w:pPr>
      <w:r w:rsidRPr="00894FB7">
        <w:t>Program meziregionální spolupráce</w:t>
      </w:r>
      <w:r>
        <w:t xml:space="preserve"> </w:t>
      </w:r>
      <w:hyperlink r:id="rId57" w:history="1">
        <w:r w:rsidRPr="00894FB7">
          <w:rPr>
            <w:rStyle w:val="Hypertextovodkaz"/>
          </w:rPr>
          <w:t>ESPON 2020</w:t>
        </w:r>
      </w:hyperlink>
      <w:r>
        <w:t>;</w:t>
      </w:r>
    </w:p>
    <w:p w:rsidR="00F10805" w:rsidRPr="00894FB7" w:rsidRDefault="00F10805" w:rsidP="00DF6A39">
      <w:pPr>
        <w:pStyle w:val="vet1"/>
      </w:pPr>
      <w:r w:rsidRPr="00894FB7">
        <w:t>Program meziregionální spolupráce</w:t>
      </w:r>
      <w:r>
        <w:t xml:space="preserve"> </w:t>
      </w:r>
      <w:hyperlink r:id="rId58" w:history="1">
        <w:r w:rsidRPr="00894FB7">
          <w:rPr>
            <w:rStyle w:val="Hypertextovodkaz"/>
          </w:rPr>
          <w:t>INTERACT III</w:t>
        </w:r>
      </w:hyperlink>
      <w:r>
        <w:t>.</w:t>
      </w:r>
    </w:p>
    <w:p w:rsidR="00F10805" w:rsidRDefault="00F10805" w:rsidP="009148B8">
      <w:r>
        <w:t xml:space="preserve">Programy byly vymezeny v návaznosti na 8 tematických okruhů stanovených na národní úrovni, které představují </w:t>
      </w:r>
      <w:r w:rsidR="008969A9">
        <w:t>„</w:t>
      </w:r>
      <w:r>
        <w:t>převodník</w:t>
      </w:r>
      <w:r w:rsidR="008969A9">
        <w:t>“</w:t>
      </w:r>
      <w:r>
        <w:t xml:space="preserve"> mezi úrovní národních rozvojových priorit </w:t>
      </w:r>
      <w:r>
        <w:lastRenderedPageBreak/>
        <w:t xml:space="preserve">a cíli a prioritními osami jednotlivých programů. Tyto okruhy se opírají o řádně zdůvodněné problémové analýzy zpracované </w:t>
      </w:r>
      <w:r w:rsidR="00854B54">
        <w:t>rezort</w:t>
      </w:r>
      <w:r>
        <w:t xml:space="preserve">y, kraji a zástupci měst a obcí a byly podrobeny dlouhé, důkladné a detailní debatě a systematickému ověřování potřeb ze strany partnerů. Programy jsou připravovány v gesci příslušných </w:t>
      </w:r>
      <w:r w:rsidR="00854B54">
        <w:t>rezort</w:t>
      </w:r>
      <w:r>
        <w:t xml:space="preserve">ů a projednávány s relevantními partnery regionálními, lokálními, hospodářskými i sociálními a také se zástupci neziskového sektoru a odborníky z výzkumných institucí a univerzit. Koordinací přípravy programových dokumentů jak na úrovni ČR, tak i EU bylo </w:t>
      </w:r>
      <w:hyperlink r:id="rId59" w:tgtFrame="_blank" w:tooltip="Odkaz bude otevřen v novém okně." w:history="1">
        <w:r w:rsidRPr="000D65AF">
          <w:t>usnesením vlády č. 650 ze dne 31. srpna 2011</w:t>
        </w:r>
      </w:hyperlink>
      <w:r>
        <w:t xml:space="preserve"> pověřeno Ministerstvo pro místní rozvoj ČR.</w:t>
      </w:r>
    </w:p>
    <w:p w:rsidR="00F10805" w:rsidRPr="000D65AF" w:rsidRDefault="00F10805" w:rsidP="009148B8">
      <w:pPr>
        <w:pStyle w:val="Norm-Bold"/>
      </w:pPr>
      <w:r w:rsidRPr="000D65AF">
        <w:t xml:space="preserve">Územní jednotky </w:t>
      </w:r>
      <w:r w:rsidR="00BC2DA2">
        <w:t>–</w:t>
      </w:r>
      <w:r w:rsidRPr="000D65AF">
        <w:t xml:space="preserve"> Kraje</w:t>
      </w:r>
    </w:p>
    <w:p w:rsidR="00F10805" w:rsidRDefault="00F10805" w:rsidP="009148B8">
      <w:r w:rsidRPr="000D65AF">
        <w:t>V rámci své samostatné působnosti kraje koordinují rozvoj svého územního obvodu a zajišťují zpracování, realizaci a kontrolu plnění strategie rozvoje kraje a plnění programu rozvoje kraje. Dále provádějí hodnocení regionální úrovně rozvoje, poskytují půjčky obcím a jiným právnickým osobám působícím v obvodu kraje, zřizují právnické osoby k podpoře regionálního rozvoje (např. regionální rozvojové agentury), spolupracují při plnění celostátních úkolů podpory regionálního rozvoje, zajišťují přípravu, realizaci a kontrolu plnění regionálních operačních programů a regionálních podpůrných programů (např. Programu obnovy venkova, který představuje hlavní nástroj krajské samosprávy v rozvoji venkova).</w:t>
      </w:r>
    </w:p>
    <w:p w:rsidR="00F10805" w:rsidRDefault="00E22668" w:rsidP="009148B8">
      <w:r>
        <w:t>K</w:t>
      </w:r>
      <w:r w:rsidR="00F10805" w:rsidRPr="008F52FF">
        <w:t>rajsk</w:t>
      </w:r>
      <w:r>
        <w:t>é</w:t>
      </w:r>
      <w:r w:rsidR="00F10805" w:rsidRPr="008F52FF">
        <w:t xml:space="preserve"> program</w:t>
      </w:r>
      <w:r>
        <w:t>y</w:t>
      </w:r>
      <w:r w:rsidR="00F10805" w:rsidRPr="008F52FF">
        <w:t xml:space="preserve"> j</w:t>
      </w:r>
      <w:r>
        <w:t>sou zaměřeny</w:t>
      </w:r>
      <w:r w:rsidR="00F10805" w:rsidRPr="008F52FF">
        <w:t xml:space="preserve"> zejména na </w:t>
      </w:r>
      <w:r w:rsidR="00F10805">
        <w:t>i</w:t>
      </w:r>
      <w:r w:rsidR="00F10805" w:rsidRPr="008F52FF">
        <w:t>nfrastruktur</w:t>
      </w:r>
      <w:r w:rsidR="00F10805">
        <w:t>u</w:t>
      </w:r>
      <w:r w:rsidR="00F10805" w:rsidRPr="008F52FF">
        <w:t xml:space="preserve">, </w:t>
      </w:r>
      <w:r w:rsidR="00F10805">
        <w:t>sociální rozvoj venkova</w:t>
      </w:r>
      <w:r w:rsidR="00F10805" w:rsidRPr="008F52FF">
        <w:t xml:space="preserve">, </w:t>
      </w:r>
      <w:r w:rsidR="00F10805">
        <w:t>ž</w:t>
      </w:r>
      <w:r w:rsidR="00F10805" w:rsidRPr="008F52FF">
        <w:t xml:space="preserve">ivotní prostředí, </w:t>
      </w:r>
      <w:r w:rsidR="00F10805">
        <w:t>kulturu a na pro</w:t>
      </w:r>
      <w:r w:rsidR="00F10805" w:rsidRPr="008F52FF">
        <w:t xml:space="preserve">blémová území. Finanční prostředky jsou nejvíc vynakládány na podporu rozvojových aktivit jiných subjektů. Z velké části budou mít tyto příspěvky charakter investic do majetku krajů, nebo do majetku, který mají kraje ve správě nebo </w:t>
      </w:r>
      <w:r w:rsidR="00F10805">
        <w:t xml:space="preserve">který </w:t>
      </w:r>
      <w:r w:rsidR="00F10805" w:rsidRPr="008F52FF">
        <w:t>patří organizacím, které jsou zřizovány či vlastn</w:t>
      </w:r>
      <w:r w:rsidR="00F10805">
        <w:t>ěny kraji. Oblast zemědělství a </w:t>
      </w:r>
      <w:r w:rsidR="00F10805" w:rsidRPr="008F52FF">
        <w:t>venkova je pravidelně jako kapitola součástí krajských rozvojových strategií a programů. Tyto všestranně zaměřené dokumenty jsou někdy doplňovány konkrétní koncepcí dané oblasti.</w:t>
      </w:r>
    </w:p>
    <w:p w:rsidR="00F10805" w:rsidRPr="008F52FF" w:rsidRDefault="00F10805" w:rsidP="009148B8">
      <w:pPr>
        <w:pStyle w:val="Norm-Bold"/>
      </w:pPr>
      <w:r w:rsidRPr="008F52FF">
        <w:t>Další instituce</w:t>
      </w:r>
    </w:p>
    <w:p w:rsidR="00F10805" w:rsidRPr="008F52FF" w:rsidRDefault="00F10805" w:rsidP="009148B8">
      <w:r w:rsidRPr="008F52FF">
        <w:t xml:space="preserve">Klíčovým aktérem na lokální úrovni je obec. </w:t>
      </w:r>
      <w:r>
        <w:t>Možnosti k</w:t>
      </w:r>
      <w:r w:rsidRPr="008F52FF">
        <w:t>oordina</w:t>
      </w:r>
      <w:r>
        <w:t>ce</w:t>
      </w:r>
      <w:r w:rsidRPr="008F52FF">
        <w:t xml:space="preserve"> obcí </w:t>
      </w:r>
      <w:r>
        <w:t xml:space="preserve">navzájem </w:t>
      </w:r>
      <w:r w:rsidRPr="008F52FF">
        <w:t>j</w:t>
      </w:r>
      <w:r w:rsidR="00E22668">
        <w:t>sou</w:t>
      </w:r>
      <w:r w:rsidRPr="008F52FF">
        <w:t xml:space="preserve"> o</w:t>
      </w:r>
      <w:r>
        <w:t>meze</w:t>
      </w:r>
      <w:r w:rsidRPr="008F52FF">
        <w:t>n</w:t>
      </w:r>
      <w:r w:rsidR="00E22668">
        <w:t>y</w:t>
      </w:r>
      <w:r w:rsidRPr="008F52FF">
        <w:t xml:space="preserve"> řadou demografických a přírodních faktorů (např. roztříštěnost, špatná dostupnost aj.), na druhé straně je pro dosažení rozvojových cílů podstatná </w:t>
      </w:r>
      <w:r>
        <w:t xml:space="preserve">i </w:t>
      </w:r>
      <w:r w:rsidRPr="008F52FF">
        <w:t>sociální stránka</w:t>
      </w:r>
      <w:r>
        <w:t>,</w:t>
      </w:r>
      <w:r w:rsidRPr="008F52FF">
        <w:t xml:space="preserve"> např. spolupráce obcí. Obce se sdružují nejčastěji formou dobrovolných svazků obcí nebo místních </w:t>
      </w:r>
      <w:r w:rsidRPr="005B291B">
        <w:t xml:space="preserve">akčních skupin. </w:t>
      </w:r>
      <w:r w:rsidR="005B291B" w:rsidRPr="005B291B">
        <w:t xml:space="preserve">Významným aktérem v rozvoji venkova je Národní síť Místních akčních skupin České republiky, z. s. (NS MAS), jednotlivé místní akční skupiny (část MAS je rovněž zapojena v NS MAS). </w:t>
      </w:r>
      <w:r w:rsidRPr="005B291B">
        <w:t>Národní síť místních akčních skupin a jednotlivé místní akční skupiny,</w:t>
      </w:r>
      <w:r w:rsidRPr="008F52FF">
        <w:t xml:space="preserve"> dobrovolné spolky</w:t>
      </w:r>
      <w:r>
        <w:t>, často i jednotlivé subjekty a </w:t>
      </w:r>
      <w:r w:rsidRPr="008F52FF">
        <w:t>jednotlivci</w:t>
      </w:r>
      <w:r>
        <w:t xml:space="preserve">, aktivita je však často soustředěná do obcí, které jsou členy MAS a tím i sítě MAS. </w:t>
      </w:r>
      <w:r w:rsidRPr="008F52FF">
        <w:t xml:space="preserve">Partnerství mezi zemědělci a venkovem je podporováno nevládními institucemi, např. Spolek pro obnovu venkova ČR, Agrární komora </w:t>
      </w:r>
      <w:r w:rsidRPr="008F52FF">
        <w:lastRenderedPageBreak/>
        <w:t xml:space="preserve">ČR, Svaz měst a obcí ČR, Národní síť Zdravých měst, Sdružení místních samospráv ČR, Národní observatoř venkova a další. Mezi významné aktéry v regionálním rozvoji lze zařadit Svaz měst a obcí a </w:t>
      </w:r>
      <w:r>
        <w:t>profesní</w:t>
      </w:r>
      <w:r w:rsidRPr="008F52FF">
        <w:t xml:space="preserve"> uskupení (Hospodářská komora, Agrární komora ČR, Asociace soukromého zemědělství atd.). Na krajské úrovni se jedná o svazky obcí, místní akční skupiny, územní orgány státní správy, podnikatelská sdružení, </w:t>
      </w:r>
      <w:r w:rsidR="0031178B">
        <w:t>nestátní neziskové organizace a </w:t>
      </w:r>
      <w:r w:rsidRPr="008F52FF">
        <w:t>vysoké školy. Na obecní úrovni jsou to obce, obcí zřizovan</w:t>
      </w:r>
      <w:r w:rsidR="0031178B">
        <w:t>é organizace (školy, kulturní a </w:t>
      </w:r>
      <w:r w:rsidRPr="008F52FF">
        <w:t>sportovní zařízení, aj.), významní podnikatelé a zájmová sdružení. Významnou vazbu na regionální rozvoj má také ČSÚ při zajišťování regionálních dat.</w:t>
      </w:r>
    </w:p>
    <w:p w:rsidR="00F10805" w:rsidRPr="0043753F" w:rsidRDefault="00F10805" w:rsidP="009148B8">
      <w:pPr>
        <w:pStyle w:val="Norm-Bold"/>
      </w:pPr>
      <w:r w:rsidRPr="0043753F">
        <w:t>Celostátní síť pro venkov (CSV)</w:t>
      </w:r>
    </w:p>
    <w:p w:rsidR="00F10805" w:rsidRDefault="00F10805" w:rsidP="009148B8">
      <w:r w:rsidRPr="0043753F">
        <w:t xml:space="preserve">Budování místních partnerství a zapojování veřejnosti </w:t>
      </w:r>
      <w:r w:rsidRPr="008F52FF">
        <w:t>do aktivit na lokální i centrální úrovni podporuje Celostátní síť pro venkov, která je zřízena Ministerstvem zemědělství. Její činnost byla zahájena v listopadu 2008. Základním úkolem sítě v PRV 2007</w:t>
      </w:r>
      <w:r w:rsidR="00152C8B">
        <w:noBreakHyphen/>
      </w:r>
      <w:r w:rsidRPr="008F52FF">
        <w:t>2013 bylo seskupit organizace zapojené do podpory rozvoje venkova a zemědělství, vytvářet vhodné podmínky pro partnerství mezi veřejným a soukromým sektorem a zajistit sběr a předávání informací o nejlepší praxi v oblasti rozvoje venkova a zemědělství. Prostřednictvím</w:t>
      </w:r>
      <w:r>
        <w:t xml:space="preserve"> </w:t>
      </w:r>
      <w:r w:rsidRPr="008F52FF">
        <w:t>CSV byla zrealizována řada konferencí, seminářů a informačních akcí</w:t>
      </w:r>
      <w:r>
        <w:t>.</w:t>
      </w:r>
    </w:p>
    <w:p w:rsidR="00F10805" w:rsidRDefault="00F10805" w:rsidP="009148B8">
      <w:r w:rsidRPr="00AA0041">
        <w:t>V roce 2014 bylo schváleno 17 projektů Celostátní sítě pro venkov</w:t>
      </w:r>
      <w:r>
        <w:t>.</w:t>
      </w:r>
      <w:r w:rsidRPr="00AA0041">
        <w:t xml:space="preserve"> </w:t>
      </w:r>
      <w:r>
        <w:t>Ž</w:t>
      </w:r>
      <w:r w:rsidRPr="00AA0041">
        <w:t xml:space="preserve">ádný projekt již nebyl podán na budování struktur Sítě v rámci </w:t>
      </w:r>
      <w:proofErr w:type="spellStart"/>
      <w:r w:rsidRPr="00AA0041">
        <w:t>Podopatření</w:t>
      </w:r>
      <w:proofErr w:type="spellEnd"/>
      <w:r w:rsidRPr="00AA0041">
        <w:t xml:space="preserve"> V.2.1</w:t>
      </w:r>
      <w:r>
        <w:t>,</w:t>
      </w:r>
      <w:r w:rsidRPr="00AA0041">
        <w:t xml:space="preserve"> </w:t>
      </w:r>
      <w:r>
        <w:t>žádosti o podporu</w:t>
      </w:r>
      <w:r w:rsidRPr="00AA0041">
        <w:t xml:space="preserve"> </w:t>
      </w:r>
      <w:r>
        <w:t>směřovaly k</w:t>
      </w:r>
      <w:r w:rsidRPr="00AA0041">
        <w:t xml:space="preserve"> Akčnímu plánu. Celková schválená částka podpory dosáhla v roce 2014 hodnoty 6,3 mil. Kč, což je v porovnání s rokem 2013 výrazné snížení</w:t>
      </w:r>
      <w:r>
        <w:t>,</w:t>
      </w:r>
      <w:r w:rsidR="00433610">
        <w:t xml:space="preserve"> a to o 9,3 mil. Kč, mírně se </w:t>
      </w:r>
      <w:r w:rsidRPr="00AA0041">
        <w:t>snížila také průměrná velikost projektu oproti roku 2013</w:t>
      </w:r>
      <w:r>
        <w:t>,</w:t>
      </w:r>
      <w:r w:rsidR="00433610">
        <w:t xml:space="preserve"> přibližně o 0,1 mil. </w:t>
      </w:r>
      <w:r w:rsidRPr="00AA0041">
        <w:t>Kč. (tab</w:t>
      </w:r>
      <w:r w:rsidR="00433610">
        <w:t>. </w:t>
      </w:r>
      <w:r w:rsidRPr="00AA0041">
        <w:t>T3.5/02).</w:t>
      </w:r>
    </w:p>
    <w:p w:rsidR="00F10805" w:rsidRPr="00E554CF" w:rsidRDefault="00F10805" w:rsidP="009148B8">
      <w:pPr>
        <w:pStyle w:val="mezera"/>
      </w:pPr>
    </w:p>
    <w:p w:rsidR="00F10805" w:rsidRDefault="00955C22" w:rsidP="009148B8">
      <w:pPr>
        <w:pStyle w:val="mezera"/>
        <w:rPr>
          <w:noProof/>
        </w:rPr>
      </w:pPr>
      <w:r w:rsidRPr="00955C22">
        <w:rPr>
          <w:noProof/>
          <w:lang w:eastAsia="cs-CZ"/>
        </w:rPr>
        <w:drawing>
          <wp:inline distT="0" distB="0" distL="0" distR="0" wp14:anchorId="4C802E44" wp14:editId="6C7BB873">
            <wp:extent cx="5760720" cy="1508627"/>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508627"/>
                    </a:xfrm>
                    <a:prstGeom prst="rect">
                      <a:avLst/>
                    </a:prstGeom>
                    <a:noFill/>
                    <a:ln>
                      <a:noFill/>
                    </a:ln>
                  </pic:spPr>
                </pic:pic>
              </a:graphicData>
            </a:graphic>
          </wp:inline>
        </w:drawing>
      </w:r>
    </w:p>
    <w:p w:rsidR="00F10805" w:rsidRDefault="00F10805" w:rsidP="009148B8">
      <w:pPr>
        <w:pStyle w:val="mezera"/>
        <w:rPr>
          <w:noProof/>
        </w:rPr>
      </w:pPr>
    </w:p>
    <w:p w:rsidR="00F10805" w:rsidRPr="00BA5CC5" w:rsidRDefault="00F10805" w:rsidP="009148B8">
      <w:r w:rsidRPr="00BA5CC5">
        <w:t>V rámci programovacího období 2014</w:t>
      </w:r>
      <w:r w:rsidR="00152C8B">
        <w:noBreakHyphen/>
      </w:r>
      <w:r w:rsidRPr="00BA5CC5">
        <w:t>2020 navazuje</w:t>
      </w:r>
      <w:r w:rsidR="00955C22" w:rsidRPr="00955C22">
        <w:t xml:space="preserve"> </w:t>
      </w:r>
      <w:r w:rsidR="00955C22" w:rsidRPr="00BA5CC5">
        <w:t>CSV</w:t>
      </w:r>
      <w:r w:rsidRPr="00BA5CC5">
        <w:t xml:space="preserve"> na struktury vybudované v předcházejícím programovacím období. V rámci CSV jsou plánovány aktivity navazující na Evropské inovační partnerství</w:t>
      </w:r>
      <w:r>
        <w:t>.</w:t>
      </w:r>
      <w:r w:rsidRPr="00BA5CC5">
        <w:t xml:space="preserve"> </w:t>
      </w:r>
      <w:r>
        <w:t xml:space="preserve">Jsou </w:t>
      </w:r>
      <w:r w:rsidRPr="00BA5CC5">
        <w:t>řešeny v rámci struktury CSV formou trvalé tematické pracovní skupiny pro inovace, která bude zajišťovat zejména podporu zakládání a činnosti Operačních skupin v rámci Evropského inovačního partnerství. CSV bude hrát důležitou roli hlavně z pohledu iniciace zavádění inovací.</w:t>
      </w:r>
    </w:p>
    <w:p w:rsidR="00F10805" w:rsidRPr="00BA5CC5" w:rsidRDefault="00F10805" w:rsidP="009148B8">
      <w:pPr>
        <w:pStyle w:val="Norm-Bold"/>
      </w:pPr>
      <w:r w:rsidRPr="00BA5CC5">
        <w:lastRenderedPageBreak/>
        <w:t>Místní akční skupiny</w:t>
      </w:r>
      <w:r>
        <w:t xml:space="preserve"> (MAS)</w:t>
      </w:r>
    </w:p>
    <w:p w:rsidR="00F10805" w:rsidRPr="001A42EF" w:rsidRDefault="00F10805" w:rsidP="009148B8">
      <w:r w:rsidRPr="00AA39BB">
        <w:t xml:space="preserve">Jedním z významných aktérů rozvoje venkova jsou místní akční skupiny (MAS). </w:t>
      </w:r>
      <w:r w:rsidR="00AA39BB" w:rsidRPr="00AA39BB">
        <w:t>Počet MAS v ČR se stále mírně zvyšuje, v současné době MAS je podle NS MAS jejich počet 181, z toho 112 bylo podpořeno v rámci PRV 2007</w:t>
      </w:r>
      <w:r w:rsidR="00AA39BB" w:rsidRPr="00AA39BB">
        <w:noBreakHyphen/>
        <w:t xml:space="preserve">2013, který byl převážně hlavní zdrojem pro získávání a rozdělování finančních prostředků na činnost MAS a plnění SPL (strategického plánu LEADER). </w:t>
      </w:r>
      <w:r w:rsidRPr="00AA39BB">
        <w:t>Hlavním účelem MAS je sdružit aktivní obyvatele a subjekty ke spolupráci</w:t>
      </w:r>
      <w:r>
        <w:t xml:space="preserve"> na </w:t>
      </w:r>
      <w:r w:rsidRPr="00C04A2A">
        <w:t>realizac</w:t>
      </w:r>
      <w:r>
        <w:t>i</w:t>
      </w:r>
      <w:r w:rsidRPr="00C04A2A">
        <w:t xml:space="preserve"> rozvoje venkova</w:t>
      </w:r>
      <w:r>
        <w:t xml:space="preserve"> v lokálním měřítku</w:t>
      </w:r>
      <w:r w:rsidRPr="00C04A2A">
        <w:t xml:space="preserve">, </w:t>
      </w:r>
      <w:r>
        <w:t>i</w:t>
      </w:r>
      <w:r w:rsidRPr="00C04A2A">
        <w:t xml:space="preserve"> propoj</w:t>
      </w:r>
      <w:r>
        <w:t>it</w:t>
      </w:r>
      <w:r w:rsidRPr="00C04A2A">
        <w:t xml:space="preserve"> veřejn</w:t>
      </w:r>
      <w:r>
        <w:t>ý</w:t>
      </w:r>
      <w:r w:rsidRPr="00C04A2A">
        <w:t>, podnikatelsk</w:t>
      </w:r>
      <w:r>
        <w:t>ý</w:t>
      </w:r>
      <w:r w:rsidR="00AA39BB">
        <w:t xml:space="preserve"> a </w:t>
      </w:r>
      <w:r w:rsidRPr="00C04A2A">
        <w:t>neziskov</w:t>
      </w:r>
      <w:r>
        <w:t>ý</w:t>
      </w:r>
      <w:r w:rsidRPr="00C04A2A">
        <w:t xml:space="preserve"> sektor. Cílem strategií MAS </w:t>
      </w:r>
      <w:r>
        <w:t>je</w:t>
      </w:r>
      <w:r w:rsidRPr="00C04A2A">
        <w:t xml:space="preserve"> zpravidla zlepšení kvality života ve venkovských oblastech, posílení ekonomického potenciálu a zhodnocení přírodního a kulturního dědictví venkova, spolu s posílením řídících a administrativních schopností na venkově. Principy LEADER vedou v součinnosti s místní samosprávou k pozitivním efektům, plynoucím ze spojení různých subjektů, které ve venkovském prostoru působí.</w:t>
      </w:r>
      <w:r>
        <w:t xml:space="preserve"> Míra úspěchu implementace principů LEADER bude předmětem ex-</w:t>
      </w:r>
      <w:r w:rsidRPr="001A42EF">
        <w:t>post evaluace.</w:t>
      </w:r>
    </w:p>
    <w:p w:rsidR="00AA39BB" w:rsidRDefault="00AA39BB" w:rsidP="009148B8">
      <w:r w:rsidRPr="00AA39BB">
        <w:t>Všechny MAS mají dnes téměř celorepublikové pokrytí území ČR. V období PRV 2007</w:t>
      </w:r>
      <w:r>
        <w:noBreakHyphen/>
      </w:r>
      <w:r w:rsidRPr="00AA39BB">
        <w:t xml:space="preserve">2013 byla příležitost zapojit se pro nově vzniklé nebo MAS nevybrané v podpoře, které mohly získat finanční prostředky v projektech spolupráce a v rámci opatření III.4.1 Získávání dovedností, animace a provádění. Celkem bylo v roce 2013 v </w:t>
      </w:r>
      <w:r>
        <w:t>opatření III.4.1 schválených 59 </w:t>
      </w:r>
      <w:r w:rsidRPr="00AA39BB">
        <w:t>projektů, s průměrnou velikostí jednoho projektu 0,5 mil. Kč.</w:t>
      </w:r>
    </w:p>
    <w:p w:rsidR="00F10805" w:rsidRPr="005D62DF" w:rsidRDefault="00F10805" w:rsidP="009148B8">
      <w:r w:rsidRPr="005D62DF">
        <w:t>Na režie místních akčních skupin již bylo v roce 2014 uvolněno 79</w:t>
      </w:r>
      <w:r w:rsidR="005D62DF">
        <w:t> </w:t>
      </w:r>
      <w:r w:rsidRPr="005D62DF">
        <w:t>mil</w:t>
      </w:r>
      <w:r w:rsidR="005D62DF">
        <w:t>. </w:t>
      </w:r>
      <w:r w:rsidRPr="005D62DF">
        <w:t>Kč. V dobíhajícím programu PRV 2007</w:t>
      </w:r>
      <w:r w:rsidR="00152C8B">
        <w:noBreakHyphen/>
      </w:r>
      <w:r w:rsidRPr="005D62DF">
        <w:t xml:space="preserve">2013 bylo v roce 2014 přijato 393 žádostí </w:t>
      </w:r>
      <w:r w:rsidR="008214C6">
        <w:t xml:space="preserve">na </w:t>
      </w:r>
      <w:r w:rsidRPr="005D62DF">
        <w:t>opatření IV.1.2 Realizace místní rozvojové strategie, ze kterých 382 bylo schváleno, čerpáno bylo 730 mil. Kč (tab. T3.5/03). Za celé období PRV 2007</w:t>
      </w:r>
      <w:r w:rsidR="00152C8B">
        <w:noBreakHyphen/>
      </w:r>
      <w:r w:rsidRPr="005D62DF">
        <w:t>2013 bylo celkem schváleno 9 31</w:t>
      </w:r>
      <w:r w:rsidR="009148B8" w:rsidRPr="005D62DF">
        <w:t>9</w:t>
      </w:r>
      <w:r w:rsidR="00DC0747">
        <w:t xml:space="preserve"> žádostí </w:t>
      </w:r>
      <w:r w:rsidR="008214C6">
        <w:t xml:space="preserve">na </w:t>
      </w:r>
      <w:r w:rsidRPr="005D62DF">
        <w:t xml:space="preserve">opatření IV.1.2. Realizace místní rozvojové strategie a 178 projektů </w:t>
      </w:r>
      <w:r w:rsidR="008214C6">
        <w:t xml:space="preserve">na opatření </w:t>
      </w:r>
      <w:r w:rsidRPr="005D62DF">
        <w:t xml:space="preserve">IV.2.1 </w:t>
      </w:r>
      <w:r w:rsidR="00761BC5" w:rsidRPr="005D62DF">
        <w:t>Realizace projektů spolupráce</w:t>
      </w:r>
      <w:r w:rsidRPr="005D62DF">
        <w:t>. Úspěšnost projektů s</w:t>
      </w:r>
      <w:r w:rsidR="008214C6">
        <w:t>polupráce byla přibližně 50 </w:t>
      </w:r>
      <w:r w:rsidR="005D62DF">
        <w:t>% z </w:t>
      </w:r>
      <w:r w:rsidRPr="005D62DF">
        <w:t xml:space="preserve">podaných. </w:t>
      </w:r>
      <w:r w:rsidR="005D62DF" w:rsidRPr="005D62DF">
        <w:t>Celkem bylo z Osy IV od začátku prog</w:t>
      </w:r>
      <w:r w:rsidR="0031178B">
        <w:t>ramu do roku 2014 čerpáno 4 513 </w:t>
      </w:r>
      <w:r w:rsidR="005D62DF" w:rsidRPr="005D62DF">
        <w:t>mil. Kč.</w:t>
      </w:r>
    </w:p>
    <w:p w:rsidR="00F10805" w:rsidRPr="005D62DF" w:rsidRDefault="00F10805" w:rsidP="009148B8">
      <w:pPr>
        <w:pStyle w:val="mezera"/>
      </w:pPr>
    </w:p>
    <w:p w:rsidR="00F10805" w:rsidRDefault="005D62DF" w:rsidP="009148B8">
      <w:pPr>
        <w:pStyle w:val="mezera"/>
      </w:pPr>
      <w:r w:rsidRPr="005D62DF">
        <w:rPr>
          <w:noProof/>
          <w:lang w:eastAsia="cs-CZ"/>
        </w:rPr>
        <w:drawing>
          <wp:inline distT="0" distB="0" distL="0" distR="0" wp14:anchorId="615FF422" wp14:editId="3925ACF8">
            <wp:extent cx="5760720" cy="1273303"/>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1273303"/>
                    </a:xfrm>
                    <a:prstGeom prst="rect">
                      <a:avLst/>
                    </a:prstGeom>
                    <a:noFill/>
                    <a:ln>
                      <a:noFill/>
                    </a:ln>
                  </pic:spPr>
                </pic:pic>
              </a:graphicData>
            </a:graphic>
          </wp:inline>
        </w:drawing>
      </w:r>
    </w:p>
    <w:p w:rsidR="00F10805" w:rsidRPr="005B2285" w:rsidRDefault="00F10805" w:rsidP="009148B8">
      <w:pPr>
        <w:pStyle w:val="mezera"/>
      </w:pPr>
    </w:p>
    <w:p w:rsidR="00F10805" w:rsidRDefault="00F10805" w:rsidP="009148B8">
      <w:r w:rsidRPr="006D6690">
        <w:t>Regionální rozložení 112 MAS uvádí tab. T3.5/04</w:t>
      </w:r>
      <w:r>
        <w:t>.</w:t>
      </w:r>
      <w:r w:rsidRPr="006D6690">
        <w:t xml:space="preserve"> </w:t>
      </w:r>
      <w:r>
        <w:t>N</w:t>
      </w:r>
      <w:r w:rsidRPr="006D6690">
        <w:t xml:space="preserve">ejvíce projektů IV.1.2 bylo v roce 2014 schváleno ve Středočeském kraji a </w:t>
      </w:r>
      <w:r>
        <w:t xml:space="preserve">největší </w:t>
      </w:r>
      <w:r w:rsidRPr="006D6690">
        <w:t>průměrn</w:t>
      </w:r>
      <w:r>
        <w:t>ý</w:t>
      </w:r>
      <w:r w:rsidRPr="006D6690">
        <w:t xml:space="preserve"> </w:t>
      </w:r>
      <w:r>
        <w:t>počet přijatých</w:t>
      </w:r>
      <w:r w:rsidRPr="006D6690">
        <w:t xml:space="preserve"> projektů na </w:t>
      </w:r>
      <w:r>
        <w:t>jednu</w:t>
      </w:r>
      <w:r w:rsidRPr="006D6690">
        <w:t xml:space="preserve"> </w:t>
      </w:r>
      <w:r w:rsidRPr="001A42EF">
        <w:t>MAS bylo v Karlovarském a Ústeckém kraji.</w:t>
      </w:r>
      <w:r w:rsidR="00AA39BB" w:rsidRPr="001A42EF">
        <w:t xml:space="preserve"> V roce 2014 nebyl příjem žádostí projektů spolupráce, ale probíhala realizace projektů dříve schválených</w:t>
      </w:r>
      <w:r w:rsidRPr="001A42EF">
        <w:t>.</w:t>
      </w:r>
    </w:p>
    <w:p w:rsidR="00F10805" w:rsidRDefault="00F10805" w:rsidP="009148B8">
      <w:pPr>
        <w:pStyle w:val="mezera"/>
      </w:pPr>
    </w:p>
    <w:p w:rsidR="00F10805" w:rsidRDefault="00820F7D" w:rsidP="009148B8">
      <w:pPr>
        <w:pStyle w:val="mezera"/>
      </w:pPr>
      <w:r w:rsidRPr="00820F7D">
        <w:rPr>
          <w:noProof/>
          <w:lang w:eastAsia="cs-CZ"/>
        </w:rPr>
        <w:lastRenderedPageBreak/>
        <w:drawing>
          <wp:inline distT="0" distB="0" distL="0" distR="0" wp14:anchorId="75698028" wp14:editId="6B66651B">
            <wp:extent cx="5760720" cy="351324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513240"/>
                    </a:xfrm>
                    <a:prstGeom prst="rect">
                      <a:avLst/>
                    </a:prstGeom>
                    <a:noFill/>
                    <a:ln>
                      <a:noFill/>
                    </a:ln>
                  </pic:spPr>
                </pic:pic>
              </a:graphicData>
            </a:graphic>
          </wp:inline>
        </w:drawing>
      </w:r>
    </w:p>
    <w:p w:rsidR="00F10805" w:rsidRDefault="00F10805" w:rsidP="009148B8">
      <w:pPr>
        <w:pStyle w:val="mezera"/>
      </w:pPr>
    </w:p>
    <w:p w:rsidR="00F10805" w:rsidRPr="001B1FDF" w:rsidRDefault="00F10805" w:rsidP="001B1FDF">
      <w:pPr>
        <w:pStyle w:val="Nadpis3"/>
      </w:pPr>
      <w:bookmarkStart w:id="101" w:name="_Toc296443113"/>
      <w:bookmarkStart w:id="102" w:name="_Toc328053809"/>
      <w:bookmarkStart w:id="103" w:name="_Toc364067785"/>
      <w:bookmarkStart w:id="104" w:name="_Toc424307034"/>
      <w:r w:rsidRPr="001B1FDF">
        <w:t>3.5.2</w:t>
      </w:r>
      <w:r w:rsidRPr="001B1FDF">
        <w:tab/>
        <w:t>Programové zabezpečení</w:t>
      </w:r>
      <w:bookmarkEnd w:id="101"/>
      <w:bookmarkEnd w:id="102"/>
      <w:bookmarkEnd w:id="103"/>
      <w:bookmarkEnd w:id="104"/>
    </w:p>
    <w:p w:rsidR="00F10805" w:rsidRDefault="00F10805" w:rsidP="009148B8">
      <w:r>
        <w:t>Oproti programovému období 2007</w:t>
      </w:r>
      <w:r w:rsidR="00152C8B">
        <w:noBreakHyphen/>
      </w:r>
      <w:r>
        <w:t xml:space="preserve">2013 dochází v novém programovacím období v systému čerpání z evropských fondů k zavedení některých novinek na evropské i národní úrovni. </w:t>
      </w:r>
      <w:r w:rsidR="00EE762A" w:rsidRPr="00EE762A">
        <w:t>Mezi nejdůležitější z nich patří rozšíření počtu zapojených fondů pro aplikaci LEADER</w:t>
      </w:r>
      <w:r>
        <w:t xml:space="preserve">, nastavení systému </w:t>
      </w:r>
      <w:hyperlink r:id="rId63" w:history="1">
        <w:r w:rsidRPr="0043753F">
          <w:t>předběžných podmínek</w:t>
        </w:r>
      </w:hyperlink>
      <w:r>
        <w:t>, vyšší měřitelnost přínosu podpořených operací (důraz na plnění stanovených indikátorů), finanční závislost na rychlosti a kvalitě čerpání, vyšší míra uplatnění územně specifického přístupu a v</w:t>
      </w:r>
      <w:r w:rsidR="00EE762A">
        <w:t>yužití integrovaných nástrojů a </w:t>
      </w:r>
      <w:r>
        <w:t>vyšší míra uplatnění vlastních finančních nástrojů na úkor dotací.</w:t>
      </w:r>
    </w:p>
    <w:p w:rsidR="00F10805" w:rsidRDefault="00F10805" w:rsidP="009148B8">
      <w:r w:rsidRPr="0043753F">
        <w:t>V českých podmínkách mezi hlavní novinky patří především</w:t>
      </w:r>
      <w:r>
        <w:t xml:space="preserve"> snížení počtu </w:t>
      </w:r>
      <w:hyperlink r:id="rId64" w:history="1">
        <w:r w:rsidRPr="0043753F">
          <w:t xml:space="preserve">programů </w:t>
        </w:r>
      </w:hyperlink>
      <w:r>
        <w:t xml:space="preserve">(snížení počtu tematických OP a ustanovení jednoho Integrovaného regionálního operačního programu místo původních sedmi ROP), koncepce jednotného metodického prostředí, rozšířené fungování </w:t>
      </w:r>
      <w:hyperlink r:id="rId65" w:history="1">
        <w:r w:rsidRPr="0043753F">
          <w:t>monitorovacího systému</w:t>
        </w:r>
      </w:hyperlink>
      <w:r>
        <w:t>.</w:t>
      </w:r>
    </w:p>
    <w:p w:rsidR="00AD6594" w:rsidRPr="001B1FDF" w:rsidRDefault="00AD6594" w:rsidP="001B1FDF">
      <w:pPr>
        <w:pStyle w:val="Nadpis1"/>
      </w:pPr>
      <w:bookmarkStart w:id="105" w:name="_Toc391991480"/>
      <w:bookmarkStart w:id="106" w:name="_Toc424307035"/>
      <w:r w:rsidRPr="001B1FDF">
        <w:t>4</w:t>
      </w:r>
      <w:r w:rsidRPr="001B1FDF">
        <w:tab/>
        <w:t>Zemědělství a životní prostředí, ochrana zvířat</w:t>
      </w:r>
      <w:bookmarkEnd w:id="105"/>
      <w:bookmarkEnd w:id="106"/>
    </w:p>
    <w:p w:rsidR="00B60D53" w:rsidRDefault="00B60D53" w:rsidP="006A04FA">
      <w:pPr>
        <w:pStyle w:val="souhrn-kap"/>
      </w:pPr>
      <w:bookmarkStart w:id="107" w:name="_Toc296443115"/>
      <w:bookmarkStart w:id="108" w:name="_Toc328053811"/>
      <w:bookmarkStart w:id="109" w:name="_Toc391991481"/>
      <w:r w:rsidRPr="00AE327A">
        <w:t>Opatření zemědělské politiky pomáhají utvářet soulad mezi zemědělstvím a životním</w:t>
      </w:r>
      <w:r>
        <w:t xml:space="preserve"> prostředím. Meziročně došlo k mírnému navýšení</w:t>
      </w:r>
      <w:r w:rsidRPr="00AE327A">
        <w:t xml:space="preserve"> spotřeby hnojiv a spotřeby energie. Rovněž došlo k </w:t>
      </w:r>
      <w:r>
        <w:t>nepatrnému zvýšení</w:t>
      </w:r>
      <w:r w:rsidRPr="00AE327A">
        <w:t xml:space="preserve"> produkc</w:t>
      </w:r>
      <w:r>
        <w:t xml:space="preserve">e emisí ze zemědělského </w:t>
      </w:r>
      <w:r w:rsidRPr="00653DDA">
        <w:t>sektoru</w:t>
      </w:r>
      <w:r w:rsidR="006A04FA" w:rsidRPr="006A04FA">
        <w:t xml:space="preserve"> a mírnému zvýšení výměry,</w:t>
      </w:r>
      <w:r w:rsidRPr="00653DDA">
        <w:t xml:space="preserve"> na kterou byly použity přípravky na ochranu rostlin. Plocha zemědělské půdy obhospodařované v systému ekologického zemědělství nepatrně vzrostla</w:t>
      </w:r>
      <w:r>
        <w:t xml:space="preserve"> na 11,7</w:t>
      </w:r>
      <w:r w:rsidRPr="00AE327A">
        <w:t> % ze zemědělsky obhospodařované půdy celkem, zejména vlivem dalšího nárůstu podílu travních porostů. Na více než třetin</w:t>
      </w:r>
      <w:r>
        <w:t>ě</w:t>
      </w:r>
      <w:r w:rsidRPr="00AE327A">
        <w:t xml:space="preserve"> z. p. ČR v rámci LPIS byly uplatňovány způsoby hospodaření příznivé k životnímu prostředí podporované agroenvironmentálními opatřeními. Nástroje zemědělské politiky byly cíleny také na vymezené oblasti (CHKO a NP, Natura 2000 a zranitelné oblasti dusíkem). Ochrana zvířat proti týrání byla prosazována systémem kontrol </w:t>
      </w:r>
      <w:r w:rsidRPr="00AE327A">
        <w:lastRenderedPageBreak/>
        <w:t>a postihů v případě nálezů zanedbání péče o zvířata. Od srpna 2012 je účinné nové vymezení zranitelných oblastí</w:t>
      </w:r>
      <w:r>
        <w:t xml:space="preserve"> dusíkem</w:t>
      </w:r>
      <w:r w:rsidRPr="00AE327A">
        <w:t>, které s sebou přineslo navýšení jejich rozlohy. Agrobiodiverzita a genetické zdroje jsou od roku 2012 podporovány z nově vyhlášeného Národního programu.</w:t>
      </w:r>
    </w:p>
    <w:p w:rsidR="00AD6594" w:rsidRPr="001B1FDF" w:rsidRDefault="00AD6594" w:rsidP="001B1FDF">
      <w:pPr>
        <w:pStyle w:val="Nadpis2"/>
      </w:pPr>
      <w:bookmarkStart w:id="110" w:name="_Toc424307036"/>
      <w:r w:rsidRPr="001B1FDF">
        <w:t>4.1</w:t>
      </w:r>
      <w:r w:rsidRPr="001B1FDF">
        <w:tab/>
        <w:t>Vliv agrárního sektoru na jednotlivé složky životního prostředí</w:t>
      </w:r>
      <w:bookmarkEnd w:id="107"/>
      <w:bookmarkEnd w:id="108"/>
      <w:bookmarkEnd w:id="109"/>
      <w:bookmarkEnd w:id="110"/>
    </w:p>
    <w:p w:rsidR="00AD6594" w:rsidRPr="001D05B8" w:rsidRDefault="00AD6594" w:rsidP="00242EDF">
      <w:r w:rsidRPr="00AE327A">
        <w:t>Vliv zemědělského hospodaření na krajinu a životní prostředí prezentují indikátory</w:t>
      </w:r>
      <w:r w:rsidRPr="001D05B8">
        <w:t xml:space="preserve"> uvedené v tab. T4.1/02. Tyto indikátory jsou podle zaměření rozděleny do tří oblastí. Prvních 15 indikátorů se týká především způsobu využití krajiny a hospodaření na zemědělské půdě, indikátory 16</w:t>
      </w:r>
      <w:r w:rsidRPr="001D05B8">
        <w:noBreakHyphen/>
        <w:t>29 postihují vstupy do zemědělství a emise ze</w:t>
      </w:r>
      <w:r>
        <w:t> zemědělství a indikátory 30</w:t>
      </w:r>
      <w:r>
        <w:noBreakHyphen/>
        <w:t>35 </w:t>
      </w:r>
      <w:r w:rsidRPr="001D05B8">
        <w:t>představují výsledky monitoringu ekosystémů.</w:t>
      </w:r>
    </w:p>
    <w:p w:rsidR="00AD6594" w:rsidRDefault="00AD6594" w:rsidP="00242EDF">
      <w:r w:rsidRPr="001D05B8">
        <w:t>Zemědělský půdní fond</w:t>
      </w:r>
      <w:r>
        <w:t xml:space="preserve"> (ZPF)</w:t>
      </w:r>
      <w:r w:rsidRPr="001D05B8">
        <w:t xml:space="preserve"> tvořil v roce 201</w:t>
      </w:r>
      <w:r>
        <w:t>4</w:t>
      </w:r>
      <w:r w:rsidRPr="001D05B8">
        <w:t xml:space="preserve"> více než polovinu celkové výměry ČR (53,</w:t>
      </w:r>
      <w:r>
        <w:t>5</w:t>
      </w:r>
      <w:r w:rsidRPr="001D05B8">
        <w:t xml:space="preserve"> %), </w:t>
      </w:r>
      <w:r>
        <w:t>v porovnání s rokem 2013 se zmenšil o 4,2 tis. ha</w:t>
      </w:r>
      <w:r w:rsidRPr="001D05B8">
        <w:t>. Nepatrný pokles zaznamenala orná půda (o 0,</w:t>
      </w:r>
      <w:r>
        <w:t>2</w:t>
      </w:r>
      <w:r w:rsidRPr="001D05B8">
        <w:t> %) a mírný nárůst byl identifikován u trvalých travních porostů (o 0,</w:t>
      </w:r>
      <w:r>
        <w:t>3</w:t>
      </w:r>
      <w:r w:rsidRPr="001D05B8">
        <w:t> %). Výměra lesních pozemků zůstala přibližně stejná jako v roce 201</w:t>
      </w:r>
      <w:r>
        <w:t>3</w:t>
      </w:r>
      <w:r w:rsidRPr="001D05B8">
        <w:t xml:space="preserve"> (33,</w:t>
      </w:r>
      <w:r>
        <w:t>8</w:t>
      </w:r>
      <w:r w:rsidRPr="001D05B8">
        <w:t> %).</w:t>
      </w:r>
    </w:p>
    <w:p w:rsidR="00AD6594" w:rsidRDefault="00AD6594" w:rsidP="00242EDF">
      <w:r w:rsidRPr="001D05B8">
        <w:t>Výměra ploch lokalit soustavy Natura 2000 v roce 201</w:t>
      </w:r>
      <w:r>
        <w:t>4</w:t>
      </w:r>
      <w:r w:rsidRPr="001D05B8">
        <w:t xml:space="preserve"> byla </w:t>
      </w:r>
      <w:r w:rsidR="00810AD8">
        <w:t>1 106,12</w:t>
      </w:r>
      <w:r w:rsidRPr="001D05B8">
        <w:t xml:space="preserve"> tis. ha, tj. </w:t>
      </w:r>
      <w:r w:rsidR="00810AD8">
        <w:t>14,03</w:t>
      </w:r>
      <w:r w:rsidRPr="001D05B8">
        <w:t xml:space="preserve"> % celkové rozlohy ČR. Evropsky významné lokality zaujímaly výměru </w:t>
      </w:r>
      <w:r>
        <w:t>785,6</w:t>
      </w:r>
      <w:r w:rsidRPr="001D05B8">
        <w:t xml:space="preserve"> tis. ha (</w:t>
      </w:r>
      <w:r>
        <w:t>10,0</w:t>
      </w:r>
      <w:r w:rsidRPr="001D05B8">
        <w:t> % rozlohy ČR) a jejich počet byl 1 0</w:t>
      </w:r>
      <w:r>
        <w:t>75</w:t>
      </w:r>
      <w:r w:rsidRPr="001D05B8">
        <w:t>. Ptačích oblastí bylo evidováno 41 na rozloze 703,4 tis. ha (8,9 % rozlohy ČR). Celková rozloha území chráněných podle zákona č. 114/1992 Sb. se odhaduje na 1</w:t>
      </w:r>
      <w:r>
        <w:t> 686,4</w:t>
      </w:r>
      <w:r w:rsidRPr="001D05B8">
        <w:t> tis. ha (21,</w:t>
      </w:r>
      <w:r>
        <w:t>4</w:t>
      </w:r>
      <w:r w:rsidRPr="001D05B8">
        <w:t xml:space="preserve"> % plochy ČR). Tab. T4.1/01 uvádí </w:t>
      </w:r>
      <w:r w:rsidRPr="00FD427F">
        <w:t>přehled výměr chráněných ploch v ČR v roce 2014. Další souvislosti ochrany ZPF jsou uvedeny v kap. 7.4.</w:t>
      </w:r>
    </w:p>
    <w:p w:rsidR="00AD6594" w:rsidRDefault="00AD6594" w:rsidP="00242EDF">
      <w:pPr>
        <w:pStyle w:val="mezera"/>
      </w:pPr>
    </w:p>
    <w:p w:rsidR="00AD6594" w:rsidRDefault="00AD6594" w:rsidP="00242EDF">
      <w:pPr>
        <w:pStyle w:val="mezera"/>
      </w:pPr>
      <w:r w:rsidRPr="00A85E2C">
        <w:rPr>
          <w:noProof/>
          <w:lang w:eastAsia="cs-CZ"/>
        </w:rPr>
        <w:drawing>
          <wp:inline distT="0" distB="0" distL="0" distR="0" wp14:anchorId="5241B046" wp14:editId="3D1443D3">
            <wp:extent cx="5760720" cy="2279093"/>
            <wp:effectExtent l="0" t="0" r="0" b="698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2279093"/>
                    </a:xfrm>
                    <a:prstGeom prst="rect">
                      <a:avLst/>
                    </a:prstGeom>
                    <a:noFill/>
                    <a:ln>
                      <a:noFill/>
                    </a:ln>
                  </pic:spPr>
                </pic:pic>
              </a:graphicData>
            </a:graphic>
          </wp:inline>
        </w:drawing>
      </w:r>
    </w:p>
    <w:p w:rsidR="00AD6594" w:rsidRDefault="00AD6594" w:rsidP="00242EDF">
      <w:pPr>
        <w:pStyle w:val="mezera"/>
      </w:pPr>
    </w:p>
    <w:p w:rsidR="00AD6594" w:rsidRPr="00DD7CD6" w:rsidRDefault="00AD6594" w:rsidP="00242EDF">
      <w:r w:rsidRPr="00DD7CD6">
        <w:t>Celková výměra z. p. v LFA evidované v LPIS k 31. 12. 201</w:t>
      </w:r>
      <w:r>
        <w:t>4</w:t>
      </w:r>
      <w:r w:rsidRPr="00DD7CD6">
        <w:t xml:space="preserve"> je 1</w:t>
      </w:r>
      <w:r>
        <w:t> 775,7 </w:t>
      </w:r>
      <w:r w:rsidRPr="00DD7CD6">
        <w:t xml:space="preserve">tis. ha, </w:t>
      </w:r>
      <w:r w:rsidRPr="00286C13">
        <w:t>(50,</w:t>
      </w:r>
      <w:r w:rsidR="008214C6">
        <w:t>1</w:t>
      </w:r>
      <w:r w:rsidRPr="00286C13">
        <w:t> % z. p.),</w:t>
      </w:r>
      <w:r w:rsidRPr="00DD7CD6">
        <w:t xml:space="preserve"> v tom orná půda zaujímá 91</w:t>
      </w:r>
      <w:r>
        <w:t>3,2</w:t>
      </w:r>
      <w:r w:rsidRPr="00DD7CD6">
        <w:t> tis. ha (51,</w:t>
      </w:r>
      <w:r>
        <w:t>4</w:t>
      </w:r>
      <w:r w:rsidRPr="00DD7CD6">
        <w:t> % z. p. v LFA) a travní porosty 85</w:t>
      </w:r>
      <w:r>
        <w:t>3</w:t>
      </w:r>
      <w:r w:rsidRPr="00DD7CD6">
        <w:t>,</w:t>
      </w:r>
      <w:r>
        <w:t>7</w:t>
      </w:r>
      <w:r w:rsidRPr="00DD7CD6">
        <w:t> tis. ha (48</w:t>
      </w:r>
      <w:r w:rsidR="008214C6">
        <w:t>,1</w:t>
      </w:r>
      <w:r w:rsidRPr="00DD7CD6">
        <w:t> % z. p.</w:t>
      </w:r>
      <w:r>
        <w:t xml:space="preserve"> v LFA</w:t>
      </w:r>
      <w:r w:rsidRPr="00DD7CD6">
        <w:t>).</w:t>
      </w:r>
    </w:p>
    <w:p w:rsidR="00AD6594" w:rsidRPr="001D05B8" w:rsidRDefault="00AD6594" w:rsidP="00242EDF">
      <w:r w:rsidRPr="00DD7CD6">
        <w:t xml:space="preserve">Odvodněné plochy jsou vykazovány jako </w:t>
      </w:r>
      <w:r w:rsidRPr="001D05B8">
        <w:t>souhrn evidovaných ploch provedeného odvodnění. V ČR je odvodněno 1 078 tis. </w:t>
      </w:r>
      <w:r w:rsidRPr="00F75C2A">
        <w:t>ha (25,6 % z. p.)</w:t>
      </w:r>
      <w:r w:rsidRPr="001D05B8">
        <w:t xml:space="preserve"> drenážním detailem (poslední dostupný údaj z roku 1992). </w:t>
      </w:r>
      <w:r w:rsidR="006326CC" w:rsidRPr="006326CC">
        <w:t>Strukturální</w:t>
      </w:r>
      <w:r w:rsidR="006326CC">
        <w:t>m</w:t>
      </w:r>
      <w:r w:rsidR="006326CC" w:rsidRPr="006326CC">
        <w:t xml:space="preserve"> šetření</w:t>
      </w:r>
      <w:r w:rsidR="006326CC">
        <w:t>m</w:t>
      </w:r>
      <w:r w:rsidR="006326CC" w:rsidRPr="006326CC">
        <w:t xml:space="preserve"> v zemědělství 2013</w:t>
      </w:r>
      <w:r w:rsidRPr="001D05B8">
        <w:t xml:space="preserve"> byly zjištěny aktuální </w:t>
      </w:r>
      <w:r w:rsidRPr="001D05B8">
        <w:lastRenderedPageBreak/>
        <w:t xml:space="preserve">údaje o rozsahu zavlažovaných půd v ČR. Zavlažovaná plocha byla </w:t>
      </w:r>
      <w:r w:rsidR="006326CC">
        <w:t>17,8</w:t>
      </w:r>
      <w:r>
        <w:t xml:space="preserve"> tis.</w:t>
      </w:r>
      <w:r w:rsidRPr="001D05B8">
        <w:t xml:space="preserve"> ha a</w:t>
      </w:r>
      <w:r w:rsidR="006326CC">
        <w:t> </w:t>
      </w:r>
      <w:proofErr w:type="spellStart"/>
      <w:r w:rsidRPr="001D05B8">
        <w:t>zavlažovatelná</w:t>
      </w:r>
      <w:proofErr w:type="spellEnd"/>
      <w:r w:rsidRPr="001D05B8">
        <w:t xml:space="preserve"> plocha byla </w:t>
      </w:r>
      <w:r w:rsidR="006326CC" w:rsidRPr="006326CC">
        <w:t>34,1</w:t>
      </w:r>
      <w:r>
        <w:t xml:space="preserve"> tis.</w:t>
      </w:r>
      <w:r w:rsidRPr="001D05B8">
        <w:t xml:space="preserve"> ha.</w:t>
      </w:r>
    </w:p>
    <w:p w:rsidR="00AD6594" w:rsidRPr="001D05B8" w:rsidRDefault="00AD6594" w:rsidP="00242EDF">
      <w:r w:rsidRPr="00D91382">
        <w:t>V roce 201</w:t>
      </w:r>
      <w:r>
        <w:t>4</w:t>
      </w:r>
      <w:r w:rsidRPr="00D91382">
        <w:t xml:space="preserve"> bylo </w:t>
      </w:r>
      <w:r>
        <w:t xml:space="preserve">v systému </w:t>
      </w:r>
      <w:r w:rsidRPr="00D91382">
        <w:t>integrované produkce zeleniny</w:t>
      </w:r>
      <w:r>
        <w:t xml:space="preserve"> evidováno 75 </w:t>
      </w:r>
      <w:r w:rsidRPr="00D91382">
        <w:t>pěstitelů</w:t>
      </w:r>
      <w:r>
        <w:t xml:space="preserve"> </w:t>
      </w:r>
      <w:r w:rsidRPr="00D91382">
        <w:t>s</w:t>
      </w:r>
      <w:r>
        <w:t> </w:t>
      </w:r>
      <w:r w:rsidRPr="00D91382">
        <w:t>plochou 5,</w:t>
      </w:r>
      <w:r>
        <w:t>7</w:t>
      </w:r>
      <w:r w:rsidRPr="00D91382">
        <w:t xml:space="preserve"> tis. ha. Proplaceno bylo </w:t>
      </w:r>
      <w:r>
        <w:t>78</w:t>
      </w:r>
      <w:r w:rsidRPr="00D91382">
        <w:t xml:space="preserve"> žádostí, které byly podány v roce 201</w:t>
      </w:r>
      <w:r>
        <w:t>3</w:t>
      </w:r>
      <w:r w:rsidRPr="00D91382">
        <w:t xml:space="preserve"> na rozlohu 5,9</w:t>
      </w:r>
      <w:r>
        <w:t> </w:t>
      </w:r>
      <w:r w:rsidRPr="00D91382">
        <w:t>tis. ha.</w:t>
      </w:r>
    </w:p>
    <w:p w:rsidR="00AD6594" w:rsidRPr="001D05B8" w:rsidRDefault="00AD6594" w:rsidP="00242EDF">
      <w:r w:rsidRPr="001D05B8">
        <w:t>K</w:t>
      </w:r>
      <w:r>
        <w:t> 31. 12. 2014</w:t>
      </w:r>
      <w:r w:rsidRPr="001D05B8">
        <w:t xml:space="preserve"> bylo zaregistrováno v integrovaném systému pěstování ovoce </w:t>
      </w:r>
      <w:r>
        <w:t>307</w:t>
      </w:r>
      <w:r w:rsidRPr="001D05B8">
        <w:t xml:space="preserve"> členů s výměrou ovocných sadů 10</w:t>
      </w:r>
      <w:r>
        <w:t>,9 tis.</w:t>
      </w:r>
      <w:r w:rsidRPr="001D05B8">
        <w:t xml:space="preserve"> ha. Ve Svazu pro integrované systémy pěstování ovoce (SISPO) bylo celkem v rámci </w:t>
      </w:r>
      <w:r>
        <w:t>EAFRD p</w:t>
      </w:r>
      <w:r w:rsidRPr="001D05B8">
        <w:t xml:space="preserve">roplaceno </w:t>
      </w:r>
      <w:r>
        <w:t>307</w:t>
      </w:r>
      <w:r w:rsidRPr="001D05B8">
        <w:t xml:space="preserve"> žádostí z roku 201</w:t>
      </w:r>
      <w:r>
        <w:t>3</w:t>
      </w:r>
      <w:r w:rsidRPr="001D05B8">
        <w:t xml:space="preserve"> na výměru 1</w:t>
      </w:r>
      <w:r>
        <w:t>0,9 tis.</w:t>
      </w:r>
      <w:r w:rsidRPr="001D05B8">
        <w:t xml:space="preserve"> ha ovocných sadů. V roce 201</w:t>
      </w:r>
      <w:r>
        <w:t>4</w:t>
      </w:r>
      <w:r w:rsidRPr="001D05B8">
        <w:t xml:space="preserve"> bylo podáno </w:t>
      </w:r>
      <w:r>
        <w:t>292</w:t>
      </w:r>
      <w:r w:rsidRPr="001D05B8">
        <w:t xml:space="preserve"> žádostí na plochu 1</w:t>
      </w:r>
      <w:r>
        <w:t>0,5 tis.</w:t>
      </w:r>
      <w:r w:rsidRPr="001D05B8">
        <w:t xml:space="preserve"> ha.</w:t>
      </w:r>
    </w:p>
    <w:p w:rsidR="00AD6594" w:rsidRDefault="00AD6594" w:rsidP="00242EDF">
      <w:r w:rsidRPr="00A85E2C">
        <w:t xml:space="preserve">K 31. 12. 2014 bylo </w:t>
      </w:r>
      <w:r w:rsidRPr="003B1068">
        <w:t>evidováno 168 členů Svazu integrované a ekologické produkce hroznů a vína o. s. – EKOVÍN, kteří hospodaří v systému integrované produkce révy vinné na 6,8 tis. ha. Celkem bylo v integrované p</w:t>
      </w:r>
      <w:r w:rsidRPr="00E37B38">
        <w:t>rodukci vinné révy v roce 201</w:t>
      </w:r>
      <w:r>
        <w:t>4</w:t>
      </w:r>
      <w:r w:rsidRPr="00E37B38">
        <w:t xml:space="preserve"> podáno </w:t>
      </w:r>
      <w:r>
        <w:t>591</w:t>
      </w:r>
      <w:r w:rsidRPr="00E37B38">
        <w:t xml:space="preserve"> žádostí na výměru 11,</w:t>
      </w:r>
      <w:r>
        <w:t>3 tis. </w:t>
      </w:r>
      <w:r w:rsidRPr="00E37B38">
        <w:t>ha.</w:t>
      </w:r>
    </w:p>
    <w:p w:rsidR="006326CC" w:rsidRPr="001D05B8" w:rsidRDefault="00AD6594" w:rsidP="00C01619">
      <w:r w:rsidRPr="006326CC">
        <w:t xml:space="preserve">V ČR dosud neexistuje monitoring technologií obdělávání půd. </w:t>
      </w:r>
      <w:r w:rsidR="006326CC" w:rsidRPr="00C01619">
        <w:t>Jednorázově byla v</w:t>
      </w:r>
      <w:r w:rsidRPr="00C01619">
        <w:t xml:space="preserve">ýměra o. p., na které jsou používány minimalizační technologie, </w:t>
      </w:r>
      <w:r w:rsidR="006326CC">
        <w:rPr>
          <w:szCs w:val="24"/>
        </w:rPr>
        <w:t>zjišťována v </w:t>
      </w:r>
      <w:proofErr w:type="spellStart"/>
      <w:r w:rsidR="006326CC">
        <w:rPr>
          <w:szCs w:val="24"/>
        </w:rPr>
        <w:t>Agrocen</w:t>
      </w:r>
      <w:r w:rsidR="00055F10">
        <w:rPr>
          <w:szCs w:val="24"/>
        </w:rPr>
        <w:t>z</w:t>
      </w:r>
      <w:r w:rsidR="006326CC">
        <w:rPr>
          <w:szCs w:val="24"/>
        </w:rPr>
        <w:t>u</w:t>
      </w:r>
      <w:proofErr w:type="spellEnd"/>
      <w:r w:rsidR="006326CC">
        <w:rPr>
          <w:szCs w:val="24"/>
        </w:rPr>
        <w:t xml:space="preserve"> 2010, kde činila 812 tis. ha, dle expertů</w:t>
      </w:r>
      <w:r w:rsidR="006326CC">
        <w:rPr>
          <w:rStyle w:val="Znakapoznpodarou"/>
          <w:szCs w:val="24"/>
        </w:rPr>
        <w:footnoteReference w:id="40"/>
      </w:r>
      <w:r w:rsidR="006326CC" w:rsidRPr="00DE4B2F">
        <w:rPr>
          <w:szCs w:val="24"/>
        </w:rPr>
        <w:t xml:space="preserve"> je </w:t>
      </w:r>
      <w:r w:rsidR="006326CC">
        <w:rPr>
          <w:szCs w:val="24"/>
        </w:rPr>
        <w:t xml:space="preserve">v roce 2014 </w:t>
      </w:r>
      <w:r w:rsidRPr="00C01619">
        <w:t xml:space="preserve">odhadována na 1,2 mil. ha. Ve srovnání s rokem 2013 zůstává rozloha ploch obdělávaných </w:t>
      </w:r>
      <w:proofErr w:type="spellStart"/>
      <w:r w:rsidRPr="00C01619">
        <w:t>půdoochrannými</w:t>
      </w:r>
      <w:proofErr w:type="spellEnd"/>
      <w:r w:rsidRPr="00C01619">
        <w:t xml:space="preserve"> technologiemi</w:t>
      </w:r>
      <w:r w:rsidR="00C01619">
        <w:rPr>
          <w:rStyle w:val="Znakapoznpodarou"/>
          <w:szCs w:val="24"/>
        </w:rPr>
        <w:footnoteReference w:id="41"/>
      </w:r>
      <w:r w:rsidRPr="00C01619">
        <w:t xml:space="preserve"> stejná, tzn. 240</w:t>
      </w:r>
      <w:r w:rsidRPr="00C01619">
        <w:noBreakHyphen/>
        <w:t>270 tis. ha o. p.</w:t>
      </w:r>
    </w:p>
    <w:p w:rsidR="00AD6594" w:rsidRPr="001D05B8" w:rsidRDefault="00AD6594" w:rsidP="00242EDF">
      <w:r w:rsidRPr="001D05B8">
        <w:t>Ve srovnání s rokem 201</w:t>
      </w:r>
      <w:r>
        <w:t>3</w:t>
      </w:r>
      <w:r w:rsidRPr="001D05B8">
        <w:t xml:space="preserve"> došlo k mírnému </w:t>
      </w:r>
      <w:r>
        <w:t>nárůstu</w:t>
      </w:r>
      <w:r w:rsidRPr="001D05B8">
        <w:t xml:space="preserve"> spotřeby minerálních hnojiv</w:t>
      </w:r>
      <w:r>
        <w:t>,</w:t>
      </w:r>
      <w:r w:rsidRPr="001D05B8">
        <w:t xml:space="preserve"> a to o</w:t>
      </w:r>
      <w:r>
        <w:t> 3,9 %, jednalo se o zvýšení</w:t>
      </w:r>
      <w:r w:rsidRPr="00AC7430">
        <w:t xml:space="preserve"> na 11</w:t>
      </w:r>
      <w:r>
        <w:t>7,4</w:t>
      </w:r>
      <w:r w:rsidRPr="00AC7430">
        <w:t xml:space="preserve"> kg č. ž./ha z. p. v</w:t>
      </w:r>
      <w:r w:rsidRPr="001D05B8">
        <w:t> roce 201</w:t>
      </w:r>
      <w:r>
        <w:t>4</w:t>
      </w:r>
      <w:r w:rsidRPr="001D05B8">
        <w:t xml:space="preserve"> (</w:t>
      </w:r>
      <w:proofErr w:type="spellStart"/>
      <w:r w:rsidRPr="001D05B8">
        <w:t>příl</w:t>
      </w:r>
      <w:proofErr w:type="spellEnd"/>
      <w:r w:rsidRPr="001D05B8">
        <w:t xml:space="preserve">. tab. 4.1/01). Celkový vklad čistých živin ze statkových hnojiv </w:t>
      </w:r>
      <w:r>
        <w:t>vzrostl o 20,7</w:t>
      </w:r>
      <w:r w:rsidRPr="001D05B8">
        <w:t xml:space="preserve"> % na </w:t>
      </w:r>
      <w:r>
        <w:t>68,7</w:t>
      </w:r>
      <w:r w:rsidRPr="001D05B8">
        <w:t> kg/ha. Celková spotřeba vápenatých hmot se ve srovnání s rokem 201</w:t>
      </w:r>
      <w:r>
        <w:t>3</w:t>
      </w:r>
      <w:r w:rsidRPr="001D05B8">
        <w:t xml:space="preserve"> zvýšila o </w:t>
      </w:r>
      <w:r>
        <w:t>11,9</w:t>
      </w:r>
      <w:r w:rsidRPr="001D05B8">
        <w:t xml:space="preserve"> % na </w:t>
      </w:r>
      <w:r>
        <w:t>283</w:t>
      </w:r>
      <w:r w:rsidRPr="001D05B8">
        <w:t> tis. t.</w:t>
      </w:r>
    </w:p>
    <w:p w:rsidR="00AD6594" w:rsidRPr="001D05B8" w:rsidRDefault="00AD6594" w:rsidP="00242EDF">
      <w:r w:rsidRPr="00A85E2C">
        <w:t xml:space="preserve">Podle ÚKZÚZ bylo biologickými přípravky (mikrobiálními a </w:t>
      </w:r>
      <w:proofErr w:type="spellStart"/>
      <w:r w:rsidRPr="00A85E2C">
        <w:t>makrobiálními</w:t>
      </w:r>
      <w:proofErr w:type="spellEnd"/>
      <w:r w:rsidRPr="00A85E2C">
        <w:t xml:space="preserve">) ošetřeno </w:t>
      </w:r>
      <w:r w:rsidR="006A04FA">
        <w:t>44,9</w:t>
      </w:r>
      <w:r w:rsidRPr="000A1711">
        <w:t xml:space="preserve"> tis.</w:t>
      </w:r>
      <w:r w:rsidRPr="00A85E2C">
        <w:t xml:space="preserve"> ha kulturních plodin, tj. o </w:t>
      </w:r>
      <w:r w:rsidR="006A04FA">
        <w:t>0,58</w:t>
      </w:r>
      <w:r w:rsidRPr="000A1711">
        <w:t xml:space="preserve"> tis.</w:t>
      </w:r>
      <w:r w:rsidRPr="00A85E2C">
        <w:t xml:space="preserve"> ha </w:t>
      </w:r>
      <w:r w:rsidRPr="00DF0155">
        <w:t>více</w:t>
      </w:r>
      <w:r w:rsidRPr="00A85E2C">
        <w:t xml:space="preserve"> než v roce 2012 (nárůst o </w:t>
      </w:r>
      <w:r w:rsidR="006A04FA">
        <w:t>1,3</w:t>
      </w:r>
      <w:r w:rsidRPr="00A85E2C">
        <w:t> %).</w:t>
      </w:r>
    </w:p>
    <w:p w:rsidR="00AD6594" w:rsidRPr="001D05B8" w:rsidRDefault="00AD6594" w:rsidP="00242EDF">
      <w:r w:rsidRPr="001D05B8">
        <w:t>Podle evidence</w:t>
      </w:r>
      <w:r>
        <w:t xml:space="preserve"> ČIŽP bylo evidováno za rok 2014</w:t>
      </w:r>
      <w:r w:rsidRPr="001D05B8">
        <w:t xml:space="preserve"> celkem </w:t>
      </w:r>
      <w:r>
        <w:t>178 havárií na vodách, z nichž 17</w:t>
      </w:r>
      <w:r w:rsidRPr="001D05B8">
        <w:t> bylo zemědělského původu.</w:t>
      </w:r>
    </w:p>
    <w:p w:rsidR="00AD6594" w:rsidRPr="00070659" w:rsidRDefault="00AD6594" w:rsidP="00242EDF">
      <w:r w:rsidRPr="001D05B8">
        <w:t>V roce 201</w:t>
      </w:r>
      <w:r>
        <w:t>4</w:t>
      </w:r>
      <w:r w:rsidRPr="001D05B8">
        <w:t xml:space="preserve"> v</w:t>
      </w:r>
      <w:r>
        <w:t> zemědělských podnicích mírně vzrostla</w:t>
      </w:r>
      <w:r w:rsidRPr="001D05B8">
        <w:t xml:space="preserve"> spotře</w:t>
      </w:r>
      <w:r>
        <w:t>ba různých druhů energie na 14</w:t>
      </w:r>
      <w:r w:rsidRPr="001D05B8">
        <w:t> </w:t>
      </w:r>
      <w:r>
        <w:t>mil. GJ, což reprezentuje zvýšení</w:t>
      </w:r>
      <w:r w:rsidRPr="001D05B8">
        <w:t xml:space="preserve"> o </w:t>
      </w:r>
      <w:r>
        <w:t xml:space="preserve">3,7 </w:t>
      </w:r>
      <w:r w:rsidRPr="001D05B8">
        <w:t>% ve srovnání s rokem 201</w:t>
      </w:r>
      <w:r>
        <w:t>3</w:t>
      </w:r>
      <w:r w:rsidRPr="001D05B8">
        <w:t>. Podle VÚZT a</w:t>
      </w:r>
      <w:r>
        <w:t> </w:t>
      </w:r>
      <w:r w:rsidRPr="001D05B8">
        <w:t xml:space="preserve">ČSÚ bylo v zemědělství spotřebováno </w:t>
      </w:r>
      <w:r>
        <w:t>435,7</w:t>
      </w:r>
      <w:r w:rsidRPr="001D05B8">
        <w:t xml:space="preserve"> mil. l motorové nafty, což je téměř </w:t>
      </w:r>
      <w:r>
        <w:t>stejné množství jako v roce 2013</w:t>
      </w:r>
      <w:r w:rsidRPr="001D05B8">
        <w:t xml:space="preserve">. Na celkové spotřebě motorové nafty se rostlinná výroba a doprava po </w:t>
      </w:r>
      <w:r w:rsidRPr="00070659">
        <w:t>vnějších komunikacích podílela z 85,7 % a živočišná výroba z 14,3 %.</w:t>
      </w:r>
    </w:p>
    <w:p w:rsidR="00AD6594" w:rsidRPr="001D05B8" w:rsidRDefault="00AD6594" w:rsidP="00242EDF">
      <w:r w:rsidRPr="001D05B8">
        <w:lastRenderedPageBreak/>
        <w:t>V systému integrovaného povolení (IPPC) byl</w:t>
      </w:r>
      <w:r>
        <w:t>a</w:t>
      </w:r>
      <w:r w:rsidRPr="001D05B8">
        <w:t xml:space="preserve"> v roce 201</w:t>
      </w:r>
      <w:r>
        <w:t>4 vydána 3</w:t>
      </w:r>
      <w:r w:rsidRPr="001D05B8">
        <w:t xml:space="preserve"> rozhodnutí (integrovaných povolení)</w:t>
      </w:r>
      <w:r w:rsidRPr="002D7CF8">
        <w:rPr>
          <w:rStyle w:val="Znakapoznpodarou"/>
        </w:rPr>
        <w:footnoteReference w:id="42"/>
      </w:r>
      <w:r w:rsidRPr="001D05B8">
        <w:t>.</w:t>
      </w:r>
    </w:p>
    <w:p w:rsidR="00AD6594" w:rsidRPr="001D05B8" w:rsidRDefault="00AD6594" w:rsidP="00242EDF">
      <w:r w:rsidRPr="00BB57B8">
        <w:t>Emise amoniaku pocházející z chovů hospodářských zvířat</w:t>
      </w:r>
      <w:r>
        <w:rPr>
          <w:rStyle w:val="Znakapoznpodarou"/>
        </w:rPr>
        <w:footnoteReference w:id="43"/>
      </w:r>
      <w:r w:rsidRPr="00BB57B8">
        <w:t xml:space="preserve"> dosáhly v roce 2014 celkem 48,41 </w:t>
      </w:r>
      <w:proofErr w:type="spellStart"/>
      <w:r w:rsidRPr="00BB57B8">
        <w:t>kt</w:t>
      </w:r>
      <w:proofErr w:type="spellEnd"/>
      <w:r w:rsidRPr="00BB57B8">
        <w:t xml:space="preserve">. V porovnání s rokem 2013, kde emise amoniaku dosáhly 48,19 </w:t>
      </w:r>
      <w:proofErr w:type="spellStart"/>
      <w:r>
        <w:t>kt</w:t>
      </w:r>
      <w:proofErr w:type="spellEnd"/>
      <w:r>
        <w:t xml:space="preserve">, se jedná o mírný nárůst o 0,46 </w:t>
      </w:r>
      <w:r w:rsidRPr="00BB57B8">
        <w:t>%.</w:t>
      </w:r>
      <w:r>
        <w:t xml:space="preserve"> </w:t>
      </w:r>
      <w:r w:rsidRPr="001D05B8">
        <w:t xml:space="preserve">Dlouhodobé sledování stavu a vývoje obsahů organických polutantů zajišťuje na zemědělských půdách </w:t>
      </w:r>
      <w:r>
        <w:t>ÚKZUZ</w:t>
      </w:r>
      <w:r w:rsidRPr="001D05B8">
        <w:t>. Pozorování probíhá na 40 stálých vybraných pozorovacích plochách bazálního půdního monitoringu a 5 plochách v chráněných územích. Tato území reprezentují průměrná data za ČR.</w:t>
      </w:r>
    </w:p>
    <w:p w:rsidR="00AD6594" w:rsidRDefault="00AD6594" w:rsidP="00242EDF">
      <w:r w:rsidRPr="001D05B8">
        <w:t xml:space="preserve">K překročení hodnot přípustného znečištění půd (vyhláška č. 13/1994 Sb.) docházelo </w:t>
      </w:r>
      <w:r w:rsidRPr="00AC7430">
        <w:t>v letech 2000</w:t>
      </w:r>
      <w:r w:rsidRPr="00AC7430">
        <w:noBreakHyphen/>
        <w:t>201</w:t>
      </w:r>
      <w:r>
        <w:t>4</w:t>
      </w:r>
      <w:r w:rsidRPr="00AC7430">
        <w:t xml:space="preserve"> nejvíce u obsahů DDT. Požadavkům této vyhlášky na obsah organických chlorovaných</w:t>
      </w:r>
      <w:r w:rsidRPr="001D05B8">
        <w:t xml:space="preserve"> pesticidů nevyhovělo v roce 201</w:t>
      </w:r>
      <w:r>
        <w:t>4 celkem 18</w:t>
      </w:r>
      <w:r w:rsidRPr="001D05B8">
        <w:t xml:space="preserve"> monitorovacích ploch na orné půdě a </w:t>
      </w:r>
      <w:r>
        <w:t>2</w:t>
      </w:r>
      <w:r w:rsidRPr="001D05B8">
        <w:t xml:space="preserve"> monitorovací plochy na TT</w:t>
      </w:r>
      <w:r>
        <w:t>P (tj. 46</w:t>
      </w:r>
      <w:r w:rsidRPr="001D05B8">
        <w:t> % vzorků). V ČR je používání přípravků na bázi DDT zakázáno již od roku 1974, vysoké procento nadlimitních vzorků však svědčí o velké perzistenci a tedy dlouhodobém zatížení půdy. Hodnotu přípustného znečištění stanoven</w:t>
      </w:r>
      <w:r>
        <w:t>ou</w:t>
      </w:r>
      <w:r w:rsidRPr="001D05B8">
        <w:t xml:space="preserve"> vyhláškou č. 13/1994 Sb. pro polycyklické aromatické uhlovodíky </w:t>
      </w:r>
      <w:r w:rsidRPr="001F192F">
        <w:t>celkem překročily v</w:t>
      </w:r>
      <w:r w:rsidRPr="001D05B8">
        <w:t> roce 201</w:t>
      </w:r>
      <w:r>
        <w:t>4 dva vzorky</w:t>
      </w:r>
      <w:r w:rsidRPr="001D05B8">
        <w:t xml:space="preserve"> na </w:t>
      </w:r>
      <w:r>
        <w:t>orné půdě</w:t>
      </w:r>
      <w:r w:rsidRPr="001D05B8">
        <w:t xml:space="preserve">. Limity pro jednotlivé uhlovodíky však překročeny </w:t>
      </w:r>
      <w:r>
        <w:t>ne</w:t>
      </w:r>
      <w:r w:rsidRPr="001D05B8">
        <w:t xml:space="preserve">byly. Z dlouhodobého hlediska je překračována hodnota pro </w:t>
      </w:r>
      <w:proofErr w:type="spellStart"/>
      <w:r w:rsidRPr="001D05B8">
        <w:t>chrysen</w:t>
      </w:r>
      <w:proofErr w:type="spellEnd"/>
      <w:r w:rsidRPr="001D05B8">
        <w:t xml:space="preserve">, </w:t>
      </w:r>
      <w:proofErr w:type="spellStart"/>
      <w:r w:rsidRPr="001D05B8">
        <w:t>fluoranté</w:t>
      </w:r>
      <w:r w:rsidR="00677363">
        <w:t>n</w:t>
      </w:r>
      <w:proofErr w:type="spellEnd"/>
      <w:r w:rsidRPr="001D05B8">
        <w:t xml:space="preserve"> a antracén. Hodnota přípustného znečištění </w:t>
      </w:r>
      <w:proofErr w:type="spellStart"/>
      <w:r w:rsidRPr="001D05B8">
        <w:t>kongenery</w:t>
      </w:r>
      <w:proofErr w:type="spellEnd"/>
      <w:r w:rsidRPr="001D05B8">
        <w:t xml:space="preserve"> PCB byla v roce 201</w:t>
      </w:r>
      <w:r>
        <w:t>4</w:t>
      </w:r>
      <w:r w:rsidRPr="001D05B8">
        <w:t xml:space="preserve"> překročena na </w:t>
      </w:r>
      <w:r>
        <w:t>3 </w:t>
      </w:r>
      <w:r w:rsidRPr="001D05B8">
        <w:t>monitorovacích plochách</w:t>
      </w:r>
      <w:r>
        <w:t xml:space="preserve"> na zemědělské půdě</w:t>
      </w:r>
      <w:r w:rsidRPr="001D05B8">
        <w:t>.</w:t>
      </w:r>
    </w:p>
    <w:p w:rsidR="00AD6594" w:rsidRPr="001D05B8" w:rsidRDefault="00AD6594" w:rsidP="00242EDF">
      <w:pPr>
        <w:rPr>
          <w:szCs w:val="24"/>
        </w:rPr>
      </w:pPr>
      <w:r>
        <w:rPr>
          <w:szCs w:val="24"/>
        </w:rPr>
        <w:t xml:space="preserve">Limitní hodnoty </w:t>
      </w:r>
      <w:r w:rsidRPr="001D05B8">
        <w:rPr>
          <w:szCs w:val="24"/>
        </w:rPr>
        <w:t>11</w:t>
      </w:r>
      <w:r>
        <w:rPr>
          <w:szCs w:val="24"/>
        </w:rPr>
        <w:t xml:space="preserve"> sledovaných</w:t>
      </w:r>
      <w:r w:rsidRPr="001D05B8">
        <w:rPr>
          <w:szCs w:val="24"/>
        </w:rPr>
        <w:t xml:space="preserve"> rizikových prvků</w:t>
      </w:r>
      <w:r w:rsidRPr="002D7CF8">
        <w:rPr>
          <w:rStyle w:val="Znakapoznpodarou"/>
        </w:rPr>
        <w:footnoteReference w:id="44"/>
      </w:r>
      <w:r w:rsidRPr="001D05B8">
        <w:rPr>
          <w:szCs w:val="24"/>
        </w:rPr>
        <w:t xml:space="preserve"> v zemědělských </w:t>
      </w:r>
      <w:r>
        <w:rPr>
          <w:szCs w:val="24"/>
        </w:rPr>
        <w:t>půdách ČR stanovené vyhláškou č. 13/1994 Sb. jsou častěji překračovány na lehkých půdách.</w:t>
      </w:r>
      <w:r w:rsidRPr="001D05B8">
        <w:rPr>
          <w:szCs w:val="24"/>
        </w:rPr>
        <w:t xml:space="preserve"> </w:t>
      </w:r>
      <w:r>
        <w:rPr>
          <w:szCs w:val="24"/>
        </w:rPr>
        <w:t>V</w:t>
      </w:r>
      <w:r w:rsidRPr="001D05B8">
        <w:rPr>
          <w:szCs w:val="24"/>
        </w:rPr>
        <w:t xml:space="preserve">íce nadlimitních vzorků </w:t>
      </w:r>
      <w:r>
        <w:rPr>
          <w:szCs w:val="24"/>
        </w:rPr>
        <w:t xml:space="preserve">lze očekávat </w:t>
      </w:r>
      <w:r w:rsidRPr="001D05B8">
        <w:rPr>
          <w:szCs w:val="24"/>
        </w:rPr>
        <w:t>u As (</w:t>
      </w:r>
      <w:r>
        <w:rPr>
          <w:szCs w:val="24"/>
        </w:rPr>
        <w:t>4</w:t>
      </w:r>
      <w:r w:rsidRPr="001D05B8">
        <w:rPr>
          <w:szCs w:val="24"/>
        </w:rPr>
        <w:t> %), u Cd (</w:t>
      </w:r>
      <w:r>
        <w:rPr>
          <w:szCs w:val="24"/>
        </w:rPr>
        <w:t>3</w:t>
      </w:r>
      <w:r w:rsidRPr="001D05B8">
        <w:rPr>
          <w:szCs w:val="24"/>
        </w:rPr>
        <w:t xml:space="preserve"> %) a </w:t>
      </w:r>
      <w:proofErr w:type="spellStart"/>
      <w:r w:rsidRPr="001D05B8">
        <w:rPr>
          <w:szCs w:val="24"/>
        </w:rPr>
        <w:t>Cr</w:t>
      </w:r>
      <w:proofErr w:type="spellEnd"/>
      <w:r w:rsidRPr="001D05B8">
        <w:rPr>
          <w:szCs w:val="24"/>
        </w:rPr>
        <w:t xml:space="preserve"> (1,</w:t>
      </w:r>
      <w:r>
        <w:rPr>
          <w:szCs w:val="24"/>
        </w:rPr>
        <w:t>6</w:t>
      </w:r>
      <w:r w:rsidRPr="001D05B8">
        <w:rPr>
          <w:szCs w:val="24"/>
        </w:rPr>
        <w:t> %)</w:t>
      </w:r>
      <w:r w:rsidRPr="002D7CF8">
        <w:rPr>
          <w:rStyle w:val="Znakapoznpodarou"/>
        </w:rPr>
        <w:footnoteReference w:id="45"/>
      </w:r>
      <w:r w:rsidRPr="001D05B8">
        <w:rPr>
          <w:szCs w:val="24"/>
        </w:rPr>
        <w:t>.</w:t>
      </w:r>
    </w:p>
    <w:p w:rsidR="00AD6594" w:rsidRPr="001D05B8" w:rsidRDefault="00AD6594" w:rsidP="00242EDF">
      <w:pPr>
        <w:pStyle w:val="mezera"/>
      </w:pPr>
    </w:p>
    <w:p w:rsidR="00AD6594" w:rsidRPr="001076E3" w:rsidRDefault="00AD6594" w:rsidP="00242EDF">
      <w:pPr>
        <w:pStyle w:val="TabNadpis"/>
      </w:pPr>
      <w:r w:rsidRPr="001076E3">
        <w:lastRenderedPageBreak/>
        <w:t>T4.1/02 –</w:t>
      </w:r>
      <w:r>
        <w:t xml:space="preserve"> </w:t>
      </w:r>
      <w:r w:rsidRPr="001076E3">
        <w:t xml:space="preserve">Indikátory pro posouzení vlivu zemědělství na </w:t>
      </w:r>
      <w:r w:rsidRPr="00D72F10">
        <w:t>životní</w:t>
      </w:r>
      <w:r w:rsidRPr="001076E3">
        <w:t xml:space="preserve"> prostředí</w:t>
      </w:r>
    </w:p>
    <w:tbl>
      <w:tblPr>
        <w:tblW w:w="0" w:type="auto"/>
        <w:tblInd w:w="-8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68" w:type="dxa"/>
          <w:right w:w="68" w:type="dxa"/>
        </w:tblCellMar>
        <w:tblLook w:val="0000" w:firstRow="0" w:lastRow="0" w:firstColumn="0" w:lastColumn="0" w:noHBand="0" w:noVBand="0"/>
      </w:tblPr>
      <w:tblGrid>
        <w:gridCol w:w="737"/>
        <w:gridCol w:w="3330"/>
        <w:gridCol w:w="5171"/>
      </w:tblGrid>
      <w:tr w:rsidR="00AD6594" w:rsidRPr="001076E3" w:rsidTr="00242EDF">
        <w:trPr>
          <w:cantSplit/>
          <w:tblHeader/>
        </w:trPr>
        <w:tc>
          <w:tcPr>
            <w:tcW w:w="737" w:type="dxa"/>
            <w:tcBorders>
              <w:top w:val="double" w:sz="4" w:space="0" w:color="auto"/>
              <w:bottom w:val="single" w:sz="12" w:space="0" w:color="auto"/>
              <w:right w:val="single" w:sz="12" w:space="0" w:color="auto"/>
            </w:tcBorders>
            <w:vAlign w:val="center"/>
          </w:tcPr>
          <w:p w:rsidR="00AD6594" w:rsidRPr="001076E3" w:rsidRDefault="00AD6594" w:rsidP="00DF0155">
            <w:pPr>
              <w:pStyle w:val="Tabulka-zhlav"/>
              <w:keepNext/>
            </w:pPr>
            <w:r w:rsidRPr="001076E3">
              <w:t>Číslo</w:t>
            </w:r>
          </w:p>
        </w:tc>
        <w:tc>
          <w:tcPr>
            <w:tcW w:w="3330" w:type="dxa"/>
            <w:tcBorders>
              <w:top w:val="double" w:sz="4" w:space="0" w:color="auto"/>
              <w:left w:val="single" w:sz="12" w:space="0" w:color="auto"/>
              <w:bottom w:val="single" w:sz="12" w:space="0" w:color="auto"/>
            </w:tcBorders>
            <w:vAlign w:val="center"/>
          </w:tcPr>
          <w:p w:rsidR="00AD6594" w:rsidRPr="001076E3" w:rsidRDefault="00AD6594" w:rsidP="00DF0155">
            <w:pPr>
              <w:pStyle w:val="Tabulka-zhlav"/>
              <w:keepNext/>
            </w:pPr>
            <w:r w:rsidRPr="001076E3">
              <w:t>Název indikátoru (jednotka), zdroj dat</w:t>
            </w:r>
          </w:p>
        </w:tc>
        <w:tc>
          <w:tcPr>
            <w:tcW w:w="5171" w:type="dxa"/>
            <w:tcBorders>
              <w:top w:val="double" w:sz="4" w:space="0" w:color="auto"/>
              <w:bottom w:val="single" w:sz="12" w:space="0" w:color="auto"/>
            </w:tcBorders>
            <w:vAlign w:val="center"/>
          </w:tcPr>
          <w:p w:rsidR="00AD6594" w:rsidRPr="001076E3" w:rsidRDefault="00AD6594" w:rsidP="00DF0155">
            <w:pPr>
              <w:pStyle w:val="Tabulka-zhlav"/>
              <w:keepNext/>
            </w:pPr>
            <w:r w:rsidRPr="001076E3">
              <w:t xml:space="preserve">Stav indikátoru v roce </w:t>
            </w:r>
            <w:r w:rsidR="00B328F8">
              <w:t>2014</w:t>
            </w:r>
          </w:p>
        </w:tc>
      </w:tr>
      <w:tr w:rsidR="00AD6594" w:rsidRPr="001076E3" w:rsidTr="00242EDF">
        <w:trPr>
          <w:cantSplit/>
        </w:trPr>
        <w:tc>
          <w:tcPr>
            <w:tcW w:w="737" w:type="dxa"/>
            <w:tcBorders>
              <w:top w:val="single" w:sz="12" w:space="0" w:color="auto"/>
              <w:right w:val="single" w:sz="12" w:space="0" w:color="auto"/>
            </w:tcBorders>
          </w:tcPr>
          <w:p w:rsidR="00AD6594" w:rsidRPr="001076E3" w:rsidRDefault="00AD6594" w:rsidP="00242EDF">
            <w:pPr>
              <w:pStyle w:val="Tabulka"/>
            </w:pPr>
            <w:r w:rsidRPr="001076E3">
              <w:t>1</w:t>
            </w:r>
          </w:p>
        </w:tc>
        <w:tc>
          <w:tcPr>
            <w:tcW w:w="3330" w:type="dxa"/>
            <w:tcBorders>
              <w:top w:val="single" w:sz="12" w:space="0" w:color="auto"/>
              <w:left w:val="single" w:sz="12" w:space="0" w:color="auto"/>
            </w:tcBorders>
          </w:tcPr>
          <w:p w:rsidR="00AD6594" w:rsidRPr="001076E3" w:rsidRDefault="00AD6594" w:rsidP="00242EDF">
            <w:pPr>
              <w:pStyle w:val="Tabulka"/>
            </w:pPr>
            <w:r w:rsidRPr="001076E3">
              <w:t>Výměra ČR</w:t>
            </w:r>
            <w:r>
              <w:t>,</w:t>
            </w:r>
            <w:r w:rsidRPr="001076E3">
              <w:t xml:space="preserve"> z toho ZPF, lesní pozemek</w:t>
            </w:r>
            <w:r w:rsidRPr="001076E3" w:rsidDel="000B24A1">
              <w:t xml:space="preserve"> </w:t>
            </w:r>
            <w:r w:rsidRPr="001076E3">
              <w:t>(ha, %), ČÚZK.</w:t>
            </w:r>
          </w:p>
        </w:tc>
        <w:tc>
          <w:tcPr>
            <w:tcW w:w="5171" w:type="dxa"/>
            <w:tcBorders>
              <w:top w:val="single" w:sz="12" w:space="0" w:color="auto"/>
            </w:tcBorders>
          </w:tcPr>
          <w:p w:rsidR="00AD6594" w:rsidRPr="001076E3" w:rsidRDefault="00AD6594" w:rsidP="00242EDF">
            <w:pPr>
              <w:pStyle w:val="Tabulka"/>
            </w:pPr>
            <w:r w:rsidRPr="001076E3">
              <w:t>Výměra ČR: 7 886,7 tis. ha.</w:t>
            </w:r>
          </w:p>
          <w:p w:rsidR="00AD6594" w:rsidRPr="001076E3" w:rsidRDefault="00AD6594" w:rsidP="00242EDF">
            <w:pPr>
              <w:pStyle w:val="Tabulka"/>
            </w:pPr>
            <w:r w:rsidRPr="001076E3">
              <w:t>ZPF: 4 21</w:t>
            </w:r>
            <w:r>
              <w:t>5,6</w:t>
            </w:r>
            <w:r w:rsidRPr="001076E3">
              <w:t xml:space="preserve"> tis. ha, 53,5 % celkové rozlohy ČR.</w:t>
            </w:r>
          </w:p>
          <w:p w:rsidR="00AD6594" w:rsidRPr="001076E3" w:rsidRDefault="00AD6594" w:rsidP="00242EDF">
            <w:pPr>
              <w:pStyle w:val="Tabulka"/>
            </w:pPr>
            <w:r w:rsidRPr="001076E3">
              <w:t>lesní pozemek: 2 66</w:t>
            </w:r>
            <w:r>
              <w:t>6,4</w:t>
            </w:r>
            <w:r w:rsidRPr="001076E3">
              <w:t> tis. ha, 33,</w:t>
            </w:r>
            <w:r>
              <w:t>8</w:t>
            </w:r>
            <w:r w:rsidRPr="001076E3">
              <w:t> % celkové rozlohy ČR.</w:t>
            </w:r>
          </w:p>
        </w:tc>
      </w:tr>
      <w:tr w:rsidR="00AD6594" w:rsidRPr="001076E3" w:rsidTr="00242EDF">
        <w:trPr>
          <w:cantSplit/>
        </w:trPr>
        <w:tc>
          <w:tcPr>
            <w:tcW w:w="737" w:type="dxa"/>
            <w:tcBorders>
              <w:right w:val="single" w:sz="12" w:space="0" w:color="auto"/>
            </w:tcBorders>
          </w:tcPr>
          <w:p w:rsidR="00AD6594" w:rsidRPr="001076E3" w:rsidRDefault="00AD6594" w:rsidP="00242EDF">
            <w:pPr>
              <w:pStyle w:val="Tabulka"/>
            </w:pPr>
            <w:r w:rsidRPr="001076E3">
              <w:t>2</w:t>
            </w:r>
          </w:p>
        </w:tc>
        <w:tc>
          <w:tcPr>
            <w:tcW w:w="3330" w:type="dxa"/>
            <w:tcBorders>
              <w:left w:val="single" w:sz="12" w:space="0" w:color="auto"/>
            </w:tcBorders>
          </w:tcPr>
          <w:p w:rsidR="00AD6594" w:rsidRPr="001076E3" w:rsidRDefault="00AD6594" w:rsidP="00242EDF">
            <w:pPr>
              <w:pStyle w:val="Tabulka"/>
            </w:pPr>
            <w:r w:rsidRPr="001076E3">
              <w:t>Zornění a zatravnění (%), ČÚZK.</w:t>
            </w:r>
          </w:p>
        </w:tc>
        <w:tc>
          <w:tcPr>
            <w:tcW w:w="5171" w:type="dxa"/>
          </w:tcPr>
          <w:p w:rsidR="00AD6594" w:rsidRPr="001076E3" w:rsidRDefault="00AD6594" w:rsidP="00242EDF">
            <w:pPr>
              <w:pStyle w:val="Tabulka"/>
            </w:pPr>
            <w:r w:rsidRPr="001076E3">
              <w:t>Zornění: 70,</w:t>
            </w:r>
            <w:r>
              <w:t>7</w:t>
            </w:r>
            <w:r w:rsidRPr="001076E3">
              <w:t> % (2 9</w:t>
            </w:r>
            <w:r>
              <w:t xml:space="preserve">79 </w:t>
            </w:r>
            <w:r w:rsidRPr="001076E3">
              <w:t>tis. ha o. p.).</w:t>
            </w:r>
          </w:p>
          <w:p w:rsidR="00AD6594" w:rsidRPr="001076E3" w:rsidRDefault="00AD6594" w:rsidP="00242EDF">
            <w:pPr>
              <w:pStyle w:val="Tabulka"/>
            </w:pPr>
            <w:r w:rsidRPr="001076E3">
              <w:t>Zatravnění: 23,</w:t>
            </w:r>
            <w:r>
              <w:t>7</w:t>
            </w:r>
            <w:r w:rsidRPr="001076E3">
              <w:t> % (99</w:t>
            </w:r>
            <w:r>
              <w:t>7,2</w:t>
            </w:r>
            <w:r w:rsidRPr="001076E3">
              <w:t xml:space="preserve"> tis. ha TTP).</w:t>
            </w:r>
          </w:p>
        </w:tc>
      </w:tr>
      <w:tr w:rsidR="00AD6594" w:rsidRPr="001076E3" w:rsidTr="00242EDF">
        <w:trPr>
          <w:cantSplit/>
        </w:trPr>
        <w:tc>
          <w:tcPr>
            <w:tcW w:w="737" w:type="dxa"/>
            <w:tcBorders>
              <w:right w:val="single" w:sz="12" w:space="0" w:color="auto"/>
            </w:tcBorders>
          </w:tcPr>
          <w:p w:rsidR="00AD6594" w:rsidRPr="001076E3" w:rsidRDefault="00AD6594" w:rsidP="00242EDF">
            <w:pPr>
              <w:pStyle w:val="Tabulka"/>
            </w:pPr>
            <w:r w:rsidRPr="001076E3">
              <w:t>3</w:t>
            </w:r>
          </w:p>
        </w:tc>
        <w:tc>
          <w:tcPr>
            <w:tcW w:w="3330" w:type="dxa"/>
            <w:tcBorders>
              <w:left w:val="single" w:sz="12" w:space="0" w:color="auto"/>
            </w:tcBorders>
          </w:tcPr>
          <w:p w:rsidR="00AD6594" w:rsidRPr="001076E3" w:rsidRDefault="00AD6594" w:rsidP="00242EDF">
            <w:pPr>
              <w:pStyle w:val="Tabulka"/>
            </w:pPr>
            <w:r w:rsidRPr="001076E3">
              <w:t>Podíl trvalých kultur na ZPF, (%, ha), ČÚZK.</w:t>
            </w:r>
          </w:p>
        </w:tc>
        <w:tc>
          <w:tcPr>
            <w:tcW w:w="5171" w:type="dxa"/>
          </w:tcPr>
          <w:p w:rsidR="00AD6594" w:rsidRPr="001076E3" w:rsidRDefault="00AD6594" w:rsidP="00242EDF">
            <w:pPr>
              <w:pStyle w:val="Tabulka"/>
            </w:pPr>
            <w:r w:rsidRPr="001076E3">
              <w:t>5,</w:t>
            </w:r>
            <w:r>
              <w:t>7</w:t>
            </w:r>
            <w:r w:rsidRPr="001076E3">
              <w:t> % z. p., (239,</w:t>
            </w:r>
            <w:r>
              <w:t>4</w:t>
            </w:r>
            <w:r w:rsidRPr="001076E3">
              <w:t> tis. ha chmelnic, vinic, zahrad, ovocných sadů).</w:t>
            </w:r>
          </w:p>
        </w:tc>
      </w:tr>
      <w:tr w:rsidR="00AD6594" w:rsidRPr="001076E3" w:rsidTr="00242EDF">
        <w:trPr>
          <w:cantSplit/>
        </w:trPr>
        <w:tc>
          <w:tcPr>
            <w:tcW w:w="737" w:type="dxa"/>
            <w:tcBorders>
              <w:right w:val="single" w:sz="12" w:space="0" w:color="auto"/>
            </w:tcBorders>
          </w:tcPr>
          <w:p w:rsidR="00AD6594" w:rsidRPr="001076E3" w:rsidRDefault="00AD6594" w:rsidP="00242EDF">
            <w:pPr>
              <w:pStyle w:val="Tabulka"/>
            </w:pPr>
            <w:r w:rsidRPr="001076E3">
              <w:t>4</w:t>
            </w:r>
          </w:p>
        </w:tc>
        <w:tc>
          <w:tcPr>
            <w:tcW w:w="3330" w:type="dxa"/>
            <w:tcBorders>
              <w:left w:val="single" w:sz="12" w:space="0" w:color="auto"/>
            </w:tcBorders>
          </w:tcPr>
          <w:p w:rsidR="00AD6594" w:rsidRPr="001076E3" w:rsidRDefault="00AD6594" w:rsidP="00242EDF">
            <w:pPr>
              <w:pStyle w:val="Tabulka"/>
            </w:pPr>
            <w:r w:rsidRPr="001076E3">
              <w:t>Podíl ZCHÚ celkem bez překryvů na rozloze ČR (ha, %), MZe.</w:t>
            </w:r>
          </w:p>
        </w:tc>
        <w:tc>
          <w:tcPr>
            <w:tcW w:w="5171" w:type="dxa"/>
          </w:tcPr>
          <w:p w:rsidR="00AD6594" w:rsidRPr="001076E3" w:rsidRDefault="00AD6594" w:rsidP="00242EDF">
            <w:pPr>
              <w:pStyle w:val="Tabulka"/>
            </w:pPr>
            <w:r>
              <w:t>Přibližně 1 256 tis. ha, 15,9</w:t>
            </w:r>
            <w:r w:rsidRPr="001076E3">
              <w:t> % celkové rozlohy ČR (velkoplošná ZCHÚ a maloplošná ZCHÚ mimo NP a CHKO). Z toho je přibližně 30</w:t>
            </w:r>
            <w:r>
              <w:t>2</w:t>
            </w:r>
            <w:r w:rsidRPr="001076E3">
              <w:t> tis. ha z. p.</w:t>
            </w:r>
          </w:p>
        </w:tc>
      </w:tr>
      <w:tr w:rsidR="00AD6594" w:rsidRPr="001076E3" w:rsidTr="00242EDF">
        <w:trPr>
          <w:cantSplit/>
        </w:trPr>
        <w:tc>
          <w:tcPr>
            <w:tcW w:w="737" w:type="dxa"/>
            <w:tcBorders>
              <w:right w:val="single" w:sz="12" w:space="0" w:color="auto"/>
            </w:tcBorders>
          </w:tcPr>
          <w:p w:rsidR="00AD6594" w:rsidRPr="001076E3" w:rsidRDefault="00AD6594" w:rsidP="00242EDF">
            <w:pPr>
              <w:pStyle w:val="Tabulka"/>
            </w:pPr>
            <w:r w:rsidRPr="001076E3">
              <w:t>5</w:t>
            </w:r>
          </w:p>
        </w:tc>
        <w:tc>
          <w:tcPr>
            <w:tcW w:w="3330" w:type="dxa"/>
            <w:tcBorders>
              <w:left w:val="single" w:sz="12" w:space="0" w:color="auto"/>
            </w:tcBorders>
          </w:tcPr>
          <w:p w:rsidR="00AD6594" w:rsidRPr="001076E3" w:rsidRDefault="00AD6594" w:rsidP="00242EDF">
            <w:pPr>
              <w:pStyle w:val="Tabulka"/>
            </w:pPr>
            <w:r>
              <w:t>Podíl soustavy Natura 2000 na </w:t>
            </w:r>
            <w:r w:rsidRPr="001076E3">
              <w:t>rozloze ČR (ha, %), MZe.</w:t>
            </w:r>
          </w:p>
        </w:tc>
        <w:tc>
          <w:tcPr>
            <w:tcW w:w="5171" w:type="dxa"/>
          </w:tcPr>
          <w:p w:rsidR="00AD6594" w:rsidRPr="001076E3" w:rsidRDefault="00AD6594" w:rsidP="00242EDF">
            <w:pPr>
              <w:pStyle w:val="Tabulka"/>
            </w:pPr>
            <w:r w:rsidRPr="001076E3">
              <w:t>Ptačí oblasti: 703,4 tis. ha (8,9 % celkové rozlohy ČR), z toho cca 12</w:t>
            </w:r>
            <w:r>
              <w:t>1</w:t>
            </w:r>
            <w:r w:rsidRPr="001076E3">
              <w:t> tis. ha z. p.</w:t>
            </w:r>
          </w:p>
          <w:p w:rsidR="00AD6594" w:rsidRPr="001076E3" w:rsidRDefault="00AD6594" w:rsidP="00242EDF">
            <w:pPr>
              <w:pStyle w:val="Tabulka"/>
            </w:pPr>
            <w:r w:rsidRPr="001076E3">
              <w:t>Evropsky významné lokality podle národního seznamu: 785,</w:t>
            </w:r>
            <w:r>
              <w:t>6</w:t>
            </w:r>
            <w:r w:rsidRPr="001076E3">
              <w:t> tis. ha (</w:t>
            </w:r>
            <w:r>
              <w:t>10,0</w:t>
            </w:r>
            <w:r w:rsidDel="0081689D">
              <w:t xml:space="preserve"> </w:t>
            </w:r>
            <w:r w:rsidRPr="001076E3">
              <w:t>% celkové rozlohy ČR), z toho cca 10</w:t>
            </w:r>
            <w:r>
              <w:t>2</w:t>
            </w:r>
            <w:r w:rsidRPr="001076E3">
              <w:t> tis. ha z. p.</w:t>
            </w:r>
          </w:p>
        </w:tc>
      </w:tr>
      <w:tr w:rsidR="00AD6594" w:rsidRPr="001076E3" w:rsidTr="00242EDF">
        <w:trPr>
          <w:cantSplit/>
        </w:trPr>
        <w:tc>
          <w:tcPr>
            <w:tcW w:w="737" w:type="dxa"/>
            <w:tcBorders>
              <w:right w:val="single" w:sz="12" w:space="0" w:color="auto"/>
            </w:tcBorders>
          </w:tcPr>
          <w:p w:rsidR="00AD6594" w:rsidRPr="001076E3" w:rsidRDefault="00AD6594" w:rsidP="00242EDF">
            <w:pPr>
              <w:pStyle w:val="Tabulka"/>
            </w:pPr>
            <w:r w:rsidRPr="001076E3">
              <w:t>6</w:t>
            </w:r>
          </w:p>
        </w:tc>
        <w:tc>
          <w:tcPr>
            <w:tcW w:w="3330" w:type="dxa"/>
            <w:tcBorders>
              <w:left w:val="single" w:sz="12" w:space="0" w:color="auto"/>
            </w:tcBorders>
          </w:tcPr>
          <w:p w:rsidR="00AD6594" w:rsidRPr="001076E3" w:rsidRDefault="00AD6594" w:rsidP="00242EDF">
            <w:pPr>
              <w:pStyle w:val="Tabulka"/>
            </w:pPr>
            <w:r w:rsidRPr="001076E3">
              <w:t>Celkový podíl území chráněných</w:t>
            </w:r>
            <w:r>
              <w:t xml:space="preserve"> podle zákona č. 114/1992 Sb. na </w:t>
            </w:r>
            <w:r w:rsidRPr="001076E3">
              <w:t>rozloze ČR (ha, %), MZe</w:t>
            </w:r>
            <w:r>
              <w:t>.</w:t>
            </w:r>
          </w:p>
        </w:tc>
        <w:tc>
          <w:tcPr>
            <w:tcW w:w="5171" w:type="dxa"/>
          </w:tcPr>
          <w:p w:rsidR="00AD6594" w:rsidRPr="001076E3" w:rsidRDefault="00AD6594" w:rsidP="00242EDF">
            <w:pPr>
              <w:pStyle w:val="Tabulka"/>
            </w:pPr>
            <w:r w:rsidRPr="001076E3">
              <w:t>1 68</w:t>
            </w:r>
            <w:r>
              <w:t>6,4</w:t>
            </w:r>
            <w:r w:rsidRPr="001076E3">
              <w:t> tis. ha, tj. 21,</w:t>
            </w:r>
            <w:r>
              <w:t>4</w:t>
            </w:r>
            <w:r w:rsidRPr="001076E3">
              <w:t> % výměry ČR.</w:t>
            </w:r>
          </w:p>
        </w:tc>
      </w:tr>
      <w:tr w:rsidR="00AD6594" w:rsidRPr="001076E3" w:rsidTr="00242EDF">
        <w:trPr>
          <w:cantSplit/>
        </w:trPr>
        <w:tc>
          <w:tcPr>
            <w:tcW w:w="737" w:type="dxa"/>
            <w:tcBorders>
              <w:right w:val="single" w:sz="12" w:space="0" w:color="auto"/>
            </w:tcBorders>
          </w:tcPr>
          <w:p w:rsidR="00AD6594" w:rsidRPr="001076E3" w:rsidRDefault="00AD6594" w:rsidP="00242EDF">
            <w:pPr>
              <w:pStyle w:val="Tabulka"/>
            </w:pPr>
            <w:r w:rsidRPr="001076E3">
              <w:t>7</w:t>
            </w:r>
          </w:p>
        </w:tc>
        <w:tc>
          <w:tcPr>
            <w:tcW w:w="3330" w:type="dxa"/>
            <w:tcBorders>
              <w:left w:val="single" w:sz="12" w:space="0" w:color="auto"/>
            </w:tcBorders>
          </w:tcPr>
          <w:p w:rsidR="00AD6594" w:rsidRPr="001076E3" w:rsidRDefault="00AD6594" w:rsidP="00242EDF">
            <w:pPr>
              <w:pStyle w:val="Tabulka"/>
            </w:pPr>
            <w:r w:rsidRPr="001076E3">
              <w:t>Podíl ZOD na rozloze ČR (ha, %), MZe.</w:t>
            </w:r>
          </w:p>
        </w:tc>
        <w:tc>
          <w:tcPr>
            <w:tcW w:w="5171" w:type="dxa"/>
          </w:tcPr>
          <w:p w:rsidR="00AD6594" w:rsidRPr="001076E3" w:rsidRDefault="00AD6594" w:rsidP="00242EDF">
            <w:pPr>
              <w:pStyle w:val="Tabulka"/>
            </w:pPr>
            <w:r w:rsidRPr="001076E3">
              <w:t>3 283,1 ha (41,6 % celkové výměry ČR</w:t>
            </w:r>
            <w:r w:rsidRPr="00553AF5">
              <w:t>), 2 247 ha</w:t>
            </w:r>
            <w:r w:rsidRPr="001076E3">
              <w:t xml:space="preserve"> z. p. (</w:t>
            </w:r>
            <w:r>
              <w:t>53,3</w:t>
            </w:r>
            <w:r w:rsidRPr="001076E3">
              <w:t> % z. p.) podle ČÚZK.</w:t>
            </w:r>
          </w:p>
        </w:tc>
      </w:tr>
      <w:tr w:rsidR="00AD6594" w:rsidRPr="00DD7CD6" w:rsidTr="00242EDF">
        <w:trPr>
          <w:cantSplit/>
        </w:trPr>
        <w:tc>
          <w:tcPr>
            <w:tcW w:w="737" w:type="dxa"/>
            <w:tcBorders>
              <w:right w:val="single" w:sz="12" w:space="0" w:color="auto"/>
            </w:tcBorders>
          </w:tcPr>
          <w:p w:rsidR="00AD6594" w:rsidRPr="00DD7CD6" w:rsidRDefault="00AD6594" w:rsidP="00242EDF">
            <w:pPr>
              <w:pStyle w:val="Tabulka"/>
            </w:pPr>
            <w:r w:rsidRPr="00DD7CD6">
              <w:t>8</w:t>
            </w:r>
          </w:p>
        </w:tc>
        <w:tc>
          <w:tcPr>
            <w:tcW w:w="3330" w:type="dxa"/>
            <w:tcBorders>
              <w:left w:val="single" w:sz="12" w:space="0" w:color="auto"/>
            </w:tcBorders>
          </w:tcPr>
          <w:p w:rsidR="00AD6594" w:rsidRPr="00DD7CD6" w:rsidRDefault="00AD6594" w:rsidP="00242EDF">
            <w:pPr>
              <w:pStyle w:val="Tabulka"/>
            </w:pPr>
            <w:r w:rsidRPr="00DD7CD6">
              <w:t>Podíl LFA – ZPF podle LPIS, (ha, %), MZe.</w:t>
            </w:r>
          </w:p>
        </w:tc>
        <w:tc>
          <w:tcPr>
            <w:tcW w:w="5171" w:type="dxa"/>
          </w:tcPr>
          <w:p w:rsidR="00AD6594" w:rsidRPr="00DD7CD6" w:rsidRDefault="00AD6594" w:rsidP="008214C6">
            <w:pPr>
              <w:pStyle w:val="Tabulka"/>
            </w:pPr>
            <w:r w:rsidRPr="00DD7CD6">
              <w:t>LFA</w:t>
            </w:r>
            <w:r w:rsidR="008214C6">
              <w:t>:</w:t>
            </w:r>
            <w:r w:rsidRPr="00DD7CD6">
              <w:t xml:space="preserve"> 1</w:t>
            </w:r>
            <w:r>
              <w:t> </w:t>
            </w:r>
            <w:r w:rsidRPr="00DD7CD6">
              <w:t>7</w:t>
            </w:r>
            <w:r>
              <w:t>75,7</w:t>
            </w:r>
            <w:r w:rsidRPr="00DD7CD6">
              <w:t> tis. ha z. p., tj. 50,</w:t>
            </w:r>
            <w:r>
              <w:t>5</w:t>
            </w:r>
            <w:r w:rsidRPr="00DD7CD6">
              <w:t xml:space="preserve"> % z. p.</w:t>
            </w:r>
          </w:p>
        </w:tc>
      </w:tr>
      <w:tr w:rsidR="00AD6594" w:rsidRPr="00DD7CD6" w:rsidTr="00242EDF">
        <w:trPr>
          <w:cantSplit/>
        </w:trPr>
        <w:tc>
          <w:tcPr>
            <w:tcW w:w="737" w:type="dxa"/>
            <w:tcBorders>
              <w:right w:val="single" w:sz="12" w:space="0" w:color="auto"/>
            </w:tcBorders>
          </w:tcPr>
          <w:p w:rsidR="00AD6594" w:rsidRPr="00DD7CD6" w:rsidRDefault="00AD6594" w:rsidP="00242EDF">
            <w:pPr>
              <w:pStyle w:val="Tabulka"/>
            </w:pPr>
            <w:r w:rsidRPr="00DD7CD6">
              <w:t>9</w:t>
            </w:r>
          </w:p>
        </w:tc>
        <w:tc>
          <w:tcPr>
            <w:tcW w:w="3330" w:type="dxa"/>
            <w:tcBorders>
              <w:left w:val="single" w:sz="12" w:space="0" w:color="auto"/>
            </w:tcBorders>
          </w:tcPr>
          <w:p w:rsidR="00AD6594" w:rsidRPr="00DD7CD6" w:rsidRDefault="00AD6594" w:rsidP="00242EDF">
            <w:pPr>
              <w:pStyle w:val="Tabulka"/>
            </w:pPr>
            <w:r w:rsidRPr="00DD7CD6">
              <w:t>Výměra odvodněných a </w:t>
            </w:r>
            <w:proofErr w:type="spellStart"/>
            <w:r w:rsidRPr="00DD7CD6">
              <w:t>zavlažovatelných</w:t>
            </w:r>
            <w:proofErr w:type="spellEnd"/>
            <w:r w:rsidRPr="00DD7CD6">
              <w:t xml:space="preserve"> ploch (ha, %), PMO</w:t>
            </w:r>
            <w:r w:rsidR="00250B07" w:rsidRPr="00250B07">
              <w:t>, ČSÚ</w:t>
            </w:r>
            <w:r w:rsidRPr="00DD7CD6">
              <w:t>.</w:t>
            </w:r>
          </w:p>
        </w:tc>
        <w:tc>
          <w:tcPr>
            <w:tcW w:w="5171" w:type="dxa"/>
          </w:tcPr>
          <w:p w:rsidR="00AD6594" w:rsidRPr="00DD7CD6" w:rsidRDefault="00AD6594" w:rsidP="008A0193">
            <w:pPr>
              <w:pStyle w:val="Tabulka"/>
            </w:pPr>
            <w:r w:rsidRPr="00DD7CD6">
              <w:t>1 078 tis. ha odvodněných ploch (25,</w:t>
            </w:r>
            <w:r>
              <w:t>6</w:t>
            </w:r>
            <w:r w:rsidRPr="00DD7CD6">
              <w:t xml:space="preserve"> % z. p.). Skutečně provozované závlahy jsou na rozloze </w:t>
            </w:r>
            <w:r w:rsidR="008A0193">
              <w:t>17,8</w:t>
            </w:r>
            <w:r w:rsidR="008A0193" w:rsidRPr="00DD7CD6">
              <w:t> </w:t>
            </w:r>
            <w:r w:rsidRPr="00DD7CD6">
              <w:t>tis. ha (</w:t>
            </w:r>
            <w:r w:rsidR="008A0193">
              <w:t>0,4</w:t>
            </w:r>
            <w:r>
              <w:t xml:space="preserve"> </w:t>
            </w:r>
            <w:r w:rsidRPr="00DD7CD6">
              <w:t>% z. p.).</w:t>
            </w:r>
          </w:p>
        </w:tc>
      </w:tr>
      <w:tr w:rsidR="00AD6594" w:rsidRPr="00DD7CD6" w:rsidTr="00242EDF">
        <w:trPr>
          <w:cantSplit/>
        </w:trPr>
        <w:tc>
          <w:tcPr>
            <w:tcW w:w="737" w:type="dxa"/>
            <w:tcBorders>
              <w:right w:val="single" w:sz="12" w:space="0" w:color="auto"/>
            </w:tcBorders>
          </w:tcPr>
          <w:p w:rsidR="00AD6594" w:rsidRPr="00DD7CD6" w:rsidRDefault="00AD6594" w:rsidP="00242EDF">
            <w:pPr>
              <w:pStyle w:val="Tabulka"/>
            </w:pPr>
            <w:r w:rsidRPr="00DD7CD6">
              <w:t>10</w:t>
            </w:r>
          </w:p>
        </w:tc>
        <w:tc>
          <w:tcPr>
            <w:tcW w:w="3330" w:type="dxa"/>
            <w:tcBorders>
              <w:left w:val="single" w:sz="12" w:space="0" w:color="auto"/>
            </w:tcBorders>
          </w:tcPr>
          <w:p w:rsidR="00AD6594" w:rsidRPr="00DD7CD6" w:rsidRDefault="00AD6594" w:rsidP="00242EDF">
            <w:pPr>
              <w:pStyle w:val="Tabulka"/>
            </w:pPr>
            <w:r w:rsidRPr="00DD7CD6">
              <w:t>Výměra území potenciálně ohroženého vodní a větrnou erozí (ha, %), VÚMOP.</w:t>
            </w:r>
          </w:p>
        </w:tc>
        <w:tc>
          <w:tcPr>
            <w:tcW w:w="5171" w:type="dxa"/>
          </w:tcPr>
          <w:p w:rsidR="00AD6594" w:rsidRDefault="00AD6594" w:rsidP="00242EDF">
            <w:pPr>
              <w:pStyle w:val="Tabulka"/>
            </w:pPr>
            <w:r w:rsidRPr="00DD7CD6">
              <w:t xml:space="preserve">Potenciálně ohroženo vodní erozí: </w:t>
            </w:r>
            <w:r>
              <w:t>3 244,1</w:t>
            </w:r>
            <w:r w:rsidRPr="00DD7CD6">
              <w:t> tis. ha bonitované z. p.</w:t>
            </w:r>
          </w:p>
          <w:p w:rsidR="00AD6594" w:rsidRPr="00DD7CD6" w:rsidRDefault="00AD6594" w:rsidP="00242EDF">
            <w:pPr>
              <w:pStyle w:val="Tabulka"/>
            </w:pPr>
            <w:r w:rsidRPr="00DD7CD6">
              <w:t>Potenciálně ohroženo větrnou erozí: 2</w:t>
            </w:r>
            <w:r>
              <w:t>69,4</w:t>
            </w:r>
            <w:r w:rsidRPr="00DD7CD6">
              <w:t> tis. ha bonitované z. p.</w:t>
            </w:r>
            <w:r w:rsidRPr="002D7CF8">
              <w:rPr>
                <w:rStyle w:val="Znakapoznpodarou"/>
              </w:rPr>
              <w:footnoteReference w:id="46"/>
            </w:r>
            <w:r w:rsidR="00274821">
              <w:t>.</w:t>
            </w:r>
          </w:p>
        </w:tc>
      </w:tr>
      <w:tr w:rsidR="00AD6594" w:rsidRPr="00DD7CD6" w:rsidTr="00242EDF">
        <w:trPr>
          <w:cantSplit/>
        </w:trPr>
        <w:tc>
          <w:tcPr>
            <w:tcW w:w="737" w:type="dxa"/>
            <w:tcBorders>
              <w:right w:val="single" w:sz="12" w:space="0" w:color="auto"/>
            </w:tcBorders>
          </w:tcPr>
          <w:p w:rsidR="00AD6594" w:rsidRPr="00DD7CD6" w:rsidRDefault="00AD6594" w:rsidP="00242EDF">
            <w:pPr>
              <w:pStyle w:val="Tabulka"/>
            </w:pPr>
            <w:r w:rsidRPr="00DD7CD6">
              <w:t>11</w:t>
            </w:r>
          </w:p>
        </w:tc>
        <w:tc>
          <w:tcPr>
            <w:tcW w:w="3330" w:type="dxa"/>
            <w:tcBorders>
              <w:left w:val="single" w:sz="12" w:space="0" w:color="auto"/>
            </w:tcBorders>
          </w:tcPr>
          <w:p w:rsidR="00AD6594" w:rsidRPr="00DD7CD6" w:rsidRDefault="00AD6594" w:rsidP="00242EDF">
            <w:pPr>
              <w:pStyle w:val="Tabulka"/>
            </w:pPr>
            <w:r w:rsidRPr="00DD7CD6">
              <w:t>Výměra území potenciálně ohroženého nedostatkem přístupné vláhy (ha, %), VÚMOP.</w:t>
            </w:r>
          </w:p>
        </w:tc>
        <w:tc>
          <w:tcPr>
            <w:tcW w:w="5171" w:type="dxa"/>
          </w:tcPr>
          <w:p w:rsidR="00AD6594" w:rsidRPr="00DD7CD6" w:rsidRDefault="00AD6594" w:rsidP="001950A8">
            <w:pPr>
              <w:pStyle w:val="Tabulka"/>
            </w:pPr>
            <w:r w:rsidRPr="00DD7CD6">
              <w:t>Přibližně 59,</w:t>
            </w:r>
            <w:r w:rsidR="001950A8">
              <w:t>7</w:t>
            </w:r>
            <w:r w:rsidRPr="00DD7CD6">
              <w:t> tis. ha (1,</w:t>
            </w:r>
            <w:r>
              <w:t>2 % z. p. dle databáze BPEJ).</w:t>
            </w:r>
          </w:p>
        </w:tc>
      </w:tr>
      <w:tr w:rsidR="00AD6594" w:rsidRPr="00DD7CD6" w:rsidTr="00242EDF">
        <w:trPr>
          <w:cantSplit/>
        </w:trPr>
        <w:tc>
          <w:tcPr>
            <w:tcW w:w="737" w:type="dxa"/>
            <w:tcBorders>
              <w:right w:val="single" w:sz="12" w:space="0" w:color="auto"/>
            </w:tcBorders>
          </w:tcPr>
          <w:p w:rsidR="00AD6594" w:rsidRPr="00DD7CD6" w:rsidRDefault="00AD6594" w:rsidP="00242EDF">
            <w:pPr>
              <w:pStyle w:val="Tabulka"/>
            </w:pPr>
            <w:r w:rsidRPr="00DD7CD6">
              <w:lastRenderedPageBreak/>
              <w:t>12</w:t>
            </w:r>
          </w:p>
        </w:tc>
        <w:tc>
          <w:tcPr>
            <w:tcW w:w="3330" w:type="dxa"/>
            <w:tcBorders>
              <w:left w:val="single" w:sz="12" w:space="0" w:color="auto"/>
            </w:tcBorders>
          </w:tcPr>
          <w:p w:rsidR="00AD6594" w:rsidRPr="00DD7CD6" w:rsidRDefault="00AD6594" w:rsidP="00242EDF">
            <w:pPr>
              <w:pStyle w:val="Tabulka"/>
            </w:pPr>
            <w:r w:rsidRPr="00DD7CD6">
              <w:t>Výměra území potenciálně ovlivněného zasolením a podmáčením (ha, %), VÚMOP.</w:t>
            </w:r>
          </w:p>
        </w:tc>
        <w:tc>
          <w:tcPr>
            <w:tcW w:w="5171" w:type="dxa"/>
          </w:tcPr>
          <w:p w:rsidR="00AD6594" w:rsidRPr="00DD7CD6" w:rsidRDefault="00AD6594" w:rsidP="00242EDF">
            <w:pPr>
              <w:pStyle w:val="Tabulka"/>
            </w:pPr>
            <w:r w:rsidRPr="00DD7CD6">
              <w:t>Slabě zasoleno: asi 6,6 tis. ha (0,</w:t>
            </w:r>
            <w:r>
              <w:t>2</w:t>
            </w:r>
            <w:r w:rsidRPr="00DD7CD6">
              <w:t> % z. p. dle databáze BPEJ)</w:t>
            </w:r>
            <w:r w:rsidRPr="002D7CF8">
              <w:rPr>
                <w:rStyle w:val="Znakapoznpodarou"/>
              </w:rPr>
              <w:footnoteReference w:id="47"/>
            </w:r>
            <w:r>
              <w:t>.</w:t>
            </w:r>
          </w:p>
          <w:p w:rsidR="00AD6594" w:rsidRPr="00DD7CD6" w:rsidRDefault="00AD6594" w:rsidP="00242EDF">
            <w:pPr>
              <w:pStyle w:val="Tabulka"/>
            </w:pPr>
            <w:r w:rsidRPr="00DD7CD6">
              <w:t xml:space="preserve">Podmáčeno: odhaduje se </w:t>
            </w:r>
            <w:r>
              <w:t>197</w:t>
            </w:r>
            <w:r w:rsidRPr="00DD7CD6">
              <w:t> tis. ha (</w:t>
            </w:r>
            <w:r>
              <w:t>4,7</w:t>
            </w:r>
            <w:r w:rsidRPr="00DD7CD6">
              <w:t> % z. p. dle databáze BPEJ).</w:t>
            </w:r>
          </w:p>
        </w:tc>
      </w:tr>
      <w:tr w:rsidR="00AD6594" w:rsidRPr="008B0409" w:rsidTr="00242EDF">
        <w:trPr>
          <w:cantSplit/>
        </w:trPr>
        <w:tc>
          <w:tcPr>
            <w:tcW w:w="737" w:type="dxa"/>
            <w:tcBorders>
              <w:right w:val="single" w:sz="12" w:space="0" w:color="auto"/>
            </w:tcBorders>
          </w:tcPr>
          <w:p w:rsidR="00AD6594" w:rsidRPr="00E37B38" w:rsidRDefault="00AD6594" w:rsidP="00242EDF">
            <w:pPr>
              <w:pStyle w:val="Tabulka"/>
            </w:pPr>
            <w:r w:rsidRPr="00E37B38">
              <w:t>13</w:t>
            </w:r>
          </w:p>
        </w:tc>
        <w:tc>
          <w:tcPr>
            <w:tcW w:w="3330" w:type="dxa"/>
            <w:tcBorders>
              <w:left w:val="single" w:sz="12" w:space="0" w:color="auto"/>
            </w:tcBorders>
          </w:tcPr>
          <w:p w:rsidR="00AD6594" w:rsidRPr="00E37B38" w:rsidRDefault="00AD6594" w:rsidP="00242EDF">
            <w:pPr>
              <w:pStyle w:val="Tabulka"/>
            </w:pPr>
            <w:r w:rsidRPr="00E37B38">
              <w:t>Podíl ploch, na kterých se pěstují geneticky modifikované plodiny (ha), MŽP, MZe.</w:t>
            </w:r>
          </w:p>
        </w:tc>
        <w:tc>
          <w:tcPr>
            <w:tcW w:w="5171" w:type="dxa"/>
          </w:tcPr>
          <w:p w:rsidR="00AD6594" w:rsidRPr="00E37B38" w:rsidRDefault="00AD6594" w:rsidP="00242EDF">
            <w:pPr>
              <w:pStyle w:val="Tabulka"/>
            </w:pPr>
            <w:r w:rsidRPr="00E37B38">
              <w:t xml:space="preserve">GM plodiny pěstovalo </w:t>
            </w:r>
            <w:r>
              <w:t>18</w:t>
            </w:r>
            <w:r w:rsidRPr="00E37B38">
              <w:t xml:space="preserve"> zemědělců na produkční ploše </w:t>
            </w:r>
            <w:r>
              <w:t>1 754</w:t>
            </w:r>
            <w:r w:rsidRPr="00E37B38">
              <w:t> ha. Na celé ploše se pěstovala kukuřice MON 810.</w:t>
            </w:r>
          </w:p>
        </w:tc>
      </w:tr>
      <w:tr w:rsidR="00AD6594" w:rsidRPr="008B0409" w:rsidTr="00242EDF">
        <w:trPr>
          <w:cantSplit/>
        </w:trPr>
        <w:tc>
          <w:tcPr>
            <w:tcW w:w="737" w:type="dxa"/>
            <w:tcBorders>
              <w:right w:val="single" w:sz="12" w:space="0" w:color="auto"/>
            </w:tcBorders>
          </w:tcPr>
          <w:p w:rsidR="00AD6594" w:rsidRPr="00E37B38" w:rsidRDefault="00AD6594" w:rsidP="00242EDF">
            <w:pPr>
              <w:pStyle w:val="Tabulka"/>
            </w:pPr>
            <w:r w:rsidRPr="00E37B38">
              <w:t>14</w:t>
            </w:r>
          </w:p>
        </w:tc>
        <w:tc>
          <w:tcPr>
            <w:tcW w:w="3330" w:type="dxa"/>
            <w:tcBorders>
              <w:left w:val="single" w:sz="12" w:space="0" w:color="auto"/>
            </w:tcBorders>
          </w:tcPr>
          <w:p w:rsidR="00AD6594" w:rsidRPr="00E37B38" w:rsidRDefault="00AD6594" w:rsidP="00242EDF">
            <w:pPr>
              <w:pStyle w:val="Tabulka"/>
            </w:pPr>
            <w:r w:rsidRPr="00E37B38">
              <w:t>Podíl ploch s alternativním způsobem hospodaření (ha, %), MZe (SZIF, SISPO).</w:t>
            </w:r>
          </w:p>
        </w:tc>
        <w:tc>
          <w:tcPr>
            <w:tcW w:w="5171" w:type="dxa"/>
          </w:tcPr>
          <w:p w:rsidR="00AD6594" w:rsidRPr="00E37B38" w:rsidRDefault="00AD6594" w:rsidP="00242EDF">
            <w:pPr>
              <w:pStyle w:val="Tabulka"/>
            </w:pPr>
            <w:r w:rsidRPr="00E37B38">
              <w:t>Ekologické zemědělství: 49</w:t>
            </w:r>
            <w:r>
              <w:t>4,4</w:t>
            </w:r>
            <w:r w:rsidRPr="00E37B38">
              <w:t> tis. ha (11,</w:t>
            </w:r>
            <w:r>
              <w:t>7</w:t>
            </w:r>
            <w:r w:rsidRPr="00E37B38">
              <w:t> % z. p.) včetně ploch v konverzi.</w:t>
            </w:r>
          </w:p>
          <w:p w:rsidR="00AD6594" w:rsidRPr="00E37B38" w:rsidRDefault="00AD6594" w:rsidP="00A36D31">
            <w:pPr>
              <w:pStyle w:val="Tabulka"/>
            </w:pPr>
            <w:r w:rsidRPr="00E37B38">
              <w:t xml:space="preserve">Integrovaná </w:t>
            </w:r>
            <w:r w:rsidRPr="001E0EA2">
              <w:t>produkce</w:t>
            </w:r>
            <w:r>
              <w:t>:</w:t>
            </w:r>
            <w:r w:rsidRPr="001E0EA2">
              <w:t xml:space="preserve"> 5 </w:t>
            </w:r>
            <w:r>
              <w:t>707</w:t>
            </w:r>
            <w:r w:rsidRPr="001E0EA2">
              <w:t xml:space="preserve"> ha zeleniny</w:t>
            </w:r>
            <w:r w:rsidRPr="00A36D31">
              <w:t>, 11 34</w:t>
            </w:r>
            <w:r w:rsidR="00A36D31" w:rsidRPr="00A36D31">
              <w:t>0</w:t>
            </w:r>
            <w:r w:rsidRPr="00E37B38">
              <w:t xml:space="preserve"> ha vinné révy, </w:t>
            </w:r>
            <w:r>
              <w:t>10 880</w:t>
            </w:r>
            <w:r w:rsidRPr="00E37B38">
              <w:t xml:space="preserve"> ha</w:t>
            </w:r>
            <w:r w:rsidRPr="002D7CF8">
              <w:rPr>
                <w:rStyle w:val="Znakapoznpodarou"/>
              </w:rPr>
              <w:footnoteReference w:id="48"/>
            </w:r>
            <w:r w:rsidRPr="00E37B38">
              <w:t xml:space="preserve"> ovoce.</w:t>
            </w:r>
          </w:p>
        </w:tc>
      </w:tr>
      <w:tr w:rsidR="00AD6594" w:rsidRPr="008B0409" w:rsidTr="00242EDF">
        <w:trPr>
          <w:cantSplit/>
        </w:trPr>
        <w:tc>
          <w:tcPr>
            <w:tcW w:w="737" w:type="dxa"/>
            <w:tcBorders>
              <w:right w:val="single" w:sz="12" w:space="0" w:color="auto"/>
            </w:tcBorders>
          </w:tcPr>
          <w:p w:rsidR="00AD6594" w:rsidRPr="00B15E4C" w:rsidRDefault="00AD6594" w:rsidP="00242EDF">
            <w:pPr>
              <w:pStyle w:val="Tabulka"/>
            </w:pPr>
            <w:r w:rsidRPr="00B15E4C">
              <w:t>15</w:t>
            </w:r>
          </w:p>
        </w:tc>
        <w:tc>
          <w:tcPr>
            <w:tcW w:w="3330" w:type="dxa"/>
            <w:tcBorders>
              <w:left w:val="single" w:sz="12" w:space="0" w:color="auto"/>
            </w:tcBorders>
          </w:tcPr>
          <w:p w:rsidR="00AD6594" w:rsidRPr="00B15E4C" w:rsidRDefault="00AD6594" w:rsidP="00242EDF">
            <w:pPr>
              <w:pStyle w:val="Tabulka"/>
            </w:pPr>
            <w:r w:rsidRPr="00B15E4C">
              <w:t>Změny technologie zpracování půdy, VÚRV.</w:t>
            </w:r>
          </w:p>
        </w:tc>
        <w:tc>
          <w:tcPr>
            <w:tcW w:w="5171" w:type="dxa"/>
          </w:tcPr>
          <w:p w:rsidR="00AD6594" w:rsidRPr="00B15E4C" w:rsidRDefault="00AD6594" w:rsidP="00242EDF">
            <w:pPr>
              <w:pStyle w:val="Tabulka"/>
            </w:pPr>
            <w:r w:rsidRPr="00B15E4C">
              <w:t>Odhaduje se, že minimalizační technologie se používají asi na 1,2 mil. ha o. p. a </w:t>
            </w:r>
            <w:proofErr w:type="spellStart"/>
            <w:r w:rsidRPr="00B15E4C">
              <w:t>půdoochranné</w:t>
            </w:r>
            <w:proofErr w:type="spellEnd"/>
            <w:r w:rsidRPr="00B15E4C">
              <w:t xml:space="preserve"> technologie se používají asi na 240-270 tis. ha o. p.</w:t>
            </w:r>
          </w:p>
        </w:tc>
      </w:tr>
      <w:tr w:rsidR="00AD6594" w:rsidRPr="000852E0" w:rsidTr="00242EDF">
        <w:trPr>
          <w:cantSplit/>
        </w:trPr>
        <w:tc>
          <w:tcPr>
            <w:tcW w:w="737" w:type="dxa"/>
            <w:tcBorders>
              <w:right w:val="single" w:sz="12" w:space="0" w:color="auto"/>
            </w:tcBorders>
          </w:tcPr>
          <w:p w:rsidR="00AD6594" w:rsidRPr="000852E0" w:rsidRDefault="00AD6594" w:rsidP="00242EDF">
            <w:pPr>
              <w:pStyle w:val="Tabulka"/>
            </w:pPr>
            <w:r w:rsidRPr="000852E0">
              <w:t>16</w:t>
            </w:r>
          </w:p>
        </w:tc>
        <w:tc>
          <w:tcPr>
            <w:tcW w:w="3330" w:type="dxa"/>
            <w:tcBorders>
              <w:left w:val="single" w:sz="12" w:space="0" w:color="auto"/>
            </w:tcBorders>
          </w:tcPr>
          <w:p w:rsidR="00AD6594" w:rsidRPr="000852E0" w:rsidRDefault="00AD6594" w:rsidP="00242EDF">
            <w:pPr>
              <w:pStyle w:val="Tabulka"/>
            </w:pPr>
            <w:r w:rsidRPr="000852E0">
              <w:t>Spotřeba statkových hnojiv (kg č. ž./ha z. p.), MZe.</w:t>
            </w:r>
          </w:p>
        </w:tc>
        <w:tc>
          <w:tcPr>
            <w:tcW w:w="5171" w:type="dxa"/>
          </w:tcPr>
          <w:p w:rsidR="00AD6594" w:rsidRPr="000852E0" w:rsidRDefault="00AD6594" w:rsidP="00242EDF">
            <w:pPr>
              <w:pStyle w:val="Tabulka"/>
            </w:pPr>
            <w:r w:rsidRPr="000852E0">
              <w:t>N: 2</w:t>
            </w:r>
            <w:r>
              <w:t>7</w:t>
            </w:r>
            <w:r w:rsidRPr="000852E0">
              <w:t>,3 kg č. ž./ha z. p.,</w:t>
            </w:r>
          </w:p>
          <w:p w:rsidR="00AD6594" w:rsidRPr="000852E0" w:rsidRDefault="00AD6594" w:rsidP="00242EDF">
            <w:pPr>
              <w:pStyle w:val="Tabulka"/>
            </w:pPr>
            <w:r w:rsidRPr="000852E0">
              <w:t>P</w:t>
            </w:r>
            <w:r w:rsidRPr="000852E0">
              <w:rPr>
                <w:vertAlign w:val="subscript"/>
              </w:rPr>
              <w:t>2</w:t>
            </w:r>
            <w:r w:rsidRPr="000852E0">
              <w:t>O</w:t>
            </w:r>
            <w:r w:rsidRPr="000852E0">
              <w:rPr>
                <w:vertAlign w:val="subscript"/>
              </w:rPr>
              <w:t>5</w:t>
            </w:r>
            <w:r w:rsidRPr="000852E0">
              <w:t>: 1</w:t>
            </w:r>
            <w:r>
              <w:t>5,1</w:t>
            </w:r>
            <w:r w:rsidRPr="000852E0">
              <w:t xml:space="preserve"> kg č. ž./ha z. p.,</w:t>
            </w:r>
          </w:p>
          <w:p w:rsidR="00AD6594" w:rsidRPr="000852E0" w:rsidRDefault="00AD6594" w:rsidP="00242EDF">
            <w:pPr>
              <w:pStyle w:val="Tabulka"/>
            </w:pPr>
            <w:r w:rsidRPr="000852E0">
              <w:t>K</w:t>
            </w:r>
            <w:r w:rsidRPr="000852E0">
              <w:rPr>
                <w:vertAlign w:val="subscript"/>
              </w:rPr>
              <w:t>2</w:t>
            </w:r>
            <w:r w:rsidRPr="000852E0">
              <w:t>O: 2</w:t>
            </w:r>
            <w:r>
              <w:t>6,3</w:t>
            </w:r>
            <w:r w:rsidRPr="000852E0">
              <w:t xml:space="preserve"> kg č. ž./ha z. p.</w:t>
            </w:r>
          </w:p>
        </w:tc>
      </w:tr>
      <w:tr w:rsidR="00AD6594" w:rsidRPr="008B0409" w:rsidTr="00242EDF">
        <w:trPr>
          <w:cantSplit/>
        </w:trPr>
        <w:tc>
          <w:tcPr>
            <w:tcW w:w="737" w:type="dxa"/>
            <w:tcBorders>
              <w:right w:val="single" w:sz="12" w:space="0" w:color="auto"/>
            </w:tcBorders>
          </w:tcPr>
          <w:p w:rsidR="00AD6594" w:rsidRPr="000852E0" w:rsidRDefault="00AD6594" w:rsidP="00242EDF">
            <w:pPr>
              <w:pStyle w:val="Tabulka"/>
            </w:pPr>
            <w:r w:rsidRPr="000852E0">
              <w:t>17</w:t>
            </w:r>
          </w:p>
        </w:tc>
        <w:tc>
          <w:tcPr>
            <w:tcW w:w="3330" w:type="dxa"/>
            <w:tcBorders>
              <w:left w:val="single" w:sz="12" w:space="0" w:color="auto"/>
            </w:tcBorders>
          </w:tcPr>
          <w:p w:rsidR="00AD6594" w:rsidRPr="000852E0" w:rsidRDefault="00AD6594" w:rsidP="00242EDF">
            <w:pPr>
              <w:pStyle w:val="Tabulka"/>
            </w:pPr>
            <w:r w:rsidRPr="000852E0">
              <w:t>Spotřeba minerálních hnojiv (kg č. ž./ha z. p.), MZe.</w:t>
            </w:r>
          </w:p>
        </w:tc>
        <w:tc>
          <w:tcPr>
            <w:tcW w:w="5171" w:type="dxa"/>
          </w:tcPr>
          <w:p w:rsidR="00AD6594" w:rsidRPr="000852E0" w:rsidRDefault="00AD6594" w:rsidP="00242EDF">
            <w:pPr>
              <w:pStyle w:val="Tabulka"/>
            </w:pPr>
            <w:r w:rsidRPr="000852E0">
              <w:t>N: 9</w:t>
            </w:r>
            <w:r>
              <w:t>2,6</w:t>
            </w:r>
            <w:r w:rsidRPr="000852E0">
              <w:t xml:space="preserve"> kg č. ž./ha z. p.,</w:t>
            </w:r>
          </w:p>
          <w:p w:rsidR="00AD6594" w:rsidRPr="000852E0" w:rsidRDefault="00AD6594" w:rsidP="00242EDF">
            <w:pPr>
              <w:pStyle w:val="Tabulka"/>
            </w:pPr>
            <w:r w:rsidRPr="000852E0">
              <w:t>P</w:t>
            </w:r>
            <w:r w:rsidRPr="000852E0">
              <w:rPr>
                <w:vertAlign w:val="subscript"/>
              </w:rPr>
              <w:t>2</w:t>
            </w:r>
            <w:r w:rsidRPr="000852E0">
              <w:t>O</w:t>
            </w:r>
            <w:r w:rsidRPr="000852E0">
              <w:rPr>
                <w:vertAlign w:val="subscript"/>
              </w:rPr>
              <w:t>5</w:t>
            </w:r>
            <w:r w:rsidRPr="000852E0">
              <w:t>: 1</w:t>
            </w:r>
            <w:r>
              <w:t>3,1</w:t>
            </w:r>
            <w:r w:rsidRPr="000852E0">
              <w:t xml:space="preserve"> kg č. ž./ha z. p.,</w:t>
            </w:r>
          </w:p>
          <w:p w:rsidR="00AD6594" w:rsidRPr="000852E0" w:rsidRDefault="00AD6594" w:rsidP="00242EDF">
            <w:pPr>
              <w:pStyle w:val="Tabulka"/>
            </w:pPr>
            <w:r w:rsidRPr="000852E0">
              <w:t>K</w:t>
            </w:r>
            <w:r w:rsidRPr="000852E0">
              <w:rPr>
                <w:vertAlign w:val="subscript"/>
              </w:rPr>
              <w:t>2</w:t>
            </w:r>
            <w:r w:rsidRPr="000852E0">
              <w:t xml:space="preserve">O: </w:t>
            </w:r>
            <w:r>
              <w:t>11,7</w:t>
            </w:r>
            <w:r w:rsidRPr="000852E0">
              <w:t xml:space="preserve"> kg č. ž./ha z. p.</w:t>
            </w:r>
          </w:p>
        </w:tc>
      </w:tr>
      <w:tr w:rsidR="00AD6594" w:rsidRPr="000852E0" w:rsidTr="00242EDF">
        <w:trPr>
          <w:cantSplit/>
        </w:trPr>
        <w:tc>
          <w:tcPr>
            <w:tcW w:w="737" w:type="dxa"/>
            <w:tcBorders>
              <w:right w:val="single" w:sz="12" w:space="0" w:color="auto"/>
            </w:tcBorders>
          </w:tcPr>
          <w:p w:rsidR="00AD6594" w:rsidRPr="000852E0" w:rsidRDefault="00AD6594" w:rsidP="00242EDF">
            <w:pPr>
              <w:pStyle w:val="Tabulka"/>
            </w:pPr>
            <w:r w:rsidRPr="000852E0">
              <w:t>18</w:t>
            </w:r>
          </w:p>
        </w:tc>
        <w:tc>
          <w:tcPr>
            <w:tcW w:w="3330" w:type="dxa"/>
            <w:tcBorders>
              <w:left w:val="single" w:sz="12" w:space="0" w:color="auto"/>
            </w:tcBorders>
          </w:tcPr>
          <w:p w:rsidR="00AD6594" w:rsidRPr="000852E0" w:rsidRDefault="00AD6594" w:rsidP="00242EDF">
            <w:pPr>
              <w:pStyle w:val="Tabulka"/>
            </w:pPr>
            <w:r w:rsidRPr="000852E0">
              <w:t>Spotřeba vápenatých hmot (tis. t), MZe.</w:t>
            </w:r>
          </w:p>
        </w:tc>
        <w:tc>
          <w:tcPr>
            <w:tcW w:w="5171" w:type="dxa"/>
          </w:tcPr>
          <w:p w:rsidR="00AD6594" w:rsidRPr="000852E0" w:rsidRDefault="00AD6594" w:rsidP="00242EDF">
            <w:pPr>
              <w:pStyle w:val="Tabulka"/>
            </w:pPr>
            <w:r w:rsidRPr="000852E0">
              <w:t>2</w:t>
            </w:r>
            <w:r>
              <w:t>8</w:t>
            </w:r>
            <w:r w:rsidRPr="000852E0">
              <w:t>3 tis. t vápenatých hmot.</w:t>
            </w:r>
          </w:p>
        </w:tc>
      </w:tr>
      <w:tr w:rsidR="00AD6594" w:rsidRPr="008B0409" w:rsidTr="00242EDF">
        <w:trPr>
          <w:cantSplit/>
        </w:trPr>
        <w:tc>
          <w:tcPr>
            <w:tcW w:w="737" w:type="dxa"/>
            <w:tcBorders>
              <w:right w:val="single" w:sz="12" w:space="0" w:color="auto"/>
            </w:tcBorders>
          </w:tcPr>
          <w:p w:rsidR="00AD6594" w:rsidRPr="000852E0" w:rsidRDefault="00AD6594" w:rsidP="00242EDF">
            <w:pPr>
              <w:pStyle w:val="Tabulka"/>
            </w:pPr>
            <w:r w:rsidRPr="000852E0">
              <w:t>19</w:t>
            </w:r>
          </w:p>
        </w:tc>
        <w:tc>
          <w:tcPr>
            <w:tcW w:w="3330" w:type="dxa"/>
            <w:tcBorders>
              <w:left w:val="single" w:sz="12" w:space="0" w:color="auto"/>
            </w:tcBorders>
          </w:tcPr>
          <w:p w:rsidR="00AD6594" w:rsidRPr="000852E0" w:rsidRDefault="00AD6594" w:rsidP="00242EDF">
            <w:pPr>
              <w:pStyle w:val="Tabulka"/>
            </w:pPr>
            <w:r w:rsidRPr="000852E0">
              <w:t>Spotřeba kalů z čistíren odpadních vod na z. p. (t), ČSÚ.</w:t>
            </w:r>
          </w:p>
        </w:tc>
        <w:tc>
          <w:tcPr>
            <w:tcW w:w="5171" w:type="dxa"/>
          </w:tcPr>
          <w:p w:rsidR="00AD6594" w:rsidRPr="000852E0" w:rsidRDefault="00AD6594" w:rsidP="00242EDF">
            <w:pPr>
              <w:pStyle w:val="Tabulka"/>
            </w:pPr>
            <w:r w:rsidRPr="000852E0">
              <w:t>Množství kalů aplikovaných do půdy přímou aplikací a rekultivací bylo 5</w:t>
            </w:r>
            <w:r>
              <w:t>4 713</w:t>
            </w:r>
            <w:r w:rsidRPr="000852E0">
              <w:t xml:space="preserve"> t v roce 201</w:t>
            </w:r>
            <w:r>
              <w:t>3</w:t>
            </w:r>
            <w:r w:rsidRPr="000852E0">
              <w:t>.</w:t>
            </w:r>
          </w:p>
        </w:tc>
      </w:tr>
      <w:tr w:rsidR="00AD6594" w:rsidRPr="000852E0" w:rsidTr="00242EDF">
        <w:trPr>
          <w:cantSplit/>
        </w:trPr>
        <w:tc>
          <w:tcPr>
            <w:tcW w:w="737" w:type="dxa"/>
            <w:tcBorders>
              <w:right w:val="single" w:sz="12" w:space="0" w:color="auto"/>
            </w:tcBorders>
          </w:tcPr>
          <w:p w:rsidR="00AD6594" w:rsidRPr="000852E0" w:rsidRDefault="00AD6594" w:rsidP="00242EDF">
            <w:pPr>
              <w:pStyle w:val="Tabulka"/>
            </w:pPr>
            <w:r w:rsidRPr="000852E0">
              <w:t>20</w:t>
            </w:r>
          </w:p>
        </w:tc>
        <w:tc>
          <w:tcPr>
            <w:tcW w:w="3330" w:type="dxa"/>
            <w:tcBorders>
              <w:left w:val="single" w:sz="12" w:space="0" w:color="auto"/>
            </w:tcBorders>
          </w:tcPr>
          <w:p w:rsidR="00AD6594" w:rsidRPr="000852E0" w:rsidRDefault="00AD6594" w:rsidP="00D934FE">
            <w:pPr>
              <w:pStyle w:val="Tabulka"/>
            </w:pPr>
            <w:r w:rsidRPr="000852E0">
              <w:t>Spotřeba přípravků na OR (kg, účinných látek/ha z. p.), ÚKZÚZ.</w:t>
            </w:r>
          </w:p>
        </w:tc>
        <w:tc>
          <w:tcPr>
            <w:tcW w:w="5171" w:type="dxa"/>
          </w:tcPr>
          <w:p w:rsidR="00AD6594" w:rsidRPr="00EB0B0D" w:rsidRDefault="00AD6594" w:rsidP="00D934FE">
            <w:pPr>
              <w:pStyle w:val="Tabulka"/>
            </w:pPr>
            <w:r w:rsidRPr="00EB0B0D">
              <w:t xml:space="preserve">Celkem aplikováno </w:t>
            </w:r>
            <w:r w:rsidR="00D934FE">
              <w:t>5 008</w:t>
            </w:r>
            <w:r w:rsidRPr="000A1711">
              <w:t xml:space="preserve"> tis.</w:t>
            </w:r>
            <w:r w:rsidRPr="00EB0B0D">
              <w:t xml:space="preserve"> kg, což představuje </w:t>
            </w:r>
            <w:r w:rsidR="00D934FE">
              <w:t>1,41</w:t>
            </w:r>
            <w:r w:rsidRPr="00EB0B0D">
              <w:t> kg účinných látek/ha z. p.</w:t>
            </w:r>
          </w:p>
        </w:tc>
      </w:tr>
      <w:tr w:rsidR="00AD6594" w:rsidRPr="007D1492" w:rsidTr="00242EDF">
        <w:trPr>
          <w:cantSplit/>
        </w:trPr>
        <w:tc>
          <w:tcPr>
            <w:tcW w:w="737" w:type="dxa"/>
            <w:tcBorders>
              <w:right w:val="single" w:sz="12" w:space="0" w:color="auto"/>
            </w:tcBorders>
          </w:tcPr>
          <w:p w:rsidR="00AD6594" w:rsidRPr="000852E0" w:rsidRDefault="00AD6594" w:rsidP="00242EDF">
            <w:pPr>
              <w:pStyle w:val="Tabulka"/>
            </w:pPr>
            <w:r w:rsidRPr="000852E0">
              <w:t>21</w:t>
            </w:r>
          </w:p>
        </w:tc>
        <w:tc>
          <w:tcPr>
            <w:tcW w:w="3330" w:type="dxa"/>
            <w:tcBorders>
              <w:left w:val="single" w:sz="12" w:space="0" w:color="auto"/>
            </w:tcBorders>
          </w:tcPr>
          <w:p w:rsidR="00AD6594" w:rsidRPr="000852E0" w:rsidRDefault="00AD6594" w:rsidP="00D934FE">
            <w:pPr>
              <w:pStyle w:val="Tabulka"/>
            </w:pPr>
            <w:r w:rsidRPr="000852E0">
              <w:t>Spotřeba přípravků na OR na bázi mikroorganismů (kg), ÚKZÚZ.</w:t>
            </w:r>
          </w:p>
        </w:tc>
        <w:tc>
          <w:tcPr>
            <w:tcW w:w="5171" w:type="dxa"/>
          </w:tcPr>
          <w:p w:rsidR="00AD6594" w:rsidRPr="007D1492" w:rsidRDefault="00AD6594" w:rsidP="00D934FE">
            <w:pPr>
              <w:pStyle w:val="Tabulka"/>
            </w:pPr>
            <w:r w:rsidRPr="007D1492">
              <w:t xml:space="preserve">Celkem </w:t>
            </w:r>
            <w:r w:rsidR="00D934FE" w:rsidRPr="00D934FE">
              <w:t>32 346</w:t>
            </w:r>
            <w:r w:rsidRPr="007D1492">
              <w:t> kg.</w:t>
            </w:r>
          </w:p>
        </w:tc>
      </w:tr>
      <w:tr w:rsidR="00AD6594" w:rsidRPr="007D1492" w:rsidTr="00242EDF">
        <w:trPr>
          <w:cantSplit/>
        </w:trPr>
        <w:tc>
          <w:tcPr>
            <w:tcW w:w="737" w:type="dxa"/>
            <w:tcBorders>
              <w:right w:val="single" w:sz="12" w:space="0" w:color="auto"/>
            </w:tcBorders>
          </w:tcPr>
          <w:p w:rsidR="00AD6594" w:rsidRPr="000852E0" w:rsidRDefault="00AD6594" w:rsidP="00242EDF">
            <w:pPr>
              <w:pStyle w:val="Tabulka"/>
            </w:pPr>
            <w:r w:rsidRPr="000852E0">
              <w:t>22</w:t>
            </w:r>
          </w:p>
        </w:tc>
        <w:tc>
          <w:tcPr>
            <w:tcW w:w="3330" w:type="dxa"/>
            <w:tcBorders>
              <w:left w:val="single" w:sz="12" w:space="0" w:color="auto"/>
            </w:tcBorders>
          </w:tcPr>
          <w:p w:rsidR="00AD6594" w:rsidRPr="000852E0" w:rsidRDefault="00AD6594" w:rsidP="00242EDF">
            <w:pPr>
              <w:pStyle w:val="Tabulka"/>
            </w:pPr>
            <w:r w:rsidRPr="000852E0">
              <w:t>Biologická ochrana rostlin, ÚKZÚZ.</w:t>
            </w:r>
          </w:p>
        </w:tc>
        <w:tc>
          <w:tcPr>
            <w:tcW w:w="5171" w:type="dxa"/>
          </w:tcPr>
          <w:p w:rsidR="00AD6594" w:rsidRPr="007D1492" w:rsidRDefault="00AD6594" w:rsidP="00D934FE">
            <w:pPr>
              <w:pStyle w:val="Tabulka"/>
            </w:pPr>
            <w:r w:rsidRPr="007D1492">
              <w:t xml:space="preserve">Ošetřeno přibližně </w:t>
            </w:r>
            <w:r w:rsidR="00D934FE">
              <w:t>44 950</w:t>
            </w:r>
            <w:r w:rsidRPr="007D1492">
              <w:t xml:space="preserve"> ha kulturních plodin.</w:t>
            </w:r>
          </w:p>
        </w:tc>
      </w:tr>
      <w:tr w:rsidR="00AD6594" w:rsidRPr="008B0409" w:rsidTr="00242EDF">
        <w:trPr>
          <w:cantSplit/>
        </w:trPr>
        <w:tc>
          <w:tcPr>
            <w:tcW w:w="737" w:type="dxa"/>
            <w:tcBorders>
              <w:right w:val="single" w:sz="12" w:space="0" w:color="auto"/>
            </w:tcBorders>
          </w:tcPr>
          <w:p w:rsidR="00AD6594" w:rsidRPr="000852E0" w:rsidRDefault="00AD6594" w:rsidP="00242EDF">
            <w:pPr>
              <w:pStyle w:val="Tabulka"/>
            </w:pPr>
            <w:r w:rsidRPr="000852E0">
              <w:t>23</w:t>
            </w:r>
          </w:p>
        </w:tc>
        <w:tc>
          <w:tcPr>
            <w:tcW w:w="3330" w:type="dxa"/>
            <w:tcBorders>
              <w:left w:val="single" w:sz="12" w:space="0" w:color="auto"/>
            </w:tcBorders>
          </w:tcPr>
          <w:p w:rsidR="00AD6594" w:rsidRPr="000852E0" w:rsidRDefault="00AD6594" w:rsidP="00242EDF">
            <w:pPr>
              <w:pStyle w:val="Tabulka"/>
            </w:pPr>
            <w:r w:rsidRPr="000852E0">
              <w:t>Havarijní znečištění vod zem. původu (%), ČIŽP.</w:t>
            </w:r>
          </w:p>
        </w:tc>
        <w:tc>
          <w:tcPr>
            <w:tcW w:w="5171" w:type="dxa"/>
          </w:tcPr>
          <w:p w:rsidR="00AD6594" w:rsidRPr="000852E0" w:rsidRDefault="00AD6594" w:rsidP="00242EDF">
            <w:pPr>
              <w:pStyle w:val="Tabulka"/>
            </w:pPr>
            <w:r>
              <w:t>9,5</w:t>
            </w:r>
            <w:r w:rsidRPr="000852E0">
              <w:t> % z celkového počtu havárií evidovaných na ČIŽP.</w:t>
            </w:r>
          </w:p>
        </w:tc>
      </w:tr>
      <w:tr w:rsidR="00AD6594" w:rsidRPr="000852E0" w:rsidTr="00242EDF">
        <w:trPr>
          <w:cantSplit/>
        </w:trPr>
        <w:tc>
          <w:tcPr>
            <w:tcW w:w="737" w:type="dxa"/>
            <w:tcBorders>
              <w:right w:val="single" w:sz="12" w:space="0" w:color="auto"/>
            </w:tcBorders>
          </w:tcPr>
          <w:p w:rsidR="00AD6594" w:rsidRPr="000852E0" w:rsidRDefault="00AD6594" w:rsidP="00242EDF">
            <w:pPr>
              <w:pStyle w:val="Tabulka"/>
            </w:pPr>
            <w:r w:rsidRPr="000852E0">
              <w:t>24</w:t>
            </w:r>
          </w:p>
        </w:tc>
        <w:tc>
          <w:tcPr>
            <w:tcW w:w="3330" w:type="dxa"/>
            <w:tcBorders>
              <w:left w:val="single" w:sz="12" w:space="0" w:color="auto"/>
            </w:tcBorders>
          </w:tcPr>
          <w:p w:rsidR="00AD6594" w:rsidRPr="000852E0" w:rsidRDefault="00AD6594" w:rsidP="00242EDF">
            <w:pPr>
              <w:pStyle w:val="Tabulka"/>
            </w:pPr>
            <w:r w:rsidRPr="000852E0">
              <w:t>Spotřeba energie v zemědělství (GJ), VÚZT.</w:t>
            </w:r>
          </w:p>
        </w:tc>
        <w:tc>
          <w:tcPr>
            <w:tcW w:w="5171" w:type="dxa"/>
          </w:tcPr>
          <w:p w:rsidR="00AD6594" w:rsidRPr="000852E0" w:rsidRDefault="00AD6594" w:rsidP="00242EDF">
            <w:pPr>
              <w:pStyle w:val="Tabulka"/>
            </w:pPr>
            <w:r w:rsidRPr="000852E0">
              <w:t>Odhaduje se 1</w:t>
            </w:r>
            <w:r>
              <w:t>4</w:t>
            </w:r>
            <w:r w:rsidRPr="000852E0">
              <w:t> mil. GJ</w:t>
            </w:r>
            <w:r>
              <w:rPr>
                <w:rStyle w:val="Znakapoznpodarou"/>
              </w:rPr>
              <w:footnoteReference w:id="49"/>
            </w:r>
            <w:r w:rsidRPr="000852E0">
              <w:t>.</w:t>
            </w:r>
          </w:p>
        </w:tc>
      </w:tr>
      <w:tr w:rsidR="00AD6594" w:rsidRPr="008B0409" w:rsidTr="00242EDF">
        <w:trPr>
          <w:cantSplit/>
        </w:trPr>
        <w:tc>
          <w:tcPr>
            <w:tcW w:w="737" w:type="dxa"/>
            <w:tcBorders>
              <w:right w:val="single" w:sz="12" w:space="0" w:color="auto"/>
            </w:tcBorders>
          </w:tcPr>
          <w:p w:rsidR="00AD6594" w:rsidRPr="000852E0" w:rsidRDefault="00AD6594" w:rsidP="00242EDF">
            <w:pPr>
              <w:pStyle w:val="Tabulka"/>
            </w:pPr>
            <w:r w:rsidRPr="000852E0">
              <w:lastRenderedPageBreak/>
              <w:t>25</w:t>
            </w:r>
          </w:p>
        </w:tc>
        <w:tc>
          <w:tcPr>
            <w:tcW w:w="3330" w:type="dxa"/>
            <w:tcBorders>
              <w:left w:val="single" w:sz="12" w:space="0" w:color="auto"/>
            </w:tcBorders>
          </w:tcPr>
          <w:p w:rsidR="00AD6594" w:rsidRPr="000852E0" w:rsidRDefault="00AD6594" w:rsidP="00242EDF">
            <w:pPr>
              <w:pStyle w:val="Tabulka"/>
            </w:pPr>
            <w:r w:rsidRPr="000852E0">
              <w:t>Odhad spotřeby PHM v zemědělství (mil. l), VÚZT.</w:t>
            </w:r>
          </w:p>
        </w:tc>
        <w:tc>
          <w:tcPr>
            <w:tcW w:w="5171" w:type="dxa"/>
          </w:tcPr>
          <w:p w:rsidR="00AD6594" w:rsidRPr="000852E0" w:rsidRDefault="00AD6594" w:rsidP="00242EDF">
            <w:pPr>
              <w:pStyle w:val="Tabulka"/>
            </w:pPr>
            <w:r w:rsidRPr="000852E0">
              <w:t>Přibližně 435,</w:t>
            </w:r>
            <w:r>
              <w:t>7</w:t>
            </w:r>
            <w:r w:rsidRPr="000852E0">
              <w:t> mil. l motorové nafty</w:t>
            </w:r>
            <w:r w:rsidRPr="002D7CF8">
              <w:rPr>
                <w:rStyle w:val="Znakapoznpodarou"/>
              </w:rPr>
              <w:footnoteReference w:id="50"/>
            </w:r>
            <w:r w:rsidRPr="000852E0">
              <w:t>.</w:t>
            </w:r>
          </w:p>
        </w:tc>
      </w:tr>
      <w:tr w:rsidR="00AD6594" w:rsidRPr="008B0409" w:rsidTr="00242EDF">
        <w:trPr>
          <w:cantSplit/>
        </w:trPr>
        <w:tc>
          <w:tcPr>
            <w:tcW w:w="737" w:type="dxa"/>
            <w:tcBorders>
              <w:right w:val="single" w:sz="12" w:space="0" w:color="auto"/>
            </w:tcBorders>
          </w:tcPr>
          <w:p w:rsidR="00AD6594" w:rsidRPr="000852E0" w:rsidRDefault="00AD6594" w:rsidP="00242EDF">
            <w:pPr>
              <w:pStyle w:val="Tabulka"/>
            </w:pPr>
            <w:r w:rsidRPr="000852E0">
              <w:t>26</w:t>
            </w:r>
          </w:p>
        </w:tc>
        <w:tc>
          <w:tcPr>
            <w:tcW w:w="3330" w:type="dxa"/>
            <w:tcBorders>
              <w:left w:val="single" w:sz="12" w:space="0" w:color="auto"/>
            </w:tcBorders>
          </w:tcPr>
          <w:p w:rsidR="00AD6594" w:rsidRPr="000852E0" w:rsidRDefault="00AD6594" w:rsidP="00242EDF">
            <w:pPr>
              <w:pStyle w:val="Tabulka"/>
            </w:pPr>
            <w:r w:rsidRPr="000852E0">
              <w:t>Stavy hospodářských zvířat (ks), ČSÚ.</w:t>
            </w:r>
          </w:p>
        </w:tc>
        <w:tc>
          <w:tcPr>
            <w:tcW w:w="5171" w:type="dxa"/>
          </w:tcPr>
          <w:p w:rsidR="00AD6594" w:rsidRPr="000852E0" w:rsidRDefault="00AD6594" w:rsidP="00242EDF">
            <w:pPr>
              <w:pStyle w:val="Tabulka"/>
            </w:pPr>
            <w:r w:rsidRPr="000852E0">
              <w:t>Skot: 1 3</w:t>
            </w:r>
            <w:r>
              <w:t>74</w:t>
            </w:r>
            <w:r w:rsidRPr="000852E0">
              <w:t xml:space="preserve"> tis. ks, prasata: 1 </w:t>
            </w:r>
            <w:r>
              <w:t>617</w:t>
            </w:r>
            <w:r w:rsidRPr="000852E0">
              <w:t xml:space="preserve"> tis. ks, ovce: 22</w:t>
            </w:r>
            <w:r>
              <w:t>5</w:t>
            </w:r>
            <w:r w:rsidRPr="000852E0">
              <w:t> tis. ks, kozy: 24 tis. ks, </w:t>
            </w:r>
            <w:r w:rsidRPr="0081689D">
              <w:t>drůbež: 21 464 tis.</w:t>
            </w:r>
            <w:r w:rsidRPr="000852E0">
              <w:t> ks, koně: 3</w:t>
            </w:r>
            <w:r>
              <w:t>3</w:t>
            </w:r>
            <w:r w:rsidRPr="000852E0">
              <w:t> tis. ks. Data jsou uváděna k 1. 4. 201</w:t>
            </w:r>
            <w:r>
              <w:t>4</w:t>
            </w:r>
            <w:r w:rsidRPr="000852E0">
              <w:t>.</w:t>
            </w:r>
          </w:p>
        </w:tc>
      </w:tr>
      <w:tr w:rsidR="00AD6594" w:rsidRPr="008B0409" w:rsidTr="00242EDF">
        <w:trPr>
          <w:cantSplit/>
        </w:trPr>
        <w:tc>
          <w:tcPr>
            <w:tcW w:w="737" w:type="dxa"/>
            <w:tcBorders>
              <w:right w:val="single" w:sz="12" w:space="0" w:color="auto"/>
            </w:tcBorders>
          </w:tcPr>
          <w:p w:rsidR="00AD6594" w:rsidRPr="000852E0" w:rsidRDefault="00AD6594" w:rsidP="00242EDF">
            <w:pPr>
              <w:pStyle w:val="Tabulka"/>
            </w:pPr>
            <w:r w:rsidRPr="000852E0">
              <w:t>27</w:t>
            </w:r>
          </w:p>
        </w:tc>
        <w:tc>
          <w:tcPr>
            <w:tcW w:w="3330" w:type="dxa"/>
            <w:tcBorders>
              <w:left w:val="single" w:sz="12" w:space="0" w:color="auto"/>
            </w:tcBorders>
          </w:tcPr>
          <w:p w:rsidR="00AD6594" w:rsidRPr="000852E0" w:rsidRDefault="00AD6594" w:rsidP="00242EDF">
            <w:pPr>
              <w:pStyle w:val="Tabulka"/>
            </w:pPr>
            <w:r w:rsidRPr="000852E0">
              <w:t>IPPC (počet rozhodnutí o vydání integrovaného povolení), MŽP.</w:t>
            </w:r>
          </w:p>
        </w:tc>
        <w:tc>
          <w:tcPr>
            <w:tcW w:w="5171" w:type="dxa"/>
          </w:tcPr>
          <w:p w:rsidR="00AD6594" w:rsidRPr="000852E0" w:rsidRDefault="00AD6594" w:rsidP="00242EDF">
            <w:pPr>
              <w:pStyle w:val="Tabulka"/>
            </w:pPr>
            <w:r w:rsidRPr="000852E0">
              <w:t>V </w:t>
            </w:r>
            <w:r w:rsidR="00854B54">
              <w:t>rezort</w:t>
            </w:r>
            <w:r w:rsidRPr="000852E0">
              <w:t>u zemědělství byl</w:t>
            </w:r>
            <w:r>
              <w:t>a</w:t>
            </w:r>
            <w:r w:rsidRPr="000852E0">
              <w:t xml:space="preserve"> vydán</w:t>
            </w:r>
            <w:r>
              <w:t>a</w:t>
            </w:r>
            <w:r w:rsidRPr="000852E0">
              <w:t xml:space="preserve"> celkem </w:t>
            </w:r>
            <w:r w:rsidR="00DC0747">
              <w:t>3 </w:t>
            </w:r>
            <w:r w:rsidRPr="000852E0">
              <w:t>rozhodnutí.</w:t>
            </w:r>
          </w:p>
        </w:tc>
      </w:tr>
      <w:tr w:rsidR="00AD6594" w:rsidRPr="008B0409" w:rsidTr="00242EDF">
        <w:trPr>
          <w:cantSplit/>
        </w:trPr>
        <w:tc>
          <w:tcPr>
            <w:tcW w:w="737" w:type="dxa"/>
            <w:tcBorders>
              <w:right w:val="single" w:sz="12" w:space="0" w:color="auto"/>
            </w:tcBorders>
          </w:tcPr>
          <w:p w:rsidR="00AD6594" w:rsidRPr="00990CD2" w:rsidRDefault="00AD6594" w:rsidP="00242EDF">
            <w:pPr>
              <w:pStyle w:val="Tabulka"/>
            </w:pPr>
            <w:r w:rsidRPr="00990CD2">
              <w:t>28</w:t>
            </w:r>
          </w:p>
        </w:tc>
        <w:tc>
          <w:tcPr>
            <w:tcW w:w="3330" w:type="dxa"/>
            <w:tcBorders>
              <w:left w:val="single" w:sz="12" w:space="0" w:color="auto"/>
            </w:tcBorders>
          </w:tcPr>
          <w:p w:rsidR="00AD6594" w:rsidRPr="00990CD2" w:rsidRDefault="00AD6594" w:rsidP="00242EDF">
            <w:pPr>
              <w:pStyle w:val="Tabulka"/>
            </w:pPr>
            <w:r w:rsidRPr="00990CD2">
              <w:t>Integrovaný registr znečišťování (MŽP).</w:t>
            </w:r>
          </w:p>
        </w:tc>
        <w:tc>
          <w:tcPr>
            <w:tcW w:w="5171" w:type="dxa"/>
          </w:tcPr>
          <w:p w:rsidR="00AD6594" w:rsidRPr="00990CD2" w:rsidRDefault="00AD6594" w:rsidP="00242EDF">
            <w:pPr>
              <w:pStyle w:val="Tabulka"/>
            </w:pPr>
            <w:r w:rsidRPr="00990CD2">
              <w:t>Emise do ovzduší (kg/rok): amoniak (NH</w:t>
            </w:r>
            <w:r w:rsidRPr="00990CD2">
              <w:rPr>
                <w:vertAlign w:val="subscript"/>
              </w:rPr>
              <w:t>3</w:t>
            </w:r>
            <w:r w:rsidRPr="00990CD2">
              <w:t xml:space="preserve">): </w:t>
            </w:r>
            <w:r>
              <w:t>9 103 517</w:t>
            </w:r>
            <w:r w:rsidRPr="00990CD2">
              <w:t>, oxid dusíku (</w:t>
            </w:r>
            <w:proofErr w:type="spellStart"/>
            <w:r w:rsidRPr="000231D1">
              <w:t>NO</w:t>
            </w:r>
            <w:r w:rsidRPr="000231D1">
              <w:rPr>
                <w:vertAlign w:val="subscript"/>
              </w:rPr>
              <w:t>x</w:t>
            </w:r>
            <w:proofErr w:type="spellEnd"/>
            <w:r w:rsidRPr="000231D1">
              <w:t>/NO</w:t>
            </w:r>
            <w:r w:rsidRPr="000231D1">
              <w:rPr>
                <w:vertAlign w:val="subscript"/>
              </w:rPr>
              <w:t>2</w:t>
            </w:r>
            <w:r w:rsidRPr="00AB10F8">
              <w:t xml:space="preserve">): </w:t>
            </w:r>
            <w:r>
              <w:t>300</w:t>
            </w:r>
            <w:r w:rsidRPr="00AB10F8">
              <w:t>, oxid</w:t>
            </w:r>
            <w:r w:rsidRPr="000231D1">
              <w:t xml:space="preserve"> uhelnatý (CO): </w:t>
            </w:r>
            <w:r>
              <w:t>346</w:t>
            </w:r>
            <w:r w:rsidRPr="000231D1">
              <w:t xml:space="preserve"> (upřesněná data za ohlašovací rok</w:t>
            </w:r>
            <w:r w:rsidRPr="00990CD2">
              <w:t xml:space="preserve"> 201</w:t>
            </w:r>
            <w:r>
              <w:t>3</w:t>
            </w:r>
            <w:r w:rsidRPr="00990CD2">
              <w:t xml:space="preserve">, platná ke dni </w:t>
            </w:r>
            <w:r>
              <w:t>26</w:t>
            </w:r>
            <w:r w:rsidRPr="00990CD2">
              <w:t>. 3. 201</w:t>
            </w:r>
            <w:r>
              <w:t>5</w:t>
            </w:r>
            <w:r w:rsidRPr="00990CD2">
              <w:t>)</w:t>
            </w:r>
            <w:r w:rsidRPr="002D7CF8">
              <w:rPr>
                <w:rStyle w:val="Znakapoznpodarou"/>
              </w:rPr>
              <w:footnoteReference w:id="51"/>
            </w:r>
            <w:r w:rsidRPr="00711C49">
              <w:rPr>
                <w:vertAlign w:val="superscript"/>
              </w:rPr>
              <w:t>,</w:t>
            </w:r>
            <w:r>
              <w:t xml:space="preserve"> </w:t>
            </w:r>
            <w:r w:rsidRPr="002D7CF8">
              <w:rPr>
                <w:rStyle w:val="Znakapoznpodarou"/>
              </w:rPr>
              <w:footnoteReference w:id="52"/>
            </w:r>
            <w:r w:rsidRPr="00990CD2">
              <w:t>.</w:t>
            </w:r>
          </w:p>
        </w:tc>
      </w:tr>
      <w:tr w:rsidR="00AD6594" w:rsidRPr="008B0409" w:rsidTr="00242EDF">
        <w:trPr>
          <w:cantSplit/>
        </w:trPr>
        <w:tc>
          <w:tcPr>
            <w:tcW w:w="737" w:type="dxa"/>
            <w:tcBorders>
              <w:right w:val="single" w:sz="12" w:space="0" w:color="auto"/>
            </w:tcBorders>
          </w:tcPr>
          <w:p w:rsidR="00AD6594" w:rsidRPr="00990CD2" w:rsidRDefault="00AD6594" w:rsidP="00242EDF">
            <w:pPr>
              <w:pStyle w:val="Tabulka"/>
            </w:pPr>
            <w:r w:rsidRPr="00990CD2">
              <w:t>29</w:t>
            </w:r>
          </w:p>
        </w:tc>
        <w:tc>
          <w:tcPr>
            <w:tcW w:w="3330" w:type="dxa"/>
            <w:tcBorders>
              <w:left w:val="single" w:sz="12" w:space="0" w:color="auto"/>
            </w:tcBorders>
          </w:tcPr>
          <w:p w:rsidR="00AD6594" w:rsidRPr="00990CD2" w:rsidRDefault="00AD6594" w:rsidP="00242EDF">
            <w:pPr>
              <w:pStyle w:val="Tabulka"/>
            </w:pPr>
            <w:r w:rsidRPr="00990CD2">
              <w:t>Emise amoniaku ze zem. činnosti (</w:t>
            </w:r>
            <w:proofErr w:type="spellStart"/>
            <w:r w:rsidRPr="00990CD2">
              <w:t>kt</w:t>
            </w:r>
            <w:proofErr w:type="spellEnd"/>
            <w:r w:rsidRPr="00990CD2">
              <w:t>), VÚZT.</w:t>
            </w:r>
          </w:p>
        </w:tc>
        <w:tc>
          <w:tcPr>
            <w:tcW w:w="5171" w:type="dxa"/>
          </w:tcPr>
          <w:p w:rsidR="00AD6594" w:rsidRPr="00990CD2" w:rsidRDefault="00AD6594" w:rsidP="00242EDF">
            <w:pPr>
              <w:pStyle w:val="Tabulka"/>
            </w:pPr>
            <w:r w:rsidRPr="00990CD2">
              <w:t>Produkce amoniaku</w:t>
            </w:r>
            <w:r>
              <w:rPr>
                <w:rStyle w:val="Znakapoznpodarou"/>
              </w:rPr>
              <w:footnoteReference w:id="53"/>
            </w:r>
            <w:r w:rsidRPr="00990CD2">
              <w:t xml:space="preserve"> byla za rok 201</w:t>
            </w:r>
            <w:r w:rsidR="00DC0747">
              <w:t xml:space="preserve">4: 48,41 </w:t>
            </w:r>
            <w:proofErr w:type="spellStart"/>
            <w:r w:rsidR="00DC0747">
              <w:t>kt</w:t>
            </w:r>
            <w:proofErr w:type="spellEnd"/>
            <w:r w:rsidR="00DC0747">
              <w:t xml:space="preserve"> a </w:t>
            </w:r>
            <w:r w:rsidRPr="00990CD2">
              <w:t>v roce 201</w:t>
            </w:r>
            <w:r>
              <w:t xml:space="preserve">3: 48,19 </w:t>
            </w:r>
            <w:proofErr w:type="spellStart"/>
            <w:r>
              <w:t>kt</w:t>
            </w:r>
            <w:proofErr w:type="spellEnd"/>
            <w:r>
              <w:t>.</w:t>
            </w:r>
          </w:p>
        </w:tc>
      </w:tr>
      <w:tr w:rsidR="00AD6594" w:rsidRPr="008B0409" w:rsidTr="00242EDF">
        <w:trPr>
          <w:cantSplit/>
        </w:trPr>
        <w:tc>
          <w:tcPr>
            <w:tcW w:w="737" w:type="dxa"/>
            <w:tcBorders>
              <w:right w:val="single" w:sz="12" w:space="0" w:color="auto"/>
            </w:tcBorders>
          </w:tcPr>
          <w:p w:rsidR="00AD6594" w:rsidRPr="008F3440" w:rsidRDefault="00AD6594" w:rsidP="00242EDF">
            <w:pPr>
              <w:pStyle w:val="Tabulka"/>
            </w:pPr>
            <w:r w:rsidRPr="008F3440">
              <w:t>30</w:t>
            </w:r>
          </w:p>
        </w:tc>
        <w:tc>
          <w:tcPr>
            <w:tcW w:w="3330" w:type="dxa"/>
            <w:tcBorders>
              <w:left w:val="single" w:sz="12" w:space="0" w:color="auto"/>
            </w:tcBorders>
          </w:tcPr>
          <w:p w:rsidR="00AD6594" w:rsidRPr="008F3440" w:rsidRDefault="00AD6594" w:rsidP="00242EDF">
            <w:pPr>
              <w:pStyle w:val="Tabulka"/>
            </w:pPr>
            <w:r w:rsidRPr="008F3440">
              <w:t>Monitoring cizorodých látek v agrárním ekosystému, ÚKZÚZ.</w:t>
            </w:r>
          </w:p>
        </w:tc>
        <w:tc>
          <w:tcPr>
            <w:tcW w:w="5171" w:type="dxa"/>
          </w:tcPr>
          <w:p w:rsidR="00AD6594" w:rsidRPr="008F3440" w:rsidRDefault="00AD6594" w:rsidP="00242EDF">
            <w:pPr>
              <w:pStyle w:val="Tabulka"/>
            </w:pPr>
            <w:r w:rsidRPr="008F3440">
              <w:t xml:space="preserve">Sledování zemědělských půd na ÚKZÚZ: nejčastější organický polutant je DDT (překročení limitu u </w:t>
            </w:r>
            <w:r>
              <w:t>46</w:t>
            </w:r>
            <w:r w:rsidRPr="008F3440">
              <w:t xml:space="preserve"> %. Nevyhovělo </w:t>
            </w:r>
            <w:r>
              <w:t>18</w:t>
            </w:r>
            <w:r w:rsidRPr="008F3440">
              <w:t xml:space="preserve"> vzorků ornice a </w:t>
            </w:r>
            <w:r>
              <w:t>2</w:t>
            </w:r>
            <w:r w:rsidRPr="008F3440">
              <w:t> u TTP).</w:t>
            </w:r>
          </w:p>
        </w:tc>
      </w:tr>
      <w:tr w:rsidR="00AD6594" w:rsidRPr="008B0409" w:rsidTr="00242EDF">
        <w:trPr>
          <w:cantSplit/>
        </w:trPr>
        <w:tc>
          <w:tcPr>
            <w:tcW w:w="737" w:type="dxa"/>
            <w:tcBorders>
              <w:right w:val="single" w:sz="12" w:space="0" w:color="auto"/>
            </w:tcBorders>
          </w:tcPr>
          <w:p w:rsidR="00AD6594" w:rsidRPr="008F3440" w:rsidRDefault="00AD6594" w:rsidP="00242EDF">
            <w:pPr>
              <w:pStyle w:val="Tabulka"/>
            </w:pPr>
            <w:r w:rsidRPr="008F3440">
              <w:t>31</w:t>
            </w:r>
          </w:p>
        </w:tc>
        <w:tc>
          <w:tcPr>
            <w:tcW w:w="3330" w:type="dxa"/>
            <w:tcBorders>
              <w:left w:val="single" w:sz="12" w:space="0" w:color="auto"/>
            </w:tcBorders>
          </w:tcPr>
          <w:p w:rsidR="00AD6594" w:rsidRPr="008F3440" w:rsidRDefault="00AD6594" w:rsidP="00242EDF">
            <w:pPr>
              <w:pStyle w:val="Tabulka"/>
            </w:pPr>
            <w:r w:rsidRPr="008F3440">
              <w:t>Monitoring cizorodých látek v lesním ekosystému, VÚLHM.</w:t>
            </w:r>
          </w:p>
        </w:tc>
        <w:tc>
          <w:tcPr>
            <w:tcW w:w="5171" w:type="dxa"/>
          </w:tcPr>
          <w:p w:rsidR="00AD6594" w:rsidRPr="008F3440" w:rsidRDefault="00AD6594" w:rsidP="00242EDF">
            <w:pPr>
              <w:pStyle w:val="Tabulka"/>
            </w:pPr>
            <w:r w:rsidRPr="008F3440">
              <w:t>Vzorky hub: zvýšený obsah kadmia u 67 % vzorků, rtuti u 100 % vzorků</w:t>
            </w:r>
            <w:r w:rsidRPr="002D7CF8">
              <w:rPr>
                <w:rStyle w:val="Znakapoznpodarou"/>
              </w:rPr>
              <w:footnoteReference w:id="54"/>
            </w:r>
            <w:r w:rsidRPr="008F3440">
              <w:t>, všechny vzorky vyhověly maximálnímu limitu reziduí (hlavně DDT).</w:t>
            </w:r>
          </w:p>
        </w:tc>
      </w:tr>
      <w:tr w:rsidR="00AD6594" w:rsidRPr="008B0409" w:rsidTr="00242EDF">
        <w:trPr>
          <w:cantSplit/>
        </w:trPr>
        <w:tc>
          <w:tcPr>
            <w:tcW w:w="737" w:type="dxa"/>
            <w:tcBorders>
              <w:right w:val="single" w:sz="12" w:space="0" w:color="auto"/>
            </w:tcBorders>
          </w:tcPr>
          <w:p w:rsidR="00AD6594" w:rsidRPr="006E35AE" w:rsidRDefault="00AD6594" w:rsidP="00242EDF">
            <w:pPr>
              <w:pStyle w:val="Tabulka"/>
            </w:pPr>
            <w:r w:rsidRPr="006E35AE">
              <w:t>32</w:t>
            </w:r>
          </w:p>
        </w:tc>
        <w:tc>
          <w:tcPr>
            <w:tcW w:w="3330" w:type="dxa"/>
            <w:tcBorders>
              <w:left w:val="single" w:sz="12" w:space="0" w:color="auto"/>
            </w:tcBorders>
          </w:tcPr>
          <w:p w:rsidR="00AD6594" w:rsidRPr="006E35AE" w:rsidRDefault="00AD6594" w:rsidP="00242EDF">
            <w:pPr>
              <w:pStyle w:val="Tabulka"/>
            </w:pPr>
            <w:r w:rsidRPr="006E35AE">
              <w:t>Monitoring cizorodých látek ve vodním ekosystému, VÚMOP.</w:t>
            </w:r>
          </w:p>
        </w:tc>
        <w:tc>
          <w:tcPr>
            <w:tcW w:w="5171" w:type="dxa"/>
          </w:tcPr>
          <w:p w:rsidR="00AD6594" w:rsidRPr="006E35AE" w:rsidRDefault="00AD6594" w:rsidP="00242EDF">
            <w:pPr>
              <w:pStyle w:val="Tabulka"/>
            </w:pPr>
            <w:r w:rsidRPr="006E35AE">
              <w:t>M</w:t>
            </w:r>
            <w:r>
              <w:t>alé vodní nádrže: většina vzorků</w:t>
            </w:r>
            <w:r w:rsidRPr="006E35AE">
              <w:t xml:space="preserve"> spadá do I. </w:t>
            </w:r>
            <w:r>
              <w:t>a II. t</w:t>
            </w:r>
            <w:r w:rsidRPr="006E35AE">
              <w:t xml:space="preserve">řídy jakosti vod. Cd a </w:t>
            </w:r>
            <w:proofErr w:type="spellStart"/>
            <w:r w:rsidRPr="006E35AE">
              <w:t>Hg</w:t>
            </w:r>
            <w:proofErr w:type="spellEnd"/>
            <w:r w:rsidRPr="006E35AE">
              <w:t xml:space="preserve"> se téměř nevyskytují.</w:t>
            </w:r>
          </w:p>
          <w:p w:rsidR="00AD6594" w:rsidRPr="006E35AE" w:rsidRDefault="00AD6594" w:rsidP="00242EDF">
            <w:pPr>
              <w:pStyle w:val="Tabulka"/>
            </w:pPr>
            <w:r w:rsidRPr="006E35AE">
              <w:t xml:space="preserve">Drobné vodní toky: obsah těžkých kovů je obecně nízký. </w:t>
            </w:r>
          </w:p>
        </w:tc>
      </w:tr>
      <w:tr w:rsidR="00AD6594" w:rsidRPr="00360924" w:rsidTr="00242EDF">
        <w:trPr>
          <w:cantSplit/>
        </w:trPr>
        <w:tc>
          <w:tcPr>
            <w:tcW w:w="737" w:type="dxa"/>
            <w:tcBorders>
              <w:right w:val="single" w:sz="12" w:space="0" w:color="auto"/>
            </w:tcBorders>
          </w:tcPr>
          <w:p w:rsidR="00AD6594" w:rsidRPr="00360924" w:rsidRDefault="00AD6594" w:rsidP="00242EDF">
            <w:pPr>
              <w:pStyle w:val="Tabulka"/>
            </w:pPr>
            <w:r w:rsidRPr="00360924">
              <w:t>33</w:t>
            </w:r>
          </w:p>
        </w:tc>
        <w:tc>
          <w:tcPr>
            <w:tcW w:w="3330" w:type="dxa"/>
            <w:tcBorders>
              <w:left w:val="single" w:sz="12" w:space="0" w:color="auto"/>
            </w:tcBorders>
          </w:tcPr>
          <w:p w:rsidR="00AD6594" w:rsidRPr="00360924" w:rsidRDefault="00AD6594" w:rsidP="00242EDF">
            <w:pPr>
              <w:pStyle w:val="Tabulka"/>
            </w:pPr>
            <w:r w:rsidRPr="00360924">
              <w:t>Monitoring znečištění podzemních vod – mělké vrty (% vzorků překračujících limit), ČHMÚ.</w:t>
            </w:r>
          </w:p>
        </w:tc>
        <w:tc>
          <w:tcPr>
            <w:tcW w:w="5171" w:type="dxa"/>
          </w:tcPr>
          <w:p w:rsidR="00AD6594" w:rsidRPr="00360924" w:rsidRDefault="00AD6594" w:rsidP="00242EDF">
            <w:pPr>
              <w:pStyle w:val="Tabulka"/>
            </w:pPr>
            <w:r w:rsidRPr="00360924">
              <w:t xml:space="preserve">Dusičnany – </w:t>
            </w:r>
            <w:r>
              <w:t>14,8</w:t>
            </w:r>
            <w:r w:rsidRPr="00360924">
              <w:t xml:space="preserve"> %, dusitany – 0 %, amonné ionty – </w:t>
            </w:r>
            <w:r>
              <w:t>24,2</w:t>
            </w:r>
            <w:r w:rsidRPr="00360924">
              <w:t xml:space="preserve"> %, </w:t>
            </w:r>
            <w:proofErr w:type="spellStart"/>
            <w:r w:rsidRPr="00360924">
              <w:t>CHSK</w:t>
            </w:r>
            <w:r w:rsidRPr="00360924">
              <w:rPr>
                <w:vertAlign w:val="subscript"/>
              </w:rPr>
              <w:t>Mn</w:t>
            </w:r>
            <w:proofErr w:type="spellEnd"/>
            <w:r w:rsidRPr="002D7CF8">
              <w:rPr>
                <w:rStyle w:val="Znakapoznpodarou"/>
              </w:rPr>
              <w:footnoteReference w:id="55"/>
            </w:r>
            <w:r w:rsidRPr="00360924">
              <w:t xml:space="preserve"> –</w:t>
            </w:r>
            <w:r>
              <w:t xml:space="preserve"> 24</w:t>
            </w:r>
            <w:r w:rsidRPr="00360924">
              <w:t xml:space="preserve"> %, chloridy – </w:t>
            </w:r>
            <w:r>
              <w:t>4,3</w:t>
            </w:r>
            <w:r w:rsidRPr="00360924">
              <w:t xml:space="preserve"> %, suma pesticidů – </w:t>
            </w:r>
            <w:r>
              <w:t>47,3</w:t>
            </w:r>
            <w:r w:rsidRPr="00360924">
              <w:t> %</w:t>
            </w:r>
            <w:r>
              <w:t>.</w:t>
            </w:r>
          </w:p>
        </w:tc>
      </w:tr>
      <w:tr w:rsidR="00AD6594" w:rsidRPr="00360924" w:rsidTr="00242EDF">
        <w:trPr>
          <w:cantSplit/>
        </w:trPr>
        <w:tc>
          <w:tcPr>
            <w:tcW w:w="737" w:type="dxa"/>
            <w:tcBorders>
              <w:right w:val="single" w:sz="12" w:space="0" w:color="auto"/>
            </w:tcBorders>
          </w:tcPr>
          <w:p w:rsidR="00AD6594" w:rsidRPr="00360924" w:rsidRDefault="00AD6594" w:rsidP="00242EDF">
            <w:pPr>
              <w:pStyle w:val="Tabulka"/>
            </w:pPr>
            <w:r w:rsidRPr="00360924">
              <w:lastRenderedPageBreak/>
              <w:t>34</w:t>
            </w:r>
          </w:p>
        </w:tc>
        <w:tc>
          <w:tcPr>
            <w:tcW w:w="3330" w:type="dxa"/>
            <w:tcBorders>
              <w:left w:val="single" w:sz="12" w:space="0" w:color="auto"/>
            </w:tcBorders>
          </w:tcPr>
          <w:p w:rsidR="00AD6594" w:rsidRPr="00360924" w:rsidRDefault="00AD6594" w:rsidP="00242EDF">
            <w:pPr>
              <w:pStyle w:val="Tabulka"/>
            </w:pPr>
            <w:r w:rsidRPr="00360924">
              <w:t>Monitoring jakosti povrchových vod podle nitrátové směrnice (% vzorků překračujících limitní hodnoty), PMO.</w:t>
            </w:r>
          </w:p>
        </w:tc>
        <w:tc>
          <w:tcPr>
            <w:tcW w:w="5171" w:type="dxa"/>
          </w:tcPr>
          <w:p w:rsidR="00AD6594" w:rsidRDefault="00AD6594" w:rsidP="00242EDF">
            <w:pPr>
              <w:pStyle w:val="Tabulka"/>
            </w:pPr>
            <w:r w:rsidRPr="00360924">
              <w:t xml:space="preserve">Zranitelné oblasti: celkem </w:t>
            </w:r>
            <w:r>
              <w:t>3,8</w:t>
            </w:r>
            <w:r w:rsidRPr="00360924">
              <w:t xml:space="preserve"> % rozborů překročilo limit 50 mg NO3</w:t>
            </w:r>
            <w:r w:rsidRPr="00711C49">
              <w:rPr>
                <w:vertAlign w:val="superscript"/>
              </w:rPr>
              <w:t>-</w:t>
            </w:r>
            <w:r w:rsidRPr="00360924">
              <w:t xml:space="preserve">/l, </w:t>
            </w:r>
            <w:r>
              <w:t>33,7</w:t>
            </w:r>
            <w:r w:rsidRPr="00360924">
              <w:t> % rozborů překročilo limit 25 mg NO3</w:t>
            </w:r>
            <w:r w:rsidRPr="00711C49">
              <w:rPr>
                <w:vertAlign w:val="superscript"/>
              </w:rPr>
              <w:t>-</w:t>
            </w:r>
            <w:r w:rsidRPr="00360924">
              <w:t>/l.</w:t>
            </w:r>
          </w:p>
          <w:p w:rsidR="00AD6594" w:rsidRPr="00360924" w:rsidRDefault="00AD6594" w:rsidP="00242EDF">
            <w:pPr>
              <w:pStyle w:val="Tabulka"/>
            </w:pPr>
            <w:r w:rsidRPr="00360924">
              <w:t xml:space="preserve">Nezranitelné oblasti: </w:t>
            </w:r>
            <w:r>
              <w:t>0,3</w:t>
            </w:r>
            <w:r w:rsidRPr="00360924">
              <w:t xml:space="preserve"> % rozborů překročilo limit 50 mg NO3</w:t>
            </w:r>
            <w:r w:rsidRPr="00711C49">
              <w:rPr>
                <w:vertAlign w:val="superscript"/>
              </w:rPr>
              <w:t>-</w:t>
            </w:r>
            <w:r w:rsidRPr="00360924">
              <w:t xml:space="preserve">/l, celkem </w:t>
            </w:r>
            <w:r>
              <w:t>10,7</w:t>
            </w:r>
            <w:r w:rsidRPr="00360924">
              <w:t xml:space="preserve"> % rozborů překročilo hranici 25 mg NO3</w:t>
            </w:r>
            <w:r w:rsidRPr="00711C49">
              <w:rPr>
                <w:vertAlign w:val="superscript"/>
              </w:rPr>
              <w:t>-</w:t>
            </w:r>
            <w:r w:rsidRPr="00360924">
              <w:t>/l</w:t>
            </w:r>
            <w:r w:rsidRPr="002D7CF8">
              <w:rPr>
                <w:rStyle w:val="Znakapoznpodarou"/>
              </w:rPr>
              <w:footnoteReference w:id="56"/>
            </w:r>
            <w:r>
              <w:t>.</w:t>
            </w:r>
          </w:p>
        </w:tc>
      </w:tr>
      <w:tr w:rsidR="00AD6594" w:rsidRPr="008B0409" w:rsidTr="00242EDF">
        <w:trPr>
          <w:cantSplit/>
        </w:trPr>
        <w:tc>
          <w:tcPr>
            <w:tcW w:w="737" w:type="dxa"/>
            <w:tcBorders>
              <w:bottom w:val="double" w:sz="4" w:space="0" w:color="auto"/>
              <w:right w:val="single" w:sz="12" w:space="0" w:color="auto"/>
            </w:tcBorders>
          </w:tcPr>
          <w:p w:rsidR="00AD6594" w:rsidRPr="00360924" w:rsidRDefault="00AD6594" w:rsidP="00242EDF">
            <w:pPr>
              <w:pStyle w:val="Tabulka"/>
            </w:pPr>
            <w:bookmarkStart w:id="111" w:name="OLE_LINK7"/>
            <w:bookmarkStart w:id="112" w:name="OLE_LINK6"/>
            <w:bookmarkEnd w:id="111"/>
            <w:bookmarkEnd w:id="112"/>
            <w:r w:rsidRPr="00360924">
              <w:t>35</w:t>
            </w:r>
          </w:p>
        </w:tc>
        <w:tc>
          <w:tcPr>
            <w:tcW w:w="3330" w:type="dxa"/>
            <w:tcBorders>
              <w:left w:val="single" w:sz="12" w:space="0" w:color="auto"/>
              <w:bottom w:val="double" w:sz="4" w:space="0" w:color="auto"/>
            </w:tcBorders>
          </w:tcPr>
          <w:p w:rsidR="00AD6594" w:rsidRPr="00360924" w:rsidRDefault="00AD6594" w:rsidP="00242EDF">
            <w:pPr>
              <w:pStyle w:val="Tabulka"/>
            </w:pPr>
            <w:r w:rsidRPr="00360924">
              <w:t>Kontrola zemědělského hospodaření s ohledem na nařízení vlády č. 103/2003 Sb., ÚKZÚZ.</w:t>
            </w:r>
          </w:p>
        </w:tc>
        <w:tc>
          <w:tcPr>
            <w:tcW w:w="5171" w:type="dxa"/>
            <w:tcBorders>
              <w:bottom w:val="double" w:sz="4" w:space="0" w:color="auto"/>
            </w:tcBorders>
          </w:tcPr>
          <w:p w:rsidR="00AD6594" w:rsidRPr="00360924" w:rsidRDefault="00AD6594" w:rsidP="00242EDF">
            <w:pPr>
              <w:pStyle w:val="Tabulka"/>
            </w:pPr>
            <w:r w:rsidRPr="00360924">
              <w:t xml:space="preserve">Uskutečněno </w:t>
            </w:r>
            <w:r>
              <w:t>185</w:t>
            </w:r>
            <w:r w:rsidRPr="00360924">
              <w:t xml:space="preserve"> kontrol u </w:t>
            </w:r>
            <w:r>
              <w:t>174</w:t>
            </w:r>
            <w:r w:rsidRPr="00360924">
              <w:t xml:space="preserve"> podniků v ZOD. Bylo zjištěno porušení pravidel u </w:t>
            </w:r>
            <w:r>
              <w:t>9</w:t>
            </w:r>
            <w:r w:rsidRPr="00360924">
              <w:t xml:space="preserve"> subjektů. Nejvýznamnějším rizikem znečištění bylo </w:t>
            </w:r>
            <w:r>
              <w:t xml:space="preserve">uložení statkových hnojiv na z. </w:t>
            </w:r>
            <w:r w:rsidRPr="00360924">
              <w:t>p., kdy byla hnojiva skladována v rozporu s havarijním plánem.</w:t>
            </w:r>
          </w:p>
        </w:tc>
      </w:tr>
    </w:tbl>
    <w:p w:rsidR="00AD6594" w:rsidRPr="00A96B6C" w:rsidRDefault="00AD6594" w:rsidP="00242EDF">
      <w:pPr>
        <w:pStyle w:val="mezera"/>
      </w:pPr>
    </w:p>
    <w:p w:rsidR="00AD6594" w:rsidRDefault="00AD6594" w:rsidP="00242EDF">
      <w:r w:rsidRPr="00360924">
        <w:t>Na životní prostředí měl v roce 201</w:t>
      </w:r>
      <w:r>
        <w:t>4</w:t>
      </w:r>
      <w:r w:rsidRPr="00360924">
        <w:t xml:space="preserve"> významný vliv Program rozvoje venkova, z kterého je možné využívat finanční prostředky z tzv. Agroenvironmentálních opatření. V roce 201</w:t>
      </w:r>
      <w:r>
        <w:t>4</w:t>
      </w:r>
      <w:r w:rsidRPr="00360924">
        <w:t xml:space="preserve"> bylo podáno v rámci AEO (PRV) </w:t>
      </w:r>
      <w:r>
        <w:t>15 113</w:t>
      </w:r>
      <w:r w:rsidRPr="00360924">
        <w:t xml:space="preserve"> žádostí na výměru 1 </w:t>
      </w:r>
      <w:r>
        <w:t>383,4</w:t>
      </w:r>
      <w:r w:rsidRPr="00360924">
        <w:t xml:space="preserve"> tis</w:t>
      </w:r>
      <w:r>
        <w:t>.</w:t>
      </w:r>
      <w:r w:rsidRPr="00360924">
        <w:t> ha z.</w:t>
      </w:r>
      <w:r>
        <w:t> </w:t>
      </w:r>
      <w:r w:rsidRPr="00360924">
        <w:t>p. Celkem bylo vyplaceno 4 </w:t>
      </w:r>
      <w:r>
        <w:t>297,9</w:t>
      </w:r>
      <w:r w:rsidR="001950A8">
        <w:t>4</w:t>
      </w:r>
      <w:r w:rsidRPr="00360924">
        <w:t xml:space="preserve"> </w:t>
      </w:r>
      <w:r>
        <w:t xml:space="preserve">mil. Kč </w:t>
      </w:r>
      <w:r w:rsidRPr="00360924">
        <w:t>z nárokovaných požadavků roku 201</w:t>
      </w:r>
      <w:r>
        <w:t>3</w:t>
      </w:r>
      <w:r w:rsidRPr="00360924">
        <w:t>. Přehled podaných žádostí, požadované výměře a sumě vyplacených dotací uvádí tab. T4.1/</w:t>
      </w:r>
      <w:r w:rsidRPr="001E3FCC">
        <w:t>03. Dále bylo v rámci opatření Natura 2000 a Rámcové směrnice pro vodní politiku za rok 201</w:t>
      </w:r>
      <w:r>
        <w:t>4</w:t>
      </w:r>
      <w:r w:rsidRPr="001E3FCC">
        <w:t xml:space="preserve"> vyplaceno 13 mil. Kč. V roce 2011 byly vypláceny poslední dotace z Horizontálního plánu rozvoje venkova</w:t>
      </w:r>
      <w:r>
        <w:t>na AEO (PRV)</w:t>
      </w:r>
      <w:r w:rsidRPr="00360924">
        <w:t xml:space="preserve">, </w:t>
      </w:r>
      <w:r>
        <w:t xml:space="preserve">proto již zde není uveden </w:t>
      </w:r>
      <w:r w:rsidRPr="00360924">
        <w:t>přehled čerpání.</w:t>
      </w:r>
      <w:r w:rsidRPr="00EC438D">
        <w:t xml:space="preserve"> </w:t>
      </w:r>
      <w:r>
        <w:t xml:space="preserve">V roce 2014 byla část výdajů na </w:t>
      </w:r>
      <w:proofErr w:type="spellStart"/>
      <w:r>
        <w:t>Agroenvironmentální</w:t>
      </w:r>
      <w:proofErr w:type="spellEnd"/>
      <w:r>
        <w:t xml:space="preserve"> opatření již hrazena z rozpočtu nového programového období (blíže tab. T4.1/03).</w:t>
      </w:r>
    </w:p>
    <w:p w:rsidR="00AD6594" w:rsidRPr="00360924" w:rsidRDefault="00AD6594" w:rsidP="00242EDF">
      <w:pPr>
        <w:pStyle w:val="mezera"/>
      </w:pPr>
    </w:p>
    <w:p w:rsidR="00AD6594" w:rsidRDefault="00AD6594" w:rsidP="00242EDF">
      <w:pPr>
        <w:pStyle w:val="mezera"/>
        <w:rPr>
          <w:noProof/>
          <w:lang w:eastAsia="cs-CZ"/>
        </w:rPr>
      </w:pPr>
      <w:r w:rsidRPr="00EB0B0D">
        <w:rPr>
          <w:noProof/>
          <w:lang w:eastAsia="cs-CZ"/>
        </w:rPr>
        <w:lastRenderedPageBreak/>
        <w:drawing>
          <wp:inline distT="0" distB="0" distL="0" distR="0" wp14:anchorId="4D7AB9B0" wp14:editId="78326C13">
            <wp:extent cx="5469748" cy="8820000"/>
            <wp:effectExtent l="0" t="0" r="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9748" cy="8820000"/>
                    </a:xfrm>
                    <a:prstGeom prst="rect">
                      <a:avLst/>
                    </a:prstGeom>
                    <a:noFill/>
                    <a:ln>
                      <a:noFill/>
                    </a:ln>
                  </pic:spPr>
                </pic:pic>
              </a:graphicData>
            </a:graphic>
          </wp:inline>
        </w:drawing>
      </w:r>
    </w:p>
    <w:p w:rsidR="00AD6594" w:rsidRPr="00A96B6C" w:rsidRDefault="00AD6594" w:rsidP="00242EDF">
      <w:pPr>
        <w:pStyle w:val="mezera"/>
      </w:pPr>
    </w:p>
    <w:p w:rsidR="00AD6594" w:rsidRPr="007C48A2" w:rsidRDefault="00AD6594" w:rsidP="00242EDF">
      <w:pPr>
        <w:rPr>
          <w:szCs w:val="24"/>
        </w:rPr>
      </w:pPr>
      <w:r w:rsidRPr="00A96B6C">
        <w:t>Na zemědělskou krajinu měly vliv i ostatní finanční nástroje podporované jinými</w:t>
      </w:r>
      <w:r w:rsidRPr="007C48A2">
        <w:t xml:space="preserve"> </w:t>
      </w:r>
      <w:r w:rsidR="00854B54">
        <w:t>rezort</w:t>
      </w:r>
      <w:r w:rsidRPr="007C48A2">
        <w:t>y, např. v rámci dotací MŽP.</w:t>
      </w:r>
      <w:r w:rsidRPr="007C48A2">
        <w:rPr>
          <w:szCs w:val="24"/>
        </w:rPr>
        <w:t xml:space="preserve"> V roce 201</w:t>
      </w:r>
      <w:r>
        <w:rPr>
          <w:szCs w:val="24"/>
        </w:rPr>
        <w:t>4</w:t>
      </w:r>
      <w:r w:rsidRPr="007C48A2">
        <w:rPr>
          <w:szCs w:val="24"/>
        </w:rPr>
        <w:t xml:space="preserve"> bylo vyplaceno z podprogramu pro zlepšování dochovaného přírodního a krajinného prostředí celkem </w:t>
      </w:r>
      <w:r>
        <w:rPr>
          <w:szCs w:val="24"/>
        </w:rPr>
        <w:t>21</w:t>
      </w:r>
      <w:r w:rsidRPr="007C48A2">
        <w:rPr>
          <w:szCs w:val="24"/>
        </w:rPr>
        <w:t xml:space="preserve"> mil. Kč a na opatření v zemědělském sektoru byla proplacena prakticky celá přidělená suma. Z podprogramu pro naplňování opatření vyplývajících z plánů péče o zvláště chráněná území a jejich ochranná pásma a zajišťování opatření k podpoře předmětů ochrany ptačích oblastí a evropsky významných lokalit bylo v roce 201</w:t>
      </w:r>
      <w:r>
        <w:rPr>
          <w:szCs w:val="24"/>
        </w:rPr>
        <w:t>4</w:t>
      </w:r>
      <w:r w:rsidRPr="007C48A2">
        <w:rPr>
          <w:szCs w:val="24"/>
        </w:rPr>
        <w:t xml:space="preserve"> profinancováno </w:t>
      </w:r>
      <w:r>
        <w:rPr>
          <w:szCs w:val="24"/>
        </w:rPr>
        <w:t xml:space="preserve">54,4 </w:t>
      </w:r>
      <w:r w:rsidRPr="007C48A2">
        <w:rPr>
          <w:szCs w:val="24"/>
        </w:rPr>
        <w:t xml:space="preserve">mil. </w:t>
      </w:r>
      <w:r w:rsidRPr="00D43BE7">
        <w:rPr>
          <w:szCs w:val="24"/>
        </w:rPr>
        <w:t>Kč, přičemž na zemědělské činnosti připadalo 49,4 mil. Kč. Dalším nástrojem MŽP zaměřeným na podporu zemědělské krajiny je Program obnovy přirozených funkcí krajiny. Do zemědělského</w:t>
      </w:r>
      <w:r w:rsidRPr="007C48A2">
        <w:rPr>
          <w:szCs w:val="24"/>
        </w:rPr>
        <w:t xml:space="preserve"> sektoru bylo z něho vyplaceno 5,</w:t>
      </w:r>
      <w:r>
        <w:rPr>
          <w:szCs w:val="24"/>
        </w:rPr>
        <w:t>2</w:t>
      </w:r>
      <w:r w:rsidRPr="007C48A2">
        <w:rPr>
          <w:szCs w:val="24"/>
        </w:rPr>
        <w:t xml:space="preserve"> mil. Kč, podpora byla nejčastěji směřována na výsadbu dřevin, obnovu remízků a alejí.</w:t>
      </w:r>
    </w:p>
    <w:p w:rsidR="00AD6594" w:rsidRPr="002A6691" w:rsidRDefault="00AD6594" w:rsidP="00242EDF">
      <w:pPr>
        <w:rPr>
          <w:szCs w:val="24"/>
        </w:rPr>
      </w:pPr>
      <w:r w:rsidRPr="007C48A2">
        <w:rPr>
          <w:szCs w:val="24"/>
        </w:rPr>
        <w:t>V</w:t>
      </w:r>
      <w:r w:rsidRPr="002A6691">
        <w:rPr>
          <w:szCs w:val="24"/>
        </w:rPr>
        <w:t> roce 201</w:t>
      </w:r>
      <w:r>
        <w:rPr>
          <w:szCs w:val="24"/>
        </w:rPr>
        <w:t>4</w:t>
      </w:r>
      <w:r w:rsidRPr="002A6691">
        <w:rPr>
          <w:szCs w:val="24"/>
        </w:rPr>
        <w:t xml:space="preserve"> bylo podle § 58 zákona č. 114/1992 Sb. požadováno přibližně </w:t>
      </w:r>
      <w:r>
        <w:rPr>
          <w:szCs w:val="24"/>
        </w:rPr>
        <w:t>15,5</w:t>
      </w:r>
      <w:r w:rsidRPr="002A6691">
        <w:rPr>
          <w:szCs w:val="24"/>
        </w:rPr>
        <w:t xml:space="preserve"> mil. Kč za újmu, která vznikla omezením hospodaření na zemědělské půdě a rybnících v roce </w:t>
      </w:r>
      <w:r w:rsidRPr="00087132">
        <w:rPr>
          <w:szCs w:val="24"/>
        </w:rPr>
        <w:t>2013 (3,7</w:t>
      </w:r>
      <w:r w:rsidRPr="00087132">
        <w:t> mil</w:t>
      </w:r>
      <w:r w:rsidRPr="00087132">
        <w:rPr>
          <w:szCs w:val="24"/>
        </w:rPr>
        <w:t>. Kč</w:t>
      </w:r>
      <w:r w:rsidRPr="00087132">
        <w:rPr>
          <w:rStyle w:val="Znakapoznpodarou"/>
        </w:rPr>
        <w:footnoteReference w:id="57"/>
      </w:r>
      <w:r w:rsidRPr="00087132">
        <w:rPr>
          <w:szCs w:val="24"/>
        </w:rPr>
        <w:t xml:space="preserve"> na ZPF a 11,8 mil. Kč na rybnících).</w:t>
      </w:r>
      <w:r w:rsidRPr="002A6691">
        <w:rPr>
          <w:szCs w:val="24"/>
        </w:rPr>
        <w:t xml:space="preserve"> V roce 201</w:t>
      </w:r>
      <w:r>
        <w:rPr>
          <w:szCs w:val="24"/>
        </w:rPr>
        <w:t>4</w:t>
      </w:r>
      <w:r w:rsidRPr="002A6691">
        <w:rPr>
          <w:szCs w:val="24"/>
        </w:rPr>
        <w:t xml:space="preserve"> bylo uznáno a proplaceno 3,7</w:t>
      </w:r>
      <w:r>
        <w:rPr>
          <w:szCs w:val="24"/>
        </w:rPr>
        <w:t> </w:t>
      </w:r>
      <w:r w:rsidRPr="002A6691">
        <w:rPr>
          <w:szCs w:val="24"/>
        </w:rPr>
        <w:t xml:space="preserve">mil. Kč na ZPF a </w:t>
      </w:r>
      <w:r>
        <w:rPr>
          <w:szCs w:val="24"/>
        </w:rPr>
        <w:t>11,7</w:t>
      </w:r>
      <w:r w:rsidRPr="002A6691">
        <w:rPr>
          <w:szCs w:val="24"/>
        </w:rPr>
        <w:t> mil. Kč</w:t>
      </w:r>
      <w:r w:rsidR="00274821">
        <w:rPr>
          <w:rStyle w:val="Znakapoznpodarou"/>
          <w:szCs w:val="24"/>
        </w:rPr>
        <w:footnoteReference w:id="58"/>
      </w:r>
      <w:r w:rsidRPr="002A6691">
        <w:rPr>
          <w:szCs w:val="24"/>
        </w:rPr>
        <w:t xml:space="preserve"> na rybnících. Žádáno bylo zejména z důvodů zákazu hnojení v I. zóně CHKO a na území přírodní rezervace a dále z důvodů nemožnosti hospodaření v důsledku výskytu zvláště chráněných živočichů. Na rybnících na území MZCHÚ se jednalo o snížení rybí obsádky, vyloučení hnojení a přikrmování.</w:t>
      </w:r>
    </w:p>
    <w:p w:rsidR="00AD6594" w:rsidRDefault="00AD6594" w:rsidP="00242EDF">
      <w:pPr>
        <w:rPr>
          <w:szCs w:val="24"/>
        </w:rPr>
      </w:pPr>
      <w:r w:rsidRPr="005D5435">
        <w:rPr>
          <w:szCs w:val="24"/>
        </w:rPr>
        <w:t>Na základě podpůrných programů v rámci nařízení vlády č. 505/2000 Sb. byla v roce 201</w:t>
      </w:r>
      <w:r>
        <w:rPr>
          <w:szCs w:val="24"/>
        </w:rPr>
        <w:t>4</w:t>
      </w:r>
      <w:r w:rsidRPr="005D5435">
        <w:rPr>
          <w:szCs w:val="24"/>
        </w:rPr>
        <w:t xml:space="preserve"> poskytnuta podpora ve stejné výši 0,8 mil</w:t>
      </w:r>
      <w:r>
        <w:rPr>
          <w:szCs w:val="24"/>
        </w:rPr>
        <w:t>.</w:t>
      </w:r>
      <w:r w:rsidRPr="005D5435">
        <w:rPr>
          <w:szCs w:val="24"/>
        </w:rPr>
        <w:t xml:space="preserve"> Kč jako v roce 201</w:t>
      </w:r>
      <w:r>
        <w:rPr>
          <w:szCs w:val="24"/>
        </w:rPr>
        <w:t>3</w:t>
      </w:r>
      <w:r w:rsidRPr="005D5435">
        <w:rPr>
          <w:szCs w:val="24"/>
        </w:rPr>
        <w:t xml:space="preserve"> na ochranu lesních porostů.</w:t>
      </w:r>
    </w:p>
    <w:p w:rsidR="00AD6594" w:rsidRPr="00AC6793" w:rsidRDefault="00AD6594" w:rsidP="00242EDF">
      <w:pPr>
        <w:rPr>
          <w:szCs w:val="24"/>
        </w:rPr>
      </w:pPr>
      <w:r w:rsidRPr="00AC6793">
        <w:rPr>
          <w:szCs w:val="24"/>
        </w:rPr>
        <w:t>Finanční podpora na národní programy zachování genofondu pro zemědělství (mikroorganismy, rostliny, hospodářská zvířata, koordinace programu) byla v roce 201</w:t>
      </w:r>
      <w:r>
        <w:rPr>
          <w:szCs w:val="24"/>
        </w:rPr>
        <w:t>4</w:t>
      </w:r>
      <w:r w:rsidRPr="00AC6793">
        <w:rPr>
          <w:szCs w:val="24"/>
        </w:rPr>
        <w:t xml:space="preserve"> </w:t>
      </w:r>
      <w:r>
        <w:rPr>
          <w:szCs w:val="24"/>
        </w:rPr>
        <w:t>70</w:t>
      </w:r>
      <w:r w:rsidRPr="00AC6793">
        <w:rPr>
          <w:szCs w:val="24"/>
        </w:rPr>
        <w:t> mil. Kč (v roce 201</w:t>
      </w:r>
      <w:r>
        <w:rPr>
          <w:szCs w:val="24"/>
        </w:rPr>
        <w:t>3</w:t>
      </w:r>
      <w:r w:rsidRPr="00AC6793">
        <w:rPr>
          <w:szCs w:val="24"/>
        </w:rPr>
        <w:t xml:space="preserve"> činila 6</w:t>
      </w:r>
      <w:r>
        <w:rPr>
          <w:szCs w:val="24"/>
        </w:rPr>
        <w:t>2</w:t>
      </w:r>
      <w:r w:rsidRPr="00AC6793">
        <w:rPr>
          <w:szCs w:val="24"/>
        </w:rPr>
        <w:t xml:space="preserve"> mil. Kč). Mírnou změnu zaznamenala také podpora na restrukturalizaci ovocných sadů, na kterou bylo vyplaceno </w:t>
      </w:r>
      <w:r>
        <w:rPr>
          <w:szCs w:val="24"/>
        </w:rPr>
        <w:t>58</w:t>
      </w:r>
      <w:r w:rsidRPr="00AC6793">
        <w:rPr>
          <w:szCs w:val="24"/>
        </w:rPr>
        <w:t xml:space="preserve"> mil. Kč, což je o 4 mil. Kč více než v roce 201</w:t>
      </w:r>
      <w:r>
        <w:rPr>
          <w:szCs w:val="24"/>
        </w:rPr>
        <w:t>3</w:t>
      </w:r>
      <w:r w:rsidRPr="00AC6793">
        <w:rPr>
          <w:szCs w:val="24"/>
        </w:rPr>
        <w:t>. Podpora včelařství činila 80 mil</w:t>
      </w:r>
      <w:r>
        <w:rPr>
          <w:szCs w:val="24"/>
        </w:rPr>
        <w:t>.</w:t>
      </w:r>
      <w:r w:rsidRPr="00AC6793">
        <w:rPr>
          <w:szCs w:val="24"/>
        </w:rPr>
        <w:t xml:space="preserve"> Kč, což </w:t>
      </w:r>
      <w:r>
        <w:rPr>
          <w:szCs w:val="24"/>
        </w:rPr>
        <w:t xml:space="preserve">je stejné jako v roce </w:t>
      </w:r>
      <w:r w:rsidRPr="00AC6793">
        <w:rPr>
          <w:szCs w:val="24"/>
        </w:rPr>
        <w:t>201</w:t>
      </w:r>
      <w:r>
        <w:rPr>
          <w:szCs w:val="24"/>
        </w:rPr>
        <w:t>3</w:t>
      </w:r>
      <w:r w:rsidRPr="00AC6793">
        <w:rPr>
          <w:szCs w:val="24"/>
        </w:rPr>
        <w:t>. Podpora hřebčínů</w:t>
      </w:r>
      <w:r>
        <w:rPr>
          <w:szCs w:val="24"/>
        </w:rPr>
        <w:t xml:space="preserve"> se</w:t>
      </w:r>
      <w:r w:rsidRPr="00AC6793">
        <w:rPr>
          <w:szCs w:val="24"/>
        </w:rPr>
        <w:t xml:space="preserve"> tento rok</w:t>
      </w:r>
      <w:r>
        <w:rPr>
          <w:szCs w:val="24"/>
        </w:rPr>
        <w:t xml:space="preserve"> zvýšila o 5 mil. Kč,</w:t>
      </w:r>
      <w:r w:rsidRPr="00AC6793">
        <w:rPr>
          <w:szCs w:val="24"/>
        </w:rPr>
        <w:t xml:space="preserve"> t</w:t>
      </w:r>
      <w:r>
        <w:rPr>
          <w:szCs w:val="24"/>
        </w:rPr>
        <w:t>zn</w:t>
      </w:r>
      <w:r w:rsidRPr="00AC6793">
        <w:rPr>
          <w:szCs w:val="24"/>
        </w:rPr>
        <w:t>.</w:t>
      </w:r>
      <w:r>
        <w:rPr>
          <w:szCs w:val="24"/>
        </w:rPr>
        <w:t xml:space="preserve"> na</w:t>
      </w:r>
      <w:r w:rsidRPr="00AC6793">
        <w:rPr>
          <w:szCs w:val="24"/>
        </w:rPr>
        <w:t xml:space="preserve"> </w:t>
      </w:r>
      <w:r>
        <w:rPr>
          <w:szCs w:val="24"/>
        </w:rPr>
        <w:t>30</w:t>
      </w:r>
      <w:r w:rsidRPr="00AC6793">
        <w:rPr>
          <w:szCs w:val="24"/>
        </w:rPr>
        <w:t xml:space="preserve"> mil. Kč. </w:t>
      </w:r>
      <w:r>
        <w:rPr>
          <w:szCs w:val="24"/>
        </w:rPr>
        <w:t xml:space="preserve">Mírně se snížila </w:t>
      </w:r>
      <w:r w:rsidRPr="00AC6793">
        <w:rPr>
          <w:szCs w:val="24"/>
        </w:rPr>
        <w:t>podpora mimoprodukčních funkcí rybníků z</w:t>
      </w:r>
      <w:r>
        <w:rPr>
          <w:szCs w:val="24"/>
        </w:rPr>
        <w:t>e</w:t>
      </w:r>
      <w:r w:rsidRPr="00AC6793">
        <w:rPr>
          <w:szCs w:val="24"/>
        </w:rPr>
        <w:t> </w:t>
      </w:r>
      <w:r>
        <w:rPr>
          <w:szCs w:val="24"/>
        </w:rPr>
        <w:t>79,3</w:t>
      </w:r>
      <w:r w:rsidRPr="00AC6793">
        <w:rPr>
          <w:szCs w:val="24"/>
        </w:rPr>
        <w:t xml:space="preserve"> mil. Kč v roce 201</w:t>
      </w:r>
      <w:r>
        <w:rPr>
          <w:szCs w:val="24"/>
        </w:rPr>
        <w:t>3</w:t>
      </w:r>
      <w:r w:rsidRPr="00AC6793">
        <w:rPr>
          <w:szCs w:val="24"/>
        </w:rPr>
        <w:t xml:space="preserve"> na </w:t>
      </w:r>
      <w:r>
        <w:rPr>
          <w:szCs w:val="24"/>
        </w:rPr>
        <w:t>69,7</w:t>
      </w:r>
      <w:r w:rsidRPr="00AC6793">
        <w:rPr>
          <w:szCs w:val="24"/>
        </w:rPr>
        <w:t xml:space="preserve"> mil. Kč v roce 201</w:t>
      </w:r>
      <w:r>
        <w:rPr>
          <w:szCs w:val="24"/>
        </w:rPr>
        <w:t>4</w:t>
      </w:r>
      <w:r w:rsidRPr="00AC6793">
        <w:rPr>
          <w:szCs w:val="24"/>
        </w:rPr>
        <w:t>.</w:t>
      </w:r>
    </w:p>
    <w:p w:rsidR="00AD6594" w:rsidRPr="00AC6793" w:rsidRDefault="00AD6594" w:rsidP="00242EDF">
      <w:pPr>
        <w:rPr>
          <w:szCs w:val="24"/>
        </w:rPr>
      </w:pPr>
      <w:r w:rsidRPr="00AC6793">
        <w:rPr>
          <w:szCs w:val="24"/>
        </w:rPr>
        <w:t>Podpory celkem poskytované podle § 2 zákona č. 252/1997 Sb. se zvýšily v roce 201</w:t>
      </w:r>
      <w:r>
        <w:rPr>
          <w:szCs w:val="24"/>
        </w:rPr>
        <w:t>4</w:t>
      </w:r>
      <w:r w:rsidRPr="00AC6793">
        <w:rPr>
          <w:szCs w:val="24"/>
        </w:rPr>
        <w:t xml:space="preserve"> na </w:t>
      </w:r>
      <w:r>
        <w:rPr>
          <w:szCs w:val="24"/>
        </w:rPr>
        <w:t>3,3</w:t>
      </w:r>
      <w:r w:rsidRPr="00AC6793">
        <w:rPr>
          <w:szCs w:val="24"/>
        </w:rPr>
        <w:t xml:space="preserve"> mld. Kč (oproti </w:t>
      </w:r>
      <w:r>
        <w:rPr>
          <w:szCs w:val="24"/>
        </w:rPr>
        <w:t>2,1</w:t>
      </w:r>
      <w:r w:rsidRPr="00AC6793">
        <w:rPr>
          <w:szCs w:val="24"/>
        </w:rPr>
        <w:t xml:space="preserve"> mld. Kč v roce 201</w:t>
      </w:r>
      <w:r>
        <w:rPr>
          <w:szCs w:val="24"/>
        </w:rPr>
        <w:t>3</w:t>
      </w:r>
      <w:r w:rsidRPr="00AC6793">
        <w:rPr>
          <w:szCs w:val="24"/>
        </w:rPr>
        <w:t>).</w:t>
      </w:r>
    </w:p>
    <w:p w:rsidR="00AD6594" w:rsidRDefault="00AD6594" w:rsidP="00242EDF">
      <w:r w:rsidRPr="00AC6793">
        <w:lastRenderedPageBreak/>
        <w:t>Za omezené užívání pozemků v ochranných pásmech vod bylo státními podniky jednotlivých povodí v roce 20</w:t>
      </w:r>
      <w:r>
        <w:t>14</w:t>
      </w:r>
      <w:r w:rsidRPr="00AC6793">
        <w:t xml:space="preserve"> vyplaceno 4,4 mil. Kč </w:t>
      </w:r>
      <w:r>
        <w:t>34</w:t>
      </w:r>
      <w:r w:rsidRPr="00AC6793">
        <w:t xml:space="preserve"> zemědělským subjektům. Lesním subjektům v roce 201</w:t>
      </w:r>
      <w:r>
        <w:t>4</w:t>
      </w:r>
      <w:r w:rsidRPr="00AC6793">
        <w:t xml:space="preserve"> nebyly vyplaceny žádné náhrady.</w:t>
      </w:r>
    </w:p>
    <w:p w:rsidR="00AD6594" w:rsidRPr="00AC6793" w:rsidRDefault="00AD6594" w:rsidP="00242EDF">
      <w:pPr>
        <w:rPr>
          <w:szCs w:val="24"/>
        </w:rPr>
      </w:pPr>
      <w:r w:rsidRPr="006A66E1">
        <w:rPr>
          <w:szCs w:val="24"/>
        </w:rPr>
        <w:t>Na podporu ochrany životního prostředí na zemědělské půdě přispívají také programy OP ŽP</w:t>
      </w:r>
      <w:r w:rsidRPr="002D7CF8">
        <w:rPr>
          <w:rStyle w:val="Znakapoznpodarou"/>
        </w:rPr>
        <w:footnoteReference w:id="59"/>
      </w:r>
      <w:r w:rsidRPr="006A66E1">
        <w:rPr>
          <w:szCs w:val="24"/>
        </w:rPr>
        <w:t xml:space="preserve"> a komunitní program </w:t>
      </w:r>
      <w:proofErr w:type="spellStart"/>
      <w:r w:rsidRPr="006A66E1">
        <w:rPr>
          <w:szCs w:val="24"/>
        </w:rPr>
        <w:t>Life</w:t>
      </w:r>
      <w:proofErr w:type="spellEnd"/>
      <w:r w:rsidRPr="006A66E1">
        <w:rPr>
          <w:szCs w:val="24"/>
        </w:rPr>
        <w:t>+</w:t>
      </w:r>
      <w:r w:rsidRPr="002D7CF8">
        <w:rPr>
          <w:rStyle w:val="Znakapoznpodarou"/>
        </w:rPr>
        <w:footnoteReference w:id="60"/>
      </w:r>
      <w:r w:rsidRPr="006A66E1">
        <w:rPr>
          <w:szCs w:val="24"/>
        </w:rPr>
        <w:t>.</w:t>
      </w:r>
    </w:p>
    <w:p w:rsidR="00AD6594" w:rsidRPr="001B1FDF" w:rsidRDefault="00AD6594" w:rsidP="001B1FDF">
      <w:pPr>
        <w:pStyle w:val="Nadpis2"/>
      </w:pPr>
      <w:bookmarkStart w:id="113" w:name="_Toc40532404"/>
      <w:bookmarkStart w:id="114" w:name="_Toc71946963"/>
      <w:bookmarkStart w:id="115" w:name="_Toc164826431"/>
      <w:bookmarkStart w:id="116" w:name="_Toc328053812"/>
      <w:bookmarkStart w:id="117" w:name="_Toc391991482"/>
      <w:bookmarkStart w:id="118" w:name="_Toc424307037"/>
      <w:bookmarkStart w:id="119" w:name="_Toc296443117"/>
      <w:r w:rsidRPr="001B1FDF">
        <w:t>4.2</w:t>
      </w:r>
      <w:r w:rsidRPr="001B1FDF">
        <w:tab/>
        <w:t>Ochrana zvířat</w:t>
      </w:r>
      <w:bookmarkEnd w:id="113"/>
      <w:bookmarkEnd w:id="114"/>
      <w:bookmarkEnd w:id="115"/>
      <w:bookmarkEnd w:id="116"/>
      <w:bookmarkEnd w:id="117"/>
      <w:bookmarkEnd w:id="118"/>
    </w:p>
    <w:p w:rsidR="00AD6594" w:rsidRDefault="00AD6594" w:rsidP="00242EDF">
      <w:bookmarkStart w:id="120" w:name="_Toc328053813"/>
      <w:r>
        <w:t>V České republice je oblast ochrany zvířat proti týrá</w:t>
      </w:r>
      <w:r w:rsidR="004157BC">
        <w:t>ní upravena zákonem č. 246/1992 </w:t>
      </w:r>
      <w:r>
        <w:t>Sb., na ochranu zvířat proti týrání, ve znění pozdějších předpisů (dále zákon na ochranu zvířat). Zákon na ochranu zvířat stanovuje jako hla</w:t>
      </w:r>
      <w:r w:rsidR="004157BC">
        <w:t>vní orgány ochrany zvířat MZe a </w:t>
      </w:r>
      <w:r>
        <w:t>SVS</w:t>
      </w:r>
      <w:r w:rsidR="008E767C">
        <w:t> ČR</w:t>
      </w:r>
      <w:r>
        <w:t>. Ochrana zvířat a péče o jejich pohodu (welfare) patří do kompetencí MZe, které pro tento účel zřídilo v rámci Odboru živočišných komodit Oddělení ochrany zvířat, a dále odborný poradní orgán ministra zemědělství – ÚKOZ. Dozor na úseku ochrany zvířat provádějí inspektoři krajských veterinárních správ SVS</w:t>
      </w:r>
      <w:r w:rsidR="008E767C">
        <w:t> ČR</w:t>
      </w:r>
      <w:r>
        <w:t>.</w:t>
      </w:r>
    </w:p>
    <w:p w:rsidR="00AD6594" w:rsidRDefault="00AD6594" w:rsidP="00242EDF">
      <w:r>
        <w:t>Na VFU absolvovalo 38 veterinárních lékařů kurs k získání osvědčení o odborné způsobilosti k výkonu dozoru na úseku ochrany zvířat proti týrání podle § 26 odst. 1 zákona na ochranu zvířat. Na dalších školicích pracovištích proběhly kursy k získání kvalifikace k navrhování pokusů a projektů pokusů na zvířatech, k získání osvědčení pro řidiče a průvodce silničních vozidel, i další jiné kursy stanovené právními předpisy ČR a EU v oblasti ochrany zvířat. Především zajištění kursů k obnovení kvalifikace v oblasti pokusných zvířat bylo velmi náročné kvůli velkému počtu (1 973) účastníků.</w:t>
      </w:r>
    </w:p>
    <w:p w:rsidR="00AD6594" w:rsidRDefault="00AD6594" w:rsidP="00242EDF">
      <w:r>
        <w:t xml:space="preserve">Na VFU úspěšně proběhla 21. konference s mezinárodní účastí na téma </w:t>
      </w:r>
      <w:r w:rsidR="008969A9">
        <w:t>„</w:t>
      </w:r>
      <w:r>
        <w:t>Ochrana zvířat a welfare 2014</w:t>
      </w:r>
      <w:r w:rsidR="008969A9">
        <w:t>“</w:t>
      </w:r>
      <w:r>
        <w:t xml:space="preserve">. Témata vztahující se k dobrým životním podmínkám zvířat byla obsahem také 29. semináře </w:t>
      </w:r>
      <w:r w:rsidR="008969A9">
        <w:t>„</w:t>
      </w:r>
      <w:r>
        <w:t>Aktuální otázky bioklimatologie 2014</w:t>
      </w:r>
      <w:r w:rsidR="008969A9">
        <w:t>“</w:t>
      </w:r>
      <w:r>
        <w:t>.</w:t>
      </w:r>
    </w:p>
    <w:p w:rsidR="00AD6594" w:rsidRDefault="00AD6594" w:rsidP="00242EDF">
      <w:r>
        <w:t>Situace na úseku ochrany zvířat v ČR v roce 2014 je detailně rozvedena v Informačním bulletinu SVS</w:t>
      </w:r>
      <w:r w:rsidR="008E767C">
        <w:t> ČR</w:t>
      </w:r>
      <w:r>
        <w:t xml:space="preserve"> </w:t>
      </w:r>
      <w:r w:rsidR="008969A9">
        <w:t>„</w:t>
      </w:r>
      <w:r>
        <w:t>Program ochrany zvířat, situace v roce 2014</w:t>
      </w:r>
      <w:r w:rsidR="008969A9">
        <w:t>“</w:t>
      </w:r>
      <w:r>
        <w:t>, který vydává Státní veterinární správa spolu s MZe. Program ochrany zvířat SVS</w:t>
      </w:r>
      <w:r w:rsidR="008E767C">
        <w:t> ČR</w:t>
      </w:r>
      <w:r>
        <w:t xml:space="preserve"> je realizován již od roku 1993, za toto období bylo v ČR provedeno inspektory krajských veterinárních správ celkem 242 125 kontrol dodržování zákona na ochranu zvířat.</w:t>
      </w:r>
    </w:p>
    <w:p w:rsidR="00AD6594" w:rsidRDefault="00AD6594" w:rsidP="00242EDF">
      <w:r>
        <w:t xml:space="preserve">V souladu s právními předpisy bylo v roce 2014 v rámci dozoru nad ochranou zvířat a péčí o jejich pohodu provedeno celkem 7 972 kontrol (z toho u hospodářských zvířat </w:t>
      </w:r>
      <w:r>
        <w:lastRenderedPageBreak/>
        <w:t>proběhlo 4 041 kontrol). Při 872 kontrolách byla zjištěna nevyhovující péče, která se týkala 203 917 zvířat (z toho při 355 kontrolách u 194 064 hospodářských zvířat).</w:t>
      </w:r>
    </w:p>
    <w:p w:rsidR="00AD6594" w:rsidRPr="008B0409" w:rsidRDefault="00AD6594" w:rsidP="00242EDF">
      <w:r>
        <w:t>Podle informací Ministerstva spravedlnosti bylo podle trestního zákona za týrání zvířat v roce 2014 stíháno 26 a odsouzeno 31 osob.</w:t>
      </w:r>
    </w:p>
    <w:p w:rsidR="00AD6594" w:rsidRPr="001B1FDF" w:rsidRDefault="00AD6594" w:rsidP="001B1FDF">
      <w:pPr>
        <w:pStyle w:val="Nadpis2"/>
      </w:pPr>
      <w:bookmarkStart w:id="121" w:name="_Toc391991483"/>
      <w:bookmarkStart w:id="122" w:name="_Toc424307038"/>
      <w:r w:rsidRPr="001B1FDF">
        <w:t>4.3</w:t>
      </w:r>
      <w:bookmarkStart w:id="123" w:name="_Toc296443118"/>
      <w:bookmarkStart w:id="124" w:name="_Toc328053814"/>
      <w:bookmarkStart w:id="125" w:name="_Toc391991484"/>
      <w:bookmarkEnd w:id="119"/>
      <w:bookmarkEnd w:id="120"/>
      <w:bookmarkEnd w:id="121"/>
      <w:r w:rsidRPr="001B1FDF">
        <w:tab/>
        <w:t>Ekologické zemědělství</w:t>
      </w:r>
      <w:bookmarkEnd w:id="122"/>
    </w:p>
    <w:p w:rsidR="00AD6594" w:rsidRPr="00E37B38" w:rsidRDefault="00AD6594" w:rsidP="00242EDF">
      <w:r w:rsidRPr="00E37B38">
        <w:t xml:space="preserve">Ekologické zemědělství v ČR má již dlouholetou tradici. Pravidla ekologického zemědělství a výroby biopotravin jsou upravena národními i evropskými předpisy. Od 1. 1. 2012 nabyl účinnosti zákon č. 344/2011 Sb., který novelizuje zákon o ekologickém zemědělství č. 242/2000 Sb. Změny v tomto právním předpisu směřují především ke zjednodušení administrativního řízení tohoto odvětví. Dále platí nařízení Rady (ES) č. 834/2007 a prováděcí nařízení Komise (ES) č. 889/2008, které poskytují národním předpisům rámec. 1. 4. 2012 nabyla účinnosti vyhláška č. 80/2012 Sb., kterou se provádí zákon č. 242/2000 Sb. Tato vyhláška obsahuje výčet hospodářských zvířat, která je možné chovat v systému ekologického zemědělství a aktualizuje pravidla pro chov králíků. Naopak bylo vypuštěno ustanovení týkající se pravidel ekologického chovu ryb, protože ta jsou obsahem nařízení Komise (ES) </w:t>
      </w:r>
      <w:r>
        <w:t xml:space="preserve">č. </w:t>
      </w:r>
      <w:r w:rsidRPr="00E37B38">
        <w:t xml:space="preserve">710/2009 o </w:t>
      </w:r>
      <w:proofErr w:type="spellStart"/>
      <w:r w:rsidRPr="00E37B38">
        <w:t>ekoakvakultuře</w:t>
      </w:r>
      <w:proofErr w:type="spellEnd"/>
      <w:r w:rsidRPr="00E37B38">
        <w:t>.</w:t>
      </w:r>
    </w:p>
    <w:p w:rsidR="00AD6594" w:rsidRDefault="00AD6594" w:rsidP="00242EDF">
      <w:pPr>
        <w:rPr>
          <w:szCs w:val="24"/>
        </w:rPr>
      </w:pPr>
      <w:r w:rsidRPr="002D11F8">
        <w:rPr>
          <w:szCs w:val="24"/>
        </w:rPr>
        <w:t>MZe pověřuje k činnosti kontrolní organizace, které pří</w:t>
      </w:r>
      <w:r>
        <w:rPr>
          <w:szCs w:val="24"/>
        </w:rPr>
        <w:t>mo na ekologických farmách a ve </w:t>
      </w:r>
      <w:r w:rsidRPr="002D11F8">
        <w:rPr>
          <w:szCs w:val="24"/>
        </w:rPr>
        <w:t>výrobnách biopotravin kontrolují dodržování právních předpisů. Příslušnými organizacemi byly v roce 201</w:t>
      </w:r>
      <w:r>
        <w:rPr>
          <w:szCs w:val="24"/>
        </w:rPr>
        <w:t>4:</w:t>
      </w:r>
      <w:r w:rsidRPr="002D11F8">
        <w:rPr>
          <w:szCs w:val="24"/>
        </w:rPr>
        <w:t xml:space="preserve"> KEZ o.p.s., ABCERT AG, organizační složka, </w:t>
      </w:r>
      <w:proofErr w:type="spellStart"/>
      <w:r w:rsidRPr="002D11F8">
        <w:rPr>
          <w:szCs w:val="24"/>
        </w:rPr>
        <w:t>Biokont</w:t>
      </w:r>
      <w:proofErr w:type="spellEnd"/>
      <w:r w:rsidRPr="002D11F8">
        <w:rPr>
          <w:szCs w:val="24"/>
        </w:rPr>
        <w:t xml:space="preserve"> CZ, s.r.o</w:t>
      </w:r>
      <w:r>
        <w:rPr>
          <w:szCs w:val="24"/>
        </w:rPr>
        <w:t>.,</w:t>
      </w:r>
      <w:r w:rsidRPr="002D11F8">
        <w:rPr>
          <w:szCs w:val="24"/>
        </w:rPr>
        <w:t xml:space="preserve"> a </w:t>
      </w:r>
      <w:proofErr w:type="spellStart"/>
      <w:r w:rsidRPr="00436EB7">
        <w:t>Bureau</w:t>
      </w:r>
      <w:proofErr w:type="spellEnd"/>
      <w:r w:rsidRPr="00436EB7">
        <w:t xml:space="preserve"> </w:t>
      </w:r>
      <w:proofErr w:type="spellStart"/>
      <w:r w:rsidRPr="00436EB7">
        <w:t>Veritas</w:t>
      </w:r>
      <w:proofErr w:type="spellEnd"/>
      <w:r w:rsidRPr="00436EB7">
        <w:t xml:space="preserve"> Czech Republic</w:t>
      </w:r>
      <w:r w:rsidRPr="00F26EE9">
        <w:t>, s</w:t>
      </w:r>
      <w:r>
        <w:t xml:space="preserve">pol. s </w:t>
      </w:r>
      <w:r w:rsidRPr="00F26EE9">
        <w:t>r.o</w:t>
      </w:r>
      <w:r w:rsidRPr="00F26EE9">
        <w:rPr>
          <w:szCs w:val="24"/>
        </w:rPr>
        <w:t>.</w:t>
      </w:r>
    </w:p>
    <w:p w:rsidR="00AD6594" w:rsidRDefault="00AD6594" w:rsidP="00242EDF">
      <w:r w:rsidRPr="00F26EE9">
        <w:t>Ke konci roku 201</w:t>
      </w:r>
      <w:r>
        <w:t>4</w:t>
      </w:r>
      <w:r w:rsidRPr="00F26EE9">
        <w:t xml:space="preserve"> hospodařilo v ČR </w:t>
      </w:r>
      <w:r>
        <w:t>3 870</w:t>
      </w:r>
      <w:r w:rsidRPr="002D7CF8">
        <w:rPr>
          <w:rStyle w:val="Znakapoznpodarou"/>
        </w:rPr>
        <w:footnoteReference w:id="61"/>
      </w:r>
      <w:r w:rsidRPr="00F26EE9">
        <w:t xml:space="preserve"> ekologických zemědělců, jedná se </w:t>
      </w:r>
      <w:r>
        <w:t>o mírný</w:t>
      </w:r>
      <w:r w:rsidRPr="00F26EE9">
        <w:t xml:space="preserve"> </w:t>
      </w:r>
      <w:r>
        <w:t>pokles</w:t>
      </w:r>
      <w:r w:rsidRPr="00F26EE9">
        <w:t xml:space="preserve"> oproti předchozímu roku. Naopak </w:t>
      </w:r>
      <w:r>
        <w:t>vzrostl</w:t>
      </w:r>
      <w:r w:rsidRPr="00F26EE9">
        <w:t xml:space="preserve"> počet výrobců biopotravin, kterých bylo k 31. 12.</w:t>
      </w:r>
      <w:r>
        <w:t> </w:t>
      </w:r>
      <w:r w:rsidRPr="00F26EE9">
        <w:t>201</w:t>
      </w:r>
      <w:r>
        <w:t>4</w:t>
      </w:r>
      <w:r w:rsidR="00850D71" w:rsidRPr="00850D71">
        <w:t xml:space="preserve"> </w:t>
      </w:r>
      <w:r w:rsidR="00850D71" w:rsidRPr="00F26EE9">
        <w:t>evidováno</w:t>
      </w:r>
      <w:r w:rsidR="00850D71">
        <w:t xml:space="preserve"> 506</w:t>
      </w:r>
      <w:r>
        <w:t>.</w:t>
      </w:r>
    </w:p>
    <w:p w:rsidR="00AD6594" w:rsidRPr="00F26EE9" w:rsidRDefault="00AD6594" w:rsidP="00242EDF">
      <w:pPr>
        <w:rPr>
          <w:szCs w:val="24"/>
        </w:rPr>
      </w:pPr>
      <w:r>
        <w:rPr>
          <w:szCs w:val="24"/>
        </w:rPr>
        <w:t>K 31. 12. 2014 byl p</w:t>
      </w:r>
      <w:r w:rsidRPr="00000E91">
        <w:t xml:space="preserve">odíl ekologicky obhospodařované půdy k celkové výměře zemědělské půdy </w:t>
      </w:r>
      <w:r>
        <w:t>11,7 %, což je téměř stejný podíl</w:t>
      </w:r>
      <w:r w:rsidRPr="00F26EE9">
        <w:rPr>
          <w:szCs w:val="24"/>
        </w:rPr>
        <w:t xml:space="preserve"> </w:t>
      </w:r>
      <w:r>
        <w:rPr>
          <w:szCs w:val="24"/>
        </w:rPr>
        <w:t>jako v roce 2013. Zároveň m</w:t>
      </w:r>
      <w:r w:rsidRPr="00F26EE9">
        <w:rPr>
          <w:szCs w:val="24"/>
        </w:rPr>
        <w:t xml:space="preserve">írně </w:t>
      </w:r>
      <w:r>
        <w:rPr>
          <w:szCs w:val="24"/>
        </w:rPr>
        <w:t>klesla</w:t>
      </w:r>
      <w:r w:rsidRPr="00F26EE9">
        <w:rPr>
          <w:szCs w:val="24"/>
        </w:rPr>
        <w:t xml:space="preserve"> výměra </w:t>
      </w:r>
      <w:r>
        <w:rPr>
          <w:szCs w:val="24"/>
        </w:rPr>
        <w:t xml:space="preserve">orné půdy </w:t>
      </w:r>
      <w:r w:rsidRPr="00F26EE9">
        <w:rPr>
          <w:szCs w:val="24"/>
        </w:rPr>
        <w:t xml:space="preserve">na </w:t>
      </w:r>
      <w:r>
        <w:rPr>
          <w:szCs w:val="24"/>
        </w:rPr>
        <w:t>56 555</w:t>
      </w:r>
      <w:r w:rsidRPr="00F26EE9">
        <w:rPr>
          <w:szCs w:val="24"/>
        </w:rPr>
        <w:t xml:space="preserve"> ha a </w:t>
      </w:r>
      <w:r>
        <w:rPr>
          <w:szCs w:val="24"/>
        </w:rPr>
        <w:t xml:space="preserve">vzrostla </w:t>
      </w:r>
      <w:r w:rsidRPr="00F26EE9">
        <w:rPr>
          <w:szCs w:val="24"/>
        </w:rPr>
        <w:t xml:space="preserve">výměra </w:t>
      </w:r>
      <w:r>
        <w:rPr>
          <w:szCs w:val="24"/>
        </w:rPr>
        <w:t xml:space="preserve">TP </w:t>
      </w:r>
      <w:r w:rsidRPr="00F26EE9">
        <w:rPr>
          <w:szCs w:val="24"/>
        </w:rPr>
        <w:t xml:space="preserve">na </w:t>
      </w:r>
      <w:r>
        <w:rPr>
          <w:szCs w:val="24"/>
        </w:rPr>
        <w:t>413 213 ha.</w:t>
      </w:r>
    </w:p>
    <w:p w:rsidR="00AD6594" w:rsidRDefault="00AD6594" w:rsidP="00242EDF">
      <w:pPr>
        <w:pStyle w:val="mezera"/>
        <w:rPr>
          <w:noProof/>
          <w:lang w:eastAsia="cs-CZ"/>
        </w:rPr>
      </w:pPr>
    </w:p>
    <w:p w:rsidR="00AD6594" w:rsidRDefault="00AD6594" w:rsidP="00242EDF">
      <w:pPr>
        <w:pStyle w:val="mezera"/>
      </w:pPr>
      <w:r w:rsidRPr="00A557E7">
        <w:rPr>
          <w:noProof/>
          <w:lang w:eastAsia="cs-CZ"/>
        </w:rPr>
        <w:lastRenderedPageBreak/>
        <w:drawing>
          <wp:inline distT="0" distB="0" distL="0" distR="0" wp14:anchorId="41691E9F" wp14:editId="78C88E34">
            <wp:extent cx="5760720" cy="1888496"/>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888496"/>
                    </a:xfrm>
                    <a:prstGeom prst="rect">
                      <a:avLst/>
                    </a:prstGeom>
                    <a:noFill/>
                    <a:ln>
                      <a:noFill/>
                    </a:ln>
                  </pic:spPr>
                </pic:pic>
              </a:graphicData>
            </a:graphic>
          </wp:inline>
        </w:drawing>
      </w:r>
    </w:p>
    <w:p w:rsidR="00AD6594" w:rsidRPr="00A96B6C" w:rsidRDefault="00AD6594" w:rsidP="00242EDF">
      <w:pPr>
        <w:pStyle w:val="mezera"/>
      </w:pPr>
    </w:p>
    <w:p w:rsidR="00AD6594" w:rsidRDefault="00AD6594" w:rsidP="00242EDF">
      <w:r>
        <w:t xml:space="preserve">Na plochách v ekologickém režimu bylo </w:t>
      </w:r>
      <w:r w:rsidRPr="003C7948">
        <w:t>za rok 2013</w:t>
      </w:r>
      <w:r>
        <w:rPr>
          <w:rStyle w:val="Znakapoznpodarou"/>
        </w:rPr>
        <w:footnoteReference w:id="62"/>
      </w:r>
      <w:r>
        <w:t xml:space="preserve"> vyprodukováno 62 210 </w:t>
      </w:r>
      <w:r w:rsidRPr="003C7948">
        <w:t>t obilovin, 3 07</w:t>
      </w:r>
      <w:r>
        <w:t>8</w:t>
      </w:r>
      <w:r w:rsidRPr="003C7948">
        <w:t xml:space="preserve"> t okopanin, 1 099 t olejnin a 1 612 t </w:t>
      </w:r>
      <w:r>
        <w:t>zeleniny. Z trvalých kultur bylo</w:t>
      </w:r>
      <w:r w:rsidRPr="003C7948">
        <w:t xml:space="preserve"> </w:t>
      </w:r>
      <w:r>
        <w:t>sklizeno</w:t>
      </w:r>
      <w:r w:rsidRPr="003C7948">
        <w:t xml:space="preserve"> 9 033 t ovoce a z toho 1 923 t produkce hroznů.</w:t>
      </w:r>
      <w:r>
        <w:t xml:space="preserve"> Produkce biomléka činila 34 831</w:t>
      </w:r>
      <w:r w:rsidRPr="003C7948">
        <w:t xml:space="preserve"> tis. l (v tom </w:t>
      </w:r>
      <w:r>
        <w:t>34 084</w:t>
      </w:r>
      <w:r w:rsidRPr="003C7948">
        <w:t xml:space="preserve"> tis. l kravského, 62</w:t>
      </w:r>
      <w:r>
        <w:t>1</w:t>
      </w:r>
      <w:r w:rsidRPr="003C7948">
        <w:t> tis. l kozího a 126 tis. l ovčího mléka). Celkem bylo vyprodukováno v </w:t>
      </w:r>
      <w:r w:rsidR="00850D71">
        <w:rPr>
          <w:color w:val="1F497D"/>
        </w:rPr>
        <w:t xml:space="preserve">jateční </w:t>
      </w:r>
      <w:r w:rsidRPr="003C7948">
        <w:t>hmotnosti 9 4</w:t>
      </w:r>
      <w:r>
        <w:t>60</w:t>
      </w:r>
      <w:r w:rsidRPr="003C7948">
        <w:t xml:space="preserve"> t hovězího, 552 t skopového (jehněčího), 132 t vepřového, 163 t drůbežího masa a 220 t vajec.</w:t>
      </w:r>
    </w:p>
    <w:p w:rsidR="00AD6594" w:rsidRPr="00F70D3D" w:rsidRDefault="00AD6594" w:rsidP="00850D71">
      <w:pPr>
        <w:pStyle w:val="Norm-Bold"/>
      </w:pPr>
      <w:r w:rsidRPr="00F70D3D">
        <w:t>Akční plán ekologického zemědělství</w:t>
      </w:r>
    </w:p>
    <w:p w:rsidR="00AD6594" w:rsidRPr="00F70D3D" w:rsidRDefault="00AD6594" w:rsidP="00242EDF">
      <w:r w:rsidRPr="00F70D3D">
        <w:t xml:space="preserve">Základním dokumentem pro rozvoj ekologického zemědělství je akční plán. Hlavním cílem </w:t>
      </w:r>
      <w:r w:rsidR="008969A9">
        <w:t>„</w:t>
      </w:r>
      <w:r w:rsidRPr="00AA43E6">
        <w:t>Akční</w:t>
      </w:r>
      <w:r>
        <w:t>ho</w:t>
      </w:r>
      <w:r w:rsidRPr="00AA43E6">
        <w:t xml:space="preserve"> plán</w:t>
      </w:r>
      <w:r>
        <w:t>u</w:t>
      </w:r>
      <w:r w:rsidRPr="00AA43E6">
        <w:t xml:space="preserve"> ČR pro rozvoj ekologického zemědělství v letech 2011</w:t>
      </w:r>
      <w:r>
        <w:noBreakHyphen/>
      </w:r>
      <w:r w:rsidRPr="00AA43E6">
        <w:t>2015</w:t>
      </w:r>
      <w:r w:rsidR="008969A9">
        <w:t>“</w:t>
      </w:r>
      <w:r w:rsidRPr="00F70D3D">
        <w:t xml:space="preserve"> je do konce roku 2015 dosáhnout 15% podílu výměry zemědělské půdy při současném navýšení podílu biopotravin na trhu s potravinami na 3 % a dosáhnout minimálně 60% podíl</w:t>
      </w:r>
      <w:r>
        <w:t>u</w:t>
      </w:r>
      <w:r w:rsidRPr="00F70D3D">
        <w:t xml:space="preserve"> české bioprodukce.</w:t>
      </w:r>
    </w:p>
    <w:p w:rsidR="00AD6594" w:rsidRPr="00F70D3D" w:rsidRDefault="00AD6594" w:rsidP="00242EDF">
      <w:pPr>
        <w:pStyle w:val="Norm-Bold"/>
      </w:pPr>
      <w:r w:rsidRPr="00F70D3D">
        <w:t>Podpora ekologického zemědělství</w:t>
      </w:r>
    </w:p>
    <w:p w:rsidR="00AD6594" w:rsidRPr="00F70D3D" w:rsidRDefault="00AD6594" w:rsidP="00242EDF">
      <w:r w:rsidRPr="00F70D3D">
        <w:t>Podpora pro ekologické zemědělce v podobě dotací na plochu užívanou v ekologickém hospodaření, nebo zařazenou do přechodného období, byla v roce 201</w:t>
      </w:r>
      <w:r>
        <w:t>4</w:t>
      </w:r>
      <w:r w:rsidRPr="00F70D3D">
        <w:t xml:space="preserve"> poskytována v rámci PRV jako součást tzv. </w:t>
      </w:r>
      <w:proofErr w:type="spellStart"/>
      <w:r w:rsidRPr="00F70D3D">
        <w:t>agroenvironmentálního</w:t>
      </w:r>
      <w:proofErr w:type="spellEnd"/>
      <w:r w:rsidRPr="00F70D3D">
        <w:t xml:space="preserve"> opatření. Výše podpor se liší podle obhospodařované kultury.</w:t>
      </w:r>
    </w:p>
    <w:p w:rsidR="00AD6594" w:rsidRPr="00F70D3D" w:rsidRDefault="00AD6594" w:rsidP="00242EDF">
      <w:r w:rsidRPr="00F70D3D">
        <w:t>Od roku 2007 je ekologické zemědělství podporováno také výrazným bodovým zvýhodněním (preferencí) ekologických zemědělců při hodnocení investičních projektů v rámci Os I a III PRV.</w:t>
      </w:r>
    </w:p>
    <w:p w:rsidR="00AD6594" w:rsidRPr="001B1FDF" w:rsidRDefault="00AD6594" w:rsidP="001B1FDF">
      <w:pPr>
        <w:pStyle w:val="Nadpis2"/>
      </w:pPr>
      <w:bookmarkStart w:id="126" w:name="_Toc424307039"/>
      <w:r w:rsidRPr="00CC0A2A">
        <w:t>4.4</w:t>
      </w:r>
      <w:r w:rsidRPr="00CC0A2A">
        <w:tab/>
        <w:t>Zranitelné oblasti</w:t>
      </w:r>
      <w:bookmarkEnd w:id="123"/>
      <w:bookmarkEnd w:id="124"/>
      <w:r w:rsidRPr="00CC0A2A">
        <w:t xml:space="preserve"> dusíkem</w:t>
      </w:r>
      <w:bookmarkEnd w:id="125"/>
      <w:bookmarkEnd w:id="126"/>
    </w:p>
    <w:p w:rsidR="00BF6C3C" w:rsidRDefault="00BF6C3C" w:rsidP="00BF6C3C">
      <w:r>
        <w:t xml:space="preserve">Zranitelné oblasti dusíkem (dále jen ZOD) jsou ty, kde kontaminace podzemních a povrchových vod dusičnany již přesáhla nebo by mohla přesáhnout stanovenou mez koncentrace dusičnanů ve výši 50 mg/l. Seznam ZOD byl vyhlášen nařízením vlády </w:t>
      </w:r>
      <w:r>
        <w:lastRenderedPageBreak/>
        <w:t>č. 103/2003 Sb., o stanovení zranitelných oblastí a o používání a skladování hnojiv a statkových hnojiv, střídání plodin a provádění protierozních opatření v těchto oblastech. ZOD podléhají podle požadavků nitrátové směrnice (směrnice Rady č. 91/676/EHS o ochraně vod před znečištěním dusičnany ze zemědělských zdrojů) revizi nejméně každé čtyři roky od jejich vyhlášení. První revize byla provedena v roce 2007 a vyhlášena novelou nařízení vlády pod č. 219/2007 Sb. s účinností od 1. 9. 2007. Druhá revize vymezení zranitelných oblastí byla provedena v březnu 2011 a byla vyhlášena nařízením vlády č. 262/2012 Sb., o stanovení zranitelných oblastí a akčním programu s účinností od 1. 8. 2012.</w:t>
      </w:r>
    </w:p>
    <w:p w:rsidR="00BF6C3C" w:rsidRDefault="00BF6C3C" w:rsidP="00BF6C3C">
      <w:r>
        <w:t>Akční program, který se také vždy za čtyřleté období aktualizuje, představuje povinné způsoby hospodaření ve vymezených ZOD, které mají za cíl redukovat riziko vyplavování dusíku do povrchových a podzemních vod. Nařízením vlády č. 262/2012 Sb. byl vyhlášen tzv. 3. akční program. Do ZOD byla doplněna nová katastrální území s celkovou výměrou 77 960 ha a čtyři katastrální území byla vyjmuta. Základním kritériem pro vyřazení zranitelných oblastí byly koncentrace dusičnanů na měrných profilech nižší než 25 mg/l. Podpůrným kritériem pro vyřazení byla nízká intenzita zemědělského hospodaření s vyšším zastoupením lesních ploch a travních porostů. V případě nového zařazení zranitelných oblastí byly základním kritériem vysoké koncentrace dusičnanů na měrných profilech nad 50 mg/l nebo v rozmezí 25-50 mg/l s prokazatelným rostoucím trendem. Přednostně se doplňovaly oblasti s vysokým podílem orné půdy. Dle LPIS je celková výměra zranitelných oblastí na z. p. 1 842 062 ha. Tab. T4.4/01 ukazuje porovnání rozlohy zranitelných oblastí v období po první (1. 9. 2007 až 31. 7. 2012) a druhé revizi zranitelných oblastí platných od 1. 8. 2012.</w:t>
      </w:r>
    </w:p>
    <w:p w:rsidR="00AD6594" w:rsidRDefault="00BF6C3C" w:rsidP="00BF6C3C">
      <w:r>
        <w:t>S účinností od 1. 7. 2014 došlo k dílčí technické revizi akčního plánu (nařízením vlády č. 117/2014 Sb.), kterou byly upřesněny podmínky týkající se aplikace hnojiv, skladovacích kapacit a období zákazu hnojení. Touto dílčí revizí nedošlo ke změně vymezeného území. Další revize je předpokládána na rok 2015/16 s účinností od 1. 7. 2016. Bude se jednat o kompletní revizi vymezení oblastí zranitelných dusičnany ze zemědělské produkce stejně jako o revizi jednotlivých opatření akčního programu.</w:t>
      </w:r>
    </w:p>
    <w:p w:rsidR="00BF6C3C" w:rsidRDefault="00BF6C3C" w:rsidP="00242EDF">
      <w:pPr>
        <w:pStyle w:val="mezera"/>
      </w:pPr>
    </w:p>
    <w:p w:rsidR="00AD6594" w:rsidRDefault="00AD6594" w:rsidP="00242EDF">
      <w:pPr>
        <w:pStyle w:val="mezera"/>
      </w:pPr>
      <w:r w:rsidRPr="00A557E7">
        <w:rPr>
          <w:noProof/>
          <w:lang w:eastAsia="cs-CZ"/>
        </w:rPr>
        <w:drawing>
          <wp:inline distT="0" distB="0" distL="0" distR="0" wp14:anchorId="410455EE" wp14:editId="5E615ACF">
            <wp:extent cx="5760720" cy="1921997"/>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1921997"/>
                    </a:xfrm>
                    <a:prstGeom prst="rect">
                      <a:avLst/>
                    </a:prstGeom>
                    <a:noFill/>
                    <a:ln>
                      <a:noFill/>
                    </a:ln>
                  </pic:spPr>
                </pic:pic>
              </a:graphicData>
            </a:graphic>
          </wp:inline>
        </w:drawing>
      </w:r>
    </w:p>
    <w:p w:rsidR="00AD6594" w:rsidRDefault="00AD6594" w:rsidP="00242EDF">
      <w:pPr>
        <w:pStyle w:val="mezera"/>
      </w:pPr>
    </w:p>
    <w:p w:rsidR="00AD6594" w:rsidRPr="001B1FDF" w:rsidRDefault="00AD6594" w:rsidP="001B1FDF">
      <w:pPr>
        <w:pStyle w:val="Nadpis2"/>
      </w:pPr>
      <w:bookmarkStart w:id="127" w:name="_Toc391991485"/>
      <w:bookmarkStart w:id="128" w:name="_Toc424307040"/>
      <w:r w:rsidRPr="001B1FDF">
        <w:lastRenderedPageBreak/>
        <w:t>4.5</w:t>
      </w:r>
      <w:r w:rsidRPr="001B1FDF">
        <w:tab/>
        <w:t>Agrobiodiverzita a genetické zdroje významné pro výživu a zemědělství</w:t>
      </w:r>
      <w:bookmarkEnd w:id="127"/>
      <w:bookmarkEnd w:id="128"/>
    </w:p>
    <w:p w:rsidR="00AD6594" w:rsidRDefault="00AD6594" w:rsidP="00242EDF">
      <w:r>
        <w:t>Ministerstvo zemědělství České republiky vyhlásilo v roce 2012 Národní program konzervace a využívání genetických zdrojů rostlin, zvířat a mikroorganismů významných pro výživu a zemědělství na období 2012</w:t>
      </w:r>
      <w:r w:rsidR="00152C8B">
        <w:noBreakHyphen/>
      </w:r>
      <w:r>
        <w:t>2016. Tento program navazuje na předchozí fázi Národního programu z let 2007 až 2011.</w:t>
      </w:r>
    </w:p>
    <w:p w:rsidR="00AD6594" w:rsidRDefault="00AD6594" w:rsidP="00242EDF">
      <w:r>
        <w:t>Genetické zdroje ve smyslu Národního programu zahrnují tu část biodiverzity, která vznikala v zemědělských systémech záměrnou činností člověka, tzn. výběrem a později cílevědomým šlechtěním zemědělských plodin a hospodářských zvířat. Patří sem i příbuzné plané druhy a primitivní formy zemědělských plodin, které mají rovněž své využití ve šlechtění a jsou předmětem dlouhodobé konzervace pro další případné využití v budoucnu. Genetické zdroje zahrnují také některé volně žijící druhy hospodářských zvířat; vybrané sladkovodní druhy ryb, jejichž chov a šlechtění v akvakulturách je vzhledem k přírodním podmínkám ČR historicky nedílnou součástí zemědělsko-potravinářského sektoru; včely, jakožto nejvýznamnější opylovače rostlin, celou řadu různých druhů mikroorganismů a drobných bezobratlých živočichů, významných pro výživu a zemědělství. Základním předpokladem pro efektivní využití genetických zdrojů je samozřejmě jejich dostupnost pro další uživatele, včetně dostatečného množství informací o zdrojích samotných.</w:t>
      </w:r>
    </w:p>
    <w:p w:rsidR="00AD6594" w:rsidRDefault="00AD6594" w:rsidP="00242EDF">
      <w:r>
        <w:t>Genetické zdroje jsou tedy nezbytným základem nejen pro šlechtění a zemědělskou produkci, ale i pro biologický a zejména zemědělský výzkum. Principy ochrany a využívání genetických zdrojů jsou intenzivně sledovány na mezinárodní úrovni zejména v rámci Organizace OSN pro výživu a zemědělství (FAO) a rovněž prostřednictvím Úmluvy o biologické rozmanitosti (CBD).</w:t>
      </w:r>
    </w:p>
    <w:p w:rsidR="00AD6594" w:rsidRDefault="00AD6594" w:rsidP="00242EDF">
      <w:r>
        <w:t xml:space="preserve">Národní program zahrnuje všechny aktivity nezbytné pro uchování genetických zdrojů </w:t>
      </w:r>
      <w:r w:rsidR="008969A9">
        <w:t>„</w:t>
      </w:r>
      <w:r w:rsidRPr="008520EA">
        <w:t xml:space="preserve">on </w:t>
      </w:r>
      <w:proofErr w:type="spellStart"/>
      <w:r w:rsidRPr="008520EA">
        <w:t>farm</w:t>
      </w:r>
      <w:proofErr w:type="spellEnd"/>
      <w:r w:rsidR="008969A9">
        <w:t>“</w:t>
      </w:r>
      <w:r>
        <w:t xml:space="preserve"> a </w:t>
      </w:r>
      <w:r w:rsidR="008969A9">
        <w:t>„</w:t>
      </w:r>
      <w:r w:rsidRPr="008520EA">
        <w:t xml:space="preserve">in </w:t>
      </w:r>
      <w:proofErr w:type="spellStart"/>
      <w:r w:rsidRPr="008520EA">
        <w:t>situ</w:t>
      </w:r>
      <w:proofErr w:type="spellEnd"/>
      <w:r w:rsidR="008969A9">
        <w:t>“</w:t>
      </w:r>
      <w:r>
        <w:t>, jejich získávání, charakterizaci a dokumentaci, a zajištění jejich dostupnosti uživatelům v České republice i v zahraničí, včetně poskytování vzorků a relevantních informací, za podmínek stanovených platnými národními normami a mezinárodními dohodami.</w:t>
      </w:r>
    </w:p>
    <w:p w:rsidR="00AD6594" w:rsidRDefault="00AD6594" w:rsidP="00242EDF">
      <w:r>
        <w:t xml:space="preserve">Národní program má tři specifické části – podprogramy. Dle zákona č. 148/2003 Sb., o genetických zdrojích rostlin a mikroorganismů jsou to Národní program konzervace a využívání genetických zdrojů rostlin a </w:t>
      </w:r>
      <w:proofErr w:type="spellStart"/>
      <w:r>
        <w:t>agro</w:t>
      </w:r>
      <w:proofErr w:type="spellEnd"/>
      <w:r>
        <w:t>-biodiversity a Národní program konzervace a využívání genetických zdrojů mikroorganismů a drobných živočichů hospodářského významu. Dle zákona č. 154/2000 Sb., o šlechtění, plemenitbě a evidenci hospodářských zvířat a o změně některých souvisejících zákonů (plemenářský zákon) je to Národní program konzervace a využívání genetických zdrojů zvířat významných pro výživu a zemědělství.</w:t>
      </w:r>
    </w:p>
    <w:p w:rsidR="00AD6594" w:rsidRPr="00EB6E7A" w:rsidRDefault="00AD6594" w:rsidP="00242EDF">
      <w:pPr>
        <w:pStyle w:val="Norm-Bold"/>
      </w:pPr>
      <w:r w:rsidRPr="00EB6E7A">
        <w:t>Národní program konzervace a využívání ge</w:t>
      </w:r>
      <w:r>
        <w:t xml:space="preserve">netických zdrojů rostlin a </w:t>
      </w:r>
      <w:proofErr w:type="spellStart"/>
      <w:r>
        <w:t>agro</w:t>
      </w:r>
      <w:r w:rsidRPr="00EB6E7A">
        <w:t>biodiver</w:t>
      </w:r>
      <w:r w:rsidR="00677363">
        <w:t>z</w:t>
      </w:r>
      <w:r w:rsidRPr="00EB6E7A">
        <w:t>ity</w:t>
      </w:r>
      <w:proofErr w:type="spellEnd"/>
    </w:p>
    <w:p w:rsidR="00AD6594" w:rsidRDefault="00AD6594" w:rsidP="00242EDF">
      <w:r>
        <w:t xml:space="preserve">V rámci tohoto programu spolupracovalo v roce 2014 16 pracovišť patřících 12 právním subjektům (veřejné výzkumné instituce, univerzita, soukromé obchodní společnosti). </w:t>
      </w:r>
      <w:r>
        <w:lastRenderedPageBreak/>
        <w:t>Koordinaci činnosti zajišťuje pro všechna pracoviště v ČR Genová banka ve VÚRV. Řešení probíhalo dle platné Rámcové metodiky Národního programu (NP), důraz byl kladen na bezpečné uchování a efektivní využívání genetických zdrojů rostlin (GZ) a další rozvoj mezinárodní spolupráce – zejména na zapojení 8 pracovišť NP do projektu Evropské genové banky (AEGIS). Všichni účastníci NP využívali při zajišťování služeb uživatelům Standardní dohody o poskytování GZ (</w:t>
      </w:r>
      <w:r w:rsidRPr="008520EA">
        <w:t xml:space="preserve">Standard </w:t>
      </w:r>
      <w:proofErr w:type="spellStart"/>
      <w:r w:rsidRPr="008520EA">
        <w:t>Material</w:t>
      </w:r>
      <w:proofErr w:type="spellEnd"/>
      <w:r w:rsidRPr="008520EA">
        <w:t xml:space="preserve"> Transfer </w:t>
      </w:r>
      <w:proofErr w:type="spellStart"/>
      <w:r w:rsidRPr="008520EA">
        <w:t>Agreement</w:t>
      </w:r>
      <w:proofErr w:type="spellEnd"/>
      <w:r>
        <w:t xml:space="preserve"> – SMTA). Přidružení členové AEGIS pracovali též na výběru a přípravě evropských položek GZ (</w:t>
      </w:r>
      <w:proofErr w:type="spellStart"/>
      <w:r w:rsidRPr="008520EA">
        <w:t>European</w:t>
      </w:r>
      <w:proofErr w:type="spellEnd"/>
      <w:r w:rsidRPr="008520EA">
        <w:t xml:space="preserve"> </w:t>
      </w:r>
      <w:proofErr w:type="spellStart"/>
      <w:r w:rsidRPr="008520EA">
        <w:t>Accessions</w:t>
      </w:r>
      <w:proofErr w:type="spellEnd"/>
      <w:r>
        <w:t xml:space="preserve"> – EA) pro zařazení do AEGIS. V několika posledních letech se mezi priority NP (v souladu s mezinárodními trendy) posouvá využití genetických markérů, metod genomiky, </w:t>
      </w:r>
      <w:proofErr w:type="spellStart"/>
      <w:r>
        <w:t>kryoprezervace</w:t>
      </w:r>
      <w:proofErr w:type="spellEnd"/>
      <w:r>
        <w:t xml:space="preserve">, </w:t>
      </w:r>
      <w:r w:rsidR="008969A9">
        <w:t>„</w:t>
      </w:r>
      <w:r w:rsidRPr="008520EA">
        <w:t xml:space="preserve">on </w:t>
      </w:r>
      <w:proofErr w:type="spellStart"/>
      <w:r w:rsidRPr="008520EA">
        <w:t>farm</w:t>
      </w:r>
      <w:proofErr w:type="spellEnd"/>
      <w:r w:rsidR="008969A9">
        <w:t>“</w:t>
      </w:r>
      <w:r>
        <w:t xml:space="preserve"> a </w:t>
      </w:r>
      <w:r w:rsidR="008969A9">
        <w:t>„</w:t>
      </w:r>
      <w:r w:rsidRPr="008520EA">
        <w:t xml:space="preserve">in </w:t>
      </w:r>
      <w:proofErr w:type="spellStart"/>
      <w:r w:rsidRPr="008520EA">
        <w:t>situ</w:t>
      </w:r>
      <w:proofErr w:type="spellEnd"/>
      <w:r w:rsidR="008969A9">
        <w:t>“</w:t>
      </w:r>
      <w:r>
        <w:t xml:space="preserve"> konzervace. Pro další zlepšování managementu kolekcí a služeb uživatelům je podporována tvorba </w:t>
      </w:r>
      <w:r w:rsidR="008969A9">
        <w:t>„</w:t>
      </w:r>
      <w:proofErr w:type="spellStart"/>
      <w:r w:rsidRPr="008520EA">
        <w:t>core</w:t>
      </w:r>
      <w:proofErr w:type="spellEnd"/>
      <w:r w:rsidR="008969A9">
        <w:t>“</w:t>
      </w:r>
      <w:r>
        <w:t xml:space="preserve"> kolekcí, výběr a popis donorů významných znaků, spolupráce s uživateli při hodnocení genetických zdrojů a rozšiřování informačních databází. V roce 2014 pokračoval převod Národního informačního systému genetických zdrojů (EVIGEZ) na platformu programu GRIN GLOBAL (mezinárodní varianta národního informačního systému genetických zdrojů rostlin v USA), který splňuje současné požadavky kladené na informační systémy v genových bankách a vysokou mezinárodní kompatibilitu.</w:t>
      </w:r>
    </w:p>
    <w:p w:rsidR="00AD6594" w:rsidRDefault="00AD6594" w:rsidP="00242EDF">
      <w:pPr>
        <w:pStyle w:val="mezera"/>
      </w:pPr>
    </w:p>
    <w:p w:rsidR="00AD6594" w:rsidRDefault="00AD6594" w:rsidP="00242EDF">
      <w:pPr>
        <w:pStyle w:val="mezera-svzan"/>
      </w:pPr>
      <w:r w:rsidRPr="00A557E7">
        <w:rPr>
          <w:noProof/>
          <w:lang w:eastAsia="cs-CZ"/>
        </w:rPr>
        <w:drawing>
          <wp:inline distT="0" distB="0" distL="0" distR="0" wp14:anchorId="57E59EC0" wp14:editId="1F0806A4">
            <wp:extent cx="5760720" cy="3713662"/>
            <wp:effectExtent l="0" t="0" r="0" b="127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AD6594" w:rsidRPr="001031B2" w:rsidRDefault="00AD6594" w:rsidP="00242EDF">
      <w:pPr>
        <w:pStyle w:val="TabPramZprac"/>
      </w:pPr>
      <w:r>
        <w:t>Pramen:</w:t>
      </w:r>
      <w:r>
        <w:tab/>
      </w:r>
      <w:r w:rsidRPr="001031B2">
        <w:t>VÚRV</w:t>
      </w:r>
    </w:p>
    <w:p w:rsidR="00AD6594" w:rsidRDefault="00AD6594" w:rsidP="00242EDF">
      <w:pPr>
        <w:pStyle w:val="TabPramZprac"/>
      </w:pPr>
      <w:r>
        <w:t>Zpracoval:</w:t>
      </w:r>
      <w:r>
        <w:tab/>
      </w:r>
      <w:r w:rsidRPr="001031B2">
        <w:t>M. Mrnuštík Konečná (ÚZEI)</w:t>
      </w:r>
    </w:p>
    <w:p w:rsidR="00AD6594" w:rsidRPr="00A557E7" w:rsidRDefault="00AD6594" w:rsidP="00242EDF">
      <w:pPr>
        <w:pStyle w:val="mezera"/>
      </w:pPr>
    </w:p>
    <w:p w:rsidR="00AD6594" w:rsidRPr="00EB6E7A" w:rsidRDefault="00AD6594" w:rsidP="00242EDF">
      <w:pPr>
        <w:pStyle w:val="Norm-Bold"/>
      </w:pPr>
      <w:r w:rsidRPr="00EB6E7A">
        <w:lastRenderedPageBreak/>
        <w:t>Národní program konzervace a využívání genetických zdrojů mikroorganismů a</w:t>
      </w:r>
      <w:r>
        <w:t> </w:t>
      </w:r>
      <w:r w:rsidRPr="00EB6E7A">
        <w:t>drobných živočichů hospodářského významu</w:t>
      </w:r>
    </w:p>
    <w:p w:rsidR="00AD6594" w:rsidRDefault="00AD6594" w:rsidP="00242EDF">
      <w:r>
        <w:t>Národní program mikroorganismů sdr</w:t>
      </w:r>
      <w:r w:rsidR="00804D41">
        <w:t>užuje 12 organizací včetně VÚRV</w:t>
      </w:r>
      <w:r>
        <w:t>, který jeho činnost v rámci ČR koordinuje. V rámci VÚRV je součástí Národního programu 8 sbírek mikroorganismů a drobných organismů, mimo VÚRV pak dalších 12 sbírek mikroorganismů. Sbírky v rámci NP mikroorganismů udržovaly v roce 2014 celkem 6 503 kmenů genetických zdrojů. Součástí NP jsou také dvě sbírky škůdců, a to hmyzích rostlinných škůdců a jejich nepřátel a škůdců skladovaných komodit a potravin.</w:t>
      </w:r>
    </w:p>
    <w:p w:rsidR="00AD6594" w:rsidRDefault="00AD6594" w:rsidP="00242EDF">
      <w:r>
        <w:t>Uchovávané sbírkové položky byly v průběhu roku 2014 poskytovány uživatelům, což byly domácí i zahraniční pracoviště základního i aplikovaného výzkumu, šlechtitelské instituce, univerzity, střední školy a orgány státní správy. Celkem bylo v roce 2014 poskytnuto 566 kmenů, z toho 89 do zahraničí.</w:t>
      </w:r>
    </w:p>
    <w:p w:rsidR="00AD6594" w:rsidRPr="00EB6E7A" w:rsidRDefault="00AD6594" w:rsidP="00242EDF">
      <w:pPr>
        <w:pStyle w:val="Norm-Bold"/>
      </w:pPr>
      <w:r w:rsidRPr="00EB6E7A">
        <w:t>Národní program konzervace a využívání genetických zdrojů zvířat významných pro výživu a zemědělství</w:t>
      </w:r>
    </w:p>
    <w:p w:rsidR="00AD6594" w:rsidRDefault="00AD6594" w:rsidP="00242EDF">
      <w:r>
        <w:t xml:space="preserve">Aktivity Národního programu zvířat vykonávali v roce 2014 jeho účastníci ve spolupráci s uznanými chovatelskými sdruženími, odbornými institucemi, univerzitami a relevantními zájmovými sdruženími pod koordinací Národního střediska, které působí v rámci VÚŽV a je hlavním výkonným orgánem programu. V roce 2014 se pokračovalo v projektech regenerace české červinky, českého strakatého skotu a přeštického černostrakatého prasete. Nově se zahájil projekt revitalizace české slepice. Nadále pokračovala kryokonzervace přeštického prasete, obou plemen ovcí a koz a inseminačních dávek koní. V rámci mezinárodní spolupráce byla ČR zastupována na jednáních příslušných Pracovních skupin Komise FAO pro genetické zdroje pro výživu a zemědělství, na pracovních jednáních týkající se implementace Nagojského protokolu a na jednání ohledně evropské sítě </w:t>
      </w:r>
      <w:proofErr w:type="spellStart"/>
      <w:r>
        <w:t>genobank</w:t>
      </w:r>
      <w:proofErr w:type="spellEnd"/>
      <w:r>
        <w:t xml:space="preserve">. Na národní úrovni nadále pokračuje propagace Národního programu zvířat prostřednictvím nejrůznějších výstav – </w:t>
      </w:r>
      <w:proofErr w:type="spellStart"/>
      <w:r>
        <w:t>Techagro</w:t>
      </w:r>
      <w:proofErr w:type="spellEnd"/>
      <w:r>
        <w:t>, Země živitelka, a další.</w:t>
      </w:r>
    </w:p>
    <w:p w:rsidR="00432C39" w:rsidRPr="001B1FDF" w:rsidRDefault="00432C39" w:rsidP="001B1FDF">
      <w:pPr>
        <w:pStyle w:val="Nadpis1"/>
      </w:pPr>
      <w:bookmarkStart w:id="129" w:name="_Toc424307041"/>
      <w:bookmarkStart w:id="130" w:name="_Toc328053818"/>
      <w:bookmarkStart w:id="131" w:name="_Toc261959139"/>
      <w:bookmarkStart w:id="132" w:name="_Toc391991491"/>
      <w:bookmarkStart w:id="133" w:name="_Toc391991492"/>
      <w:bookmarkStart w:id="134" w:name="_Toc325438548"/>
      <w:bookmarkStart w:id="135" w:name="_Toc391991551"/>
      <w:r w:rsidRPr="001B1FDF">
        <w:t>5</w:t>
      </w:r>
      <w:r w:rsidRPr="001B1FDF">
        <w:tab/>
        <w:t>Spotřeba, bezpečnost a kvalita potravin</w:t>
      </w:r>
      <w:bookmarkEnd w:id="129"/>
    </w:p>
    <w:p w:rsidR="00B60D53" w:rsidRDefault="00B60D53" w:rsidP="00B60D53">
      <w:pPr>
        <w:pStyle w:val="souhrn-kap"/>
      </w:pPr>
      <w:r w:rsidRPr="00F22014">
        <w:t>Celková spotřeba potravin se meziročně zvýšila (ve stálých cenách). Spotřeba potravin živočišného původu značně stoupla, spotřeba rostlinných produktů se zvýšila mírněji.</w:t>
      </w:r>
      <w:r w:rsidRPr="00531950">
        <w:t xml:space="preserve"> </w:t>
      </w:r>
      <w:r w:rsidRPr="00F22014">
        <w:t>TOP10 obchodních řetězců představuje hlavní nákupní místo pro 96 % českých domácností. Obchodní formáty odrážejí změny v nákupním chování vyvolané ekonomickými problémy. Ve srovnání s obdobím před „krizí“ se výrazně zvýšil význam akčních cen a slev.</w:t>
      </w:r>
      <w:r>
        <w:t xml:space="preserve"> V roce 2014 se nominální výdaje domácností za potraviny a nealkoholické nápoje meziročně zvýšily o 1,4 %, reálně ale o 0,6 % klesly, neboť spotřebitelské ceny potravinářského zboží se v roce 2014 meziročně zvýšily o 2,0 %. </w:t>
      </w:r>
      <w:r w:rsidRPr="00F22014">
        <w:t>Nárůst cenové hladiny byl zaznamenán u většiny potravinových skupin, přitom nejvýraznější byl u mléka vč. výrobků a vajec. Ceny pekárenských výrobků a ovoc</w:t>
      </w:r>
      <w:r>
        <w:t>e prakticky stagnovaly, pouze u</w:t>
      </w:r>
      <w:r w:rsidRPr="00F22014">
        <w:t xml:space="preserve"> zeleniny a nealko nápojů došlo k jejich poklesu. </w:t>
      </w:r>
      <w:r>
        <w:t>Podíl v</w:t>
      </w:r>
      <w:r w:rsidRPr="00426BDE">
        <w:t>ydání za potraviny a nealkoholické nápoje na celkových spotřebních vydáních domácností dlouhodobě (od roku 1990) klesal, od roku 2012 mírně stoupá</w:t>
      </w:r>
      <w:r>
        <w:t xml:space="preserve">, v roce </w:t>
      </w:r>
      <w:r>
        <w:lastRenderedPageBreak/>
        <w:t xml:space="preserve">2014 opět velmi mírně vzrostl na 20,3 %. </w:t>
      </w:r>
      <w:r w:rsidRPr="00426BDE">
        <w:t>V základních komoditách rostlinné výroby (</w:t>
      </w:r>
      <w:r>
        <w:t>řepka</w:t>
      </w:r>
      <w:r w:rsidRPr="00426BDE">
        <w:t>, obiloviny a cukr) je ČR soběstačná. Míra soběstačnosti je mezi jednotlivými komoditami živo</w:t>
      </w:r>
      <w:r>
        <w:t>čišného původu značně rozdílná –</w:t>
      </w:r>
      <w:r w:rsidRPr="00426BDE">
        <w:t xml:space="preserve"> vysoká je u hovězího masa a mléka, naopak velmi nízká je u vepřového masa.</w:t>
      </w:r>
    </w:p>
    <w:p w:rsidR="00432C39" w:rsidRPr="001B1FDF" w:rsidRDefault="00432C39" w:rsidP="001B1FDF">
      <w:pPr>
        <w:pStyle w:val="Nadpis2"/>
      </w:pPr>
      <w:bookmarkStart w:id="136" w:name="_Toc424307042"/>
      <w:r w:rsidRPr="001B1FDF">
        <w:t>5.1</w:t>
      </w:r>
      <w:r w:rsidRPr="001B1FDF">
        <w:tab/>
        <w:t>Distribuce potravin</w:t>
      </w:r>
      <w:bookmarkEnd w:id="136"/>
    </w:p>
    <w:p w:rsidR="00432C39" w:rsidRDefault="00432C39" w:rsidP="003B7071">
      <w:r>
        <w:t xml:space="preserve">Koncentrace </w:t>
      </w:r>
      <w:r w:rsidRPr="002821CD">
        <w:t>maloobchodního trhu v ČR se pozvolna přibližuje situaci v západoevropských zemích. Tržní podíl TOP 5 největších řetězců s rychloobrátkovým zbožím se v těchto zemích pohybuje mezi 60 až 75 %, v České republice se v roce 2014 zvýšil na 48,5 % (proti 46 % v roce 2013)</w:t>
      </w:r>
      <w:r w:rsidRPr="002821CD">
        <w:rPr>
          <w:i/>
          <w:vertAlign w:val="superscript"/>
        </w:rPr>
        <w:footnoteReference w:id="63"/>
      </w:r>
      <w:r w:rsidRPr="002821CD">
        <w:t>.</w:t>
      </w:r>
    </w:p>
    <w:p w:rsidR="00432C39" w:rsidRDefault="00432C39" w:rsidP="003B7071">
      <w:pPr>
        <w:rPr>
          <w:bCs/>
        </w:rPr>
      </w:pPr>
      <w:r w:rsidRPr="002821CD">
        <w:t>Moderní obchodní formáty odrážejí změny v nákupním chování vyvolané ekonomickými problémy. Zásadními</w:t>
      </w:r>
      <w:r w:rsidRPr="002821CD">
        <w:rPr>
          <w:bCs/>
        </w:rPr>
        <w:t xml:space="preserve"> důvody pro výběr prodejny (hlavního nákupního místa) jsou, kromě dobré dostupnosti, také šíře sortimentu, slevy a akční ceny i celkově příznivé ceny. Ve srovnání s obdobím před </w:t>
      </w:r>
      <w:r w:rsidR="008969A9">
        <w:rPr>
          <w:bCs/>
        </w:rPr>
        <w:t>„</w:t>
      </w:r>
      <w:r w:rsidRPr="002821CD">
        <w:rPr>
          <w:bCs/>
        </w:rPr>
        <w:t>krizí</w:t>
      </w:r>
      <w:r w:rsidR="008969A9">
        <w:rPr>
          <w:bCs/>
        </w:rPr>
        <w:t>“</w:t>
      </w:r>
      <w:r w:rsidRPr="002821CD">
        <w:rPr>
          <w:bCs/>
        </w:rPr>
        <w:t xml:space="preserve"> se</w:t>
      </w:r>
      <w:r w:rsidRPr="002821CD">
        <w:rPr>
          <w:b/>
          <w:bCs/>
        </w:rPr>
        <w:t xml:space="preserve"> </w:t>
      </w:r>
      <w:r w:rsidRPr="002821CD">
        <w:rPr>
          <w:bCs/>
        </w:rPr>
        <w:t>výrazně zvýšil význam akčních cen a slev na prodejně.</w:t>
      </w:r>
    </w:p>
    <w:p w:rsidR="00432C39" w:rsidRDefault="00432C39" w:rsidP="003B7071">
      <w:r w:rsidRPr="002821CD">
        <w:t>Prvních deset řetězců představuje hlavní nákupní místo již pro 96 % českých domácností</w:t>
      </w:r>
      <w:r w:rsidRPr="002821CD">
        <w:rPr>
          <w:i/>
          <w:vertAlign w:val="superscript"/>
        </w:rPr>
        <w:footnoteReference w:id="64"/>
      </w:r>
      <w:r w:rsidRPr="002821CD">
        <w:t xml:space="preserve"> (meziroční stagnace), TOP 5 prodejen již pro 71 % dotázaných (meziroční zvýšení o 1 p. b.).</w:t>
      </w:r>
    </w:p>
    <w:p w:rsidR="00432C39" w:rsidRDefault="00432C39" w:rsidP="003B7071">
      <w:r w:rsidRPr="002821CD">
        <w:t>Tradičně silný Kaufland uvedlo jako své hlavní nákupní místo (tj. utratí tam nejvíc ze svých výdajů za potraviny a zboží denní potřeby) 23 % dotázaných (o 3 p. b. více než v roce 2013). Druhé místo obsadil Penny Market (14 %, meziroční stagnace), třetí příčka (na rozdíl od roku 2013) patří prodejnám Tesco</w:t>
      </w:r>
      <w:r w:rsidRPr="002821CD">
        <w:rPr>
          <w:i/>
          <w:vertAlign w:val="superscript"/>
        </w:rPr>
        <w:footnoteReference w:id="65"/>
      </w:r>
      <w:r w:rsidRPr="002821CD">
        <w:t>, které získaly celkových 13 % preferencí (meziroční zvýšení o 1 p. b.). Čtvrtá příčka patří prodejnám Albert</w:t>
      </w:r>
      <w:r w:rsidRPr="002821CD">
        <w:rPr>
          <w:i/>
          <w:vertAlign w:val="superscript"/>
        </w:rPr>
        <w:footnoteReference w:id="66"/>
      </w:r>
      <w:r w:rsidRPr="002821CD">
        <w:t xml:space="preserve"> s preferencemi 12 % (meziroční pokles o 2 p. b.). TOP 5 uzavírá</w:t>
      </w:r>
      <w:r>
        <w:t xml:space="preserve"> </w:t>
      </w:r>
      <w:proofErr w:type="spellStart"/>
      <w:r w:rsidRPr="002821CD">
        <w:t>Lidl</w:t>
      </w:r>
      <w:proofErr w:type="spellEnd"/>
      <w:r w:rsidRPr="002821CD">
        <w:t xml:space="preserve"> (9 %, meziroční snížení o 1 p. b.).</w:t>
      </w:r>
    </w:p>
    <w:p w:rsidR="00432C39" w:rsidRPr="002821CD" w:rsidRDefault="00432C39" w:rsidP="003B7071">
      <w:r w:rsidRPr="002821CD">
        <w:t xml:space="preserve">Pořadí řetězců nemusí odpovídat pořadí podle objemu tržeb, protože není zohledněná velikost průměrného nákupu v řetězci ani frekvence návštěv, nejsou zde zahrnuty tržby za nepotravinářské zboží a za domácnost odpovídá </w:t>
      </w:r>
      <w:r w:rsidR="008969A9">
        <w:t>„</w:t>
      </w:r>
      <w:r w:rsidRPr="002821CD">
        <w:t>hospodyně</w:t>
      </w:r>
      <w:r w:rsidR="008969A9">
        <w:t>“</w:t>
      </w:r>
      <w:r w:rsidRPr="002821CD">
        <w:t xml:space="preserve"> (nejsou zohledněny nákupy ostatních členů domácnosti). Žebříček však ukazuje pořadí podle oblíbenosti a věrnosti v rámci českých domácností.</w:t>
      </w:r>
    </w:p>
    <w:p w:rsidR="00432C39" w:rsidRPr="002821CD" w:rsidRDefault="00432C39" w:rsidP="003B7071">
      <w:r w:rsidRPr="002821CD">
        <w:t>Z hlediska objemu tržeb</w:t>
      </w:r>
      <w:r w:rsidRPr="002821CD">
        <w:rPr>
          <w:i/>
          <w:vertAlign w:val="superscript"/>
        </w:rPr>
        <w:footnoteReference w:id="67"/>
      </w:r>
      <w:r w:rsidRPr="002821CD">
        <w:t xml:space="preserve"> největších obchodních firem byl na prvním místě řetězec Kaufland</w:t>
      </w:r>
      <w:r w:rsidRPr="002821CD">
        <w:rPr>
          <w:i/>
          <w:vertAlign w:val="superscript"/>
        </w:rPr>
        <w:footnoteReference w:id="68"/>
      </w:r>
      <w:r w:rsidRPr="002821CD">
        <w:t xml:space="preserve"> (tržby celkem 51,3 mld. Kč), dále následují Tesco </w:t>
      </w:r>
      <w:proofErr w:type="spellStart"/>
      <w:r w:rsidRPr="002821CD">
        <w:t>Stores</w:t>
      </w:r>
      <w:proofErr w:type="spellEnd"/>
      <w:r w:rsidRPr="002821CD">
        <w:t xml:space="preserve"> ČR</w:t>
      </w:r>
      <w:r w:rsidRPr="002821CD">
        <w:rPr>
          <w:i/>
          <w:vertAlign w:val="superscript"/>
        </w:rPr>
        <w:footnoteReference w:id="69"/>
      </w:r>
      <w:r w:rsidRPr="002821CD">
        <w:t xml:space="preserve"> (tržby </w:t>
      </w:r>
      <w:r w:rsidRPr="002821CD">
        <w:lastRenderedPageBreak/>
        <w:t>44,0 mld. Kč), Ahold ČR</w:t>
      </w:r>
      <w:r w:rsidRPr="002821CD">
        <w:rPr>
          <w:i/>
          <w:vertAlign w:val="superscript"/>
        </w:rPr>
        <w:footnoteReference w:id="70"/>
      </w:r>
      <w:r w:rsidRPr="002821CD">
        <w:t xml:space="preserve"> (tržby 40,0 mld. Kč), Penny Market</w:t>
      </w:r>
      <w:r w:rsidRPr="002821CD">
        <w:rPr>
          <w:i/>
          <w:vertAlign w:val="superscript"/>
        </w:rPr>
        <w:footnoteReference w:id="71"/>
      </w:r>
      <w:r w:rsidR="00F920C4">
        <w:t xml:space="preserve"> (tržby 30,4 mld. Kč) a </w:t>
      </w:r>
      <w:r w:rsidRPr="002821CD">
        <w:t xml:space="preserve">Makro </w:t>
      </w:r>
      <w:proofErr w:type="spellStart"/>
      <w:r w:rsidRPr="002821CD">
        <w:t>cash&amp;carry</w:t>
      </w:r>
      <w:proofErr w:type="spellEnd"/>
      <w:r w:rsidRPr="002821CD">
        <w:rPr>
          <w:i/>
          <w:vertAlign w:val="superscript"/>
        </w:rPr>
        <w:footnoteReference w:id="72"/>
      </w:r>
      <w:r w:rsidRPr="002821CD">
        <w:t xml:space="preserve"> (tržby</w:t>
      </w:r>
      <w:r w:rsidRPr="002821CD">
        <w:rPr>
          <w:b/>
          <w:i/>
        </w:rPr>
        <w:t xml:space="preserve"> </w:t>
      </w:r>
      <w:r w:rsidRPr="002821CD">
        <w:t>29,4 mld. Kč). Uvedené pořadí je pouze orientační, protože období dostupných účetních uzávěrek se liší.</w:t>
      </w:r>
    </w:p>
    <w:p w:rsidR="00432C39" w:rsidRDefault="00432C39" w:rsidP="003B7071">
      <w:r w:rsidRPr="002821CD">
        <w:t xml:space="preserve">Pořadí jednotlivých maloobchodních formátů na našem trhu se v roce 2014 nezměnilo. Dominantní pozici mají stále hypermarkety, podíl jejich preferencí na hlavním nákupním místě se zvýšil na 47 % (meziroční růst o 3 p. b.). Diskonty si udržují svou pozici, podíl jejich preferencí </w:t>
      </w:r>
      <w:r>
        <w:t>činil</w:t>
      </w:r>
      <w:r w:rsidRPr="002821CD">
        <w:t xml:space="preserve"> 24 %. Obliba supermarketů opět poklesla, a to na hodnotu 16 % (pokles o 1 p. b.). Naopak menší prodejny zlepšily svou pozici, přednost jim dává 13 % domácností (meziroční růst o 1 p. b.).</w:t>
      </w:r>
    </w:p>
    <w:p w:rsidR="00432C39" w:rsidRDefault="00432C39" w:rsidP="003B7071">
      <w:pPr>
        <w:rPr>
          <w:bCs/>
        </w:rPr>
      </w:pPr>
      <w:r w:rsidRPr="002821CD">
        <w:rPr>
          <w:bCs/>
        </w:rPr>
        <w:t xml:space="preserve">Nakupující jednotlivých formátů se svými požadavky liší. Stále platí, že zákazníci </w:t>
      </w:r>
      <w:r w:rsidRPr="002821CD">
        <w:t>hypermarketů</w:t>
      </w:r>
      <w:r w:rsidRPr="002821CD">
        <w:rPr>
          <w:i/>
          <w:vertAlign w:val="superscript"/>
        </w:rPr>
        <w:footnoteReference w:id="73"/>
      </w:r>
      <w:r w:rsidRPr="002821CD">
        <w:t xml:space="preserve"> </w:t>
      </w:r>
      <w:r w:rsidRPr="002821CD">
        <w:rPr>
          <w:bCs/>
        </w:rPr>
        <w:t xml:space="preserve">kladou nadprůměrný důraz na široký výběr zboží. </w:t>
      </w:r>
      <w:r w:rsidRPr="002821CD">
        <w:t>Diskonty</w:t>
      </w:r>
      <w:r w:rsidRPr="002821CD">
        <w:rPr>
          <w:i/>
          <w:vertAlign w:val="superscript"/>
        </w:rPr>
        <w:footnoteReference w:id="74"/>
      </w:r>
      <w:r w:rsidRPr="002821CD">
        <w:rPr>
          <w:bCs/>
        </w:rPr>
        <w:t xml:space="preserve"> zákazníci volí především pro celkově příznivou cenovou hladinu. Pro </w:t>
      </w:r>
      <w:r w:rsidRPr="002821CD">
        <w:t>supermarkety</w:t>
      </w:r>
      <w:r w:rsidRPr="002821CD">
        <w:rPr>
          <w:i/>
          <w:vertAlign w:val="superscript"/>
        </w:rPr>
        <w:footnoteReference w:id="75"/>
      </w:r>
      <w:r w:rsidRPr="002821CD">
        <w:rPr>
          <w:bCs/>
        </w:rPr>
        <w:t xml:space="preserve"> se zákazníci rozhodují zejména pro </w:t>
      </w:r>
      <w:r>
        <w:rPr>
          <w:bCs/>
        </w:rPr>
        <w:t xml:space="preserve">jejich </w:t>
      </w:r>
      <w:r w:rsidRPr="002821CD">
        <w:rPr>
          <w:bCs/>
        </w:rPr>
        <w:t xml:space="preserve">snadnou dostupnost. U menších prodejen byla nadprůměrně často jmenována snadná dostupnost, ale také přítomnost </w:t>
      </w:r>
      <w:r w:rsidRPr="002821CD">
        <w:t>českého/regionálního zboží,</w:t>
      </w:r>
      <w:r w:rsidRPr="002821CD">
        <w:rPr>
          <w:bCs/>
        </w:rPr>
        <w:t xml:space="preserve"> ochotný personál a rychlé odbavení.</w:t>
      </w:r>
    </w:p>
    <w:p w:rsidR="00432C39" w:rsidRPr="002821CD" w:rsidRDefault="00432C39" w:rsidP="003B7071">
      <w:r w:rsidRPr="002821CD">
        <w:rPr>
          <w:bCs/>
        </w:rPr>
        <w:t>Nejvyšší</w:t>
      </w:r>
      <w:r w:rsidRPr="002821CD">
        <w:t xml:space="preserve"> frekvence nákupu (počet návštěv v průběhu 6 měsíců roku 2014) mají menší prodejny. V průměru v nich zákazníci nakupují 4,5krát za měsíc. Druhou nejvyšší průměrnou frekvenci návště</w:t>
      </w:r>
      <w:r>
        <w:t>v mají hypermarkety a diskonty –</w:t>
      </w:r>
      <w:r w:rsidRPr="002821CD">
        <w:t xml:space="preserve"> zákazníci v nich nakupují 3,6krát za měsíc. Následují supermarkety, kde je frekvence nákupu 3,5krát za měsíc. V posledních dvou letech dochází k neustálému nárůstu průměrné frekvence návštěv hypermarketů.</w:t>
      </w:r>
    </w:p>
    <w:p w:rsidR="00432C39" w:rsidRPr="002821CD" w:rsidRDefault="00432C39" w:rsidP="003B7071">
      <w:r w:rsidRPr="002821CD">
        <w:rPr>
          <w:bCs/>
        </w:rPr>
        <w:t>Nejvyšší</w:t>
      </w:r>
      <w:r w:rsidRPr="002821CD">
        <w:t xml:space="preserve"> průměrný nákupní košík</w:t>
      </w:r>
      <w:r w:rsidRPr="002821CD">
        <w:rPr>
          <w:i/>
          <w:vertAlign w:val="superscript"/>
        </w:rPr>
        <w:footnoteReference w:id="76"/>
      </w:r>
      <w:r w:rsidRPr="002821CD">
        <w:t xml:space="preserve"> mají hypermarkety, pokud nebereme v úvahu </w:t>
      </w:r>
      <w:proofErr w:type="spellStart"/>
      <w:r w:rsidRPr="002821CD">
        <w:t>cash</w:t>
      </w:r>
      <w:r w:rsidRPr="00A46017">
        <w:t>&amp;carry</w:t>
      </w:r>
      <w:proofErr w:type="spellEnd"/>
      <w:r w:rsidRPr="00A46017">
        <w:t xml:space="preserve"> </w:t>
      </w:r>
      <w:r w:rsidRPr="002821CD">
        <w:t>řetězec Makro. V průměru v nich jejich zákazníci při jedné návštěvě utratí 640 Kč. Druhý nejvyšší nákupní košík mají supermarkety (průměrná útrata činí 409 Kč). V diskontech zákazníci v průměru utratí 391 Kč. Nejnižší průměrný nákupní košík mají menší prodejny (průměrně zákazníci utratí při jedné návštěvě 264 Kč).</w:t>
      </w:r>
    </w:p>
    <w:p w:rsidR="00432C39" w:rsidRDefault="00432C39" w:rsidP="003B7071">
      <w:r w:rsidRPr="002821CD">
        <w:t xml:space="preserve">Rovněž v roce 2014 hodnotili zákazníci prodejny </w:t>
      </w:r>
      <w:r>
        <w:t xml:space="preserve">podle </w:t>
      </w:r>
      <w:r w:rsidRPr="002821CD">
        <w:t xml:space="preserve">8 kritérií (celková </w:t>
      </w:r>
      <w:r w:rsidRPr="002821CD">
        <w:rPr>
          <w:bCs/>
        </w:rPr>
        <w:t xml:space="preserve">cenová úroveň; </w:t>
      </w:r>
      <w:r w:rsidRPr="002821CD">
        <w:t xml:space="preserve">šíře sortimentu; </w:t>
      </w:r>
      <w:r w:rsidRPr="002821CD">
        <w:rPr>
          <w:bCs/>
        </w:rPr>
        <w:t xml:space="preserve">kvalita nákupního prostředí; čerstvost a kvalita zboží; dostupnost, kvalifikovanost a chování personálu; spolehlivé a čitelné označení cen; orientace v prodejně </w:t>
      </w:r>
      <w:r w:rsidRPr="002821CD">
        <w:rPr>
          <w:bCs/>
        </w:rPr>
        <w:lastRenderedPageBreak/>
        <w:t>a přehlednost regálů; rychlé odbavení, fronty u pokladen).</w:t>
      </w:r>
      <w:r>
        <w:rPr>
          <w:bCs/>
        </w:rPr>
        <w:t xml:space="preserve"> </w:t>
      </w:r>
      <w:r w:rsidRPr="002821CD">
        <w:rPr>
          <w:bCs/>
        </w:rPr>
        <w:t xml:space="preserve">Také v </w:t>
      </w:r>
      <w:r w:rsidRPr="002821CD">
        <w:t>roce 2014 byly do hodnocení zařazeny malé specializované prodejny (maso-uzeniny, pekařství apod.). Tyto prodejny se umístily na předních příčkách v hodnocení čerstvosti a kvality zboží, personálu a orientace v prodejně.</w:t>
      </w:r>
    </w:p>
    <w:p w:rsidR="00432C39" w:rsidRPr="002821CD" w:rsidRDefault="00432C39" w:rsidP="003B7071">
      <w:r w:rsidRPr="002821CD">
        <w:t>Kaufland je nejlépe hodnocený z hlediska cenové úrovně. Globus obsadil první místo v šíři sortimentu a kvalitě nákupního prostředí. V parametrech čerstvosti, kvalitě zboží a spolehlivého, čitelného značení cen se umístil v TOP 3.</w:t>
      </w:r>
    </w:p>
    <w:p w:rsidR="00432C39" w:rsidRDefault="00432C39" w:rsidP="003B7071">
      <w:pPr>
        <w:rPr>
          <w:bCs/>
        </w:rPr>
      </w:pPr>
      <w:r w:rsidRPr="002821CD">
        <w:rPr>
          <w:bCs/>
        </w:rPr>
        <w:t>Globus</w:t>
      </w:r>
      <w:r w:rsidRPr="002821CD">
        <w:rPr>
          <w:b/>
          <w:bCs/>
        </w:rPr>
        <w:t xml:space="preserve"> </w:t>
      </w:r>
      <w:r w:rsidRPr="002821CD">
        <w:t>se stal celkově nejlépe hodnoceným řetězcem s průměrnou známkou 1,83 (1,94 v roce 2013). Následují řetězce</w:t>
      </w:r>
      <w:r w:rsidRPr="002821CD">
        <w:rPr>
          <w:bCs/>
        </w:rPr>
        <w:t xml:space="preserve"> Kaufland (1,89 proti 2,05 v roce 2013) a </w:t>
      </w:r>
      <w:proofErr w:type="spellStart"/>
      <w:r w:rsidRPr="002821CD">
        <w:rPr>
          <w:bCs/>
        </w:rPr>
        <w:t>Interspar</w:t>
      </w:r>
      <w:proofErr w:type="spellEnd"/>
      <w:r w:rsidRPr="002821CD">
        <w:rPr>
          <w:bCs/>
        </w:rPr>
        <w:t xml:space="preserve"> (1,94 proti 2,05).</w:t>
      </w:r>
    </w:p>
    <w:p w:rsidR="00432C39" w:rsidRPr="002821CD" w:rsidRDefault="00432C39" w:rsidP="003B7071">
      <w:r w:rsidRPr="002821CD">
        <w:rPr>
          <w:bCs/>
        </w:rPr>
        <w:t xml:space="preserve">Mezi supermarkety </w:t>
      </w:r>
      <w:r w:rsidRPr="002821CD">
        <w:t xml:space="preserve">je nejlépe hodnocen řetězec Billa (2,15), druhé místo zaujímá řetězec prodejen Albert SM (2,23). </w:t>
      </w:r>
      <w:r w:rsidRPr="002821CD">
        <w:rPr>
          <w:bCs/>
        </w:rPr>
        <w:t>Nejlépe</w:t>
      </w:r>
      <w:r w:rsidRPr="002821CD">
        <w:t xml:space="preserve"> hodnoceným diskontem je </w:t>
      </w:r>
      <w:proofErr w:type="spellStart"/>
      <w:r w:rsidRPr="002821CD">
        <w:t>Lidl</w:t>
      </w:r>
      <w:proofErr w:type="spellEnd"/>
      <w:r w:rsidRPr="002821CD">
        <w:t xml:space="preserve"> (1,96), následovaný řetězcem Penny Market (2,00).</w:t>
      </w:r>
    </w:p>
    <w:p w:rsidR="00432C39" w:rsidRDefault="00432C39" w:rsidP="003B7071">
      <w:r w:rsidRPr="002821CD">
        <w:t>Z hlediska ceny jsou nejlépe vnímány diskonty a hypermarkety. Z hlediska šíře sortimentu jsou nejlépe hodnoceny hypermarkety. Kvalita nákupního prostředí je nejlépe hodnocena u hypermarketů, ale i u malých/specializovaných prodejen. Malé/specializované prodejny jsou nejlépe hodnoceny také z hlediska čerstvosti a kvality. Dostupnost a kvalifikovanost personálu patří tradičně mezi hlavní přednosti menších prodejen.</w:t>
      </w:r>
    </w:p>
    <w:p w:rsidR="00432C39" w:rsidRPr="002821CD" w:rsidRDefault="00432C39" w:rsidP="003B7071">
      <w:r w:rsidRPr="002821CD">
        <w:t xml:space="preserve">Image značek řetězců je na nakupujících měřena </w:t>
      </w:r>
      <w:r w:rsidR="008969A9">
        <w:t>„</w:t>
      </w:r>
      <w:r w:rsidRPr="002821CD">
        <w:t>věrností</w:t>
      </w:r>
      <w:r w:rsidR="008969A9">
        <w:t>“</w:t>
      </w:r>
      <w:r w:rsidRPr="002821CD">
        <w:rPr>
          <w:i/>
          <w:vertAlign w:val="superscript"/>
        </w:rPr>
        <w:footnoteReference w:id="77"/>
      </w:r>
      <w:r w:rsidRPr="002821CD">
        <w:t xml:space="preserve">. Mírou </w:t>
      </w:r>
      <w:r w:rsidR="008969A9">
        <w:t>„</w:t>
      </w:r>
      <w:r w:rsidRPr="002821CD">
        <w:t>věrnosti</w:t>
      </w:r>
      <w:r w:rsidR="008969A9">
        <w:t>“</w:t>
      </w:r>
      <w:r w:rsidRPr="002821CD">
        <w:t xml:space="preserve"> je </w:t>
      </w:r>
      <w:r>
        <w:t xml:space="preserve">procentní </w:t>
      </w:r>
      <w:r w:rsidRPr="002821CD">
        <w:t xml:space="preserve">podíl z celkových výdajů za rychloobrátkové zboží v posledních 6 měsících roku 2014. Pokud by teoreticky nakupující utrácel vše na jednom místě, je jeho věrnost řetězci 100 %. Většina nakupujících ale převážně utrácí </w:t>
      </w:r>
      <w:r w:rsidR="00B52BF5">
        <w:t xml:space="preserve">v daném řetězci </w:t>
      </w:r>
      <w:r w:rsidRPr="002821CD">
        <w:t>přibližně 20 % svých celkových výdajů. Nejvěrnější nakupující má jednoznačně Kaufland, s odstupem následují COOP a Tesco.</w:t>
      </w:r>
    </w:p>
    <w:p w:rsidR="00432C39" w:rsidRDefault="00432C39" w:rsidP="003B7071">
      <w:r w:rsidRPr="002821CD">
        <w:t xml:space="preserve">Druhou stránkou vztahu ke značce je psychická vazba, popsaná jako </w:t>
      </w:r>
      <w:r w:rsidR="008969A9">
        <w:t>„</w:t>
      </w:r>
      <w:r w:rsidRPr="002821CD">
        <w:t>důvěra</w:t>
      </w:r>
      <w:r w:rsidR="008969A9">
        <w:t>“</w:t>
      </w:r>
      <w:r w:rsidRPr="002821CD">
        <w:rPr>
          <w:i/>
          <w:vertAlign w:val="superscript"/>
        </w:rPr>
        <w:footnoteReference w:id="78"/>
      </w:r>
      <w:r w:rsidRPr="002821CD">
        <w:t xml:space="preserve">. Nejsilnější vztah mají nakupující ke značce Kaufland, Globus a </w:t>
      </w:r>
      <w:proofErr w:type="spellStart"/>
      <w:r w:rsidRPr="002821CD">
        <w:t>Lidl</w:t>
      </w:r>
      <w:proofErr w:type="spellEnd"/>
      <w:r w:rsidRPr="002821CD">
        <w:t>.</w:t>
      </w:r>
    </w:p>
    <w:p w:rsidR="00432C39" w:rsidRPr="002821CD" w:rsidRDefault="00432C39" w:rsidP="003B7071">
      <w:r w:rsidRPr="002821CD">
        <w:t xml:space="preserve">Pozice značky a její síla vychází z řady parametrů, které mají svoji hierarchii ve vnímání a nákupním chování zákazníků. Přehledné zobrazení síly značek, snadnou srovnatelnost i budoucí sledování jejich vývoje umožňuje </w:t>
      </w:r>
      <w:proofErr w:type="spellStart"/>
      <w:r w:rsidRPr="002821CD">
        <w:t>PowerBrand</w:t>
      </w:r>
      <w:proofErr w:type="spellEnd"/>
      <w:r w:rsidRPr="002821CD">
        <w:t xml:space="preserve"> Index</w:t>
      </w:r>
      <w:r w:rsidRPr="002821CD">
        <w:rPr>
          <w:i/>
          <w:vertAlign w:val="superscript"/>
        </w:rPr>
        <w:footnoteReference w:id="79"/>
      </w:r>
      <w:r w:rsidRPr="002821CD">
        <w:t>.</w:t>
      </w:r>
    </w:p>
    <w:p w:rsidR="00432C39" w:rsidRDefault="00432C39" w:rsidP="003B7071">
      <w:r w:rsidRPr="002821CD">
        <w:t xml:space="preserve">Jednoznačně nejsilnější značkou je Kaufland, následují Globus, Tesco HM, Penny Market, </w:t>
      </w:r>
      <w:proofErr w:type="spellStart"/>
      <w:r w:rsidRPr="002821CD">
        <w:t>Lidl</w:t>
      </w:r>
      <w:proofErr w:type="spellEnd"/>
      <w:r w:rsidRPr="002821CD">
        <w:t xml:space="preserve"> a </w:t>
      </w:r>
      <w:proofErr w:type="spellStart"/>
      <w:r w:rsidRPr="002821CD">
        <w:t>Interspar</w:t>
      </w:r>
      <w:proofErr w:type="spellEnd"/>
      <w:r w:rsidRPr="002821CD">
        <w:t>.</w:t>
      </w:r>
    </w:p>
    <w:p w:rsidR="00432C39" w:rsidRPr="002821CD" w:rsidRDefault="00432C39" w:rsidP="003B7071">
      <w:r w:rsidRPr="002821CD">
        <w:lastRenderedPageBreak/>
        <w:t xml:space="preserve">Vliv marketingových aktivit na návštěvnost řetězce lze zjistit také srovnáním návštěvnosti prodejny a znalosti letáků. Letáky dostává 80 % dotazovaných (proti 84 % v roce 2013) a 69 % respondentů letáky i čte. V roce 2014 vykazovaly nejvyšší úroveň zaznamenání letáků Kaufland, </w:t>
      </w:r>
      <w:proofErr w:type="spellStart"/>
      <w:r w:rsidRPr="002821CD">
        <w:t>Lidl</w:t>
      </w:r>
      <w:proofErr w:type="spellEnd"/>
      <w:r w:rsidRPr="002821CD">
        <w:t xml:space="preserve"> a Penny Market.</w:t>
      </w:r>
    </w:p>
    <w:p w:rsidR="00432C39" w:rsidRDefault="00432C39" w:rsidP="003B7071">
      <w:r w:rsidRPr="002821CD">
        <w:t xml:space="preserve">Více než polovina českých domácností (63 % proti 56 % v roce 2013) ví, že někteří obchodníci informují o svých prodejnách a jejich nabídce prostřednictvím elektronických letáků na internetu. Nejčastěji si lidé na internetu prohlížejí elektronické letáky řetězce Tesco a </w:t>
      </w:r>
      <w:proofErr w:type="spellStart"/>
      <w:r w:rsidRPr="002821CD">
        <w:t>Lidl</w:t>
      </w:r>
      <w:proofErr w:type="spellEnd"/>
      <w:r w:rsidRPr="002821CD">
        <w:t>.</w:t>
      </w:r>
    </w:p>
    <w:p w:rsidR="00432C39" w:rsidRDefault="00432C39" w:rsidP="003B7071">
      <w:pPr>
        <w:rPr>
          <w:i/>
        </w:rPr>
      </w:pPr>
      <w:r w:rsidRPr="002821CD">
        <w:t>Úroveň využití internetu je relativně vysoká. Již 79 % respondentů uvádí, že internet navštěvují alespoň jedenkrát za týden (meziroční zvýšení o 2 p. b.), denně internet navštěvuje 53 % respondentů. Využití internetu je silně závislé na věku a vzdělání respondenta, ale také na přítomnosti dětí v domácnosti nebo na velikosti příjmu.</w:t>
      </w:r>
    </w:p>
    <w:p w:rsidR="00432C39" w:rsidRPr="002821CD" w:rsidRDefault="00432C39" w:rsidP="003B7071">
      <w:r w:rsidRPr="002821CD">
        <w:t>Podíl zákazníků, kteří běžně nakupují výrobky prodávané pod privátní značkou, stagnoval na hodnotě 20 %.</w:t>
      </w:r>
      <w:r>
        <w:t xml:space="preserve"> </w:t>
      </w:r>
      <w:r w:rsidRPr="002821CD">
        <w:t>Jen 5 % domácností se s privátními značkami ještě nesetkalo.</w:t>
      </w:r>
    </w:p>
    <w:p w:rsidR="00432C39" w:rsidRPr="002821CD" w:rsidRDefault="00432C39" w:rsidP="003B7071">
      <w:pPr>
        <w:rPr>
          <w:bCs/>
        </w:rPr>
      </w:pPr>
      <w:r w:rsidRPr="002821CD">
        <w:rPr>
          <w:bCs/>
        </w:rPr>
        <w:t>Vysoký podíl domácností</w:t>
      </w:r>
      <w:r w:rsidRPr="002821CD">
        <w:rPr>
          <w:b/>
          <w:bCs/>
        </w:rPr>
        <w:t xml:space="preserve"> </w:t>
      </w:r>
      <w:r w:rsidRPr="002821CD">
        <w:rPr>
          <w:bCs/>
        </w:rPr>
        <w:t>uvádí, že současná ekonomická situace má vliv na změnu jejich nákupního chování. V roce 2014 uvedlo 82 % domácností, že současná ekonomická situace ovlivňuje jejich chování při nákupu potravin. Poprvé od nástupu krize však jejich podíl meziročně klesl (o 3 p. b.).</w:t>
      </w:r>
    </w:p>
    <w:p w:rsidR="00432C39" w:rsidRPr="002821CD" w:rsidRDefault="00432C39" w:rsidP="003B7071">
      <w:r w:rsidRPr="002821CD">
        <w:rPr>
          <w:bCs/>
        </w:rPr>
        <w:t xml:space="preserve">Nejvíce pociťují vliv krize </w:t>
      </w:r>
      <w:r w:rsidRPr="002821CD">
        <w:t xml:space="preserve">kmenoví zákazníci diskontních prodejen (Penny Market, </w:t>
      </w:r>
      <w:proofErr w:type="spellStart"/>
      <w:r w:rsidRPr="002821CD">
        <w:t>Lidl</w:t>
      </w:r>
      <w:proofErr w:type="spellEnd"/>
      <w:r w:rsidRPr="002821CD">
        <w:t xml:space="preserve">), následují kmenoví zákazníci prodejen Albert SM. Negativní vliv ekonomické situace výrazně častěji přiznávají </w:t>
      </w:r>
      <w:r w:rsidRPr="002821CD">
        <w:rPr>
          <w:bCs/>
        </w:rPr>
        <w:t>nejstarší zákazníci,</w:t>
      </w:r>
      <w:r w:rsidRPr="002821CD">
        <w:t xml:space="preserve"> lidé se základním vzděláním a domácnosti s velmi nízkými příjmy.</w:t>
      </w:r>
    </w:p>
    <w:p w:rsidR="00432C39" w:rsidRPr="001B1FDF" w:rsidRDefault="00432C39" w:rsidP="001B1FDF">
      <w:pPr>
        <w:pStyle w:val="Nadpis2"/>
      </w:pPr>
      <w:bookmarkStart w:id="137" w:name="_Toc424307043"/>
      <w:r w:rsidRPr="001B1FDF">
        <w:t>5.2</w:t>
      </w:r>
      <w:r w:rsidRPr="001B1FDF">
        <w:tab/>
        <w:t>Spotřeba potravin</w:t>
      </w:r>
      <w:bookmarkEnd w:id="137"/>
    </w:p>
    <w:p w:rsidR="00432C39" w:rsidRPr="002821CD" w:rsidRDefault="00432C39" w:rsidP="003B7071">
      <w:r w:rsidRPr="002821CD">
        <w:t>Celková spotřeba potravin vyjádřená ve stálých cenách (odhad ÚZEI) se v roce 2014 zvýšila o 1,2 %.</w:t>
      </w:r>
      <w:r w:rsidRPr="002821CD">
        <w:rPr>
          <w:b/>
          <w:i/>
        </w:rPr>
        <w:t xml:space="preserve"> </w:t>
      </w:r>
      <w:r w:rsidRPr="002821CD">
        <w:t>Spotřeba potravin živočišného původu stoupla (o 1,7 %), spotřeba rostlinných produktů se rovněž zvýšila, ale mírněji (o 0,6 %).</w:t>
      </w:r>
      <w:r w:rsidRPr="002821CD">
        <w:rPr>
          <w:b/>
          <w:i/>
        </w:rPr>
        <w:t xml:space="preserve"> </w:t>
      </w:r>
      <w:r w:rsidRPr="002821CD">
        <w:t>Tomu odpovídá i vývoj příjmů a výdajů domácností (koupěschopná poptávka). Ceny za zboží a služby se zvýšily velmi mírně (o 0,4 %), ale ceny potravin a nealkoholických nápojů rostly podstatně razantněji (o 2,0 %).</w:t>
      </w:r>
      <w:r w:rsidRPr="002821CD">
        <w:rPr>
          <w:b/>
          <w:i/>
        </w:rPr>
        <w:t xml:space="preserve"> </w:t>
      </w:r>
      <w:r w:rsidRPr="002821CD">
        <w:t>Čisté peněžní příjmy domácností se meziročně zvýšily</w:t>
      </w:r>
      <w:r w:rsidRPr="002821CD">
        <w:rPr>
          <w:i/>
          <w:vertAlign w:val="superscript"/>
        </w:rPr>
        <w:footnoteReference w:id="80"/>
      </w:r>
      <w:r w:rsidRPr="002821CD">
        <w:t xml:space="preserve"> o 3,0 %, ale spotřební vydání stoupla jen o 0,9 %. Vývoj spotřeby potravin v roce 2014 (odhad ÚZEI) koresponduje s vývojem kupní síly obyvatelstva.</w:t>
      </w:r>
    </w:p>
    <w:p w:rsidR="00432C39" w:rsidRDefault="00432C39" w:rsidP="003B7071">
      <w:r w:rsidRPr="002821CD">
        <w:t>Vývoj spotřeby potravin v letech 2013 a 2014 je uveden v tab. T5.2/01.</w:t>
      </w:r>
    </w:p>
    <w:p w:rsidR="00432C39" w:rsidRDefault="00432C39" w:rsidP="003B7071">
      <w:pPr>
        <w:pStyle w:val="mezera"/>
      </w:pPr>
    </w:p>
    <w:p w:rsidR="00432C39" w:rsidRDefault="001E2ADA" w:rsidP="003B7071">
      <w:pPr>
        <w:pStyle w:val="mezera"/>
      </w:pPr>
      <w:r w:rsidRPr="001E2ADA">
        <w:rPr>
          <w:noProof/>
          <w:lang w:eastAsia="cs-CZ"/>
        </w:rPr>
        <w:lastRenderedPageBreak/>
        <w:drawing>
          <wp:inline distT="0" distB="0" distL="0" distR="0" wp14:anchorId="11F381B8" wp14:editId="45C435E7">
            <wp:extent cx="5447665" cy="446595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47665" cy="4465955"/>
                    </a:xfrm>
                    <a:prstGeom prst="rect">
                      <a:avLst/>
                    </a:prstGeom>
                    <a:noFill/>
                    <a:ln>
                      <a:noFill/>
                    </a:ln>
                  </pic:spPr>
                </pic:pic>
              </a:graphicData>
            </a:graphic>
          </wp:inline>
        </w:drawing>
      </w:r>
    </w:p>
    <w:p w:rsidR="00432C39" w:rsidRDefault="00432C39" w:rsidP="003B7071">
      <w:pPr>
        <w:pStyle w:val="mezera"/>
      </w:pPr>
    </w:p>
    <w:p w:rsidR="00432C39" w:rsidRPr="002821CD" w:rsidRDefault="00432C39" w:rsidP="003B7071">
      <w:r w:rsidRPr="002821CD">
        <w:t>Celková spotřeba masa a masných výrobků v roce 2014 stoupla o 2,3 %</w:t>
      </w:r>
      <w:r w:rsidRPr="002821CD">
        <w:rPr>
          <w:i/>
        </w:rPr>
        <w:t xml:space="preserve"> </w:t>
      </w:r>
      <w:r w:rsidRPr="002821CD">
        <w:t xml:space="preserve">při podobném růstu spotřebitelských cen. Po dlouhém období vzrostla spotřeba hovězího masa (o 4,0 %). Také spotřeba drůbeže se zvýšila (o </w:t>
      </w:r>
      <w:r w:rsidR="001E2ADA">
        <w:t>4,9</w:t>
      </w:r>
      <w:r w:rsidRPr="002821CD">
        <w:t> %), ale spotřeba vepřového masa nepatrně poklesla (stagnace). Ceny všech druhů masa i masných výrobků meziročně vzrostly.</w:t>
      </w:r>
    </w:p>
    <w:p w:rsidR="00432C39" w:rsidRDefault="00432C39" w:rsidP="003B7071">
      <w:r w:rsidRPr="002821CD">
        <w:t>ČR se řadí mezi státy EU s podprůměrnou spotřebou masa a masných výrobků.</w:t>
      </w:r>
      <w:r w:rsidRPr="002821CD">
        <w:rPr>
          <w:i/>
        </w:rPr>
        <w:t xml:space="preserve"> </w:t>
      </w:r>
      <w:r w:rsidRPr="002821CD">
        <w:t>Ve spotřebě jak masa celkem, tak i ve spotřebě jednotlivých druhů masa jsou mezi státy EU značné rozdíly. Nejvyšší spotřebu masa celkem mělo Portugalsko (113,0 kg/obyv./rok), nejnižší Slovensko (65,0 kg/obyv./rok). Spotřeba vepřového masa se v porovnání ČR pohybuje na průměrné úrovni zemí EU. Nejvyšší spotřebu v EU vykazovalo Dánsko (80,0 kg/obyv./rok), nejnižší Bulharsko (24,0 kg/obyv./rok). Značně pod průměrem EU je ČR ve spotřebě hovězího a telecího masa. Nejvyšší spotřebu této komodity mělo Lucembursko (29,0 kg/obyv./rok), velmi nízká úroveň spotřeby byla v Maďarsku (3,0 kg/obyv./rok) a na Slovensku (4,0 kg/obyv./rok). Naopak nad průměrem spotřeby zemí EU se ČR pohybuje ve spotřebě drůbeže. Nejvyšší spotřebu vykazovalo Portugalsko (35,0 kg/obyv./rok), naopak nejnižší Lucembursko (15,0 kg/obyv./rok).</w:t>
      </w:r>
    </w:p>
    <w:p w:rsidR="00432C39" w:rsidRDefault="00432C39" w:rsidP="003B7071">
      <w:r w:rsidRPr="002821CD">
        <w:lastRenderedPageBreak/>
        <w:t>Za skupinu mléko a mléčné výrobky byla také v roce 2014 propočtena spotřeba čerstvých mléčných výrobků a sýrů (včetně tvarohů), jak je uvádí statistika EU (</w:t>
      </w:r>
      <w:proofErr w:type="spellStart"/>
      <w:r w:rsidRPr="002821CD">
        <w:t>Eurostat</w:t>
      </w:r>
      <w:proofErr w:type="spellEnd"/>
      <w:r w:rsidRPr="002821CD">
        <w:t>)</w:t>
      </w:r>
      <w:r w:rsidRPr="002821CD">
        <w:rPr>
          <w:i/>
          <w:vertAlign w:val="superscript"/>
        </w:rPr>
        <w:footnoteReference w:id="81"/>
      </w:r>
      <w:r w:rsidRPr="002821CD">
        <w:t>. Spotřeba čerstvých mléčných výrobků se meziročně snížila o 2,6 %, zejména klesla spotřeba kysaných mléčných výrobků a konzumního mléka. Spotřeba sýrů (včetně tvarohů) se naopak zvýšila o 1,</w:t>
      </w:r>
      <w:r w:rsidR="001E2ADA">
        <w:t>8</w:t>
      </w:r>
      <w:r w:rsidRPr="002821CD">
        <w:t> %, přičemž spotřeba tvarohů a přírodních sýrů stoupla, ale snížila se spotřeba tavených sýrů. Podle našich propočtů se celková spotřeba mléka a mléčných výrobků velmi mírně zvýšila (o 1,1 %). Přitom spotřebitelské ceny mléka a mléčných výrobků se v roce 2014 meziročně výrazně zvýšily, tempo růstu cen bylo vyšší než u skupiny maso a masné výrobky.</w:t>
      </w:r>
    </w:p>
    <w:p w:rsidR="00432C39" w:rsidRPr="002821CD" w:rsidRDefault="00432C39" w:rsidP="003B7071">
      <w:r w:rsidRPr="002821CD">
        <w:t>Spotřeba čerstvých mléčných výrobků je v ČR ve srovnání se státy EU poměrně nízká. Vysoká spotřeba čerstvých mléčných výrobků byla v Irsku (185,9 kg/obyv./rok), Estonsku (140,3 kg/obyv./rok) a v Dánsku (130,8 kg/obyv./rok). Také ve spotřebě sýrů je ČR ve srovnání s ostatními státy EU podprůměrná. Nejvyšší spotřeba byla v Řecku (31,0 kg/obyv./rok), naopak velmi nízká v Irsku (6,4 kg/obyv./rok).</w:t>
      </w:r>
    </w:p>
    <w:p w:rsidR="00432C39" w:rsidRPr="002821CD" w:rsidRDefault="00432C39" w:rsidP="003B7071">
      <w:r w:rsidRPr="002821CD">
        <w:t>Ve skupině tuků došlo ke stagnaci spotřeby másla a sádla, naopak spotřeba rostlinných jedlých tuků a olejů se zvýšila. Spotřebitelská cena tuků celkem vzrostla, především stoupla cena másla a mírněji i rostlinných tuků. Naopak cena jedlých olejů a sádla mírně klesla.</w:t>
      </w:r>
    </w:p>
    <w:p w:rsidR="00432C39" w:rsidRDefault="00432C39" w:rsidP="003B7071">
      <w:r w:rsidRPr="002821CD">
        <w:t>Zvýšila se spotřeba vajec a ryb. Přitom spotřebitelské ceny ryb a mírněji i vajec se zvýšily.</w:t>
      </w:r>
    </w:p>
    <w:p w:rsidR="00432C39" w:rsidRDefault="00432C39" w:rsidP="003B7071">
      <w:r w:rsidRPr="002821CD">
        <w:t>V roce 2014 se snížila spotřeba výrobků z obilovin při nepatrném růstu spotřebitelských cen</w:t>
      </w:r>
      <w:r w:rsidRPr="002821CD">
        <w:rPr>
          <w:i/>
        </w:rPr>
        <w:t xml:space="preserve">. </w:t>
      </w:r>
      <w:r w:rsidRPr="002821CD">
        <w:t>Poměrně výrazně vzrostla spotřeba ovoce mírného pásma při snížení jejich spotřebitelských cen. Naopak spotřeba jižního ovoce poklesla při růstu cen. Spotřeba zeleniny se výrazně zvýšila při růstu cen plodové zeleniny a stagnaci cen ostatní zeleniny.</w:t>
      </w:r>
      <w:r w:rsidRPr="002821CD">
        <w:rPr>
          <w:i/>
        </w:rPr>
        <w:t xml:space="preserve"> </w:t>
      </w:r>
      <w:r w:rsidRPr="002821CD">
        <w:t>Spotřeba brambor se zvýšila při poklesu spotřebitelských cen brambor a stagnaci cen bramborových výrobků.</w:t>
      </w:r>
      <w:r w:rsidRPr="002821CD">
        <w:rPr>
          <w:i/>
        </w:rPr>
        <w:t xml:space="preserve"> </w:t>
      </w:r>
      <w:r w:rsidRPr="002821CD">
        <w:t>Spotřeba cukru klesla při mírném zvýšení cen.</w:t>
      </w:r>
    </w:p>
    <w:p w:rsidR="00432C39" w:rsidRDefault="00432C39" w:rsidP="003B7071">
      <w:r w:rsidRPr="002821CD">
        <w:t>Ve srovnání s dalšími státy EU</w:t>
      </w:r>
      <w:r>
        <w:t xml:space="preserve"> </w:t>
      </w:r>
      <w:r w:rsidRPr="002821CD">
        <w:t>zůstává spotřeba obilovin v ČR nad průměrem zemí EU. Nejvyšší spotřeba obilovin celkem (bez rýže) byla v Rumunsku (152,7 kg/obyv./rok) a Řecku (145,3 kg/obyv./rok), naopak nejnižší v Lucembursku (63,3 kg/obyv./rok).</w:t>
      </w:r>
    </w:p>
    <w:p w:rsidR="00432C39" w:rsidRDefault="00432C39" w:rsidP="003B7071">
      <w:r w:rsidRPr="002821CD">
        <w:t>V rámci zemí EU je spotřeba cukru v ČR na průměrné úrovni. Nejvyšší spotřeba cukru byla v Lucembursku (50,3 kg/obyv./rok), velmi nízká spotřeba je v Rumunsku (22,1 kg/obyv./rok).</w:t>
      </w:r>
    </w:p>
    <w:p w:rsidR="00432C39" w:rsidRDefault="00432C39" w:rsidP="003B7071">
      <w:r w:rsidRPr="002821CD">
        <w:lastRenderedPageBreak/>
        <w:t>Spotřeba brambor se v ČR pohybuje mírně pod průměrem zemí EU a v jednotlivých státech EU se značně liší. Nejnižší spotřebu vykázalo Dánsko (35,7 kg/obyv./rok), naopak nejvyšší Lotyšsko (123,6 kg/obyv./rok).</w:t>
      </w:r>
    </w:p>
    <w:p w:rsidR="00432C39" w:rsidRDefault="00432C39" w:rsidP="003B7071">
      <w:r w:rsidRPr="002821CD">
        <w:t>Spotřeba másla v ČR je mírně nad průměrem zemí EU. Nejvyšší spotřebu másla vykazuje Francie (7,9 kg/obyv./rok), nejnižší Bulharsko (0,1 kg/obyv./rok).</w:t>
      </w:r>
    </w:p>
    <w:p w:rsidR="00432C39" w:rsidRPr="001B1FDF" w:rsidRDefault="00432C39" w:rsidP="001B1FDF">
      <w:pPr>
        <w:pStyle w:val="Nadpis2"/>
      </w:pPr>
      <w:bookmarkStart w:id="138" w:name="_Toc424307044"/>
      <w:r w:rsidRPr="001B1FDF">
        <w:t>5.3</w:t>
      </w:r>
      <w:r w:rsidRPr="001B1FDF">
        <w:tab/>
        <w:t>Výdaje za potraviny</w:t>
      </w:r>
      <w:bookmarkStart w:id="139" w:name="_GoBack"/>
      <w:bookmarkEnd w:id="138"/>
      <w:bookmarkEnd w:id="139"/>
    </w:p>
    <w:p w:rsidR="00432C39" w:rsidRDefault="00432C39" w:rsidP="003B7071">
      <w:r w:rsidRPr="00A46017">
        <w:t>V roce 2013 došlo v domácnostech k meziročnímu poklesu čistých peněžních příjmů (podruhé od roku 2009). Přestože čisté nominální příjmy klesly o 1,1 %, vydaly domácnosti na celkovou spotřebu o 1,7 % peněžních prostředků více. Přírůstek spotřebních výdajů byl jen nepatrně vyšší než přírůstek spotřebitelských cen zboží a služeb (+1,4 %). Reálná spotřeba domácností tak v roce 2013 spíše stagnovala nebo se jen velmi mírně zvyšovala (</w:t>
      </w:r>
      <w:r w:rsidR="001E2ADA">
        <w:t xml:space="preserve">tab. </w:t>
      </w:r>
      <w:r w:rsidRPr="00A46017">
        <w:t xml:space="preserve">T5.3/01). Na růstu spotřebních vydání se významně podílel růst výdajů za potraviny a nealkoholické nápoje (o 671 Kč/os./rok), dále výdajů za bydlení (o 617 </w:t>
      </w:r>
      <w:r w:rsidR="001E2ADA" w:rsidRPr="00A46017">
        <w:t>Kč/os./rok</w:t>
      </w:r>
      <w:r w:rsidRPr="00A46017">
        <w:t xml:space="preserve">) a za dopravu (o 508 </w:t>
      </w:r>
      <w:r w:rsidR="001E2ADA" w:rsidRPr="00A46017">
        <w:t>Kč/os./rok</w:t>
      </w:r>
      <w:r w:rsidRPr="00A46017">
        <w:t>).</w:t>
      </w:r>
    </w:p>
    <w:p w:rsidR="00432C39" w:rsidRDefault="00432C39" w:rsidP="003B7071">
      <w:pPr>
        <w:pStyle w:val="mezera"/>
      </w:pPr>
    </w:p>
    <w:p w:rsidR="00432C39" w:rsidRDefault="001E2ADA" w:rsidP="003B7071">
      <w:pPr>
        <w:pStyle w:val="mezera"/>
      </w:pPr>
      <w:r w:rsidRPr="001E2ADA">
        <w:rPr>
          <w:noProof/>
          <w:lang w:eastAsia="cs-CZ"/>
        </w:rPr>
        <w:drawing>
          <wp:inline distT="0" distB="0" distL="0" distR="0" wp14:anchorId="1354B264" wp14:editId="334C6724">
            <wp:extent cx="5760720" cy="3348797"/>
            <wp:effectExtent l="0" t="0" r="0" b="444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348797"/>
                    </a:xfrm>
                    <a:prstGeom prst="rect">
                      <a:avLst/>
                    </a:prstGeom>
                    <a:noFill/>
                    <a:ln>
                      <a:noFill/>
                    </a:ln>
                  </pic:spPr>
                </pic:pic>
              </a:graphicData>
            </a:graphic>
          </wp:inline>
        </w:drawing>
      </w:r>
    </w:p>
    <w:p w:rsidR="00432C39" w:rsidRPr="00A46017" w:rsidRDefault="00432C39" w:rsidP="003B7071">
      <w:pPr>
        <w:pStyle w:val="mezera"/>
      </w:pPr>
    </w:p>
    <w:p w:rsidR="00432C39" w:rsidRDefault="00432C39" w:rsidP="003B7071">
      <w:r w:rsidRPr="00A46017">
        <w:t>V roce 2014 došlo k oživení české ekonomiky, na němž se podílela i rostoucí spotřeba domácností. Čisté peněžní příjmy v domácnostech vzrostly o 3,0 % a nominální spotřební výdaje o 0,9 %, reálné výdaje (vzhledem k 0,4% inflaci) rostly jen mírně. Meziročně se nejvíce zvýšily výdaje (nominální i reálné) za vzdělávání a za bytové vybavení a zařízení domácnosti; naopak nejvíce klesly za bydlení a za dopravu.</w:t>
      </w:r>
      <w:r w:rsidR="00D50961">
        <w:t xml:space="preserve"> </w:t>
      </w:r>
      <w:r w:rsidR="00D50961" w:rsidRPr="00D50961">
        <w:t>Neplatí, že před nástupem krize jsou potraviny poslední výdajovou skupinou, na které domácnosti šetří, a po oživení ekonomiky naopak nejdříve rostoucí skupinou.</w:t>
      </w:r>
    </w:p>
    <w:p w:rsidR="00432C39" w:rsidRPr="00A46017" w:rsidRDefault="00432C39" w:rsidP="003B7071">
      <w:r w:rsidRPr="00A46017">
        <w:lastRenderedPageBreak/>
        <w:t>Nominální vydání domácností za potraviny a nealkoholické nápoje se v roce 2013 meziročně zvýšily o 2,8 %, ale vzhledem k výraznému nárůstu spotřebitelských cen potravin a nealkoholických nápojů (+4,9 %) reálné výdaje na spotřebu poklesly. Důsledkem tohoto vývoje za současného meziročního poklesu příjmové úrovně domácností bylo zvýšení podílu vydání za potraviny a nealkoholické nápoje na celkových spotřebních vydáních domácností z 20,0 % v roce 2012 na 20,2 % v roce 2013 (</w:t>
      </w:r>
      <w:r w:rsidR="00E933EC">
        <w:t xml:space="preserve">tab. </w:t>
      </w:r>
      <w:r w:rsidRPr="00A46017">
        <w:t>T5.3/02). V roce 2014 se nominální výdaje za potraviny a nealkoholické nápoje zvýšily o 1,4 %, reálně ale o 0,6 % klesly, neboť spotřebitelské ceny potravin a nealkoholických nápojů vzrostly o 2,0 %. Podíl vydání za potraviny a nealkoholické nápoje se v roce 2014 meziročně velmi mírně zvýšil na 20,3 %.</w:t>
      </w:r>
    </w:p>
    <w:p w:rsidR="00432C39" w:rsidRPr="00A46017" w:rsidRDefault="00432C39" w:rsidP="003B7071">
      <w:r w:rsidRPr="00A46017">
        <w:t>Z jednotlivých typů domácností (členěných podle sociálních skupin) vydávají za potraviny a nealkoholické nápoje dlouhodobě nejvíce prostředků domácnosti důchodců. V porovnání s průměrnou domácností byly nominální výdaje za potraviny a nealkoholické nápoje v domácnostech důchodců v roce 2014 o 20,9 % vyšší. Na druhé straně mají domácnosti důchodců nízké výdaje za veřejné stravování (logicky pak vyšší výdaje za potraviny).</w:t>
      </w:r>
    </w:p>
    <w:p w:rsidR="00432C39" w:rsidRDefault="00432C39" w:rsidP="003B7071">
      <w:pPr>
        <w:pStyle w:val="mezera"/>
      </w:pPr>
    </w:p>
    <w:p w:rsidR="00432C39" w:rsidRDefault="00EF00EE" w:rsidP="003B7071">
      <w:pPr>
        <w:pStyle w:val="mezera"/>
      </w:pPr>
      <w:r w:rsidRPr="00EF00EE">
        <w:rPr>
          <w:noProof/>
          <w:lang w:eastAsia="cs-CZ"/>
        </w:rPr>
        <w:drawing>
          <wp:inline distT="0" distB="0" distL="0" distR="0" wp14:anchorId="151DAE7E" wp14:editId="2EBBC628">
            <wp:extent cx="5760720" cy="1753916"/>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753916"/>
                    </a:xfrm>
                    <a:prstGeom prst="rect">
                      <a:avLst/>
                    </a:prstGeom>
                    <a:noFill/>
                    <a:ln>
                      <a:noFill/>
                    </a:ln>
                  </pic:spPr>
                </pic:pic>
              </a:graphicData>
            </a:graphic>
          </wp:inline>
        </w:drawing>
      </w:r>
    </w:p>
    <w:p w:rsidR="00432C39" w:rsidRPr="00A46017" w:rsidRDefault="00432C39" w:rsidP="003B7071">
      <w:pPr>
        <w:pStyle w:val="mezera"/>
      </w:pPr>
    </w:p>
    <w:p w:rsidR="00432C39" w:rsidRDefault="00432C39" w:rsidP="003B7071">
      <w:r w:rsidRPr="00A46017">
        <w:t>Nejméně peněz za potraviny a nealkoholické nápoje vydávají domácnosti nezaměstnaných (v roce 2014 vydaly o 26,4 % méně než průměrná domácnost, jako v jediném typu domácností zde meziročně klesly i nominální výdaje za potraviny a nealkoholické nápoje). Přesto jsou diference ve výdajích za potraviny a nealkoholické nápoje mezi jednotlivými typy domácností nižší než rozdíly v příjmech nebo celkových spotřebních vydáních (čisté peněžní příjmy domácností nezaměstnaných byly v roce 2014 o 43,8 % nižší než příjmy průměrné domácnosti; u spotřebních výdajů činil rozdíl 30,2 %).</w:t>
      </w:r>
    </w:p>
    <w:p w:rsidR="00432C39" w:rsidRDefault="00432C39" w:rsidP="003B7071">
      <w:pPr>
        <w:pStyle w:val="mezera"/>
      </w:pPr>
    </w:p>
    <w:p w:rsidR="00432C39" w:rsidRDefault="00432C39" w:rsidP="003B7071">
      <w:pPr>
        <w:pStyle w:val="mezera"/>
      </w:pPr>
      <w:r w:rsidRPr="00BC4F6E">
        <w:rPr>
          <w:noProof/>
          <w:lang w:eastAsia="cs-CZ"/>
        </w:rPr>
        <w:lastRenderedPageBreak/>
        <w:drawing>
          <wp:inline distT="0" distB="0" distL="0" distR="0" wp14:anchorId="74ADB0B7" wp14:editId="4661418F">
            <wp:extent cx="5760720" cy="4708689"/>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4708689"/>
                    </a:xfrm>
                    <a:prstGeom prst="rect">
                      <a:avLst/>
                    </a:prstGeom>
                    <a:noFill/>
                    <a:ln>
                      <a:noFill/>
                    </a:ln>
                  </pic:spPr>
                </pic:pic>
              </a:graphicData>
            </a:graphic>
          </wp:inline>
        </w:drawing>
      </w:r>
    </w:p>
    <w:p w:rsidR="00432C39" w:rsidRPr="00A46017" w:rsidRDefault="00432C39" w:rsidP="003B7071">
      <w:pPr>
        <w:pStyle w:val="mezera"/>
      </w:pPr>
    </w:p>
    <w:p w:rsidR="00432C39" w:rsidRPr="00A46017" w:rsidRDefault="00432C39" w:rsidP="003B7071">
      <w:r w:rsidRPr="0031178B">
        <w:t>Z potravin vydávají domácnosti nejvíce peněz za maso a masné výrobky (</w:t>
      </w:r>
      <w:r w:rsidR="0031178B" w:rsidRPr="0031178B">
        <w:t xml:space="preserve">tab. </w:t>
      </w:r>
      <w:r w:rsidRPr="0031178B">
        <w:t>T5.3/03).</w:t>
      </w:r>
      <w:r w:rsidRPr="00A46017">
        <w:t xml:space="preserve"> V roce 2013</w:t>
      </w:r>
      <w:r w:rsidRPr="00A46017">
        <w:rPr>
          <w:i/>
          <w:vertAlign w:val="superscript"/>
        </w:rPr>
        <w:footnoteReference w:id="82"/>
      </w:r>
      <w:r w:rsidRPr="00A46017">
        <w:t xml:space="preserve"> činily tyto výdaje 27,4 % z celkových výdajů za potraviny. Meziročně se o 2,4 % (tj. o 145 Kč/os./rok) zvýšily, přestože hmotná spotřeba masa o 4,7 % klesla. Na růstu se podílel nárůst spotřebitelských cen masa a masných výrobků o 4,8 %. Dalšími dvěma potravinovými skupinami s nejvyššími výdaji v rodinných rozpočtech jsou mléko a mléčné výrobky a pekárenské výrobky (podíl na celkových vydáních za potraviny činil u obou skupin shodně po 17,9 %). Vydání domácností za mléko a mléčné výrobky meziročně stouply o 2,5 %, opět vlivem růstu spotřebitelských cen (zejména cen konzumního mléka o 9,0 %) při současném poklesu hmotné spotřeby. Za pekárenské výrobky se výdaje zvýšily jen velmi mírně (o 0,5 %). Výrazně se v roce 2013 zvýšily výdaje domácností za brambory a výrobky z brambor (o 35,0 %). Důvodem bylo razantní zvýšení spotřebitelských cen brambor (o 70,8 %). Nejméně prostředků vydávají domácnosti za vejce a vaječné výrobky (v roce 2013 pouze 1,8 % z celkových vydání za potraviny).</w:t>
      </w:r>
    </w:p>
    <w:p w:rsidR="00432C39" w:rsidRDefault="00432C39" w:rsidP="003B7071">
      <w:r w:rsidRPr="00A46017">
        <w:lastRenderedPageBreak/>
        <w:t xml:space="preserve">Podíl vydání za potraviny a nealkoholické nápoje na spotřebních vydáních domácností dlouhodobě (od roku 1990) klesal, od roku 2012 mírně stoupá. V roce 2013 se meziročně zvýšil o 0,2 p. b. a činil 20,2 % a v roce 2014 velmi mírně vzrostl na 20,3 %. V rámci spotřebních výdajů zaujímá podíl vydání za potraviny a nealkoholické nápoje společně s podílem vydání za bydlení přední příčky výdajového žebříčku. Náklady na výživu a bydlení za rok 2014 představovaly 41,8 % z celkových spotřebních výdajů domácností. Podrobný přehled podílu spotřebních vydání českých domácností přináší </w:t>
      </w:r>
      <w:proofErr w:type="spellStart"/>
      <w:r w:rsidR="004573CB">
        <w:t>příl</w:t>
      </w:r>
      <w:proofErr w:type="spellEnd"/>
      <w:r w:rsidR="004573CB">
        <w:t xml:space="preserve">. </w:t>
      </w:r>
      <w:r w:rsidRPr="00A46017">
        <w:t>tab</w:t>
      </w:r>
      <w:r w:rsidR="00433610">
        <w:t>.</w:t>
      </w:r>
      <w:r w:rsidRPr="00A46017">
        <w:t xml:space="preserve"> 5.3/01.</w:t>
      </w:r>
    </w:p>
    <w:p w:rsidR="00432C39" w:rsidRDefault="00432C39" w:rsidP="003B7071">
      <w:r w:rsidRPr="00A46017">
        <w:t>Mezi domácnostmi mají nejvyšší podíl vydání za potraviny a nealkoholické nápoje na spotřebních vydáních domácnosti důchodců (s nejvyšší hmotnou spotřebou potravin). Nejnižší podíl vykazují domácnosti zaměstnanců, které mají nejvyšší příjmovou úroveň při relativně nízké hmotné spotřebě potravin. V roce 2014 se podíl vydání za potraviny a nealkoholické nápoje meziročně zvýšil u domácností zaměstnanců a samostatně činných osob. V domácnostech důchodců a nezaměstnaných se podíl snížil, výrazně v domácnostech nezaměstnaných (o 1,0 p. b.), u nichž významně klesly i nominální výdaje za potraviny a nealkoholické nápoje (</w:t>
      </w:r>
      <w:r w:rsidR="004573CB">
        <w:t xml:space="preserve">tab. </w:t>
      </w:r>
      <w:r w:rsidRPr="00A46017">
        <w:t>T5.3/02).</w:t>
      </w:r>
    </w:p>
    <w:p w:rsidR="00432C39" w:rsidRDefault="00432C39" w:rsidP="003B7071">
      <w:r w:rsidRPr="00A46017">
        <w:t>Mezinárodně užívaný ukazatel podílu vydání za potraviny, nápoje a tabák na celkových spotřebních vydáních domácností činil v roce 2013 v ČR 23,0 % a meziročně se o 0,2 p. b. zvýšil; v roce 2014 vzrostl na 23,2 %. V porovnání s průměrným podílem domácností zemí EU 27 se nachází značně nad jejím průměrem (16,5 % v roce 2011)</w:t>
      </w:r>
      <w:r w:rsidRPr="00A46017">
        <w:rPr>
          <w:i/>
          <w:vertAlign w:val="superscript"/>
        </w:rPr>
        <w:footnoteReference w:id="83"/>
      </w:r>
      <w:r w:rsidRPr="00A46017">
        <w:t>. Nejnižší podíl mezi zeměmi EU</w:t>
      </w:r>
      <w:r w:rsidR="004573CB">
        <w:t> 27</w:t>
      </w:r>
      <w:r w:rsidRPr="00A46017">
        <w:t xml:space="preserve"> má dlouhodobě Spojené království (12,7 % v roce 2011); nízký podíl vykazují i sousední země Rakousko (13,4 %) a Německo (14,7 %). Naopak nejvyšší podíl měly v roce 2011 Estonsko (28,3 %) a Lotyšsko (27,3</w:t>
      </w:r>
      <w:r>
        <w:t xml:space="preserve"> </w:t>
      </w:r>
      <w:r w:rsidRPr="00A46017">
        <w:t>%).</w:t>
      </w:r>
    </w:p>
    <w:p w:rsidR="00432C39" w:rsidRPr="001B1FDF" w:rsidRDefault="00432C39" w:rsidP="001B1FDF">
      <w:pPr>
        <w:pStyle w:val="Nadpis2"/>
      </w:pPr>
      <w:bookmarkStart w:id="140" w:name="_Toc424307045"/>
      <w:bookmarkEnd w:id="130"/>
      <w:r w:rsidRPr="001B1FDF">
        <w:t>5.4</w:t>
      </w:r>
      <w:r w:rsidRPr="001B1FDF">
        <w:tab/>
        <w:t>Spotřebitelské ceny potravin</w:t>
      </w:r>
      <w:bookmarkEnd w:id="140"/>
    </w:p>
    <w:p w:rsidR="00432C39" w:rsidRDefault="00432C39" w:rsidP="003B7071">
      <w:r w:rsidRPr="00A46017">
        <w:t>Trend poklesu tempa celkového růstu spotřebitelských cen pokračoval i v roce 2014. Průměrná meziroční míra inflace (vyjádřená celkovým přírůstkem spotřebitelských cen) v roce 2014 činila 0,4 %, což představuje o 1,0 p. b. menší</w:t>
      </w:r>
      <w:r>
        <w:t xml:space="preserve"> zvýšení než v roce 2013.</w:t>
      </w:r>
    </w:p>
    <w:p w:rsidR="00432C39" w:rsidRPr="00A46017" w:rsidRDefault="00432C39" w:rsidP="003B7071">
      <w:r w:rsidRPr="00A46017">
        <w:t>Z hlediska dlouhodobého vývoje dosáhla míra inflace druhé nejnižší hodnoty za celé porevoluční období a nejmírnější úrovně od roku 2004. Na rozdíl od předchozích 3 let růst cen zboží výrazně (o 0,7 p. b.) zaostával za růstem cen služeb.</w:t>
      </w:r>
    </w:p>
    <w:p w:rsidR="00432C39" w:rsidRPr="00A46017" w:rsidRDefault="00432C39" w:rsidP="003B7071">
      <w:r w:rsidRPr="00A46017">
        <w:t>V porovnání s průměrným přírůstkem cen v zemích EU 28 byl meziroční nárůst cenové hladiny v roce 2014 v ČR (měřený HICP</w:t>
      </w:r>
      <w:r w:rsidRPr="00A46017">
        <w:rPr>
          <w:i/>
          <w:vertAlign w:val="superscript"/>
        </w:rPr>
        <w:footnoteReference w:id="84"/>
      </w:r>
      <w:r w:rsidRPr="00A46017">
        <w:t>)</w:t>
      </w:r>
      <w:r>
        <w:t xml:space="preserve">, </w:t>
      </w:r>
      <w:r w:rsidRPr="00A46017">
        <w:t>shodně jako v předchozím roce</w:t>
      </w:r>
      <w:r>
        <w:t xml:space="preserve">, </w:t>
      </w:r>
      <w:r w:rsidRPr="00A46017">
        <w:t xml:space="preserve">pomalejší </w:t>
      </w:r>
      <w:r w:rsidRPr="00A46017">
        <w:lastRenderedPageBreak/>
        <w:t>o 0,1 p. b.</w:t>
      </w:r>
      <w:r w:rsidRPr="00A46017">
        <w:rPr>
          <w:i/>
          <w:vertAlign w:val="superscript"/>
        </w:rPr>
        <w:footnoteReference w:id="85"/>
      </w:r>
      <w:r w:rsidRPr="00A46017">
        <w:t xml:space="preserve"> a odpovídal vzestupu cen v Dánsku a Slovinsku. Nejrychleji se zvýšily ceny spotřebního zboží a služeb v Rakousku, Velké Británii a Rumunsku (všichni shodně +1,5 %), naopak nejvyšší cenovou deflaci vykázaly Bulharsko (-1,6 %) a Řecko (-1,4 %).</w:t>
      </w:r>
    </w:p>
    <w:p w:rsidR="00432C39" w:rsidRDefault="00432C39" w:rsidP="003B7071">
      <w:r w:rsidRPr="00A46017">
        <w:t xml:space="preserve">Do zpomalení růstu spotřebitelských v ČR se z vnějších vlivů promítly především přetrvávající pokles světových cen energií (hlavně ropy, zemního plynu a elektřiny), potravin a ostatních surovin a </w:t>
      </w:r>
      <w:r w:rsidRPr="003113E4">
        <w:t xml:space="preserve">rovněž pokračující dezinflace </w:t>
      </w:r>
      <w:r w:rsidR="003113E4" w:rsidRPr="003113E4">
        <w:t xml:space="preserve">(tj. pokles tempa růstu celkové cenové hladiny) </w:t>
      </w:r>
      <w:r w:rsidRPr="003113E4">
        <w:t>v eurozóně.</w:t>
      </w:r>
      <w:r w:rsidRPr="00A46017">
        <w:t xml:space="preserve"> Z tuzemských faktorů byl významný dopad atypického vývoje administrativních opatření (tj. položek, jejichž ceny jsou úplně nebo částečně administrativně regulované), zejména snížení regulovaných cen elektřiny. K proinflačním faktorům v roce 2014 patřil</w:t>
      </w:r>
      <w:r w:rsidR="005B7B62">
        <w:t>o</w:t>
      </w:r>
      <w:r w:rsidRPr="00A46017">
        <w:t xml:space="preserve"> oslabení směnného kurzu koruny (vůči EUR i USD), projevující se nárůstem dovozních cen (meziročně v úhrnu o 1,9 %), a oživení domácí poptávky.</w:t>
      </w:r>
    </w:p>
    <w:p w:rsidR="00432C39" w:rsidRPr="00A46017" w:rsidRDefault="00432C39" w:rsidP="003B7071">
      <w:r w:rsidRPr="00A46017">
        <w:t>Na velmi nízké inflaci se z jednotlivých výdajových skupin největší měrou podílely ceny bydlení, které poprvé od vzniku samostatné ČR v meziročním srovnání klesly o 1,4 % (zatímco v předcházejících letech byly jedním z hlavních faktorů zvyšování inflace). Uvedený pohyb byl důsledkem razantního snížení hladiny cen elektřiny (o 10,3 %) a mírného poklesu cen zemního plynu. Vliv na snížení inflace měly rovněž ceny skupiny pošty a telekomunikace, jejichž úroveň zásluhou redukce cen telefonických služeb již sedmým rokem klesala. Pokles cenové hladiny zaznamenaly také položky zdraví a bytové vybavení. Naproti tomu ve směru růstu cen působilo zásadním způsobem navýšení cen alkoholických nápojů vč. tabáku (u tabákových výrobků se projevil dopad zvýšení spotřební daně) a potravin vč. nealkoholických nápojů.</w:t>
      </w:r>
    </w:p>
    <w:p w:rsidR="00432C39" w:rsidRPr="00A46017" w:rsidRDefault="00432C39" w:rsidP="003B7071">
      <w:r w:rsidRPr="00A46017">
        <w:t>Spotřebitelské ceny potravinářského zboží navzdory zmírnění meziročního přírůstku</w:t>
      </w:r>
      <w:r>
        <w:t xml:space="preserve">, </w:t>
      </w:r>
      <w:r w:rsidRPr="00A46017">
        <w:t>podobně jako v předcházejících 4 letech</w:t>
      </w:r>
      <w:r>
        <w:t xml:space="preserve">, </w:t>
      </w:r>
      <w:r w:rsidRPr="00A46017">
        <w:t>i v roce 2014 významně přispěly k růstu inflace. Jejich úroveň meziročně stoupla o 2,0 %, tj. o 2,9 p. b. méně než v roce 2013.</w:t>
      </w:r>
    </w:p>
    <w:p w:rsidR="00432C39" w:rsidRDefault="00432C39" w:rsidP="003B7071">
      <w:r w:rsidRPr="00A46017">
        <w:t>Uvedený vývoj nekorespondoval s vývojem cen potravin a nealkoholických nápojů v zemích EU 28 jako celku. Zatímco v ČR se ceny této skupiny zvedly (HICP činil 102,1 %</w:t>
      </w:r>
      <w:r w:rsidRPr="00A46017">
        <w:rPr>
          <w:i/>
          <w:vertAlign w:val="superscript"/>
        </w:rPr>
        <w:footnoteReference w:id="86"/>
      </w:r>
      <w:r w:rsidRPr="00A46017">
        <w:t>), v průměru za EU 28 naopak zanedbatelně klesly (-0,2 %). Z 8 zemí EU, u nichž byl registrován růst cen potravinářských výrobků, byla hodnota přírůstku v ČR nejvyšší. Nepatrně nižším tempem než v naší republice rostly ceny potravin a nealko nápojů v Rakousku (+1,9 %), v Německu se zvýšily o 0,9 %. Ve většině členských zemí došlo k meziročnímu poklesu, příp. stagnaci cen této skupiny. Nejvíce se snížila hladina cen potravin a nealko nápojů v Chorvatsku a Irsku (-2,4 %, resp. -2,3 %) a dále v Řecku, Rumunsku a Portugalsku (v rozmezí od -1,6 % do -1,3 %).</w:t>
      </w:r>
    </w:p>
    <w:p w:rsidR="00432C39" w:rsidRPr="00A46017" w:rsidRDefault="00432C39" w:rsidP="003B7071">
      <w:r w:rsidRPr="00A46017">
        <w:lastRenderedPageBreak/>
        <w:t>Cenová úroveň samotných potravin stoupla v ČR v roce 2014 vzhledem k roku 2013 o 2,3 %, což představuje zmírnění meziročního tempa růstu o 3,1 p. b. Ceny nealkoholických nápojů navázaly na stabilizovaný vývoj v předchozím roce a snížily se o 1,0 %. Trend vývoje cen potravin pro spotřebitele byl odlišný od vývoje CZV i CPV potravinářských výrobků, u nichž došlo k meziročnímu poklesu cenové úrovně (o 3,7 %, resp. o 0,7 %). Zvýšení cen potravin v obchodní síti bylo výrazně ovlivněno růstem dovozních cen potravin (o 4,4 %).</w:t>
      </w:r>
    </w:p>
    <w:p w:rsidR="00432C39" w:rsidRDefault="00432C39" w:rsidP="003B7071">
      <w:r w:rsidRPr="00A46017">
        <w:t>Vyjma dvou měsíců byla hladina spotřebitelských cen potravin v roce 2014 vyšší než v předešlém roce, ale její růst v průběhu roku zpomaloval. Do vývoje cen potravin se během roku mj. promítly následující skutečnosti. Ve směru růstu cen působilo rozhodnutí ČNB o oslabení kurzu koruny vůči euru z listopadu roku 2013, na druhé straně příznivá sklizeň zemědělských komodit a pravděpodobně částečně i dopad sankcí vyhlášených Ruskem na dovoz vybraných potravin z EU v srpnu roku 2014 cenový přírůstek potravinářských produktů v úhrnu zmírnily.</w:t>
      </w:r>
    </w:p>
    <w:p w:rsidR="00432C39" w:rsidRDefault="00432C39" w:rsidP="003B7071">
      <w:pPr>
        <w:pStyle w:val="mezera"/>
      </w:pPr>
    </w:p>
    <w:p w:rsidR="00432C39" w:rsidRDefault="00432C39" w:rsidP="003B7071">
      <w:pPr>
        <w:pStyle w:val="mezera"/>
      </w:pPr>
      <w:r w:rsidRPr="00BC4F6E">
        <w:rPr>
          <w:noProof/>
          <w:lang w:eastAsia="cs-CZ"/>
        </w:rPr>
        <w:drawing>
          <wp:inline distT="0" distB="0" distL="0" distR="0" wp14:anchorId="1C1CE624" wp14:editId="1BB5A8BB">
            <wp:extent cx="5593080" cy="2849880"/>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3080" cy="2849880"/>
                    </a:xfrm>
                    <a:prstGeom prst="rect">
                      <a:avLst/>
                    </a:prstGeom>
                    <a:noFill/>
                    <a:ln>
                      <a:noFill/>
                    </a:ln>
                  </pic:spPr>
                </pic:pic>
              </a:graphicData>
            </a:graphic>
          </wp:inline>
        </w:drawing>
      </w:r>
    </w:p>
    <w:p w:rsidR="00432C39" w:rsidRDefault="00432C39" w:rsidP="003B7071">
      <w:pPr>
        <w:pStyle w:val="mezera"/>
      </w:pPr>
    </w:p>
    <w:p w:rsidR="00432C39" w:rsidRPr="00A46017" w:rsidRDefault="00432C39" w:rsidP="003B7071">
      <w:r w:rsidRPr="00A46017">
        <w:t>Z tab. T5.4/01 dokumentující vývoj cen základních potravinových a nápojových skupin v posledních dvou letech vyplývá, že u většiny skupin (kromě zeleniny vč. zeleninových výrobků a nealko nápojů) došlo v roce 2014 meziročně k nárůstu cenové hladiny. S výjimkou mléka, mléčných výrobků, vajec a cukru vč. výrobků byl však přírůstek cen ostatních hodnocených skupin mírnější než v roce 2013. Vývoj spotřebitelských cen potravinářských komodit v podrobnějším členění je uveden v </w:t>
      </w:r>
      <w:proofErr w:type="spellStart"/>
      <w:r w:rsidRPr="00A46017">
        <w:t>příl</w:t>
      </w:r>
      <w:proofErr w:type="spellEnd"/>
      <w:r w:rsidRPr="00A46017">
        <w:t>. tab. 5.4/01.</w:t>
      </w:r>
    </w:p>
    <w:p w:rsidR="00432C39" w:rsidRDefault="00432C39" w:rsidP="003B7071">
      <w:r w:rsidRPr="00A46017">
        <w:t xml:space="preserve">Zásluhou značného meziročního růstu cen mléka a mléčných výrobků vzrostly v roce 2014 nejdynamičtěji (o 7,4 %) ceny agregované skupiny mléko, mléčné výrobky, vejce. Z jednotlivých zástupců, ale i v rámci všech sledovaných potravinových podskupin zaznamenaly vysoké meziroční cenové přírůstky jogurty (12,6 %), konzumní mléko (8,6 %) a sýry (7,3 %). Vývoj cen mléka a mléčných výrobků v průběhu roku 2014 do určité míry </w:t>
      </w:r>
      <w:r w:rsidRPr="00A46017">
        <w:lastRenderedPageBreak/>
        <w:t>odrážel situaci na zahraničních trzích, kde ve spojitosti s vysokou světovou nabídkou mléka, snížením poptávky po mléčných výrobcích z Číny a tvorbou vysokých zásob docházelo u těchto produktů ke snižování cenové úrovně. U tuzemských spotřebitelských cen konzumního mléka a sýrů byla po výrazném zvýšení v roce 2013 a v 1. čtvrtletí roku 2014 klesající tendence vykázána od 2. čtvrtletí. Pokles cen uvedených komodit v maloobchodě však byl mírnější než u zpracovatelů i prvovýrobců. Ke snížení cen mléka a mléčných výrobků nepřímo přispěl od srpna i zákaz dovozu těchto produktů ze zemí EU do Ruska. Přesto, jak již bylo uvedeno, v meziročním porovnání spotřebitelské ceny zmiňovaných výrobků stouply. Příčinou tohoto paradoxu je skutečnost, že ceny mléka se zvyšovaly téměř po celý rok 2013 a do dalšího roku tedy vstupovaly na vysoké úrovni.</w:t>
      </w:r>
    </w:p>
    <w:p w:rsidR="00432C39" w:rsidRDefault="00432C39" w:rsidP="003B7071">
      <w:r w:rsidRPr="00A46017">
        <w:t>Do vývoje cen vajec na trhu ČR se promítl poměrně ustálený vývoj cen této komodity na evropském trhu. Spotřebitelská cena vajec se po 15% snížení v roce 2013 zvedla v roce 2014 v meziročním porovnání o 1,7 %, což bylo celkem v souladu s pohybem CZV i dovozních cen.</w:t>
      </w:r>
    </w:p>
    <w:p w:rsidR="00432C39" w:rsidRPr="00A46017" w:rsidRDefault="00432C39" w:rsidP="003B7071">
      <w:r w:rsidRPr="00A46017">
        <w:t>Mírně nad úrovní průměrného růstu spotřebitelských cen potravin se pohybovalo zvýšení cen ostatních potravinářských výrobků (o 3,0 %; z hlediska cenového vývoje nevýznamné skupiny), masa vč. masných výrobků a olejů vč. tuků (u obou shodně o 2,5 %).</w:t>
      </w:r>
    </w:p>
    <w:p w:rsidR="00432C39" w:rsidRPr="00A46017" w:rsidRDefault="00432C39" w:rsidP="003B7071">
      <w:r w:rsidRPr="00A46017">
        <w:t xml:space="preserve">Ceny všech sledovaných druhů masa se v maloobchodě navyšují již čtvrtým rokem v řadě, ale tempo jejich růstu se od roku 2012 každoročně význačně zpomaluje. Na meziročním vzestupu cen drůbežího masa (o 2,8 %) se v roce 2014 nejvíce podílel nárůst cen kuchaných kuřat, a to i přesto, že došlo v podstatě ke stagnaci cen zpracovatelů a </w:t>
      </w:r>
      <w:r>
        <w:t>poklesu CZV i dovozních cen. Je </w:t>
      </w:r>
      <w:r w:rsidRPr="00A46017">
        <w:t>tedy zřejmé, že podobně jako v roce 2013 i v roce 2014 lze vzestup ceny uvedené komodity připsat na vrub obchodníků. Růst cenové úrovně vepřového výsekového masa se meziročně zmírnil ze všech druhů masa nejdynamičtěji (o 4,9 p. b.), na 101,6 %, a zhruba odpovídal růstu CPV (naopak CZV jatečných prasat v důsledku vývoje na trhu EU podle ČSÚ velmi mírně poklesly). Spotřebitelská cena hovězího výsekového masa následovala vývoj CPV a po letech takřka trvalého růstu, zahájeného vstupem do EU, v podstatě stagnovala (+0,3 %). Navýšení cenové hladiny uzenářského zboží i masových konzerv vč. ostatních masových výrobků bylo progresivnější než u ceny suroviny.</w:t>
      </w:r>
    </w:p>
    <w:p w:rsidR="00432C39" w:rsidRDefault="00432C39" w:rsidP="003B7071">
      <w:r w:rsidRPr="00A46017">
        <w:t>Celkový nárůst cen olejů a tuků podpořilo podobně jako v předchozím roce zejména výraznější zvýšení ceny másla. Přestože se cena čerstvého másla stejně jako u konzumního mléka v průběhu roku 2014 spíše snižovala, vzhledem k jejímu plynulému růstu během roku 2013 se v meziročním porovnání zvedla o 5,1 % a v průměru za rok 2014 vykázala dosud nejvyšší evidovanou hodnotu (161,78 Kč/kg). Rovněž spotřebitelská cena rostlinných tuků navázala na vývoj v roce 2013 a meziročně vzrostla o 2,0 %. Naopak po poměrně značném zvýšení v předchozím roce došlo k bezvýznamné redukci ceny sádla (o 0,6</w:t>
      </w:r>
      <w:r>
        <w:t xml:space="preserve"> </w:t>
      </w:r>
      <w:r w:rsidRPr="00A46017">
        <w:t xml:space="preserve">%) a v souvislosti s poklesem světových i tuzemských cen olejnin a také CPV řepkového oleje se mírně </w:t>
      </w:r>
      <w:r w:rsidR="005B7B62">
        <w:t>snížila i </w:t>
      </w:r>
      <w:r w:rsidRPr="00A46017">
        <w:t>cena jedlých olejů</w:t>
      </w:r>
      <w:r w:rsidR="005B7B62">
        <w:t xml:space="preserve"> </w:t>
      </w:r>
      <w:r w:rsidR="005B7B62" w:rsidRPr="00A46017">
        <w:t>(o 1,9 %)</w:t>
      </w:r>
      <w:r w:rsidRPr="00A46017">
        <w:t>.</w:t>
      </w:r>
    </w:p>
    <w:p w:rsidR="00432C39" w:rsidRPr="00A46017" w:rsidRDefault="00432C39" w:rsidP="003B7071">
      <w:r w:rsidRPr="00A46017">
        <w:lastRenderedPageBreak/>
        <w:t>V porovnání s vývojem v předchozích 2 letech podstatně zpo</w:t>
      </w:r>
      <w:r>
        <w:t>malil růst cenové hladiny ryb a </w:t>
      </w:r>
      <w:r w:rsidRPr="00A46017">
        <w:t>rybích výrobků (zvýšení o 2,2 %). Vzhledem k nízkému zastoupení ve spotřebním koši potravin pohyb cen této skupiny celkový vývoj cen potravin téměř neovlivnil.</w:t>
      </w:r>
    </w:p>
    <w:p w:rsidR="00432C39" w:rsidRPr="00A46017" w:rsidRDefault="00432C39" w:rsidP="003B7071">
      <w:r w:rsidRPr="00A46017">
        <w:t>Obdobně jako v roce 2013 i v roce 2014 zaznamenala velmi mírný přírůstek (1,5 %) skupina cukr a výrobky z cukru. Celosvětový nadbytek cukru a s tím spojený propad cen na zahraničních trzích byl hlavní příčinou poklesu cen zpracovatelů a následně i spotřebitelských cen této potraviny v roce 2014 (-6,9 %). Snížení cen cukru v maloobchodě nastalo po tříletém vzestupném, resp. stagnačním trendu a v porovnání s poklesem CPV bylo mírnější. Cenová úroveň cukrářských výrobků se po letech téměř nepřetržitého navyšování meziročně změnila jen minimálně (+0,9 %); nečokoládové cukrovinky pokračovaly v dlouhodobém cenovém vzrůstu a meziročně stouply o 2,0 %. Vyšší vzestup ceny (+4,3 %) byl registrován pouze u čokolády a čokoládových cukrovinek, a to hlavně z důvodu růstu dovozních cen.</w:t>
      </w:r>
    </w:p>
    <w:p w:rsidR="00432C39" w:rsidRDefault="00432C39" w:rsidP="003B7071">
      <w:r w:rsidRPr="00A46017">
        <w:t>Přibližně na úrovni předchozího roku zůstala cenová hladina dvou skupin: pekárenských výrobků vč. obilovin a ovoce vč. ovocných výrobků. Na rozdíl od minulých let nebyl v roce 2014 meziroční cenový vývoj jednotlivých pekárenských výrobků výrazně diferencovaný</w:t>
      </w:r>
      <w:r w:rsidRPr="00A46017">
        <w:rPr>
          <w:i/>
        </w:rPr>
        <w:t>.</w:t>
      </w:r>
      <w:r>
        <w:t xml:space="preserve"> Po </w:t>
      </w:r>
      <w:r w:rsidRPr="00A46017">
        <w:t>citelném nárůstu v předchozím roce velmi mírně (-1,2 %) zlevnila pšeničná mouka; pokles CPV tohoto produktu však byl dynamičtější a do ceny pro spotřebitele se nepromítl v plné výši. Analogicky jako v roce 2013 klesla spotřebitelská cena běžného pečiva (o 2,7 %). Ceny chleba, jemného pečiva i ostatních výrobků z obilovin zůstaly v obchodní síti prakticky stejné (zvýšení o 0,5-0,6 %) jako v předešlém roce. U těstovin a rýže byl meziroční cenový přírůstek téměř identický (1,6 %, resp. 1,7 %); průměrná cena v roce 2014 se u obou reprezentantů vyšplhala k historicky nejvyšším hodnotám.</w:t>
      </w:r>
    </w:p>
    <w:p w:rsidR="00432C39" w:rsidRPr="00A46017" w:rsidRDefault="00432C39" w:rsidP="003B7071">
      <w:r w:rsidRPr="00A46017">
        <w:t>Zatímco ceny jablek v roce 2013 značně podpořily úhrnný cenový růst ovoce a ovocných výrobků, v roce 2014 naopak zvýšení cen skupiny tlumily. Velmi dobrá sklizeň jablek v zemích EU, ČR nevyjímaje</w:t>
      </w:r>
      <w:r w:rsidR="000508B4">
        <w:t>,</w:t>
      </w:r>
      <w:r w:rsidRPr="00A46017">
        <w:t xml:space="preserve"> a problémy s uplatněním především polské produkce na ruském trhu vedly k převisu nabídky na trhu a k obecnému poklesu cen. Snížení spotřebitelských cen jablek (o 10,4 %) bylo v souladu s redukcí jak cen pěstitelů, tak dovozních cen. I přes významný meziroční pokles se v roce 2014 pohybovala průměrná cena konzumních jablek u obchodníků (30,79 Kč/kg) nad úrovní průměru předchozích 5 let Z jižního ovoce se v souvislosti s růstem dovozních cen</w:t>
      </w:r>
      <w:r w:rsidRPr="00A46017">
        <w:rPr>
          <w:b/>
        </w:rPr>
        <w:t xml:space="preserve"> </w:t>
      </w:r>
      <w:r w:rsidRPr="00A46017">
        <w:t>i marží obchodníků</w:t>
      </w:r>
      <w:r w:rsidRPr="00A46017">
        <w:rPr>
          <w:b/>
        </w:rPr>
        <w:t xml:space="preserve"> </w:t>
      </w:r>
      <w:r w:rsidRPr="00A46017">
        <w:t>opět razantně zvedla cena kiwi (o 36,0 %) a rovněž stoupla cena citrónů (o 15,0 %); cenová hladina banánů</w:t>
      </w:r>
      <w:r>
        <w:t xml:space="preserve">, </w:t>
      </w:r>
      <w:r w:rsidRPr="00A46017">
        <w:t>navzdory růstu jejich dovozních cen</w:t>
      </w:r>
      <w:r>
        <w:t xml:space="preserve">, </w:t>
      </w:r>
      <w:r w:rsidRPr="00A46017">
        <w:t>prakticky stagnovala.</w:t>
      </w:r>
    </w:p>
    <w:p w:rsidR="00432C39" w:rsidRPr="00A46017" w:rsidRDefault="00432C39" w:rsidP="003B7071">
      <w:r w:rsidRPr="00A46017">
        <w:t>Jedinou potravinovou skupinou, u níž byl vykázán pokles cenové úrovně (o 3,7 %), byly zelenina a brambory vč. výrobků. Vývoj cen skupiny významně ovlivnilo snížení hladiny cen konzumních brambor, které následovalo po enormním (zhruba 70%) cenovém přírůstku v předchozím roce. V meziročním poklesu spotřebitelských cen brambor v roce 2014 (o 23,</w:t>
      </w:r>
      <w:r w:rsidR="000508B4">
        <w:t>3</w:t>
      </w:r>
      <w:r w:rsidRPr="00A46017">
        <w:t xml:space="preserve"> %) se odrazila redukce jak CZV, tak dovozních cen této okopaniny. I v roce 2014 však zůstala průměrná cena brambor v maloobchodě na vysoké úrovni (13,60 Kč/kg). </w:t>
      </w:r>
      <w:r w:rsidRPr="00A46017">
        <w:lastRenderedPageBreak/>
        <w:t>U zeleniny evidujeme růst spotřebitelských cen plodové zeleniny celkem (o 3,1 %), přitom se v návaznosti na vývoj CZV i dovozních cen významně zvedly ceny rajčat</w:t>
      </w:r>
      <w:r w:rsidRPr="00A46017">
        <w:rPr>
          <w:i/>
        </w:rPr>
        <w:t>,</w:t>
      </w:r>
      <w:r w:rsidRPr="00A46017">
        <w:t xml:space="preserve"> ale z důvodu vyšší produkce v celé EU poklesly ceny okurek a paprik. Úhrnná cenová hladina ostatní zeleniny (tj. kořenové a košťálové) zůstala v obchodní síti na úrovni roku 2013. Ceny zeleninových výrobků opětovně stouply (o 3,5 %), naproti tomu u bramborových výrobků se bezvýznamně (o 0,8 %) snížily.</w:t>
      </w:r>
    </w:p>
    <w:p w:rsidR="00432C39" w:rsidRPr="00A46017" w:rsidRDefault="00432C39" w:rsidP="003B7071">
      <w:r w:rsidRPr="00A46017">
        <w:t>Spotřebitelské ceny nealkoholických nápojů se v roce 2014 podobně jako v předchozím roce vyznačovaly stabilizovaným vývojem. Ceny přípravků na přípravu teplých nápojů v průměru meziročně velmi mírně klesly (o 1,8 %). Káva v maloobchodě zlevnila o 3,3 %, ceny čaje i kakaa zůstaly víceméně na úrovni roku 2013, přitom u kávy i čaje došlo k poměrně vysokému růstu dovozních cen (zhruba o 10 %, resp. o 17 %), ale u kakaa se naopak dovozní cena snížila. Rovněž meziroční změny cen ostatních nealkoholických nápojů, tj. minerálních a stolních vod, ovocných a zeleninových šťáv, ostatních nea</w:t>
      </w:r>
      <w:r>
        <w:t>lko nápojů, byly zanedbatelné (</w:t>
      </w:r>
      <w:r>
        <w:noBreakHyphen/>
      </w:r>
      <w:r w:rsidRPr="00A46017">
        <w:t>1,3 % až +0,9 %).</w:t>
      </w:r>
    </w:p>
    <w:p w:rsidR="00432C39" w:rsidRPr="00526DAF" w:rsidRDefault="00432C39" w:rsidP="003B7071">
      <w:pPr>
        <w:pStyle w:val="mezera"/>
      </w:pPr>
    </w:p>
    <w:p w:rsidR="00432C39" w:rsidRPr="001B1FDF" w:rsidRDefault="00432C39" w:rsidP="001B1FDF">
      <w:pPr>
        <w:pStyle w:val="Nadpis2"/>
      </w:pPr>
      <w:bookmarkStart w:id="141" w:name="_Toc424307046"/>
      <w:bookmarkEnd w:id="131"/>
      <w:r w:rsidRPr="001B1FDF">
        <w:t>5.5</w:t>
      </w:r>
      <w:r w:rsidRPr="001B1FDF">
        <w:tab/>
        <w:t>Kvalita potravin</w:t>
      </w:r>
      <w:bookmarkEnd w:id="132"/>
      <w:bookmarkEnd w:id="141"/>
    </w:p>
    <w:p w:rsidR="00432C39" w:rsidRPr="00D6297C" w:rsidRDefault="00432C39" w:rsidP="003B7071">
      <w:r w:rsidRPr="00D6297C">
        <w:t>Zvyšování kvality potravinářských výrobků</w:t>
      </w:r>
      <w:r w:rsidRPr="00D6297C">
        <w:rPr>
          <w:iCs/>
        </w:rPr>
        <w:t xml:space="preserve"> přispívá i ke konkurenceschopnosti agrární produkce ČR.</w:t>
      </w:r>
      <w:r w:rsidRPr="00D6297C">
        <w:rPr>
          <w:i/>
          <w:iCs/>
        </w:rPr>
        <w:t xml:space="preserve"> </w:t>
      </w:r>
      <w:r w:rsidRPr="00D6297C">
        <w:rPr>
          <w:iCs/>
        </w:rPr>
        <w:t xml:space="preserve">O </w:t>
      </w:r>
      <w:r w:rsidRPr="00D6297C">
        <w:t>výhodách</w:t>
      </w:r>
      <w:r w:rsidRPr="00D6297C">
        <w:rPr>
          <w:iCs/>
        </w:rPr>
        <w:t xml:space="preserve"> kvalitních potravin je také nezbytné vhodnou propagací, případně výchovou ke správné výživě,</w:t>
      </w:r>
      <w:r w:rsidRPr="00D6297C">
        <w:t xml:space="preserve"> přesvědčit spotřebitele. Kvalitní potravinářské výrobky jsou obvykle certifikovány a označovány tak, aby při nákupu umožnily spotřebitelům lepší orientaci na trhu. Patří mezi ně:</w:t>
      </w:r>
    </w:p>
    <w:p w:rsidR="00432C39" w:rsidRPr="00D6297C" w:rsidRDefault="00432C39" w:rsidP="003B7071">
      <w:pPr>
        <w:pStyle w:val="Norm-Bold"/>
      </w:pPr>
      <w:r w:rsidRPr="00D6297C">
        <w:t>Značka KLASA</w:t>
      </w:r>
    </w:p>
    <w:p w:rsidR="00432C39" w:rsidRPr="00D6297C" w:rsidRDefault="00432C39" w:rsidP="003B7071">
      <w:r w:rsidRPr="00D6297C">
        <w:t>Značka KLASA jako marketingový nástroj napomáhá zvyšovat hodnotu oceněných potravinářských výrobků. Jejím smyslem je na straně jedné marketingově podpořit aktivity producentů potravin, na straně druhé pak informovat spotřebitele. Značka garantuje, že jsou nabízeny skutečně kvalitní a zdravotně nezávadné potraviny. Jde o proces získání důvěry spotřebitelů a odběratelů, udržení si této důvěry, což je nezbytný předpoklad rozvoje potravinářství a zabezpečení konkurenceschopnosti v rámci trhů doma i v zahraničí.</w:t>
      </w:r>
    </w:p>
    <w:p w:rsidR="00432C39" w:rsidRPr="00D6297C" w:rsidRDefault="00432C39" w:rsidP="003B7071">
      <w:r w:rsidRPr="00D6297C">
        <w:t>Vzhledem ke zrušení veřejné za</w:t>
      </w:r>
      <w:r>
        <w:t>kázky s názvem Rámcová smlouva –</w:t>
      </w:r>
      <w:r w:rsidRPr="00D6297C">
        <w:t xml:space="preserve"> Komunikační podpora značky Klasa pro rok 2014 hodnotitelskou komisí, byla marketingová podpora značky KLASA zaměřena především na zajištění aktivit určených na podporu prodeje oceněných výrobků, výstav a veletrhů. Jednotlivé aktivity byly realizovány na základě výběrových řízení formou veřejných zakázek malého rozsahu a zjednodušených podlimitních řízení.</w:t>
      </w:r>
    </w:p>
    <w:p w:rsidR="00432C39" w:rsidRDefault="00432C39" w:rsidP="003B7071">
      <w:r w:rsidRPr="00D6297C">
        <w:t xml:space="preserve">Značka KLASA je na základě kvalitativního výzkumu s názvem Měření výsledků komunikační kampaně chráněných označení, který pro Potravinářskou komoru ČR realizovala výzkumná agentura STEM/MARK ze srpna 2014 nejznámější značkou v rámci značek </w:t>
      </w:r>
      <w:r w:rsidRPr="00D6297C">
        <w:lastRenderedPageBreak/>
        <w:t>a ocenění potravin. U respondentů, kteří znají nějakou značku kvality potravin</w:t>
      </w:r>
      <w:r>
        <w:t>,</w:t>
      </w:r>
      <w:r w:rsidRPr="00D6297C">
        <w:t xml:space="preserve"> jich 88 % uvádí právě Klasu.</w:t>
      </w:r>
    </w:p>
    <w:p w:rsidR="00432C39" w:rsidRPr="00D6297C" w:rsidRDefault="00432C39" w:rsidP="003B7071">
      <w:r w:rsidRPr="00D6297C">
        <w:t>Celkový stav databáze KLASA k 31. 12. 2014 byl 1 179 výrobků od 227 výrobců. Za rok 2014 bylo oceněno 304 výrobků.</w:t>
      </w:r>
    </w:p>
    <w:p w:rsidR="00432C39" w:rsidRPr="00D80FBD" w:rsidRDefault="00432C39" w:rsidP="003B7071">
      <w:r w:rsidRPr="00D6297C">
        <w:t>V roce 2014 byly na propagaci potravin značky KLASA čerpány finanční prostředky ve výši 48,7 mil. Kč ze státního rozpočtu.</w:t>
      </w:r>
    </w:p>
    <w:p w:rsidR="00432C39" w:rsidRPr="00D6297C" w:rsidRDefault="00432C39" w:rsidP="003B7071">
      <w:pPr>
        <w:pStyle w:val="Norm-Bold"/>
      </w:pPr>
      <w:r w:rsidRPr="00D6297C">
        <w:t>Regionální potravina 2014</w:t>
      </w:r>
    </w:p>
    <w:p w:rsidR="00432C39" w:rsidRPr="00D6297C" w:rsidRDefault="00432C39" w:rsidP="003B7071">
      <w:pPr>
        <w:rPr>
          <w:bCs/>
        </w:rPr>
      </w:pPr>
      <w:r w:rsidRPr="00D6297C">
        <w:rPr>
          <w:bCs/>
        </w:rPr>
        <w:t>Značku Regionální potravina uděluje na základě krajských soutěží MZe ve 13 krajích ČR nejkvalitnějším zemědělským nebo potravinářským výrobkům. Výrobky musí být vyrobeny z lokálních su</w:t>
      </w:r>
      <w:r>
        <w:rPr>
          <w:bCs/>
        </w:rPr>
        <w:t>rovin a mít vazbu na svůj kraj –</w:t>
      </w:r>
      <w:r w:rsidRPr="00D6297C">
        <w:rPr>
          <w:bCs/>
        </w:rPr>
        <w:t xml:space="preserve"> ať už tradičním způsobem výroby či originální regionální recepturou. Odborné poroty vybírají vždy jeden vítězný výrobek v 9 kategoriích.</w:t>
      </w:r>
    </w:p>
    <w:p w:rsidR="00432C39" w:rsidRPr="00D6297C" w:rsidRDefault="00432C39" w:rsidP="003B7071">
      <w:pPr>
        <w:rPr>
          <w:bCs/>
        </w:rPr>
      </w:pPr>
      <w:r w:rsidRPr="00D6297C">
        <w:rPr>
          <w:bCs/>
        </w:rPr>
        <w:t xml:space="preserve">Oceněné výrobky získávají certifikát ministra zemědělství a právo užívat značku </w:t>
      </w:r>
      <w:r w:rsidR="008969A9">
        <w:rPr>
          <w:bCs/>
        </w:rPr>
        <w:t>„</w:t>
      </w:r>
      <w:r w:rsidRPr="00D6297C">
        <w:rPr>
          <w:bCs/>
        </w:rPr>
        <w:t>Regionální potravina</w:t>
      </w:r>
      <w:r w:rsidR="008969A9">
        <w:rPr>
          <w:bCs/>
        </w:rPr>
        <w:t>“</w:t>
      </w:r>
      <w:r w:rsidRPr="00D6297C">
        <w:rPr>
          <w:bCs/>
        </w:rPr>
        <w:t xml:space="preserve"> daného kraje po dobu 4 let. Soutěžit o značku Regionální potravina mohou pouze malé a střední podniky do 250 zaměstnanců. U zrodu tohoto projektu stálo MZe, které jej spustilo koncem roku 2009, přičemž od roku 2012 projekt administruje SZIF.</w:t>
      </w:r>
    </w:p>
    <w:p w:rsidR="00432C39" w:rsidRPr="00D6297C" w:rsidRDefault="00432C39" w:rsidP="003B7071">
      <w:pPr>
        <w:rPr>
          <w:bCs/>
        </w:rPr>
      </w:pPr>
      <w:r w:rsidRPr="00D6297C">
        <w:rPr>
          <w:bCs/>
        </w:rPr>
        <w:t xml:space="preserve">Součástí projektu je také celostátní informační kampaň, jejímž cílem je seznámit spotřebitele s oceněnými regionálními potravinami, s cílem poukázat na jejich původ, tradici a kvalitu a současně budovat pozitivní vnímání regionálních produktů a značky </w:t>
      </w:r>
      <w:r w:rsidR="008969A9">
        <w:rPr>
          <w:bCs/>
        </w:rPr>
        <w:t>„</w:t>
      </w:r>
      <w:r w:rsidRPr="00D6297C">
        <w:rPr>
          <w:bCs/>
        </w:rPr>
        <w:t>Regionální potravina</w:t>
      </w:r>
      <w:r w:rsidR="008969A9">
        <w:rPr>
          <w:bCs/>
        </w:rPr>
        <w:t>“</w:t>
      </w:r>
      <w:r w:rsidRPr="00D6297C">
        <w:rPr>
          <w:bCs/>
        </w:rPr>
        <w:t>. Prostřednictvím vhodných informačních a komunikačních kanálů značku zviditelnit a napomoci zvyšování loajality veřejnosti k místní zemědělské a potravinářské produkci.</w:t>
      </w:r>
    </w:p>
    <w:p w:rsidR="00432C39" w:rsidRPr="00D6297C" w:rsidRDefault="00432C39" w:rsidP="003B7071">
      <w:pPr>
        <w:rPr>
          <w:bCs/>
        </w:rPr>
      </w:pPr>
      <w:r w:rsidRPr="00D6297C">
        <w:rPr>
          <w:bCs/>
        </w:rPr>
        <w:t>Na základě veřejné zak</w:t>
      </w:r>
      <w:r>
        <w:rPr>
          <w:bCs/>
        </w:rPr>
        <w:t xml:space="preserve">ázky s názvem </w:t>
      </w:r>
      <w:r w:rsidR="008969A9">
        <w:rPr>
          <w:bCs/>
        </w:rPr>
        <w:t>„</w:t>
      </w:r>
      <w:r>
        <w:rPr>
          <w:bCs/>
        </w:rPr>
        <w:t>Rámcová smlouva –</w:t>
      </w:r>
      <w:r w:rsidRPr="00D6297C">
        <w:rPr>
          <w:bCs/>
        </w:rPr>
        <w:t xml:space="preserve"> Komunikační podpora značky Regionální potravina v období 2014-2015</w:t>
      </w:r>
      <w:r w:rsidR="008969A9">
        <w:rPr>
          <w:bCs/>
        </w:rPr>
        <w:t>“</w:t>
      </w:r>
      <w:r w:rsidRPr="00D6297C">
        <w:rPr>
          <w:bCs/>
        </w:rPr>
        <w:t xml:space="preserve"> v předpokládané hodnotě </w:t>
      </w:r>
      <w:smartTag w:uri="urn:schemas-microsoft-com:office:smarttags" w:element="metricconverter">
        <w:smartTagPr>
          <w:attr w:name="ProductID" w:val="68,9 mil"/>
        </w:smartTagPr>
        <w:r w:rsidRPr="00D6297C">
          <w:rPr>
            <w:bCs/>
          </w:rPr>
          <w:t>68,9 mil</w:t>
        </w:r>
        <w:r>
          <w:rPr>
            <w:bCs/>
          </w:rPr>
          <w:t>.</w:t>
        </w:r>
      </w:smartTag>
      <w:r w:rsidRPr="00D6297C">
        <w:rPr>
          <w:bCs/>
        </w:rPr>
        <w:t xml:space="preserve"> Kč včetně DPH byla 21. 7. 2014 uzavřena smlouva s vítěznou agenturou </w:t>
      </w:r>
      <w:proofErr w:type="spellStart"/>
      <w:r w:rsidRPr="00D6297C">
        <w:rPr>
          <w:bCs/>
        </w:rPr>
        <w:t>Ogilvy</w:t>
      </w:r>
      <w:proofErr w:type="spellEnd"/>
      <w:r w:rsidRPr="00D6297C">
        <w:rPr>
          <w:bCs/>
        </w:rPr>
        <w:t xml:space="preserve"> &amp; </w:t>
      </w:r>
      <w:proofErr w:type="spellStart"/>
      <w:r w:rsidRPr="00D6297C">
        <w:rPr>
          <w:bCs/>
        </w:rPr>
        <w:t>Mather</w:t>
      </w:r>
      <w:proofErr w:type="spellEnd"/>
      <w:r w:rsidRPr="00D6297C">
        <w:rPr>
          <w:bCs/>
        </w:rPr>
        <w:t xml:space="preserve">, spol. s r.o. Vzhledem k aktuální situaci na trhu s ohledem na ruské embargo realizovala agentura </w:t>
      </w:r>
      <w:proofErr w:type="spellStart"/>
      <w:r w:rsidRPr="00D6297C">
        <w:rPr>
          <w:bCs/>
        </w:rPr>
        <w:t>Ogilvy</w:t>
      </w:r>
      <w:proofErr w:type="spellEnd"/>
      <w:r w:rsidRPr="00D6297C">
        <w:rPr>
          <w:bCs/>
        </w:rPr>
        <w:t xml:space="preserve"> &amp; </w:t>
      </w:r>
      <w:proofErr w:type="spellStart"/>
      <w:r w:rsidRPr="00D6297C">
        <w:rPr>
          <w:bCs/>
        </w:rPr>
        <w:t>Mather</w:t>
      </w:r>
      <w:proofErr w:type="spellEnd"/>
      <w:r w:rsidRPr="00D6297C">
        <w:rPr>
          <w:bCs/>
        </w:rPr>
        <w:t>, spol. s r.o.</w:t>
      </w:r>
      <w:r>
        <w:rPr>
          <w:bCs/>
        </w:rPr>
        <w:t>,</w:t>
      </w:r>
      <w:r w:rsidRPr="00D6297C">
        <w:rPr>
          <w:bCs/>
        </w:rPr>
        <w:t xml:space="preserve"> v roce 2014 nad rámec ročního rozpočtu pro rok 2014 spotřebitelskou soutěž České Vánoce.</w:t>
      </w:r>
    </w:p>
    <w:p w:rsidR="00432C39" w:rsidRPr="00D6297C" w:rsidRDefault="00432C39" w:rsidP="003B7071">
      <w:pPr>
        <w:rPr>
          <w:bCs/>
        </w:rPr>
      </w:pPr>
      <w:r w:rsidRPr="00D6297C">
        <w:rPr>
          <w:bCs/>
        </w:rPr>
        <w:t xml:space="preserve">Na propagaci potravin značky Regionální potravina bylo v roce 2014 ze státního rozpočtu vyplaceno </w:t>
      </w:r>
      <w:smartTag w:uri="urn:schemas-microsoft-com:office:smarttags" w:element="metricconverter">
        <w:smartTagPr>
          <w:attr w:name="ProductID" w:val="20,7 mil"/>
        </w:smartTagPr>
        <w:r w:rsidRPr="00D6297C">
          <w:rPr>
            <w:bCs/>
          </w:rPr>
          <w:t>20,7 mil</w:t>
        </w:r>
      </w:smartTag>
      <w:r w:rsidRPr="00D6297C">
        <w:rPr>
          <w:bCs/>
        </w:rPr>
        <w:t>. Kč.</w:t>
      </w:r>
    </w:p>
    <w:p w:rsidR="00432C39" w:rsidRPr="00D6297C" w:rsidRDefault="00432C39" w:rsidP="003B7071">
      <w:pPr>
        <w:rPr>
          <w:bCs/>
        </w:rPr>
      </w:pPr>
      <w:r w:rsidRPr="00D6297C">
        <w:rPr>
          <w:bCs/>
        </w:rPr>
        <w:t>Počet oceněných výrobků k 31. 12. 2014 byl 475. V roce 2014 získalo ocenění 106 výrobků.</w:t>
      </w:r>
    </w:p>
    <w:p w:rsidR="00432C39" w:rsidRPr="00D6297C" w:rsidRDefault="00432C39" w:rsidP="003B7071">
      <w:pPr>
        <w:rPr>
          <w:bCs/>
        </w:rPr>
      </w:pPr>
      <w:r w:rsidRPr="00D6297C">
        <w:rPr>
          <w:bCs/>
        </w:rPr>
        <w:t xml:space="preserve">Postupy při udělování značky </w:t>
      </w:r>
      <w:r w:rsidR="008969A9">
        <w:rPr>
          <w:bCs/>
        </w:rPr>
        <w:t>„</w:t>
      </w:r>
      <w:r w:rsidRPr="00D6297C">
        <w:rPr>
          <w:bCs/>
        </w:rPr>
        <w:t>Regionální potravina</w:t>
      </w:r>
      <w:r w:rsidR="008969A9">
        <w:rPr>
          <w:bCs/>
        </w:rPr>
        <w:t>“</w:t>
      </w:r>
      <w:r w:rsidRPr="00D6297C">
        <w:rPr>
          <w:bCs/>
        </w:rPr>
        <w:t xml:space="preserve">, společně s dalšími informacemi, např. o oceněných potravinách, lze nalézt na </w:t>
      </w:r>
      <w:hyperlink r:id="rId76" w:history="1">
        <w:r w:rsidRPr="00D6297C">
          <w:rPr>
            <w:bCs/>
            <w:color w:val="0000FF"/>
            <w:u w:val="single"/>
          </w:rPr>
          <w:t>www.regionalnipotravina.cz</w:t>
        </w:r>
      </w:hyperlink>
      <w:r w:rsidRPr="00D6297C">
        <w:rPr>
          <w:bCs/>
        </w:rPr>
        <w:t>.</w:t>
      </w:r>
    </w:p>
    <w:p w:rsidR="00432C39" w:rsidRPr="00D6297C" w:rsidRDefault="00432C39" w:rsidP="003B7071">
      <w:pPr>
        <w:pStyle w:val="Norm-Bold"/>
      </w:pPr>
      <w:r w:rsidRPr="00D6297C">
        <w:lastRenderedPageBreak/>
        <w:t>Systém chráněných značek zemědělských produktů a potravin</w:t>
      </w:r>
    </w:p>
    <w:p w:rsidR="00432C39" w:rsidRPr="00D6297C" w:rsidRDefault="00432C39" w:rsidP="003B7071">
      <w:r w:rsidRPr="00D6297C">
        <w:t xml:space="preserve">Chráněné značky fungují jako podpora a ochrana zemědělských produktů a potravin. Systém chráněných značek byl zaveden v EU v roce </w:t>
      </w:r>
      <w:smartTag w:uri="urn:schemas-microsoft-com:office:smarttags" w:element="metricconverter">
        <w:smartTagPr>
          <w:attr w:name="ProductID" w:val="1993 a"/>
        </w:smartTagPr>
        <w:r w:rsidRPr="00D6297C">
          <w:t>1993 a</w:t>
        </w:r>
      </w:smartTag>
      <w:r w:rsidRPr="00D6297C">
        <w:t xml:space="preserve"> jeho smyslem je chránit názvy zemědělských produktů a potravin před konkurencí produktů neprávem se za tyto výrobky vydávajícími.</w:t>
      </w:r>
    </w:p>
    <w:p w:rsidR="00432C39" w:rsidRPr="00D6297C" w:rsidRDefault="00432C39" w:rsidP="003B7071">
      <w:r w:rsidRPr="00D6297C">
        <w:t>Potraviny a zemědělské produkty lze chránit třemi právními instituty, které poskytují ochranu označením na území členských států EU. V případě bilaterálních smluv je tato ochrana zajištěna i ve smluvních třetích zemích světa.</w:t>
      </w:r>
    </w:p>
    <w:p w:rsidR="00432C39" w:rsidRPr="00D6297C" w:rsidRDefault="00432C39" w:rsidP="003B7071">
      <w:r w:rsidRPr="00D6297C">
        <w:t>Ochrana je poskytována na základě zápisu do rejstříku Evropské komise. Jedná se o:</w:t>
      </w:r>
    </w:p>
    <w:p w:rsidR="00432C39" w:rsidRPr="00D6297C" w:rsidRDefault="00432C39" w:rsidP="003B7071">
      <w:pPr>
        <w:pStyle w:val="Norm-Ital"/>
      </w:pPr>
      <w:r w:rsidRPr="00D6297C">
        <w:t>Chráněné označení původu (CHOP)</w:t>
      </w:r>
    </w:p>
    <w:p w:rsidR="00432C39" w:rsidRPr="00D6297C" w:rsidRDefault="00432C39" w:rsidP="003B7071">
      <w:r w:rsidRPr="00D6297C">
        <w:t>Chráněné označení původu se vztahuje k názvu regionu. Jde o označení zemědělských produktů a potravin, které z tohoto místa pocházejí. Produkce, příprava i zpracování těchto výrobků musí probíhat pouze ve vymezené zeměpisné oblasti. Musí existovat velmi úzká spojitost mezi vlastnostmi produktu a jeho zeměpisným původem.</w:t>
      </w:r>
    </w:p>
    <w:p w:rsidR="00432C39" w:rsidRPr="00D6297C" w:rsidRDefault="00432C39" w:rsidP="003B7071">
      <w:pPr>
        <w:pStyle w:val="Norm-Ital"/>
      </w:pPr>
      <w:r w:rsidRPr="00D6297C">
        <w:t>Chráněné zeměpisné označení (CHZO)</w:t>
      </w:r>
    </w:p>
    <w:p w:rsidR="00432C39" w:rsidRPr="00D6297C" w:rsidRDefault="00432C39" w:rsidP="003B7071">
      <w:r w:rsidRPr="00D6297C">
        <w:t>Chráněným zeměpisným označením je míněn název používaný k označení zemědělských produktů a potravin, pocházejících z tohoto místa. Zemědělské produkty a potraviny, označené tímto logem, mají určitou kvalitu, pověst či jinou vlastnost, kterou lze přičíst zeměpisnému původu. Proti chráněnému označení původu je vztah produktu k zeměpisné oblasti volnější, postačí, pokud alespoň jedna fáze výroby – zpracování, příprava nebo produkce – probíhá ve vymezené zeměpisné oblasti.</w:t>
      </w:r>
    </w:p>
    <w:p w:rsidR="00432C39" w:rsidRPr="00D6297C" w:rsidRDefault="00432C39" w:rsidP="003B7071">
      <w:pPr>
        <w:pStyle w:val="Norm-Ital"/>
      </w:pPr>
      <w:r w:rsidRPr="00D6297C">
        <w:t>Zaručená tradiční specialita (ZTS)</w:t>
      </w:r>
    </w:p>
    <w:p w:rsidR="00432C39" w:rsidRPr="00D6297C" w:rsidRDefault="00432C39" w:rsidP="003B7071">
      <w:r w:rsidRPr="00D6297C">
        <w:t xml:space="preserve">Jedná se o zemědělský produkt nebo potravinu, který pochází z tradičních surovin, nebo se vyznačuje tradičním složením nebo způsobem produkce nebo zpracování. Výrazem </w:t>
      </w:r>
      <w:r w:rsidR="008969A9">
        <w:t>„</w:t>
      </w:r>
      <w:r w:rsidRPr="00D6297C">
        <w:t>tradiční</w:t>
      </w:r>
      <w:r w:rsidR="008969A9">
        <w:t>“</w:t>
      </w:r>
      <w:r w:rsidRPr="00D6297C">
        <w:t xml:space="preserve"> se rozumí prokazatelné používání názvu po dobu nejméně 25 let na trhu. S tímto logem se mohou kvalitní tradiční výrobky, které nemají vazbu na zeměpisnou oblast, odlišit od ostatních výrobků na trhu.</w:t>
      </w:r>
    </w:p>
    <w:p w:rsidR="00432C39" w:rsidRPr="00742DCF" w:rsidRDefault="00432C39" w:rsidP="003B7071">
      <w:r w:rsidRPr="00742DCF">
        <w:t xml:space="preserve">Od závěru roku 2012 je v platnosti nařízení Evropského parlamentu a Rady (EU) č. 1151/2012 ze dne 21. listopadu 2012 o režimech jakosti zemědělských produktů a potravin. </w:t>
      </w:r>
      <w:r w:rsidRPr="00742DCF">
        <w:rPr>
          <w:bCs/>
        </w:rPr>
        <w:t xml:space="preserve">V současné době mají v ČR </w:t>
      </w:r>
      <w:r w:rsidRPr="00742DCF">
        <w:t>přiznanou ochranu následující zemědělské produkty a potraviny:</w:t>
      </w:r>
    </w:p>
    <w:p w:rsidR="00432C39" w:rsidRPr="00742DCF" w:rsidRDefault="00432C39" w:rsidP="003B7071">
      <w:r w:rsidRPr="00742DCF">
        <w:t xml:space="preserve">CHOP – Český kmín, </w:t>
      </w:r>
      <w:proofErr w:type="spellStart"/>
      <w:r w:rsidRPr="00742DCF">
        <w:t>Chamomilla</w:t>
      </w:r>
      <w:proofErr w:type="spellEnd"/>
      <w:r w:rsidRPr="00742DCF">
        <w:t xml:space="preserve"> </w:t>
      </w:r>
      <w:proofErr w:type="spellStart"/>
      <w:r w:rsidRPr="00742DCF">
        <w:t>Bohemica</w:t>
      </w:r>
      <w:proofErr w:type="spellEnd"/>
      <w:r w:rsidRPr="00742DCF">
        <w:t xml:space="preserve">, Všestarská cibule, Žatecký chmel, Pohořelický kapr, </w:t>
      </w:r>
      <w:proofErr w:type="spellStart"/>
      <w:r w:rsidRPr="00742DCF">
        <w:t>Nošovické</w:t>
      </w:r>
      <w:proofErr w:type="spellEnd"/>
      <w:r w:rsidRPr="00742DCF">
        <w:t xml:space="preserve"> kysané zelí.</w:t>
      </w:r>
    </w:p>
    <w:p w:rsidR="00432C39" w:rsidRPr="00742DCF" w:rsidRDefault="00432C39" w:rsidP="003B7071">
      <w:r w:rsidRPr="00742DCF">
        <w:t xml:space="preserve">CHZO – Českobudějovické pivo, Budějovické pivo, Chodské pivo, Budějovický měšťanský var, Štramberské uši, Znojemské pivo, Karlovarský suchar, Mariánskolázeňské oplatky, Hořické trubičky, Brněnské pivo, Starobrněnské pivo, Lomnické suchary, Březnický </w:t>
      </w:r>
      <w:r w:rsidRPr="00742DCF">
        <w:lastRenderedPageBreak/>
        <w:t xml:space="preserve">ležák, Třeboňský kapr, Černá Hora, Pardubický perník, Jihočeská Niva, České pivo, Jihočeská Zlatá Niva, Olomoucké tvarůžky, </w:t>
      </w:r>
      <w:proofErr w:type="spellStart"/>
      <w:r w:rsidRPr="00742DCF">
        <w:t>Chelčicko</w:t>
      </w:r>
      <w:proofErr w:type="spellEnd"/>
      <w:r w:rsidRPr="00742DCF">
        <w:t xml:space="preserve">-Lhenické ovoce, Karlovarské trojhránky, Karlovarské oplatky a Valašský </w:t>
      </w:r>
      <w:proofErr w:type="spellStart"/>
      <w:r w:rsidRPr="00742DCF">
        <w:t>frgál</w:t>
      </w:r>
      <w:proofErr w:type="spellEnd"/>
      <w:r w:rsidRPr="00742DCF">
        <w:t>.</w:t>
      </w:r>
    </w:p>
    <w:p w:rsidR="00432C39" w:rsidRPr="00742DCF" w:rsidRDefault="00432C39" w:rsidP="003B7071">
      <w:r w:rsidRPr="00742DCF">
        <w:rPr>
          <w:bCs/>
        </w:rPr>
        <w:t xml:space="preserve">ZTS </w:t>
      </w:r>
      <w:r w:rsidRPr="00742DCF">
        <w:t>– Spišské párky, Lovecký salám, Špekáčky a Liptovský salám.</w:t>
      </w:r>
    </w:p>
    <w:p w:rsidR="00432C39" w:rsidRPr="00D6297C" w:rsidRDefault="00432C39" w:rsidP="003B7071">
      <w:pPr>
        <w:rPr>
          <w:szCs w:val="24"/>
        </w:rPr>
      </w:pPr>
      <w:r w:rsidRPr="00D6297C">
        <w:t xml:space="preserve">Další tradiční specialitou, usilující o ochranu, je Pražská šunka. Její žádost však v rámci námitkového řízení napadly Itálie, Německo, Rakousko a Slovensko. </w:t>
      </w:r>
      <w:r w:rsidRPr="00D6297C">
        <w:rPr>
          <w:szCs w:val="24"/>
        </w:rPr>
        <w:t>Během roku došlo k jednáním se zástupci těchto zemí, kromě Slovenska došlo k určitým dohodám. Jednání o </w:t>
      </w:r>
      <w:r w:rsidR="008969A9">
        <w:rPr>
          <w:szCs w:val="24"/>
        </w:rPr>
        <w:t>„</w:t>
      </w:r>
      <w:r w:rsidRPr="00D6297C">
        <w:rPr>
          <w:szCs w:val="24"/>
        </w:rPr>
        <w:t>Pražské šunce</w:t>
      </w:r>
      <w:r w:rsidR="008969A9">
        <w:rPr>
          <w:szCs w:val="24"/>
        </w:rPr>
        <w:t>“</w:t>
      </w:r>
      <w:r w:rsidRPr="00D6297C">
        <w:rPr>
          <w:szCs w:val="24"/>
        </w:rPr>
        <w:t xml:space="preserve"> bude pokračovat i v roce 2015.</w:t>
      </w:r>
    </w:p>
    <w:p w:rsidR="00432C39" w:rsidRPr="00D6297C" w:rsidRDefault="00432C39" w:rsidP="003B7071">
      <w:pPr>
        <w:rPr>
          <w:szCs w:val="24"/>
        </w:rPr>
      </w:pPr>
      <w:r w:rsidRPr="00D6297C">
        <w:rPr>
          <w:szCs w:val="24"/>
        </w:rPr>
        <w:t xml:space="preserve">V roce 2014 byla stažena žádost o zápis zeměpisného označení </w:t>
      </w:r>
      <w:r w:rsidR="008969A9">
        <w:rPr>
          <w:szCs w:val="24"/>
        </w:rPr>
        <w:t>„</w:t>
      </w:r>
      <w:r w:rsidRPr="00D6297C">
        <w:rPr>
          <w:szCs w:val="24"/>
        </w:rPr>
        <w:t>Brambory z Vysočiny</w:t>
      </w:r>
      <w:r w:rsidR="008969A9">
        <w:rPr>
          <w:szCs w:val="24"/>
        </w:rPr>
        <w:t>“</w:t>
      </w:r>
      <w:r w:rsidRPr="00D6297C">
        <w:rPr>
          <w:szCs w:val="24"/>
        </w:rPr>
        <w:t xml:space="preserve"> pro možnost doplnění údajů v dokumentaci požadované ze strany EK. Sdružení výrobců zvažuje podání nové žádosti.</w:t>
      </w:r>
    </w:p>
    <w:p w:rsidR="00432C39" w:rsidRDefault="00432C39" w:rsidP="003B7071">
      <w:pPr>
        <w:rPr>
          <w:szCs w:val="24"/>
        </w:rPr>
      </w:pPr>
      <w:r w:rsidRPr="00D6297C">
        <w:rPr>
          <w:szCs w:val="24"/>
        </w:rPr>
        <w:t xml:space="preserve">Potravinářská komora zahájila zajišťování dokumentace pro podání žádosti zeměpisného označení </w:t>
      </w:r>
      <w:r w:rsidR="008969A9">
        <w:rPr>
          <w:szCs w:val="24"/>
        </w:rPr>
        <w:t>„</w:t>
      </w:r>
      <w:r w:rsidRPr="00D6297C">
        <w:rPr>
          <w:szCs w:val="24"/>
        </w:rPr>
        <w:t>Český mák</w:t>
      </w:r>
      <w:r w:rsidR="008969A9">
        <w:rPr>
          <w:szCs w:val="24"/>
        </w:rPr>
        <w:t>“</w:t>
      </w:r>
      <w:r w:rsidRPr="00D6297C">
        <w:rPr>
          <w:szCs w:val="24"/>
        </w:rPr>
        <w:t xml:space="preserve">, kterou by chtěla podat. Sdružení výrobců zeměpisného označení </w:t>
      </w:r>
      <w:r w:rsidR="008969A9">
        <w:rPr>
          <w:szCs w:val="24"/>
        </w:rPr>
        <w:t>„</w:t>
      </w:r>
      <w:r w:rsidRPr="00D6297C">
        <w:rPr>
          <w:szCs w:val="24"/>
        </w:rPr>
        <w:t xml:space="preserve">Valašský </w:t>
      </w:r>
      <w:proofErr w:type="spellStart"/>
      <w:r w:rsidRPr="00D6297C">
        <w:rPr>
          <w:szCs w:val="24"/>
        </w:rPr>
        <w:t>frgál</w:t>
      </w:r>
      <w:proofErr w:type="spellEnd"/>
      <w:r w:rsidR="008969A9">
        <w:rPr>
          <w:szCs w:val="24"/>
        </w:rPr>
        <w:t>“</w:t>
      </w:r>
      <w:r w:rsidRPr="00D6297C">
        <w:rPr>
          <w:szCs w:val="24"/>
        </w:rPr>
        <w:t xml:space="preserve"> zahájilo práce na změně specifikace (např. umožnění použít i třtinový cukr).</w:t>
      </w:r>
    </w:p>
    <w:p w:rsidR="00432C39" w:rsidRDefault="00432C39" w:rsidP="003B7071">
      <w:pPr>
        <w:rPr>
          <w:szCs w:val="24"/>
        </w:rPr>
      </w:pPr>
      <w:r w:rsidRPr="00D6297C">
        <w:rPr>
          <w:szCs w:val="24"/>
        </w:rPr>
        <w:t>V rámci EU a USA probíhaly další jednání o vzájemném uznávání zeměpisných označení. Americká strana se k tomuto způsobu ochrany průmyslových práv staví odměřeně a dává přednost systému ochranných známek. V našem případě se jedná zvláště o ochranu budějovických piv na americkém trhu v příštích letech.</w:t>
      </w:r>
    </w:p>
    <w:p w:rsidR="00432C39" w:rsidRDefault="00432C39" w:rsidP="003B7071">
      <w:pPr>
        <w:rPr>
          <w:szCs w:val="24"/>
        </w:rPr>
      </w:pPr>
      <w:r w:rsidRPr="00D6297C">
        <w:rPr>
          <w:szCs w:val="24"/>
        </w:rPr>
        <w:t>Jednou z priorit současného eurokomisaře je sloučení 4 nařízení, kter</w:t>
      </w:r>
      <w:r>
        <w:rPr>
          <w:szCs w:val="24"/>
        </w:rPr>
        <w:t>á</w:t>
      </w:r>
      <w:r w:rsidRPr="00D6297C">
        <w:rPr>
          <w:szCs w:val="24"/>
        </w:rPr>
        <w:t xml:space="preserve"> se týkají ochrany zemědělských produktů a potravin, vín, aromatizovaných vín a destilá</w:t>
      </w:r>
      <w:r w:rsidR="00016B52">
        <w:rPr>
          <w:szCs w:val="24"/>
        </w:rPr>
        <w:t>tů, v jediné nařízení. Proto se</w:t>
      </w:r>
      <w:r w:rsidR="00016B52" w:rsidRPr="00D6297C">
        <w:rPr>
          <w:szCs w:val="24"/>
        </w:rPr>
        <w:t xml:space="preserve"> za účelem přípravy nového nařízení </w:t>
      </w:r>
      <w:r w:rsidRPr="00D6297C">
        <w:rPr>
          <w:szCs w:val="24"/>
        </w:rPr>
        <w:t>uskutečnila řada jednání na několika úrovních.</w:t>
      </w:r>
    </w:p>
    <w:p w:rsidR="00432C39" w:rsidRPr="00D6297C" w:rsidRDefault="00432C39" w:rsidP="003B7071">
      <w:pPr>
        <w:rPr>
          <w:szCs w:val="24"/>
        </w:rPr>
      </w:pPr>
      <w:r w:rsidRPr="00D6297C">
        <w:rPr>
          <w:szCs w:val="24"/>
        </w:rPr>
        <w:t>ČR je velkým podporovatelem systému zeměpisných označení, označení původu a zaručených tradičních specialit. O tom svědčí i poměrně velké množství zaregistrovaných názvů v porovnání s jinými unijními zeměmi</w:t>
      </w:r>
      <w:r>
        <w:rPr>
          <w:szCs w:val="24"/>
        </w:rPr>
        <w:t>.</w:t>
      </w:r>
    </w:p>
    <w:p w:rsidR="00432C39" w:rsidRPr="00D6297C" w:rsidRDefault="00432C39" w:rsidP="003B7071">
      <w:pPr>
        <w:pStyle w:val="Norm-Bold"/>
      </w:pPr>
      <w:r w:rsidRPr="00D6297C">
        <w:t>Biopotraviny</w:t>
      </w:r>
    </w:p>
    <w:p w:rsidR="00432C39" w:rsidRPr="00D6297C" w:rsidRDefault="00432C39" w:rsidP="003B7071">
      <w:r w:rsidRPr="00D6297C">
        <w:t xml:space="preserve">Pravidla pro ekologické zemědělství a produkci biopotravin jsou daná právními předpisy evropskými (nařízení Rady (ES) č. 834/2007 ze dne 28. června 2007 a nařízení Komise (ES) č. 889/2008 ze dne 5. září 2008) a národními (zákon č. 242/2000 Sb.). MZe provádí dozor nad </w:t>
      </w:r>
      <w:r w:rsidR="00480ADC" w:rsidRPr="00480ADC">
        <w:t>dodržováním těchto právních předpisů</w:t>
      </w:r>
      <w:r w:rsidRPr="00D6297C">
        <w:t>, kontrolní a certifikační systém ekologického zemědělství a biopotravin je tak garantován státem.</w:t>
      </w:r>
    </w:p>
    <w:p w:rsidR="00432C39" w:rsidRPr="00D6297C" w:rsidRDefault="00432C39" w:rsidP="003B7071">
      <w:r w:rsidRPr="00D6297C">
        <w:t xml:space="preserve">MZe pověřuje k činnosti kontrolní organizace, které přímo na ekologických farmách a ve výrobnách biopotravin kontrolují dodržování platných právních předpisů. V případě, že jsou </w:t>
      </w:r>
      <w:r w:rsidR="00480ADC" w:rsidRPr="00480ADC">
        <w:t>právní předpisy plněny</w:t>
      </w:r>
      <w:r w:rsidRPr="00D6297C">
        <w:t xml:space="preserve">, vydá kontrolní organizace pro daný zemědělský podnik certifikát. Certifikovanou biopotravinu pozná spotřebitel podle evropského loga BIO, označení původu surovin, národního loga BIO a podle kódu příslušné kontrolní organizace. </w:t>
      </w:r>
      <w:r w:rsidRPr="00D6297C">
        <w:lastRenderedPageBreak/>
        <w:t>V současné době jsou pověřeny výkonem kontroly a certifikace v ekologickém zemědělství 4 kontrolní organizace, které musí plnit podmínky normy ČSN EN 45011 (závazná norma pro kontrolní a certifikační postupy), inspektoři provádějící kontrolu musí mít dostatečné vzdělání a praxi, organizace musí mít dostatečné technické a materiální vybavení.</w:t>
      </w:r>
    </w:p>
    <w:p w:rsidR="00432C39" w:rsidRPr="00742DCF" w:rsidRDefault="00432C39" w:rsidP="003B7071">
      <w:r w:rsidRPr="00742DCF">
        <w:t xml:space="preserve">K 31. 12. 2014 bylo evidováno </w:t>
      </w:r>
      <w:r w:rsidR="00850D71">
        <w:t>506</w:t>
      </w:r>
      <w:r w:rsidR="00850D71" w:rsidRPr="00742DCF">
        <w:t xml:space="preserve"> </w:t>
      </w:r>
      <w:r w:rsidRPr="00742DCF">
        <w:t>výrobců biopotravin.</w:t>
      </w:r>
    </w:p>
    <w:p w:rsidR="00432C39" w:rsidRPr="00D6297C" w:rsidRDefault="00432C39" w:rsidP="003B7071">
      <w:r w:rsidRPr="00D6297C">
        <w:t>Mezi hlavní priority v oblasti ekologického zemědělství patří rozvoj domácího trhu s biopotravinami. Z tohoto hlediska je velmi pozitivní, že se meziročně zvýšil počet výrobců biopotravin</w:t>
      </w:r>
      <w:r w:rsidR="00010466">
        <w:t>.</w:t>
      </w:r>
      <w:r w:rsidRPr="00D6297C">
        <w:t xml:space="preserve"> Podíl biopotravin na trhu s potravinami se dlouhodobě pohybuje kolem 1 %, i když se trh s biopotravinami každoročně rozvíjí cca o 5 %.</w:t>
      </w:r>
    </w:p>
    <w:p w:rsidR="00432C39" w:rsidRDefault="00432C39" w:rsidP="003B7071">
      <w:r w:rsidRPr="00D6297C">
        <w:t xml:space="preserve">V září 2014 se uskutečnil jubilejní 10. ročník informační akce pro spotřebitele </w:t>
      </w:r>
      <w:r w:rsidR="008969A9">
        <w:t>„</w:t>
      </w:r>
      <w:r w:rsidRPr="00D6297C">
        <w:t>Září – Měsíc biopotravin</w:t>
      </w:r>
      <w:r w:rsidR="008969A9">
        <w:t>“</w:t>
      </w:r>
      <w:r w:rsidRPr="00D6297C">
        <w:t xml:space="preserve">. Hlavním cílem bylo především propagovat konkrétní akce, na kterých se spotřebitelé mohou setkat s ekologickými farmáři, výrobci biopotravin a ochutnat jejich produkty. Jednalo se o dny otevřených dveří na ekologických farmách a u výrobců biopotravin, </w:t>
      </w:r>
      <w:proofErr w:type="spellStart"/>
      <w:r w:rsidRPr="00D6297C">
        <w:t>biodožínky</w:t>
      </w:r>
      <w:proofErr w:type="spellEnd"/>
      <w:r w:rsidRPr="00D6297C">
        <w:t xml:space="preserve">, biojarmarky, nebo ochutnávky biopotravin. Byl tak podporován nákup lokálních (regionálních) biopotravin. Konkrétní informace o všech konaných akcích bylo možné nalézt na </w:t>
      </w:r>
      <w:hyperlink r:id="rId77" w:history="1">
        <w:r w:rsidRPr="00D6297C">
          <w:rPr>
            <w:color w:val="0000FF"/>
            <w:u w:val="single"/>
          </w:rPr>
          <w:t>www.mesicbiopotravin.cz</w:t>
        </w:r>
      </w:hyperlink>
      <w:r w:rsidRPr="00D6297C">
        <w:t>.</w:t>
      </w:r>
    </w:p>
    <w:p w:rsidR="00432C39" w:rsidRDefault="00432C39" w:rsidP="003B7071">
      <w:r w:rsidRPr="00D6297C">
        <w:t xml:space="preserve">Mottem tohoto ročníku byl slogan </w:t>
      </w:r>
      <w:r w:rsidR="008969A9">
        <w:t>„</w:t>
      </w:r>
      <w:r w:rsidRPr="00D6297C">
        <w:t>BIO pro každého</w:t>
      </w:r>
      <w:r w:rsidR="008969A9">
        <w:t>“</w:t>
      </w:r>
      <w:r w:rsidRPr="00D6297C">
        <w:t>, který měl za cíl zdůraznit, že biopotraviny nejsou určené pouze pro vybranou skupinu obyvatel, ale že svoji biopotravinu si vybere každý. Sortiment biopotravin je velmi široký, zahrnuje téměř 3 000 položek, a to jak produkty každodenní spotřeby, tak i pochutiny, nápoje nebo cukrovinky.</w:t>
      </w:r>
    </w:p>
    <w:p w:rsidR="00432C39" w:rsidRPr="00D6297C" w:rsidRDefault="00432C39" w:rsidP="003B7071">
      <w:r w:rsidRPr="00D6297C">
        <w:t>Dětská výživa je vůbec nejprodávanější kategorií biopotravin, tvoří téměř 25</w:t>
      </w:r>
      <w:r>
        <w:t xml:space="preserve"> </w:t>
      </w:r>
      <w:r w:rsidRPr="00D6297C">
        <w:t>% všech prodaných biopotravin. Do této kategorie spadají nejen přesnídávky nebo náhradní mléčná výživa, ale také kaše, maso, zeleninové příkrmy, nápoje, sušenky či oplatky.</w:t>
      </w:r>
    </w:p>
    <w:p w:rsidR="00432C39" w:rsidRPr="00D6297C" w:rsidRDefault="00432C39" w:rsidP="003B7071">
      <w:r w:rsidRPr="00D6297C">
        <w:t>Podle výsledků spotřebitelského průzkumu ze září 2014 kupuje biopotraviny již 41 % spotřebitelů. Hlavním důvodem k nákupu je skutečnost, že jsou biopotraviny zdravé a chutné a jejich produkce je šetrná k životnímu prostředí. Naopak hlavní překážkou k nákupu biopotravin je pro většinu spotřebitelů jejich cena.</w:t>
      </w:r>
    </w:p>
    <w:p w:rsidR="00432C39" w:rsidRPr="00D6297C" w:rsidRDefault="00432C39" w:rsidP="003B7071">
      <w:r w:rsidRPr="00D6297C">
        <w:t>Národní logo, kterým se označují biopotraviny, zná 75</w:t>
      </w:r>
      <w:r>
        <w:t xml:space="preserve"> </w:t>
      </w:r>
      <w:r w:rsidRPr="00D6297C">
        <w:t xml:space="preserve">% spotřebitelů, evropské </w:t>
      </w:r>
      <w:proofErr w:type="spellStart"/>
      <w:r w:rsidRPr="00D6297C">
        <w:t>biologo</w:t>
      </w:r>
      <w:proofErr w:type="spellEnd"/>
      <w:r w:rsidRPr="00D6297C">
        <w:t xml:space="preserve"> zná 25</w:t>
      </w:r>
      <w:r>
        <w:t xml:space="preserve"> </w:t>
      </w:r>
      <w:r w:rsidRPr="00D6297C">
        <w:t>% spotřebitelů. Značka BIO na obalu biopotravin je tak osvědčenou zárukou kvality biopotravin, které mohou spotřebitelé důvěřovat.</w:t>
      </w:r>
    </w:p>
    <w:p w:rsidR="00432C39" w:rsidRPr="001B1FDF" w:rsidRDefault="00432C39" w:rsidP="001B1FDF">
      <w:pPr>
        <w:pStyle w:val="Nadpis2"/>
      </w:pPr>
      <w:bookmarkStart w:id="142" w:name="_Toc424307047"/>
      <w:r w:rsidRPr="001B1FDF">
        <w:t>5.6</w:t>
      </w:r>
      <w:r w:rsidRPr="001B1FDF">
        <w:tab/>
        <w:t>Bezpečnost potravin</w:t>
      </w:r>
      <w:bookmarkEnd w:id="133"/>
      <w:bookmarkEnd w:id="142"/>
    </w:p>
    <w:p w:rsidR="00432C39" w:rsidRDefault="00432C39" w:rsidP="003B7071">
      <w:r>
        <w:t>V roce 2014</w:t>
      </w:r>
      <w:r w:rsidRPr="00D472A8">
        <w:t xml:space="preserve"> byla stejně jako v předchozích letech realizována řada aktivit vedoucích k dalšímu posílení zajištění bezpečnosti potravin v ČR. Současně bylo započato plnění úkolů vyplývajících z nové Strategie bezpečnosti potravin a výživy pro období 2014</w:t>
      </w:r>
      <w:r w:rsidR="00152C8B">
        <w:noBreakHyphen/>
      </w:r>
      <w:r w:rsidRPr="00D472A8">
        <w:t>2020.</w:t>
      </w:r>
    </w:p>
    <w:p w:rsidR="00432C39" w:rsidRDefault="00432C39" w:rsidP="003B7071">
      <w:r w:rsidRPr="00A46A87">
        <w:t>Usnesením č. 25 ze dne 8. ledna 2014 schválila vláda ČR novou Strategii bezpečnosti potravin a výživy 2014</w:t>
      </w:r>
      <w:r w:rsidR="00152C8B">
        <w:noBreakHyphen/>
      </w:r>
      <w:r w:rsidRPr="00A46A87">
        <w:t>2020. Dokument je společným dílem př</w:t>
      </w:r>
      <w:r>
        <w:t>edevším MZe a MZ</w:t>
      </w:r>
      <w:r w:rsidRPr="00A46A87">
        <w:t xml:space="preserve">; na jeho </w:t>
      </w:r>
      <w:r w:rsidRPr="00A46A87">
        <w:lastRenderedPageBreak/>
        <w:t>přípravě se ale také aktivně podílely ostatní rezorty a vládní a nevládní organizace zastoupené v Koordinační skupině bezpečnosti potravin.</w:t>
      </w:r>
    </w:p>
    <w:p w:rsidR="00432C39" w:rsidRDefault="00432C39" w:rsidP="003B7071">
      <w:r w:rsidRPr="00A46A87">
        <w:t>Schválený materiál stanovuje úkoly a priority ČR v oblasti zajištění bezpečnosti potravin a v oblasti výživy pro uvedené období. Tento strategický dokument by také měl přispět k posílení důvěry veřejnosti v systém zajištění bezpečnosti potravin, v jejich bezpečnost, kvalitu a výživovou hodnotu. Vůbec poprvé také Strateg</w:t>
      </w:r>
      <w:r>
        <w:t>ie definuje cíle ČR v </w:t>
      </w:r>
      <w:r w:rsidRPr="00A46A87">
        <w:t>oblasti bezpečnosti potravin a výživy. V oblasti bezpečnosti potravin to jsou umožnění výroby a uvádění pouze bezpečných potravin na trh, po</w:t>
      </w:r>
      <w:r>
        <w:t>skytování ověřených informací z </w:t>
      </w:r>
      <w:r w:rsidRPr="00A46A87">
        <w:t>oblasti bezpečnosti a kvality potravin</w:t>
      </w:r>
      <w:r w:rsidR="00E34548">
        <w:t>,</w:t>
      </w:r>
      <w:r w:rsidRPr="00A46A87">
        <w:t xml:space="preserve"> a tím posílení ochrany spotřebitelů a jejich oprávněných zájmů. V oblasti výživy je to podpora správné výživy obyvatelstva, zejména rizikových skupin populace, prostřednictvím vědecky</w:t>
      </w:r>
      <w:r>
        <w:t xml:space="preserve"> zdůvodněné zdravotní výchovy a </w:t>
      </w:r>
      <w:r w:rsidRPr="00A46A87">
        <w:t>osvěty mezi spotřebiteli, výrobci a distributory, vedoucí k prevenci nemocí, aktivnímu upevňování zdraví a ke zvýšení kvality života.</w:t>
      </w:r>
    </w:p>
    <w:p w:rsidR="00432C39" w:rsidRDefault="00432C39" w:rsidP="003B7071">
      <w:r w:rsidRPr="00A46A87">
        <w:t>Dokument je platný pro následujících sedm let, což je výrazná změna oproti předcházejícím strategiím, které byly schváleny vždy na tři roky. Delší období bylo stanoveno zejména proto, že většina uložených úkolů je dlouhodobých a celá řada trvalých</w:t>
      </w:r>
      <w:r>
        <w:t>.</w:t>
      </w:r>
      <w:r w:rsidRPr="00A46A87">
        <w:t xml:space="preserve"> Na druhou stranu, sedmileté období je poměrně dlouhé, proto bude do konce roku 2017 předložena vládě zpráva průběžně hodnotící plnění stanovených úkolů.</w:t>
      </w:r>
    </w:p>
    <w:p w:rsidR="00432C39" w:rsidRDefault="00432C39" w:rsidP="003B7071">
      <w:r w:rsidRPr="00A46A87">
        <w:t xml:space="preserve">Úkolů stanovuje nová Strategie zúčastněným organizacím více než šest desítek. Za prioritní v oblasti bezpečnosti potravin </w:t>
      </w:r>
      <w:r>
        <w:t>jsou považovány</w:t>
      </w:r>
      <w:r w:rsidRPr="00A46A87">
        <w:t xml:space="preserve"> následující</w:t>
      </w:r>
      <w:r>
        <w:t xml:space="preserve"> úkoly.</w:t>
      </w:r>
    </w:p>
    <w:p w:rsidR="00432C39" w:rsidRPr="00F07336" w:rsidRDefault="00432C39" w:rsidP="00432C39">
      <w:pPr>
        <w:pStyle w:val="vet1"/>
        <w:suppressAutoHyphens w:val="0"/>
      </w:pPr>
      <w:r w:rsidRPr="00F07336">
        <w:t>Podporovat činnost institucí působících v oblasti hodnocení zdravotních rizik.</w:t>
      </w:r>
    </w:p>
    <w:p w:rsidR="00432C39" w:rsidRDefault="00432C39" w:rsidP="00432C39">
      <w:pPr>
        <w:pStyle w:val="vet1"/>
        <w:suppressAutoHyphens w:val="0"/>
      </w:pPr>
      <w:r>
        <w:t>Aktivně bojovat proti klamání spotřebitele v oblastech označování a falšování potravin a krmiv.</w:t>
      </w:r>
    </w:p>
    <w:p w:rsidR="00432C39" w:rsidRDefault="00432C39" w:rsidP="00432C39">
      <w:pPr>
        <w:pStyle w:val="vet1"/>
        <w:suppressAutoHyphens w:val="0"/>
      </w:pPr>
      <w:r w:rsidRPr="00F07336">
        <w:t>Zjednodušovat prováděcí právní předpisy k zákonu o potravinách.</w:t>
      </w:r>
    </w:p>
    <w:p w:rsidR="00432C39" w:rsidRDefault="00432C39" w:rsidP="00432C39">
      <w:pPr>
        <w:pStyle w:val="vet1"/>
        <w:suppressAutoHyphens w:val="0"/>
      </w:pPr>
      <w:r w:rsidRPr="00F07336">
        <w:t>Otevřeně a efektivně komunikovat s veřejností.</w:t>
      </w:r>
    </w:p>
    <w:p w:rsidR="00432C39" w:rsidRDefault="00432C39" w:rsidP="00432C39">
      <w:pPr>
        <w:pStyle w:val="vet1"/>
        <w:suppressAutoHyphens w:val="0"/>
      </w:pPr>
      <w:r w:rsidRPr="00F07336">
        <w:t>Vzdělávat spotřebitele v otázkách hygieny a manipulace s potravinami, v otázkách označování a kvality potravin</w:t>
      </w:r>
      <w:r>
        <w:t>.</w:t>
      </w:r>
    </w:p>
    <w:p w:rsidR="00432C39" w:rsidRDefault="00432C39" w:rsidP="00432C39">
      <w:pPr>
        <w:pStyle w:val="vet1"/>
        <w:suppressAutoHyphens w:val="0"/>
      </w:pPr>
      <w:r w:rsidRPr="00F07336">
        <w:t>Podporovat diskusi o nebezpečnosti antimikrobiální rezistence.</w:t>
      </w:r>
    </w:p>
    <w:p w:rsidR="00432C39" w:rsidRDefault="00432C39" w:rsidP="00432C39">
      <w:pPr>
        <w:pStyle w:val="vet1"/>
        <w:suppressAutoHyphens w:val="0"/>
      </w:pPr>
      <w:r w:rsidRPr="00F07336">
        <w:t>Podporovat spolupráci s</w:t>
      </w:r>
      <w:r>
        <w:t> </w:t>
      </w:r>
      <w:r w:rsidRPr="00F07336">
        <w:t>EFSA</w:t>
      </w:r>
      <w:r>
        <w:t>.</w:t>
      </w:r>
    </w:p>
    <w:p w:rsidR="00432C39" w:rsidRDefault="00432C39" w:rsidP="003B7071">
      <w:r>
        <w:t>Úkoly v oblasti výživy jsou zaměřené především na sběr dat (o výživě, nadváze a obezitě, o spotřebě potravin, o dietární expozici) a jejich analýzu a také</w:t>
      </w:r>
      <w:r w:rsidR="00D032A0">
        <w:t xml:space="preserve"> na</w:t>
      </w:r>
      <w:r>
        <w:t xml:space="preserve"> komunikaci a vzdělávání.</w:t>
      </w:r>
    </w:p>
    <w:p w:rsidR="00432C39" w:rsidRDefault="00432C39" w:rsidP="003B7071">
      <w:r w:rsidRPr="00BB02BF">
        <w:t>Nová Strategie bezpečnosti potravin a výživy 2014</w:t>
      </w:r>
      <w:r w:rsidR="00152C8B">
        <w:noBreakHyphen/>
      </w:r>
      <w:r w:rsidRPr="00BB02BF">
        <w:t>2020 je v české</w:t>
      </w:r>
      <w:r w:rsidR="00D032A0">
        <w:t>m</w:t>
      </w:r>
      <w:r w:rsidRPr="00BB02BF">
        <w:t xml:space="preserve"> i anglickém jazyce dostupná např. na internetovém portálu Ministerstva zemědělství (</w:t>
      </w:r>
      <w:hyperlink r:id="rId78" w:history="1">
        <w:r w:rsidRPr="00496C88">
          <w:rPr>
            <w:rStyle w:val="Hypertextovodkaz"/>
          </w:rPr>
          <w:t>www.eagri.cz</w:t>
        </w:r>
      </w:hyperlink>
      <w:r w:rsidRPr="00BB02BF">
        <w:t xml:space="preserve">) nebo na </w:t>
      </w:r>
      <w:hyperlink r:id="rId79" w:history="1">
        <w:r w:rsidRPr="00496C88">
          <w:rPr>
            <w:rStyle w:val="Hypertextovodkaz"/>
          </w:rPr>
          <w:t>www.bezpecnostpotravin.cz</w:t>
        </w:r>
      </w:hyperlink>
      <w:r w:rsidRPr="00BB02BF">
        <w:t>.</w:t>
      </w:r>
    </w:p>
    <w:p w:rsidR="00432C39" w:rsidRPr="00EA2918" w:rsidRDefault="00432C39" w:rsidP="003B7071">
      <w:pPr>
        <w:pStyle w:val="Norm-Bold"/>
      </w:pPr>
      <w:r w:rsidRPr="00EA2918">
        <w:lastRenderedPageBreak/>
        <w:t>Monitoring cizorodých látek v potravních řetězcích</w:t>
      </w:r>
    </w:p>
    <w:p w:rsidR="00432C39" w:rsidRPr="00D472A8" w:rsidRDefault="00432C39" w:rsidP="003B7071">
      <w:r w:rsidRPr="00D472A8">
        <w:t xml:space="preserve">Monitoring cizorodých látek představuje dlouhodobé sledování kontaminace, které na základě získaných dat umožňuje vyhodnocení vývoje zatížení potravního řetězce. Probíhá na základě usnesení vlády č. 369 ze dne 2. října 1991, č. 408 ze dne 10. června 1992, č. 810 ze dne 9. prosince 1998, č. 1320 ze dne 10. prosince 2001, č. 1277 ze dne 15. prosince 2004, která MZe stanovují povinnost zajistit sledování cizorodých látek v celé vertikále potravního řetězce, včetně vstupů ovlivňujících přímo či nepřímo zdravotní nezávadnost potravin, krmiv a zemědělských surovin určených k jejich výrobě. Na zajištění monitoringu cizorodých látek v potravních řetězcích </w:t>
      </w:r>
      <w:r w:rsidR="00854B54">
        <w:t>rezort</w:t>
      </w:r>
      <w:r w:rsidRPr="00D472A8">
        <w:t>u zemědělství se v roce 2013 podílely SVS ČR, SZPI, ÚKZÚZ</w:t>
      </w:r>
      <w:r>
        <w:t>, VÚMOP,</w:t>
      </w:r>
      <w:r w:rsidRPr="00EA2918">
        <w:t xml:space="preserve"> VÚRV a VÚLHM</w:t>
      </w:r>
      <w:r>
        <w:t>.</w:t>
      </w:r>
    </w:p>
    <w:p w:rsidR="00432C39" w:rsidRPr="004F53CB" w:rsidRDefault="00432C39" w:rsidP="003B7071">
      <w:pPr>
        <w:pStyle w:val="Norm-Bold"/>
      </w:pPr>
      <w:r w:rsidRPr="004F53CB">
        <w:t>Monitoring SZPI</w:t>
      </w:r>
    </w:p>
    <w:p w:rsidR="00432C39" w:rsidRPr="004F53CB" w:rsidRDefault="00432C39" w:rsidP="003B7071">
      <w:r w:rsidRPr="004F53CB">
        <w:t>V roce 2014 bylo SZPI odebráno a analyzováno v rámci monitoringu cizorodých látek 1 880 vzorků. U 11 vzorků bylo zjištěno překročení maximálního limitu, což představuje z celkového počtu odebraných vzorků 0,</w:t>
      </w:r>
      <w:r w:rsidR="00D032A0">
        <w:t>59</w:t>
      </w:r>
      <w:r w:rsidRPr="004F53CB">
        <w:t xml:space="preserve"> % nevyhovujících.</w:t>
      </w:r>
    </w:p>
    <w:p w:rsidR="00432C39" w:rsidRPr="001D559A" w:rsidRDefault="00432C39" w:rsidP="003B7071">
      <w:pPr>
        <w:pStyle w:val="Norm-Ital"/>
      </w:pPr>
      <w:r w:rsidRPr="001D559A">
        <w:t>Ovoce a zelenina</w:t>
      </w:r>
    </w:p>
    <w:p w:rsidR="00432C39" w:rsidRDefault="00432C39" w:rsidP="003B7071">
      <w:r w:rsidRPr="001D559A">
        <w:t xml:space="preserve">Největší část odebraných vzorků čerstvého ovoce a zeleniny byla podrobena analýzám na přítomnost reziduí pesticidů, v případě čerstvé zeleniny rovněž i na přítomnost dusičnanů. Rezidua pesticidů byla ověřována u celkem 229 vzorků čerstvého ovoce. Procento vzorků se zjištěným pozitivním nálezem některé z pesticidních látek je poměrně vysoké. U více </w:t>
      </w:r>
      <w:r w:rsidR="00D032A0">
        <w:t>než</w:t>
      </w:r>
      <w:r w:rsidRPr="001D559A">
        <w:t xml:space="preserve"> 90 % odebraných vzorků čerstvého ovoce byla přítomnost reziduí potvrzena, nicméně překročení maximálního reziduálního limitu bylo zaznamenáno pouze u vzorku liči původem z Maroka.</w:t>
      </w:r>
    </w:p>
    <w:p w:rsidR="00432C39" w:rsidRDefault="00432C39" w:rsidP="003B7071">
      <w:r w:rsidRPr="00D472A8">
        <w:t>V případě čerstvé zeleniny</w:t>
      </w:r>
      <w:r>
        <w:t xml:space="preserve"> včetně čerstvých pěstovaných hub</w:t>
      </w:r>
      <w:r w:rsidRPr="00D472A8">
        <w:t xml:space="preserve"> byla rezidua p</w:t>
      </w:r>
      <w:r>
        <w:t>esticidů zjišťována u celkem 384</w:t>
      </w:r>
      <w:r w:rsidRPr="00D472A8">
        <w:t xml:space="preserve"> vzorků. Největ</w:t>
      </w:r>
      <w:r>
        <w:t>ší podíl tvořily vzorky z EU (65,6</w:t>
      </w:r>
      <w:r w:rsidRPr="00D472A8">
        <w:t xml:space="preserve"> % analyzovaných vzorků), dále čerstvá zelenina poc</w:t>
      </w:r>
      <w:r>
        <w:t>házející z tuzemské produkce (26,3</w:t>
      </w:r>
      <w:r w:rsidRPr="00D472A8">
        <w:t xml:space="preserve"> %) a nejmenší podíl v</w:t>
      </w:r>
      <w:r>
        <w:t>zorky původem ze třetích zemí (5,5</w:t>
      </w:r>
      <w:r w:rsidRPr="00D472A8">
        <w:t> %). V</w:t>
      </w:r>
      <w:r>
        <w:t>e 3</w:t>
      </w:r>
      <w:r w:rsidRPr="00D472A8">
        <w:t xml:space="preserve"> případech byla překročena hodnota maximálního reziduálního limitu – </w:t>
      </w:r>
      <w:r>
        <w:t>v</w:t>
      </w:r>
      <w:r w:rsidRPr="004F53CB">
        <w:t xml:space="preserve"> cibuli původem z ČR bylo zjištěno nadlimitní množství účinné látky </w:t>
      </w:r>
      <w:proofErr w:type="spellStart"/>
      <w:r w:rsidRPr="004F53CB">
        <w:t>prothioconazol</w:t>
      </w:r>
      <w:proofErr w:type="spellEnd"/>
      <w:r w:rsidRPr="004F53CB">
        <w:t xml:space="preserve">. Dále byla ve vzorku rajčat zjištěna nadlimitní hodnota účinné látky </w:t>
      </w:r>
      <w:proofErr w:type="spellStart"/>
      <w:r w:rsidRPr="004F53CB">
        <w:t>flonicamid</w:t>
      </w:r>
      <w:proofErr w:type="spellEnd"/>
      <w:r w:rsidRPr="004F53CB">
        <w:t xml:space="preserve"> a v pekingském zelí </w:t>
      </w:r>
      <w:proofErr w:type="spellStart"/>
      <w:r w:rsidRPr="004F53CB">
        <w:t>chlorpyrifos</w:t>
      </w:r>
      <w:proofErr w:type="spellEnd"/>
      <w:r w:rsidRPr="004F53CB">
        <w:t>. Oba nevyhovující vzorky zeleniny pocházely z Polska.</w:t>
      </w:r>
    </w:p>
    <w:p w:rsidR="00432C39" w:rsidRPr="00D472A8" w:rsidRDefault="00432C39" w:rsidP="003B7071">
      <w:r w:rsidRPr="00D472A8">
        <w:t>Především u listové z</w:t>
      </w:r>
      <w:r>
        <w:t>eleniny (špenátu, salátu</w:t>
      </w:r>
      <w:r w:rsidRPr="00D472A8">
        <w:t>) byla ověřována přítomnos</w:t>
      </w:r>
      <w:r>
        <w:t>t dusičnanů. D</w:t>
      </w:r>
      <w:r w:rsidRPr="00D472A8">
        <w:t xml:space="preserve">usičnany </w:t>
      </w:r>
      <w:r>
        <w:t>byly d</w:t>
      </w:r>
      <w:r w:rsidRPr="00D472A8">
        <w:t>etekovány u všech analyzovaných v</w:t>
      </w:r>
      <w:r>
        <w:t>zorků čerstvé zeleniny, ovšem z </w:t>
      </w:r>
      <w:r w:rsidRPr="00D472A8">
        <w:t>hlediska platného limitu byly hodnoceny jako vyhovující.</w:t>
      </w:r>
    </w:p>
    <w:p w:rsidR="00432C39" w:rsidRDefault="00432C39" w:rsidP="003B7071">
      <w:r w:rsidRPr="00D472A8">
        <w:t xml:space="preserve">V sušeném a skořápkovém ovoci bylo sledováno množství aflatoxinů </w:t>
      </w:r>
      <w:r>
        <w:t>B1, B2, G1, G2. Bylo odebráno 26</w:t>
      </w:r>
      <w:r w:rsidRPr="00D472A8">
        <w:t xml:space="preserve"> vzorků sušen</w:t>
      </w:r>
      <w:r>
        <w:t>ého ovoce, pozitivní nález byl zaznamenán pouze u jednoho vzorku rozinek</w:t>
      </w:r>
      <w:r w:rsidRPr="00D472A8">
        <w:t>.</w:t>
      </w:r>
    </w:p>
    <w:p w:rsidR="00432C39" w:rsidRPr="00D472A8" w:rsidRDefault="00432C39" w:rsidP="003B7071">
      <w:r w:rsidRPr="00D472A8">
        <w:lastRenderedPageBreak/>
        <w:t xml:space="preserve">V případě sušeného ovoce byla vedle aflatoxinů sledována i přítomnost </w:t>
      </w:r>
      <w:proofErr w:type="spellStart"/>
      <w:r w:rsidRPr="00D472A8">
        <w:t>ochratoxin</w:t>
      </w:r>
      <w:r>
        <w:t>u</w:t>
      </w:r>
      <w:proofErr w:type="spellEnd"/>
      <w:r>
        <w:t xml:space="preserve"> A, kdy bylo odebráno celkem 28</w:t>
      </w:r>
      <w:r w:rsidRPr="00D472A8">
        <w:t xml:space="preserve"> vzorků. Pozitivní nález byl z</w:t>
      </w:r>
      <w:r>
        <w:t>aznamenán u 3 vzorků, nicméně jeho hodnota byla nižší,</w:t>
      </w:r>
      <w:r w:rsidRPr="00D472A8">
        <w:t xml:space="preserve"> než je povoleno nařízením Komise (ES) č. 1881/2006.</w:t>
      </w:r>
    </w:p>
    <w:p w:rsidR="00432C39" w:rsidRPr="00612B98" w:rsidRDefault="00432C39" w:rsidP="003B7071">
      <w:pPr>
        <w:pStyle w:val="Norm-Ital"/>
      </w:pPr>
      <w:r w:rsidRPr="00612B98">
        <w:t>Brambory a výrobky z brambor</w:t>
      </w:r>
    </w:p>
    <w:p w:rsidR="00432C39" w:rsidRPr="00D472A8" w:rsidRDefault="00432C39" w:rsidP="003B7071">
      <w:r w:rsidRPr="00D472A8">
        <w:t>V rámci národního plánu pro monitorování reziduí pesticidů v potravinách jsou jednou ze sledovaných</w:t>
      </w:r>
      <w:r>
        <w:t xml:space="preserve"> komodit i brambory. V roce 2014</w:t>
      </w:r>
      <w:r w:rsidRPr="00D472A8">
        <w:t xml:space="preserve"> byla přítomnost reziduí pesticidů prověřena u ce</w:t>
      </w:r>
      <w:r>
        <w:t>lkem 49 vzorků. U 65 %</w:t>
      </w:r>
      <w:r w:rsidRPr="00D472A8">
        <w:t xml:space="preserve"> analyzovaných vzorků brambor byla rezidua pesticidů potvrzena, nicméně maximální reziduální limit nebyl překročen u žádného ze vzorků. Nejčastěji detekovanou účinnou látkou byl </w:t>
      </w:r>
      <w:proofErr w:type="spellStart"/>
      <w:r w:rsidRPr="00D472A8">
        <w:t>propamocarb</w:t>
      </w:r>
      <w:proofErr w:type="spellEnd"/>
      <w:r w:rsidRPr="00D472A8">
        <w:t xml:space="preserve"> a </w:t>
      </w:r>
      <w:proofErr w:type="spellStart"/>
      <w:r w:rsidRPr="00D472A8">
        <w:t>chlorpropham</w:t>
      </w:r>
      <w:proofErr w:type="spellEnd"/>
      <w:r w:rsidRPr="00D472A8">
        <w:t>.</w:t>
      </w:r>
    </w:p>
    <w:p w:rsidR="00432C39" w:rsidRPr="00912F8D" w:rsidRDefault="00432C39" w:rsidP="003B7071">
      <w:r w:rsidRPr="00912F8D">
        <w:t>Kromě reziduí pesticidů byly v bramborách zjišťovány hladiny těžkých kovů (kadmia, olova) a dusičnanů. Přestože se v bramborách objevily stopy především kadmia, všechny naměřené hodnoty se nacházely pod hodnotou maximálního limitu. Obsah dusičnanů v bramborách se pohyboval od 42 do 436 mg/kg.</w:t>
      </w:r>
    </w:p>
    <w:p w:rsidR="00432C39" w:rsidRPr="00D472A8" w:rsidRDefault="00432C39" w:rsidP="003B7071">
      <w:r w:rsidRPr="00D472A8">
        <w:t>Obsah akrylamidu byl sledován (v souladu s požadavky doporučení Komise 2010/307/ES) v smažených bramborových lupíncích a předsmažených bramborových výrobcích jako jsou bramborové hranolky, krokety, vlnky. Obsah akrylamidu u bramborových lupínků</w:t>
      </w:r>
      <w:r>
        <w:t xml:space="preserve"> se pohyboval v intervalu od 430 do 870</w:t>
      </w:r>
      <w:r w:rsidRPr="00D472A8">
        <w:t xml:space="preserve"> </w:t>
      </w:r>
      <w:proofErr w:type="spellStart"/>
      <w:r w:rsidRPr="00D472A8">
        <w:t>μg</w:t>
      </w:r>
      <w:proofErr w:type="spellEnd"/>
      <w:r w:rsidRPr="00D472A8">
        <w:t>/kg, u předsmaž</w:t>
      </w:r>
      <w:r>
        <w:t>ených bramborových výrobků od 43 do 53</w:t>
      </w:r>
      <w:r w:rsidRPr="00D472A8">
        <w:t xml:space="preserve"> </w:t>
      </w:r>
      <w:proofErr w:type="spellStart"/>
      <w:r w:rsidRPr="00D472A8">
        <w:t>μg</w:t>
      </w:r>
      <w:proofErr w:type="spellEnd"/>
      <w:r w:rsidRPr="00D472A8">
        <w:t>/kg. Směrné hodnoty pro výrobky z brambor stanovené doporučením Komise nebyly překročeny.</w:t>
      </w:r>
    </w:p>
    <w:p w:rsidR="00432C39" w:rsidRPr="00E10A86" w:rsidRDefault="00432C39" w:rsidP="003B7071">
      <w:pPr>
        <w:pStyle w:val="Norm-Ital"/>
      </w:pPr>
      <w:r w:rsidRPr="00E10A86">
        <w:t>Obilniny a obilné výrobky</w:t>
      </w:r>
    </w:p>
    <w:p w:rsidR="00432C39" w:rsidRPr="00E10A86" w:rsidRDefault="00432C39" w:rsidP="003B7071">
      <w:r w:rsidRPr="00E10A86">
        <w:t>SZPI se v rámci monitoringu cizorodých látek zaměřuje především na sledování výskytu mykotoxinů a přítomnosti reziduí pesticidů v obilninách a obilných výrobcích. V roce 2013 bylo do monitoringu cizorodých látek zařazeno i sledování námelových alkaloidů vyplývající z požadavků doporučení Komise 2012/154/EU.</w:t>
      </w:r>
    </w:p>
    <w:p w:rsidR="00432C39" w:rsidRPr="00E10A86" w:rsidRDefault="00432C39" w:rsidP="003B7071">
      <w:r w:rsidRPr="00E10A86">
        <w:t xml:space="preserve">Ze skupiny mykotoxinů byly ve vzorcích obilnin a mlýnských obilných výrobcích sledovány aflatoxiny, </w:t>
      </w:r>
      <w:proofErr w:type="spellStart"/>
      <w:r w:rsidRPr="00E10A86">
        <w:t>deoxynivalenol</w:t>
      </w:r>
      <w:proofErr w:type="spellEnd"/>
      <w:r w:rsidRPr="00E10A86">
        <w:t xml:space="preserve">, </w:t>
      </w:r>
      <w:proofErr w:type="spellStart"/>
      <w:r w:rsidRPr="00E10A86">
        <w:t>ochratoxin</w:t>
      </w:r>
      <w:proofErr w:type="spellEnd"/>
      <w:r w:rsidRPr="00E10A86">
        <w:t xml:space="preserve"> A, </w:t>
      </w:r>
      <w:proofErr w:type="spellStart"/>
      <w:r w:rsidRPr="00E10A86">
        <w:t>zearalenon</w:t>
      </w:r>
      <w:proofErr w:type="spellEnd"/>
      <w:r w:rsidRPr="00E10A86">
        <w:t xml:space="preserve"> a T-2 a HT-2 toxin. Na přítomnost výše uvedených mykotoxinů bylo odebráno celkem 122 vzorků obilnin (včetně sladů) a mlýnských obilných výrobků. Z celkového počtu hodnocených vzorků byly zjištěny pozitivní nálezy </w:t>
      </w:r>
      <w:proofErr w:type="spellStart"/>
      <w:r w:rsidRPr="00E10A86">
        <w:t>deoxinivalenolu</w:t>
      </w:r>
      <w:proofErr w:type="spellEnd"/>
      <w:r w:rsidRPr="00E10A86">
        <w:t xml:space="preserve"> v pšenici a ječmeni (6 vzorků) a v kukuři</w:t>
      </w:r>
      <w:r>
        <w:t>č</w:t>
      </w:r>
      <w:r w:rsidRPr="00E10A86">
        <w:t>né mouce (3 vzorky). Dále byly zjištěny pozitivní nálezy T-2 toxinu v celozrn</w:t>
      </w:r>
      <w:r>
        <w:t>n</w:t>
      </w:r>
      <w:r w:rsidRPr="00E10A86">
        <w:t>é ovesné mouce a sladovnickém ječmeni.</w:t>
      </w:r>
    </w:p>
    <w:p w:rsidR="00432C39" w:rsidRPr="00D472A8" w:rsidRDefault="00432C39" w:rsidP="003B7071">
      <w:r w:rsidRPr="00D472A8">
        <w:t xml:space="preserve">U kukuřice a kukuřičných výrobků byly provedeny rozbory na přítomnost </w:t>
      </w:r>
      <w:proofErr w:type="spellStart"/>
      <w:r w:rsidRPr="00D472A8">
        <w:t>deoxynivalenolu</w:t>
      </w:r>
      <w:proofErr w:type="spellEnd"/>
      <w:r w:rsidRPr="00D472A8">
        <w:t xml:space="preserve">, </w:t>
      </w:r>
      <w:proofErr w:type="spellStart"/>
      <w:r w:rsidRPr="00D472A8">
        <w:t>zearalenonu</w:t>
      </w:r>
      <w:proofErr w:type="spellEnd"/>
      <w:r w:rsidRPr="00D472A8">
        <w:t xml:space="preserve"> a </w:t>
      </w:r>
      <w:proofErr w:type="spellStart"/>
      <w:r w:rsidRPr="00D472A8">
        <w:t>fumonisinu</w:t>
      </w:r>
      <w:proofErr w:type="spellEnd"/>
      <w:r>
        <w:t xml:space="preserve"> FB1 a FB2. Z celkového počtu 16</w:t>
      </w:r>
      <w:r w:rsidRPr="00D472A8">
        <w:t xml:space="preserve"> vzorků kukuřice </w:t>
      </w:r>
      <w:r>
        <w:t xml:space="preserve">byl </w:t>
      </w:r>
      <w:proofErr w:type="spellStart"/>
      <w:r>
        <w:t>deoxynivalenol</w:t>
      </w:r>
      <w:proofErr w:type="spellEnd"/>
      <w:r>
        <w:t xml:space="preserve"> detekován u 5 vzorků</w:t>
      </w:r>
      <w:r w:rsidRPr="00D472A8">
        <w:t xml:space="preserve">, nicméně zjištěné množství se nacházelo pod hodnotou </w:t>
      </w:r>
      <w:r>
        <w:t>maximálního limitu. Z celkem 25</w:t>
      </w:r>
      <w:r w:rsidRPr="00D472A8">
        <w:t xml:space="preserve"> vzorků kukuřice nebo kukuřičných výrobků odebraných na stanovení </w:t>
      </w:r>
      <w:proofErr w:type="spellStart"/>
      <w:r w:rsidRPr="00D472A8">
        <w:t>zearalenonu</w:t>
      </w:r>
      <w:proofErr w:type="spellEnd"/>
      <w:r w:rsidRPr="00D472A8">
        <w:t xml:space="preserve"> byl pozitivní n</w:t>
      </w:r>
      <w:r>
        <w:t xml:space="preserve">ález zaznamenán u 6 vzorků kukuřice, </w:t>
      </w:r>
      <w:r>
        <w:lastRenderedPageBreak/>
        <w:t>dále u vzorku kukuřičných lupínků, kukuřičných těstovin a kukuřičných plátků. Zjištěné hodnoty se nacházely</w:t>
      </w:r>
      <w:r w:rsidRPr="00D472A8">
        <w:t xml:space="preserve"> pod platným limitem.</w:t>
      </w:r>
    </w:p>
    <w:p w:rsidR="00432C39" w:rsidRPr="00D472A8" w:rsidRDefault="00432C39" w:rsidP="003B7071">
      <w:r>
        <w:t>Z 29</w:t>
      </w:r>
      <w:r w:rsidRPr="00D472A8">
        <w:t xml:space="preserve"> hodnocených vzorků kukuřice a kukuřičných výrobků byl zjištěn pozitivní nález </w:t>
      </w:r>
      <w:proofErr w:type="spellStart"/>
      <w:r w:rsidRPr="00D472A8">
        <w:t>fumonisinu</w:t>
      </w:r>
      <w:proofErr w:type="spellEnd"/>
      <w:r w:rsidRPr="00D472A8">
        <w:t xml:space="preserve"> FB1 a FB2</w:t>
      </w:r>
      <w:r w:rsidR="00ED6F49">
        <w:t>,</w:t>
      </w:r>
      <w:r w:rsidRPr="00D472A8">
        <w:t xml:space="preserve"> u vzorku </w:t>
      </w:r>
      <w:r>
        <w:t xml:space="preserve">kukuřičné mouky nepřekročil hodnotu maximálního limitu. V případě </w:t>
      </w:r>
      <w:r w:rsidRPr="00D472A8">
        <w:t>p</w:t>
      </w:r>
      <w:r>
        <w:t xml:space="preserve">opcornu byla výsledná suma </w:t>
      </w:r>
      <w:proofErr w:type="spellStart"/>
      <w:r w:rsidRPr="00D472A8">
        <w:t>fumonisinů</w:t>
      </w:r>
      <w:proofErr w:type="spellEnd"/>
      <w:r w:rsidRPr="00D472A8">
        <w:t xml:space="preserve"> FB1 a FB2 </w:t>
      </w:r>
      <w:r>
        <w:t xml:space="preserve">vyšší než limit </w:t>
      </w:r>
      <w:r w:rsidRPr="00D472A8">
        <w:t>stanovený nařízením Komise (E</w:t>
      </w:r>
      <w:r>
        <w:t>S) č. 1881/2006</w:t>
      </w:r>
      <w:r w:rsidR="00ED6F49">
        <w:t>,</w:t>
      </w:r>
      <w:r>
        <w:t xml:space="preserve"> z toho důvodu byla potravina hodnocena jako nevyhovující.</w:t>
      </w:r>
    </w:p>
    <w:p w:rsidR="00432C39" w:rsidRDefault="00432C39" w:rsidP="003B7071">
      <w:r w:rsidRPr="00D472A8">
        <w:t xml:space="preserve">Přítomnost námelových alkaloidů byla sledována v obilninách (žitu, ovsu) a obilných výrobcích (obilných moukách a ovesných vločkách). </w:t>
      </w:r>
      <w:r>
        <w:t>Pod</w:t>
      </w:r>
      <w:r w:rsidRPr="00D472A8">
        <w:t xml:space="preserve">le doporučení Komise bylo monitorování zaměřeno na 6 nejběžnějších námelových alkaloidů (ergometrin, ergotamin, </w:t>
      </w:r>
      <w:proofErr w:type="spellStart"/>
      <w:r w:rsidRPr="00D472A8">
        <w:t>ergosin</w:t>
      </w:r>
      <w:proofErr w:type="spellEnd"/>
      <w:r w:rsidRPr="00D472A8">
        <w:t xml:space="preserve">, </w:t>
      </w:r>
      <w:proofErr w:type="spellStart"/>
      <w:r w:rsidRPr="00D472A8">
        <w:t>ergokristin</w:t>
      </w:r>
      <w:proofErr w:type="spellEnd"/>
      <w:r w:rsidRPr="00D472A8">
        <w:t xml:space="preserve">, </w:t>
      </w:r>
      <w:proofErr w:type="spellStart"/>
      <w:r w:rsidRPr="00D472A8">
        <w:t>ergokryptin</w:t>
      </w:r>
      <w:proofErr w:type="spellEnd"/>
      <w:r w:rsidRPr="00D472A8">
        <w:t xml:space="preserve"> a </w:t>
      </w:r>
      <w:proofErr w:type="spellStart"/>
      <w:r w:rsidRPr="00D472A8">
        <w:t>ergokornin</w:t>
      </w:r>
      <w:proofErr w:type="spellEnd"/>
      <w:r w:rsidRPr="00D472A8">
        <w:t xml:space="preserve">) a jim příbuzné – </w:t>
      </w:r>
      <w:proofErr w:type="spellStart"/>
      <w:r w:rsidRPr="00D472A8">
        <w:t>ininy</w:t>
      </w:r>
      <w:proofErr w:type="spellEnd"/>
      <w:r w:rsidRPr="00D472A8">
        <w:t>. Z</w:t>
      </w:r>
      <w:r>
        <w:t>e 17</w:t>
      </w:r>
      <w:r w:rsidRPr="00D472A8">
        <w:t xml:space="preserve"> vzorků obilnin byl pozitivní nález námelovýc</w:t>
      </w:r>
      <w:r>
        <w:t>h alkaloidů zaznamenán u 3 vzorků žita. U žitné mouky s výjimkou jednoho vzorku byla ve všech vzorcích přítomnost námelových alkaloidů potvrzena.</w:t>
      </w:r>
    </w:p>
    <w:p w:rsidR="00432C39" w:rsidRPr="00EF393F" w:rsidRDefault="00432C39" w:rsidP="003B7071">
      <w:pPr>
        <w:pStyle w:val="Norm-Ital"/>
      </w:pPr>
      <w:r w:rsidRPr="00EF393F">
        <w:t>Nápoje</w:t>
      </w:r>
    </w:p>
    <w:p w:rsidR="00432C39" w:rsidRPr="00EF393F" w:rsidRDefault="00432C39" w:rsidP="003B7071">
      <w:r w:rsidRPr="00EF393F">
        <w:t xml:space="preserve">V jablečných šťávách byla zjišťována přítomnost </w:t>
      </w:r>
      <w:proofErr w:type="spellStart"/>
      <w:r w:rsidRPr="00EF393F">
        <w:t>patulinu</w:t>
      </w:r>
      <w:proofErr w:type="spellEnd"/>
      <w:r w:rsidRPr="00EF393F">
        <w:t>. Z 11 hodnocených vzorků byl pozitivní nález zaznamenán u 2 vzorků jablečných šťáv, nicméně zjištěné obsahy se nacházely výrazně pod hodnotou platného limitu.</w:t>
      </w:r>
    </w:p>
    <w:p w:rsidR="00432C39" w:rsidRPr="008E3A2A" w:rsidRDefault="00432C39" w:rsidP="003B7071">
      <w:r w:rsidRPr="008E3A2A">
        <w:t xml:space="preserve">U vzorků hroznové šťávy a vína byl zjišťován </w:t>
      </w:r>
      <w:proofErr w:type="spellStart"/>
      <w:r w:rsidRPr="008E3A2A">
        <w:t>ochratoxin</w:t>
      </w:r>
      <w:proofErr w:type="spellEnd"/>
      <w:r w:rsidRPr="008E3A2A">
        <w:t xml:space="preserve"> A. U hroznové šťávy byly zjištěny pozitivní nálezy u 4 hodnocených vzorků. U v</w:t>
      </w:r>
      <w:r>
        <w:t xml:space="preserve">ín byl detekován </w:t>
      </w:r>
      <w:proofErr w:type="spellStart"/>
      <w:r>
        <w:t>ochratoxin</w:t>
      </w:r>
      <w:proofErr w:type="spellEnd"/>
      <w:r>
        <w:t xml:space="preserve"> A u </w:t>
      </w:r>
      <w:r w:rsidRPr="008E3A2A">
        <w:t>jednoho vzorku z 9 odebraných. Všechny vzorky vyhověly limitu uvedenému v nařízení Komise (ES) č. 1881/2006.</w:t>
      </w:r>
    </w:p>
    <w:p w:rsidR="00432C39" w:rsidRPr="00D472A8" w:rsidRDefault="00432C39" w:rsidP="003B7071">
      <w:r w:rsidRPr="00D472A8">
        <w:t>Limit pro obsah barya v balených přírodních minerálních vodách a pramenitých vodách je stanoven vyhláškou č. 275/2004 Sb., o požadavcích na jakost a zdravotní nezávadnost balených vod a o způsobu jejich úpravy. Celkem bylo odebráno 12 vzorků balených vod, s </w:t>
      </w:r>
      <w:r>
        <w:t>výjimkou dvou vzorků</w:t>
      </w:r>
      <w:r w:rsidRPr="00D472A8">
        <w:t xml:space="preserve"> byla přítomnost prokázána u všech vzorků, avšak u žádného ze vzorků nebylo zjištěno překročení nejvyšší mezní hodnoty.</w:t>
      </w:r>
    </w:p>
    <w:p w:rsidR="00432C39" w:rsidRPr="003C722B" w:rsidRDefault="00432C39" w:rsidP="003B7071">
      <w:pPr>
        <w:pStyle w:val="Norm-Ital"/>
      </w:pPr>
      <w:r w:rsidRPr="003C722B">
        <w:t>Lihoviny</w:t>
      </w:r>
    </w:p>
    <w:p w:rsidR="00432C39" w:rsidRPr="00D472A8" w:rsidRDefault="00432C39" w:rsidP="003B7071">
      <w:r w:rsidRPr="00D472A8">
        <w:t xml:space="preserve">V ovocných destilátech stejně jako v předchozích letech byla sledována přítomnost metanolu, </w:t>
      </w:r>
      <w:proofErr w:type="spellStart"/>
      <w:r w:rsidRPr="00D472A8">
        <w:t>ethylkarbamátu</w:t>
      </w:r>
      <w:proofErr w:type="spellEnd"/>
      <w:r w:rsidRPr="00D472A8">
        <w:t xml:space="preserve">, aromatických uhlovodíků a ftalátů. </w:t>
      </w:r>
      <w:r>
        <w:t xml:space="preserve">V roce 2014 bylo sledování rozšířeno rovněž o denaturační činidla (2-methyl-2propanol, </w:t>
      </w:r>
      <w:proofErr w:type="spellStart"/>
      <w:r>
        <w:t>bitrex</w:t>
      </w:r>
      <w:proofErr w:type="spellEnd"/>
      <w:r>
        <w:t xml:space="preserve">, 2-propanol). </w:t>
      </w:r>
      <w:r w:rsidRPr="00D472A8">
        <w:t>Na metanol b</w:t>
      </w:r>
      <w:r>
        <w:t>ylo vyšetřeno celkem 7</w:t>
      </w:r>
      <w:r w:rsidRPr="00D472A8">
        <w:t>9 vzorků lihovin. Všechny analyzované vzorky byly hodnoceny jako vyhovující.</w:t>
      </w:r>
    </w:p>
    <w:p w:rsidR="00432C39" w:rsidRPr="00D472A8" w:rsidRDefault="00432C39" w:rsidP="003B7071">
      <w:r w:rsidRPr="00D472A8">
        <w:t xml:space="preserve">Na základě doporučení Komise 2010/133/EU bylo provedeno monitorování obsahu </w:t>
      </w:r>
      <w:proofErr w:type="spellStart"/>
      <w:r w:rsidRPr="00D472A8">
        <w:t>ethylkarbamátu</w:t>
      </w:r>
      <w:proofErr w:type="spellEnd"/>
      <w:r w:rsidRPr="00D472A8">
        <w:t xml:space="preserve"> v ovocných destilát</w:t>
      </w:r>
      <w:r>
        <w:t>ech, kdy bylo odebráno celkem 17</w:t>
      </w:r>
      <w:r w:rsidRPr="00D472A8">
        <w:t xml:space="preserve"> vzorků. U žádného ze vzorků nebyl překročen přípustný limit.</w:t>
      </w:r>
    </w:p>
    <w:p w:rsidR="00432C39" w:rsidRDefault="00432C39" w:rsidP="003B7071">
      <w:r>
        <w:lastRenderedPageBreak/>
        <w:t>U 20</w:t>
      </w:r>
      <w:r w:rsidRPr="00D472A8">
        <w:t xml:space="preserve"> vzorků ovocných destilátů byly provedeny také</w:t>
      </w:r>
      <w:r>
        <w:t xml:space="preserve"> analýzy na stanovení ftalátů</w:t>
      </w:r>
      <w:r w:rsidRPr="00D472A8">
        <w:t xml:space="preserve">. Pozitivní </w:t>
      </w:r>
      <w:r>
        <w:t>nález ftalátů byl zaznamenán u 4 vzorků, není však stanoven právním předpisem limit.</w:t>
      </w:r>
    </w:p>
    <w:p w:rsidR="00432C39" w:rsidRPr="00D472A8" w:rsidRDefault="00432C39" w:rsidP="003B7071">
      <w:r>
        <w:t xml:space="preserve">Na obsah denaturačních </w:t>
      </w:r>
      <w:r w:rsidR="00ED6F49">
        <w:t xml:space="preserve">činidel </w:t>
      </w:r>
      <w:r>
        <w:t>bylo hodnoceno 24 vzorků ovocných destilátů a lihovin s přídavkem ovocného destilátu. U 3 vzorků byla určitá množství 2-propanolu detekována, nevýznamná množství zřejmě souvisí s přirozeným výskytem této látky v ovocných destilátech.</w:t>
      </w:r>
    </w:p>
    <w:p w:rsidR="00432C39" w:rsidRPr="003C722B" w:rsidRDefault="00432C39" w:rsidP="003B7071">
      <w:pPr>
        <w:pStyle w:val="Norm-Ital"/>
      </w:pPr>
      <w:r w:rsidRPr="003C722B">
        <w:t>Doplňky stravy</w:t>
      </w:r>
    </w:p>
    <w:p w:rsidR="00432C39" w:rsidRDefault="00432C39" w:rsidP="003B7071">
      <w:r w:rsidRPr="00D472A8">
        <w:t>V doplňcích stra</w:t>
      </w:r>
      <w:r>
        <w:t>vy na bázi bylinných přípravků,</w:t>
      </w:r>
      <w:r w:rsidRPr="00D472A8">
        <w:t xml:space="preserve"> doplňcích složených z mořských nebo sladkovodních řas</w:t>
      </w:r>
      <w:r>
        <w:t xml:space="preserve"> a bylinných přípravcích prodávaných jako tradiční čínská medicína</w:t>
      </w:r>
      <w:r w:rsidRPr="00D472A8">
        <w:t xml:space="preserve"> byly zjišťovány hladiny kadmia, olova a rtuti. Analyzováno bylo celkem 11 vzorků, přítomnost některého ze sledovaných chemických prvků byla zaznamenána u 5 vzorků.</w:t>
      </w:r>
    </w:p>
    <w:p w:rsidR="00432C39" w:rsidRDefault="00432C39" w:rsidP="003B7071">
      <w:r w:rsidRPr="00D472A8">
        <w:t xml:space="preserve">Více informací o činnosti SZPI lze nalézt na internetové adrese </w:t>
      </w:r>
      <w:hyperlink r:id="rId80" w:history="1">
        <w:r w:rsidRPr="00D472A8">
          <w:rPr>
            <w:rStyle w:val="Hypertextovodkaz"/>
          </w:rPr>
          <w:t>www.szpi.gov.cz</w:t>
        </w:r>
      </w:hyperlink>
      <w:r w:rsidRPr="00D472A8">
        <w:t>.</w:t>
      </w:r>
    </w:p>
    <w:p w:rsidR="00432C39" w:rsidRPr="004A571C" w:rsidRDefault="00432C39" w:rsidP="003B7071">
      <w:pPr>
        <w:pStyle w:val="Norm-Bold"/>
      </w:pPr>
      <w:r w:rsidRPr="004A571C">
        <w:t>Monitoring orgánů veterinární správy ČR</w:t>
      </w:r>
    </w:p>
    <w:p w:rsidR="00432C39" w:rsidRDefault="00432C39" w:rsidP="003B7071">
      <w:r w:rsidRPr="00D472A8">
        <w:t>SVS ČR provedla v roce 2013 v rámci monitoringu</w:t>
      </w:r>
      <w:r>
        <w:t xml:space="preserve"> cizorodých látek celkem 71 471</w:t>
      </w:r>
      <w:r w:rsidRPr="00D472A8">
        <w:t> </w:t>
      </w:r>
      <w:r>
        <w:t>vyšetření, z toho 70 006</w:t>
      </w:r>
      <w:r w:rsidRPr="00D472A8">
        <w:t xml:space="preserve"> vyšetření v rá</w:t>
      </w:r>
      <w:r>
        <w:t>mci plánovaných odběrů, dále 530</w:t>
      </w:r>
      <w:r w:rsidRPr="00D472A8">
        <w:t xml:space="preserve"> jako cílená v</w:t>
      </w:r>
      <w:r>
        <w:t>yšetření suspektních vzorků a 935</w:t>
      </w:r>
      <w:r w:rsidRPr="00D472A8">
        <w:t xml:space="preserve"> vyšetření u vzorků dovážených komodit. V hodnoceném roce bylo celkové zastoupení nevyhovující</w:t>
      </w:r>
      <w:r>
        <w:t>ch nálezů 0,17 %, shodně jako v roce předchozím</w:t>
      </w:r>
      <w:r w:rsidRPr="00D472A8">
        <w:t>.</w:t>
      </w:r>
    </w:p>
    <w:p w:rsidR="00432C39" w:rsidRDefault="00432C39" w:rsidP="003B7071">
      <w:r w:rsidRPr="00955B70">
        <w:t>Aplikace nepovolených léčiv cestou vody k napáje</w:t>
      </w:r>
      <w:r>
        <w:t>ní hospodářských zvířat, nebo v </w:t>
      </w:r>
      <w:r w:rsidRPr="00955B70">
        <w:t xml:space="preserve">chovu tržních ryb nebyla prokázána. V krmivech a krmných surovinách živočišného původu byly zjištěny nevyhovující nálezy v 0,14 %. Jednalo se o nálezy nevyhovujících koncentrací doplňkových látek – </w:t>
      </w:r>
      <w:proofErr w:type="spellStart"/>
      <w:r w:rsidRPr="00955B70">
        <w:t>antikokcidik</w:t>
      </w:r>
      <w:proofErr w:type="spellEnd"/>
      <w:r w:rsidRPr="00955B70">
        <w:t xml:space="preserve"> v krmných směsích pro drůbež, králíky a krůty. Jednotlivé případy byly řešeny ve spolupráci s ÚKZÚZ. Ostatní krmiva a krmné suroviny živočišného původu splňovaly stanovené maximální limity. V krmivech pro hospodářská zvířata nebyla prokázána rezidua zakázaných veterinárních léčivých přípravků ani nebyla prokázána nepovolená medikace. Také dovážené rybí moučky vyhověly všem platným limitům.</w:t>
      </w:r>
    </w:p>
    <w:p w:rsidR="00432C39" w:rsidRPr="004A7000" w:rsidRDefault="00432C39" w:rsidP="003B7071">
      <w:r w:rsidRPr="00955B70">
        <w:t>Vzorky syrového ovčího a kozího mléka vyhověly ve všech případech stanoveným limitům.</w:t>
      </w:r>
      <w:r>
        <w:t xml:space="preserve"> </w:t>
      </w:r>
      <w:r w:rsidRPr="00955B70">
        <w:t xml:space="preserve">U syrového kravského mléka byl zjištěn jeden nevyhovující nález polychlorovaných bifenylů (NDL-PCB). Zjištěná koncentrace téměř dvojnásobně přesahovala maximální limit. Při došetřování byla zjištěna i nadlimitní kontaminace PCB v mase jednotlivých kusů skotu. </w:t>
      </w:r>
      <w:r w:rsidRPr="004A7000">
        <w:t>Zdrojem PCB byly staré nátěry ve stájích. Nařízeno bylo jejich odstranění.</w:t>
      </w:r>
    </w:p>
    <w:p w:rsidR="00432C39" w:rsidRPr="004A7000" w:rsidRDefault="00432C39" w:rsidP="003B7071">
      <w:r w:rsidRPr="004A7000">
        <w:t>Vzorky slepičích a křepelčích vajec vyhověly stanoveným maximálním limitům sledovaných reziduí a kontaminantů. Zakázané látky nebyly detekovány.</w:t>
      </w:r>
    </w:p>
    <w:p w:rsidR="00432C39" w:rsidRPr="004A7000" w:rsidRDefault="00432C39" w:rsidP="003B7071">
      <w:r w:rsidRPr="004A7000">
        <w:t>Med vyhověl stanoveným limitům pro chemické prvky a také limitům všech ostatních vyšetřovaných chemických látek a reziduím veterinárních léčiv. V detekovatelném množství byly zachyceny pouze olovo a kadmium.</w:t>
      </w:r>
    </w:p>
    <w:p w:rsidR="00432C39" w:rsidRDefault="00432C39" w:rsidP="003B7071">
      <w:r w:rsidRPr="00955B70">
        <w:lastRenderedPageBreak/>
        <w:t xml:space="preserve">Z nepovolených látek byla v moči skotu a prasat zjištěna rezidua </w:t>
      </w:r>
      <w:proofErr w:type="spellStart"/>
      <w:r w:rsidRPr="00955B70">
        <w:t>nortestosteronu</w:t>
      </w:r>
      <w:proofErr w:type="spellEnd"/>
      <w:r w:rsidRPr="00955B70">
        <w:t>. Šetřením bylo zjištěno, že se jednalo s největší pravděpodobností o endogenní původ hormonální látky. V moči jednoho prasete byla prokázána rezidua zakázaného léčiva pro potravinová zvířata – chloramfenikolu. Podrobným šetřením v chovu nebyla prokázána aplikace této zakázané látky. Chov je nadále pod přísnějším veterinárním dozorem.</w:t>
      </w:r>
    </w:p>
    <w:p w:rsidR="00432C39" w:rsidRPr="004A7000" w:rsidRDefault="00432C39" w:rsidP="003B7071">
      <w:r w:rsidRPr="00955B70">
        <w:t>Stálým problémem jsou rezidua antibiotik v játrech a ledvinách prasnic. V posled</w:t>
      </w:r>
      <w:r>
        <w:t>ních 4 </w:t>
      </w:r>
      <w:r w:rsidRPr="00955B70">
        <w:t xml:space="preserve">letech jsou nejčastějším zjištěním rezidua </w:t>
      </w:r>
      <w:proofErr w:type="spellStart"/>
      <w:r w:rsidRPr="00955B70">
        <w:t>dihydrostreptomycinu</w:t>
      </w:r>
      <w:proofErr w:type="spellEnd"/>
      <w:r w:rsidRPr="00955B70">
        <w:t xml:space="preserve">. Tento problém je řešen ve </w:t>
      </w:r>
      <w:r w:rsidRPr="004A7000">
        <w:t xml:space="preserve">spolupráci s ÚSKVBL, který jedná s držitelem registrace </w:t>
      </w:r>
      <w:r w:rsidR="00ED6F49">
        <w:t>o omezení používání přípravku s </w:t>
      </w:r>
      <w:r w:rsidRPr="004A7000">
        <w:t>touto účinnou látkou.</w:t>
      </w:r>
    </w:p>
    <w:p w:rsidR="00432C39" w:rsidRPr="004A7000" w:rsidRDefault="00432C39" w:rsidP="003B7071">
      <w:r w:rsidRPr="004A7000">
        <w:t>Závažné je zjištění nevyhovujících vzorků masa kontaminovaného PCB u skotu chovaného ve starých stájích, kde neproběhla sanace starých nátěrových barev a omítek obsahujících polychlorované bifenyly.</w:t>
      </w:r>
    </w:p>
    <w:p w:rsidR="00432C39" w:rsidRPr="004A7000" w:rsidRDefault="00432C39" w:rsidP="003B7071">
      <w:r w:rsidRPr="004A7000">
        <w:t>V první polovině roku byly vyšetřovány živočišné tkáně na obsah mědi (</w:t>
      </w:r>
      <w:proofErr w:type="spellStart"/>
      <w:r w:rsidRPr="004A7000">
        <w:t>Cu</w:t>
      </w:r>
      <w:proofErr w:type="spellEnd"/>
      <w:r w:rsidRPr="004A7000">
        <w:t xml:space="preserve">). Limit pro </w:t>
      </w:r>
      <w:r w:rsidRPr="00955B70">
        <w:t xml:space="preserve">měď uvedený v nařízení Evropského parlamentu a Rady (ES) č. </w:t>
      </w:r>
      <w:r>
        <w:t>396/2005 pro játra je 30 </w:t>
      </w:r>
      <w:r w:rsidRPr="00955B70">
        <w:t>mg.kg</w:t>
      </w:r>
      <w:r w:rsidRPr="00955B70">
        <w:rPr>
          <w:vertAlign w:val="superscript"/>
        </w:rPr>
        <w:t>-1</w:t>
      </w:r>
      <w:r w:rsidRPr="00955B70">
        <w:t>, což se neshoduje s fyziologickými hodnotami v játrech a se stanoviskem EFSA, která uvádí hodnotu pro játra přežvýkavců 140 mg.kg</w:t>
      </w:r>
      <w:r w:rsidRPr="00955B70">
        <w:rPr>
          <w:vertAlign w:val="superscript"/>
        </w:rPr>
        <w:t>-1</w:t>
      </w:r>
      <w:r w:rsidRPr="00955B70">
        <w:t xml:space="preserve">. Z tohoto důvodu bylo v polovině roku vyšetřování vzorků na měď zastaveno. Opakujícím se zjištěním jsou nevyhovující nálezy </w:t>
      </w:r>
      <w:r w:rsidRPr="004A7000">
        <w:t>kadmia (Cd) a rtuti (</w:t>
      </w:r>
      <w:proofErr w:type="spellStart"/>
      <w:r w:rsidRPr="004A7000">
        <w:t>Hg</w:t>
      </w:r>
      <w:proofErr w:type="spellEnd"/>
      <w:r w:rsidRPr="004A7000">
        <w:t>) v játrech a ledvinách starých koní. Nejedná se o problém z hlediska bezpečnosti potravin vzhledem k nepatrnému zastoupení ve spotřebě lidí.</w:t>
      </w:r>
    </w:p>
    <w:p w:rsidR="00432C39" w:rsidRPr="004A7000" w:rsidRDefault="00432C39" w:rsidP="003B7071">
      <w:r w:rsidRPr="004A7000">
        <w:t xml:space="preserve">V ledvinách dospělého skotu a prasat (zvláště ve výkrmu) bylo v několika případech </w:t>
      </w:r>
      <w:r w:rsidRPr="00955B70">
        <w:t>prokázáno překročení limitu rtuti. Mimo zkoumání</w:t>
      </w:r>
      <w:r w:rsidR="00A5263D">
        <w:t xml:space="preserve"> vlivu obsahu </w:t>
      </w:r>
      <w:proofErr w:type="spellStart"/>
      <w:r w:rsidR="00A5263D">
        <w:t>Hg</w:t>
      </w:r>
      <w:proofErr w:type="spellEnd"/>
      <w:r w:rsidR="00A5263D">
        <w:t xml:space="preserve"> v krmivech a v </w:t>
      </w:r>
      <w:r w:rsidRPr="00955B70">
        <w:t xml:space="preserve">minerálních krmných doplňcích je teoreticky zvažována i možnost ovlivnění hladiny </w:t>
      </w:r>
      <w:proofErr w:type="spellStart"/>
      <w:r w:rsidRPr="00955B70">
        <w:t>Hg</w:t>
      </w:r>
      <w:proofErr w:type="spellEnd"/>
      <w:r w:rsidRPr="00955B70">
        <w:t xml:space="preserve"> v ledvinách spojená s použitím některých druhů vakcín a biopreparátů, které obsahují antiseptickou konzervační látku </w:t>
      </w:r>
      <w:proofErr w:type="spellStart"/>
      <w:r w:rsidRPr="00955B70">
        <w:t>Thiomersal</w:t>
      </w:r>
      <w:proofErr w:type="spellEnd"/>
      <w:r w:rsidRPr="00955B70">
        <w:t xml:space="preserve"> obsahujíc</w:t>
      </w:r>
      <w:r>
        <w:t>í organickou formu rtuti (etyl –</w:t>
      </w:r>
      <w:r w:rsidRPr="00955B70">
        <w:t xml:space="preserve"> rtuť), nebo vztah maximálního limitu </w:t>
      </w:r>
      <w:proofErr w:type="spellStart"/>
      <w:r w:rsidRPr="00955B70">
        <w:t>Hg</w:t>
      </w:r>
      <w:proofErr w:type="spellEnd"/>
      <w:r w:rsidRPr="00955B70">
        <w:t xml:space="preserve"> v krmivech a v tkáních </w:t>
      </w:r>
      <w:r>
        <w:t>hospodářských zvířat, zvláště v </w:t>
      </w:r>
      <w:r w:rsidRPr="00955B70">
        <w:t xml:space="preserve">ledvinách. Vzhledem k tomu byl zaveden od 1. 9. 2014 reálný </w:t>
      </w:r>
      <w:r w:rsidR="008969A9">
        <w:t>„</w:t>
      </w:r>
      <w:r w:rsidRPr="00955B70">
        <w:t>rozhodovací limit</w:t>
      </w:r>
      <w:r w:rsidR="008969A9">
        <w:t>“</w:t>
      </w:r>
      <w:r w:rsidRPr="00955B70">
        <w:t xml:space="preserve"> pro </w:t>
      </w:r>
      <w:r w:rsidRPr="004A7000">
        <w:t xml:space="preserve">obsah </w:t>
      </w:r>
      <w:proofErr w:type="spellStart"/>
      <w:r w:rsidRPr="004A7000">
        <w:t>Hg</w:t>
      </w:r>
      <w:proofErr w:type="spellEnd"/>
      <w:r w:rsidRPr="004A7000">
        <w:t xml:space="preserve"> v ledvinách potravinových zvířat (0,1 mg.kg</w:t>
      </w:r>
      <w:r w:rsidRPr="004A7000">
        <w:rPr>
          <w:vertAlign w:val="superscript"/>
        </w:rPr>
        <w:t>-1</w:t>
      </w:r>
      <w:r w:rsidRPr="004A7000">
        <w:t>). Tento limit bude používán jako maximální hodnota, po jejímž překročení budou učiněna nezbytná opatření k ochraně spotřebitele.</w:t>
      </w:r>
    </w:p>
    <w:p w:rsidR="00432C39" w:rsidRPr="00955B70" w:rsidRDefault="00432C39" w:rsidP="003B7071">
      <w:r w:rsidRPr="00955B70">
        <w:t>U vzorků jater ovcí již nebyly naměřeny nadlimitní koncentrace dioxinů a DL-PCB, jelikož od 1. 1. 2014 výše maximálního limitu je vyjadřována na čerstvou hmotu (původně na tuk).</w:t>
      </w:r>
    </w:p>
    <w:p w:rsidR="00432C39" w:rsidRPr="004A7000" w:rsidRDefault="00432C39" w:rsidP="003B7071">
      <w:r w:rsidRPr="00955B70">
        <w:t xml:space="preserve">U drůbeže nebyly zachyceny žádné nevyhovující nálezy ve všech případech sledovaných reziduí a kontaminantů. U sladkovodních ryb nebyla zjištěna rezidua veterinárních léčiv v nevyhovujících koncentracích. U pstruhů byl největším problémem </w:t>
      </w:r>
      <w:r w:rsidRPr="004A7000">
        <w:t>průkaz reziduí nepo</w:t>
      </w:r>
      <w:r>
        <w:t>volené látky –</w:t>
      </w:r>
      <w:r w:rsidRPr="004A7000">
        <w:t xml:space="preserve"> malachitové zeleně, respektive její </w:t>
      </w:r>
      <w:proofErr w:type="spellStart"/>
      <w:r w:rsidRPr="004A7000">
        <w:t>leuko</w:t>
      </w:r>
      <w:proofErr w:type="spellEnd"/>
      <w:r w:rsidRPr="004A7000">
        <w:t>-formy, což je již dlouholetým problémem v chovu těchto ryb.</w:t>
      </w:r>
    </w:p>
    <w:p w:rsidR="00432C39" w:rsidRDefault="00432C39" w:rsidP="003B7071">
      <w:r w:rsidRPr="00955B70">
        <w:lastRenderedPageBreak/>
        <w:t>V jednom vzorku svaloviny farmového jelena byla zjištěna rezidua nepovolené látky ibuprofenu. Následným šetřením na místě bylo zjištěno, že se jedná o kontaminaci vzorku osobou manipulující s masem, která používala humánní léčivý přípravek s obsahem této látky pro svoje léčebné účely.</w:t>
      </w:r>
    </w:p>
    <w:p w:rsidR="00432C39" w:rsidRDefault="00432C39" w:rsidP="003B7071">
      <w:r w:rsidRPr="00955B70">
        <w:t>U lovné zvěře byly zjištěny pouze nevyhovující hodnoty chemických prvků, v jednom případě to byla rtuť ve svalovině kachny divoké a v sedmi případech nevyhovující nálezy olova (</w:t>
      </w:r>
      <w:proofErr w:type="spellStart"/>
      <w:r w:rsidRPr="00955B70">
        <w:t>Pb</w:t>
      </w:r>
      <w:proofErr w:type="spellEnd"/>
      <w:r w:rsidRPr="00955B70">
        <w:t xml:space="preserve">), které souvisely s kontaminací střelou po ulovení. Z hlediska zabránění nadbytečné zátěže konzumenta zvěřiny olovem posuzovaly orgány veterinární správy hodnoty </w:t>
      </w:r>
      <w:proofErr w:type="spellStart"/>
      <w:r w:rsidRPr="00955B70">
        <w:t>Pb</w:t>
      </w:r>
      <w:proofErr w:type="spellEnd"/>
      <w:r w:rsidRPr="00955B70">
        <w:t xml:space="preserve"> nad doporučený limit </w:t>
      </w:r>
      <w:r w:rsidR="00ED6F49">
        <w:t>h</w:t>
      </w:r>
      <w:r w:rsidRPr="00955B70">
        <w:t>lavním hygienikem (0,1 mg.kg</w:t>
      </w:r>
      <w:r w:rsidRPr="00955B70">
        <w:rPr>
          <w:vertAlign w:val="superscript"/>
        </w:rPr>
        <w:t>-1</w:t>
      </w:r>
      <w:r w:rsidRPr="00955B70">
        <w:t>) jako vysoké, potenciálně ohrožující zdraví konzumenta při dlouhodobé konzumaci. V jednom vzorku svaloviny divokého prasete byla zjištěna koncentrace NDL-PCB nad hodnotu maximálního limitu (40 ng.g</w:t>
      </w:r>
      <w:r w:rsidRPr="00955B70">
        <w:rPr>
          <w:vertAlign w:val="superscript"/>
        </w:rPr>
        <w:t>-1</w:t>
      </w:r>
      <w:r w:rsidRPr="00955B70">
        <w:t xml:space="preserve"> tuku) stanovenou pro prasata domácí.</w:t>
      </w:r>
    </w:p>
    <w:p w:rsidR="00432C39" w:rsidRDefault="00432C39" w:rsidP="003B7071">
      <w:pPr>
        <w:pStyle w:val="mezera"/>
      </w:pPr>
    </w:p>
    <w:p w:rsidR="00432C39" w:rsidRDefault="00432C39" w:rsidP="003B7071">
      <w:pPr>
        <w:pStyle w:val="mezera"/>
      </w:pPr>
      <w:r w:rsidRPr="004A7000">
        <w:rPr>
          <w:noProof/>
          <w:lang w:eastAsia="cs-CZ"/>
        </w:rPr>
        <w:drawing>
          <wp:inline distT="0" distB="0" distL="0" distR="0" wp14:anchorId="2316C382" wp14:editId="3B572732">
            <wp:extent cx="5212715" cy="4832350"/>
            <wp:effectExtent l="0" t="0" r="0" b="635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12715" cy="4832350"/>
                    </a:xfrm>
                    <a:prstGeom prst="rect">
                      <a:avLst/>
                    </a:prstGeom>
                    <a:noFill/>
                    <a:ln>
                      <a:noFill/>
                    </a:ln>
                  </pic:spPr>
                </pic:pic>
              </a:graphicData>
            </a:graphic>
          </wp:inline>
        </w:drawing>
      </w:r>
    </w:p>
    <w:p w:rsidR="00432C39" w:rsidRDefault="00432C39" w:rsidP="003B7071">
      <w:pPr>
        <w:pStyle w:val="mezera"/>
      </w:pPr>
    </w:p>
    <w:p w:rsidR="00432C39" w:rsidRDefault="00432C39" w:rsidP="003B7071">
      <w:r w:rsidRPr="00F02222">
        <w:t>Vzhledem k relativně nízkému procentu záchytu nevyhovujících výsledků lze hodnotit zdravotní nezávadnost surovin a potravin živočišného původu z pohledu obsahu cizorodých látek nadále za příznivou (tab</w:t>
      </w:r>
      <w:r w:rsidR="00433610">
        <w:t>.</w:t>
      </w:r>
      <w:r>
        <w:t xml:space="preserve"> T5.6/01</w:t>
      </w:r>
      <w:r w:rsidRPr="00F02222">
        <w:t xml:space="preserve">). Za podstatné zjištění však </w:t>
      </w:r>
      <w:r w:rsidR="00C9570D">
        <w:t>lze</w:t>
      </w:r>
      <w:r w:rsidRPr="00F02222">
        <w:t xml:space="preserve"> považovat průkazy reziduí veterinárních léčiv (zvláště zakázaných), ale i reziduí antibiotik u prasnic</w:t>
      </w:r>
      <w:r w:rsidR="00C9570D">
        <w:t xml:space="preserve"> a dále </w:t>
      </w:r>
      <w:r w:rsidRPr="00F02222">
        <w:lastRenderedPageBreak/>
        <w:t>zjištění reziduí zakázaných barviv používaných k léčení nebo prevenci u chovaných ryb, zvláště pstruhů a znovu záchyty PCB ve tkáních zvířat, jako důsledek stále trvající kontaminace životního prostředí zvířat (staré nátěry).</w:t>
      </w:r>
    </w:p>
    <w:p w:rsidR="00432C39" w:rsidRPr="00D472A8" w:rsidRDefault="00432C39" w:rsidP="003B7071">
      <w:r w:rsidRPr="00D472A8">
        <w:t xml:space="preserve">Více informací o činnosti orgánů veterinární správy ČR lze nalézt na internetové adrese </w:t>
      </w:r>
      <w:hyperlink r:id="rId82" w:history="1">
        <w:r w:rsidRPr="00D472A8">
          <w:rPr>
            <w:rStyle w:val="Hypertextovodkaz"/>
          </w:rPr>
          <w:t>www.svscr.cz</w:t>
        </w:r>
      </w:hyperlink>
      <w:r w:rsidRPr="00D472A8">
        <w:t>.</w:t>
      </w:r>
    </w:p>
    <w:p w:rsidR="00432C39" w:rsidRPr="00972617" w:rsidRDefault="00432C39" w:rsidP="003B7071">
      <w:pPr>
        <w:pStyle w:val="Norm-Bold"/>
      </w:pPr>
      <w:r w:rsidRPr="00972617">
        <w:t>Kontrola a monitoring ÚKZÚZ</w:t>
      </w:r>
    </w:p>
    <w:p w:rsidR="00432C39" w:rsidRDefault="00432C39" w:rsidP="003B7071">
      <w:r w:rsidRPr="00972617">
        <w:t>V roce 2014 ÚKZÚZ provedl celkem 2 115 úředních kontrol krmiv, které jsou zaměřením rozděleny na kontroly registrovaných nebo schválených provozů a cílené kontroly přítomnosti zakázaných a nežádoucích látek v krm</w:t>
      </w:r>
      <w:r>
        <w:t>ivech</w:t>
      </w:r>
      <w:r w:rsidRPr="00972617">
        <w:t>.</w:t>
      </w:r>
    </w:p>
    <w:p w:rsidR="00432C39" w:rsidRPr="00C9570D" w:rsidRDefault="00432C39" w:rsidP="00C9570D">
      <w:pPr>
        <w:pStyle w:val="Norm-B-I"/>
      </w:pPr>
      <w:r w:rsidRPr="00C9570D">
        <w:t>Sledování výskytu zakázaných látek a produktů v krmivech</w:t>
      </w:r>
    </w:p>
    <w:p w:rsidR="00432C39" w:rsidRDefault="00432C39" w:rsidP="003B7071">
      <w:pPr>
        <w:pStyle w:val="Norm-Ital"/>
      </w:pPr>
      <w:r>
        <w:t>Cílená kontrola přítomnosti zpracovaných živočišných bílkovin v krmivech</w:t>
      </w:r>
    </w:p>
    <w:p w:rsidR="00432C39" w:rsidRDefault="00432C39" w:rsidP="003B7071">
      <w:r w:rsidRPr="00291529">
        <w:t>Kontrola je zaměřena na možnou kontaminaci krmiv zpracovanými živočišnými bílkovinami. V roce 2014 bylo takto prověřeno 171 vzorků převážně doplňkových krmných směsí. Přítomnost nepovolených zpracovanýc</w:t>
      </w:r>
      <w:r>
        <w:t>h živočišných bílkovin nebyla v </w:t>
      </w:r>
      <w:r w:rsidRPr="00291529">
        <w:t>žádném vzorku zjištěna.</w:t>
      </w:r>
    </w:p>
    <w:p w:rsidR="00432C39" w:rsidRDefault="00432C39" w:rsidP="003B7071">
      <w:pPr>
        <w:pStyle w:val="Norm-Ital"/>
      </w:pPr>
      <w:r w:rsidRPr="00291529">
        <w:t>Cílená kontrola rybí moučky na přítomnost tkání suchozemských živočichů</w:t>
      </w:r>
    </w:p>
    <w:p w:rsidR="00432C39" w:rsidRDefault="00432C39" w:rsidP="003B7071">
      <w:r w:rsidRPr="00291529">
        <w:t>Cílem kontroly je zachytit přítomnost tkání suchozemských živočichů v rybí moučce, zvláště v souvislosti s povolením používat rybí moučku do mléčných krmných směsí pro přežvýkavce. Mikroskopicky a akreditovanou metodou RT – PCR bylo prověřeno 46 vzorků rybí moučky a 4 vzorky krmných směsí s obsahem rybí moučky. V žádném analyzovaném vzorku nebyla zjištěna přítomnost tkání suchozemských živočichů.</w:t>
      </w:r>
    </w:p>
    <w:p w:rsidR="00432C39" w:rsidRDefault="00432C39" w:rsidP="003B7071">
      <w:pPr>
        <w:pStyle w:val="Norm-Ital"/>
      </w:pPr>
      <w:r w:rsidRPr="00291529">
        <w:t>Cílená kontrola výskytu zakázaných stimulátorů nebo inhibitorů růstu</w:t>
      </w:r>
    </w:p>
    <w:p w:rsidR="00432C39" w:rsidRDefault="00432C39" w:rsidP="003B7071">
      <w:r w:rsidRPr="00291529">
        <w:t>Bylo prověřeno 28 vzorků převážně krmných směsí pro prasata a skot, zda neobsahují nepovolené antibiotické stimulátory. Rovněž se kontrolují vedlejší výrobky procesů kvašení, zda neobsahují antimikrobiální látky, které se používají při zpracování k regulaci kvasných procesů. Všechny vzorky byly vyhovující a analyty se pohybovaly pod hranicí detekce.</w:t>
      </w:r>
    </w:p>
    <w:p w:rsidR="00432C39" w:rsidRPr="002B38A8" w:rsidRDefault="00432C39" w:rsidP="00C9570D">
      <w:pPr>
        <w:pStyle w:val="Norm-B-I"/>
      </w:pPr>
      <w:r w:rsidRPr="002B38A8">
        <w:t>Sledování výskytu nežádoucích látek a produktů v krmivech</w:t>
      </w:r>
    </w:p>
    <w:p w:rsidR="00432C39" w:rsidRDefault="00432C39" w:rsidP="003B7071">
      <w:pPr>
        <w:pStyle w:val="Norm-Ital"/>
      </w:pPr>
      <w:r w:rsidRPr="00291529">
        <w:t>Monitoring vybraných perzistentních organických polutantů (POP)</w:t>
      </w:r>
    </w:p>
    <w:p w:rsidR="00432C39" w:rsidRDefault="00432C39" w:rsidP="003B7071">
      <w:r w:rsidRPr="00291529">
        <w:t>V rámci kontroly bylo analyzováno 20 vzorků krmiv a krmných surovin, žádný vzorek nebyl vyhodnocen jako nevyhovující. PCB byly sledovány zároveň s dioxiny, aby bylo možné posoudit expozici zvířete všem těmto toxinům. Naměřené hodnoty byly velmi nízké, obvy</w:t>
      </w:r>
      <w:r>
        <w:t>kle pod mezí detekce 0,5 µg.kg</w:t>
      </w:r>
      <w:r>
        <w:rPr>
          <w:vertAlign w:val="superscript"/>
        </w:rPr>
        <w:t>-1</w:t>
      </w:r>
      <w:r w:rsidRPr="00291529">
        <w:t>. Pro PCB dosud nebyly stanoveny prahové hodnoty.</w:t>
      </w:r>
    </w:p>
    <w:p w:rsidR="00432C39" w:rsidRDefault="00432C39" w:rsidP="003B7071">
      <w:pPr>
        <w:pStyle w:val="Norm-Ital"/>
      </w:pPr>
      <w:r w:rsidRPr="00291529">
        <w:lastRenderedPageBreak/>
        <w:t>Cílená kontrola dioxinů, furanů a PCB dioxinového typu</w:t>
      </w:r>
    </w:p>
    <w:p w:rsidR="00432C39" w:rsidRDefault="00432C39" w:rsidP="003B7071">
      <w:r w:rsidRPr="00291529">
        <w:t xml:space="preserve">Cílenou kontrolou bylo analyzováno celkem 45 vzorků, zejména rybí moučka, mastné kyseliny, </w:t>
      </w:r>
      <w:proofErr w:type="spellStart"/>
      <w:r w:rsidRPr="00291529">
        <w:t>premixy</w:t>
      </w:r>
      <w:proofErr w:type="spellEnd"/>
      <w:r w:rsidRPr="00291529">
        <w:t xml:space="preserve"> a doplňkové látky. Stanovené limity se pohyb</w:t>
      </w:r>
      <w:r>
        <w:t>ují od 0,75 do 6 </w:t>
      </w:r>
      <w:proofErr w:type="spellStart"/>
      <w:r>
        <w:t>ng</w:t>
      </w:r>
      <w:proofErr w:type="spellEnd"/>
      <w:r>
        <w:t> WHO</w:t>
      </w:r>
      <w:r>
        <w:noBreakHyphen/>
        <w:t>TEQ.kg</w:t>
      </w:r>
      <w:r>
        <w:rPr>
          <w:vertAlign w:val="superscript"/>
        </w:rPr>
        <w:t>-1</w:t>
      </w:r>
      <w:r w:rsidRPr="00291529">
        <w:t xml:space="preserve"> podle druhu krmiva pro dioxiny</w:t>
      </w:r>
      <w:r>
        <w:t xml:space="preserve"> a od 1,25 do 24 </w:t>
      </w:r>
      <w:proofErr w:type="spellStart"/>
      <w:r>
        <w:t>ng</w:t>
      </w:r>
      <w:proofErr w:type="spellEnd"/>
      <w:r>
        <w:t> WHO</w:t>
      </w:r>
      <w:r>
        <w:noBreakHyphen/>
        <w:t>TEQ.kg</w:t>
      </w:r>
      <w:r>
        <w:rPr>
          <w:vertAlign w:val="superscript"/>
        </w:rPr>
        <w:t>-1</w:t>
      </w:r>
      <w:r w:rsidRPr="00291529">
        <w:t xml:space="preserve"> podle druhu krmiva pro sumu dioxinů a PCB. Všechny analyzované vzorky byly vyhovující.</w:t>
      </w:r>
    </w:p>
    <w:p w:rsidR="00432C39" w:rsidRDefault="00432C39" w:rsidP="003B7071">
      <w:pPr>
        <w:pStyle w:val="Norm-Ital"/>
      </w:pPr>
      <w:r w:rsidRPr="00AC48BD">
        <w:t>Monitoring mykotoxinů</w:t>
      </w:r>
    </w:p>
    <w:p w:rsidR="00432C39" w:rsidRDefault="00432C39" w:rsidP="003B7071">
      <w:r w:rsidRPr="00AC48BD">
        <w:t xml:space="preserve">V rámci této kontroly se zjišťuje přítomnost aflatoxinů B1, B2, G1 a G2, </w:t>
      </w:r>
      <w:proofErr w:type="spellStart"/>
      <w:r w:rsidRPr="00AC48BD">
        <w:t>zearalenonu</w:t>
      </w:r>
      <w:proofErr w:type="spellEnd"/>
      <w:r w:rsidRPr="00AC48BD">
        <w:t xml:space="preserve">, </w:t>
      </w:r>
      <w:proofErr w:type="spellStart"/>
      <w:r w:rsidRPr="00AC48BD">
        <w:t>ochratoxinu</w:t>
      </w:r>
      <w:proofErr w:type="spellEnd"/>
      <w:r w:rsidRPr="00AC48BD">
        <w:t xml:space="preserve"> A, </w:t>
      </w:r>
      <w:proofErr w:type="spellStart"/>
      <w:r w:rsidRPr="00AC48BD">
        <w:t>fumonisinů</w:t>
      </w:r>
      <w:proofErr w:type="spellEnd"/>
      <w:r w:rsidRPr="00AC48BD">
        <w:t xml:space="preserve"> B1 a B2, </w:t>
      </w:r>
      <w:proofErr w:type="spellStart"/>
      <w:r w:rsidRPr="00AC48BD">
        <w:t>deoxynivalenolu</w:t>
      </w:r>
      <w:proofErr w:type="spellEnd"/>
      <w:r w:rsidRPr="00AC48BD">
        <w:t xml:space="preserve">, T-2 a HT-2 toxinu, </w:t>
      </w:r>
      <w:proofErr w:type="spellStart"/>
      <w:r w:rsidRPr="00AC48BD">
        <w:t>beauvericinu</w:t>
      </w:r>
      <w:proofErr w:type="spellEnd"/>
      <w:r w:rsidRPr="00AC48BD">
        <w:t xml:space="preserve">, </w:t>
      </w:r>
      <w:proofErr w:type="spellStart"/>
      <w:r w:rsidRPr="00AC48BD">
        <w:t>enniatinů</w:t>
      </w:r>
      <w:proofErr w:type="spellEnd"/>
      <w:r w:rsidRPr="00AC48BD">
        <w:t xml:space="preserve"> A, A1, B, B1 a </w:t>
      </w:r>
      <w:proofErr w:type="spellStart"/>
      <w:r w:rsidRPr="00AC48BD">
        <w:t>nivalenolu</w:t>
      </w:r>
      <w:proofErr w:type="spellEnd"/>
      <w:r w:rsidRPr="00AC48BD">
        <w:t xml:space="preserve">. Bylo odebráno 70 vzorků krmiv a krmných surovin. Většina zjištěných hodnot, včetně všech provedených analýz aflatoxinů, </w:t>
      </w:r>
      <w:proofErr w:type="spellStart"/>
      <w:r w:rsidRPr="00AC48BD">
        <w:t>beauvericinu</w:t>
      </w:r>
      <w:proofErr w:type="spellEnd"/>
      <w:r w:rsidRPr="00AC48BD">
        <w:t xml:space="preserve">, </w:t>
      </w:r>
      <w:proofErr w:type="spellStart"/>
      <w:r w:rsidRPr="00AC48BD">
        <w:t>enniatiny</w:t>
      </w:r>
      <w:proofErr w:type="spellEnd"/>
      <w:r w:rsidRPr="00AC48BD">
        <w:t xml:space="preserve"> a </w:t>
      </w:r>
      <w:proofErr w:type="spellStart"/>
      <w:r w:rsidRPr="00AC48BD">
        <w:t>nivalenolu</w:t>
      </w:r>
      <w:proofErr w:type="spellEnd"/>
      <w:r w:rsidRPr="00AC48BD">
        <w:t>, byla na nejnižší úrovni detekce analytu. Žádný výsledek stanovení mykotoxinů v krmivech nepřekročil maximální povolený limit aflatoxinu B1 ani doporučené směrné hodnoty dalších mykotoxinů.</w:t>
      </w:r>
    </w:p>
    <w:p w:rsidR="00432C39" w:rsidRDefault="00432C39" w:rsidP="003B7071">
      <w:pPr>
        <w:pStyle w:val="Norm-Ital"/>
      </w:pPr>
      <w:r w:rsidRPr="00AC48BD">
        <w:t>Cílená kontrola přítomnosti těžkých kovů v</w:t>
      </w:r>
      <w:r>
        <w:t> </w:t>
      </w:r>
      <w:r w:rsidRPr="00AC48BD">
        <w:t>krmivech</w:t>
      </w:r>
    </w:p>
    <w:p w:rsidR="00432C39" w:rsidRDefault="00432C39" w:rsidP="003B7071">
      <w:r>
        <w:t>Bylo odebráno</w:t>
      </w:r>
      <w:r w:rsidRPr="00AC48BD">
        <w:t xml:space="preserve"> 128 vzorků krmných surovin</w:t>
      </w:r>
      <w:r>
        <w:t xml:space="preserve">. </w:t>
      </w:r>
      <w:r w:rsidRPr="00AC48BD">
        <w:t>Byl sledován obsah olova, kadmia, arsenu a rtuti. U žádného vzorku nebylo zjištěno překročení stanoveného limitu obsahu sledovaných těžkých kovů.</w:t>
      </w:r>
    </w:p>
    <w:p w:rsidR="00432C39" w:rsidRDefault="00432C39" w:rsidP="003B7071">
      <w:pPr>
        <w:pStyle w:val="Norm-Ital"/>
      </w:pPr>
      <w:r w:rsidRPr="00AC48BD">
        <w:t>Cílená kontrola přítomnosti dalších nežádoucích látek v</w:t>
      </w:r>
      <w:r>
        <w:t> </w:t>
      </w:r>
      <w:r w:rsidRPr="00AC48BD">
        <w:t>krmivech</w:t>
      </w:r>
    </w:p>
    <w:p w:rsidR="00432C39" w:rsidRDefault="00432C39" w:rsidP="003B7071">
      <w:r w:rsidRPr="00AC48BD">
        <w:t>Tato cílená kontrola zjišťuje obsah dusitanů, f</w:t>
      </w:r>
      <w:r>
        <w:t xml:space="preserve">luoridů, </w:t>
      </w:r>
      <w:proofErr w:type="spellStart"/>
      <w:r>
        <w:t>vinylthiooxazolidonu</w:t>
      </w:r>
      <w:proofErr w:type="spellEnd"/>
      <w:r>
        <w:t xml:space="preserve"> a </w:t>
      </w:r>
      <w:proofErr w:type="spellStart"/>
      <w:r w:rsidRPr="00AC48BD">
        <w:t>theobrominu</w:t>
      </w:r>
      <w:proofErr w:type="spellEnd"/>
      <w:r w:rsidRPr="00AC48BD">
        <w:t xml:space="preserve"> ve vybran</w:t>
      </w:r>
      <w:r>
        <w:t>ých vzorcích krmiv – žádný z analyzovaných vzorků nepřekročil povolené limity.</w:t>
      </w:r>
    </w:p>
    <w:p w:rsidR="00432C39" w:rsidRPr="002B38A8" w:rsidRDefault="00432C39" w:rsidP="00C9570D">
      <w:pPr>
        <w:pStyle w:val="Norm-B-I"/>
      </w:pPr>
      <w:r w:rsidRPr="002B38A8">
        <w:t>Sledování správného používání doplňkových látek v krmivech</w:t>
      </w:r>
    </w:p>
    <w:p w:rsidR="00432C39" w:rsidRDefault="00432C39" w:rsidP="003B7071">
      <w:pPr>
        <w:pStyle w:val="Norm-Ital"/>
      </w:pPr>
      <w:r w:rsidRPr="00AC48BD">
        <w:t xml:space="preserve">Cílená kontrola používání </w:t>
      </w:r>
      <w:proofErr w:type="spellStart"/>
      <w:r w:rsidRPr="00AC48BD">
        <w:t>kokcidiostatik</w:t>
      </w:r>
      <w:proofErr w:type="spellEnd"/>
    </w:p>
    <w:p w:rsidR="00432C39" w:rsidRDefault="00432C39" w:rsidP="003B7071">
      <w:r>
        <w:t xml:space="preserve">V rámci kontroly dodržování maximálních povolených limitů nevyhnutelné křížové kontaminace </w:t>
      </w:r>
      <w:proofErr w:type="spellStart"/>
      <w:r>
        <w:t>kokcidiostatik</w:t>
      </w:r>
      <w:proofErr w:type="spellEnd"/>
      <w:r>
        <w:t xml:space="preserve"> bylo odebráno celkem 160 vzorků kompletních, doplňkových a minerálních krmných směsí a </w:t>
      </w:r>
      <w:proofErr w:type="spellStart"/>
      <w:r>
        <w:t>premixů</w:t>
      </w:r>
      <w:proofErr w:type="spellEnd"/>
      <w:r>
        <w:t xml:space="preserve">. Byly zjištěny 2 případy kontaminace krmiv </w:t>
      </w:r>
      <w:proofErr w:type="spellStart"/>
      <w:r>
        <w:t>kokcidiostatiky</w:t>
      </w:r>
      <w:proofErr w:type="spellEnd"/>
      <w:r>
        <w:t xml:space="preserve"> (1x </w:t>
      </w:r>
      <w:proofErr w:type="spellStart"/>
      <w:r>
        <w:t>robenidin</w:t>
      </w:r>
      <w:proofErr w:type="spellEnd"/>
      <w:r>
        <w:t xml:space="preserve"> ve směsi pro užitkové nosnice a 1x </w:t>
      </w:r>
      <w:proofErr w:type="spellStart"/>
      <w:r>
        <w:t>narasin</w:t>
      </w:r>
      <w:proofErr w:type="spellEnd"/>
      <w:r>
        <w:t xml:space="preserve"> v krmivu pro výkrm prasat). Kontrola dodržování deklarovaného obsahu </w:t>
      </w:r>
      <w:proofErr w:type="spellStart"/>
      <w:r>
        <w:t>kokcidiostatik</w:t>
      </w:r>
      <w:proofErr w:type="spellEnd"/>
      <w:r>
        <w:t xml:space="preserve"> vyhodnotila všechny analyzované vzorky jako vyhovující. V rámci cílené kontroly byly rovněž sledovány reziduální stopy </w:t>
      </w:r>
      <w:proofErr w:type="spellStart"/>
      <w:r>
        <w:t>kokcidiostatik</w:t>
      </w:r>
      <w:proofErr w:type="spellEnd"/>
      <w:r>
        <w:t xml:space="preserve"> v krmivu, které bylo zpracováno míchacím zařízením výrobce bezprostředně po použití </w:t>
      </w:r>
      <w:proofErr w:type="spellStart"/>
      <w:r>
        <w:t>kokcidiostatik</w:t>
      </w:r>
      <w:proofErr w:type="spellEnd"/>
      <w:r>
        <w:t>. Bylo odebráno 37 vzorků z první míchačky následně vyráběných krmiv, žádný vzorek nebyl nevyhovující.</w:t>
      </w:r>
    </w:p>
    <w:p w:rsidR="00432C39" w:rsidRDefault="00432C39" w:rsidP="003B7071">
      <w:pPr>
        <w:pStyle w:val="Norm-Ital"/>
      </w:pPr>
      <w:r w:rsidRPr="00F54BB3">
        <w:lastRenderedPageBreak/>
        <w:t>Cílená kontrola obsahu mědi a zinku v krmivech pro prasata</w:t>
      </w:r>
    </w:p>
    <w:p w:rsidR="00432C39" w:rsidRDefault="00432C39" w:rsidP="003B7071">
      <w:r w:rsidRPr="00F54BB3">
        <w:t xml:space="preserve">V rámci cílené kontroly inspektoři odebrali 46 vzorků </w:t>
      </w:r>
      <w:r>
        <w:t>krmiv. Hodnocení obsahu mědi i </w:t>
      </w:r>
      <w:r w:rsidRPr="00F54BB3">
        <w:t>zinku vyhověly všechny analyzované vzorky.</w:t>
      </w:r>
    </w:p>
    <w:p w:rsidR="00432C39" w:rsidRDefault="00432C39" w:rsidP="003B7071">
      <w:pPr>
        <w:pStyle w:val="Norm-Ital"/>
      </w:pPr>
      <w:r w:rsidRPr="00F54BB3">
        <w:t>Cílená kontrola dodržování dalších limitů doplňkových látek</w:t>
      </w:r>
    </w:p>
    <w:p w:rsidR="00432C39" w:rsidRDefault="00432C39" w:rsidP="003B7071">
      <w:r w:rsidRPr="00F54BB3">
        <w:t xml:space="preserve">Při této kontrole se sledovalo dodržování maximálních limitů mědi, zinku, manganu, železa, selenu, jódu, vitaminu A </w:t>
      </w:r>
      <w:proofErr w:type="spellStart"/>
      <w:r w:rsidRPr="00F54BB3">
        <w:t>a</w:t>
      </w:r>
      <w:proofErr w:type="spellEnd"/>
      <w:r w:rsidRPr="00F54BB3">
        <w:t xml:space="preserve"> vitaminu D3. Odebráno bylo 60 vzorků krmných směsí. Převažovaly kompletní krmiva pro výkrm prasat a drůbeže. Překročení limitů sledovaných doplňkových látek nebylo zjištěno.</w:t>
      </w:r>
    </w:p>
    <w:p w:rsidR="00432C39" w:rsidRDefault="00432C39" w:rsidP="003B7071">
      <w:pPr>
        <w:pStyle w:val="Norm-Ital"/>
      </w:pPr>
      <w:r w:rsidRPr="00F54BB3">
        <w:t>Cílená kontrola kontaminace krmiv léčivy</w:t>
      </w:r>
    </w:p>
    <w:p w:rsidR="00432C39" w:rsidRDefault="00432C39" w:rsidP="003B7071">
      <w:r>
        <w:t xml:space="preserve">V rámci kontroly bylo odebráno 18 vzorků z celých partií krmných směsí, vyrobených ihned po </w:t>
      </w:r>
      <w:proofErr w:type="spellStart"/>
      <w:r>
        <w:t>medikovaných</w:t>
      </w:r>
      <w:proofErr w:type="spellEnd"/>
      <w:r>
        <w:t xml:space="preserve"> krmivech. Tři z prověřených vzorků překročily stanovenou úroveň 1 % účinné medikační látky, kterou ÚKZÚZ po dohodě s ÚSKVBL toleruje jako maximální povolený limit nevyhnutelné křížové kontaminace léčiv.</w:t>
      </w:r>
    </w:p>
    <w:p w:rsidR="00432C39" w:rsidRDefault="00432C39" w:rsidP="003B7071">
      <w:r>
        <w:t xml:space="preserve">Dále byl sledován obsah účinné látky léčiva v první míchačce krmiva, vyráběného ihned po </w:t>
      </w:r>
      <w:proofErr w:type="spellStart"/>
      <w:r>
        <w:t>medikované</w:t>
      </w:r>
      <w:proofErr w:type="spellEnd"/>
      <w:r>
        <w:t xml:space="preserve"> krmné směsi. Kontrola byla zaměřena na účinnost dekontaminačního programu provozovatele. Jako maximální vyhovující hladina byla po dohodě s ÚSKVBL stanovena rovněž přítomnost 1 % obsahu medikační látky, aplikované v předchozí výrobě. Bylo analyzováno 19 vzorků krmiv, z nichž 5 bylo nevyhovujících.</w:t>
      </w:r>
    </w:p>
    <w:p w:rsidR="00432C39" w:rsidRDefault="00432C39" w:rsidP="003B7071">
      <w:pPr>
        <w:pStyle w:val="Norm-Ital"/>
      </w:pPr>
      <w:r w:rsidRPr="00F54BB3">
        <w:t>Cílená kontrola parametrů glycerolu, používaného jako krmná surovina</w:t>
      </w:r>
    </w:p>
    <w:p w:rsidR="00432C39" w:rsidRDefault="00432C39" w:rsidP="003B7071">
      <w:r w:rsidRPr="00F54BB3">
        <w:t>Bylo odebráno 36 vzorků surového glycerínu, u kterých byl stanoven obsah glycerolu, hmotnost netěkavých organických látek, obsahy sodíku, draslíku a metanolu. Všechny vzorky vyhověly deklarovanému obsahu glycerolu.</w:t>
      </w:r>
    </w:p>
    <w:p w:rsidR="00432C39" w:rsidRPr="002B38A8" w:rsidRDefault="00432C39" w:rsidP="00C9570D">
      <w:pPr>
        <w:pStyle w:val="Norm-B-I"/>
      </w:pPr>
      <w:r w:rsidRPr="002B38A8">
        <w:t>Sledování dalších problematik týkajících se bezpečnosti krmiv</w:t>
      </w:r>
    </w:p>
    <w:p w:rsidR="00432C39" w:rsidRDefault="00432C39" w:rsidP="003B7071">
      <w:pPr>
        <w:pStyle w:val="Norm-Ital"/>
      </w:pPr>
      <w:r w:rsidRPr="00F54BB3">
        <w:t>Cílená kontrola pesticidů</w:t>
      </w:r>
    </w:p>
    <w:p w:rsidR="00432C39" w:rsidRDefault="00432C39" w:rsidP="003B7071">
      <w:r w:rsidRPr="00F54BB3">
        <w:t>Přítomnost pesticidů byla zjišťována u 63 vzorků převážně obilovin. Všechny vzorky b</w:t>
      </w:r>
      <w:r>
        <w:t>yly vyhodnoceny jako vyhovující.</w:t>
      </w:r>
    </w:p>
    <w:p w:rsidR="00432C39" w:rsidRDefault="00432C39" w:rsidP="003B7071">
      <w:pPr>
        <w:pStyle w:val="Norm-Ital"/>
      </w:pPr>
      <w:r w:rsidRPr="00F54BB3">
        <w:t>Cílená kontrola přítomnosti nepovolených gene</w:t>
      </w:r>
      <w:r>
        <w:t>tických modifikací v krmivech a </w:t>
      </w:r>
      <w:r w:rsidRPr="00F54BB3">
        <w:t>označování povolených GMO</w:t>
      </w:r>
    </w:p>
    <w:p w:rsidR="00432C39" w:rsidRDefault="00432C39" w:rsidP="003B7071">
      <w:r w:rsidRPr="00F54BB3">
        <w:t>V rámci této kontroly jsou sledovány genetické mo</w:t>
      </w:r>
      <w:r>
        <w:t>difikace v krmných surovinách a </w:t>
      </w:r>
      <w:r w:rsidRPr="00F54BB3">
        <w:t>krmivech. Jedná se zejména o kukuřici, rýži, sóju, řepku a kompletní i doplňkové krmné směsi. Část vzorků byla analyzována v laboratoři VÚRV Ruzyně. Bylo prověřeno 52 vzorků krmiv, všechny byly vyhodnoceny jako vyhovující.</w:t>
      </w:r>
    </w:p>
    <w:p w:rsidR="00432C39" w:rsidRDefault="00432C39" w:rsidP="003B7071">
      <w:pPr>
        <w:pStyle w:val="Norm-Ital"/>
      </w:pPr>
      <w:r w:rsidRPr="00F54BB3">
        <w:lastRenderedPageBreak/>
        <w:t>Cílená kontrola přítomnosti doplňkových látek v</w:t>
      </w:r>
      <w:r>
        <w:t> </w:t>
      </w:r>
      <w:r w:rsidRPr="00F54BB3">
        <w:t>krmivech</w:t>
      </w:r>
    </w:p>
    <w:p w:rsidR="00432C39" w:rsidRDefault="00432C39" w:rsidP="003B7071">
      <w:r w:rsidRPr="00F54BB3">
        <w:t xml:space="preserve">Kontrola ověřuje přítomnost deklarovaného obsahu </w:t>
      </w:r>
      <w:r>
        <w:t>vybraných doplňkových látek v </w:t>
      </w:r>
      <w:r w:rsidRPr="00F54BB3">
        <w:t>krmivech (</w:t>
      </w:r>
      <w:proofErr w:type="spellStart"/>
      <w:r w:rsidRPr="00F54BB3">
        <w:t>saccharomyces</w:t>
      </w:r>
      <w:proofErr w:type="spellEnd"/>
      <w:r w:rsidRPr="00F54BB3">
        <w:t xml:space="preserve"> </w:t>
      </w:r>
      <w:proofErr w:type="spellStart"/>
      <w:r w:rsidRPr="00F54BB3">
        <w:t>cerevisiae</w:t>
      </w:r>
      <w:proofErr w:type="spellEnd"/>
      <w:r w:rsidRPr="00F54BB3">
        <w:t xml:space="preserve">, </w:t>
      </w:r>
      <w:proofErr w:type="spellStart"/>
      <w:r w:rsidRPr="00F54BB3">
        <w:t>enterococcus</w:t>
      </w:r>
      <w:proofErr w:type="spellEnd"/>
      <w:r w:rsidRPr="00F54BB3">
        <w:t xml:space="preserve"> </w:t>
      </w:r>
      <w:proofErr w:type="spellStart"/>
      <w:r w:rsidRPr="00F54BB3">
        <w:t>faecium</w:t>
      </w:r>
      <w:proofErr w:type="spellEnd"/>
      <w:r w:rsidRPr="00F54BB3">
        <w:t xml:space="preserve">). U odebraných vzorků se také ověřují ostatní deklarované jakostní znaky. Bylo odebráno 34 vzorků krmných směsí, 2 z nich (minerální krmivo pro skot a doplňková krmná směs pro dojnice) byly posouzeny jako nevyhovující pro nízký obsah </w:t>
      </w:r>
      <w:proofErr w:type="spellStart"/>
      <w:r w:rsidRPr="00F54BB3">
        <w:t>saccharomyces</w:t>
      </w:r>
      <w:proofErr w:type="spellEnd"/>
      <w:r w:rsidRPr="00F54BB3">
        <w:t xml:space="preserve"> </w:t>
      </w:r>
      <w:proofErr w:type="spellStart"/>
      <w:r w:rsidRPr="00F54BB3">
        <w:t>cerevisiae</w:t>
      </w:r>
      <w:proofErr w:type="spellEnd"/>
      <w:r w:rsidRPr="00F54BB3">
        <w:t>.</w:t>
      </w:r>
    </w:p>
    <w:p w:rsidR="00432C39" w:rsidRDefault="00432C39" w:rsidP="003B7071">
      <w:pPr>
        <w:pStyle w:val="mezera"/>
      </w:pPr>
    </w:p>
    <w:p w:rsidR="00432C39" w:rsidRDefault="00432C39" w:rsidP="003B7071">
      <w:pPr>
        <w:pStyle w:val="mezera"/>
      </w:pPr>
      <w:r w:rsidRPr="004866DA">
        <w:rPr>
          <w:noProof/>
          <w:lang w:eastAsia="cs-CZ"/>
        </w:rPr>
        <w:drawing>
          <wp:inline distT="0" distB="0" distL="0" distR="0" wp14:anchorId="19878242" wp14:editId="7E9CD053">
            <wp:extent cx="5760720" cy="2793751"/>
            <wp:effectExtent l="0" t="0" r="0" b="698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2793751"/>
                    </a:xfrm>
                    <a:prstGeom prst="rect">
                      <a:avLst/>
                    </a:prstGeom>
                    <a:noFill/>
                    <a:ln>
                      <a:noFill/>
                    </a:ln>
                  </pic:spPr>
                </pic:pic>
              </a:graphicData>
            </a:graphic>
          </wp:inline>
        </w:drawing>
      </w:r>
    </w:p>
    <w:p w:rsidR="00432C39" w:rsidRDefault="00432C39" w:rsidP="003B7071">
      <w:pPr>
        <w:pStyle w:val="mezera"/>
      </w:pPr>
    </w:p>
    <w:p w:rsidR="00432C39" w:rsidRPr="00D472A8" w:rsidRDefault="00432C39" w:rsidP="003B7071">
      <w:r w:rsidRPr="00D472A8">
        <w:t xml:space="preserve">Více informací lze nalézt na </w:t>
      </w:r>
      <w:hyperlink r:id="rId84" w:history="1">
        <w:r w:rsidRPr="00D472A8">
          <w:rPr>
            <w:rStyle w:val="Hypertextovodkaz"/>
          </w:rPr>
          <w:t>www.ukzuz.cz</w:t>
        </w:r>
      </w:hyperlink>
      <w:r w:rsidRPr="00D472A8">
        <w:t>.</w:t>
      </w:r>
    </w:p>
    <w:p w:rsidR="00432C39" w:rsidRPr="00B13DE0" w:rsidRDefault="00432C39" w:rsidP="003B7071">
      <w:pPr>
        <w:pStyle w:val="Norm-Bold"/>
      </w:pPr>
      <w:r w:rsidRPr="00B13DE0">
        <w:t>Monitoring VÚMOP</w:t>
      </w:r>
    </w:p>
    <w:p w:rsidR="00432C39" w:rsidRDefault="00432C39" w:rsidP="003B7071">
      <w:r w:rsidRPr="00D472A8">
        <w:t xml:space="preserve">Výzkumný ústav meliorací a ochrany půdy v roce 2013 pokračoval ve sledování stavu zátěže půd a rostlin rizikovými </w:t>
      </w:r>
      <w:r>
        <w:t>látkami v okrese Svitavy</w:t>
      </w:r>
      <w:r w:rsidRPr="00D472A8">
        <w:t>, sit</w:t>
      </w:r>
      <w:r>
        <w:t>uovaném v Pardubickém kraji. Na </w:t>
      </w:r>
      <w:r w:rsidRPr="00D472A8">
        <w:t xml:space="preserve">celkem 25 lokalitách (+ 3 lokality pro odběr vzorků pro stanovení PCB a PCDD/F) byly odebrány vzorky půd z humusových nebo drnových horizontů, v nichž byl stanoven celkový obsah 11 rizikových prvků (As, </w:t>
      </w:r>
      <w:proofErr w:type="spellStart"/>
      <w:r w:rsidRPr="00D472A8">
        <w:t>Be</w:t>
      </w:r>
      <w:proofErr w:type="spellEnd"/>
      <w:r w:rsidRPr="00D472A8">
        <w:t xml:space="preserve">, Cd, </w:t>
      </w:r>
      <w:proofErr w:type="spellStart"/>
      <w:r w:rsidRPr="00D472A8">
        <w:t>Cr</w:t>
      </w:r>
      <w:proofErr w:type="spellEnd"/>
      <w:r w:rsidRPr="00D472A8">
        <w:t xml:space="preserve">, </w:t>
      </w:r>
      <w:proofErr w:type="spellStart"/>
      <w:r w:rsidRPr="00D472A8">
        <w:t>Cu</w:t>
      </w:r>
      <w:proofErr w:type="spellEnd"/>
      <w:r w:rsidRPr="00D472A8">
        <w:t xml:space="preserve">, </w:t>
      </w:r>
      <w:proofErr w:type="spellStart"/>
      <w:r w:rsidRPr="00D472A8">
        <w:t>Hg</w:t>
      </w:r>
      <w:proofErr w:type="spellEnd"/>
      <w:r w:rsidRPr="00D472A8">
        <w:t xml:space="preserve">, </w:t>
      </w:r>
      <w:proofErr w:type="spellStart"/>
      <w:r w:rsidRPr="00D472A8">
        <w:t>Mn</w:t>
      </w:r>
      <w:proofErr w:type="spellEnd"/>
      <w:r w:rsidRPr="00D472A8">
        <w:t xml:space="preserve">, Ni, </w:t>
      </w:r>
      <w:proofErr w:type="spellStart"/>
      <w:r w:rsidRPr="00D472A8">
        <w:t>Pb</w:t>
      </w:r>
      <w:proofErr w:type="spellEnd"/>
      <w:r w:rsidRPr="00D472A8">
        <w:t xml:space="preserve">, V a </w:t>
      </w:r>
      <w:proofErr w:type="spellStart"/>
      <w:r w:rsidRPr="00D472A8">
        <w:t>Zn</w:t>
      </w:r>
      <w:proofErr w:type="spellEnd"/>
      <w:r w:rsidRPr="00D472A8">
        <w:t>) a jejich obsah ve výluhu v 2M HNO</w:t>
      </w:r>
      <w:r w:rsidRPr="00D472A8">
        <w:rPr>
          <w:vertAlign w:val="subscript"/>
        </w:rPr>
        <w:t>3</w:t>
      </w:r>
      <w:r w:rsidRPr="00D472A8">
        <w:t xml:space="preserve"> (</w:t>
      </w:r>
      <w:proofErr w:type="spellStart"/>
      <w:r w:rsidRPr="00D472A8">
        <w:t>Hg</w:t>
      </w:r>
      <w:proofErr w:type="spellEnd"/>
      <w:r w:rsidRPr="00D472A8">
        <w:t xml:space="preserve"> stanovena metodou AMA). V 5 (+3) vzorcích byly analyzovány obsahy perzistentních organických polutantů (</w:t>
      </w:r>
      <w:r>
        <w:t>POP) ze skupiny monocyklických (MAU) a polycyklických aromatických (PAU)</w:t>
      </w:r>
      <w:r w:rsidRPr="00D472A8">
        <w:t xml:space="preserve"> a chlorovaných uhlovodíků, reziduí pesticidů a ropných uhlovodíků. Na 8 lokalitách byl proveden také odběr vzorků rostlin, v nichž se následně stanovil obsah výše uvedených rizikových prvků. Ve 3 vzorcích rostlin byly analyzovány obsahy POP.</w:t>
      </w:r>
    </w:p>
    <w:p w:rsidR="00432C39" w:rsidRDefault="00432C39" w:rsidP="003B7071">
      <w:r>
        <w:t>Zátěž rostlin rizikovými prvky v daném okrese je nízká a ani v jednom případě nebyly zjištěny nadlimitní obsahy uvedené ve směrnici Evropského parlamentu a Rady 2002/32/EC.</w:t>
      </w:r>
    </w:p>
    <w:p w:rsidR="00432C39" w:rsidRDefault="00432C39" w:rsidP="003B7071">
      <w:r>
        <w:t xml:space="preserve">Zátěž okresu MAU je velmi nízká, na žádné lokalitě sledovaného okresu nebyly překročeny limitní hodnoty dané vyhláškou </w:t>
      </w:r>
      <w:r w:rsidR="006F287F">
        <w:t xml:space="preserve">č. </w:t>
      </w:r>
      <w:r>
        <w:t xml:space="preserve">13/1994 Sb. Hodnoty navrhované v návrhu </w:t>
      </w:r>
      <w:r>
        <w:lastRenderedPageBreak/>
        <w:t xml:space="preserve">novelizace vyhlášky </w:t>
      </w:r>
      <w:r w:rsidR="006F287F">
        <w:t xml:space="preserve">č. </w:t>
      </w:r>
      <w:r>
        <w:t>13/1994 Sb. byly překročeny ve dvou případech, jedná se o mírná překročení.</w:t>
      </w:r>
    </w:p>
    <w:p w:rsidR="00432C39" w:rsidRDefault="00432C39" w:rsidP="003B7071">
      <w:r>
        <w:t xml:space="preserve">Překročení limitní hodnoty dané vyhláškou pro sumu sloučenin PAU v okrese Svitavy nebylo zjištěno. Pro jednotlivé </w:t>
      </w:r>
      <w:proofErr w:type="spellStart"/>
      <w:r>
        <w:t>polyaromatické</w:t>
      </w:r>
      <w:proofErr w:type="spellEnd"/>
      <w:r>
        <w:t xml:space="preserve"> uhlovodíky byl nejvyšší počet překročení zjištěn u </w:t>
      </w:r>
      <w:proofErr w:type="spellStart"/>
      <w:r>
        <w:t>chrysenu</w:t>
      </w:r>
      <w:proofErr w:type="spellEnd"/>
      <w:r>
        <w:t>.</w:t>
      </w:r>
    </w:p>
    <w:p w:rsidR="00432C39" w:rsidRDefault="00432C39" w:rsidP="003B7071">
      <w:r>
        <w:t>V rámci sledování chlorovaných látek a pesticidů byla v okrese Svitavy překročena ve dvou případech limitní hodnota pro DDT, stejný výsledek vyplývá z porovnání s hodnotami novelizace vyhlášky. Každoroční nález překročení limitních hodnot pro DDT a jeho rezidua potvrzuje dlouhodobé poznatky o perzistenci těchto látek v našich zemědělských půdách.</w:t>
      </w:r>
    </w:p>
    <w:p w:rsidR="00432C39" w:rsidRDefault="00432C39" w:rsidP="003B7071">
      <w:r>
        <w:t>V okrese Svitavy byl nalezen jeden případ překročení hodnot daných vyhláškou pro uhlovodíky C10-40, indikující ropné znečištění.</w:t>
      </w:r>
    </w:p>
    <w:p w:rsidR="00432C39" w:rsidRDefault="00432C39" w:rsidP="003B7071">
      <w:r>
        <w:t xml:space="preserve">VÚMOP také pokračoval </w:t>
      </w:r>
      <w:r w:rsidRPr="00B72139">
        <w:t>v monitoringu vybraných cizorodých látek v povrchových vodách drobných vodních toků a malých vodních nádrží. Monitoring probíhal na 40 drobných vodních tocích (DVT) a 40 malých vodních nádržích (MVN), které spadají do 7 oblasti povodí pokrývající celé území ČR. Stav jakosti povrchových vod DVT a MVN je možno obecně považovat za uspokojivý, většina odebraných vzorků odpovídá I. nebo II. třídě jakosti vod. Stále však dochází k překračování imisních limit</w:t>
      </w:r>
      <w:r>
        <w:t>ů jak pro těžké kovy</w:t>
      </w:r>
      <w:r w:rsidR="00BB3B37">
        <w:t>, tak pro PCB a </w:t>
      </w:r>
      <w:r w:rsidRPr="00B72139">
        <w:t>PAU v DVT.</w:t>
      </w:r>
    </w:p>
    <w:p w:rsidR="00432C39" w:rsidRDefault="00432C39" w:rsidP="003B7071">
      <w:r w:rsidRPr="00B13DE0">
        <w:t>Více i</w:t>
      </w:r>
      <w:r>
        <w:t xml:space="preserve">nformací lze nalézt na </w:t>
      </w:r>
      <w:hyperlink r:id="rId85" w:history="1">
        <w:r w:rsidRPr="00496C88">
          <w:rPr>
            <w:rStyle w:val="Hypertextovodkaz"/>
          </w:rPr>
          <w:t>www.vumop.cz</w:t>
        </w:r>
      </w:hyperlink>
      <w:r w:rsidRPr="00B13DE0">
        <w:t>.</w:t>
      </w:r>
    </w:p>
    <w:p w:rsidR="00432C39" w:rsidRDefault="00432C39" w:rsidP="003B7071">
      <w:pPr>
        <w:pStyle w:val="Norm-Bold"/>
      </w:pPr>
      <w:r w:rsidRPr="00B13DE0">
        <w:t>Monitoring VÚRV</w:t>
      </w:r>
    </w:p>
    <w:p w:rsidR="00432C39" w:rsidRDefault="00432C39" w:rsidP="003B7071">
      <w:r>
        <w:t>S</w:t>
      </w:r>
      <w:r w:rsidRPr="00B13DE0">
        <w:t>leduje imisní situaci v rezortu zemědělství. V roce 2014 byl zajištěn provoz devíti imisních stanic pro přímé přístrojové měření oz</w:t>
      </w:r>
      <w:r w:rsidR="00436EB7">
        <w:t>o</w:t>
      </w:r>
      <w:r w:rsidRPr="00B13DE0">
        <w:t xml:space="preserve">nu v průběhu vegetačního období na základě metody </w:t>
      </w:r>
      <w:proofErr w:type="spellStart"/>
      <w:r w:rsidRPr="00B13DE0">
        <w:t>Radiello</w:t>
      </w:r>
      <w:proofErr w:type="spellEnd"/>
      <w:r w:rsidRPr="00B13DE0">
        <w:t xml:space="preserve">. Bylo uskutečněno 15 odběrů půd, 6 </w:t>
      </w:r>
      <w:r w:rsidR="00BB3B37">
        <w:t xml:space="preserve">odběrů </w:t>
      </w:r>
      <w:r w:rsidRPr="00B13DE0">
        <w:t>rostlin-bi</w:t>
      </w:r>
      <w:r w:rsidR="00BB3B37">
        <w:t xml:space="preserve">oindikátorů a 12 odběrů </w:t>
      </w:r>
      <w:r w:rsidRPr="00B13DE0">
        <w:t xml:space="preserve">vzorků běžných zemědělských plodin, a to </w:t>
      </w:r>
      <w:r w:rsidR="00BB3B37">
        <w:t>na obsah 20 rizikových prvků, 5 </w:t>
      </w:r>
      <w:proofErr w:type="spellStart"/>
      <w:r w:rsidRPr="00B13DE0">
        <w:t>makroprvků</w:t>
      </w:r>
      <w:proofErr w:type="spellEnd"/>
      <w:r w:rsidRPr="00B13DE0">
        <w:t xml:space="preserve"> a u půd navíc humus a pH.</w:t>
      </w:r>
    </w:p>
    <w:p w:rsidR="00432C39" w:rsidRDefault="00432C39" w:rsidP="003B7071">
      <w:r w:rsidRPr="00B13DE0">
        <w:t>Více i</w:t>
      </w:r>
      <w:r>
        <w:t xml:space="preserve">nformací lze nalézt na </w:t>
      </w:r>
      <w:hyperlink r:id="rId86" w:history="1">
        <w:r w:rsidRPr="00B35A6B">
          <w:rPr>
            <w:rStyle w:val="Hypertextovodkaz"/>
          </w:rPr>
          <w:t>www.vurv.cz</w:t>
        </w:r>
      </w:hyperlink>
      <w:r w:rsidRPr="00B13DE0">
        <w:t>.</w:t>
      </w:r>
    </w:p>
    <w:p w:rsidR="00432C39" w:rsidRDefault="00432C39" w:rsidP="003B7071">
      <w:pPr>
        <w:pStyle w:val="Norm-Bold"/>
      </w:pPr>
      <w:r w:rsidRPr="00B13DE0">
        <w:t>Monitoring VÚLHM</w:t>
      </w:r>
    </w:p>
    <w:p w:rsidR="00432C39" w:rsidRDefault="00432C39" w:rsidP="003B7071">
      <w:r w:rsidRPr="00B13DE0">
        <w:t xml:space="preserve">Provádí monitoring cizorodých látek v lesních ekosystémech a v roce 2014 byl stejně jako v minulých letech zaměřen na zjišťování obsahu vybraných těžkých kovů v jedlých houbách a na stanovení polycyklických aromatických uhlovodíků (PAU), </w:t>
      </w:r>
      <w:proofErr w:type="spellStart"/>
      <w:r w:rsidRPr="00B13DE0">
        <w:t>organochlorových</w:t>
      </w:r>
      <w:proofErr w:type="spellEnd"/>
      <w:r w:rsidRPr="00B13DE0">
        <w:t xml:space="preserve"> pesticidů (OCP) a polychlorovaných bifenylů (PCB). V průběhu letních měsíců 2014 bylo sebráno 30 vzorků jedlých hub, reprezentujících 6 druhů ve 28 lesních oblastech a 15 vzorků lesních plodů reprezentujících 11 lesních oblastí. Jednalo se o 14 vzorků borůvky černé (</w:t>
      </w:r>
      <w:proofErr w:type="spellStart"/>
      <w:r w:rsidRPr="00B13DE0">
        <w:t>Vaccinium</w:t>
      </w:r>
      <w:proofErr w:type="spellEnd"/>
      <w:r w:rsidRPr="00B13DE0">
        <w:t xml:space="preserve"> </w:t>
      </w:r>
      <w:proofErr w:type="spellStart"/>
      <w:r w:rsidRPr="00B13DE0">
        <w:t>myrtillus</w:t>
      </w:r>
      <w:proofErr w:type="spellEnd"/>
      <w:r w:rsidRPr="00B13DE0">
        <w:t>) a jeden vzorek ostružiníku maliníku (</w:t>
      </w:r>
      <w:proofErr w:type="spellStart"/>
      <w:r w:rsidRPr="00B13DE0">
        <w:t>Rubus</w:t>
      </w:r>
      <w:proofErr w:type="spellEnd"/>
      <w:r w:rsidRPr="00B13DE0">
        <w:t xml:space="preserve"> </w:t>
      </w:r>
      <w:proofErr w:type="spellStart"/>
      <w:r w:rsidRPr="00B13DE0">
        <w:t>idaeus</w:t>
      </w:r>
      <w:proofErr w:type="spellEnd"/>
      <w:r w:rsidRPr="00B13DE0">
        <w:t>).</w:t>
      </w:r>
    </w:p>
    <w:p w:rsidR="00432C39" w:rsidRDefault="00432C39" w:rsidP="003B7071">
      <w:r>
        <w:t xml:space="preserve">Ve 20 vzorcích hub a 5 vzorcích lesních plodů byly analyzovány těžké kovy (Cd, </w:t>
      </w:r>
      <w:proofErr w:type="spellStart"/>
      <w:r>
        <w:t>Cu</w:t>
      </w:r>
      <w:proofErr w:type="spellEnd"/>
      <w:r>
        <w:t xml:space="preserve">, </w:t>
      </w:r>
      <w:proofErr w:type="spellStart"/>
      <w:r>
        <w:t>Hg</w:t>
      </w:r>
      <w:proofErr w:type="spellEnd"/>
      <w:r>
        <w:t xml:space="preserve">), PAU, PCB a OCP. Aktivita Cs-137 byla proměřena u všech sebraných vzorků. </w:t>
      </w:r>
      <w:r>
        <w:lastRenderedPageBreak/>
        <w:t>Hygienické limity těžkých kovů pro houby volně rostoucí nejsou stanoveny, a proto je pokračováno v hodnocení dle stejných kritérií jako v předchozích letech (dříve byly limity pro obsah těžkých kovů v sušených houbách dány vyhláškou č. 53/2002 Sb.) V roce 2014 překročilo koncentraci kadmia 2 mg.kg</w:t>
      </w:r>
      <w:r>
        <w:rPr>
          <w:vertAlign w:val="superscript"/>
        </w:rPr>
        <w:t>-1</w:t>
      </w:r>
      <w:r>
        <w:t xml:space="preserve"> 7 vzorků, což představuje 35 % z celkového počtu analyzovaných vzorků. Koncentraci rtuti 5 mg.kg</w:t>
      </w:r>
      <w:r>
        <w:rPr>
          <w:vertAlign w:val="superscript"/>
        </w:rPr>
        <w:t>-1</w:t>
      </w:r>
      <w:r>
        <w:t xml:space="preserve"> nepřekročil žádný z měřených vzorků. P</w:t>
      </w:r>
      <w:r w:rsidR="00BB3B37">
        <w:t xml:space="preserve">ři </w:t>
      </w:r>
      <w:r>
        <w:t>hodno</w:t>
      </w:r>
      <w:r w:rsidR="00BB3B37">
        <w:t>cení</w:t>
      </w:r>
      <w:r>
        <w:t xml:space="preserve"> výskyt</w:t>
      </w:r>
      <w:r w:rsidR="00BB3B37">
        <w:t>u</w:t>
      </w:r>
      <w:r>
        <w:t xml:space="preserve"> mědi a rtuti jako reziduí pesticidů, dle vyhlášky </w:t>
      </w:r>
      <w:r w:rsidR="006F287F">
        <w:t>č. 272/2008 </w:t>
      </w:r>
      <w:r>
        <w:t xml:space="preserve">Sb. a zákona </w:t>
      </w:r>
      <w:r w:rsidR="006F287F">
        <w:t xml:space="preserve">č. </w:t>
      </w:r>
      <w:r>
        <w:t>387/2008 Sb., by limitní hodnotu mědi 10 mg.kg</w:t>
      </w:r>
      <w:r>
        <w:rPr>
          <w:vertAlign w:val="superscript"/>
        </w:rPr>
        <w:t>-1</w:t>
      </w:r>
      <w:r w:rsidR="006F287F">
        <w:t xml:space="preserve"> v </w:t>
      </w:r>
      <w:r>
        <w:t>čerstvém vzorku v roce 2014 nepřekročil žádný vzorek a</w:t>
      </w:r>
      <w:r w:rsidR="006F287F">
        <w:t xml:space="preserve"> limitní koncentraci rtuti (0,1 </w:t>
      </w:r>
      <w:r>
        <w:t>mg.</w:t>
      </w:r>
      <w:r w:rsidRPr="0045671C">
        <w:t>kg</w:t>
      </w:r>
      <w:r>
        <w:rPr>
          <w:vertAlign w:val="superscript"/>
        </w:rPr>
        <w:t>-1</w:t>
      </w:r>
      <w:r>
        <w:t xml:space="preserve"> </w:t>
      </w:r>
      <w:r w:rsidRPr="0045671C">
        <w:t>sušiny</w:t>
      </w:r>
      <w:r>
        <w:t>) by žádný vzorek nevyhověl.</w:t>
      </w:r>
    </w:p>
    <w:p w:rsidR="00432C39" w:rsidRDefault="00432C39" w:rsidP="003B7071">
      <w:r>
        <w:t xml:space="preserve">PCB byly v roce 2014 detekovány u dvou vzorků hub, a to v hodnotě 1,78 </w:t>
      </w:r>
      <w:r w:rsidR="00EC064A">
        <w:t>µg.kg</w:t>
      </w:r>
      <w:r w:rsidR="00EC064A">
        <w:rPr>
          <w:vertAlign w:val="superscript"/>
        </w:rPr>
        <w:noBreakHyphen/>
        <w:t xml:space="preserve">1 </w:t>
      </w:r>
      <w:r>
        <w:t>a 1,06 µg.kg</w:t>
      </w:r>
      <w:r>
        <w:rPr>
          <w:vertAlign w:val="superscript"/>
        </w:rPr>
        <w:noBreakHyphen/>
        <w:t>1</w:t>
      </w:r>
      <w:r>
        <w:t>. V lesních plodech byly všechny koncentrace pod detekčním limitem 0,6 µg.kg</w:t>
      </w:r>
      <w:r w:rsidRPr="001B3C6D">
        <w:rPr>
          <w:vertAlign w:val="superscript"/>
        </w:rPr>
        <w:noBreakHyphen/>
      </w:r>
      <w:r>
        <w:rPr>
          <w:vertAlign w:val="superscript"/>
        </w:rPr>
        <w:t>1</w:t>
      </w:r>
      <w:r>
        <w:t>.</w:t>
      </w:r>
    </w:p>
    <w:p w:rsidR="00432C39" w:rsidRDefault="00432C39" w:rsidP="003B7071">
      <w:r>
        <w:t>Rezidua pesticidů jsou hodnocena podle vyhlášky MZd č. 272/2008 Sb. (a zákona č. 387/2008 Sb.), kterou se stanoví maximálně přípustné množství reziduí jednotlivých druhů pesticidů v potravinách a potravinových surovinách. Koncentrační rozmezí látek ze skupiny DDT bylo v houbách v minulých letech široké, v roce 2014 byly všechny hodnoty (u hub i lesních plodů) pod detekčním limitem.</w:t>
      </w:r>
    </w:p>
    <w:p w:rsidR="00432C39" w:rsidRDefault="00432C39" w:rsidP="003B7071">
      <w:proofErr w:type="spellStart"/>
      <w:r>
        <w:t>Hexachlorcyklohexany</w:t>
      </w:r>
      <w:proofErr w:type="spellEnd"/>
      <w:r>
        <w:t xml:space="preserve"> (αHCH, βHCH) a </w:t>
      </w:r>
      <w:proofErr w:type="spellStart"/>
      <w:r>
        <w:t>lindan</w:t>
      </w:r>
      <w:proofErr w:type="spellEnd"/>
      <w:r>
        <w:t xml:space="preserve"> (γ-HCH) nebyly v houbách ani v lesních plodech vůbec detekovány.</w:t>
      </w:r>
    </w:p>
    <w:p w:rsidR="00432C39" w:rsidRDefault="00432C39" w:rsidP="003B7071">
      <w:r>
        <w:t xml:space="preserve">Jako indikační látka pro výskyt a účinek PAU je nařízením komise (EU) č. 1881/2006 určen </w:t>
      </w:r>
      <w:proofErr w:type="spellStart"/>
      <w:r>
        <w:t>benzo</w:t>
      </w:r>
      <w:proofErr w:type="spellEnd"/>
      <w:r>
        <w:t xml:space="preserve">(a)pyren. Nařízením komice EU č. 835/2011 je indikace rozšířena na </w:t>
      </w:r>
      <w:proofErr w:type="spellStart"/>
      <w:r>
        <w:t>benzo</w:t>
      </w:r>
      <w:proofErr w:type="spellEnd"/>
      <w:r>
        <w:t xml:space="preserve">[a]pyren, </w:t>
      </w:r>
      <w:proofErr w:type="spellStart"/>
      <w:r>
        <w:t>chrysen</w:t>
      </w:r>
      <w:proofErr w:type="spellEnd"/>
      <w:r>
        <w:t xml:space="preserve">, </w:t>
      </w:r>
      <w:proofErr w:type="spellStart"/>
      <w:r>
        <w:t>benzo</w:t>
      </w:r>
      <w:proofErr w:type="spellEnd"/>
      <w:r>
        <w:t xml:space="preserve">[a]anthracen, </w:t>
      </w:r>
      <w:proofErr w:type="spellStart"/>
      <w:r>
        <w:t>benzo</w:t>
      </w:r>
      <w:proofErr w:type="spellEnd"/>
      <w:r>
        <w:t>[b]</w:t>
      </w:r>
      <w:proofErr w:type="spellStart"/>
      <w:r>
        <w:t>fluoranthen</w:t>
      </w:r>
      <w:proofErr w:type="spellEnd"/>
      <w:r>
        <w:t xml:space="preserve"> v jednodušší variantě a případně na </w:t>
      </w:r>
      <w:proofErr w:type="spellStart"/>
      <w:r>
        <w:t>benzo</w:t>
      </w:r>
      <w:proofErr w:type="spellEnd"/>
      <w:r>
        <w:t xml:space="preserve">[a]pyren, </w:t>
      </w:r>
      <w:proofErr w:type="spellStart"/>
      <w:r>
        <w:t>chrysen</w:t>
      </w:r>
      <w:proofErr w:type="spellEnd"/>
      <w:r>
        <w:t xml:space="preserve">, </w:t>
      </w:r>
      <w:proofErr w:type="spellStart"/>
      <w:r>
        <w:t>benzo</w:t>
      </w:r>
      <w:proofErr w:type="spellEnd"/>
      <w:r>
        <w:t xml:space="preserve">[a]anthracen, </w:t>
      </w:r>
      <w:proofErr w:type="spellStart"/>
      <w:r>
        <w:t>benzo</w:t>
      </w:r>
      <w:proofErr w:type="spellEnd"/>
      <w:r>
        <w:t>[b]</w:t>
      </w:r>
      <w:proofErr w:type="spellStart"/>
      <w:r>
        <w:t>fluoranthen</w:t>
      </w:r>
      <w:proofErr w:type="spellEnd"/>
      <w:r>
        <w:t xml:space="preserve">, </w:t>
      </w:r>
      <w:proofErr w:type="spellStart"/>
      <w:r>
        <w:t>benzo</w:t>
      </w:r>
      <w:proofErr w:type="spellEnd"/>
      <w:r>
        <w:t>[k]</w:t>
      </w:r>
      <w:proofErr w:type="spellStart"/>
      <w:r>
        <w:t>fluoranthen</w:t>
      </w:r>
      <w:proofErr w:type="spellEnd"/>
      <w:r>
        <w:t xml:space="preserve">, </w:t>
      </w:r>
      <w:proofErr w:type="spellStart"/>
      <w:r>
        <w:t>benzo</w:t>
      </w:r>
      <w:proofErr w:type="spellEnd"/>
      <w:r>
        <w:t>[</w:t>
      </w:r>
      <w:proofErr w:type="spellStart"/>
      <w:r>
        <w:t>g,h,i</w:t>
      </w:r>
      <w:proofErr w:type="spellEnd"/>
      <w:r>
        <w:t>]</w:t>
      </w:r>
      <w:proofErr w:type="spellStart"/>
      <w:r>
        <w:t>perylen</w:t>
      </w:r>
      <w:proofErr w:type="spellEnd"/>
      <w:r>
        <w:t xml:space="preserve">, </w:t>
      </w:r>
      <w:proofErr w:type="spellStart"/>
      <w:r>
        <w:t>dibenzo</w:t>
      </w:r>
      <w:proofErr w:type="spellEnd"/>
      <w:r>
        <w:t>[</w:t>
      </w:r>
      <w:proofErr w:type="spellStart"/>
      <w:r>
        <w:t>a,h</w:t>
      </w:r>
      <w:proofErr w:type="spellEnd"/>
      <w:r>
        <w:t xml:space="preserve">]anthracen a </w:t>
      </w:r>
      <w:proofErr w:type="spellStart"/>
      <w:r>
        <w:t>indeno</w:t>
      </w:r>
      <w:proofErr w:type="spellEnd"/>
      <w:r>
        <w:t>[1,2,3-c,d]pyren v náročnější variantě.</w:t>
      </w:r>
    </w:p>
    <w:p w:rsidR="00432C39" w:rsidRDefault="00432C39" w:rsidP="003B7071">
      <w:r>
        <w:t>V příloze nařízení jsou stanoveny maximální limity (v µg.kg</w:t>
      </w:r>
      <w:r>
        <w:rPr>
          <w:vertAlign w:val="superscript"/>
        </w:rPr>
        <w:t>-1</w:t>
      </w:r>
      <w:r>
        <w:t xml:space="preserve"> čerstvé hmotnosti) pro vyjmenované potraviny, mezi které skupina vzorků, které </w:t>
      </w:r>
      <w:r w:rsidR="00EC064A">
        <w:t xml:space="preserve">jsou </w:t>
      </w:r>
      <w:r>
        <w:t>šetře</w:t>
      </w:r>
      <w:r w:rsidR="00EC064A">
        <w:t>ny</w:t>
      </w:r>
      <w:r>
        <w:t>, zatím nepatří. Limity se pohybují v rozmezí 2-10 µg.kg</w:t>
      </w:r>
      <w:r>
        <w:rPr>
          <w:vertAlign w:val="superscript"/>
        </w:rPr>
        <w:t>-1</w:t>
      </w:r>
      <w:r>
        <w:t xml:space="preserve"> čerstvého vzorku, tzn., že pro suché houby i lesní plody by byla mezní koncentrace přibližně desetinásobná.</w:t>
      </w:r>
    </w:p>
    <w:p w:rsidR="00432C39" w:rsidRDefault="00432C39" w:rsidP="003B7071">
      <w:r>
        <w:t>V roce 2014 nebyly zjištěny žádné hodnoty vyšší než 100 µg.kg</w:t>
      </w:r>
      <w:r>
        <w:rPr>
          <w:vertAlign w:val="superscript"/>
        </w:rPr>
        <w:t>-1</w:t>
      </w:r>
      <w:r>
        <w:t xml:space="preserve"> sušiny. Nejvyšší koncentrace byly naměřeny ve vzorcích suchohřibu hnědého z lokalit Žďárná (okres Blansko) a Miletín (okres Jičín) – 83 a 81 µg.kg</w:t>
      </w:r>
      <w:r>
        <w:rPr>
          <w:vertAlign w:val="superscript"/>
        </w:rPr>
        <w:t>-1</w:t>
      </w:r>
      <w:r>
        <w:t xml:space="preserve"> sušiny. Průměrná hodnota v pomyslném houbovém koši představuje 52 µg.kg</w:t>
      </w:r>
      <w:r>
        <w:rPr>
          <w:vertAlign w:val="superscript"/>
        </w:rPr>
        <w:t>-1</w:t>
      </w:r>
      <w:r>
        <w:t>. V sušině lesních plodů bylo zjištěno méně látek ze skupiny PAU než v houbách. Průměrná hodnota připadající na jeden vzorek na území ČR činila v roce 2014 20,17 µg.kg</w:t>
      </w:r>
      <w:r>
        <w:rPr>
          <w:vertAlign w:val="superscript"/>
        </w:rPr>
        <w:t>-1</w:t>
      </w:r>
      <w:r>
        <w:t>. Maximální množství 32,4 µg.kg</w:t>
      </w:r>
      <w:r>
        <w:rPr>
          <w:vertAlign w:val="superscript"/>
        </w:rPr>
        <w:t>-1</w:t>
      </w:r>
      <w:r>
        <w:t xml:space="preserve"> bylo zjištěno u vzorku borůvek z lokality Cikháj na Českomoravské vrchovině.</w:t>
      </w:r>
    </w:p>
    <w:p w:rsidR="00432C39" w:rsidRDefault="00432C39" w:rsidP="003B7071">
      <w:r>
        <w:lastRenderedPageBreak/>
        <w:t>Zjištěné aktivity cesia-137 v houbách byly v roce 2014, stejně jako v letech minulých, značně rozkolísané. Nejvyšší přípustnou úroveň radioaktivní kontaminace potravin platnou pro přetrvávající ozáření po černobylské havárii (</w:t>
      </w:r>
      <w:r w:rsidR="006F287F">
        <w:t>v</w:t>
      </w:r>
      <w:r>
        <w:t xml:space="preserve">yhláška č. 307/2002 Sb.) překročil jeden vzorek. Všechny </w:t>
      </w:r>
      <w:r w:rsidR="00EC064A">
        <w:t xml:space="preserve">vzorky </w:t>
      </w:r>
      <w:r>
        <w:t>lesních plodů se v roce 2014 nacházejí pod limitem. Průměrná hodnota v pomyslném houbovém koši 979 Bq.kg</w:t>
      </w:r>
      <w:r>
        <w:rPr>
          <w:vertAlign w:val="superscript"/>
        </w:rPr>
        <w:t>-1</w:t>
      </w:r>
      <w:r>
        <w:t xml:space="preserve"> nepředstavuje nebezpečí pro konzumaci.</w:t>
      </w:r>
    </w:p>
    <w:p w:rsidR="00432C39" w:rsidRPr="00B13DE0" w:rsidRDefault="00432C39" w:rsidP="003B7071">
      <w:r>
        <w:t xml:space="preserve">Více informací lze nalézt na </w:t>
      </w:r>
      <w:hyperlink r:id="rId87" w:history="1">
        <w:r w:rsidRPr="00496C88">
          <w:rPr>
            <w:rStyle w:val="Hypertextovodkaz"/>
          </w:rPr>
          <w:t>www.vulhm.cz</w:t>
        </w:r>
      </w:hyperlink>
      <w:r>
        <w:t>.</w:t>
      </w:r>
    </w:p>
    <w:p w:rsidR="00432C39" w:rsidRPr="00FA785D" w:rsidRDefault="00432C39" w:rsidP="003B7071">
      <w:pPr>
        <w:pStyle w:val="Norm-Bold"/>
      </w:pPr>
      <w:r w:rsidRPr="00FA785D">
        <w:t>Školení inspektorů dozorových orgánů</w:t>
      </w:r>
    </w:p>
    <w:p w:rsidR="00432C39" w:rsidRPr="00D472A8" w:rsidRDefault="00432C39" w:rsidP="003B7071">
      <w:r w:rsidRPr="00D472A8">
        <w:t>Potřeba jednotného školení inspektorů vychází z nařízení Evropského parlamentu a Rady (ES) č. 882/2004 ze dne 29. dubna 2004 o úředních kontrolách za účelem ověření dodržování právních předpisů týkajících se krmiv a potravin a pravidel o zdraví zvířat a dobrých životních podmínkách zvířat. Obsah modulů (kurzů) školení vychází z oblastí uvedených v kapitole I, přílohy II, nařízení Evropského parlamentu a Rady (ES) č. 882/2004. Za oblast školení je zodpovědný Odbor bezpečnosti potravin MZe.</w:t>
      </w:r>
    </w:p>
    <w:p w:rsidR="00432C39" w:rsidRPr="00D472A8" w:rsidRDefault="00432C39" w:rsidP="003B7071">
      <w:r>
        <w:t xml:space="preserve">Plnění požadavků EU probíhá </w:t>
      </w:r>
      <w:r w:rsidRPr="00D472A8">
        <w:t>o</w:t>
      </w:r>
      <w:r>
        <w:t>d roku 2011 školení</w:t>
      </w:r>
      <w:r w:rsidR="006E2CA8">
        <w:t>m</w:t>
      </w:r>
      <w:r w:rsidRPr="00D472A8">
        <w:t xml:space="preserve"> e-</w:t>
      </w:r>
      <w:proofErr w:type="spellStart"/>
      <w:r w:rsidRPr="00D472A8">
        <w:t>learningovou</w:t>
      </w:r>
      <w:proofErr w:type="spellEnd"/>
      <w:r w:rsidRPr="00D472A8">
        <w:t xml:space="preserve"> formou, která značně šetří finanční prostředky. Odborným garantem je VFU, která zajistila odborníky, kteří postupně zpracovali odborné texty každého modulu (kurzu) a jsou k dispozici při aplikac</w:t>
      </w:r>
      <w:r>
        <w:t>i e</w:t>
      </w:r>
      <w:r w:rsidR="006E2CA8">
        <w:noBreakHyphen/>
      </w:r>
      <w:r>
        <w:t>kurzu. Technickou podporu e</w:t>
      </w:r>
      <w:r>
        <w:noBreakHyphen/>
      </w:r>
      <w:r w:rsidRPr="00D472A8">
        <w:t>learningového kurzu zajišťuje ÚZEI prostřednictv</w:t>
      </w:r>
      <w:r w:rsidR="006E2CA8">
        <w:t>ím LMS eDoceo. ÚZEI, VFU a </w:t>
      </w:r>
      <w:r w:rsidRPr="00D472A8">
        <w:t>MZe (odbor bezpečnosti potravin) vzájemně spolupracují.</w:t>
      </w:r>
    </w:p>
    <w:p w:rsidR="00432C39" w:rsidRDefault="00432C39" w:rsidP="003B7071">
      <w:r w:rsidRPr="0025197D">
        <w:t>Třetí kolo e</w:t>
      </w:r>
      <w:r w:rsidR="00A5263D">
        <w:t>-kurzů pro všech 15 modulů bylo </w:t>
      </w:r>
      <w:r w:rsidRPr="0025197D">
        <w:t>spuštěno od 1. října 2013 do 30. dubna 2014, úspěšn</w:t>
      </w:r>
      <w:r w:rsidR="00A5263D">
        <w:t>ě absolvovalo 71 účastníků z 80 </w:t>
      </w:r>
      <w:r w:rsidRPr="0025197D">
        <w:t>přihlášených. Č</w:t>
      </w:r>
      <w:r w:rsidR="00804D41">
        <w:t>tvrté kolo e-kurzů pro všech 15 </w:t>
      </w:r>
      <w:r w:rsidRPr="0025197D">
        <w:t>modulů bylo spuš</w:t>
      </w:r>
      <w:r>
        <w:t>těno od 1. října 2014 a </w:t>
      </w:r>
      <w:r w:rsidRPr="0025197D">
        <w:t xml:space="preserve">potrvá do </w:t>
      </w:r>
      <w:r w:rsidR="00804D41">
        <w:t>30. dubna 2015, nahlášeno je 81 </w:t>
      </w:r>
      <w:r w:rsidRPr="0025197D">
        <w:t>účastníků. Účastníci e-kurzů na závěr školení prochází závěrečným testem, jehož úspěšné zvládnutí je nezbytným předpokladem pro vystavení certifikátu potvrzujícího absolvování školení.</w:t>
      </w:r>
    </w:p>
    <w:p w:rsidR="00432C39" w:rsidRPr="00D472A8" w:rsidRDefault="00432C39" w:rsidP="003B7071">
      <w:pPr>
        <w:pStyle w:val="Norm-Bold"/>
      </w:pPr>
      <w:r w:rsidRPr="00D472A8">
        <w:t>Vědecké výbory</w:t>
      </w:r>
    </w:p>
    <w:p w:rsidR="00432C39" w:rsidRDefault="00432C39" w:rsidP="003B7071">
      <w:r w:rsidRPr="00D472A8">
        <w:t>Vědecké výbory (expertní skupiny) jsou poradními orgány Koordinační skupiny bezpečnosti potravin. Jejich úkolem je zpracovávat vědecké studie, poskytovat odborná stanoviska, připravovat návrhy na přijímání opatření k zajištění zdravotní nezávadnosti v celém řetězci výroby potravin a krmiv a spolupracovat na řešení aktuálních otázek. Stanoviska vědeckých výborů jsou využívána jako nezávislá vědecká podpora pro experty podílející se na přípravě právních předpisů Evropského společenství. V rámci rezortu zemědělství působí tyto čtyři vědecké výbory: Vědecký výbor výživy zvířat při Výzkumném ústavu živočišné výroby, Vědecký výbor veterinární při Výzkumném ústavu veterinárního lékařství, Vědecký výbor fytosanitární a životního prostředí a Vědecký výbor pro geneticky modifikované potraviny a krmiva, oba při Výzkumném ústavu rostlinné výroby.</w:t>
      </w:r>
    </w:p>
    <w:p w:rsidR="00432C39" w:rsidRPr="00D472A8" w:rsidRDefault="00432C39" w:rsidP="003B7071">
      <w:r w:rsidRPr="000D26B5">
        <w:lastRenderedPageBreak/>
        <w:t>V roce 2014 došlo ke změně zajištění financování činnosti vědeckých výborů, které jsou nově fin</w:t>
      </w:r>
      <w:r>
        <w:t>ancovány prostřednictvím ÚZEI</w:t>
      </w:r>
      <w:r w:rsidRPr="000D26B5">
        <w:t>, jež je příspěvkovou org</w:t>
      </w:r>
      <w:r>
        <w:t>anizací MZe</w:t>
      </w:r>
      <w:r w:rsidRPr="000D26B5">
        <w:t xml:space="preserve">. Uvedené řešení umožňuje zajistit činnost vědeckých výborů </w:t>
      </w:r>
      <w:r>
        <w:t>administrativně jednodušeji. S </w:t>
      </w:r>
      <w:r w:rsidRPr="000D26B5">
        <w:t>ohledem na nejasnosti týkající se způsobu financování činnosti vědeckých výborů byla činnost vědeckých výborů silně omezena do druhé poloviny roku 2014.</w:t>
      </w:r>
    </w:p>
    <w:p w:rsidR="00432C39" w:rsidRPr="00D472A8" w:rsidRDefault="00432C39" w:rsidP="003B7071">
      <w:pPr>
        <w:pStyle w:val="Norm-Ital"/>
      </w:pPr>
      <w:r w:rsidRPr="00D472A8">
        <w:t>Vědecký výbor veterinární</w:t>
      </w:r>
    </w:p>
    <w:p w:rsidR="00432C39" w:rsidRDefault="00432C39" w:rsidP="003B7071">
      <w:r w:rsidRPr="00D472A8">
        <w:t>Činnost Vědeckého výboru veterinárního (VVV) pokračovala podle schvál</w:t>
      </w:r>
      <w:r>
        <w:t>eného plánu činnosti na rok 2014</w:t>
      </w:r>
      <w:r w:rsidRPr="00D472A8">
        <w:t>. Soustředěna byla na zpracování a projednání studií a stanovisek zaměřených do oblastí úzce spojených s problematikou zdraví zvířat, pohody zvířat, zoonóz, hygieny provozu, nezávadnosti živočišných produktů a krmiv.</w:t>
      </w:r>
    </w:p>
    <w:p w:rsidR="00432C39" w:rsidRPr="00D472A8" w:rsidRDefault="00432C39" w:rsidP="003B7071">
      <w:r w:rsidRPr="000D26B5">
        <w:t xml:space="preserve">Realizovány byly čtyři studie </w:t>
      </w:r>
      <w:r w:rsidR="00804D41">
        <w:t>„</w:t>
      </w:r>
      <w:r w:rsidRPr="000D26B5">
        <w:t xml:space="preserve">Virus </w:t>
      </w:r>
      <w:proofErr w:type="spellStart"/>
      <w:r w:rsidRPr="000D26B5">
        <w:t>porcinní</w:t>
      </w:r>
      <w:proofErr w:type="spellEnd"/>
      <w:r w:rsidRPr="000D26B5">
        <w:t xml:space="preserve"> epidemické </w:t>
      </w:r>
      <w:proofErr w:type="spellStart"/>
      <w:r w:rsidRPr="000D26B5">
        <w:t>diarrhey</w:t>
      </w:r>
      <w:proofErr w:type="spellEnd"/>
      <w:r w:rsidRPr="000D26B5">
        <w:t xml:space="preserve"> a její možný vliv na produkci a kvalitu potravin živočišného původu</w:t>
      </w:r>
      <w:r w:rsidR="00804D41">
        <w:t>“, „</w:t>
      </w:r>
      <w:r w:rsidRPr="000D26B5">
        <w:t xml:space="preserve">Použití antibiotik u zvířat s dopadem na zdraví lidí a zvířat – pilotní projekt na sledování spotřeb </w:t>
      </w:r>
      <w:proofErr w:type="spellStart"/>
      <w:r w:rsidRPr="000D26B5">
        <w:t>antimikrobik</w:t>
      </w:r>
      <w:proofErr w:type="spellEnd"/>
      <w:r w:rsidRPr="000D26B5">
        <w:t xml:space="preserve"> v chovech prasat</w:t>
      </w:r>
      <w:r w:rsidR="00804D41">
        <w:t>“,</w:t>
      </w:r>
      <w:r w:rsidRPr="000D26B5">
        <w:t xml:space="preserve"> </w:t>
      </w:r>
      <w:r w:rsidR="00804D41">
        <w:t>„</w:t>
      </w:r>
      <w:r w:rsidRPr="000D26B5">
        <w:t>Stanovení koňského masa metodou LC-MS/MS</w:t>
      </w:r>
      <w:r w:rsidR="00804D41">
        <w:t>“,</w:t>
      </w:r>
      <w:r w:rsidRPr="000D26B5">
        <w:t xml:space="preserve"> </w:t>
      </w:r>
      <w:r w:rsidR="00804D41">
        <w:t>„</w:t>
      </w:r>
      <w:r w:rsidRPr="000D26B5">
        <w:t xml:space="preserve">Význam a výskyt ESBL produkujících bakterií </w:t>
      </w:r>
      <w:proofErr w:type="spellStart"/>
      <w:r w:rsidRPr="000D26B5">
        <w:t>Escherichia</w:t>
      </w:r>
      <w:proofErr w:type="spellEnd"/>
      <w:r w:rsidRPr="000D26B5">
        <w:t xml:space="preserve"> coli v potravin</w:t>
      </w:r>
      <w:r>
        <w:t>ách v tržní síti ČR</w:t>
      </w:r>
      <w:r w:rsidR="00804D41">
        <w:t>“</w:t>
      </w:r>
      <w:r w:rsidRPr="000D26B5">
        <w:t>.</w:t>
      </w:r>
    </w:p>
    <w:p w:rsidR="00432C39" w:rsidRPr="00D472A8" w:rsidRDefault="00432C39" w:rsidP="003B7071">
      <w:r w:rsidRPr="00D472A8">
        <w:t xml:space="preserve">Aktuální informace naleznete na </w:t>
      </w:r>
      <w:hyperlink r:id="rId88" w:history="1">
        <w:r w:rsidRPr="00496C88">
          <w:rPr>
            <w:rStyle w:val="Hypertextovodkaz"/>
          </w:rPr>
          <w:t>www.vetcommittee.org</w:t>
        </w:r>
      </w:hyperlink>
      <w:r w:rsidRPr="00D472A8">
        <w:t>.</w:t>
      </w:r>
    </w:p>
    <w:p w:rsidR="00432C39" w:rsidRPr="00D472A8" w:rsidRDefault="00432C39" w:rsidP="003B7071">
      <w:pPr>
        <w:pStyle w:val="Norm-Ital"/>
      </w:pPr>
      <w:r w:rsidRPr="00D472A8">
        <w:t>Vědecký výbor výživy zvířat</w:t>
      </w:r>
    </w:p>
    <w:p w:rsidR="00432C39" w:rsidRPr="00D472A8" w:rsidRDefault="00432C39" w:rsidP="003B7071">
      <w:r w:rsidRPr="00D472A8">
        <w:t xml:space="preserve">Vědecký výbor výživy zvířat (VVVZ) se zabývá se otázkami v oblasti výživy zvířat (kvalita krmiv, krmná aditiva, stopové prvky a vedlejší produkty ve výživě zvířat, </w:t>
      </w:r>
      <w:proofErr w:type="spellStart"/>
      <w:r w:rsidRPr="00D472A8">
        <w:t>farmakostimulanty</w:t>
      </w:r>
      <w:proofErr w:type="spellEnd"/>
      <w:r w:rsidRPr="00D472A8">
        <w:t>) s dopadem na bezpečnost potravního řetězce.</w:t>
      </w:r>
    </w:p>
    <w:p w:rsidR="00432C39" w:rsidRDefault="00432C39" w:rsidP="003B7071">
      <w:r>
        <w:t>V roce 2014 VVVZ</w:t>
      </w:r>
      <w:r w:rsidRPr="00D472A8">
        <w:t xml:space="preserve"> uspořádal </w:t>
      </w:r>
      <w:r>
        <w:t>ve spolupráci s VÚŽV a MZe,</w:t>
      </w:r>
      <w:r w:rsidRPr="00DA1636">
        <w:t xml:space="preserve"> Koordinačním místem pro technickou a vědeckou spolupráci s EFSA</w:t>
      </w:r>
      <w:r>
        <w:t xml:space="preserve">, </w:t>
      </w:r>
      <w:r w:rsidRPr="00D472A8">
        <w:t xml:space="preserve">konferenci </w:t>
      </w:r>
      <w:r w:rsidR="008969A9">
        <w:t>„</w:t>
      </w:r>
      <w:r w:rsidRPr="00DA1636">
        <w:t>Aktuální pozna</w:t>
      </w:r>
      <w:r>
        <w:t>tky ve výživě a zdraví zvířat a </w:t>
      </w:r>
      <w:r w:rsidRPr="00DA1636">
        <w:t>bezpečno</w:t>
      </w:r>
      <w:r>
        <w:t>sti produktů</w:t>
      </w:r>
      <w:r w:rsidR="008969A9">
        <w:t>“</w:t>
      </w:r>
      <w:r w:rsidRPr="00DA1636">
        <w:t xml:space="preserve">. Zpracovány byly vědecké studie </w:t>
      </w:r>
      <w:r w:rsidR="008969A9">
        <w:t>„</w:t>
      </w:r>
      <w:r w:rsidRPr="00DA1636">
        <w:t>Vliv výživy na výskyt patogenních bakterií v drůbežím mase</w:t>
      </w:r>
      <w:r w:rsidR="008969A9">
        <w:t>“</w:t>
      </w:r>
      <w:r w:rsidRPr="00DA1636">
        <w:t xml:space="preserve"> a </w:t>
      </w:r>
      <w:r w:rsidR="008969A9">
        <w:t>„</w:t>
      </w:r>
      <w:r w:rsidRPr="00DA1636">
        <w:t>Antimikrob</w:t>
      </w:r>
      <w:r>
        <w:t>iální látky přírodního původu k </w:t>
      </w:r>
      <w:r w:rsidRPr="00DA1636">
        <w:t xml:space="preserve">ovlivnění </w:t>
      </w:r>
      <w:proofErr w:type="spellStart"/>
      <w:r w:rsidRPr="00DA1636">
        <w:t>bachorové</w:t>
      </w:r>
      <w:proofErr w:type="spellEnd"/>
      <w:r w:rsidRPr="00DA1636">
        <w:t xml:space="preserve"> fermentace</w:t>
      </w:r>
      <w:r w:rsidR="008969A9">
        <w:t>“</w:t>
      </w:r>
      <w:r w:rsidRPr="00DA1636">
        <w:t>.</w:t>
      </w:r>
    </w:p>
    <w:p w:rsidR="00432C39" w:rsidRPr="00D472A8" w:rsidRDefault="00432C39" w:rsidP="003B7071">
      <w:r w:rsidRPr="00D472A8">
        <w:t xml:space="preserve">Aktuální informace jsou dostupné na </w:t>
      </w:r>
      <w:hyperlink r:id="rId89" w:history="1">
        <w:r w:rsidRPr="00D472A8">
          <w:rPr>
            <w:rStyle w:val="Hypertextovodkaz"/>
          </w:rPr>
          <w:t>www.vuzv.cz</w:t>
        </w:r>
      </w:hyperlink>
      <w:r w:rsidRPr="00D472A8">
        <w:t>.</w:t>
      </w:r>
    </w:p>
    <w:p w:rsidR="00432C39" w:rsidRPr="00D472A8" w:rsidRDefault="00432C39" w:rsidP="003B7071">
      <w:pPr>
        <w:pStyle w:val="Norm-Ital"/>
      </w:pPr>
      <w:r w:rsidRPr="00D472A8">
        <w:t>Vědecký výbor fytosanitární a životního prostředí</w:t>
      </w:r>
    </w:p>
    <w:p w:rsidR="00432C39" w:rsidRPr="00D472A8" w:rsidRDefault="00432C39" w:rsidP="003B7071">
      <w:r w:rsidRPr="00D472A8">
        <w:t xml:space="preserve">Vědecký výbor fytosanitární a životního prostředí (VVF) působí v oblasti bezpečnosti potravin, které mají návaznost na problémy v primární zemědělské výrobě, importu a exportu zemědělských surovin/produktů a </w:t>
      </w:r>
      <w:proofErr w:type="spellStart"/>
      <w:r w:rsidRPr="00D472A8">
        <w:t>fyto</w:t>
      </w:r>
      <w:proofErr w:type="spellEnd"/>
      <w:r w:rsidRPr="00D472A8">
        <w:t>-karanténních oblastí, a problémů vznikajících důsledkem narušeného životního prostředí.</w:t>
      </w:r>
    </w:p>
    <w:p w:rsidR="00432C39" w:rsidRDefault="00432C39" w:rsidP="003B7071">
      <w:r w:rsidRPr="00BB330A">
        <w:t>V roce 2014 VVF zpracoval tři vědecké studie</w:t>
      </w:r>
      <w:r w:rsidR="00677363">
        <w:t>, a to</w:t>
      </w:r>
      <w:r w:rsidRPr="00BB330A">
        <w:t xml:space="preserve"> Mo</w:t>
      </w:r>
      <w:r>
        <w:t>nitoring škodlivých organismů a </w:t>
      </w:r>
      <w:r w:rsidRPr="00BB330A">
        <w:t>dynamika a účinnost insekticidních aerosolů ve vztahu k zajištění bezpečnosti potravin; Chemické kontaminanty v potravním řetězci: Výskyt směsí (</w:t>
      </w:r>
      <w:r>
        <w:t>koktejlů) toxických sloučenin v </w:t>
      </w:r>
      <w:r w:rsidRPr="00BB330A">
        <w:t xml:space="preserve">potravinových surovinách a produktech: Možné pohledy na hodnocení zdravotních rizik; Studie podklady pro NAP </w:t>
      </w:r>
      <w:r>
        <w:t>(</w:t>
      </w:r>
      <w:r w:rsidR="008969A9">
        <w:t>„</w:t>
      </w:r>
      <w:r>
        <w:t>Národní akční plán ke snížení používání pesticidů v ČR</w:t>
      </w:r>
      <w:r w:rsidR="008969A9">
        <w:t>“</w:t>
      </w:r>
      <w:r>
        <w:t>).</w:t>
      </w:r>
    </w:p>
    <w:p w:rsidR="00432C39" w:rsidRPr="00D472A8" w:rsidRDefault="00432C39" w:rsidP="003B7071">
      <w:r w:rsidRPr="00D472A8">
        <w:lastRenderedPageBreak/>
        <w:t xml:space="preserve">Aktuální informace jsou k dispozici na </w:t>
      </w:r>
      <w:hyperlink r:id="rId90" w:history="1">
        <w:r w:rsidRPr="00D472A8">
          <w:rPr>
            <w:rStyle w:val="Hypertextovodkaz"/>
          </w:rPr>
          <w:t>www.phytosanitary.org</w:t>
        </w:r>
      </w:hyperlink>
      <w:r w:rsidRPr="00D472A8">
        <w:t>.</w:t>
      </w:r>
    </w:p>
    <w:p w:rsidR="00432C39" w:rsidRPr="00D472A8" w:rsidRDefault="00432C39" w:rsidP="003B7071">
      <w:pPr>
        <w:pStyle w:val="Norm-Ital"/>
      </w:pPr>
      <w:r w:rsidRPr="00D472A8">
        <w:t>Vědecký výbor pro geneticky modifikované potraviny a krmiva</w:t>
      </w:r>
    </w:p>
    <w:p w:rsidR="00432C39" w:rsidRDefault="00432C39" w:rsidP="003B7071">
      <w:r w:rsidRPr="00D472A8">
        <w:t>Vědecký výbor pro geneticky modifikované potraviny a krmiva (VVG) zpracovává vědecká stanoviska ČR pro jednání na evropské úrovni v oblasti geneticky modifi</w:t>
      </w:r>
      <w:r>
        <w:t xml:space="preserve">kovaných (GM) potravin a krmiv. </w:t>
      </w:r>
      <w:r w:rsidRPr="003670AA">
        <w:t>V roce 2014 jich bylo posouzeno a pře</w:t>
      </w:r>
      <w:r>
        <w:t>dloženo MZe</w:t>
      </w:r>
      <w:r w:rsidRPr="003670AA">
        <w:t xml:space="preserve"> 12. Dle těchto stanovisek ČR hlasovala na jednání p</w:t>
      </w:r>
      <w:r>
        <w:t>racovních orgánů EK</w:t>
      </w:r>
      <w:r w:rsidRPr="003670AA">
        <w:t xml:space="preserve">. Vědecký výbor se mimo jiné věnuje hodnocení rizik GM potravin a krmiv a vyjadřuje se k aktuálním otázkám v rámci této problematiky. V roce 2014 se tento tým nezávislých vědců vyjadřoval k projektu GRACE (GMO </w:t>
      </w:r>
      <w:r w:rsidRPr="008520EA">
        <w:t xml:space="preserve">Risk </w:t>
      </w:r>
      <w:proofErr w:type="spellStart"/>
      <w:r w:rsidRPr="008520EA">
        <w:t>Assessment</w:t>
      </w:r>
      <w:proofErr w:type="spellEnd"/>
      <w:r w:rsidRPr="008520EA">
        <w:t xml:space="preserve"> and </w:t>
      </w:r>
      <w:proofErr w:type="spellStart"/>
      <w:r w:rsidRPr="008520EA">
        <w:t>Communication</w:t>
      </w:r>
      <w:proofErr w:type="spellEnd"/>
      <w:r w:rsidRPr="008520EA">
        <w:t xml:space="preserve"> </w:t>
      </w:r>
      <w:proofErr w:type="spellStart"/>
      <w:r w:rsidRPr="008520EA">
        <w:t>of</w:t>
      </w:r>
      <w:proofErr w:type="spellEnd"/>
      <w:r w:rsidRPr="008520EA">
        <w:t xml:space="preserve"> Evidence</w:t>
      </w:r>
      <w:r w:rsidRPr="003670AA">
        <w:t>), který se zabývá krmnými studiemi. Člen VVG se také účastnil mezinárodní konference Evropského úřadu pro bezpečnost potravin (EFSA) k hodnocení rizik GMO.</w:t>
      </w:r>
    </w:p>
    <w:p w:rsidR="00432C39" w:rsidRPr="00D472A8" w:rsidRDefault="00432C39" w:rsidP="003B7071">
      <w:r w:rsidRPr="00D472A8">
        <w:t xml:space="preserve">Informace o činnosti vědeckého výboru naleznete na </w:t>
      </w:r>
      <w:hyperlink r:id="rId91" w:history="1">
        <w:r w:rsidRPr="00D472A8">
          <w:rPr>
            <w:rStyle w:val="Hypertextovodkaz"/>
          </w:rPr>
          <w:t>www.scgmff.cz</w:t>
        </w:r>
      </w:hyperlink>
      <w:r w:rsidRPr="00D472A8">
        <w:t>.</w:t>
      </w:r>
    </w:p>
    <w:p w:rsidR="00432C39" w:rsidRPr="00D472A8" w:rsidRDefault="00432C39" w:rsidP="003B7071">
      <w:pPr>
        <w:pStyle w:val="Norm-Bold"/>
      </w:pPr>
      <w:r w:rsidRPr="00D472A8">
        <w:t>Spolupráce s EFSA</w:t>
      </w:r>
    </w:p>
    <w:p w:rsidR="00432C39" w:rsidRDefault="00432C39" w:rsidP="003B7071">
      <w:r w:rsidRPr="00D472A8">
        <w:t>Spolupráce ČR s EFSA, ať oficiální – zajišťovaná MZe, konkrétně Odborem bezpečnosti potravin, či expertní, je dlouhodobě na vysoké úrovni. Do spolupráce s EFSA byla</w:t>
      </w:r>
      <w:r>
        <w:t xml:space="preserve"> ke konci roku 2014</w:t>
      </w:r>
      <w:r w:rsidRPr="00D472A8">
        <w:t xml:space="preserve"> přímo zapojena celá řada českých organizací v rámci spolupráce podle čl. 36 (nařízení EP a Rady č. 178/2002) a 36 odborníků z ČR bylo zapsáno v Databázi expertů EFSA.</w:t>
      </w:r>
      <w:r>
        <w:t xml:space="preserve"> V roce 2014 bylo na seznam organizací spolupracujících s EFSA podle čl. 36 zapsáno také MZe.</w:t>
      </w:r>
    </w:p>
    <w:p w:rsidR="00432C39" w:rsidRPr="00D472A8" w:rsidRDefault="00432C39" w:rsidP="003B7071">
      <w:r w:rsidRPr="00D472A8">
        <w:t>Úkolem Poradního sboru EFSA je výměna informací o potenciálních riz</w:t>
      </w:r>
      <w:r>
        <w:t>icích potravin a </w:t>
      </w:r>
      <w:r w:rsidRPr="00D472A8">
        <w:t>krmiv, sdílení informací, které umožní, aby se hodnocení rizika provádělo ve všech zemích koordinovaně a zabránilo se duplicitním činnostem.</w:t>
      </w:r>
    </w:p>
    <w:p w:rsidR="00432C39" w:rsidRPr="00D472A8" w:rsidRDefault="00432C39" w:rsidP="003B7071">
      <w:r w:rsidRPr="00D472A8">
        <w:t>Stěžejní činností poradního sboru EFSA je zajišťování kontaktu mezi úřadem a národními institucemi. Členové Poradního sboru a jeho pracovních skupin zastupují příslušné instituce 28 členských států EU, Islandu a Norska, které vykonávají obdobné úkoly jako EFSA. Zasedání se účastní také zástupci Švýcarska a Evropské komise, a to jako pozorovatelé. ČR reprezentuje MZe ČR –</w:t>
      </w:r>
      <w:r>
        <w:t xml:space="preserve"> Úřad pro potraviny. V roce 2014</w:t>
      </w:r>
      <w:r w:rsidRPr="00D472A8">
        <w:t xml:space="preserve"> se uskutečnila čtyři zasedání.</w:t>
      </w:r>
    </w:p>
    <w:p w:rsidR="00432C39" w:rsidRDefault="00432C39" w:rsidP="003B7071">
      <w:r w:rsidRPr="00D472A8">
        <w:t xml:space="preserve">Smlouva na zajištění činnosti Koordinačního místa pro vědeckou a technickou spolupráci s </w:t>
      </w:r>
      <w:r>
        <w:t>EFSA byla podepsána v lednu 2014</w:t>
      </w:r>
      <w:r w:rsidRPr="00D472A8">
        <w:t>. V souladu s touto smlouvou byly aktivity Koordinační</w:t>
      </w:r>
      <w:r>
        <w:t>ho místa v roce 2014</w:t>
      </w:r>
      <w:r w:rsidRPr="00D472A8">
        <w:t xml:space="preserve"> zaměřené především na podporu člena Poradního sboru, výměnu informací k hodnocení rizik mezi ČR a EFSA, sdílení informací z členských států na Platformě pro výměnu informací (IEP), poradenství k souvisejícím vědeckým aktivitám a zviditelňování EFSA v členském státu. Klíčovou byla podpora sběru a harmonizace formátu dat pro hodnocení zdravotních rizik v rámci aktivity DATEX.CZ.</w:t>
      </w:r>
    </w:p>
    <w:p w:rsidR="00432C39" w:rsidRPr="00D472A8" w:rsidRDefault="00432C39" w:rsidP="003B7071">
      <w:r w:rsidRPr="00D472A8">
        <w:t xml:space="preserve">Informace z Koordinačního místa jsou dostupné na webu </w:t>
      </w:r>
      <w:hyperlink r:id="rId92" w:history="1">
        <w:r w:rsidRPr="00D472A8">
          <w:rPr>
            <w:rStyle w:val="Hypertextovodkaz"/>
          </w:rPr>
          <w:t>www.bezpecnostpotravin.cz</w:t>
        </w:r>
      </w:hyperlink>
      <w:r w:rsidRPr="00D472A8">
        <w:t>.</w:t>
      </w:r>
    </w:p>
    <w:p w:rsidR="00432C39" w:rsidRPr="000B03B4" w:rsidRDefault="00432C39" w:rsidP="003B7071">
      <w:pPr>
        <w:pStyle w:val="Norm-Bold"/>
      </w:pPr>
      <w:r w:rsidRPr="000B03B4">
        <w:lastRenderedPageBreak/>
        <w:t>Jednotný integrovaný víceletý národní plán kontrol ČR 2013</w:t>
      </w:r>
      <w:r w:rsidRPr="000B03B4">
        <w:noBreakHyphen/>
        <w:t>2015</w:t>
      </w:r>
    </w:p>
    <w:p w:rsidR="00432C39" w:rsidRDefault="00432C39" w:rsidP="003B7071">
      <w:r>
        <w:t xml:space="preserve">V roce 2014 nebyl důvod k provedení revize Plánu kontrol vzhledem k tomu, že Potravinový a veterinární úřad Evropské komise nepožadoval žádné doplnění, změnu nebo úpravu, právní předpisy stanovující obsah, rozsah a formát Plánu kontrol nebyly změněny a nedošlo ani ke změnám ve faktorech uvedených v čl. 42 odst. 3 nařízení Evropského parlamentu a Rady (ES) č. 882/2004 ze dne 29. dubna 2004, o úředních kontrolách za účelem ověření dodržování právních předpisů týkajících se krmiv a potravin a pravidel o zdraví zvířat a dobrých životních podmínkách zvířat (dále jen </w:t>
      </w:r>
      <w:r w:rsidR="008969A9">
        <w:t>„</w:t>
      </w:r>
      <w:r>
        <w:t>nařízení EP a R č. 882/2004</w:t>
      </w:r>
      <w:r w:rsidR="008969A9">
        <w:t>“</w:t>
      </w:r>
      <w:r>
        <w:t>).</w:t>
      </w:r>
    </w:p>
    <w:p w:rsidR="00432C39" w:rsidRDefault="00432C39" w:rsidP="003B7071">
      <w:r w:rsidRPr="000B03B4">
        <w:t>Úřední kontroly v roce 2014 probíhaly v souladu s informacemi uvedenými ve znění Plánu kontrol schváleném v roce 2013.</w:t>
      </w:r>
    </w:p>
    <w:p w:rsidR="00432C39" w:rsidRDefault="00432C39" w:rsidP="003B7071">
      <w:r w:rsidRPr="000B03B4">
        <w:t xml:space="preserve">V roce 2014 provedl Potravinový a veterinární úřad </w:t>
      </w:r>
      <w:r>
        <w:t>EK v ČR</w:t>
      </w:r>
      <w:r w:rsidRPr="000B03B4">
        <w:t xml:space="preserve"> 3 audity a 2 zjišťovací mise. Audity byly s cílem ověřit, zda jsou úřední kontroly z </w:t>
      </w:r>
      <w:r>
        <w:t>celkového hlediska vykovávány v </w:t>
      </w:r>
      <w:r w:rsidRPr="000B03B4">
        <w:t>souladu s výše zmíněným Plánem kontrol a požadavky právních předpisů EU. Zjišťovací mise měly za cíl shromáždit informace o zavedeném kontrolním systému v dané oblasti.</w:t>
      </w:r>
    </w:p>
    <w:p w:rsidR="00432C39" w:rsidRDefault="00432C39" w:rsidP="003B7071">
      <w:r w:rsidRPr="00D472A8">
        <w:t>Jednalo se o audity v následujících oblastech:</w:t>
      </w:r>
    </w:p>
    <w:p w:rsidR="00432C39" w:rsidRDefault="00432C39" w:rsidP="003B7071">
      <w:pPr>
        <w:pStyle w:val="Norm-Ital"/>
      </w:pPr>
      <w:r w:rsidRPr="000B03B4">
        <w:t>Audit za účelem vyhodnocení sledovatelnosti vedlejšíc</w:t>
      </w:r>
      <w:r>
        <w:t>h produktů živočišného původu a </w:t>
      </w:r>
      <w:r w:rsidRPr="000B03B4">
        <w:t>získaných produktů</w:t>
      </w:r>
    </w:p>
    <w:p w:rsidR="00432C39" w:rsidRDefault="00432C39" w:rsidP="003B7071">
      <w:r w:rsidRPr="000B03B4">
        <w:t>Bylo zjištěno, že jsou zavedena náležitá opatření pro organizaci a plánování pravidelných úředních kontrol, jejichž účelem je sledovat a ověřovat, zda provozovatelé splňují požadavky na sledovatelnost v celém řetězci. V celém řetězci jsou prováděny i křížové kontroly. Zásilky</w:t>
      </w:r>
      <w:r>
        <w:t xml:space="preserve"> přicházející do ČR</w:t>
      </w:r>
      <w:r w:rsidRPr="000B03B4">
        <w:t xml:space="preserve"> ve větším rozsahu jsou oznamovány v systému (TRACES)</w:t>
      </w:r>
      <w:r w:rsidR="005701F7">
        <w:t>,</w:t>
      </w:r>
      <w:r w:rsidRPr="000B03B4">
        <w:t xml:space="preserve"> a tím je zvýšena míra jistoty, že tyto produkty nejsou používány k jiným účelům nebo zneužívány. Problémem jsou </w:t>
      </w:r>
      <w:r w:rsidR="008969A9">
        <w:t>„</w:t>
      </w:r>
      <w:r w:rsidRPr="000B03B4">
        <w:t>papíroví</w:t>
      </w:r>
      <w:r w:rsidR="008969A9">
        <w:t>“</w:t>
      </w:r>
      <w:r w:rsidRPr="000B03B4">
        <w:t xml:space="preserve"> obchodníci a dopravci, kteří příjezd mnoha zásilek obchodovaných z nebo do jiných členských států na zamýšlené místo určení neoznamují v systému TRACES. Pro nápravu stavu byla uložena 2 doporučení.</w:t>
      </w:r>
    </w:p>
    <w:p w:rsidR="00432C39" w:rsidRDefault="00432C39" w:rsidP="003B7071">
      <w:pPr>
        <w:pStyle w:val="Norm-Ital"/>
      </w:pPr>
      <w:r w:rsidRPr="00627D72">
        <w:t>Audit provedený za účelem zhodnocení zavedených kontrol řádného zacházení se zvířaty při porážce a souvisejících úkonech</w:t>
      </w:r>
    </w:p>
    <w:p w:rsidR="00432C39" w:rsidRPr="002B38A8" w:rsidRDefault="00432C39" w:rsidP="003B7071">
      <w:r w:rsidRPr="00627D72">
        <w:t>Zacházení se zvířaty při přívozu, manipulaci s nimi a jejich znehybnění byly z velké části v souladu. Na jatkách, kde se porážejí savci, bylo omrač</w:t>
      </w:r>
      <w:r>
        <w:t>ování i vykrvování dostatečné a </w:t>
      </w:r>
      <w:r w:rsidRPr="00627D72">
        <w:t>byly dodržovány metody a požadavky. Na jatkách, kde se poráží drůbež, nebyly podmínky pro řádné zacházení se zvířaty při omračování a vykrvování zabezpečeny dostatečně. Úřední kontroly nezabraňují opětovnému výskytu nedodržení předpisů, neboť porušení nejsou během kontrol odhalena či zjištěna. Sledování ukazatelů dobrých životních podmínek na jatkách drůbeže neodhaluje případné problémy na úrovni hospodářství. Pro nápravu stavu bylo uloženo několik doporučení.</w:t>
      </w:r>
    </w:p>
    <w:p w:rsidR="00432C39" w:rsidRDefault="00432C39" w:rsidP="003B7071">
      <w:pPr>
        <w:pStyle w:val="Norm-Ital"/>
      </w:pPr>
      <w:r w:rsidRPr="00627D72">
        <w:lastRenderedPageBreak/>
        <w:t>Audit provedený s cílem vyhodnocení kontrolního sytému organické (ekologické) produkce</w:t>
      </w:r>
    </w:p>
    <w:p w:rsidR="00432C39" w:rsidRDefault="00432C39" w:rsidP="003B7071">
      <w:r w:rsidRPr="00627D72">
        <w:t>Bylo zjištěno, že je k dispozici systém kontroly na místě s jasným rozdělením pravomocí a úkolů mezi příslušný orgán, kontrolní orgán a kontrol</w:t>
      </w:r>
      <w:r w:rsidR="005701F7">
        <w:t>ovaný</w:t>
      </w:r>
      <w:r w:rsidRPr="00627D72">
        <w:t xml:space="preserve"> subjekt. Supervize nad kontrolním subjektem je prováděna pravidelně příslušným orgánem a je mezi nimi celkově dobrá komunikace a spolupráce. Implementace kontrolního systému ne</w:t>
      </w:r>
      <w:r>
        <w:t>ní plně účinná v </w:t>
      </w:r>
      <w:r w:rsidRPr="00627D72">
        <w:t>důsledku identifikovaných nedostatků, zejména posouzení rizik neslouží jako dobrý základ pro plánování kontrol, při kontrolách inspektoři systematicky neověřují informace poskytnuté provozovateli, nejsou příslušnému orgánu bezprostředně oznamovány velké neshody</w:t>
      </w:r>
      <w:r w:rsidR="00D2688C">
        <w:t xml:space="preserve">, a to </w:t>
      </w:r>
      <w:r w:rsidRPr="00627D72">
        <w:t>může mít dopad na přijatá opatření, která pak nejsou vždy</w:t>
      </w:r>
      <w:r w:rsidR="005701F7">
        <w:t xml:space="preserve"> vhodná k nápravě neshod nebo k </w:t>
      </w:r>
      <w:r w:rsidRPr="00627D72">
        <w:t>zabránění jejich opakování. Bylo uloženo několik doporučení pro příslušné orgány s cílem zajistit nápravu zjištěných nedostatků a zlepšit provádění kontrolních opatření.</w:t>
      </w:r>
    </w:p>
    <w:p w:rsidR="00432C39" w:rsidRDefault="00432C39" w:rsidP="003B7071">
      <w:pPr>
        <w:pStyle w:val="Norm-Ital"/>
      </w:pPr>
      <w:r w:rsidRPr="00627D72">
        <w:t>Zjišťovací mise za účelem shromáždění informací o kontrolách doplňků stravy</w:t>
      </w:r>
    </w:p>
    <w:p w:rsidR="00432C39" w:rsidRDefault="00432C39" w:rsidP="003B7071">
      <w:r w:rsidRPr="00627D72">
        <w:t>B</w:t>
      </w:r>
      <w:r>
        <w:t>ylo zjištěno, že ČR</w:t>
      </w:r>
      <w:r w:rsidRPr="00627D72">
        <w:t xml:space="preserve"> má zavedenou oznamovací povinnost, seznam doplňků stravy je přístupný veřejnosti na internetu, všechna oznámení kontroluje příslušný orgán, který má přehled o trhu s doplňky stravy a může zabránit uvedení nevyhovujících výrobků na trh nebo tyto výrobky včas odhalit a stáhnout. Kontroly jsou prováděny v celém řetězci, a to se zvláštním zaměřením na výživová a zdravotní tvrzení a na</w:t>
      </w:r>
      <w:r>
        <w:t xml:space="preserve"> internetový prodej. Vzhledem k </w:t>
      </w:r>
      <w:r w:rsidRPr="00627D72">
        <w:t>tomu, že se jednalo o zjišťovací misi, nebylo navrženo žádné doporučení.</w:t>
      </w:r>
    </w:p>
    <w:p w:rsidR="00432C39" w:rsidRDefault="00432C39" w:rsidP="003B7071">
      <w:pPr>
        <w:pStyle w:val="Norm-Ital"/>
      </w:pPr>
      <w:r w:rsidRPr="00627D72">
        <w:t>Zjišťovací mise za účelem shromáždění informací o úředních kontrolách postupů založených na zásadách HACCP</w:t>
      </w:r>
    </w:p>
    <w:p w:rsidR="00432C39" w:rsidRPr="00627D72" w:rsidRDefault="00432C39" w:rsidP="003B7071">
      <w:r w:rsidRPr="00627D72">
        <w:t>Bylo zjištěno, že příslušné orgány zaved</w:t>
      </w:r>
      <w:r w:rsidR="005701F7">
        <w:t>ly</w:t>
      </w:r>
      <w:r w:rsidRPr="00627D72">
        <w:t xml:space="preserve"> systém úředních kontrol pro hodnocení uplatňování zásad HACCP, přijaly rovněž opatření k podpoře lepšího pochopení zásad HACCP</w:t>
      </w:r>
      <w:r w:rsidR="005701F7">
        <w:t xml:space="preserve"> a</w:t>
      </w:r>
      <w:r w:rsidRPr="00627D72">
        <w:t xml:space="preserve"> vytvořily řadu dokumentů s praktickými pokyny, které jsou dostupné na internetu. Zjednodušené postupy jsou využívány a uplatňovány ve stravovacích službách, pružnější podmínky je možné využít u malých a středně velkých pr</w:t>
      </w:r>
      <w:r w:rsidR="005701F7">
        <w:t>ovozovatelů v odvětví masných a </w:t>
      </w:r>
      <w:r w:rsidRPr="00627D72">
        <w:t>rybích produktů. Provozovatelé v odvětví krmiv a potravin jiného než živočišného původu se orientují ve větší míře na celkový plán řízení bezpečnosti potravin/krmiv založený na zásadách HACCP. Problémy se vyskytují v posuzování analýzy rizik, monitorování kritických kontrolních bodů a ve vymezení a provádění nápravných opatření. Příslušné orgány předložily Komisi řadu návrhů na zlepšení stávajících právních předpisů a pokynů EU. Tým Potravinového a veterinárního úřadu nezjistil žádné případy ohrožení bezpečnosti potravin. Vzhledem k tomu, že se jednalo o zjišťovací misi, nebylo navrženo žádné doporučení</w:t>
      </w:r>
      <w:r>
        <w:t>.</w:t>
      </w:r>
    </w:p>
    <w:p w:rsidR="00432C39" w:rsidRPr="00D472A8" w:rsidRDefault="00432C39" w:rsidP="003B7071">
      <w:pPr>
        <w:pStyle w:val="Norm-Bold"/>
      </w:pPr>
      <w:r w:rsidRPr="00D472A8">
        <w:t>Aktivity informačního centra bezpečnosti potravin (ICBP)</w:t>
      </w:r>
    </w:p>
    <w:p w:rsidR="00432C39" w:rsidRDefault="00432C39" w:rsidP="003B7071">
      <w:r w:rsidRPr="00D472A8">
        <w:t xml:space="preserve">Informační centrum bezpečnosti potravin je koncipováno jako informační centrum pro komunikaci se širokou veřejností. ICBP prostřednictvím webových stránek </w:t>
      </w:r>
      <w:hyperlink r:id="rId93" w:history="1">
        <w:r w:rsidRPr="00D472A8">
          <w:rPr>
            <w:rStyle w:val="Hypertextovodkaz"/>
          </w:rPr>
          <w:t>www.bezpecnostpotravin.cz</w:t>
        </w:r>
      </w:hyperlink>
      <w:r w:rsidRPr="00D472A8">
        <w:t xml:space="preserve">, vložené aplikace A-Z slovník bezpečnosti potravin, email listu </w:t>
      </w:r>
      <w:r w:rsidRPr="00D472A8">
        <w:lastRenderedPageBreak/>
        <w:t xml:space="preserve">a pomocí sociálních sítí </w:t>
      </w:r>
      <w:proofErr w:type="spellStart"/>
      <w:r w:rsidRPr="00D472A8">
        <w:t>Facebook</w:t>
      </w:r>
      <w:proofErr w:type="spellEnd"/>
      <w:r w:rsidRPr="00D472A8">
        <w:t xml:space="preserve"> a </w:t>
      </w:r>
      <w:proofErr w:type="spellStart"/>
      <w:r w:rsidRPr="00D472A8">
        <w:t>Twitter</w:t>
      </w:r>
      <w:proofErr w:type="spellEnd"/>
      <w:r w:rsidRPr="00D472A8">
        <w:t xml:space="preserve"> podává kompletní informace z prostředí bezpečnosti potravin a zdravé výživy, které jsou určeny odborné i laické veřejnosti. ICBP dále informuje registrované uživatele webové stránky </w:t>
      </w:r>
      <w:hyperlink r:id="rId94" w:history="1">
        <w:r w:rsidRPr="00D472A8">
          <w:rPr>
            <w:rStyle w:val="Hypertextovodkaz"/>
          </w:rPr>
          <w:t>www.bezpecnostpotravin.cz</w:t>
        </w:r>
      </w:hyperlink>
      <w:r w:rsidRPr="00D472A8">
        <w:t xml:space="preserve"> o závadných potravinách zachycených v české tržní síti.</w:t>
      </w:r>
    </w:p>
    <w:p w:rsidR="00432C39" w:rsidRDefault="00432C39" w:rsidP="003B7071">
      <w:r w:rsidRPr="00965AD8">
        <w:t xml:space="preserve">V roce 2014 proběhla průběžná aktualizace redakčního systému webových stránek </w:t>
      </w:r>
      <w:hyperlink r:id="rId95" w:history="1">
        <w:r w:rsidRPr="00496C88">
          <w:rPr>
            <w:rStyle w:val="Hypertextovodkaz"/>
          </w:rPr>
          <w:t>www.viscojis.cz</w:t>
        </w:r>
      </w:hyperlink>
      <w:r w:rsidRPr="00965AD8">
        <w:t xml:space="preserve"> a aplikace </w:t>
      </w:r>
      <w:hyperlink r:id="rId96" w:history="1">
        <w:r w:rsidRPr="00496C88">
          <w:rPr>
            <w:rStyle w:val="Hypertextovodkaz"/>
          </w:rPr>
          <w:t>www.viscojis.cz/teens</w:t>
        </w:r>
      </w:hyperlink>
      <w:r w:rsidRPr="00965AD8">
        <w:t>, které primárně slouží ke zlepšení informovanosti spotřebitelů a mládeže o problematice bezpečnosti potravin a správné výživy. Dále byla rovněž provedena roční aktualizace výukového programu Výživa ve výchově ke zdraví.</w:t>
      </w:r>
    </w:p>
    <w:p w:rsidR="00432C39" w:rsidRDefault="00432C39" w:rsidP="003B7071">
      <w:r>
        <w:t>V roce 2014 byla navázána spolupráce se Středočeským krajem. V rámci té došlo k zahájení realizace cyklu 43 přednášek pro střední školy Středočeského kraje, která bude ukončena v průběhu roku 2015.</w:t>
      </w:r>
    </w:p>
    <w:p w:rsidR="00432C39" w:rsidRDefault="00432C39" w:rsidP="003B7071">
      <w:r>
        <w:t xml:space="preserve">V roce 2014 bylo celkem realizováno 34 přednášek, kterých se dohromady účastnilo 1 765 spotřebitelů. V rámci vzdělávání mládeže bylo celkem provedeno 73 vzdělávacích programů, na kterých bylo proškoleno 2 942 žáků. ICBP samo realizovalo, nebo se zúčastnilo celkem 13 oborových </w:t>
      </w:r>
      <w:proofErr w:type="spellStart"/>
      <w:r>
        <w:t>promo</w:t>
      </w:r>
      <w:proofErr w:type="spellEnd"/>
      <w:r>
        <w:t xml:space="preserve"> akcí. V roce 2014 byly dále zahájeny práce na e-</w:t>
      </w:r>
      <w:proofErr w:type="spellStart"/>
      <w:r>
        <w:t>learnigovém</w:t>
      </w:r>
      <w:proofErr w:type="spellEnd"/>
      <w:r>
        <w:t xml:space="preserve"> kurzu pro žáky středních škol, aplikaci do mobilních telefonů </w:t>
      </w:r>
      <w:r w:rsidR="008969A9">
        <w:t>„</w:t>
      </w:r>
      <w:r>
        <w:t>Víš, co jíš</w:t>
      </w:r>
      <w:r w:rsidR="008969A9">
        <w:t>“</w:t>
      </w:r>
      <w:r>
        <w:t xml:space="preserve"> s moduly </w:t>
      </w:r>
      <w:r w:rsidR="008969A9">
        <w:t>„</w:t>
      </w:r>
      <w:r>
        <w:t>Bezpečnost potravin A-Z</w:t>
      </w:r>
      <w:r w:rsidR="008969A9">
        <w:t>“</w:t>
      </w:r>
      <w:r>
        <w:t xml:space="preserve"> a </w:t>
      </w:r>
      <w:r w:rsidR="008969A9">
        <w:t>„</w:t>
      </w:r>
      <w:r>
        <w:t>Éčka</w:t>
      </w:r>
      <w:r w:rsidR="008969A9">
        <w:t>“</w:t>
      </w:r>
      <w:r>
        <w:t xml:space="preserve"> a interaktivním programu určenému žákům 1. stupně základních škol, vše s tématem bezpečnost potravin a zdravá výživa.</w:t>
      </w:r>
    </w:p>
    <w:p w:rsidR="00432C39" w:rsidRDefault="00432C39" w:rsidP="003B7071">
      <w:r>
        <w:t>Během roku 2014 bylo dále v rámci činnosti ICBP vytiš</w:t>
      </w:r>
      <w:r w:rsidR="00A5263D">
        <w:t>těno a distribuováno cca 15 000 </w:t>
      </w:r>
      <w:r>
        <w:t>ks materiálů s problematikou bezpečnosti potravin a zdravé výživy.</w:t>
      </w:r>
    </w:p>
    <w:p w:rsidR="00432C39" w:rsidRPr="001B1FDF" w:rsidRDefault="00432C39" w:rsidP="001B1FDF">
      <w:pPr>
        <w:pStyle w:val="Nadpis2"/>
      </w:pPr>
      <w:bookmarkStart w:id="143" w:name="_Toc424307048"/>
      <w:r w:rsidRPr="001B1FDF">
        <w:t>5.7</w:t>
      </w:r>
      <w:r w:rsidRPr="001B1FDF">
        <w:tab/>
        <w:t>Míra potravinové soběstačnosti</w:t>
      </w:r>
      <w:bookmarkEnd w:id="143"/>
    </w:p>
    <w:p w:rsidR="00432C39" w:rsidRDefault="00432C39" w:rsidP="003B7071">
      <w:r w:rsidRPr="002821CD">
        <w:t>Míra potravinové soběstačnosti je vypočtena jako podíl domácí spotřeby na celkové produkci dané komodity. V tab. T5.7/01 je uvedena míra potravinové soběstačnosti v roce 2013 a odhad ÚZEI za rok 2014.</w:t>
      </w:r>
    </w:p>
    <w:p w:rsidR="00432C39" w:rsidRDefault="00432C39" w:rsidP="003B7071">
      <w:pPr>
        <w:pStyle w:val="mezera"/>
      </w:pPr>
    </w:p>
    <w:p w:rsidR="00432C39" w:rsidRDefault="004A31D1" w:rsidP="003B7071">
      <w:pPr>
        <w:pStyle w:val="mezera"/>
      </w:pPr>
      <w:r w:rsidRPr="004A31D1">
        <w:rPr>
          <w:noProof/>
          <w:lang w:eastAsia="cs-CZ"/>
        </w:rPr>
        <w:lastRenderedPageBreak/>
        <w:drawing>
          <wp:inline distT="0" distB="0" distL="0" distR="0" wp14:anchorId="60F102C0" wp14:editId="190370AB">
            <wp:extent cx="4638675" cy="40379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38675" cy="4037965"/>
                    </a:xfrm>
                    <a:prstGeom prst="rect">
                      <a:avLst/>
                    </a:prstGeom>
                    <a:noFill/>
                    <a:ln>
                      <a:noFill/>
                    </a:ln>
                  </pic:spPr>
                </pic:pic>
              </a:graphicData>
            </a:graphic>
          </wp:inline>
        </w:drawing>
      </w:r>
    </w:p>
    <w:p w:rsidR="00432C39" w:rsidRPr="002821CD" w:rsidRDefault="00432C39" w:rsidP="003B7071">
      <w:pPr>
        <w:pStyle w:val="mezera"/>
      </w:pPr>
    </w:p>
    <w:p w:rsidR="00432C39" w:rsidRDefault="00432C39" w:rsidP="003B7071">
      <w:r w:rsidRPr="002821CD">
        <w:t>V základních komoditách rostlinné výroby je ČR soběstačná. Míra soběstačnosti výrazně převyšuje 100 % u </w:t>
      </w:r>
      <w:r w:rsidR="004A31D1">
        <w:t>řepky</w:t>
      </w:r>
      <w:r w:rsidRPr="002821CD">
        <w:t>, obilovin a cukru. U dalších výrobků rostlinné výroby není ČR soběstačná. Jedná se především o zeleninu, brambory a ovoce.</w:t>
      </w:r>
    </w:p>
    <w:p w:rsidR="00432C39" w:rsidRPr="002821CD" w:rsidRDefault="00432C39" w:rsidP="003B7071">
      <w:r w:rsidRPr="002821CD">
        <w:t>Vysoká míra soběstačnosti v rámci základních komodit rostlinné výroby je u obilovin (zejména u pšenice)</w:t>
      </w:r>
      <w:r w:rsidR="004A31D1">
        <w:t xml:space="preserve"> a</w:t>
      </w:r>
      <w:r w:rsidRPr="002821CD">
        <w:t xml:space="preserve"> řepky. K nejvýraznějšímu meziročnímu zvýšení míry soběstačnosti došlo u kukuřice (o 3</w:t>
      </w:r>
      <w:r w:rsidR="004A31D1">
        <w:t>3,5</w:t>
      </w:r>
      <w:r w:rsidRPr="002821CD">
        <w:t xml:space="preserve"> p. b.) a ječmene (o 2</w:t>
      </w:r>
      <w:r w:rsidR="004A31D1">
        <w:t>8,1</w:t>
      </w:r>
      <w:r w:rsidRPr="002821CD">
        <w:t xml:space="preserve"> p. b.). U obou komodit měl na tento vývoj vliv především výrazný růst produkce a mírný pokles </w:t>
      </w:r>
      <w:r w:rsidRPr="004A31D1">
        <w:t>domácí spotřeby. U cukru</w:t>
      </w:r>
      <w:r w:rsidRPr="002821CD">
        <w:t xml:space="preserve"> míra soběstačnosti rovněž převyšuje 100 % a meziročně ještě poměrně výrazně vzrostla (o 23,8 p. b.)</w:t>
      </w:r>
      <w:r w:rsidRPr="002821CD">
        <w:rPr>
          <w:i/>
        </w:rPr>
        <w:t xml:space="preserve">. </w:t>
      </w:r>
      <w:r w:rsidRPr="002821CD">
        <w:t>U brambor ČR soběstačná není (produkce nedosahuje úrovně domácí spotřeby), ale meziročně se soběstačnost relativně značně zvýšila (o 16,7 p. b.). V roce 2014 nebyla ČR soběstačná rovněž u ovoce a míra soběstačnosti meziročně klesla o </w:t>
      </w:r>
      <w:r w:rsidR="004A31D1">
        <w:t>1,7</w:t>
      </w:r>
      <w:r w:rsidRPr="002821CD">
        <w:t> p. b. Příčinou tohoto trendu je podstatně výraznější růst spotřeby než domácí výroby. Z hlediska míry soběstačnosti je nejméně uspokojivá situace u zeleniny. Zelenina vykazuje dlouhodobě nízkou míru soběstačnosti, která se sice v roce 2014 zvýšila o 5,4 p. b., ale přesto je stále nízká. Zvýšení míry soběstačnosti v roce 2014 je důsledkem zvýšení pro</w:t>
      </w:r>
      <w:r w:rsidR="004A31D1">
        <w:t>dukční plochy i výnosů, a tím i </w:t>
      </w:r>
      <w:r w:rsidRPr="002821CD">
        <w:t>domácí výroby, a poklesu dovozu, ale i vývozu.</w:t>
      </w:r>
    </w:p>
    <w:p w:rsidR="00432C39" w:rsidRPr="002821CD" w:rsidRDefault="00432C39" w:rsidP="003B7071">
      <w:r w:rsidRPr="002821CD">
        <w:t>Míra soběstačnosti je mezi jednotlivými komoditami živočišného původu značně rozdílná.</w:t>
      </w:r>
      <w:r w:rsidRPr="002821CD">
        <w:rPr>
          <w:i/>
        </w:rPr>
        <w:t xml:space="preserve"> </w:t>
      </w:r>
      <w:r w:rsidRPr="002821CD">
        <w:t>Vysoká míra soběstačnosti</w:t>
      </w:r>
      <w:r>
        <w:t>,</w:t>
      </w:r>
      <w:r w:rsidRPr="002821CD">
        <w:t xml:space="preserve"> nad úrovní 100 %</w:t>
      </w:r>
      <w:r>
        <w:t>,</w:t>
      </w:r>
      <w:r w:rsidRPr="002821CD">
        <w:t xml:space="preserve"> je dosahována jen u hovězího masa a mléka.</w:t>
      </w:r>
      <w:r w:rsidRPr="002821CD">
        <w:rPr>
          <w:i/>
        </w:rPr>
        <w:t xml:space="preserve"> </w:t>
      </w:r>
      <w:r w:rsidRPr="002821CD">
        <w:t xml:space="preserve">Soběstačnost v produkci nativního mléka dosáhla 131,1 %, což je meziroční růst o 2,4 p. b. Takto definovaný ukazatel vyjadřuje poměr mezi výrobou nativního mléka </w:t>
      </w:r>
      <w:r w:rsidRPr="002821CD">
        <w:lastRenderedPageBreak/>
        <w:t>v zemědělském podniku a spotřebou mlékárenských výrobků přepočtenou na ekvivalent mléka. Na meziroční růst ukazatele měl vliv růst výroby nativního mléka, který byl vyšší než růst domácí spotřeby mlékárenských výrobků v přepočtu na ekvivalent mléka. Přírůstek domácího nákupu mléka však byl nižší než růst výroby, ale prakticky odpovídá zvýšení celkové poptávky a také spotřeby mléčných výrobků v ekvivalentu mléka.</w:t>
      </w:r>
    </w:p>
    <w:p w:rsidR="00432C39" w:rsidRPr="002821CD" w:rsidRDefault="00432C39" w:rsidP="003B7071">
      <w:pPr>
        <w:rPr>
          <w:i/>
        </w:rPr>
      </w:pPr>
      <w:r w:rsidRPr="002821CD">
        <w:t>Trvale vysoké úrovně dosahuje míra soběstačnosti u hovězího masa. Vliv na tuto situaci má především značný vývoz živého skotu z</w:t>
      </w:r>
      <w:r>
        <w:t xml:space="preserve"> </w:t>
      </w:r>
      <w:r w:rsidRPr="002821CD">
        <w:t>ČR. Meziročně došlo v roce 2014 k</w:t>
      </w:r>
      <w:r>
        <w:t> </w:t>
      </w:r>
      <w:r w:rsidR="004A31D1">
        <w:t>poklesu soběstačnosti (o 5</w:t>
      </w:r>
      <w:r w:rsidRPr="002821CD">
        <w:t>,5 p. b.), neboť produkce vykázala mírně vyšší tempo růstu než spotřeba</w:t>
      </w:r>
      <w:r>
        <w:t>.</w:t>
      </w:r>
    </w:p>
    <w:p w:rsidR="00432C39" w:rsidRPr="002821CD" w:rsidRDefault="00432C39" w:rsidP="003B7071">
      <w:r w:rsidRPr="002821CD">
        <w:t>Z hlediska míry soběstačnosti u živočišných komodit je nejhorší situace u vepřového masa</w:t>
      </w:r>
      <w:r w:rsidRPr="002821CD">
        <w:rPr>
          <w:i/>
        </w:rPr>
        <w:t xml:space="preserve">. </w:t>
      </w:r>
      <w:r w:rsidRPr="002821CD">
        <w:t>Čeští producenti a zejména zpracovatelé nejsou schopni čelit zahraniční konkurenci</w:t>
      </w:r>
      <w:r w:rsidRPr="002821CD">
        <w:rPr>
          <w:i/>
        </w:rPr>
        <w:t xml:space="preserve">. </w:t>
      </w:r>
      <w:r w:rsidRPr="002821CD">
        <w:t>V roce 2014 se meziročně míra soběstačnosti vepřového masa sice mírně zvýšila (o 0,5 p. b.), přesto stále nedosahuje ani 60 %. Na její růst mělo vliv především mírné oživení výroby, nepatrné snížení spotřeby a vyšší vývozy.</w:t>
      </w:r>
    </w:p>
    <w:p w:rsidR="00432C39" w:rsidRPr="00FF70C1" w:rsidRDefault="00432C39" w:rsidP="00FF70C1">
      <w:r w:rsidRPr="002821CD">
        <w:t>Míra soběstačnosti je relativně nízká také u drůbeže, a to přesto, že se meziročně zvýšila o 1,</w:t>
      </w:r>
      <w:r w:rsidR="004A31D1">
        <w:t>1</w:t>
      </w:r>
      <w:r w:rsidRPr="002821CD">
        <w:t xml:space="preserve"> p. b</w:t>
      </w:r>
      <w:r w:rsidRPr="002821CD">
        <w:rPr>
          <w:i/>
        </w:rPr>
        <w:t xml:space="preserve">. </w:t>
      </w:r>
      <w:r w:rsidRPr="002821CD">
        <w:t>Toto mírné zlepšení je především výsledkem vyššího růstu výroby než spotřeby</w:t>
      </w:r>
      <w:r w:rsidRPr="002821CD">
        <w:rPr>
          <w:rFonts w:hint="cs"/>
        </w:rPr>
        <w:t>;</w:t>
      </w:r>
      <w:r w:rsidRPr="002821CD">
        <w:t xml:space="preserve"> rovněž dovoz této komodity se zvýšil</w:t>
      </w:r>
      <w:r w:rsidRPr="002821CD">
        <w:rPr>
          <w:i/>
        </w:rPr>
        <w:t xml:space="preserve">. </w:t>
      </w:r>
      <w:r w:rsidRPr="002821CD">
        <w:t>Míra soběstačnosti u vajec v roce 2014 dosáhla 8</w:t>
      </w:r>
      <w:r w:rsidR="004A31D1">
        <w:t>6,3</w:t>
      </w:r>
      <w:r w:rsidRPr="002821CD">
        <w:t> % a meziročně poklesla o </w:t>
      </w:r>
      <w:r w:rsidR="004A31D1">
        <w:t>6,3</w:t>
      </w:r>
      <w:r>
        <w:t xml:space="preserve"> </w:t>
      </w:r>
      <w:r w:rsidRPr="002821CD">
        <w:t>p. b. Vývoj v roce 2014 byl ovlivněn především zvýšením dovozu a spotřeby.</w:t>
      </w:r>
    </w:p>
    <w:p w:rsidR="00BF576B" w:rsidRDefault="00BF576B" w:rsidP="00BF576B">
      <w:pPr>
        <w:pStyle w:val="Nadpis1"/>
        <w:numPr>
          <w:ilvl w:val="0"/>
          <w:numId w:val="10"/>
        </w:numPr>
        <w:tabs>
          <w:tab w:val="clear" w:pos="432"/>
          <w:tab w:val="num" w:pos="567"/>
        </w:tabs>
        <w:ind w:left="567" w:hanging="567"/>
      </w:pPr>
      <w:bookmarkStart w:id="144" w:name="_Toc328053822"/>
      <w:bookmarkStart w:id="145" w:name="_Toc424307049"/>
      <w:bookmarkStart w:id="146" w:name="_Toc328053862"/>
      <w:r w:rsidRPr="009332A1">
        <w:t>6</w:t>
      </w:r>
      <w:r w:rsidRPr="009332A1">
        <w:tab/>
        <w:t>Strukturální vývoj agrárního sektoru</w:t>
      </w:r>
      <w:bookmarkEnd w:id="144"/>
      <w:bookmarkEnd w:id="145"/>
    </w:p>
    <w:p w:rsidR="00B60D53" w:rsidRPr="00D102BD" w:rsidRDefault="00B60D53" w:rsidP="00B60D53">
      <w:pPr>
        <w:pStyle w:val="souhrn-kap"/>
      </w:pPr>
      <w:bookmarkStart w:id="147" w:name="_Toc261959145"/>
      <w:bookmarkStart w:id="148" w:name="_Toc133977648"/>
      <w:r w:rsidRPr="00D102BD">
        <w:t>V roce 201</w:t>
      </w:r>
      <w:r>
        <w:t>4</w:t>
      </w:r>
      <w:r w:rsidRPr="00D102BD">
        <w:t xml:space="preserve"> obhospodařovaly </w:t>
      </w:r>
      <w:r>
        <w:t>zemědělskou půdu p</w:t>
      </w:r>
      <w:r w:rsidRPr="00D102BD">
        <w:t>rávnick</w:t>
      </w:r>
      <w:r>
        <w:t>é</w:t>
      </w:r>
      <w:r w:rsidRPr="00D102BD">
        <w:t xml:space="preserve"> osob</w:t>
      </w:r>
      <w:r>
        <w:t>y</w:t>
      </w:r>
      <w:r w:rsidRPr="00D102BD">
        <w:t xml:space="preserve"> </w:t>
      </w:r>
      <w:r>
        <w:t xml:space="preserve">na 69,4 % </w:t>
      </w:r>
      <w:r w:rsidRPr="00D102BD">
        <w:t>a fyzick</w:t>
      </w:r>
      <w:r>
        <w:t>é</w:t>
      </w:r>
      <w:r w:rsidRPr="00D102BD">
        <w:t xml:space="preserve"> osob</w:t>
      </w:r>
      <w:r>
        <w:t>y</w:t>
      </w:r>
      <w:r w:rsidRPr="00D102BD">
        <w:t xml:space="preserve"> </w:t>
      </w:r>
      <w:r>
        <w:t xml:space="preserve">na </w:t>
      </w:r>
      <w:r w:rsidRPr="00D102BD">
        <w:t>30,</w:t>
      </w:r>
      <w:r>
        <w:t>6</w:t>
      </w:r>
      <w:r w:rsidRPr="00D102BD">
        <w:t xml:space="preserve"> % její výměry</w:t>
      </w:r>
      <w:r>
        <w:t xml:space="preserve"> v ČR</w:t>
      </w:r>
      <w:r w:rsidRPr="00D102BD">
        <w:t>. Meziroční změny v podnikatelské struktuře zemědělství byly v roce 201</w:t>
      </w:r>
      <w:r>
        <w:t>4</w:t>
      </w:r>
      <w:r w:rsidRPr="00D102BD">
        <w:t xml:space="preserve"> relativně malé. </w:t>
      </w:r>
      <w:r>
        <w:t>P</w:t>
      </w:r>
      <w:r w:rsidRPr="00D102BD">
        <w:t>očet zpracovatelů agrárních surovin</w:t>
      </w:r>
      <w:r>
        <w:t xml:space="preserve"> vzrostl</w:t>
      </w:r>
      <w:r w:rsidRPr="00D102BD">
        <w:t xml:space="preserve">, rozšířil se </w:t>
      </w:r>
      <w:r>
        <w:t>zvláště</w:t>
      </w:r>
      <w:r w:rsidRPr="00D102BD">
        <w:t xml:space="preserve"> počet podnik</w:t>
      </w:r>
      <w:r>
        <w:t>ajících</w:t>
      </w:r>
      <w:r w:rsidRPr="00D102BD">
        <w:t xml:space="preserve"> fyzických osob</w:t>
      </w:r>
      <w:r>
        <w:t>. U</w:t>
      </w:r>
      <w:r w:rsidRPr="00D102BD">
        <w:t xml:space="preserve"> obilovin došlo k nárůstu užití certifikovaných</w:t>
      </w:r>
      <w:r>
        <w:t xml:space="preserve"> osiv, dále narostlo užití certifikované </w:t>
      </w:r>
      <w:r w:rsidRPr="00D102BD">
        <w:t xml:space="preserve">sadby </w:t>
      </w:r>
      <w:r>
        <w:t>brambor, ale došlo k poklesu užití certifikovaného osiva olejnin.</w:t>
      </w:r>
      <w:r w:rsidRPr="00D102BD">
        <w:t xml:space="preserve"> Meziročně </w:t>
      </w:r>
      <w:r>
        <w:t>se zvýšila</w:t>
      </w:r>
      <w:r w:rsidRPr="00D102BD">
        <w:t xml:space="preserve"> spotřeba minerálních hnojiv</w:t>
      </w:r>
      <w:r>
        <w:t xml:space="preserve"> a dosáhla úrovně </w:t>
      </w:r>
      <w:r w:rsidRPr="00D102BD">
        <w:t>117,4</w:t>
      </w:r>
      <w:r>
        <w:t xml:space="preserve"> </w:t>
      </w:r>
      <w:r w:rsidRPr="00D102BD">
        <w:t>kg</w:t>
      </w:r>
      <w:r>
        <w:t xml:space="preserve"> čistých živin N, P</w:t>
      </w:r>
      <w:r w:rsidRPr="00D83510">
        <w:rPr>
          <w:vertAlign w:val="subscript"/>
        </w:rPr>
        <w:t>2</w:t>
      </w:r>
      <w:r>
        <w:t>O</w:t>
      </w:r>
      <w:r w:rsidRPr="00D83510">
        <w:rPr>
          <w:vertAlign w:val="subscript"/>
        </w:rPr>
        <w:t>5</w:t>
      </w:r>
      <w:r>
        <w:t xml:space="preserve"> a K</w:t>
      </w:r>
      <w:r w:rsidRPr="00D83510">
        <w:rPr>
          <w:vertAlign w:val="subscript"/>
        </w:rPr>
        <w:t>2</w:t>
      </w:r>
      <w:r>
        <w:t xml:space="preserve">O na </w:t>
      </w:r>
      <w:r w:rsidRPr="00D102BD">
        <w:t>h</w:t>
      </w:r>
      <w:r>
        <w:t>ektar</w:t>
      </w:r>
      <w:r w:rsidRPr="00D102BD">
        <w:t xml:space="preserve"> zemědělské půdy s výraznou převahou dusíkatých hnojiv, pozitivní je </w:t>
      </w:r>
      <w:r>
        <w:t>i</w:t>
      </w:r>
      <w:r w:rsidRPr="00D102BD">
        <w:t xml:space="preserve"> nárůst spotřeby vápenatých hmot. V roce 201</w:t>
      </w:r>
      <w:r>
        <w:t>4</w:t>
      </w:r>
      <w:r w:rsidRPr="00D102BD">
        <w:t xml:space="preserve"> byl zaznamenán nárůst produkce i spotřeby průmyslových krmiv, </w:t>
      </w:r>
      <w:r>
        <w:t>jakož i</w:t>
      </w:r>
      <w:r w:rsidRPr="00D102BD">
        <w:t xml:space="preserve"> objem</w:t>
      </w:r>
      <w:r>
        <w:t>u jejich</w:t>
      </w:r>
      <w:r w:rsidRPr="00D102BD">
        <w:t xml:space="preserve"> dovozu a vývozu. Dodávky traktorů a další zemědělské techniky byly stabilizované a dochází ke změně struktury traktorového parku, orientovaného na stroje vyšších výkonnostních tříd. Podíl úvěrů do odvětví zemědělství, lesnictví a rybářství z celkového objemu poskytnutých klientských úvěrů v roce 201</w:t>
      </w:r>
      <w:r>
        <w:t>4</w:t>
      </w:r>
      <w:r w:rsidRPr="00D102BD">
        <w:t xml:space="preserve"> se meziročně </w:t>
      </w:r>
      <w:r>
        <w:t>mírně snížil na</w:t>
      </w:r>
      <w:r w:rsidRPr="00D102BD">
        <w:t xml:space="preserve"> 1,</w:t>
      </w:r>
      <w:r>
        <w:t>8</w:t>
      </w:r>
      <w:r w:rsidRPr="00D102BD">
        <w:t xml:space="preserve"> %. Pojistné za zemědělské pojištění meziročně mírně </w:t>
      </w:r>
      <w:r>
        <w:t xml:space="preserve">pokleslo, ale </w:t>
      </w:r>
      <w:r w:rsidRPr="00D102BD">
        <w:t>odhadovaná</w:t>
      </w:r>
      <w:r>
        <w:t xml:space="preserve"> výměra pojištěných </w:t>
      </w:r>
      <w:r w:rsidRPr="00D102BD">
        <w:t>plodin</w:t>
      </w:r>
      <w:r>
        <w:t xml:space="preserve"> se zvýšila na 1,7 mil. hektarů.</w:t>
      </w:r>
      <w:r w:rsidRPr="00D102BD">
        <w:t xml:space="preserve"> Odbytová družstva vyvíjela svou činnost u všech </w:t>
      </w:r>
      <w:r>
        <w:t>důležitých</w:t>
      </w:r>
      <w:r w:rsidRPr="00D102BD">
        <w:t xml:space="preserve"> zemědělských komodit. P</w:t>
      </w:r>
      <w:r>
        <w:t>okles p</w:t>
      </w:r>
      <w:r w:rsidRPr="00D102BD">
        <w:t>oč</w:t>
      </w:r>
      <w:r>
        <w:t>tu</w:t>
      </w:r>
      <w:r w:rsidRPr="00D102BD">
        <w:t xml:space="preserve"> pracovníků v</w:t>
      </w:r>
      <w:r>
        <w:t> </w:t>
      </w:r>
      <w:r w:rsidRPr="00D102BD">
        <w:t>zemědělství</w:t>
      </w:r>
      <w:r>
        <w:t xml:space="preserve"> se zpomalil a v roce 2014 činil průměrný evidenční počet pracovníků zemědělství 102,1 tis.</w:t>
      </w:r>
      <w:r w:rsidRPr="00D102BD">
        <w:t xml:space="preserve"> V zemědělství, lesnictví a rybářství</w:t>
      </w:r>
      <w:r>
        <w:t xml:space="preserve"> vzrostla</w:t>
      </w:r>
      <w:r w:rsidRPr="00D102BD">
        <w:t xml:space="preserve"> průměrná mzda </w:t>
      </w:r>
      <w:r>
        <w:t>v roce 2014 o 2,9 %, což je o 0,05 p. b. více</w:t>
      </w:r>
      <w:r w:rsidRPr="00D102BD">
        <w:t xml:space="preserve"> než v národním hospodářství celkem.</w:t>
      </w:r>
    </w:p>
    <w:p w:rsidR="00BF576B" w:rsidRPr="009332A1" w:rsidRDefault="00BF576B" w:rsidP="00425142">
      <w:pPr>
        <w:pStyle w:val="Nadpis2"/>
      </w:pPr>
      <w:bookmarkStart w:id="149" w:name="_Toc424307050"/>
      <w:r w:rsidRPr="009332A1">
        <w:t>6.1</w:t>
      </w:r>
      <w:r w:rsidRPr="009332A1">
        <w:tab/>
        <w:t>Podnikatelská struktura zemědělství</w:t>
      </w:r>
      <w:bookmarkEnd w:id="149"/>
    </w:p>
    <w:p w:rsidR="00BF576B" w:rsidRPr="009332A1" w:rsidRDefault="00BF576B" w:rsidP="00425142">
      <w:r w:rsidRPr="009332A1">
        <w:t>Koncem roku 2014 bylo ve strukturální zemědělské statistice ČSÚ evidováno přes 48,5 tis. subjektů (tab. T6.1/01). Všechny evidované zemědělské subjekty jsou zde označovány jako zemědělské podniky a jsou rozděleny na p</w:t>
      </w:r>
      <w:r>
        <w:t xml:space="preserve">odniky právnických osob (PPO) </w:t>
      </w:r>
      <w:r>
        <w:lastRenderedPageBreak/>
        <w:t>a </w:t>
      </w:r>
      <w:r w:rsidRPr="009332A1">
        <w:t>podniky fyzických osob (PFO). PPO zahrnuj</w:t>
      </w:r>
      <w:r>
        <w:t>í</w:t>
      </w:r>
      <w:r w:rsidRPr="009332A1">
        <w:t xml:space="preserve"> zemědělské obchodní korporace, a to obchodní společnosti a družstva, a jiné právnické osoby. PFO zahrnují jak zemědělské podnikatele podle zákona č. 252/1997 Sb., o zemědělství (dále jen </w:t>
      </w:r>
      <w:r w:rsidR="008969A9">
        <w:t>„</w:t>
      </w:r>
      <w:r w:rsidRPr="009332A1">
        <w:t>zemědělští podnikatelé – FO</w:t>
      </w:r>
      <w:r w:rsidR="008969A9">
        <w:t>“</w:t>
      </w:r>
      <w:r w:rsidRPr="009332A1">
        <w:t>), tak i fyzické osoby provozující drobné pěsti</w:t>
      </w:r>
      <w:r>
        <w:t>telské a chovatelské činnosti a </w:t>
      </w:r>
      <w:r w:rsidRPr="009332A1">
        <w:t xml:space="preserve">nepodléhající evidenci zemědělského podnikatele. Drobní pěstitelé nebo chovatelé bez podnikatelského osvědčení tvoří početnou část (43 %) evidovaných zemědělských subjektů. 1,6 tis. </w:t>
      </w:r>
      <w:r>
        <w:t xml:space="preserve">zemědělských </w:t>
      </w:r>
      <w:r w:rsidRPr="009332A1">
        <w:t>podniků (3,3 % z celkového počtu) ho</w:t>
      </w:r>
      <w:r w:rsidR="00BC5899">
        <w:t>spodařilo bez zemědělské půdy a </w:t>
      </w:r>
      <w:r w:rsidRPr="009332A1">
        <w:t>bylo zaměřeno výhradně na živočišnou výrobu. Převážnou část z nich (85 %) představovaly PFO.</w:t>
      </w:r>
    </w:p>
    <w:p w:rsidR="00BF576B" w:rsidRPr="009332A1" w:rsidRDefault="00BF576B" w:rsidP="00425142">
      <w:pPr>
        <w:pStyle w:val="mezera"/>
      </w:pPr>
    </w:p>
    <w:p w:rsidR="00BF576B" w:rsidRDefault="00205EC0" w:rsidP="00425142">
      <w:pPr>
        <w:pStyle w:val="mezera"/>
      </w:pPr>
      <w:r w:rsidRPr="00205EC0">
        <w:rPr>
          <w:noProof/>
          <w:lang w:eastAsia="cs-CZ"/>
        </w:rPr>
        <w:drawing>
          <wp:inline distT="0" distB="0" distL="0" distR="0" wp14:anchorId="34061FB2" wp14:editId="69FAC5C1">
            <wp:extent cx="5760720" cy="272561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2725610"/>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Většina zemědělských podniků (téměř 97 %) vykázala alespoň minimální výměru z. p.</w:t>
      </w:r>
      <w:r w:rsidRPr="009332A1">
        <w:rPr>
          <w:rStyle w:val="Znakapoznpodarou"/>
        </w:rPr>
        <w:footnoteReference w:id="87"/>
      </w:r>
      <w:r w:rsidRPr="009332A1">
        <w:t xml:space="preserve"> a tyto podniky hospodařily na 3,52 mil. ha z. p. (z toho 2,49 mil. ha o. p.).</w:t>
      </w:r>
    </w:p>
    <w:p w:rsidR="00BF576B" w:rsidRPr="009332A1" w:rsidRDefault="00BF576B" w:rsidP="00425142">
      <w:r w:rsidRPr="006605DD">
        <w:t xml:space="preserve">PPO obhospodařovaly </w:t>
      </w:r>
      <w:r w:rsidRPr="009332A1">
        <w:t>69 % z. p. (a necelých 75 % o. p.)</w:t>
      </w:r>
      <w:r>
        <w:t xml:space="preserve"> v ČR. Jednalo se převážně o </w:t>
      </w:r>
      <w:r w:rsidRPr="009332A1">
        <w:t>obchodní společnosti</w:t>
      </w:r>
      <w:r w:rsidRPr="009332A1">
        <w:rPr>
          <w:rStyle w:val="Znakapoznpodarou"/>
        </w:rPr>
        <w:footnoteReference w:id="88"/>
      </w:r>
      <w:r w:rsidRPr="009332A1">
        <w:t>, které obhospodařovaly zh</w:t>
      </w:r>
      <w:r>
        <w:t>ruba polovinu celkové výměry z. </w:t>
      </w:r>
      <w:r w:rsidRPr="009332A1">
        <w:t>p. Družstva hospodařila na pětině výměry z. p. Podíl ostatních právnických osob (státní podniky, příspěvkové organizace aj.) na z. p. je pouze 0,8 %.</w:t>
      </w:r>
    </w:p>
    <w:p w:rsidR="00BF576B" w:rsidRPr="009332A1" w:rsidRDefault="00BF576B" w:rsidP="00425142">
      <w:r w:rsidRPr="009332A1">
        <w:t>Největší podíl na půdě obhospodařované P</w:t>
      </w:r>
      <w:r>
        <w:t>FO měli zemědělští podnikatelé –</w:t>
      </w:r>
      <w:r w:rsidRPr="009332A1">
        <w:t xml:space="preserve"> FO, na které připadalo 28 % celkové výměry obhospodařované z. p. a</w:t>
      </w:r>
      <w:r>
        <w:t xml:space="preserve"> </w:t>
      </w:r>
      <w:r w:rsidRPr="009332A1">
        <w:t>24 % celkové výměry o. p.</w:t>
      </w:r>
      <w:r>
        <w:t xml:space="preserve"> v ČR.</w:t>
      </w:r>
    </w:p>
    <w:p w:rsidR="00BF576B" w:rsidRPr="009332A1" w:rsidRDefault="00BF576B" w:rsidP="00425142">
      <w:r w:rsidRPr="009332A1">
        <w:lastRenderedPageBreak/>
        <w:t>Podíl orné půdy celkově představoval 71 % zemědělské půdy. PPO vykázaly vyšší stupeň zornění obhospodařované půdy (celkově 76 %; podle jednotlivých právních forem s. r. o. 66 % a družstva shodně s a. s. 81 %) než PFO (59 %).</w:t>
      </w:r>
    </w:p>
    <w:p w:rsidR="00BF576B" w:rsidRPr="009332A1" w:rsidRDefault="00BF576B" w:rsidP="00425142">
      <w:r w:rsidRPr="009332A1">
        <w:t>Na početních stavech základních druhů hospodářských zvířat měly PPO ještě vyšší podíl než na obhospodařované půdě. Na PPO připadlo 76 % skotu (v rámci toho téměř 90 % dojených krav) a téměř 93 % prasat a 91 % drůbeže.</w:t>
      </w:r>
    </w:p>
    <w:p w:rsidR="00BF576B" w:rsidRPr="009332A1" w:rsidRDefault="00BF576B" w:rsidP="00425142">
      <w:r w:rsidRPr="009332A1">
        <w:t>Podle právních forem podniků byly největšími chovateli skotu a.</w:t>
      </w:r>
      <w:r>
        <w:t> </w:t>
      </w:r>
      <w:r w:rsidRPr="009332A1">
        <w:t>s., následované družs</w:t>
      </w:r>
      <w:r>
        <w:t>tvy a zemědělskými podnikateli –</w:t>
      </w:r>
      <w:r w:rsidRPr="009332A1">
        <w:t xml:space="preserve"> FO. Na chovu pra</w:t>
      </w:r>
      <w:r>
        <w:t>sat se téměř 63 % podílely a. s. a </w:t>
      </w:r>
      <w:r w:rsidRPr="009332A1">
        <w:t xml:space="preserve">dále družstva (15 %) a s. r. o. (13 %), na chovu drůbeže </w:t>
      </w:r>
      <w:r>
        <w:t xml:space="preserve">se </w:t>
      </w:r>
      <w:r w:rsidRPr="009332A1">
        <w:t>podílely zejména s. r. o. téměř 45</w:t>
      </w:r>
      <w:r>
        <w:t> </w:t>
      </w:r>
      <w:r w:rsidRPr="009332A1">
        <w:t>%</w:t>
      </w:r>
      <w:r>
        <w:t xml:space="preserve"> </w:t>
      </w:r>
      <w:r w:rsidRPr="009332A1">
        <w:t xml:space="preserve">a </w:t>
      </w:r>
      <w:proofErr w:type="spellStart"/>
      <w:r w:rsidRPr="009332A1">
        <w:t>a</w:t>
      </w:r>
      <w:proofErr w:type="spellEnd"/>
      <w:r w:rsidRPr="009332A1">
        <w:t>. s. více než 40 %</w:t>
      </w:r>
      <w:r>
        <w:t>,</w:t>
      </w:r>
      <w:r w:rsidRPr="009332A1">
        <w:t xml:space="preserve"> výrazně méně</w:t>
      </w:r>
      <w:r>
        <w:t xml:space="preserve"> pak</w:t>
      </w:r>
      <w:r w:rsidRPr="009332A1">
        <w:t xml:space="preserve"> zemědělští p</w:t>
      </w:r>
      <w:r>
        <w:t xml:space="preserve">odnikatelé – </w:t>
      </w:r>
      <w:r w:rsidRPr="009332A1">
        <w:t xml:space="preserve">FO </w:t>
      </w:r>
      <w:r w:rsidRPr="006605DD">
        <w:t>více než 8</w:t>
      </w:r>
      <w:r>
        <w:t> </w:t>
      </w:r>
      <w:r w:rsidRPr="006605DD">
        <w:t xml:space="preserve">% </w:t>
      </w:r>
      <w:r w:rsidRPr="009332A1">
        <w:t>(tab. T6.1/02).</w:t>
      </w:r>
    </w:p>
    <w:p w:rsidR="00BF576B" w:rsidRPr="009332A1" w:rsidRDefault="00BF576B" w:rsidP="00425142">
      <w:pPr>
        <w:pStyle w:val="mezera"/>
      </w:pPr>
    </w:p>
    <w:p w:rsidR="00BF576B" w:rsidRPr="009332A1" w:rsidRDefault="00BF576B" w:rsidP="00425142">
      <w:pPr>
        <w:pStyle w:val="mezera"/>
      </w:pPr>
      <w:r w:rsidRPr="00C76B37">
        <w:rPr>
          <w:noProof/>
          <w:lang w:eastAsia="cs-CZ"/>
        </w:rPr>
        <w:drawing>
          <wp:inline distT="0" distB="0" distL="0" distR="0" wp14:anchorId="54817200" wp14:editId="04FF51A1">
            <wp:extent cx="5760720" cy="2205901"/>
            <wp:effectExtent l="0" t="0" r="0" b="444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2205901"/>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 xml:space="preserve">Velikostní struktura zemědělských podniků v ČR daná výměrou obhospodařované zemědělské půdy je velmi různorodá a vykazuje významné rozdíly mezi PPO a PFO (tab. T6.1/03), velikostní strukturu jednotlivých typů zemědělských obchodních korporací uvádí </w:t>
      </w:r>
      <w:proofErr w:type="spellStart"/>
      <w:r>
        <w:t>příl</w:t>
      </w:r>
      <w:proofErr w:type="spellEnd"/>
      <w:r>
        <w:t xml:space="preserve">. </w:t>
      </w:r>
      <w:r w:rsidRPr="009332A1">
        <w:t>tab. 6.1/01.</w:t>
      </w:r>
    </w:p>
    <w:p w:rsidR="00BF576B" w:rsidRPr="009332A1" w:rsidRDefault="00BF576B" w:rsidP="00425142">
      <w:r w:rsidRPr="009332A1">
        <w:t xml:space="preserve">Celkově téměř 65 % podniků obhospodařujících zemědělskou půdu mělo výměru do </w:t>
      </w:r>
      <w:smartTag w:uri="urn:schemas-microsoft-com:office:smarttags" w:element="metricconverter">
        <w:smartTagPr>
          <w:attr w:name="ProductID" w:val="10ﾠha"/>
        </w:smartTagPr>
        <w:r w:rsidRPr="009332A1">
          <w:t>10 ha</w:t>
        </w:r>
      </w:smartTag>
      <w:r w:rsidRPr="009332A1">
        <w:t xml:space="preserve"> a připadala na ně pouze 2,3 % celkové výměry z. p. Podniky s výměrou nad </w:t>
      </w:r>
      <w:smartTag w:uri="urn:schemas-microsoft-com:office:smarttags" w:element="metricconverter">
        <w:smartTagPr>
          <w:attr w:name="ProductID" w:val="500ﾠha"/>
        </w:smartTagPr>
        <w:r w:rsidRPr="009332A1">
          <w:t>500 ha</w:t>
        </w:r>
      </w:smartTag>
      <w:r w:rsidRPr="009332A1">
        <w:t xml:space="preserve"> početně tvořily pouze necelá 4 % z celkového počtu podniků obhospodařujících zemědělskou půdu, avšak připadalo na ně téměř 69 % její celkové výměry.</w:t>
      </w:r>
    </w:p>
    <w:p w:rsidR="00BF576B" w:rsidRDefault="00BF576B" w:rsidP="00425142">
      <w:r w:rsidRPr="009332A1">
        <w:t>Z celkové výměry z. p. obhospodařované PPO připadalo 71 % na podniky větší než 1 000 ha. Naproti tomu u PFO připadalo na podniky větší než 1 tis. ha pouze 7</w:t>
      </w:r>
      <w:r>
        <w:t xml:space="preserve"> </w:t>
      </w:r>
      <w:r w:rsidRPr="009332A1">
        <w:t xml:space="preserve">% obhospodařované výměry z. p. tímto typem podniků. Z celkem </w:t>
      </w:r>
      <w:r w:rsidR="00BC5899">
        <w:t>306</w:t>
      </w:r>
      <w:r w:rsidRPr="009332A1">
        <w:t> podniků s výměrou nad 2 tis. ha bylo 30</w:t>
      </w:r>
      <w:r w:rsidR="00BC5899">
        <w:t>0</w:t>
      </w:r>
      <w:r w:rsidRPr="009332A1">
        <w:t xml:space="preserve"> PPO a 6 PFO. Největších podniků s výměrou nad 4 tis. ha z. p. z toho bylo 44 a až na j</w:t>
      </w:r>
      <w:r>
        <w:t>eden se jednalo výhradně o PPO.</w:t>
      </w:r>
    </w:p>
    <w:p w:rsidR="00BF576B" w:rsidRPr="009332A1" w:rsidRDefault="00BF576B" w:rsidP="00425142">
      <w:pPr>
        <w:pStyle w:val="mezera"/>
      </w:pPr>
    </w:p>
    <w:p w:rsidR="00BF576B" w:rsidRPr="009332A1" w:rsidRDefault="00BF576B" w:rsidP="00425142">
      <w:pPr>
        <w:pStyle w:val="mezera"/>
      </w:pPr>
      <w:r w:rsidRPr="00C76B37">
        <w:rPr>
          <w:noProof/>
          <w:lang w:eastAsia="cs-CZ"/>
        </w:rPr>
        <w:lastRenderedPageBreak/>
        <w:drawing>
          <wp:inline distT="0" distB="0" distL="0" distR="0" wp14:anchorId="51EB48FB" wp14:editId="4A5BA790">
            <wp:extent cx="5760720" cy="2126964"/>
            <wp:effectExtent l="0" t="0" r="0" b="698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126964"/>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 xml:space="preserve">Vývoj podnikatelské struktury českého zemědělství v období od roku 2000 zachycující zemědělské podniky s výměrou více než </w:t>
      </w:r>
      <w:smartTag w:uri="urn:schemas-microsoft-com:office:smarttags" w:element="metricconverter">
        <w:smartTagPr>
          <w:attr w:name="ProductID" w:val="3 ha"/>
        </w:smartTagPr>
        <w:r w:rsidRPr="009332A1">
          <w:t>3 ha</w:t>
        </w:r>
      </w:smartTag>
      <w:r w:rsidRPr="009332A1">
        <w:t xml:space="preserve"> zemědělské půdy</w:t>
      </w:r>
      <w:r w:rsidRPr="009332A1">
        <w:rPr>
          <w:rStyle w:val="Znakapoznpodarou"/>
        </w:rPr>
        <w:footnoteReference w:id="89"/>
      </w:r>
      <w:r w:rsidRPr="009332A1">
        <w:t xml:space="preserve"> je uveden v</w:t>
      </w:r>
      <w:r>
        <w:t xml:space="preserve"> </w:t>
      </w:r>
      <w:proofErr w:type="spellStart"/>
      <w:r>
        <w:t>příl</w:t>
      </w:r>
      <w:proofErr w:type="spellEnd"/>
      <w:r>
        <w:t xml:space="preserve">. </w:t>
      </w:r>
      <w:r w:rsidRPr="009332A1">
        <w:t>tab. 6.1/02.</w:t>
      </w:r>
    </w:p>
    <w:p w:rsidR="00BF576B" w:rsidRPr="009332A1" w:rsidRDefault="00BF576B" w:rsidP="00425142">
      <w:r w:rsidRPr="009332A1">
        <w:t>Podíl PFO na obhospodařované půdě postupně narůstal a proti roku 2000 se v roce 2014 zvýšil o 4,3 p. b. na úkor podílu PPO. Zvýšila se i průměrná výměra PFO větších než 3 ha z. p., a to z 38,8 ha v roce 2000 na 45,4</w:t>
      </w:r>
      <w:r>
        <w:t xml:space="preserve"> </w:t>
      </w:r>
      <w:r w:rsidRPr="009332A1">
        <w:t>ha v roce 2014.</w:t>
      </w:r>
    </w:p>
    <w:p w:rsidR="00BF576B" w:rsidRDefault="00BF576B" w:rsidP="00425142">
      <w:r w:rsidRPr="009332A1">
        <w:t>Podíl PPO se naopak celkově snižoval, a to však pouze u družstev, jejichž podíl na výměře z. p. obhospodařované podniky s výměrou nad 3 ha z. p. poklesl z 29,3 % v roce 2000 na 19,9 % v roce 2014. Podíl obchodních společností v tomto ukazateli vzrostl ve stejném období o 5,5 p.</w:t>
      </w:r>
      <w:r>
        <w:t> </w:t>
      </w:r>
      <w:r w:rsidRPr="009332A1">
        <w:t>b. na 49,2 %. Poměrně výrazně se snížila průměrná výměra PPO větších než 3 ha z. p., a to z 1 036 ha z.</w:t>
      </w:r>
      <w:r>
        <w:t> </w:t>
      </w:r>
      <w:r w:rsidRPr="009332A1">
        <w:t xml:space="preserve">p. v roce 2000 na 684 ha z. p. v roce 2014, </w:t>
      </w:r>
      <w:r>
        <w:t xml:space="preserve">přičemž </w:t>
      </w:r>
      <w:r w:rsidRPr="009332A1">
        <w:t>důvod</w:t>
      </w:r>
      <w:r>
        <w:t>em</w:t>
      </w:r>
      <w:r w:rsidRPr="009332A1">
        <w:t xml:space="preserve"> </w:t>
      </w:r>
      <w:r>
        <w:t xml:space="preserve">je jak </w:t>
      </w:r>
      <w:r w:rsidRPr="009332A1">
        <w:t xml:space="preserve">pokles celkové jimi obhospodařované výměry půdy, tak </w:t>
      </w:r>
      <w:r>
        <w:t>jde o</w:t>
      </w:r>
      <w:r w:rsidRPr="009332A1">
        <w:t> důsled</w:t>
      </w:r>
      <w:r>
        <w:t>e</w:t>
      </w:r>
      <w:r w:rsidRPr="009332A1">
        <w:t>k nárůstu</w:t>
      </w:r>
      <w:r>
        <w:t xml:space="preserve"> počtu</w:t>
      </w:r>
      <w:r w:rsidRPr="009332A1">
        <w:t xml:space="preserve"> PPO</w:t>
      </w:r>
      <w:r>
        <w:t xml:space="preserve"> ve sledovaném období</w:t>
      </w:r>
      <w:r w:rsidRPr="009332A1">
        <w:t>.</w:t>
      </w:r>
    </w:p>
    <w:p w:rsidR="00BF576B" w:rsidRPr="009332A1" w:rsidRDefault="00BF576B" w:rsidP="00425142">
      <w:r w:rsidRPr="009332A1">
        <w:t xml:space="preserve">V roce 2014 </w:t>
      </w:r>
      <w:r>
        <w:t xml:space="preserve">se ve srovnání s rokem 2013 </w:t>
      </w:r>
      <w:r w:rsidRPr="009332A1">
        <w:t>podíl PFO na obhospodařované zemědělské půdě</w:t>
      </w:r>
      <w:r>
        <w:t xml:space="preserve"> mírně zvýšil</w:t>
      </w:r>
      <w:r w:rsidRPr="009332A1">
        <w:t xml:space="preserve">, a to o 0,2 p. b. na 30,1 % </w:t>
      </w:r>
      <w:r>
        <w:t xml:space="preserve">při odpovídajícím snížení </w:t>
      </w:r>
      <w:r w:rsidRPr="009332A1">
        <w:t>podíl</w:t>
      </w:r>
      <w:r>
        <w:t>u</w:t>
      </w:r>
      <w:r w:rsidRPr="009332A1">
        <w:t xml:space="preserve"> PPO na 69,9 %. Podíl družstev se </w:t>
      </w:r>
      <w:r>
        <w:t xml:space="preserve">přitom </w:t>
      </w:r>
      <w:r w:rsidRPr="009332A1">
        <w:t>meziročně snížil o 0,2 p. b. na 19,9 %.</w:t>
      </w:r>
    </w:p>
    <w:p w:rsidR="00BF576B" w:rsidRPr="001B1078" w:rsidRDefault="00BF576B" w:rsidP="00425142">
      <w:pPr>
        <w:pStyle w:val="Nadpis2"/>
      </w:pPr>
      <w:bookmarkStart w:id="150" w:name="_Toc424307051"/>
      <w:r w:rsidRPr="001B1078">
        <w:t>6.2</w:t>
      </w:r>
      <w:r w:rsidRPr="001B1078">
        <w:tab/>
        <w:t>Podnikatelská struktura zpracovatelů agrárních surovin</w:t>
      </w:r>
      <w:bookmarkEnd w:id="150"/>
    </w:p>
    <w:p w:rsidR="00BF576B" w:rsidRDefault="00BF576B" w:rsidP="00425142">
      <w:r w:rsidRPr="009332A1">
        <w:t>Podle údajů z registru ČSÚ byl v</w:t>
      </w:r>
      <w:r>
        <w:t xml:space="preserve"> </w:t>
      </w:r>
      <w:r w:rsidRPr="009332A1">
        <w:t>roce 2014 zaznamenán nárůst počtu podnikatelských subjektů zařazených do potravinářské výroby a výroby nápojů (NACE 10 + NACE 11).</w:t>
      </w:r>
      <w:r>
        <w:t xml:space="preserve"> </w:t>
      </w:r>
      <w:r w:rsidRPr="009332A1">
        <w:t>Celkový počet subjektů těchto výrob činil 19 677 (meziročně je to více o 1 360 firem).</w:t>
      </w:r>
      <w:r>
        <w:t xml:space="preserve"> </w:t>
      </w:r>
      <w:r w:rsidRPr="009332A1">
        <w:t>Ne všechny registrované subjekty jsou však ekonomicky aktivní. Také se změnila struktura využívaných právních forem, neboť v roce 2014 se nejvíce rozrostl počet firem fyzických osob.</w:t>
      </w:r>
    </w:p>
    <w:p w:rsidR="00BF576B" w:rsidRDefault="00BF576B" w:rsidP="00425142">
      <w:r w:rsidRPr="009332A1">
        <w:lastRenderedPageBreak/>
        <w:t>U jednotlivých sledovaných právních forem NACE 10 a NACE 11 se jejich počet meziročně vyvíjel takto:</w:t>
      </w:r>
    </w:p>
    <w:p w:rsidR="00BF576B" w:rsidRPr="009332A1" w:rsidRDefault="00BF576B" w:rsidP="00BF576B">
      <w:pPr>
        <w:pStyle w:val="vet1"/>
        <w:suppressAutoHyphens w:val="0"/>
      </w:pPr>
      <w:r w:rsidRPr="009332A1">
        <w:t>celkový počet fyzických osob, z nichž většina podniká podle živnostenského zákona, avšak nezapsaných v obchodním rejstříku se v roce 2014 dále značně meziročně rozšířil, a to o 2 232 subjektů na 14 919 firem. Vysoké tempo rozšiřování počtu těchto subjektů souvisí s oživením ekonomiky a ve sledovaných výrobách s</w:t>
      </w:r>
      <w:r>
        <w:t xml:space="preserve"> </w:t>
      </w:r>
      <w:r w:rsidRPr="009332A1">
        <w:t>poptávkou po jedinečné produkci v jednotlivých regionech. Jde zejména o drobné výrobce pečiva, masných výrobků, minipivovary či vinařství;</w:t>
      </w:r>
    </w:p>
    <w:p w:rsidR="00BF576B" w:rsidRPr="009332A1" w:rsidRDefault="00BF576B" w:rsidP="00BF576B">
      <w:pPr>
        <w:pStyle w:val="vet1"/>
        <w:suppressAutoHyphens w:val="0"/>
      </w:pPr>
      <w:r w:rsidRPr="009332A1">
        <w:t xml:space="preserve">výrazně, co do počtu zastoupenou právní formou u obchodních korporací v roce 2014 byly s. r. o., což odpovídá jednodušší formě vzniku i správě tohoto subjektu v porovnání s některými jinými korporacemi. V roce 2014 se tato </w:t>
      </w:r>
      <w:r>
        <w:t>forma podnikání vyskytovala u 4 </w:t>
      </w:r>
      <w:r w:rsidRPr="009332A1">
        <w:t>047 firem, což znamená další rozšíření této právní formy. Meziroční přírůstek dosáhl 344 společností;</w:t>
      </w:r>
    </w:p>
    <w:p w:rsidR="00BF576B" w:rsidRDefault="00BF576B" w:rsidP="00BF576B">
      <w:pPr>
        <w:pStyle w:val="vet1"/>
        <w:suppressAutoHyphens w:val="0"/>
      </w:pPr>
      <w:r w:rsidRPr="009332A1">
        <w:t>počet akciových společností v roce 2014 se příliš nezměnil. V roce 2014 podnikalo v této právní formě 466 a. s. (meziročně je to více pouze o 4 společnosti);</w:t>
      </w:r>
    </w:p>
    <w:p w:rsidR="00BF576B" w:rsidRPr="009332A1" w:rsidRDefault="00BF576B" w:rsidP="00BF576B">
      <w:pPr>
        <w:pStyle w:val="vet1"/>
        <w:suppressAutoHyphens w:val="0"/>
      </w:pPr>
      <w:r w:rsidRPr="009332A1">
        <w:t>jako družstvo podnikalo v roce 2014 jen 71 subjektů</w:t>
      </w:r>
      <w:r>
        <w:t>, což je o 3 méně než</w:t>
      </w:r>
      <w:r w:rsidRPr="009332A1">
        <w:t xml:space="preserve"> v roce</w:t>
      </w:r>
      <w:r>
        <w:t xml:space="preserve"> </w:t>
      </w:r>
      <w:r w:rsidRPr="009332A1">
        <w:t>2013.</w:t>
      </w:r>
    </w:p>
    <w:p w:rsidR="00BF576B" w:rsidRPr="009332A1" w:rsidRDefault="00BF576B" w:rsidP="00425142">
      <w:r w:rsidRPr="009332A1">
        <w:t>Další část výrobců potravin a nápojů využívá k podnikání jiné právní formy, jako je komanditní společnost aj., avšak ani v roce 2014 nebyly příliš zastoupeny.</w:t>
      </w:r>
    </w:p>
    <w:p w:rsidR="00BF576B" w:rsidRDefault="00BF576B" w:rsidP="00425142">
      <w:r w:rsidRPr="009332A1">
        <w:t>U podniků sledovaných ČSÚ z hlediska velikosti (monitoruje subjekty se 100 a více zaměstnanci) převládaly v roce 2014, obdobně jako v minulých letech</w:t>
      </w:r>
      <w:r w:rsidR="00BC5899">
        <w:t>,</w:t>
      </w:r>
      <w:r w:rsidRPr="009332A1">
        <w:t xml:space="preserve"> podniky od 100 do 199 zaměstnanců. S rostoucí velikostí se počet potravinářských podniků snižuje. Meziroční změny u sledovaných subjektů nejsou příliš významné s výjimkou kategorie podniků se 100</w:t>
      </w:r>
      <w:r>
        <w:noBreakHyphen/>
      </w:r>
      <w:r w:rsidRPr="009332A1">
        <w:t>199 zaměstnanci. Podrobnější údaje poskytuje tab. T6.2/01.</w:t>
      </w:r>
    </w:p>
    <w:p w:rsidR="00BF576B" w:rsidRPr="009332A1" w:rsidRDefault="00BF576B" w:rsidP="00425142">
      <w:pPr>
        <w:pStyle w:val="mezera"/>
      </w:pPr>
    </w:p>
    <w:p w:rsidR="00BF576B" w:rsidRDefault="00BF576B" w:rsidP="00425142">
      <w:pPr>
        <w:pStyle w:val="mezera"/>
      </w:pPr>
      <w:r w:rsidRPr="00C76B37">
        <w:rPr>
          <w:noProof/>
          <w:lang w:eastAsia="cs-CZ"/>
        </w:rPr>
        <w:drawing>
          <wp:inline distT="0" distB="0" distL="0" distR="0" wp14:anchorId="39382C1C" wp14:editId="3B00FE1F">
            <wp:extent cx="4752340" cy="227584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2340" cy="2275840"/>
                    </a:xfrm>
                    <a:prstGeom prst="rect">
                      <a:avLst/>
                    </a:prstGeom>
                    <a:noFill/>
                    <a:ln>
                      <a:noFill/>
                    </a:ln>
                  </pic:spPr>
                </pic:pic>
              </a:graphicData>
            </a:graphic>
          </wp:inline>
        </w:drawing>
      </w:r>
    </w:p>
    <w:p w:rsidR="00BF576B" w:rsidRPr="009332A1" w:rsidRDefault="00BF576B" w:rsidP="00425142">
      <w:pPr>
        <w:pStyle w:val="mezera"/>
      </w:pPr>
    </w:p>
    <w:p w:rsidR="00BF576B" w:rsidRDefault="00BF576B" w:rsidP="00425142">
      <w:r w:rsidRPr="009332A1">
        <w:t>Výkonnostně nejvýznamnější velikostní kategori</w:t>
      </w:r>
      <w:r w:rsidR="00BC5899">
        <w:t>i</w:t>
      </w:r>
      <w:r w:rsidRPr="009332A1">
        <w:t xml:space="preserve"> (posuzováno podle absolutního objemu tržeb za prodej vlastních výrobků a služeb) představovaly v roce 2014 podniky s 200 až</w:t>
      </w:r>
      <w:r>
        <w:t xml:space="preserve"> </w:t>
      </w:r>
      <w:r w:rsidRPr="009332A1">
        <w:t xml:space="preserve">499 zaměstnanci, s objemem zmíněných tržeb 72,1 mld. Kč. Poněkud menšího objemu těchto tržeb bylo v roce 2014 docíleno u kategorie od 100 do </w:t>
      </w:r>
      <w:r w:rsidR="00BC5899">
        <w:t xml:space="preserve">199 zaměstnanců, a to </w:t>
      </w:r>
      <w:r w:rsidR="00BC5899">
        <w:lastRenderedPageBreak/>
        <w:t>70,0 mld. </w:t>
      </w:r>
      <w:r w:rsidRPr="009332A1">
        <w:t>Kč. Uvedené dvě kategorie podniků se na tržbách za prodej VV a S u výroby potravinářských výrobků a výroby nápojů (CZ</w:t>
      </w:r>
      <w:r>
        <w:noBreakHyphen/>
      </w:r>
      <w:r w:rsidRPr="009332A1">
        <w:t>NACE 10 a CZ</w:t>
      </w:r>
      <w:r>
        <w:noBreakHyphen/>
      </w:r>
      <w:r w:rsidR="00BC5899">
        <w:t>NACE 11) podílely nejvíce, a </w:t>
      </w:r>
      <w:r w:rsidRPr="009332A1">
        <w:t>to 65,0 %.</w:t>
      </w:r>
    </w:p>
    <w:p w:rsidR="00BF576B" w:rsidRDefault="00BF576B" w:rsidP="00425142">
      <w:r w:rsidRPr="009332A1">
        <w:t>Počty potravinářských podniků s 50 a více zaměstnanci v roce 2014 v meziročním porovnání podle oborů jsou uvedeny v tab. T6.2/02. Jako v minulých letech nejvyšší počet podniků vykazuje výroba pekařských a cukrářských výrobků, s určitým odstupem pak obor zpracování masa a masných výrobků a výroba ostatních potravinářských výrobků, která je velmi členitá a je založena především na výrobách rostlinného původu (výroba cukru a také kakaa, čokolády a cukrovinek), ale také produkci vyššího stupně zpracování agrárních surovin (výroba hotových pokrmů, polévek, dietních potravin aj.).</w:t>
      </w:r>
    </w:p>
    <w:p w:rsidR="00BF576B" w:rsidRDefault="00BF576B" w:rsidP="00425142">
      <w:r w:rsidRPr="009332A1">
        <w:t>Z</w:t>
      </w:r>
      <w:r>
        <w:t xml:space="preserve"> </w:t>
      </w:r>
      <w:r w:rsidRPr="009332A1">
        <w:t>meziročního porovnání vyplývá, že u většiny oborů u této</w:t>
      </w:r>
      <w:r>
        <w:t xml:space="preserve"> kategorie podniků s 50 a </w:t>
      </w:r>
      <w:r w:rsidRPr="009332A1">
        <w:t xml:space="preserve">více zaměstnanci se počet firem v hodnocených letech (2013 a 2014) jen nevýznamně různil. U části oborů </w:t>
      </w:r>
      <w:r>
        <w:t xml:space="preserve">došlo </w:t>
      </w:r>
      <w:r w:rsidRPr="009332A1">
        <w:t>k</w:t>
      </w:r>
      <w:r>
        <w:t xml:space="preserve"> </w:t>
      </w:r>
      <w:r w:rsidRPr="009332A1">
        <w:t>mírnému poklesu</w:t>
      </w:r>
      <w:r>
        <w:t xml:space="preserve"> počtu</w:t>
      </w:r>
      <w:r w:rsidRPr="009332A1">
        <w:t xml:space="preserve"> podniků a naopak u některých výrob se podnikatelská základna rozšířila, což je v kontextu s měnící se tržní a ekonomickou situací </w:t>
      </w:r>
      <w:r>
        <w:t>ve výrobě potravin a nápojů.</w:t>
      </w:r>
    </w:p>
    <w:p w:rsidR="00BF576B" w:rsidRPr="009332A1" w:rsidRDefault="00BF576B" w:rsidP="00425142">
      <w:pPr>
        <w:pStyle w:val="mezera"/>
      </w:pPr>
    </w:p>
    <w:p w:rsidR="00BF576B" w:rsidRDefault="00FC3FCC" w:rsidP="00425142">
      <w:pPr>
        <w:pStyle w:val="mezera"/>
      </w:pPr>
      <w:r w:rsidRPr="00FC3FCC">
        <w:rPr>
          <w:noProof/>
          <w:lang w:eastAsia="cs-CZ"/>
        </w:rPr>
        <w:drawing>
          <wp:inline distT="0" distB="0" distL="0" distR="0" wp14:anchorId="3021BDD6" wp14:editId="197C74AA">
            <wp:extent cx="5760720" cy="2507656"/>
            <wp:effectExtent l="0" t="0" r="0" b="698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2507656"/>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 xml:space="preserve">Příliv přímých zahraničních investic (PZI) do výroby potravinářských výrobků a nápojů včetně výroby tabákových výrobků (CZ-NACE 10-12) dosáhl podle předběžných údajů ČNB za rok 2014 </w:t>
      </w:r>
      <w:r>
        <w:t>záporné hodnoty</w:t>
      </w:r>
      <w:r w:rsidRPr="009332A1">
        <w:t xml:space="preserve"> </w:t>
      </w:r>
      <w:r>
        <w:noBreakHyphen/>
      </w:r>
      <w:r w:rsidRPr="009332A1">
        <w:t>3 854,6 mil. Kč, což se výrazně neliší od hodnoty vykázané v roce 2013 (</w:t>
      </w:r>
      <w:r w:rsidR="0031178B">
        <w:t xml:space="preserve">tab. </w:t>
      </w:r>
      <w:r w:rsidRPr="009332A1">
        <w:t xml:space="preserve">T6.2/03). Kladnou hodnotu na rozdíl od roku 2013 vykázal v roce 2014 základní </w:t>
      </w:r>
      <w:r w:rsidRPr="009D6824">
        <w:t xml:space="preserve">kapitál </w:t>
      </w:r>
      <w:r w:rsidRPr="009332A1">
        <w:t>a reinvestovaný</w:t>
      </w:r>
      <w:r w:rsidRPr="009D6824">
        <w:t xml:space="preserve"> zisk</w:t>
      </w:r>
      <w:r w:rsidRPr="009332A1">
        <w:t>. Zápornou hodnotu zaznamenal ostat</w:t>
      </w:r>
      <w:r>
        <w:t>ní kapitál zahrnující přijaté a </w:t>
      </w:r>
      <w:r w:rsidRPr="009332A1">
        <w:t>poskytnuté úvěry.</w:t>
      </w:r>
    </w:p>
    <w:p w:rsidR="00BF576B" w:rsidRDefault="00BF576B" w:rsidP="00425142">
      <w:r w:rsidRPr="009332A1">
        <w:t xml:space="preserve">V porovnání s rokem 2013 se situace v přílivu PZI do CZ-NACE 10-12 v roce 2014 výrazně nezměnila, </w:t>
      </w:r>
      <w:r>
        <w:t>došlo ke změnám pouze v jejich struktuře</w:t>
      </w:r>
      <w:r w:rsidRPr="009332A1">
        <w:t xml:space="preserve">. Podíl investic za sledovanou výrobu na celkových PZI za ČR </w:t>
      </w:r>
      <w:r w:rsidR="00BC5899">
        <w:t xml:space="preserve">v roce 2014 poklesl o </w:t>
      </w:r>
      <w:r w:rsidRPr="009332A1">
        <w:t>3,16 %</w:t>
      </w:r>
      <w:r w:rsidR="004A7974">
        <w:t>, v</w:t>
      </w:r>
      <w:r w:rsidRPr="009332A1">
        <w:t xml:space="preserve"> roce 2013 </w:t>
      </w:r>
      <w:r w:rsidR="00BC5899">
        <w:t xml:space="preserve">o </w:t>
      </w:r>
      <w:r w:rsidRPr="009332A1">
        <w:t>4,84 %, což nepředstavuje příliš výrazný rozdíl. PZI do výroby pot</w:t>
      </w:r>
      <w:r w:rsidR="004A7974">
        <w:t>ravinářských výrobků a nápojů a </w:t>
      </w:r>
      <w:r w:rsidRPr="009332A1">
        <w:t xml:space="preserve">zpracování tabákových výrobků za celé sledované období (1997-2014) dosáhly dle </w:t>
      </w:r>
      <w:r w:rsidRPr="009332A1">
        <w:lastRenderedPageBreak/>
        <w:t>předběžných údajů ČNB částky 82 837,9</w:t>
      </w:r>
      <w:r>
        <w:t xml:space="preserve"> </w:t>
      </w:r>
      <w:r w:rsidRPr="009332A1">
        <w:t>mil. Kč a podílely se na objemu investic do národní ekonomiky 2,97 %.</w:t>
      </w:r>
    </w:p>
    <w:p w:rsidR="00BF576B" w:rsidRPr="009332A1" w:rsidRDefault="00BF576B" w:rsidP="00425142">
      <w:pPr>
        <w:pStyle w:val="mezera"/>
      </w:pPr>
    </w:p>
    <w:p w:rsidR="00BF576B" w:rsidRPr="009332A1" w:rsidRDefault="00BF576B" w:rsidP="00425142">
      <w:pPr>
        <w:pStyle w:val="mezera"/>
      </w:pPr>
      <w:r w:rsidRPr="00C76B37">
        <w:rPr>
          <w:noProof/>
          <w:lang w:eastAsia="cs-CZ"/>
        </w:rPr>
        <w:drawing>
          <wp:inline distT="0" distB="0" distL="0" distR="0" wp14:anchorId="569460E4" wp14:editId="15560171">
            <wp:extent cx="5760720" cy="2702209"/>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2702209"/>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Odliv tuzemských investic (TI) z ČR do zahraničí do odvětví CZ-NACE 10-12 za rok 2014 činil dle předběžných údajů ČNB 5 898,2 mil. Kč. Za celé sledované období (1997</w:t>
      </w:r>
      <w:r>
        <w:noBreakHyphen/>
      </w:r>
      <w:r w:rsidRPr="009332A1">
        <w:t>2014) dosáhl odliv TI do zahraničí 9 364,2 mil.</w:t>
      </w:r>
      <w:r>
        <w:t xml:space="preserve"> </w:t>
      </w:r>
      <w:r w:rsidRPr="009332A1">
        <w:t>Kč, což představuje podíl 2,34 % v rámci národního hospodářství, a tento podíl je jen mírně nižší než u přílivu.</w:t>
      </w:r>
    </w:p>
    <w:p w:rsidR="00BF576B" w:rsidRPr="009332A1" w:rsidRDefault="00BF576B" w:rsidP="005055D7">
      <w:pPr>
        <w:pStyle w:val="Nadpis2"/>
        <w:numPr>
          <w:ilvl w:val="1"/>
          <w:numId w:val="23"/>
        </w:numPr>
        <w:suppressAutoHyphens w:val="0"/>
      </w:pPr>
      <w:bookmarkStart w:id="151" w:name="_Toc424307052"/>
      <w:r w:rsidRPr="009332A1">
        <w:t>Dodavatelská odvětví</w:t>
      </w:r>
      <w:bookmarkEnd w:id="151"/>
    </w:p>
    <w:p w:rsidR="00BF576B" w:rsidRPr="009332A1" w:rsidRDefault="00BF576B" w:rsidP="00425142">
      <w:pPr>
        <w:pStyle w:val="Norm-Bold"/>
      </w:pPr>
      <w:r w:rsidRPr="009332A1">
        <w:t>Osivo a sadba</w:t>
      </w:r>
    </w:p>
    <w:p w:rsidR="00BF576B" w:rsidRPr="00A62259" w:rsidRDefault="00BF576B" w:rsidP="00425142">
      <w:r w:rsidRPr="00A62259">
        <w:t>V roce 2014 bylo podle zákona č. 219/2003 Sb., ve znění pozdějších předpisů, zaevidováno, popř. zaregistrováno 894 semenářských firem s oprávněním pro výrobu a dovoz rozmnožovacího materiálu (polní plodiny, sadba brambor, sazenice zelenin) a jeho uvádění do oběhu.</w:t>
      </w:r>
    </w:p>
    <w:p w:rsidR="00BF576B" w:rsidRPr="00A62259" w:rsidRDefault="00BF576B" w:rsidP="00425142">
      <w:r w:rsidRPr="00A62259">
        <w:t>ÚKZÚZ – odbor osiv a sadby jako národní určená autorita se pravidelně zúčastňuje Výročního zasedání Schémat OECD pro odrůdovou certifikaci osiva, pohybujícího se na mezinárodním trhu, a Výročního zasedání ISTA (Mezinárodní organizace pro testování semen).</w:t>
      </w:r>
    </w:p>
    <w:p w:rsidR="00BF576B" w:rsidRPr="00A62259" w:rsidRDefault="00BF576B" w:rsidP="00425142">
      <w:r w:rsidRPr="00A62259">
        <w:t>V roce 2014 bylo vystaveno celkem 626 mezinárodních certifikátů, z toho 516 ISTA a 110 OECD. Kromě těchto mezinárodních certifikátů využívá mnoho dodavatelů možnosti vyvážet osivo s dvojjazyčným česko-anglickým uznávacím listem na osivo.</w:t>
      </w:r>
    </w:p>
    <w:p w:rsidR="00952F6E" w:rsidRDefault="00952F6E" w:rsidP="00425142">
      <w:r w:rsidRPr="00952F6E">
        <w:t>V tab. T6.3/01 jsou uvedeny přihlášené množitelské p</w:t>
      </w:r>
      <w:r>
        <w:t>lochy v roce 2014 v porovnání s </w:t>
      </w:r>
      <w:r w:rsidRPr="00952F6E">
        <w:t>rokem 2013. Velikost množitelských ploch jednotlivých skupin plodin se s výjimkou luskovin meziročně výrazně nezměnila. K největšímu pokl</w:t>
      </w:r>
      <w:r>
        <w:t>esu množitelských ploch došlo u </w:t>
      </w:r>
      <w:r w:rsidRPr="00952F6E">
        <w:t>obilovin (o 6,6 %) a trav, jednoletých pícnin a ostatních krm</w:t>
      </w:r>
      <w:r>
        <w:t xml:space="preserve">ných plodin (o 6,0 %), naopak </w:t>
      </w:r>
      <w:r>
        <w:lastRenderedPageBreak/>
        <w:t>u </w:t>
      </w:r>
      <w:r w:rsidRPr="00952F6E">
        <w:t xml:space="preserve">luskovin došlo k výraznému nárůstu o 44,7 %. Výkyvy v poptávce po certifikovaném osivu jsou významně ovlivněny trhem s jednotlivými plodinami v </w:t>
      </w:r>
      <w:r>
        <w:t>rámci ČR i EU a tomu odpovídá i </w:t>
      </w:r>
      <w:r w:rsidRPr="00952F6E">
        <w:t>meziroční kolísání výměry množitelských ploch.</w:t>
      </w:r>
    </w:p>
    <w:p w:rsidR="00BF576B" w:rsidRPr="00A62259" w:rsidRDefault="00BF576B" w:rsidP="00425142">
      <w:pPr>
        <w:pStyle w:val="mezera"/>
      </w:pPr>
    </w:p>
    <w:p w:rsidR="00BF576B" w:rsidRDefault="00BF576B" w:rsidP="00425142">
      <w:pPr>
        <w:pStyle w:val="mezera"/>
      </w:pPr>
      <w:r w:rsidRPr="00C76B37">
        <w:rPr>
          <w:noProof/>
          <w:lang w:eastAsia="cs-CZ"/>
        </w:rPr>
        <w:drawing>
          <wp:inline distT="0" distB="0" distL="0" distR="0" wp14:anchorId="1F821422" wp14:editId="5C4B2C26">
            <wp:extent cx="5760720" cy="2012665"/>
            <wp:effectExtent l="0" t="0" r="0" b="698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2012665"/>
                    </a:xfrm>
                    <a:prstGeom prst="rect">
                      <a:avLst/>
                    </a:prstGeom>
                    <a:noFill/>
                    <a:ln>
                      <a:noFill/>
                    </a:ln>
                  </pic:spPr>
                </pic:pic>
              </a:graphicData>
            </a:graphic>
          </wp:inline>
        </w:drawing>
      </w:r>
    </w:p>
    <w:p w:rsidR="00BF576B" w:rsidRPr="00A62259" w:rsidRDefault="00BF576B" w:rsidP="00425142">
      <w:pPr>
        <w:pStyle w:val="mezera"/>
      </w:pPr>
    </w:p>
    <w:p w:rsidR="00BF576B" w:rsidRPr="00A62259" w:rsidRDefault="00BF576B" w:rsidP="00425142">
      <w:r w:rsidRPr="00A62259">
        <w:t>V roce 2014 bylo podle odhadu ÚKZÚZ v ČR použito 181,2 tis. t certifikovaného osiva obilovin (meziročně o 2,3 % více), 10,9 tis. t certifikovaného</w:t>
      </w:r>
      <w:r>
        <w:t xml:space="preserve"> osiva olejnin (o 8,4 % méně) a </w:t>
      </w:r>
      <w:r w:rsidRPr="00A62259">
        <w:t>63,6 tis. t certifikované sadby brambor (o 15,5 % více).</w:t>
      </w:r>
    </w:p>
    <w:p w:rsidR="00BF576B" w:rsidRPr="00A62259" w:rsidRDefault="00BF576B" w:rsidP="00425142">
      <w:pPr>
        <w:pStyle w:val="Norm-Bold"/>
      </w:pPr>
      <w:r w:rsidRPr="00A62259">
        <w:t>Minerální hnojiva a přípravky na ochranu rostlin</w:t>
      </w:r>
    </w:p>
    <w:p w:rsidR="00BF576B" w:rsidRPr="00A62259" w:rsidRDefault="00BF576B" w:rsidP="00425142">
      <w:r w:rsidRPr="00A62259">
        <w:t>V roce 2014 pokračovala registrace hnojiv a pomocných látek (PL) podle zákona č. 156/1998 Sb., o hnojivech. Kromě registrace se evidují hnojiva a PL uváděné do oběhu i dalšími 3 legálními způsoby, tzn. v režimu ohlášení (podle zákona č. 156/1998 Sb., o hnojivech), vzájemného uznávání (podle Nařízení EP a Rady (ES) č. 764/2008 a HNOJIV ES (podle Nařízení EP a Rady (ES) č. 2003/2003). HNOJIVA ES jsou však evidována a následně zveřejněna v Registru hnojiv pouze na základě žádosti výrobce, resp. dodavatele, protože tato hnojiva ze své podstaty žádné evidenci ani povinnému hlášení nepodléhají.</w:t>
      </w:r>
    </w:p>
    <w:p w:rsidR="00BF576B" w:rsidRPr="00A62259" w:rsidRDefault="00BF576B" w:rsidP="00425142">
      <w:r w:rsidRPr="00A62259">
        <w:t>K 1. 1. 2014 bylo v Registru hnojiv evidováno celkem 1 661 hnojiv a PL v režimu registrace, 546 hnojiv v režimu ohlášení, 254 hnojiv a PL v režimu vzájemného uznávání a 227 hnojiv v režimu HNOJIV ES. Poměr tuzemských / zahraničních hnojiv a PL je cca 45 % / 55 %. Podíl HNOJIV ES na celkovém objemu obchodovaných hnojiv v ČR se odhaduje na 30-35 % (meziročně o cca 5 % vyšší).</w:t>
      </w:r>
    </w:p>
    <w:p w:rsidR="00BF576B" w:rsidRPr="00A62259" w:rsidRDefault="00BF576B" w:rsidP="00425142">
      <w:r w:rsidRPr="00A62259">
        <w:t>Na základě výsledků analýz vzorků, odebraných v rám</w:t>
      </w:r>
      <w:r>
        <w:t>ci odborného dozoru (celkem 301 </w:t>
      </w:r>
      <w:r w:rsidRPr="00A62259">
        <w:t>vzorků), bylo zrušeno 14 rozhodnutí o</w:t>
      </w:r>
      <w:r>
        <w:t xml:space="preserve"> </w:t>
      </w:r>
      <w:r w:rsidRPr="00A62259">
        <w:t>registraci a</w:t>
      </w:r>
      <w:r>
        <w:t xml:space="preserve"> </w:t>
      </w:r>
      <w:r w:rsidRPr="00A62259">
        <w:t>byl</w:t>
      </w:r>
      <w:r>
        <w:t>a zahájena 4 správní řízení u </w:t>
      </w:r>
      <w:r w:rsidRPr="00A62259">
        <w:t>HNOJIV ES.</w:t>
      </w:r>
    </w:p>
    <w:p w:rsidR="00BF576B" w:rsidRPr="00A62259" w:rsidRDefault="00BF576B" w:rsidP="00425142">
      <w:r w:rsidRPr="00A62259">
        <w:t>Ve srovnání s předchozím rokem došlo v roce 2014 k celkovému mírnému zvýšení spotřeby živin v minerálních hnojivech. Minerálními hnojivy bylo v roce 2014 dodáno 92,6 kg N (mírný meziroční pokles o 1,</w:t>
      </w:r>
      <w:r w:rsidR="00952F6E">
        <w:t>7</w:t>
      </w:r>
      <w:r w:rsidRPr="00A62259">
        <w:t> %), 13,1 kg P</w:t>
      </w:r>
      <w:r w:rsidRPr="00A62259">
        <w:rPr>
          <w:szCs w:val="24"/>
          <w:vertAlign w:val="subscript"/>
        </w:rPr>
        <w:t>2</w:t>
      </w:r>
      <w:r w:rsidRPr="00A62259">
        <w:t>O</w:t>
      </w:r>
      <w:r w:rsidRPr="00A62259">
        <w:rPr>
          <w:szCs w:val="24"/>
          <w:vertAlign w:val="subscript"/>
        </w:rPr>
        <w:t>5</w:t>
      </w:r>
      <w:r w:rsidRPr="00A62259">
        <w:t xml:space="preserve"> a 11,7 kg K</w:t>
      </w:r>
      <w:r w:rsidRPr="00A62259">
        <w:rPr>
          <w:szCs w:val="24"/>
          <w:vertAlign w:val="subscript"/>
        </w:rPr>
        <w:t>2</w:t>
      </w:r>
      <w:r w:rsidRPr="00A62259">
        <w:t xml:space="preserve">O na hektar zemědělské půdy. Celková spotřeba čistých živin dodaných minerálními hnojivy činila </w:t>
      </w:r>
      <w:r w:rsidRPr="00A62259">
        <w:lastRenderedPageBreak/>
        <w:t xml:space="preserve">412,8 tis. t (meziročně o 3,7 % vyšší), v přepočtu 117,4 kg/ha zemědělské půdy. Na základě informací ČSÚ bylo v roce 2014 kalkulováno s výměrou využívané zemědělské půdy </w:t>
      </w:r>
      <w:r w:rsidR="00F3226C">
        <w:t>3 515 </w:t>
      </w:r>
      <w:r w:rsidRPr="00A62259">
        <w:t>tis. ha.</w:t>
      </w:r>
    </w:p>
    <w:p w:rsidR="00BF576B" w:rsidRPr="00A62259" w:rsidRDefault="00BF576B" w:rsidP="00425142">
      <w:r w:rsidRPr="00A62259">
        <w:t xml:space="preserve">Statkovými </w:t>
      </w:r>
      <w:r w:rsidR="00F3226C">
        <w:t xml:space="preserve">a organickými </w:t>
      </w:r>
      <w:r w:rsidRPr="00A62259">
        <w:t>hnojivy bylo v roce 2014 dodáno v průměru 27,3 kg N, 15,1 kg P</w:t>
      </w:r>
      <w:r w:rsidRPr="00A62259">
        <w:rPr>
          <w:szCs w:val="24"/>
          <w:vertAlign w:val="subscript"/>
        </w:rPr>
        <w:t>2</w:t>
      </w:r>
      <w:r w:rsidRPr="00A62259">
        <w:t>O</w:t>
      </w:r>
      <w:r w:rsidRPr="00A62259">
        <w:rPr>
          <w:szCs w:val="24"/>
          <w:vertAlign w:val="subscript"/>
        </w:rPr>
        <w:t>5</w:t>
      </w:r>
      <w:r w:rsidRPr="00A62259">
        <w:t xml:space="preserve"> a 26,3 kg K</w:t>
      </w:r>
      <w:r w:rsidRPr="00A62259">
        <w:rPr>
          <w:szCs w:val="24"/>
          <w:vertAlign w:val="subscript"/>
        </w:rPr>
        <w:t>2</w:t>
      </w:r>
      <w:r w:rsidRPr="00A62259">
        <w:t>O na hektar zemědělské půdy. Celková dodávka čistých základních živin ze statkových hnojiv činila podle údajů VÚRV 68,7 kg/ha.</w:t>
      </w:r>
    </w:p>
    <w:p w:rsidR="00BF576B" w:rsidRPr="00A62259" w:rsidRDefault="00BF576B" w:rsidP="00425142">
      <w:r w:rsidRPr="00A62259">
        <w:t>V roce 2014 byl poprvé do této statistiky započítán vstu</w:t>
      </w:r>
      <w:r>
        <w:t xml:space="preserve">p živin v </w:t>
      </w:r>
      <w:proofErr w:type="spellStart"/>
      <w:r>
        <w:t>digestátu</w:t>
      </w:r>
      <w:proofErr w:type="spellEnd"/>
      <w:r>
        <w:t>. Vzhledem k </w:t>
      </w:r>
      <w:r w:rsidRPr="00A62259">
        <w:t xml:space="preserve">nárůstu počtu zemědělských bioplynových stanic (BPS) v ČR v posledních letech, které produkují téměř 8 mil. t </w:t>
      </w:r>
      <w:proofErr w:type="spellStart"/>
      <w:r w:rsidRPr="00A62259">
        <w:t>digestátu</w:t>
      </w:r>
      <w:proofErr w:type="spellEnd"/>
      <w:r w:rsidRPr="00A62259">
        <w:t>, bylo touto formou v roce 2014 dodáno do půdy v průměru 12,0 kg N, 3,6 kg P</w:t>
      </w:r>
      <w:r w:rsidRPr="00A62259">
        <w:rPr>
          <w:szCs w:val="24"/>
          <w:vertAlign w:val="subscript"/>
        </w:rPr>
        <w:t>2</w:t>
      </w:r>
      <w:r w:rsidRPr="00A62259">
        <w:t>O</w:t>
      </w:r>
      <w:r w:rsidRPr="00A62259">
        <w:rPr>
          <w:szCs w:val="24"/>
          <w:vertAlign w:val="subscript"/>
        </w:rPr>
        <w:t>5</w:t>
      </w:r>
      <w:r w:rsidRPr="00A62259">
        <w:t xml:space="preserve"> a 8,0 kg K</w:t>
      </w:r>
      <w:r w:rsidRPr="00A62259">
        <w:rPr>
          <w:szCs w:val="24"/>
          <w:vertAlign w:val="subscript"/>
        </w:rPr>
        <w:t>2</w:t>
      </w:r>
      <w:r w:rsidRPr="00A62259">
        <w:t xml:space="preserve">O na hektar. Část statkových hnojiv již není použita ke hnojení, ale je dodávána jako vstupní surovina do BPS. Živiny ze vstupujících statkových hnojiv (kejda, hnůj) tvoří odhadem polovinu živin ve výsledném </w:t>
      </w:r>
      <w:proofErr w:type="spellStart"/>
      <w:r w:rsidRPr="00A62259">
        <w:t>digestátu</w:t>
      </w:r>
      <w:proofErr w:type="spellEnd"/>
      <w:r w:rsidRPr="00A62259">
        <w:t>. Druhá polovina živin pochází z biomasy, vstupující do BPS (zejména kukuřice), a o toto množství živin je vlastně zvýšen přívod živin do půdy organickým hnojením.</w:t>
      </w:r>
    </w:p>
    <w:p w:rsidR="00BF576B" w:rsidRPr="00A62259" w:rsidRDefault="00BF576B" w:rsidP="00425142">
      <w:r w:rsidRPr="00A62259">
        <w:t>Spotřeba vápenatých hmot meziročně opět vzrostla, a to o 11,9 % na 283 tis. t.</w:t>
      </w:r>
    </w:p>
    <w:p w:rsidR="00BF576B" w:rsidRPr="00C241A8" w:rsidRDefault="00BF576B" w:rsidP="00425142">
      <w:r w:rsidRPr="00A62259">
        <w:t xml:space="preserve">Kapacita a stav zařízení na skladování hnojiv se postupně dostává do souladu </w:t>
      </w:r>
      <w:r w:rsidR="001720E6">
        <w:t>s </w:t>
      </w:r>
      <w:r w:rsidR="001720E6" w:rsidRPr="001720E6">
        <w:t>požadavky právních předpisů</w:t>
      </w:r>
      <w:r w:rsidRPr="00A62259">
        <w:t>, a to díky možnosti čerpat dotace na výstavbu nebo rekonstrukci těchto prostor v rámci Programu rozvoje venkova.</w:t>
      </w:r>
    </w:p>
    <w:p w:rsidR="0057027E" w:rsidRDefault="0057027E" w:rsidP="0057027E">
      <w:r>
        <w:t xml:space="preserve">Údaje o spotřebě přípravků na ochranu rostlin a rostlinných produktů (POR) v ČR byly za rok 2014 získány přibližně od 3 100 subjektů, jejichž výměra představuje kolem 76 % celkové výměry orné půdy, 86 % výměry chmelnic, 68 % výměry vinic, 55 % výměry sadů a 34 % výměry travních porostů (celkově mírně méně než v předchozím roce). </w:t>
      </w:r>
      <w:r w:rsidR="00882060">
        <w:t xml:space="preserve">S ohledem na plánované zaslání </w:t>
      </w:r>
      <w:r w:rsidR="00882060" w:rsidRPr="00882060">
        <w:t>statistiky spotřeby POR do Eurostatu byl celkový dopočet pro rok 2014 realizován ČSÚ, který používá jiné statistické metody dopočtu, než použil ÚKZÚZ, resp. SRS, v předcházejících letech.</w:t>
      </w:r>
      <w:r w:rsidR="00882060">
        <w:t xml:space="preserve"> </w:t>
      </w:r>
      <w:r>
        <w:t>Z tohoto důvodu vychází spotřeba POR i účinných látek za rok 2014 nižší než v předchozích letech.</w:t>
      </w:r>
    </w:p>
    <w:p w:rsidR="0057027E" w:rsidRDefault="0057027E" w:rsidP="0057027E">
      <w:r>
        <w:t>Spotřeba účinných látek obsažených v POR na zeměděl</w:t>
      </w:r>
      <w:r w:rsidR="00C45159">
        <w:t>ské půdě činila celkem 5 007,6 tis. </w:t>
      </w:r>
      <w:r>
        <w:t>kg. Na 1 ha zemědělské půdy se spotřebovalo 1,41 kg. Celková výměra ošetřená přípravky na ochranu rostlin v roce 2014 činila 14 280,4 tis. ha.</w:t>
      </w:r>
    </w:p>
    <w:p w:rsidR="0057027E" w:rsidRDefault="0057027E" w:rsidP="0057027E">
      <w:r>
        <w:t>Celková spotřeba POR v ČR činila 13 140,9 tis. kg, l a byla meziročně o 3,6 % nižší. Herbicidy a desikanty se na ní podílely 48 %, fungicidy 27 %, zoocidy 11 %, regulátory růstu a vývoje 9 %, ostatní prostředky 5 %.</w:t>
      </w:r>
    </w:p>
    <w:p w:rsidR="000A1711" w:rsidRPr="00FF70C1" w:rsidRDefault="0057027E" w:rsidP="0057027E">
      <w:r>
        <w:t>Spotřeba biologických přípravků na bázi mikroorganismů činila 32 346 kg, spotřeba účinné látky na 1 ha u těchto přípravků činila stejně jako v předchozím roce 0,12 kg/ha. V</w:t>
      </w:r>
      <w:r w:rsidR="004C4E49">
        <w:t> </w:t>
      </w:r>
      <w:r>
        <w:t xml:space="preserve">roce 2014 byla těmito přípravky ošetřena plocha v polních kulturách (kukuřice) 13 390 ha. Vzhledem k tomu, že sběr dat o spotřebě přípravků byl v roce 2014 zaměřen na vybrané </w:t>
      </w:r>
      <w:r>
        <w:lastRenderedPageBreak/>
        <w:t>zemědělské plodiny podle čl. 4 směrnice 2009/128/ES, nelze u ostatních biologických přípravků ošetřenou plochu kvalifikovaně odhadnout.</w:t>
      </w:r>
    </w:p>
    <w:p w:rsidR="00BF576B" w:rsidRPr="00676C5C" w:rsidRDefault="00BF576B" w:rsidP="00425142">
      <w:pPr>
        <w:pStyle w:val="Norm-Bold"/>
      </w:pPr>
      <w:r w:rsidRPr="00676C5C">
        <w:t>Průmyslová krmiva</w:t>
      </w:r>
    </w:p>
    <w:p w:rsidR="00BF576B" w:rsidRPr="00676C5C" w:rsidRDefault="00BF576B" w:rsidP="00425142">
      <w:r w:rsidRPr="00676C5C">
        <w:t>Celosvětová produkce krmiv v roce 2013 dosáhla podle</w:t>
      </w:r>
      <w:r>
        <w:t xml:space="preserve"> organizace </w:t>
      </w:r>
      <w:proofErr w:type="spellStart"/>
      <w:r>
        <w:t>Alltech</w:t>
      </w:r>
      <w:proofErr w:type="spellEnd"/>
      <w:r>
        <w:t xml:space="preserve"> hodnoty 960 </w:t>
      </w:r>
      <w:r w:rsidRPr="00676C5C">
        <w:t xml:space="preserve">mil. t, z čehož bylo 444 mil. t pro drůbež, 196 mil. t pro přežvýkavce a 243 mil. t pro prasata. Nejvíce vyprodukovala Čína (198 mil. t), dále USA (168 </w:t>
      </w:r>
      <w:r>
        <w:t>mil. t), Brazílie (66 mil. t) a </w:t>
      </w:r>
      <w:r w:rsidRPr="00676C5C">
        <w:t xml:space="preserve">Mexiko (29 mil. t). Organizace </w:t>
      </w:r>
      <w:proofErr w:type="spellStart"/>
      <w:r w:rsidRPr="00676C5C">
        <w:t>Alltech</w:t>
      </w:r>
      <w:proofErr w:type="spellEnd"/>
      <w:r w:rsidRPr="00676C5C">
        <w:t xml:space="preserve"> se zabývá zvyšová</w:t>
      </w:r>
      <w:r>
        <w:t>ním nutriční hodnoty potravin a </w:t>
      </w:r>
      <w:r w:rsidRPr="00676C5C">
        <w:t>krmiv a od roku 2011 sbírá údaje o objemu produkce krmiv ve 130 zemích světa. Pro rok 2014 odhadla nárůst celosvětové produkce na 980 mil. t (tj. o 2,1 %), z toho v Číně 183 mil. t, v USA 172 mil. t, v Brazílii 66 mil. t, v Mexiku 31 mil. t a v Indii 29 mil. t.</w:t>
      </w:r>
    </w:p>
    <w:p w:rsidR="00BF576B" w:rsidRDefault="00BF576B" w:rsidP="00425142">
      <w:r w:rsidRPr="00676C5C">
        <w:t xml:space="preserve">V Evropě bylo podle </w:t>
      </w:r>
      <w:proofErr w:type="spellStart"/>
      <w:r w:rsidRPr="00676C5C">
        <w:t>Alltech</w:t>
      </w:r>
      <w:proofErr w:type="spellEnd"/>
      <w:r w:rsidRPr="00676C5C">
        <w:t xml:space="preserve"> v roce 2014 vyprodukováno 233 mil. t krmiv </w:t>
      </w:r>
      <w:r>
        <w:t>(tj. nárůst o </w:t>
      </w:r>
      <w:r w:rsidRPr="00676C5C">
        <w:t>2,1 % oproti roku 2013) a FEFAC</w:t>
      </w:r>
      <w:r w:rsidRPr="00676C5C">
        <w:rPr>
          <w:rStyle w:val="Znakapoznpodarou"/>
        </w:rPr>
        <w:footnoteReference w:id="90"/>
      </w:r>
      <w:r w:rsidRPr="00676C5C">
        <w:t xml:space="preserve"> uvádí na základě dat od svých členů produkci krmných směsí (nezahrnující některá z krmiv) o objemu 154 mil. t (pokles o 0,6 %), což tvoří asi 30 % celkové spotřeby krmiv hospodářskými zvířaty v EU 28. Faktory, které měly vliv na objem produkce v EU, byly zákaz dovozu některých masných produktů do Ruska, pokles cen mlékárenských</w:t>
      </w:r>
      <w:r w:rsidR="00952F6E" w:rsidRPr="00952F6E">
        <w:t xml:space="preserve"> </w:t>
      </w:r>
      <w:r w:rsidR="00952F6E" w:rsidRPr="00676C5C">
        <w:t>produktů</w:t>
      </w:r>
      <w:r w:rsidRPr="00676C5C">
        <w:t xml:space="preserve"> a vysoká úroda pícnin. V rámci Evropy byly podíly objemu produkce pro jednotlivé druhy hospodářských zvířat vyrovnanější než celosvětově – poměr objemů produkce pro drůbež, prasata a přežvýkavce činil 85:70:65. Největší objem krmiv v Evropě vyrobil</w:t>
      </w:r>
      <w:r w:rsidR="00863F8E">
        <w:t>o</w:t>
      </w:r>
      <w:r w:rsidRPr="00676C5C">
        <w:t xml:space="preserve"> Španělsko (29 mil. t), Německo (24 mil. t) a Francie (22 mil. t). Průměrná dovozní cena sójového šrotu na burze v Nizozemsku za rok 2014 byla podle AMI 392,7 €/t (10,81 Kč/kg), což je o 28,5 €/t (0,07 Kč/kg) méně než v předchozím roce.</w:t>
      </w:r>
    </w:p>
    <w:p w:rsidR="00BF576B" w:rsidRPr="00BB665C" w:rsidRDefault="00BF576B" w:rsidP="00425142">
      <w:r w:rsidRPr="00BB665C">
        <w:t>C</w:t>
      </w:r>
      <w:r>
        <w:t>elková výroba krmných směsí pro hospodářská a ostatní</w:t>
      </w:r>
      <w:r>
        <w:rPr>
          <w:rStyle w:val="Znakapoznpodarou"/>
        </w:rPr>
        <w:footnoteReference w:id="91"/>
      </w:r>
      <w:r>
        <w:t xml:space="preserve"> zvířata v ČR</w:t>
      </w:r>
      <w:r w:rsidRPr="00BB665C">
        <w:t xml:space="preserve"> v roce 20</w:t>
      </w:r>
      <w:r>
        <w:t>14</w:t>
      </w:r>
      <w:r w:rsidRPr="00BB665C">
        <w:t xml:space="preserve"> </w:t>
      </w:r>
      <w:r>
        <w:t>činila</w:t>
      </w:r>
      <w:r w:rsidRPr="00BB665C">
        <w:t xml:space="preserve"> </w:t>
      </w:r>
      <w:r>
        <w:t>2 34</w:t>
      </w:r>
      <w:r w:rsidR="00DA2555">
        <w:t>8</w:t>
      </w:r>
      <w:r>
        <w:t xml:space="preserve"> tis. </w:t>
      </w:r>
      <w:r w:rsidRPr="00BB665C">
        <w:t>t</w:t>
      </w:r>
      <w:r>
        <w:t>, tzn. že proti roku 2013 stoupla</w:t>
      </w:r>
      <w:r w:rsidRPr="00BB665C">
        <w:t xml:space="preserve"> o</w:t>
      </w:r>
      <w:r>
        <w:t xml:space="preserve"> 83,</w:t>
      </w:r>
      <w:r w:rsidR="00DA2555">
        <w:t>4</w:t>
      </w:r>
      <w:r>
        <w:t xml:space="preserve"> tis. t (3,7 </w:t>
      </w:r>
      <w:r w:rsidRPr="00BB665C">
        <w:t>%</w:t>
      </w:r>
      <w:r>
        <w:t>)</w:t>
      </w:r>
      <w:r w:rsidRPr="00BB665C">
        <w:t>.</w:t>
      </w:r>
    </w:p>
    <w:p w:rsidR="00BF576B" w:rsidRPr="00BB665C" w:rsidRDefault="00BF576B" w:rsidP="00425142">
      <w:r w:rsidRPr="00BB665C">
        <w:t xml:space="preserve">Nejvíce krmných směsí se vyrobilo pro </w:t>
      </w:r>
      <w:r>
        <w:t xml:space="preserve">drůbež a </w:t>
      </w:r>
      <w:r w:rsidRPr="00BB665C">
        <w:t xml:space="preserve">pro </w:t>
      </w:r>
      <w:r>
        <w:t>prasata</w:t>
      </w:r>
      <w:r w:rsidRPr="00BB665C">
        <w:t>,</w:t>
      </w:r>
      <w:r>
        <w:t xml:space="preserve"> méně pak pro skot, domácí zvířata a pro ostatní zvířata. V</w:t>
      </w:r>
      <w:r w:rsidRPr="00BB665C">
        <w:t xml:space="preserve">zhledem </w:t>
      </w:r>
      <w:r>
        <w:t>k výrobě předcházejícího roku</w:t>
      </w:r>
      <w:r w:rsidRPr="00BB665C">
        <w:t xml:space="preserve"> </w:t>
      </w:r>
      <w:r>
        <w:t>byl zaznamenán v roce 2014 růst výroby u všech krmných směsí, kromě ostatních zvířat, kde meziročně výroba poklesla o 2,9 %. U</w:t>
      </w:r>
      <w:r w:rsidRPr="00BB665C">
        <w:t xml:space="preserve"> krmných směsí pro prasata </w:t>
      </w:r>
      <w:r>
        <w:t>se výroba</w:t>
      </w:r>
      <w:r w:rsidRPr="00BB665C">
        <w:t xml:space="preserve"> </w:t>
      </w:r>
      <w:r>
        <w:t xml:space="preserve">zvýšila proti roku 2013 </w:t>
      </w:r>
      <w:r w:rsidRPr="00BB665C">
        <w:t xml:space="preserve">o </w:t>
      </w:r>
      <w:r>
        <w:t xml:space="preserve">518 </w:t>
      </w:r>
      <w:r w:rsidRPr="00BB665C">
        <w:t>tun (</w:t>
      </w:r>
      <w:r w:rsidR="00863F8E">
        <w:t>0,</w:t>
      </w:r>
      <w:r>
        <w:t>1 %</w:t>
      </w:r>
      <w:r w:rsidRPr="00BB665C">
        <w:t>),</w:t>
      </w:r>
      <w:r>
        <w:t xml:space="preserve"> </w:t>
      </w:r>
      <w:r w:rsidRPr="00BB665C">
        <w:t xml:space="preserve">u krmných směsí pro drůbež </w:t>
      </w:r>
      <w:r>
        <w:t xml:space="preserve">došlo v tomto srovnání ke zvýšení výroby </w:t>
      </w:r>
      <w:r w:rsidRPr="00BB665C">
        <w:t xml:space="preserve">o </w:t>
      </w:r>
      <w:r>
        <w:t xml:space="preserve">53 496 </w:t>
      </w:r>
      <w:r w:rsidRPr="00BB665C">
        <w:t>tun (</w:t>
      </w:r>
      <w:r w:rsidR="00863F8E">
        <w:t>5,9</w:t>
      </w:r>
      <w:r>
        <w:t> %</w:t>
      </w:r>
      <w:r w:rsidRPr="00BB665C">
        <w:t>)</w:t>
      </w:r>
      <w:r>
        <w:t xml:space="preserve"> a u krmných směsí pro</w:t>
      </w:r>
      <w:r w:rsidRPr="00BB665C">
        <w:t xml:space="preserve"> skot</w:t>
      </w:r>
      <w:r>
        <w:t xml:space="preserve"> nárůst činil 31 817 tun (6,7 %). Nárůst výroby v roce 2014 proti roku 2013 byl zaznamenán také u krmných směsí pro domácí zvířata, a to o necelé 1 %. Bylo zjištěno, že p</w:t>
      </w:r>
      <w:r w:rsidRPr="00BB665C">
        <w:t xml:space="preserve">rodukce pro uvedení </w:t>
      </w:r>
      <w:r>
        <w:t xml:space="preserve">do oběhu pro cizí odběratele </w:t>
      </w:r>
      <w:r w:rsidRPr="00BB665C">
        <w:t>výrazně převažuje na</w:t>
      </w:r>
      <w:r>
        <w:t>d produkcí pro vlastní spotřebu</w:t>
      </w:r>
      <w:r w:rsidRPr="00BB665C">
        <w:t>. Produkce pro vlastní spotřebu vzhledem k celkové produkci</w:t>
      </w:r>
      <w:r>
        <w:t xml:space="preserve"> činila u krmných směsí pro prasata 34,2 </w:t>
      </w:r>
      <w:r w:rsidRPr="00BB665C">
        <w:t>%,</w:t>
      </w:r>
      <w:r>
        <w:t xml:space="preserve"> pro drůbež 40,7 % a</w:t>
      </w:r>
      <w:r w:rsidRPr="00BB665C">
        <w:t xml:space="preserve"> pro skot </w:t>
      </w:r>
      <w:r>
        <w:t>21,5 %.</w:t>
      </w:r>
    </w:p>
    <w:p w:rsidR="00BF576B" w:rsidRPr="00214A0C" w:rsidRDefault="00BF576B" w:rsidP="00425142">
      <w:pPr>
        <w:pStyle w:val="mezera"/>
      </w:pPr>
    </w:p>
    <w:p w:rsidR="00BF576B" w:rsidRPr="00214A0C" w:rsidRDefault="00DF2CE5" w:rsidP="00425142">
      <w:pPr>
        <w:pStyle w:val="mezera"/>
      </w:pPr>
      <w:r w:rsidRPr="00DF2CE5">
        <w:rPr>
          <w:noProof/>
          <w:lang w:eastAsia="cs-CZ"/>
        </w:rPr>
        <w:lastRenderedPageBreak/>
        <w:drawing>
          <wp:inline distT="0" distB="0" distL="0" distR="0" wp14:anchorId="4AE998CD" wp14:editId="7E97D8FE">
            <wp:extent cx="5760720" cy="2055468"/>
            <wp:effectExtent l="0" t="0" r="0" b="254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2055468"/>
                    </a:xfrm>
                    <a:prstGeom prst="rect">
                      <a:avLst/>
                    </a:prstGeom>
                    <a:noFill/>
                    <a:ln>
                      <a:noFill/>
                    </a:ln>
                  </pic:spPr>
                </pic:pic>
              </a:graphicData>
            </a:graphic>
          </wp:inline>
        </w:drawing>
      </w:r>
    </w:p>
    <w:p w:rsidR="00BF576B" w:rsidRPr="00214A0C" w:rsidRDefault="00BF576B" w:rsidP="00425142">
      <w:pPr>
        <w:pStyle w:val="mezera"/>
      </w:pPr>
    </w:p>
    <w:p w:rsidR="00BF576B" w:rsidRPr="00BB665C" w:rsidRDefault="00BF576B" w:rsidP="00425142">
      <w:r>
        <w:t>V roce 2014 byla zjištěna c</w:t>
      </w:r>
      <w:r w:rsidRPr="00BB665C">
        <w:t>elková spotřeba krmných surovin pro výrobu krmných</w:t>
      </w:r>
      <w:r>
        <w:t xml:space="preserve"> směsí 2 485 tis. t, a došlo tak k </w:t>
      </w:r>
      <w:r w:rsidRPr="00BB665C">
        <w:t>meziroční</w:t>
      </w:r>
      <w:r>
        <w:t>mu</w:t>
      </w:r>
      <w:r w:rsidRPr="00BB665C">
        <w:t xml:space="preserve"> </w:t>
      </w:r>
      <w:r>
        <w:t xml:space="preserve">nárůstu </w:t>
      </w:r>
      <w:r w:rsidRPr="00BB665C">
        <w:t xml:space="preserve">o </w:t>
      </w:r>
      <w:r>
        <w:t>82,3 tis. </w:t>
      </w:r>
      <w:r w:rsidRPr="00BB665C">
        <w:t>t (</w:t>
      </w:r>
      <w:r>
        <w:t>3,4 </w:t>
      </w:r>
      <w:r w:rsidRPr="00BB665C">
        <w:t>%).</w:t>
      </w:r>
    </w:p>
    <w:p w:rsidR="00BF576B" w:rsidRDefault="00BF576B" w:rsidP="00425142">
      <w:r w:rsidRPr="00BB665C">
        <w:t xml:space="preserve">Nejvýznamnější surovinou pro výrobu krmných směsí </w:t>
      </w:r>
      <w:r>
        <w:t>byly</w:t>
      </w:r>
      <w:r w:rsidRPr="00BB665C">
        <w:t xml:space="preserve"> z krmných surovin obiloviny</w:t>
      </w:r>
      <w:r>
        <w:t xml:space="preserve"> (</w:t>
      </w:r>
      <w:r w:rsidRPr="00BB665C">
        <w:t>6</w:t>
      </w:r>
      <w:r>
        <w:t>3,0 %) s tím, že o</w:t>
      </w:r>
      <w:r w:rsidRPr="00BB665C">
        <w:t xml:space="preserve">biloviny </w:t>
      </w:r>
      <w:r>
        <w:t>v roce 2014</w:t>
      </w:r>
      <w:r w:rsidRPr="00BB665C">
        <w:t xml:space="preserve"> </w:t>
      </w:r>
      <w:r>
        <w:t>byly tvořeny z 34,6 % pšenicí, 12,5 </w:t>
      </w:r>
      <w:r w:rsidRPr="00BB665C">
        <w:t xml:space="preserve">% ječmenem, </w:t>
      </w:r>
      <w:r>
        <w:t>12,1 </w:t>
      </w:r>
      <w:r w:rsidRPr="00BB665C">
        <w:t xml:space="preserve">% kukuřicí, </w:t>
      </w:r>
      <w:r>
        <w:t>2,9 % žitem a triti</w:t>
      </w:r>
      <w:r w:rsidR="001879BB">
        <w:t>ca</w:t>
      </w:r>
      <w:r>
        <w:t>le, 1 </w:t>
      </w:r>
      <w:r w:rsidRPr="00BB665C">
        <w:t>% ovsem a dále ostatními obilovinami</w:t>
      </w:r>
      <w:r>
        <w:t xml:space="preserve">, </w:t>
      </w:r>
      <w:r w:rsidRPr="00BB665C">
        <w:t>jejichž podíl</w:t>
      </w:r>
      <w:r>
        <w:t xml:space="preserve"> je méně než 1 %.</w:t>
      </w:r>
    </w:p>
    <w:p w:rsidR="00BF576B" w:rsidRDefault="00BF576B" w:rsidP="00425142">
      <w:r w:rsidRPr="001879BB">
        <w:t>U obilovin byl oproti roku 2013 zaznamenán růst celkové spotřeby k výrobě krmných</w:t>
      </w:r>
      <w:r>
        <w:t xml:space="preserve"> směsí </w:t>
      </w:r>
      <w:r w:rsidRPr="00BB665C">
        <w:t xml:space="preserve">o </w:t>
      </w:r>
      <w:r>
        <w:t>54,9 tis. t (10,4 %). Ze spotřeby obilovin k výrobě krmných směsí stouply v roce 2014 proti roku 2013 pšenice o 13,4 % a také všechny ostatní obiloviny kromě žita a triti</w:t>
      </w:r>
      <w:r w:rsidR="001879BB">
        <w:t>ca</w:t>
      </w:r>
      <w:r>
        <w:t>le.</w:t>
      </w:r>
    </w:p>
    <w:p w:rsidR="00BF576B" w:rsidRDefault="00BF576B" w:rsidP="00425142">
      <w:r>
        <w:t xml:space="preserve">Nárůst byl zjištěn </w:t>
      </w:r>
      <w:r w:rsidRPr="00BB665C">
        <w:t>u krm</w:t>
      </w:r>
      <w:r>
        <w:t>ných surovin z olejnatých semen o 32,5 tis. </w:t>
      </w:r>
      <w:r w:rsidRPr="00BB665C">
        <w:t xml:space="preserve">t </w:t>
      </w:r>
      <w:r>
        <w:t>(7 %), u ostatních produktů potravinářského průmyslu byl nárůst o 9,7 tis. t (25,7 %), u k</w:t>
      </w:r>
      <w:r w:rsidRPr="00BB665C">
        <w:t>rmných surovin živočišného původu</w:t>
      </w:r>
      <w:r>
        <w:t xml:space="preserve"> byl vykázán ale nárůst</w:t>
      </w:r>
      <w:r w:rsidRPr="00BB665C">
        <w:t xml:space="preserve"> o </w:t>
      </w:r>
      <w:r>
        <w:t>2,6 tis. </w:t>
      </w:r>
      <w:r w:rsidRPr="00BB665C">
        <w:t>t (</w:t>
      </w:r>
      <w:r>
        <w:t>2,4 </w:t>
      </w:r>
      <w:r w:rsidRPr="00BB665C">
        <w:t>%)</w:t>
      </w:r>
      <w:r>
        <w:t>.</w:t>
      </w:r>
    </w:p>
    <w:p w:rsidR="00BF576B" w:rsidRDefault="00BF576B" w:rsidP="00425142">
      <w:r w:rsidRPr="00BB665C">
        <w:t xml:space="preserve">Spotřeba </w:t>
      </w:r>
      <w:proofErr w:type="spellStart"/>
      <w:r w:rsidRPr="00BB665C">
        <w:t>p</w:t>
      </w:r>
      <w:r>
        <w:t>remixů</w:t>
      </w:r>
      <w:proofErr w:type="spellEnd"/>
      <w:r>
        <w:t xml:space="preserve"> pro výrobu krmných směsí se snížila v roce 2014 proti roku 2013 o 514</w:t>
      </w:r>
      <w:r w:rsidRPr="00BB665C">
        <w:t xml:space="preserve"> tun </w:t>
      </w:r>
      <w:r>
        <w:t>(4,0 </w:t>
      </w:r>
      <w:r w:rsidRPr="00BB665C">
        <w:t xml:space="preserve">%). </w:t>
      </w:r>
      <w:r>
        <w:t xml:space="preserve">V roce 2014 se proti </w:t>
      </w:r>
      <w:proofErr w:type="spellStart"/>
      <w:r>
        <w:t>premixům</w:t>
      </w:r>
      <w:proofErr w:type="spellEnd"/>
      <w:r>
        <w:t xml:space="preserve"> naopak zvýšila s</w:t>
      </w:r>
      <w:r w:rsidRPr="00BB665C">
        <w:t xml:space="preserve">potřeba nakoupených doplňkových krmiv určených pro výrobu krmných směsí </w:t>
      </w:r>
      <w:r>
        <w:t>o</w:t>
      </w:r>
      <w:r w:rsidRPr="00BB665C">
        <w:t xml:space="preserve"> </w:t>
      </w:r>
      <w:r>
        <w:t>8,8 %.</w:t>
      </w:r>
    </w:p>
    <w:p w:rsidR="00BF576B" w:rsidRPr="00DF790D" w:rsidRDefault="00BF576B" w:rsidP="00425142">
      <w:r w:rsidRPr="00DF790D">
        <w:t>Dovezeno bylo 890 tis. t průmyslových krmných surovin a krmných směsí za průměrnou cenu 14,24 Kč/kg a vyvezeno 986 tis. t za průměrnou cenu 11,45 Kč/kg. Došlo k nárůstu objemu dovozu krmiv o 8,5 % a vývozu o 11,5 %, a bilance obchodu tak zůstala již pátý rok kladná. Zemí s největším objemem dovozu do ČR je Německo (stejně jako v předchozím roce 434 tis. t), druhým největším Polsko (</w:t>
      </w:r>
      <w:r>
        <w:t>meziroční nárůst o 7,1 % na 120 </w:t>
      </w:r>
      <w:r w:rsidRPr="00DF790D">
        <w:t>tis. t) a třetím největším Slovensko (meziroční nárůst o 31,1 % na 59 tis. t). Z</w:t>
      </w:r>
      <w:r>
        <w:t> </w:t>
      </w:r>
      <w:r w:rsidRPr="00DF790D">
        <w:t>dovezeného objemu krmiv většinu tvořily odpad po extrahování sójového</w:t>
      </w:r>
      <w:r>
        <w:t xml:space="preserve"> oleje (383 tis. t v ceně 10,83 </w:t>
      </w:r>
      <w:r w:rsidRPr="00DF790D">
        <w:t>Kč/kg) a přípravky používané k výživě zvířat (256 tis. t v ceně 25,97 Kč/kg). ČR v roce 2014 vyvezla největší objem krmiv do Německa (meziroční nárůst o 8,5 % na 410 tis. t), na Slovensko (meziroční nárůst o 36,1 % na 200 tis. t) a do Polska (meziroční pokles o 27,2 % na 107 tis. t). Z vyvezeného objemu krmiv většinu tvořily přípravky používané k výživě zvířat (361 tis. t v ceně 22,33 Kč/kg) a odpad po extrahování sójovéh</w:t>
      </w:r>
      <w:r>
        <w:t xml:space="preserve">o oleje (286 tis. t v ceně </w:t>
      </w:r>
      <w:r>
        <w:lastRenderedPageBreak/>
        <w:t>6,32 </w:t>
      </w:r>
      <w:r w:rsidRPr="00DF790D">
        <w:t>Kč/kg). V grafu T6.3/02 je znázorněn vývoj produkce, spotřeby, dovozu a vývozu průmyslových krmiv v ČR v letech 2009</w:t>
      </w:r>
      <w:r>
        <w:noBreakHyphen/>
      </w:r>
      <w:r w:rsidRPr="00DF790D">
        <w:t>2013.</w:t>
      </w:r>
    </w:p>
    <w:p w:rsidR="00BF576B" w:rsidRDefault="00BF576B" w:rsidP="00425142">
      <w:pPr>
        <w:pStyle w:val="mezera"/>
      </w:pPr>
    </w:p>
    <w:p w:rsidR="00BF576B" w:rsidRPr="00DF790D" w:rsidRDefault="00BF576B" w:rsidP="00425142">
      <w:pPr>
        <w:pStyle w:val="mezera-svzan"/>
      </w:pPr>
      <w:r w:rsidRPr="0039165A">
        <w:rPr>
          <w:noProof/>
          <w:lang w:eastAsia="cs-CZ"/>
        </w:rPr>
        <w:drawing>
          <wp:inline distT="0" distB="0" distL="0" distR="0" wp14:anchorId="226C9763" wp14:editId="3AF88868">
            <wp:extent cx="5760720" cy="3713662"/>
            <wp:effectExtent l="0" t="0" r="0" b="127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BF576B" w:rsidRPr="00DF790D" w:rsidRDefault="00BF576B" w:rsidP="00425142">
      <w:pPr>
        <w:pStyle w:val="TabPramZprac"/>
      </w:pPr>
      <w:r w:rsidRPr="00DF790D">
        <w:t>Pramen:</w:t>
      </w:r>
      <w:r w:rsidRPr="00DF790D">
        <w:tab/>
        <w:t>MZe</w:t>
      </w:r>
    </w:p>
    <w:p w:rsidR="00BF576B" w:rsidRPr="00DF790D" w:rsidRDefault="00BF576B" w:rsidP="00425142">
      <w:pPr>
        <w:pStyle w:val="TabPramZprac"/>
      </w:pPr>
      <w:r w:rsidRPr="00DF790D">
        <w:t>Zpracoval:</w:t>
      </w:r>
      <w:r w:rsidRPr="00DF790D">
        <w:tab/>
        <w:t>J. Pokorný (ÚZEI)</w:t>
      </w:r>
    </w:p>
    <w:p w:rsidR="00BF576B" w:rsidRPr="00DF790D" w:rsidRDefault="00BF576B" w:rsidP="00425142">
      <w:pPr>
        <w:pStyle w:val="mezera"/>
      </w:pPr>
    </w:p>
    <w:p w:rsidR="00BF576B" w:rsidRDefault="00BF576B" w:rsidP="00425142">
      <w:r w:rsidRPr="00DF790D">
        <w:t>V registračním systému ÚKZÚZ bylo ke 31. 12. 2014 evidováno 18 765 subjektů, které požádaly o registraci krmivářských provozů pro činnost výroba, uvádění do oběhu, prvovýroba nebo doprava krmiv. V převážné většině se</w:t>
      </w:r>
      <w:r>
        <w:t xml:space="preserve"> jedná o fyzické osoby, (14 598 </w:t>
      </w:r>
      <w:r w:rsidRPr="00DF790D">
        <w:t>subjektů</w:t>
      </w:r>
      <w:r>
        <w:t>)</w:t>
      </w:r>
      <w:r w:rsidRPr="00DF790D">
        <w:t>, právnické osoby</w:t>
      </w:r>
      <w:r>
        <w:t xml:space="preserve"> (</w:t>
      </w:r>
      <w:r w:rsidRPr="00DF790D">
        <w:t>4 163 subjektů</w:t>
      </w:r>
      <w:r>
        <w:t>)</w:t>
      </w:r>
      <w:r w:rsidRPr="00DF790D">
        <w:t xml:space="preserve"> a 4 zahraniční právní subjekty, které mají</w:t>
      </w:r>
      <w:r>
        <w:t xml:space="preserve"> </w:t>
      </w:r>
      <w:r w:rsidRPr="00DF790D">
        <w:t xml:space="preserve">v ČR registrovaný provoz. Celkem bylo u těchto subjektů </w:t>
      </w:r>
      <w:r>
        <w:t>k tomuto datu evidováno 31 789 </w:t>
      </w:r>
      <w:r w:rsidRPr="00DF790D">
        <w:t>provozů,</w:t>
      </w:r>
      <w:r>
        <w:t xml:space="preserve"> </w:t>
      </w:r>
      <w:r w:rsidRPr="00DF790D">
        <w:t>z toho schválených bylo 334 a registrovaných 1 757 a zbývajících 29 698 jsou provozy zemědělské prvovýroby a dopravci krmiv. V</w:t>
      </w:r>
      <w:r>
        <w:t> </w:t>
      </w:r>
      <w:r w:rsidRPr="00DF790D">
        <w:t>roce 2014 bylo nově schváleno 20 a registrováno 545 provozů. Změny</w:t>
      </w:r>
      <w:r>
        <w:t xml:space="preserve"> </w:t>
      </w:r>
      <w:r w:rsidRPr="00DF790D">
        <w:t xml:space="preserve">v evidenci byly </w:t>
      </w:r>
      <w:r>
        <w:t>provedeny u 4 schválených a 404 </w:t>
      </w:r>
      <w:r w:rsidRPr="00DF790D">
        <w:t>registrovaných provozů. Z</w:t>
      </w:r>
      <w:r>
        <w:t> </w:t>
      </w:r>
      <w:r w:rsidRPr="00DF790D">
        <w:t>evidence bylo vyjmuto 367 provozů (z</w:t>
      </w:r>
      <w:r>
        <w:t> toho 7 schválených a </w:t>
      </w:r>
      <w:r w:rsidRPr="00DF790D">
        <w:t>360 registrovaných).</w:t>
      </w:r>
    </w:p>
    <w:p w:rsidR="00BF576B" w:rsidRPr="00DF790D" w:rsidRDefault="00BF576B" w:rsidP="00425142">
      <w:r w:rsidRPr="00DF790D">
        <w:t xml:space="preserve">Převážná většina nově registrovaných provozů </w:t>
      </w:r>
      <w:r>
        <w:t>se týká zemědělské prvovýroby a </w:t>
      </w:r>
      <w:r w:rsidRPr="00DF790D">
        <w:t>dopravců. Přetrvává trend mírného nárůstu provozů výrobců a dodavatelů krmiv pro zvířata v zájmovém chovu. Pokles schválených a registrovaných provozů ustává a meziročně se téměř nemění a totéž se týká i výrobců krmných surovin.</w:t>
      </w:r>
    </w:p>
    <w:p w:rsidR="00BF576B" w:rsidRPr="00DF790D" w:rsidRDefault="00BF576B" w:rsidP="00425142">
      <w:r w:rsidRPr="00DF790D">
        <w:t>Přehled</w:t>
      </w:r>
      <w:r>
        <w:t xml:space="preserve"> </w:t>
      </w:r>
      <w:r w:rsidRPr="00DF790D">
        <w:t>v tab. T6.3/03 uvádí specifikaci činností v registrovaných nebo schválených krmivářských provozech včetně údajů o počtech distributorů, dodavatelů a dovozců krmiv.</w:t>
      </w:r>
    </w:p>
    <w:p w:rsidR="00BF576B" w:rsidRDefault="00BF576B" w:rsidP="00425142">
      <w:pPr>
        <w:pStyle w:val="mezera"/>
        <w:rPr>
          <w:noProof/>
        </w:rPr>
      </w:pPr>
    </w:p>
    <w:p w:rsidR="00BF576B" w:rsidRDefault="00BF576B" w:rsidP="00425142">
      <w:pPr>
        <w:pStyle w:val="mezera"/>
        <w:rPr>
          <w:noProof/>
        </w:rPr>
      </w:pPr>
      <w:r w:rsidRPr="00F92213">
        <w:rPr>
          <w:noProof/>
          <w:lang w:eastAsia="cs-CZ"/>
        </w:rPr>
        <w:lastRenderedPageBreak/>
        <w:drawing>
          <wp:inline distT="0" distB="0" distL="0" distR="0" wp14:anchorId="6B95D6A5" wp14:editId="6E58621D">
            <wp:extent cx="5593080" cy="352425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93080" cy="3524250"/>
                    </a:xfrm>
                    <a:prstGeom prst="rect">
                      <a:avLst/>
                    </a:prstGeom>
                    <a:noFill/>
                    <a:ln>
                      <a:noFill/>
                    </a:ln>
                  </pic:spPr>
                </pic:pic>
              </a:graphicData>
            </a:graphic>
          </wp:inline>
        </w:drawing>
      </w:r>
    </w:p>
    <w:p w:rsidR="00BF576B" w:rsidRPr="00DF790D" w:rsidRDefault="00BF576B" w:rsidP="00425142">
      <w:pPr>
        <w:pStyle w:val="mezera"/>
        <w:rPr>
          <w:rFonts w:ascii="Arial" w:hAnsi="Arial" w:cs="Arial"/>
          <w:szCs w:val="16"/>
        </w:rPr>
      </w:pPr>
    </w:p>
    <w:p w:rsidR="00BF576B" w:rsidRPr="00DF790D" w:rsidRDefault="00BF576B" w:rsidP="00425142">
      <w:pPr>
        <w:pStyle w:val="Norm-Bold"/>
      </w:pPr>
      <w:r w:rsidRPr="00DF790D">
        <w:t>Veterinární péče</w:t>
      </w:r>
    </w:p>
    <w:p w:rsidR="00BF576B" w:rsidRPr="00DF790D" w:rsidRDefault="00BF576B" w:rsidP="00425142">
      <w:r w:rsidRPr="00DF790D">
        <w:t>Strategick</w:t>
      </w:r>
      <w:r>
        <w:t>ými</w:t>
      </w:r>
      <w:r w:rsidRPr="00DF790D">
        <w:t xml:space="preserve"> cíl</w:t>
      </w:r>
      <w:r>
        <w:t>i</w:t>
      </w:r>
      <w:r w:rsidRPr="00DF790D">
        <w:t xml:space="preserve"> v oblasti zdraví zvířat a sledování výskytu nákaz</w:t>
      </w:r>
      <w:r>
        <w:t xml:space="preserve"> jsou:</w:t>
      </w:r>
    </w:p>
    <w:p w:rsidR="00BF576B" w:rsidRPr="00DF790D" w:rsidRDefault="00BF576B" w:rsidP="00BF576B">
      <w:pPr>
        <w:pStyle w:val="vet1"/>
        <w:suppressAutoHyphens w:val="0"/>
      </w:pPr>
      <w:r w:rsidRPr="00DF790D">
        <w:t xml:space="preserve">udržení statusů země prosté – brucelózy skotu, tuberkulózy skotu, enzootické </w:t>
      </w:r>
      <w:proofErr w:type="spellStart"/>
      <w:r w:rsidRPr="00DF790D">
        <w:t>leukózy</w:t>
      </w:r>
      <w:proofErr w:type="spellEnd"/>
      <w:r w:rsidRPr="00DF790D">
        <w:t xml:space="preserve"> skotu, brucelózy ovcí a koz, </w:t>
      </w:r>
      <w:proofErr w:type="spellStart"/>
      <w:r w:rsidRPr="00DF790D">
        <w:t>Aujeszkyho</w:t>
      </w:r>
      <w:proofErr w:type="spellEnd"/>
      <w:r w:rsidRPr="00DF790D">
        <w:t xml:space="preserve"> choroby prasat, vztekliny a moru koní;</w:t>
      </w:r>
    </w:p>
    <w:p w:rsidR="00BF576B" w:rsidRPr="00DF790D" w:rsidRDefault="00BF576B" w:rsidP="00BF576B">
      <w:pPr>
        <w:pStyle w:val="vet1"/>
        <w:suppressAutoHyphens w:val="0"/>
      </w:pPr>
      <w:r w:rsidRPr="00DF790D">
        <w:t xml:space="preserve">ozdravování od nebezpečných nákaz a snížení prevalence původců nebezpečných nákaz Národního ozdravovacího programu (NOP) od infekční </w:t>
      </w:r>
      <w:r w:rsidR="00E96E73">
        <w:t xml:space="preserve">bovinní </w:t>
      </w:r>
      <w:proofErr w:type="spellStart"/>
      <w:r w:rsidRPr="00DF790D">
        <w:t>rinotracheitidy</w:t>
      </w:r>
      <w:proofErr w:type="spellEnd"/>
      <w:r w:rsidRPr="00DF790D">
        <w:t xml:space="preserve"> skotu (IBR), Národní program pro tlumení salmonel v chovech drůbeže, </w:t>
      </w:r>
      <w:r w:rsidR="00E96E73">
        <w:t>monitoring TSE u </w:t>
      </w:r>
      <w:r w:rsidRPr="00DF790D">
        <w:t xml:space="preserve">skotu, ovcí a koz, monitoring katarální horečky ovcí, monitoring </w:t>
      </w:r>
      <w:proofErr w:type="spellStart"/>
      <w:r w:rsidRPr="00DF790D">
        <w:t>aviární</w:t>
      </w:r>
      <w:proofErr w:type="spellEnd"/>
      <w:r w:rsidRPr="00DF790D">
        <w:t xml:space="preserve"> influenzy, monitoring nebezpečných nákaz ryb;</w:t>
      </w:r>
    </w:p>
    <w:p w:rsidR="00BF576B" w:rsidRPr="00DF790D" w:rsidRDefault="00BF576B" w:rsidP="00BF576B">
      <w:pPr>
        <w:pStyle w:val="vet1"/>
        <w:suppressAutoHyphens w:val="0"/>
      </w:pPr>
      <w:r w:rsidRPr="00DF790D">
        <w:t xml:space="preserve">ochrana území před zavlečením aktuálně se vyskytujících nákaz v zemích Unie nebo ve třetích zemích – </w:t>
      </w:r>
      <w:r>
        <w:t>s</w:t>
      </w:r>
      <w:r w:rsidRPr="00DF790D">
        <w:t xml:space="preserve">lintavka a kulhavka, vzteklina, katarální horečka ovcí, </w:t>
      </w:r>
      <w:proofErr w:type="spellStart"/>
      <w:r w:rsidRPr="00DF790D">
        <w:t>aviární</w:t>
      </w:r>
      <w:proofErr w:type="spellEnd"/>
      <w:r w:rsidRPr="00DF790D">
        <w:t xml:space="preserve"> influenza, klasický mor prasat, africký mor prasat atd.;</w:t>
      </w:r>
    </w:p>
    <w:p w:rsidR="00BF576B" w:rsidRPr="00DF790D" w:rsidRDefault="00BF576B" w:rsidP="00BF576B">
      <w:pPr>
        <w:pStyle w:val="vet1"/>
        <w:suppressAutoHyphens w:val="0"/>
      </w:pPr>
      <w:r w:rsidRPr="00DF790D">
        <w:t>příprava a realizace pohotovostních plánů v případě podezření nebo výskytu nebezpečných nákaz;</w:t>
      </w:r>
    </w:p>
    <w:p w:rsidR="00BF576B" w:rsidRPr="00DF790D" w:rsidRDefault="00BF576B" w:rsidP="00BF576B">
      <w:pPr>
        <w:pStyle w:val="vet1"/>
        <w:suppressAutoHyphens w:val="0"/>
      </w:pPr>
      <w:r w:rsidRPr="00DF790D">
        <w:t>zajištění vzdělávání úředních veterinárních lékařů, so</w:t>
      </w:r>
      <w:r>
        <w:t>ukromých veterinárních lékařů a </w:t>
      </w:r>
      <w:r w:rsidRPr="00DF790D">
        <w:t>chovatelské veřejnosti.</w:t>
      </w:r>
    </w:p>
    <w:p w:rsidR="00BF576B" w:rsidRPr="00DF790D" w:rsidRDefault="00BF576B" w:rsidP="00425142">
      <w:r w:rsidRPr="00DF790D">
        <w:t xml:space="preserve">V roce 2014 plnila ČR úspěšně kritéria monitoringu pro udržení statutu země prosté vztekliny, tuberkulózy, brucelózy a </w:t>
      </w:r>
      <w:proofErr w:type="spellStart"/>
      <w:r w:rsidRPr="00DF790D">
        <w:t>leukózy</w:t>
      </w:r>
      <w:proofErr w:type="spellEnd"/>
      <w:r w:rsidRPr="00DF790D">
        <w:t xml:space="preserve"> skotu, brucel</w:t>
      </w:r>
      <w:r>
        <w:t xml:space="preserve">ózy ovcí a </w:t>
      </w:r>
      <w:proofErr w:type="spellStart"/>
      <w:r>
        <w:t>Aujeszkyho</w:t>
      </w:r>
      <w:proofErr w:type="spellEnd"/>
      <w:r>
        <w:t xml:space="preserve"> choroby u </w:t>
      </w:r>
      <w:r w:rsidRPr="00DF790D">
        <w:t>prasat. Pokračovaly a byly podle plánu plněny Národní programy pro tlumení výskytu salmonel v chovech nosnic pro produkci vajec, v reprodukčních chovech nosnic, v chovech kuřat chovaných na maso a v reprodukčních a výkrmových chovech krůt. V rámci N</w:t>
      </w:r>
      <w:r w:rsidR="008E767C">
        <w:t>OP</w:t>
      </w:r>
      <w:r w:rsidRPr="00DF790D">
        <w:t xml:space="preserve"> od </w:t>
      </w:r>
      <w:r w:rsidR="00E96E73">
        <w:lastRenderedPageBreak/>
        <w:t>IBR</w:t>
      </w:r>
      <w:r w:rsidRPr="00DF790D">
        <w:t xml:space="preserve"> se dařilo zvyšovat počet ozdravených chovů a koncem roku 2014 bylo na hospodářství</w:t>
      </w:r>
      <w:r w:rsidR="00E96E73">
        <w:t xml:space="preserve">ch </w:t>
      </w:r>
      <w:r w:rsidR="00E96E73" w:rsidRPr="00DF790D">
        <w:t>prostých</w:t>
      </w:r>
      <w:r w:rsidR="00E96E73">
        <w:t xml:space="preserve"> této nemoci</w:t>
      </w:r>
      <w:r w:rsidRPr="00DF790D">
        <w:t xml:space="preserve"> chováno bezmála 90 % veškerého skotu v Č</w:t>
      </w:r>
      <w:r w:rsidR="00E96E73">
        <w:t>R</w:t>
      </w:r>
      <w:r w:rsidRPr="00DF790D">
        <w:t>.</w:t>
      </w:r>
    </w:p>
    <w:p w:rsidR="00BF576B" w:rsidRPr="00DF790D" w:rsidRDefault="00BF576B" w:rsidP="00425142">
      <w:r w:rsidRPr="00DF790D">
        <w:t>S ohledem na výskyt afrického moru prasat v Polsku počátkem roku 2014 byl zahájen cílený monitoring u uhynulých divokých prasat. V chovech domácích prasat byla provedena mimořádná kontrolní akce zaměřená na prověření úrovně bio</w:t>
      </w:r>
      <w:r>
        <w:t>logické bezpečnosti v chovech a </w:t>
      </w:r>
      <w:r w:rsidRPr="00DF790D">
        <w:t>úrovně preventivních opatření k zamezení zavlečení nákazy.</w:t>
      </w:r>
    </w:p>
    <w:p w:rsidR="00BF576B" w:rsidRPr="00DF790D" w:rsidRDefault="00BF576B" w:rsidP="00425142">
      <w:r w:rsidRPr="00DF790D">
        <w:t xml:space="preserve">V roce 2014 pokračoval pasivní monitoring </w:t>
      </w:r>
      <w:proofErr w:type="spellStart"/>
      <w:r w:rsidRPr="00DF790D">
        <w:t>Schmallenberg</w:t>
      </w:r>
      <w:proofErr w:type="spellEnd"/>
      <w:r w:rsidRPr="00DF790D">
        <w:t xml:space="preserve"> viru, který zahrnoval virologické vyšetření všech podezřelých případů. Ani u jednoho podezření nebyl virologicky potvrzen původce nákazy. Na podzim roku 2014 proběhl aktivní monitoring u mladého skotu, který byl určen k obchodu do jiného členského státu nebo na export do třetí země. V rámci tohoto aktivního monitoringu bylo zjištěno, že se na území České republiky nákaza </w:t>
      </w:r>
      <w:proofErr w:type="spellStart"/>
      <w:r w:rsidRPr="00DF790D">
        <w:t>Schmallenberg</w:t>
      </w:r>
      <w:proofErr w:type="spellEnd"/>
      <w:r w:rsidRPr="00DF790D">
        <w:t xml:space="preserve"> virem ještě vyskytuje a 17,5 % zvířat je sérologicky pozitivních.</w:t>
      </w:r>
    </w:p>
    <w:p w:rsidR="00BF576B" w:rsidRPr="00DF790D" w:rsidRDefault="00BF576B" w:rsidP="00425142">
      <w:r w:rsidRPr="00DF790D">
        <w:t xml:space="preserve">V souvislosti s nákazovou situací v okolních státech bylo prováděno sledování nákaz, které by mohly znamenat riziko pro člověka. S využitím vzorků, které jsou standardně odebírány a vyšetřovány od </w:t>
      </w:r>
      <w:proofErr w:type="spellStart"/>
      <w:r w:rsidRPr="00DF790D">
        <w:t>zmetalek</w:t>
      </w:r>
      <w:proofErr w:type="spellEnd"/>
      <w:r w:rsidRPr="00DF790D">
        <w:t>, byly vzorky od sko</w:t>
      </w:r>
      <w:r>
        <w:t>tu, ovcí a koz vyšetřeny i na Q </w:t>
      </w:r>
      <w:r w:rsidRPr="00DF790D">
        <w:t xml:space="preserve">horečku. Pokračovalo rovněž provádění vyšetření koní vykazujících změnu chování nebo nervové příznaky na </w:t>
      </w:r>
      <w:proofErr w:type="spellStart"/>
      <w:r w:rsidRPr="00DF790D">
        <w:t>západonilskou</w:t>
      </w:r>
      <w:proofErr w:type="spellEnd"/>
      <w:r w:rsidRPr="00DF790D">
        <w:t xml:space="preserve"> horečku, zavedené v roce 2013.</w:t>
      </w:r>
    </w:p>
    <w:p w:rsidR="00BF576B" w:rsidRPr="00DF790D" w:rsidRDefault="00BF576B" w:rsidP="00425142">
      <w:r w:rsidRPr="00DF790D">
        <w:t xml:space="preserve">V souvislosti s epidemií klíšťové encefalitidy </w:t>
      </w:r>
      <w:r w:rsidR="008E767C">
        <w:t>SVS ČR</w:t>
      </w:r>
      <w:r w:rsidRPr="00DF790D">
        <w:t xml:space="preserve"> zajistila během léta 2014 cílené vyšetřování mléka v regionech se zvýšeným v</w:t>
      </w:r>
      <w:r>
        <w:t>ýskytem klíšťové encefalitidy u </w:t>
      </w:r>
      <w:r w:rsidRPr="00DF790D">
        <w:t>lidí. Vyšetřování mléka od krav, ovcí a koz bylo doplněno vyšetřováním krve ovcí a koz, které mělo na základě protilátek v krvi ukázat, zda se zvířata s virem klíšťové encefalitidy již setkala. Pouze v jednom případě byla prokázána přítomnost viru v kozím mléce.</w:t>
      </w:r>
    </w:p>
    <w:p w:rsidR="00BF576B" w:rsidRPr="00DF790D" w:rsidRDefault="00BF576B" w:rsidP="00425142">
      <w:r w:rsidRPr="00DF790D">
        <w:t xml:space="preserve">Vyšetřování ulovených prasat divokých na přítomnost </w:t>
      </w:r>
      <w:proofErr w:type="spellStart"/>
      <w:r w:rsidRPr="00DF790D">
        <w:t>Tr</w:t>
      </w:r>
      <w:r>
        <w:t>ichinella</w:t>
      </w:r>
      <w:proofErr w:type="spellEnd"/>
      <w:r>
        <w:t xml:space="preserve"> </w:t>
      </w:r>
      <w:proofErr w:type="spellStart"/>
      <w:r>
        <w:t>spp</w:t>
      </w:r>
      <w:proofErr w:type="spellEnd"/>
      <w:r>
        <w:t>. bylo rozšířeno i </w:t>
      </w:r>
      <w:r w:rsidRPr="00DF790D">
        <w:t>na vyšetření ulovených lišek s cílem spolehlivě definovat rizikové oblasti.</w:t>
      </w:r>
    </w:p>
    <w:p w:rsidR="00BF576B" w:rsidRPr="00DF790D" w:rsidRDefault="00BF576B" w:rsidP="00425142">
      <w:r w:rsidRPr="00DF790D">
        <w:t>V roce 2014 byly provedeny plánované kontroly v dalších podoblastech – kontrola biologické bezpečnosti, kontrola chovatelů v souvislosti s používáním veterinárních léčiv, kontroly podmíněnosti a kontrola péče o pohodu chovaných hospodářských zvířat. K národním kontrolám bylo na základě analýzy rizika vybráno 3 % z registrovaných hospodářství v každém kraji.</w:t>
      </w:r>
    </w:p>
    <w:p w:rsidR="00BF576B" w:rsidRPr="00DF790D" w:rsidRDefault="00BF576B" w:rsidP="00425142">
      <w:r w:rsidRPr="00DF790D">
        <w:t>K národním kontrolám v chovech hospodářských zvířat plánovaným na základě analýzy rizika se přiřadila řada kontrol neplánovaných vycházejících z podnětů občanů, podnětů jiných správních orgánů, rekonstrukce provozů, nutnosti ověření plnění uložených nápravných opatření apod.</w:t>
      </w:r>
    </w:p>
    <w:p w:rsidR="00BF576B" w:rsidRPr="00DF790D" w:rsidRDefault="00BF576B" w:rsidP="00425142">
      <w:r w:rsidRPr="00DF790D">
        <w:t>Téma pohody zvířat a zajištění minimálních standardů bylo náplní řady regionálních kurzů a seminářů pro inspektory i pro chovatele, zejména s </w:t>
      </w:r>
      <w:r>
        <w:t>ohledem na změny kontrol péče o </w:t>
      </w:r>
      <w:r w:rsidRPr="00DF790D">
        <w:t>pohodu chovaných hospodářských zvířat v oblasti kontrol podmíněnosti od roku 2014.</w:t>
      </w:r>
    </w:p>
    <w:p w:rsidR="00BF576B" w:rsidRPr="00512E42" w:rsidRDefault="00BF576B" w:rsidP="00425142">
      <w:r w:rsidRPr="00DF790D">
        <w:lastRenderedPageBreak/>
        <w:t>Na několika školicích pracovištích proběhly také kurzy pro dopravce podle podmínek nařízení Rady (ES) č. 1/2005, o ochraně zvířat během přepra</w:t>
      </w:r>
      <w:r>
        <w:t>vy a souvisejících činnostech a </w:t>
      </w:r>
      <w:r w:rsidRPr="00DF790D">
        <w:t xml:space="preserve">kurzy odborné přípravy k získání kvalifikace a odborné způsobilosti na úseku pokusných zvířat. Proběhly také kvalifikační kurzy pro veterinární lékaře k výkonu dozoru nad ochranou zvířat (§ 26 zákona </w:t>
      </w:r>
      <w:r>
        <w:t xml:space="preserve">č. 246/1992 Sb., </w:t>
      </w:r>
      <w:r w:rsidRPr="00DF790D">
        <w:t>na ochranu zvířat proti týrání).</w:t>
      </w:r>
    </w:p>
    <w:p w:rsidR="00BF576B" w:rsidRPr="009332A1" w:rsidRDefault="00BF576B" w:rsidP="00425142">
      <w:pPr>
        <w:pStyle w:val="Norm-Bold"/>
      </w:pPr>
      <w:r w:rsidRPr="009332A1">
        <w:t>Zemědělská technika</w:t>
      </w:r>
    </w:p>
    <w:p w:rsidR="00BF576B" w:rsidRDefault="00BF576B" w:rsidP="00425142">
      <w:r w:rsidRPr="009332A1">
        <w:t>Nárůst dodávek traktorů do zemědělství kulminoval v roce 2008, kdy bylo dodáno nejvíce traktorů (3 098 ks za rok). Následně vlivem hospodářské a finanční krize došlo v obnově techniky k výraznému poklesu. Za poslední 3 roky se dodávky traktorů ustálily mezi 2</w:t>
      </w:r>
      <w:r>
        <w:t> </w:t>
      </w:r>
      <w:r w:rsidRPr="009332A1">
        <w:t>100</w:t>
      </w:r>
      <w:r>
        <w:noBreakHyphen/>
      </w:r>
      <w:r w:rsidRPr="009332A1">
        <w:t>2 450 ks za rok.</w:t>
      </w:r>
    </w:p>
    <w:p w:rsidR="00BF576B" w:rsidRPr="009332A1" w:rsidRDefault="00BF576B" w:rsidP="00425142">
      <w:r w:rsidRPr="009332A1">
        <w:t>Ve srovnání s rokem 2013 bylo do zemědělství v roce 2014 dodáno o </w:t>
      </w:r>
      <w:r w:rsidR="00E779ED">
        <w:t>6,5</w:t>
      </w:r>
      <w:r w:rsidRPr="009332A1">
        <w:t xml:space="preserve"> % traktorů více, tj. v souhrnu 2 453 traktorů. Celkem dodávky zajistilo 21 výrobních firem, z toho jedna tuzemská. Nejvýznamnější nárůst dodávek opět zaznamenala firma Zetor, jejíž podíl na trhu činí kolem 23 %. Největší podíly na trhu z řad zahraničních značek mají John Deere, New </w:t>
      </w:r>
      <w:proofErr w:type="spellStart"/>
      <w:r w:rsidRPr="009332A1">
        <w:t>Holland</w:t>
      </w:r>
      <w:proofErr w:type="spellEnd"/>
      <w:r w:rsidRPr="009332A1">
        <w:t xml:space="preserve"> a CASE IH.</w:t>
      </w:r>
    </w:p>
    <w:p w:rsidR="00BF576B" w:rsidRPr="009332A1" w:rsidRDefault="00BF576B" w:rsidP="00425142">
      <w:r w:rsidRPr="009332A1">
        <w:t>Ze statistických podkladů lze usuzovat, že potřeba traktorů v zemědělských podnicích je z hlediska počtu pokryta a při obměně dochází především ke změně struktury traktorového parku. Nákup nových strojů se orientuje hlavně do vyšších výkonových</w:t>
      </w:r>
      <w:r>
        <w:t xml:space="preserve"> tříd</w:t>
      </w:r>
      <w:r w:rsidRPr="009332A1">
        <w:t>. Pro udržení rozumného tempa obnovy traktorů by se dodávky měly pohyb</w:t>
      </w:r>
      <w:r>
        <w:t>ovat ve výši cca 2 500 až 3 000 </w:t>
      </w:r>
      <w:r w:rsidRPr="009332A1">
        <w:t>kusů ročně.</w:t>
      </w:r>
    </w:p>
    <w:p w:rsidR="00BF576B" w:rsidRPr="009332A1" w:rsidRDefault="00BF576B" w:rsidP="00425142">
      <w:pPr>
        <w:rPr>
          <w:szCs w:val="24"/>
        </w:rPr>
      </w:pPr>
      <w:r w:rsidRPr="009332A1">
        <w:rPr>
          <w:szCs w:val="24"/>
        </w:rPr>
        <w:t>Také v případě sklízecích mlátiček dochází k postupné obnově staršího strojového parku novou technikou, která je výrazně výkonnější. V dodávkách nových sklízecích mlátiček převládají stroje s ekonomicky zdůvodněným ročním využitím podle instalovaného výkonu motoru cca od 500 do 900 ha za rok. Lze tedy výhledově předpokládat, že celkové počty sklízecích mlátiček v zemědělství budou dále klesat až pod hranici 4 000 ks. K udržení racionálního tempa obnovy by se tedy dodávky sklízecích mlátiček do zemědělství měly pohybovat ve výši alespoň 200 ks ročně. V posledních 3 letech se však dodávky sklízecích mlátiček pohybují pod 200 ks za rok, v loňském roce dokonce poklesly na 166 ks.</w:t>
      </w:r>
    </w:p>
    <w:p w:rsidR="00BF576B" w:rsidRPr="009332A1" w:rsidRDefault="00BF576B" w:rsidP="00425142">
      <w:r w:rsidRPr="009332A1">
        <w:rPr>
          <w:szCs w:val="24"/>
        </w:rPr>
        <w:t>Obnova samojízdných sklízecích řezaček a její trendy vycházejí ze struktury rostlinné výroby a jejích změn. Samojízdné sklízecí řezačky se používají především pro sklizeň pícnin na orné půdě</w:t>
      </w:r>
      <w:r>
        <w:rPr>
          <w:szCs w:val="24"/>
        </w:rPr>
        <w:t>, jejichž</w:t>
      </w:r>
      <w:r w:rsidRPr="009332A1">
        <w:rPr>
          <w:szCs w:val="24"/>
        </w:rPr>
        <w:t xml:space="preserve"> výměra se od roku 1990 postupně snížila z původních více než 1 mil. ha až na 400 tis. ha Teprve v několika posledních letech se výměra začala pomalu zvyšovat, a to především z důvodu zvyšování výměry kukuřice na siláž pro energetické účely v bioplynových stanicích. Lze předpokládat, že celkové počty sklízecích řezaček v zemědělství budou i nadále klesat a ustálí se na hodnotě kolem 800 až 900 ks. Pro udržení příznivého tempa obnovy by bylo třeba docílit dodávky alespoň 45 až 50 ks samojízdných sklízecích řezaček ročně.</w:t>
      </w:r>
    </w:p>
    <w:p w:rsidR="00BF576B" w:rsidRPr="009332A1" w:rsidRDefault="00BF576B" w:rsidP="00425142">
      <w:pPr>
        <w:pStyle w:val="mezera"/>
      </w:pPr>
    </w:p>
    <w:p w:rsidR="00BF576B" w:rsidRDefault="008E767C" w:rsidP="00425142">
      <w:pPr>
        <w:pStyle w:val="mezera"/>
      </w:pPr>
      <w:r w:rsidRPr="008E767C">
        <w:rPr>
          <w:noProof/>
          <w:lang w:eastAsia="cs-CZ"/>
        </w:rPr>
        <w:drawing>
          <wp:inline distT="0" distB="0" distL="0" distR="0" wp14:anchorId="4FB8DB36" wp14:editId="01BE7705">
            <wp:extent cx="5246370" cy="1435100"/>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46370" cy="1435100"/>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pPr>
        <w:pStyle w:val="Norm-Bold"/>
      </w:pPr>
      <w:r w:rsidRPr="009332A1">
        <w:t>Pohonné hmoty</w:t>
      </w:r>
    </w:p>
    <w:p w:rsidR="00BF576B" w:rsidRPr="009332A1" w:rsidRDefault="00BF576B" w:rsidP="00425142">
      <w:pPr>
        <w:rPr>
          <w:color w:val="000000"/>
        </w:rPr>
      </w:pPr>
      <w:r w:rsidRPr="009332A1">
        <w:rPr>
          <w:color w:val="000000"/>
        </w:rPr>
        <w:t>V roce 2014 se podle odhadu VÚZT spotřebovalo v zemědělství v podnicích s 20 a více pracovníky 13 972 TJ tuhých a kapalných paliv a zemního plynu. Na této spotřebě se tuhá paliva (černé a hnědé uhlí, koks a brikety) podílela 2,2 %, kapalná paliva, zejména motorová nafta, 83,5 % a zemní plyn 14,3 %. Kromě toho se v roce 2014 spotřebovalo v těchto podnicích 750 500 </w:t>
      </w:r>
      <w:proofErr w:type="spellStart"/>
      <w:r w:rsidRPr="009332A1">
        <w:rPr>
          <w:color w:val="000000"/>
        </w:rPr>
        <w:t>MWh</w:t>
      </w:r>
      <w:proofErr w:type="spellEnd"/>
      <w:r w:rsidRPr="009332A1">
        <w:rPr>
          <w:color w:val="000000"/>
        </w:rPr>
        <w:t xml:space="preserve"> elektrické energie.</w:t>
      </w:r>
    </w:p>
    <w:p w:rsidR="00BF576B" w:rsidRPr="009332A1" w:rsidRDefault="00BF576B" w:rsidP="00425142">
      <w:pPr>
        <w:pStyle w:val="mezera"/>
      </w:pPr>
    </w:p>
    <w:p w:rsidR="00BF576B" w:rsidRDefault="00BF576B" w:rsidP="00425142">
      <w:pPr>
        <w:pStyle w:val="mezera"/>
        <w:rPr>
          <w:noProof/>
        </w:rPr>
      </w:pPr>
      <w:r w:rsidRPr="00F92213">
        <w:rPr>
          <w:noProof/>
          <w:lang w:eastAsia="cs-CZ"/>
        </w:rPr>
        <w:drawing>
          <wp:inline distT="0" distB="0" distL="0" distR="0" wp14:anchorId="02E8AA7A" wp14:editId="32E0AB84">
            <wp:extent cx="5760085" cy="158178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1581785"/>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 xml:space="preserve">Podle propočtů VÚZT a ČSÚ se v roce 2014 spotřebovalo v zemědělství 435,7 mil. l motorové nafty. Do celkové spotřeby motorové nafty není zahrnuta spotřeba služeb poskytovaných zemědělství jinými </w:t>
      </w:r>
      <w:r w:rsidR="00854B54">
        <w:t>rezort</w:t>
      </w:r>
      <w:r w:rsidRPr="009332A1">
        <w:t>y, zejména v dopravě, a spotřeba vzniklá při nezemědělské činnosti podniků.</w:t>
      </w:r>
    </w:p>
    <w:p w:rsidR="00BF576B" w:rsidRPr="009332A1" w:rsidRDefault="00BF576B" w:rsidP="00425142">
      <w:pPr>
        <w:pStyle w:val="Nadpis2"/>
      </w:pPr>
      <w:bookmarkStart w:id="152" w:name="_Toc265072489"/>
      <w:bookmarkStart w:id="153" w:name="_Toc424307053"/>
      <w:r w:rsidRPr="009332A1">
        <w:t>6.4</w:t>
      </w:r>
      <w:r w:rsidRPr="009332A1">
        <w:tab/>
        <w:t>Úvěry a pojišťovací služby</w:t>
      </w:r>
      <w:bookmarkEnd w:id="152"/>
      <w:bookmarkEnd w:id="153"/>
    </w:p>
    <w:p w:rsidR="00BF576B" w:rsidRPr="009332A1" w:rsidRDefault="00BF576B" w:rsidP="00425142">
      <w:pPr>
        <w:pStyle w:val="Norm-Bold"/>
      </w:pPr>
      <w:r w:rsidRPr="009332A1">
        <w:t>Úvěry v zemědělství, myslivosti a rybolovu</w:t>
      </w:r>
    </w:p>
    <w:p w:rsidR="00BF576B" w:rsidRPr="009332A1" w:rsidRDefault="00BF576B" w:rsidP="00425142">
      <w:r w:rsidRPr="009332A1">
        <w:t>Čerpání úvěrů zemědělskými podniky se v roce 2014 v souvislosti s pokračujícím příznivým vývojem zemědělství zvýšilo. Podle údajů ČNB k 31. 12. 2014 se na čerpání klientských úvěrů</w:t>
      </w:r>
      <w:r w:rsidRPr="009332A1">
        <w:rPr>
          <w:rStyle w:val="Znakapoznpodarou"/>
        </w:rPr>
        <w:footnoteReference w:id="92"/>
      </w:r>
      <w:r w:rsidRPr="009332A1">
        <w:t xml:space="preserve"> podle odvětví nejvíce podílely domácnosti (44 %) a dále činnosti v oblasti nemovitostí (11,8 %), zpracovatelský průmysl (9,1 %) a peněžnictví a pojišťovnictví (7,9 %). Podíl úvěrů do odvětví zemědělství, lesnictví a rybářství z celkového objemu poskytnutých klientských úvěrů </w:t>
      </w:r>
      <w:r>
        <w:t xml:space="preserve">se </w:t>
      </w:r>
      <w:r w:rsidRPr="009332A1">
        <w:t>v roce 2014 meziročně mírně snížil a činil 1,8 %.</w:t>
      </w:r>
      <w:r>
        <w:t xml:space="preserve"> </w:t>
      </w:r>
      <w:r w:rsidRPr="009332A1">
        <w:t xml:space="preserve">Stavy bankovních </w:t>
      </w:r>
      <w:r w:rsidRPr="009332A1">
        <w:lastRenderedPageBreak/>
        <w:t xml:space="preserve">úvěrů a pohledávek v zemědělství, myslivosti a rybolovu k 31. 12. 2014 (tab. T6.4/01) se ve srovnání s předcházejícím rokem zvýšily, a to o 3,5 %, přičemž nejvyšší nárůst (o 14,5 %) </w:t>
      </w:r>
      <w:r>
        <w:t>vykáz</w:t>
      </w:r>
      <w:r w:rsidRPr="009332A1">
        <w:t>aly úvěry krátkodobé, rostl i objem dlouhodobých úvěrů (o 3 %), zatímco stav střednědobých úvěrů poklesl o 7,6 %. Investiční úvěry se podílely na celkovém objemu úvěrů 73,5 % s meziročním nárůstem o 0,7 %, což odráží pokračování investiční dynamiky zemědělských podniků. Objem úvěrů pro odvětví zemědělství, myslivosti a rybolovu vykázal v roce 2014 historicky nejvyšší úroveň.</w:t>
      </w:r>
    </w:p>
    <w:p w:rsidR="00BF576B" w:rsidRPr="009332A1" w:rsidRDefault="00BF576B" w:rsidP="00425142">
      <w:pPr>
        <w:pStyle w:val="mezera"/>
      </w:pPr>
    </w:p>
    <w:p w:rsidR="00BF576B" w:rsidRDefault="00BF576B" w:rsidP="00425142">
      <w:pPr>
        <w:pStyle w:val="mezera"/>
      </w:pPr>
      <w:r w:rsidRPr="005710F8">
        <w:rPr>
          <w:noProof/>
          <w:lang w:eastAsia="cs-CZ"/>
        </w:rPr>
        <w:drawing>
          <wp:inline distT="0" distB="0" distL="0" distR="0" wp14:anchorId="7020C355" wp14:editId="33F28B04">
            <wp:extent cx="5379720" cy="187579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9720" cy="1875790"/>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 xml:space="preserve">Při alokaci úvěrů do </w:t>
      </w:r>
      <w:r w:rsidR="00854B54">
        <w:t>rezort</w:t>
      </w:r>
      <w:r w:rsidRPr="009332A1">
        <w:t>u zemědělství aktivně a pozitivně působí P</w:t>
      </w:r>
      <w:r w:rsidR="00747999">
        <w:t>GRLF</w:t>
      </w:r>
      <w:r w:rsidRPr="009332A1">
        <w:t xml:space="preserve">, k jehož předmětu činnosti patří poskytování podpor ve formě subvence části úroků z úvěrů v rámci vyhlášených programů. Program </w:t>
      </w:r>
      <w:r w:rsidR="008969A9">
        <w:t>„</w:t>
      </w:r>
      <w:r w:rsidRPr="009332A1">
        <w:t>Zemědělec</w:t>
      </w:r>
      <w:r w:rsidR="008969A9">
        <w:t>“</w:t>
      </w:r>
      <w:r w:rsidRPr="009332A1">
        <w:t xml:space="preserve"> podporuje realizaci dlouhodobých investičních záměrů s</w:t>
      </w:r>
      <w:r>
        <w:t xml:space="preserve"> ohledem na restrukturalizaci a </w:t>
      </w:r>
      <w:r w:rsidRPr="009332A1">
        <w:t xml:space="preserve">zvýšení efektivnosti, modernizaci, snížení výrobních nákladů, zlepšení jakosti a další rozvoj zemědělských subjektů. Obdobná forma podpory je poskytována v rámci programu </w:t>
      </w:r>
      <w:r w:rsidR="008969A9">
        <w:t>„</w:t>
      </w:r>
      <w:r w:rsidRPr="009332A1">
        <w:t>Podpora nákupu půdy</w:t>
      </w:r>
      <w:r w:rsidR="008969A9">
        <w:t>“</w:t>
      </w:r>
      <w:r w:rsidRPr="009332A1">
        <w:t xml:space="preserve"> v režimu de </w:t>
      </w:r>
      <w:proofErr w:type="spellStart"/>
      <w:r w:rsidRPr="009332A1">
        <w:t>minimis</w:t>
      </w:r>
      <w:proofErr w:type="spellEnd"/>
      <w:r w:rsidRPr="009332A1">
        <w:t>, přičemž cílem programu podpory je zpřístupnit pořízení zemědělské půdy jako primárního výrobního prostředku zemědělských prvovýrobců.</w:t>
      </w:r>
    </w:p>
    <w:p w:rsidR="00BF576B" w:rsidRPr="009332A1" w:rsidRDefault="00BF576B" w:rsidP="00425142">
      <w:r w:rsidRPr="009332A1">
        <w:t>Podle údajů PGRLF za období od roku 1994 do konce roku 2014 činila celková výše podporovaných úvěrů (v rámci všech vyhlášených programů podpor ve formě subvencí části úroků z úvěrů a/nebo zajištění úvěrů – garancí) 158 037 mil. Kč. Podporu v rámci uvedeného období nejvíce využívají akciové společnosti (37 %), násled</w:t>
      </w:r>
      <w:r w:rsidR="00747999">
        <w:t>ované zemědělskými družstvy (23 </w:t>
      </w:r>
      <w:r w:rsidRPr="009332A1">
        <w:t>%), soukromými zemědělci (21 %) a společnostmi s r. o. (18 %).</w:t>
      </w:r>
    </w:p>
    <w:p w:rsidR="00BF576B" w:rsidRPr="009332A1" w:rsidRDefault="00BF576B" w:rsidP="00425142">
      <w:r w:rsidRPr="009332A1">
        <w:t xml:space="preserve">Nejvýznamnějšími poskytovateli úvěrů podpořených poskytnutím dotace části úroků, resp. garance jsou Komerční banka, a. s., GE Money Bank, a. s., Česká spořitelna, a. s., </w:t>
      </w:r>
      <w:proofErr w:type="spellStart"/>
      <w:r w:rsidRPr="00436EB7">
        <w:t>Waldviertler</w:t>
      </w:r>
      <w:proofErr w:type="spellEnd"/>
      <w:r w:rsidRPr="00436EB7">
        <w:t xml:space="preserve"> </w:t>
      </w:r>
      <w:proofErr w:type="spellStart"/>
      <w:r w:rsidRPr="00436EB7">
        <w:t>Sparkasse</w:t>
      </w:r>
      <w:proofErr w:type="spellEnd"/>
      <w:r w:rsidRPr="00436EB7">
        <w:t xml:space="preserve"> Bank</w:t>
      </w:r>
      <w:r w:rsidRPr="009332A1">
        <w:t xml:space="preserve"> AG a Československá obchodní banka a. s.</w:t>
      </w:r>
    </w:p>
    <w:p w:rsidR="00BF576B" w:rsidRPr="009332A1" w:rsidRDefault="00BF576B" w:rsidP="00425142">
      <w:pPr>
        <w:pStyle w:val="Norm-Bold"/>
      </w:pPr>
      <w:r w:rsidRPr="009332A1">
        <w:t>Přímé zahraniční investice do zemědělství, lesnictví a rybolovu</w:t>
      </w:r>
    </w:p>
    <w:p w:rsidR="00BF576B" w:rsidRPr="009332A1" w:rsidRDefault="00BF576B" w:rsidP="00425142">
      <w:r w:rsidRPr="009332A1">
        <w:t>V roce 2014 dosáhly podle předběžných údajů ČNB přímé zahraniční investice do sektoru zemědělství, lesnictví a rybolovu hodnoty 151 mil</w:t>
      </w:r>
      <w:r w:rsidR="00747999">
        <w:t>.</w:t>
      </w:r>
      <w:r w:rsidRPr="009332A1">
        <w:t xml:space="preserve"> Kč a představovaly tak 0,12 % z celkových přímých zahraničních investic do ČR. Z teritoriálního pohledu zaujímají největší </w:t>
      </w:r>
      <w:r w:rsidRPr="009332A1">
        <w:lastRenderedPageBreak/>
        <w:t>podíl na celkovém objemu přímých zahraničních investic v ČR podle údajů ČNB</w:t>
      </w:r>
      <w:r w:rsidRPr="009332A1">
        <w:rPr>
          <w:rStyle w:val="Znakapoznpodarou"/>
        </w:rPr>
        <w:footnoteReference w:id="93"/>
      </w:r>
      <w:r w:rsidRPr="009332A1">
        <w:t xml:space="preserve"> Nizozemsko, následované Rakouskem a Německem.</w:t>
      </w:r>
    </w:p>
    <w:p w:rsidR="00BF576B" w:rsidRDefault="00BF576B" w:rsidP="00425142">
      <w:r w:rsidRPr="009332A1">
        <w:t>Příliv</w:t>
      </w:r>
      <w:r w:rsidRPr="009332A1">
        <w:rPr>
          <w:rStyle w:val="Znakapoznpodarou"/>
        </w:rPr>
        <w:footnoteReference w:id="94"/>
      </w:r>
      <w:r w:rsidRPr="009332A1">
        <w:t xml:space="preserve"> přímých zahraničních investic do zemědělství, lesnictví a rybolovu se tak v roce 2014 podle předběžných údajů ČNB zvýšil proti roku 2013, kdy byly zaznamenány </w:t>
      </w:r>
      <w:proofErr w:type="spellStart"/>
      <w:r w:rsidRPr="009332A1">
        <w:t>desinvestice</w:t>
      </w:r>
      <w:proofErr w:type="spellEnd"/>
      <w:r w:rsidRPr="009332A1">
        <w:t xml:space="preserve"> v celkové výši 600 milionů Kč, o 751 mil. Kč (tab. T6.4/02).</w:t>
      </w:r>
    </w:p>
    <w:p w:rsidR="00BF576B" w:rsidRPr="009332A1" w:rsidRDefault="00BF576B" w:rsidP="00425142">
      <w:pPr>
        <w:pStyle w:val="mezera"/>
      </w:pPr>
    </w:p>
    <w:p w:rsidR="00BF576B" w:rsidRDefault="00BF576B" w:rsidP="00425142">
      <w:pPr>
        <w:pStyle w:val="mezera"/>
      </w:pPr>
      <w:r w:rsidRPr="005710F8">
        <w:rPr>
          <w:noProof/>
          <w:lang w:eastAsia="cs-CZ"/>
        </w:rPr>
        <w:drawing>
          <wp:inline distT="0" distB="0" distL="0" distR="0" wp14:anchorId="7ACBEB19" wp14:editId="7C070554">
            <wp:extent cx="5760720" cy="261328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2613285"/>
                    </a:xfrm>
                    <a:prstGeom prst="rect">
                      <a:avLst/>
                    </a:prstGeom>
                    <a:noFill/>
                    <a:ln>
                      <a:noFill/>
                    </a:ln>
                  </pic:spPr>
                </pic:pic>
              </a:graphicData>
            </a:graphic>
          </wp:inline>
        </w:drawing>
      </w:r>
    </w:p>
    <w:p w:rsidR="00BF576B" w:rsidRPr="009332A1" w:rsidRDefault="00BF576B" w:rsidP="00425142">
      <w:pPr>
        <w:pStyle w:val="mezera"/>
      </w:pPr>
    </w:p>
    <w:p w:rsidR="00BF576B" w:rsidRPr="009332A1" w:rsidRDefault="00BF576B" w:rsidP="00425142">
      <w:r w:rsidRPr="009332A1">
        <w:t>Zatímco za rok 2013 zaznamenala ČNB v sektoru zemědělství, lesnictví a rybolovu záporný odliv tuzemských investic do zahraničí, dosáhly v roce 2014 přímé investice do zahraniční kladné hodnoty. Objemy odlivu tuzemských investic do zahraničí jsou však v tomto sektoru velmi nízké a v roce 2014 představoval odliv investic do zahraničí do zemědělství, lesnictví a rybolovu pouze -0,04 %</w:t>
      </w:r>
      <w:r w:rsidRPr="009332A1">
        <w:rPr>
          <w:rStyle w:val="Znakapoznpodarou"/>
        </w:rPr>
        <w:footnoteReference w:id="95"/>
      </w:r>
      <w:r w:rsidRPr="009332A1">
        <w:t xml:space="preserve"> celkových</w:t>
      </w:r>
      <w:r>
        <w:t xml:space="preserve"> přímých investic do zahraničí.</w:t>
      </w:r>
    </w:p>
    <w:p w:rsidR="00BF576B" w:rsidRPr="009332A1" w:rsidRDefault="00BF576B" w:rsidP="00425142">
      <w:pPr>
        <w:pStyle w:val="Norm-Bold"/>
      </w:pPr>
      <w:r w:rsidRPr="009332A1">
        <w:t>Zemědělské pojištění</w:t>
      </w:r>
    </w:p>
    <w:p w:rsidR="00BF576B" w:rsidRPr="009332A1" w:rsidRDefault="00BF576B" w:rsidP="00425142">
      <w:pPr>
        <w:rPr>
          <w:szCs w:val="24"/>
        </w:rPr>
      </w:pPr>
      <w:r w:rsidRPr="009332A1">
        <w:t>V roce 2014 nabízelo zemědělské pojištění v ČR celkem sedm pojišťoven.</w:t>
      </w:r>
      <w:r>
        <w:t xml:space="preserve"> </w:t>
      </w:r>
      <w:r w:rsidRPr="009332A1">
        <w:t xml:space="preserve">Podíl jednotlivých pojišťoven na trhu zemědělského pojištění podle objemu pojistného za zemědělské pojištění uplatněného v žádostech o dotaci z PGRLF dokumentuje graf T6.4/01. Žádosti o podporu pojištění plodin a hospodářských zvířat z prostředků PGRLF podali klienti České pojišťovny a. s., </w:t>
      </w:r>
      <w:proofErr w:type="spellStart"/>
      <w:r w:rsidRPr="009332A1">
        <w:t>Generali</w:t>
      </w:r>
      <w:proofErr w:type="spellEnd"/>
      <w:r w:rsidRPr="009332A1">
        <w:t xml:space="preserve"> Pojišťovny a. s., Hasičské vzájemné pojišťovny, a. s., ČSOB </w:t>
      </w:r>
      <w:r w:rsidRPr="009332A1">
        <w:lastRenderedPageBreak/>
        <w:t>Pojišťovny, a.s., Kooperativy pojišťovny, a.s., Allianz pojišťovny, a. s.</w:t>
      </w:r>
      <w:r>
        <w:t>,</w:t>
      </w:r>
      <w:r w:rsidRPr="009332A1">
        <w:t xml:space="preserve"> a Agra pojišťovny, organizační složky pojišťovny </w:t>
      </w:r>
      <w:proofErr w:type="spellStart"/>
      <w:r w:rsidRPr="00436EB7">
        <w:t>Österreichische</w:t>
      </w:r>
      <w:proofErr w:type="spellEnd"/>
      <w:r w:rsidRPr="00436EB7">
        <w:t xml:space="preserve"> </w:t>
      </w:r>
      <w:proofErr w:type="spellStart"/>
      <w:r w:rsidRPr="00436EB7">
        <w:t>Hagelversicherung</w:t>
      </w:r>
      <w:proofErr w:type="spellEnd"/>
      <w:r w:rsidRPr="00436EB7">
        <w:t xml:space="preserve">, </w:t>
      </w:r>
      <w:proofErr w:type="spellStart"/>
      <w:r w:rsidRPr="00436EB7">
        <w:t>VVaG</w:t>
      </w:r>
      <w:proofErr w:type="spellEnd"/>
      <w:r w:rsidRPr="009332A1">
        <w:rPr>
          <w:rStyle w:val="Znakapoznpodarou"/>
        </w:rPr>
        <w:footnoteReference w:id="96"/>
      </w:r>
      <w:r w:rsidRPr="009332A1">
        <w:t>.</w:t>
      </w:r>
    </w:p>
    <w:p w:rsidR="00BF576B" w:rsidRDefault="00BF576B" w:rsidP="00425142">
      <w:pPr>
        <w:pStyle w:val="mezera"/>
      </w:pPr>
    </w:p>
    <w:p w:rsidR="00BF576B" w:rsidRPr="009332A1" w:rsidRDefault="00BF576B" w:rsidP="00425142">
      <w:pPr>
        <w:pStyle w:val="mezera-svzan"/>
      </w:pPr>
      <w:r w:rsidRPr="0039165A">
        <w:rPr>
          <w:noProof/>
          <w:lang w:eastAsia="cs-CZ"/>
        </w:rPr>
        <w:drawing>
          <wp:inline distT="0" distB="0" distL="0" distR="0" wp14:anchorId="34647368" wp14:editId="0CAC3B6B">
            <wp:extent cx="5760720" cy="3713662"/>
            <wp:effectExtent l="0" t="0" r="0" b="127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BF576B" w:rsidRPr="009332A1" w:rsidRDefault="00BF576B" w:rsidP="00425142">
      <w:pPr>
        <w:pStyle w:val="TabPramZprac"/>
      </w:pPr>
      <w:r w:rsidRPr="009332A1">
        <w:t>Pramen</w:t>
      </w:r>
      <w:r>
        <w:t>:</w:t>
      </w:r>
      <w:r>
        <w:tab/>
      </w:r>
      <w:r w:rsidRPr="009332A1">
        <w:t>PGRLF</w:t>
      </w:r>
    </w:p>
    <w:p w:rsidR="00BF576B" w:rsidRPr="009332A1" w:rsidRDefault="00BF576B" w:rsidP="00425142">
      <w:pPr>
        <w:pStyle w:val="TabPramZprac"/>
      </w:pPr>
      <w:r w:rsidRPr="009332A1">
        <w:t>Zpracoval:</w:t>
      </w:r>
      <w:r>
        <w:tab/>
      </w:r>
      <w:r w:rsidRPr="009332A1">
        <w:t>V. Vilhelm (ÚZEI)</w:t>
      </w:r>
    </w:p>
    <w:p w:rsidR="00BF576B" w:rsidRPr="009332A1" w:rsidRDefault="00BF576B" w:rsidP="00425142">
      <w:pPr>
        <w:pStyle w:val="mezera"/>
      </w:pPr>
    </w:p>
    <w:p w:rsidR="00BF576B" w:rsidRPr="009332A1" w:rsidRDefault="00BF576B" w:rsidP="00425142">
      <w:r w:rsidRPr="009332A1">
        <w:t>V rámci zemědělského pojištění nabízejí pojišťovny produkty pojištění plodin a hospodářských zvířat, které se vztahují na vybraná živelní rizika, nákazová rizika a případně i některá další rizika ohrožující rostlinnou a živočišnou produkci. Některá rizika zůstávají v podmínkách ČR nepojistitelná, a to, vedle cenových rizik, p</w:t>
      </w:r>
      <w:r>
        <w:t>ředevším riziko sucha a deště v </w:t>
      </w:r>
      <w:r w:rsidRPr="009332A1">
        <w:t>období sklizně.</w:t>
      </w:r>
    </w:p>
    <w:p w:rsidR="00BF576B" w:rsidRDefault="00BF576B" w:rsidP="00425142">
      <w:r w:rsidRPr="009332A1">
        <w:t xml:space="preserve">V rámci programu </w:t>
      </w:r>
      <w:r w:rsidR="008969A9">
        <w:t>„</w:t>
      </w:r>
      <w:r w:rsidRPr="009332A1">
        <w:t>Podpora pojištění</w:t>
      </w:r>
      <w:r w:rsidR="008969A9">
        <w:t>“</w:t>
      </w:r>
      <w:r w:rsidRPr="009332A1">
        <w:t xml:space="preserve"> poskytuje PGRLF od roku 2004 podporu pojištění plodin a hospodářských zvířat. Úroveň podpory, která se odvíjí od výše zaplaceného pojistného, v roce 2014</w:t>
      </w:r>
      <w:r>
        <w:t>, stejně jako v roce 2013,</w:t>
      </w:r>
      <w:r w:rsidRPr="009332A1">
        <w:t xml:space="preserve"> činila 50 % z prokázaných nákladů na pojištění speciálních plodin</w:t>
      </w:r>
      <w:r w:rsidRPr="009332A1">
        <w:rPr>
          <w:rStyle w:val="Znakapoznpodarou"/>
        </w:rPr>
        <w:footnoteReference w:id="97"/>
      </w:r>
      <w:r w:rsidRPr="009332A1">
        <w:t xml:space="preserve"> pro případ krupobití, požáru, vichřice, povodně nebo záplavy, sesuvu půdy, </w:t>
      </w:r>
      <w:proofErr w:type="spellStart"/>
      <w:r w:rsidRPr="009332A1">
        <w:t>vyzimování</w:t>
      </w:r>
      <w:proofErr w:type="spellEnd"/>
      <w:r w:rsidRPr="009332A1">
        <w:t xml:space="preserve">, vymrznutí, jarního mrazu nebo mrazu, 18 % nákladů na pojištění ostatních plodin a 50 % nákladů na pojištění hospodářských zvířat pro případ uhynutí nebo </w:t>
      </w:r>
      <w:r w:rsidRPr="009332A1">
        <w:lastRenderedPageBreak/>
        <w:t>utracení v důsledku živelních škod, nebezpečných nákaz</w:t>
      </w:r>
      <w:r w:rsidRPr="009332A1">
        <w:rPr>
          <w:rStyle w:val="Znakapoznpodarou"/>
        </w:rPr>
        <w:footnoteReference w:id="98"/>
      </w:r>
      <w:r w:rsidRPr="009332A1">
        <w:t xml:space="preserve"> nebo jiných hromadných onemocnění infekčního nebo parazitárního původu. Pojištění tzv. jednotlivých škod na zvířatech (úrazy, neinfekční nemoci, porodní škody apod.) není předmětem dotace. Podpora je poskytována zemědělským podnikatelským subjektům splňujícím parametry malého nebo středního podniku, které jsou zemědělským prvovýrobcem. Celkový objem pojistného za pojištění plodin a hospodářských zvířat předepsaného pojišťovnami je proto vyšší než objem pojistného uplatněného v žádostech o dotaci z PGRLF. Vývoj celkového objemu dotace, předepsaného pojistného a plnění ze zemědělského pojištění ukazuje graf T6.4/02.</w:t>
      </w:r>
    </w:p>
    <w:p w:rsidR="00BF576B" w:rsidRDefault="00BF576B" w:rsidP="00425142">
      <w:pPr>
        <w:pStyle w:val="mezera"/>
      </w:pPr>
    </w:p>
    <w:p w:rsidR="00BF576B" w:rsidRPr="009332A1" w:rsidRDefault="00BF576B" w:rsidP="00425142">
      <w:pPr>
        <w:pStyle w:val="mezera-svzan"/>
      </w:pPr>
      <w:r w:rsidRPr="00B704E3">
        <w:rPr>
          <w:noProof/>
          <w:lang w:eastAsia="cs-CZ"/>
        </w:rPr>
        <w:drawing>
          <wp:inline distT="0" distB="0" distL="0" distR="0" wp14:anchorId="46703B28" wp14:editId="5A9A4BB7">
            <wp:extent cx="5760720" cy="3712123"/>
            <wp:effectExtent l="0" t="0" r="0" b="31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720" cy="3712123"/>
                    </a:xfrm>
                    <a:prstGeom prst="rect">
                      <a:avLst/>
                    </a:prstGeom>
                    <a:noFill/>
                    <a:ln>
                      <a:noFill/>
                    </a:ln>
                  </pic:spPr>
                </pic:pic>
              </a:graphicData>
            </a:graphic>
          </wp:inline>
        </w:drawing>
      </w:r>
    </w:p>
    <w:p w:rsidR="00BF576B" w:rsidRPr="009332A1" w:rsidRDefault="00BF576B" w:rsidP="00425142">
      <w:pPr>
        <w:pStyle w:val="TabPramZprac"/>
      </w:pPr>
      <w:r w:rsidRPr="009332A1">
        <w:t>Pramen:</w:t>
      </w:r>
      <w:r>
        <w:tab/>
      </w:r>
      <w:r w:rsidRPr="009332A1">
        <w:t>PGRLF</w:t>
      </w:r>
      <w:r>
        <w:t>;</w:t>
      </w:r>
      <w:r w:rsidRPr="009332A1">
        <w:t xml:space="preserve"> ČAP</w:t>
      </w:r>
    </w:p>
    <w:p w:rsidR="00BF576B" w:rsidRPr="009332A1" w:rsidRDefault="00BF576B" w:rsidP="00425142">
      <w:pPr>
        <w:pStyle w:val="TabPramZprac"/>
      </w:pPr>
      <w:r w:rsidRPr="009332A1">
        <w:t>Zpracoval:</w:t>
      </w:r>
      <w:r w:rsidRPr="009332A1">
        <w:tab/>
        <w:t>V. Vilhelm (ÚZEI)</w:t>
      </w:r>
    </w:p>
    <w:p w:rsidR="00BF576B" w:rsidRPr="009332A1" w:rsidRDefault="00BF576B" w:rsidP="00425142">
      <w:pPr>
        <w:pStyle w:val="mezera"/>
      </w:pPr>
    </w:p>
    <w:p w:rsidR="00BF576B" w:rsidRPr="009332A1" w:rsidRDefault="00BF576B" w:rsidP="00425142">
      <w:r w:rsidRPr="009332A1">
        <w:t>V roce 2014 výměra pojištěných plodin na orné půdě, chmelnicích, vinicích a sadech přesáhla 1,7 miliónu hektarů. Propojištěnost</w:t>
      </w:r>
      <w:r w:rsidRPr="009332A1">
        <w:rPr>
          <w:rStyle w:val="Znakapoznpodarou"/>
        </w:rPr>
        <w:footnoteReference w:id="99"/>
      </w:r>
      <w:r w:rsidRPr="009332A1">
        <w:t xml:space="preserve"> představuje zhruba 56 %, vztaženo k údajům ČÚZK o celkové výměře orné půdy, vinic, chmelnic a ovocných sadů. Propojištěnost vztažená k údajům veřejného registru půdy LPIS dosáhla zhruba 67 %. Použití údaje LPIS zde lze považovat za vhodnější, neboť se vztahuje k evidovaným uživatelům zemědělské půdy, kteří představují tržní potenciál pojištění plodin. Propojištěnost hospodářských zvířat se </w:t>
      </w:r>
      <w:r w:rsidRPr="009332A1">
        <w:lastRenderedPageBreak/>
        <w:t>v průměru dlouhodobě pohybuje na úrovni 80 %. Je možné konstatovat, že podpora pojištění přinesla žádoucí rozvoj pojistného trhu v segmentu zeměd</w:t>
      </w:r>
      <w:r>
        <w:t>ělského pojištění.</w:t>
      </w:r>
    </w:p>
    <w:p w:rsidR="00BF576B" w:rsidRPr="008753A4" w:rsidRDefault="00BF576B" w:rsidP="00425142">
      <w:r w:rsidRPr="009332A1">
        <w:t>Předepsané pojistné</w:t>
      </w:r>
      <w:r w:rsidRPr="009332A1">
        <w:rPr>
          <w:rStyle w:val="Znakapoznpodarou"/>
        </w:rPr>
        <w:footnoteReference w:id="100"/>
      </w:r>
      <w:r w:rsidRPr="009332A1">
        <w:t xml:space="preserve"> za zemědělské pojištění se v roce 2014 snížilo o 1,6 %, s tím že pojistné za pojištění zvířat vzrostlo o 1,7 % a pojistné za pojištění plodin pokleslo o 2,4 %. I</w:t>
      </w:r>
      <w:r>
        <w:t> </w:t>
      </w:r>
      <w:r w:rsidRPr="009332A1">
        <w:t>přes pokles pojistného v pojištění plodin došlo k nárůstu pojištěných ploch. Pojistné plnění ze zemědělského pojištění v roce 2014 odhadem představovalo 59 % předepsaného pojistného</w:t>
      </w:r>
      <w:r w:rsidRPr="009332A1">
        <w:rPr>
          <w:rStyle w:val="Znakapoznpodarou"/>
        </w:rPr>
        <w:footnoteReference w:id="101"/>
      </w:r>
      <w:r w:rsidRPr="009332A1">
        <w:t>, čímž se škodní průběh v roce 201</w:t>
      </w:r>
      <w:r>
        <w:t>4</w:t>
      </w:r>
      <w:r w:rsidRPr="009332A1">
        <w:t xml:space="preserve"> proti minulému roku snížil o 20 p.</w:t>
      </w:r>
      <w:r>
        <w:t> b. (</w:t>
      </w:r>
      <w:proofErr w:type="spellStart"/>
      <w:r>
        <w:t>příl</w:t>
      </w:r>
      <w:proofErr w:type="spellEnd"/>
      <w:r>
        <w:t>. </w:t>
      </w:r>
      <w:r w:rsidRPr="009332A1">
        <w:t>tab. 6.4/01). Z</w:t>
      </w:r>
      <w:r>
        <w:t> </w:t>
      </w:r>
      <w:r w:rsidRPr="009332A1">
        <w:t xml:space="preserve">klimatických rizik se významněji projevilo pouze krupobití, </w:t>
      </w:r>
      <w:r>
        <w:t xml:space="preserve">přičemž </w:t>
      </w:r>
      <w:r w:rsidRPr="009332A1">
        <w:t>první škody na plodinách byly zaznamenány již v dubnu a poslední až v říjnu. Tím byla krupobitní sez</w:t>
      </w:r>
      <w:r w:rsidR="005227F9">
        <w:t>o</w:t>
      </w:r>
      <w:r w:rsidRPr="009332A1">
        <w:t xml:space="preserve">na neobvykle dlouhá a největší výskyt škod na plodinách byl na Vysočině a na jižní Moravě, dále i ve východních a středních Čechách. Výrazně nižší škody byly způsobeny jarním mrazem, a to zejména na jahodách a jabloních ve východních a středních Čechách. Záplavy a vichřice způsobily na pojištěných plodinách celkově jen nevýznamné škody. K výskytu nákaz většího rozsahu v chovech zvířat v roce 2014 stejně jako předešlých letech nedošlo. </w:t>
      </w:r>
      <w:r>
        <w:t xml:space="preserve">V roce 2014 pojišťovny </w:t>
      </w:r>
      <w:r w:rsidRPr="009332A1">
        <w:t>zaznamen</w:t>
      </w:r>
      <w:r>
        <w:t>aly</w:t>
      </w:r>
      <w:r w:rsidRPr="009332A1">
        <w:t xml:space="preserve"> vy</w:t>
      </w:r>
      <w:r>
        <w:t>šší</w:t>
      </w:r>
      <w:r w:rsidRPr="009332A1">
        <w:t xml:space="preserve"> počet otrav pojištěných zvířat.</w:t>
      </w:r>
    </w:p>
    <w:p w:rsidR="00BF576B" w:rsidRPr="00F011B1" w:rsidRDefault="00BF576B" w:rsidP="00425142">
      <w:pPr>
        <w:pStyle w:val="Nadpis2"/>
      </w:pPr>
      <w:bookmarkStart w:id="154" w:name="_Toc424307054"/>
      <w:r w:rsidRPr="00F011B1">
        <w:t>6.5</w:t>
      </w:r>
      <w:r w:rsidRPr="00F011B1">
        <w:tab/>
        <w:t>Výzkum, vzdělávání a poradenství</w:t>
      </w:r>
      <w:bookmarkEnd w:id="154"/>
    </w:p>
    <w:p w:rsidR="00BF576B" w:rsidRPr="00F011B1" w:rsidRDefault="00BF576B" w:rsidP="00425142">
      <w:pPr>
        <w:pStyle w:val="Norm-Bold"/>
      </w:pPr>
      <w:r w:rsidRPr="00F011B1">
        <w:t>Věda a výzkum</w:t>
      </w:r>
    </w:p>
    <w:p w:rsidR="00BF576B" w:rsidRPr="00F011B1" w:rsidRDefault="00BF576B" w:rsidP="00425142">
      <w:r w:rsidRPr="00F011B1">
        <w:t xml:space="preserve">Základním dokumentem, jímž se řídí a je cílen rezortní výzkum a vývoj, je </w:t>
      </w:r>
      <w:r w:rsidR="008969A9">
        <w:t>„</w:t>
      </w:r>
      <w:r w:rsidRPr="00F011B1">
        <w:t>Koncepce zemědělského aplikovaného výzkumu a vývoje do roku 2015</w:t>
      </w:r>
      <w:r w:rsidR="008969A9">
        <w:t>“</w:t>
      </w:r>
      <w:r w:rsidRPr="00F011B1">
        <w:t>, která byla formulována v</w:t>
      </w:r>
      <w:r>
        <w:t> </w:t>
      </w:r>
      <w:r w:rsidRPr="00F011B1">
        <w:t>souladu s</w:t>
      </w:r>
      <w:r>
        <w:t xml:space="preserve"> u</w:t>
      </w:r>
      <w:r w:rsidRPr="00F011B1">
        <w:t>snesením vlády č. 287 ze dne 26. března 2008 k</w:t>
      </w:r>
      <w:r>
        <w:t xml:space="preserve"> </w:t>
      </w:r>
      <w:r w:rsidRPr="00F011B1">
        <w:t xml:space="preserve">návrhu </w:t>
      </w:r>
      <w:r w:rsidR="008969A9">
        <w:t>„</w:t>
      </w:r>
      <w:r w:rsidRPr="00F011B1">
        <w:t>Reformy systému výzkumu, vývoje a inovací v</w:t>
      </w:r>
      <w:r>
        <w:t xml:space="preserve"> </w:t>
      </w:r>
      <w:r w:rsidRPr="00F011B1">
        <w:t>České republice</w:t>
      </w:r>
      <w:r w:rsidR="008969A9">
        <w:t>“</w:t>
      </w:r>
      <w:r w:rsidRPr="00F011B1">
        <w:t>. Na přípravě rezortních výzkumných programů MZe se významně podílí Česká akademie zemědělských věd (ČAZV) jako poradní orgán ministra zemědělství. Současně se ČAZV spolupodílí na vyhodnocování a</w:t>
      </w:r>
      <w:r>
        <w:t xml:space="preserve"> </w:t>
      </w:r>
      <w:r w:rsidRPr="00F011B1">
        <w:t>zveřejňování výsledků výzkumu, zejména jejich publikováním v 11 recenzovaných vědeckých časopisech.</w:t>
      </w:r>
    </w:p>
    <w:p w:rsidR="00BF576B" w:rsidRPr="00F011B1" w:rsidRDefault="00BF576B" w:rsidP="00425142">
      <w:pPr>
        <w:rPr>
          <w:szCs w:val="24"/>
        </w:rPr>
      </w:pPr>
      <w:r w:rsidRPr="00F011B1">
        <w:rPr>
          <w:szCs w:val="24"/>
        </w:rPr>
        <w:t>V roce 2014 se výzkumnou činností v</w:t>
      </w:r>
      <w:r>
        <w:rPr>
          <w:szCs w:val="24"/>
        </w:rPr>
        <w:t xml:space="preserve"> </w:t>
      </w:r>
      <w:r w:rsidRPr="00F011B1">
        <w:rPr>
          <w:szCs w:val="24"/>
        </w:rPr>
        <w:t>oblasti zemědělství, potravinářství, vodního a</w:t>
      </w:r>
      <w:r>
        <w:rPr>
          <w:szCs w:val="24"/>
        </w:rPr>
        <w:t> </w:t>
      </w:r>
      <w:r w:rsidRPr="00F011B1">
        <w:rPr>
          <w:szCs w:val="24"/>
        </w:rPr>
        <w:t>lesního hospodářství a problematiky rozvoje venkova zabývalo 7</w:t>
      </w:r>
      <w:r>
        <w:rPr>
          <w:szCs w:val="24"/>
        </w:rPr>
        <w:t xml:space="preserve"> </w:t>
      </w:r>
      <w:r w:rsidRPr="00F011B1">
        <w:rPr>
          <w:szCs w:val="24"/>
        </w:rPr>
        <w:t>veřejných výzkumných institucí a 2 státní příspěvkové organizace se statutem výzkumné organizace podle Na</w:t>
      </w:r>
      <w:r w:rsidRPr="00F011B1">
        <w:rPr>
          <w:rFonts w:eastAsia="TimesNewRoman"/>
          <w:szCs w:val="24"/>
        </w:rPr>
        <w:t>ř</w:t>
      </w:r>
      <w:r w:rsidRPr="00F011B1">
        <w:rPr>
          <w:szCs w:val="24"/>
        </w:rPr>
        <w:t xml:space="preserve">ízení Komise (ES) </w:t>
      </w:r>
      <w:r w:rsidRPr="00F011B1">
        <w:rPr>
          <w:rFonts w:eastAsia="TimesNewRoman"/>
          <w:szCs w:val="24"/>
        </w:rPr>
        <w:t>č</w:t>
      </w:r>
      <w:r w:rsidRPr="00F011B1">
        <w:rPr>
          <w:szCs w:val="24"/>
        </w:rPr>
        <w:t>. 800/2008, které byly zřízeny MZe. Na rezortním výzkumu, experimentálním vývoji a inovacích se dále podílelo kromě uvedených organizací také na dvě desítky významných soukromých výzkumných ústavů, z</w:t>
      </w:r>
      <w:r>
        <w:rPr>
          <w:szCs w:val="24"/>
        </w:rPr>
        <w:t xml:space="preserve"> </w:t>
      </w:r>
      <w:r w:rsidRPr="00F011B1">
        <w:rPr>
          <w:szCs w:val="24"/>
        </w:rPr>
        <w:t xml:space="preserve">nichž 11 se statutem výzkumné organizace dle výše uvedeného nařízení, dále veřejné výzkumné instituce zřízené jiným rezortem, </w:t>
      </w:r>
      <w:r w:rsidRPr="00F011B1">
        <w:rPr>
          <w:szCs w:val="24"/>
        </w:rPr>
        <w:lastRenderedPageBreak/>
        <w:t>výzkumná pracoviště univerzit a</w:t>
      </w:r>
      <w:r>
        <w:rPr>
          <w:szCs w:val="24"/>
        </w:rPr>
        <w:t xml:space="preserve"> </w:t>
      </w:r>
      <w:r w:rsidRPr="00F011B1">
        <w:rPr>
          <w:szCs w:val="24"/>
        </w:rPr>
        <w:t>vysokých škol, řada dalších menších výzkumných ústavů, organizací a</w:t>
      </w:r>
      <w:r>
        <w:rPr>
          <w:szCs w:val="24"/>
        </w:rPr>
        <w:t xml:space="preserve"> </w:t>
      </w:r>
      <w:r w:rsidRPr="00F011B1">
        <w:rPr>
          <w:szCs w:val="24"/>
        </w:rPr>
        <w:t>institucí a soukromých podnikatelských subjektů.</w:t>
      </w:r>
    </w:p>
    <w:p w:rsidR="00BF576B" w:rsidRPr="00F011B1" w:rsidRDefault="00BF576B" w:rsidP="00425142">
      <w:pPr>
        <w:rPr>
          <w:szCs w:val="24"/>
        </w:rPr>
      </w:pPr>
      <w:r w:rsidRPr="00F011B1">
        <w:rPr>
          <w:szCs w:val="24"/>
        </w:rPr>
        <w:t>Způsob hodnocení výsledků výzkumu, experimentálního vývoje a inovací prováděné Radou pro výzkum,</w:t>
      </w:r>
      <w:r>
        <w:rPr>
          <w:szCs w:val="24"/>
        </w:rPr>
        <w:t xml:space="preserve"> </w:t>
      </w:r>
      <w:r w:rsidRPr="00F011B1">
        <w:rPr>
          <w:szCs w:val="24"/>
        </w:rPr>
        <w:t>vývoj a inovace (RVVI) na základě Metodiky hodnocení výsledků výzkumných organizací a hodnocení výsledků ukončených programů kladl v</w:t>
      </w:r>
      <w:r>
        <w:rPr>
          <w:szCs w:val="24"/>
        </w:rPr>
        <w:t xml:space="preserve"> </w:t>
      </w:r>
      <w:r w:rsidRPr="00F011B1">
        <w:rPr>
          <w:szCs w:val="24"/>
        </w:rPr>
        <w:t>roce 2014 zásadní důraz na vysokou odbornou úroveň vědecko-výzkumných prací a účelnost vynaložených veřejných finančních prostředků. Hodnocení provádí RVVI na základě bodu II.3. usnesení vlády č.</w:t>
      </w:r>
      <w:r>
        <w:rPr>
          <w:szCs w:val="24"/>
        </w:rPr>
        <w:t xml:space="preserve"> </w:t>
      </w:r>
      <w:r w:rsidRPr="00F011B1">
        <w:rPr>
          <w:szCs w:val="24"/>
        </w:rPr>
        <w:t>644 ze dne 23.</w:t>
      </w:r>
      <w:r>
        <w:rPr>
          <w:szCs w:val="24"/>
        </w:rPr>
        <w:t xml:space="preserve"> </w:t>
      </w:r>
      <w:r w:rsidRPr="00F011B1">
        <w:rPr>
          <w:szCs w:val="24"/>
        </w:rPr>
        <w:t>června</w:t>
      </w:r>
      <w:r>
        <w:rPr>
          <w:szCs w:val="24"/>
        </w:rPr>
        <w:t xml:space="preserve"> </w:t>
      </w:r>
      <w:r w:rsidRPr="00F011B1">
        <w:rPr>
          <w:szCs w:val="24"/>
        </w:rPr>
        <w:t>2004 k</w:t>
      </w:r>
      <w:r>
        <w:rPr>
          <w:szCs w:val="24"/>
        </w:rPr>
        <w:t xml:space="preserve"> </w:t>
      </w:r>
      <w:r w:rsidRPr="00F011B1">
        <w:rPr>
          <w:szCs w:val="24"/>
        </w:rPr>
        <w:t>hodnocení výzkumu a vývoje a jeho výsledků.</w:t>
      </w:r>
    </w:p>
    <w:p w:rsidR="00BF576B" w:rsidRPr="00F011B1" w:rsidRDefault="00BF576B" w:rsidP="00425142">
      <w:pPr>
        <w:rPr>
          <w:szCs w:val="24"/>
        </w:rPr>
      </w:pPr>
      <w:r w:rsidRPr="00F011B1">
        <w:rPr>
          <w:szCs w:val="24"/>
        </w:rPr>
        <w:t>V</w:t>
      </w:r>
      <w:r>
        <w:rPr>
          <w:szCs w:val="24"/>
        </w:rPr>
        <w:t xml:space="preserve"> </w:t>
      </w:r>
      <w:r w:rsidRPr="00F011B1">
        <w:rPr>
          <w:szCs w:val="24"/>
        </w:rPr>
        <w:t xml:space="preserve">rámci rezortního programu </w:t>
      </w:r>
      <w:r w:rsidR="008969A9">
        <w:rPr>
          <w:szCs w:val="24"/>
        </w:rPr>
        <w:t>„</w:t>
      </w:r>
      <w:r w:rsidRPr="00F011B1">
        <w:rPr>
          <w:szCs w:val="24"/>
        </w:rPr>
        <w:t>Výzkum</w:t>
      </w:r>
      <w:r>
        <w:rPr>
          <w:szCs w:val="24"/>
        </w:rPr>
        <w:t xml:space="preserve"> v agrárním komplexu (VAK) 2009</w:t>
      </w:r>
      <w:r>
        <w:rPr>
          <w:szCs w:val="24"/>
        </w:rPr>
        <w:noBreakHyphen/>
      </w:r>
      <w:r w:rsidRPr="00F011B1">
        <w:rPr>
          <w:szCs w:val="24"/>
        </w:rPr>
        <w:t>2014</w:t>
      </w:r>
      <w:r w:rsidR="008969A9">
        <w:rPr>
          <w:szCs w:val="24"/>
        </w:rPr>
        <w:t>“</w:t>
      </w:r>
      <w:r w:rsidRPr="00F011B1">
        <w:rPr>
          <w:szCs w:val="24"/>
        </w:rPr>
        <w:t xml:space="preserve"> ukončilo v</w:t>
      </w:r>
      <w:r>
        <w:rPr>
          <w:szCs w:val="24"/>
        </w:rPr>
        <w:t xml:space="preserve"> </w:t>
      </w:r>
      <w:r w:rsidRPr="00F011B1">
        <w:rPr>
          <w:szCs w:val="24"/>
        </w:rPr>
        <w:t>roce 2014 řešení 40</w:t>
      </w:r>
      <w:r>
        <w:rPr>
          <w:szCs w:val="24"/>
        </w:rPr>
        <w:t xml:space="preserve"> </w:t>
      </w:r>
      <w:r w:rsidRPr="00F011B1">
        <w:rPr>
          <w:szCs w:val="24"/>
        </w:rPr>
        <w:t>programových projektů. V</w:t>
      </w:r>
      <w:r>
        <w:rPr>
          <w:szCs w:val="24"/>
        </w:rPr>
        <w:t xml:space="preserve"> </w:t>
      </w:r>
      <w:r w:rsidRPr="00F011B1">
        <w:rPr>
          <w:szCs w:val="24"/>
        </w:rPr>
        <w:t>roce 2014</w:t>
      </w:r>
      <w:r>
        <w:rPr>
          <w:szCs w:val="24"/>
        </w:rPr>
        <w:t xml:space="preserve"> bylo rovněž řešeno 98 </w:t>
      </w:r>
      <w:r w:rsidRPr="00F011B1">
        <w:rPr>
          <w:szCs w:val="24"/>
        </w:rPr>
        <w:t>programových projektů v</w:t>
      </w:r>
      <w:r>
        <w:rPr>
          <w:szCs w:val="24"/>
        </w:rPr>
        <w:t xml:space="preserve"> </w:t>
      </w:r>
      <w:r w:rsidRPr="00F011B1">
        <w:rPr>
          <w:szCs w:val="24"/>
        </w:rPr>
        <w:t xml:space="preserve">rámci rezortního programu </w:t>
      </w:r>
      <w:r w:rsidR="008969A9">
        <w:rPr>
          <w:szCs w:val="24"/>
        </w:rPr>
        <w:t>„</w:t>
      </w:r>
      <w:r w:rsidRPr="00F011B1">
        <w:rPr>
          <w:szCs w:val="24"/>
        </w:rPr>
        <w:t>Komplexní udržitelné systémy v</w:t>
      </w:r>
      <w:r>
        <w:rPr>
          <w:szCs w:val="24"/>
        </w:rPr>
        <w:t> </w:t>
      </w:r>
      <w:r w:rsidRPr="00F011B1">
        <w:rPr>
          <w:szCs w:val="24"/>
        </w:rPr>
        <w:t>zemědělství 2012</w:t>
      </w:r>
      <w:r>
        <w:rPr>
          <w:szCs w:val="24"/>
        </w:rPr>
        <w:noBreakHyphen/>
      </w:r>
      <w:r w:rsidRPr="00F011B1">
        <w:rPr>
          <w:szCs w:val="24"/>
        </w:rPr>
        <w:t>2018 (KUS)</w:t>
      </w:r>
      <w:r w:rsidR="008969A9">
        <w:rPr>
          <w:szCs w:val="24"/>
        </w:rPr>
        <w:t>“</w:t>
      </w:r>
      <w:r w:rsidRPr="00F011B1">
        <w:rPr>
          <w:szCs w:val="24"/>
        </w:rPr>
        <w:t>, z</w:t>
      </w:r>
      <w:r>
        <w:rPr>
          <w:szCs w:val="24"/>
        </w:rPr>
        <w:t xml:space="preserve"> </w:t>
      </w:r>
      <w:r w:rsidRPr="00F011B1">
        <w:rPr>
          <w:szCs w:val="24"/>
        </w:rPr>
        <w:t>nichž 1 byl v</w:t>
      </w:r>
      <w:r>
        <w:rPr>
          <w:szCs w:val="24"/>
        </w:rPr>
        <w:t xml:space="preserve"> </w:t>
      </w:r>
      <w:r w:rsidRPr="00F011B1">
        <w:rPr>
          <w:szCs w:val="24"/>
        </w:rPr>
        <w:t>tomto roce končící. V</w:t>
      </w:r>
      <w:r>
        <w:rPr>
          <w:szCs w:val="24"/>
        </w:rPr>
        <w:t xml:space="preserve"> </w:t>
      </w:r>
      <w:r w:rsidRPr="00F011B1">
        <w:rPr>
          <w:szCs w:val="24"/>
        </w:rPr>
        <w:t>roce 2014 byly tedy účelové prostředky poskytnuty na řešení celkem 138 programových projektů.</w:t>
      </w:r>
    </w:p>
    <w:p w:rsidR="00BF576B" w:rsidRDefault="00BF576B" w:rsidP="00425142">
      <w:pPr>
        <w:rPr>
          <w:szCs w:val="24"/>
        </w:rPr>
      </w:pPr>
      <w:r w:rsidRPr="00F011B1">
        <w:rPr>
          <w:szCs w:val="24"/>
        </w:rPr>
        <w:t>Tematicky byly projekty zaměřeny na celou šíři oborů v</w:t>
      </w:r>
      <w:r>
        <w:rPr>
          <w:szCs w:val="24"/>
        </w:rPr>
        <w:t xml:space="preserve"> </w:t>
      </w:r>
      <w:r w:rsidRPr="00F011B1">
        <w:rPr>
          <w:szCs w:val="24"/>
        </w:rPr>
        <w:t>působnosti rezortu. Cílem je postupné doplňování sítě projektů o projekty řešící aktuální problematiku rezortu.</w:t>
      </w:r>
    </w:p>
    <w:p w:rsidR="00BF576B" w:rsidRDefault="00BF576B" w:rsidP="00425142">
      <w:pPr>
        <w:rPr>
          <w:szCs w:val="24"/>
        </w:rPr>
      </w:pPr>
      <w:r w:rsidRPr="00F011B1">
        <w:rPr>
          <w:szCs w:val="24"/>
        </w:rPr>
        <w:t xml:space="preserve">Údaje o řešených i ukončených projektech jsou průběžně předávány do </w:t>
      </w:r>
      <w:r w:rsidR="008969A9">
        <w:rPr>
          <w:szCs w:val="24"/>
        </w:rPr>
        <w:t>„</w:t>
      </w:r>
      <w:r w:rsidRPr="00F011B1">
        <w:rPr>
          <w:szCs w:val="24"/>
        </w:rPr>
        <w:t>Centrální evidence proj</w:t>
      </w:r>
      <w:r>
        <w:rPr>
          <w:szCs w:val="24"/>
        </w:rPr>
        <w:t>ektů</w:t>
      </w:r>
      <w:r w:rsidR="008969A9">
        <w:rPr>
          <w:szCs w:val="24"/>
        </w:rPr>
        <w:t>“</w:t>
      </w:r>
      <w:r>
        <w:rPr>
          <w:szCs w:val="24"/>
        </w:rPr>
        <w:t xml:space="preserve"> (Informační systém VaVaI –</w:t>
      </w:r>
      <w:r w:rsidRPr="00F011B1">
        <w:rPr>
          <w:szCs w:val="24"/>
        </w:rPr>
        <w:t xml:space="preserve"> CEP), která je veřejně dostupná na webové stránce RVVI </w:t>
      </w:r>
      <w:hyperlink r:id="rId114" w:history="1">
        <w:r w:rsidRPr="00F011B1">
          <w:rPr>
            <w:rStyle w:val="Hypertextovodkaz"/>
            <w:szCs w:val="24"/>
          </w:rPr>
          <w:t>www.vyzkum.cz</w:t>
        </w:r>
      </w:hyperlink>
      <w:r w:rsidRPr="00F011B1">
        <w:rPr>
          <w:szCs w:val="24"/>
        </w:rPr>
        <w:t>.</w:t>
      </w:r>
    </w:p>
    <w:p w:rsidR="00BF576B" w:rsidRDefault="00BF576B" w:rsidP="00425142">
      <w:r w:rsidRPr="00F011B1">
        <w:t>Účelové finanční prostředky na podporu řešení 138 programových projektů byly MZe v</w:t>
      </w:r>
      <w:r>
        <w:t> </w:t>
      </w:r>
      <w:r w:rsidRPr="00F011B1">
        <w:t>roce 2014 poskytnuty ve výši 378</w:t>
      </w:r>
      <w:r>
        <w:t> 552 tis. </w:t>
      </w:r>
      <w:r w:rsidRPr="00F011B1">
        <w:t>Kč.</w:t>
      </w:r>
    </w:p>
    <w:p w:rsidR="00BF576B" w:rsidRDefault="00BF576B" w:rsidP="00425142">
      <w:r w:rsidRPr="00F011B1">
        <w:t>Na dlouhodobý koncepční rozvoj byly v</w:t>
      </w:r>
      <w:r>
        <w:t xml:space="preserve"> </w:t>
      </w:r>
      <w:r w:rsidRPr="00F011B1">
        <w:t>roce 2014 M</w:t>
      </w:r>
      <w:r>
        <w:t>Z</w:t>
      </w:r>
      <w:r w:rsidRPr="00F011B1">
        <w:t>e poskytnuty institucionální finanční prostředky 20 rezortním výzkumným organizacím v celkové výši 389</w:t>
      </w:r>
      <w:r>
        <w:t> </w:t>
      </w:r>
      <w:r w:rsidRPr="00F011B1">
        <w:t>952</w:t>
      </w:r>
      <w:r>
        <w:t> tis. </w:t>
      </w:r>
      <w:r w:rsidRPr="00F011B1">
        <w:t>Kč.</w:t>
      </w:r>
    </w:p>
    <w:p w:rsidR="00BF576B" w:rsidRPr="00F011B1" w:rsidRDefault="00BF576B" w:rsidP="00425142">
      <w:r w:rsidRPr="00F011B1">
        <w:t xml:space="preserve">Údaje o výši institucionální podpory na dlouhodobý koncepční rozvoj výzkumných organizací jsou průběžně předávány do </w:t>
      </w:r>
      <w:r w:rsidR="008969A9">
        <w:t>„</w:t>
      </w:r>
      <w:r w:rsidRPr="00F011B1">
        <w:t>Centrální evidence akt</w:t>
      </w:r>
      <w:r>
        <w:t>ivit</w:t>
      </w:r>
      <w:r w:rsidR="008969A9">
        <w:t>“</w:t>
      </w:r>
      <w:r>
        <w:t xml:space="preserve"> (Informační systém VaVaI –</w:t>
      </w:r>
      <w:r w:rsidRPr="00F011B1">
        <w:t xml:space="preserve"> CEA), které jsou veřejně přístupné na webové stránce RVVI </w:t>
      </w:r>
      <w:hyperlink r:id="rId115" w:history="1">
        <w:r w:rsidRPr="00F011B1">
          <w:rPr>
            <w:rStyle w:val="Hypertextovodkaz"/>
            <w:szCs w:val="24"/>
          </w:rPr>
          <w:t>www.vyzkum.cz</w:t>
        </w:r>
      </w:hyperlink>
      <w:r w:rsidRPr="00F011B1">
        <w:t>.</w:t>
      </w:r>
    </w:p>
    <w:p w:rsidR="00BF576B" w:rsidRPr="00F011B1" w:rsidRDefault="00BF576B" w:rsidP="00425142">
      <w:r w:rsidRPr="00F011B1">
        <w:t>V oblasti mezinárodní spolupráce pokračovalo v</w:t>
      </w:r>
      <w:r>
        <w:t xml:space="preserve"> </w:t>
      </w:r>
      <w:r w:rsidRPr="00F011B1">
        <w:t xml:space="preserve">roce 2014 řešení projektů v rámci mezinárodních programů výzkumu a vývoje, jmenovitě v </w:t>
      </w:r>
      <w:smartTag w:uri="urn:schemas-microsoft-com:office:smarttags" w:element="metricconverter">
        <w:smartTagPr>
          <w:attr w:name="ProductID" w:val="6. a"/>
        </w:smartTagPr>
        <w:r w:rsidRPr="00F011B1">
          <w:t>6. a</w:t>
        </w:r>
      </w:smartTag>
      <w:r w:rsidRPr="00F011B1">
        <w:t xml:space="preserve"> 7. Rámcovém programu EU a</w:t>
      </w:r>
      <w:r>
        <w:t> v </w:t>
      </w:r>
      <w:r w:rsidRPr="00F011B1">
        <w:t>dalších výzkumných programech.</w:t>
      </w:r>
    </w:p>
    <w:p w:rsidR="00BF576B" w:rsidRPr="00F011B1" w:rsidRDefault="00BF576B" w:rsidP="00425142">
      <w:r w:rsidRPr="00F011B1">
        <w:t xml:space="preserve">Pro efektivnější realizaci výsledků výzkumu řešitelé na konci řešení projektů zpracovali plány uplatnění výsledků s uvedením uživatelů výsledků výzkumu, způsobů a termínů, jakými </w:t>
      </w:r>
      <w:r w:rsidRPr="00872987">
        <w:t xml:space="preserve">budou </w:t>
      </w:r>
      <w:r w:rsidRPr="00F011B1">
        <w:t>a v</w:t>
      </w:r>
      <w:r>
        <w:t xml:space="preserve"> </w:t>
      </w:r>
      <w:r w:rsidRPr="00F011B1">
        <w:t>jakém časovém horizontu tyto výsledky využity. Tyto plány uplatnění výsledků byly nedílnou součástí smluv o uplatnění výsledků, uzavíraných v</w:t>
      </w:r>
      <w:r>
        <w:t xml:space="preserve"> </w:t>
      </w:r>
      <w:r w:rsidRPr="00F011B1">
        <w:t>souladu se zákonem č.</w:t>
      </w:r>
      <w:r>
        <w:t> </w:t>
      </w:r>
      <w:r w:rsidRPr="00F011B1">
        <w:t>130/2002</w:t>
      </w:r>
      <w:r>
        <w:t xml:space="preserve"> </w:t>
      </w:r>
      <w:r w:rsidRPr="00F011B1">
        <w:t>Sb. Účelem těchto smluv je zajištění komplexnějšího a urychleného přenosu nových poznatků do provozní praxe. Přenos nových poznatků ke konečnému uživateli je rovněž podporován prostřednictvím poradenské a</w:t>
      </w:r>
      <w:r>
        <w:t xml:space="preserve"> </w:t>
      </w:r>
      <w:r w:rsidRPr="00F011B1">
        <w:t>vzdělávací sítě MZe.</w:t>
      </w:r>
    </w:p>
    <w:p w:rsidR="00BF576B" w:rsidRDefault="00BF576B" w:rsidP="00425142">
      <w:r w:rsidRPr="00F011B1">
        <w:lastRenderedPageBreak/>
        <w:t xml:space="preserve">Informace o výsledcích vzešlých ze státem podporovaných výzkumných aktivit jsou předávány do </w:t>
      </w:r>
      <w:r w:rsidR="008969A9">
        <w:t>„</w:t>
      </w:r>
      <w:r w:rsidRPr="00F011B1">
        <w:t>Rejstříku informací o výsled</w:t>
      </w:r>
      <w:r>
        <w:t>cích</w:t>
      </w:r>
      <w:r w:rsidR="008969A9">
        <w:t>“</w:t>
      </w:r>
      <w:r>
        <w:t xml:space="preserve"> (Informační systém VaVaI –</w:t>
      </w:r>
      <w:r w:rsidRPr="00F011B1">
        <w:t xml:space="preserve"> RIV), který je veřejně dostupný na webové stránce RVVI </w:t>
      </w:r>
      <w:hyperlink r:id="rId116" w:history="1">
        <w:r w:rsidRPr="00F011B1">
          <w:rPr>
            <w:rStyle w:val="Hypertextovodkaz"/>
            <w:szCs w:val="24"/>
          </w:rPr>
          <w:t>www.vyzkum.cz</w:t>
        </w:r>
      </w:hyperlink>
      <w:r w:rsidRPr="00F011B1">
        <w:t>. Výsledky řešení výzkumných aktivit jsou rovněž dostupné v</w:t>
      </w:r>
      <w:r>
        <w:t xml:space="preserve"> </w:t>
      </w:r>
      <w:r w:rsidRPr="00F011B1">
        <w:t>knihovně ČAZV.</w:t>
      </w:r>
    </w:p>
    <w:p w:rsidR="00BF576B" w:rsidRPr="00F011B1" w:rsidRDefault="00BF576B" w:rsidP="00425142">
      <w:pPr>
        <w:pStyle w:val="Norm-Bold"/>
      </w:pPr>
      <w:r w:rsidRPr="00F011B1">
        <w:t>Vzdělávání</w:t>
      </w:r>
    </w:p>
    <w:p w:rsidR="00BF576B" w:rsidRDefault="00BF576B" w:rsidP="00425142">
      <w:r w:rsidRPr="00F011B1">
        <w:t>Ministerstvo zemědělství počátkem prosince 2014 přijalo svoji koncepci vzdělávání po dlouhé přípravě a</w:t>
      </w:r>
      <w:r>
        <w:t xml:space="preserve"> </w:t>
      </w:r>
      <w:r w:rsidRPr="00F011B1">
        <w:t>v</w:t>
      </w:r>
      <w:r>
        <w:t xml:space="preserve"> </w:t>
      </w:r>
      <w:r w:rsidRPr="00F011B1">
        <w:t>návaznosti na související rezortní a evropské materiály. Koncepce stanovila 7 hlavních cílů a 13 vedlejších cílů</w:t>
      </w:r>
      <w:r>
        <w:t>. K</w:t>
      </w:r>
      <w:r w:rsidRPr="00F011B1">
        <w:t xml:space="preserve"> hlavním cílům v</w:t>
      </w:r>
      <w:r>
        <w:t xml:space="preserve"> </w:t>
      </w:r>
      <w:r w:rsidRPr="00F011B1">
        <w:t>období 2015</w:t>
      </w:r>
      <w:r>
        <w:noBreakHyphen/>
      </w:r>
      <w:r w:rsidRPr="00F011B1">
        <w:t>2020 v</w:t>
      </w:r>
      <w:r>
        <w:t xml:space="preserve"> </w:t>
      </w:r>
      <w:r w:rsidRPr="00F011B1">
        <w:t>oblasti vzdělávání patří další odborné vzdělávání, mimoškolní vzdělávání dětí a mládeže, transfer poznatků z oblasti vědy a výzkumu do praxe, optimalizace počtů a zvýšení kvality absolventů škol.</w:t>
      </w:r>
    </w:p>
    <w:p w:rsidR="00BF576B" w:rsidRDefault="00BF576B" w:rsidP="00425142">
      <w:r w:rsidRPr="00F011B1">
        <w:t>Vzdělávání organizované pro odbornou veřejnost probíhalo v</w:t>
      </w:r>
      <w:r>
        <w:t xml:space="preserve"> </w:t>
      </w:r>
      <w:r w:rsidRPr="00F011B1">
        <w:t>roce 2014 v</w:t>
      </w:r>
      <w:r>
        <w:t xml:space="preserve"> </w:t>
      </w:r>
      <w:r w:rsidRPr="00F011B1">
        <w:t>rámci schváleného Ročního vzdělávacího plánu Ministerstva zemědělství pro odborné vzdělávání veřejnosti v</w:t>
      </w:r>
      <w:r>
        <w:t xml:space="preserve"> </w:t>
      </w:r>
      <w:r w:rsidRPr="00F011B1">
        <w:t xml:space="preserve">rezortu (RVP). Do RVP byly zařazeny vzdělávací a osvětové akce určené pro veřejnost, které byly navrženy jednotlivými odbornými útvary </w:t>
      </w:r>
      <w:r>
        <w:t>ministerstva. Jednalo se o </w:t>
      </w:r>
      <w:r w:rsidRPr="00F011B1">
        <w:t>krátkodobé semináře, výklady právních norem ČR a EU, úkoly vyplývající z</w:t>
      </w:r>
      <w:r>
        <w:t xml:space="preserve"> </w:t>
      </w:r>
      <w:r w:rsidRPr="00F011B1">
        <w:t>usnesení vlády, informační akce o schválených programech, postupech a požadavcích zaměřených na zemědělství, lesnictví, potravinářství a venkov, vzdělávací aktivity pro pracovníky veřejnoprávních úřadů, státních dozorových orgánů a odbornou zemědělskou veřejnost, rezortní programy zaměřené na mimoškolní výchovu dětí a mládeže.</w:t>
      </w:r>
    </w:p>
    <w:p w:rsidR="00BF576B" w:rsidRPr="00F011B1" w:rsidRDefault="00BF576B" w:rsidP="00425142">
      <w:r w:rsidRPr="00F011B1">
        <w:t>Prostřednictvím RVP bylo v</w:t>
      </w:r>
      <w:r>
        <w:t xml:space="preserve"> </w:t>
      </w:r>
      <w:r w:rsidRPr="00F011B1">
        <w:t xml:space="preserve">roce 2014 realizováno 33 druhů vzdělávacích aktivit </w:t>
      </w:r>
      <w:r>
        <w:t>v </w:t>
      </w:r>
      <w:r w:rsidRPr="00F011B1">
        <w:t>celkovém počtu 370 akcí celkem za 3</w:t>
      </w:r>
      <w:r>
        <w:t> 654 </w:t>
      </w:r>
      <w:r w:rsidRPr="00F011B1">
        <w:t>169</w:t>
      </w:r>
      <w:r>
        <w:t xml:space="preserve"> </w:t>
      </w:r>
      <w:r w:rsidRPr="00F011B1">
        <w:t>Kč. Většina akcí probíhá pravidelně každý rok a navazuje na akce (semináře, konference, školení včetně zajištění sborníků a studijních či výukových materiálů) z</w:t>
      </w:r>
      <w:r>
        <w:t xml:space="preserve"> </w:t>
      </w:r>
      <w:r w:rsidRPr="00F011B1">
        <w:t>předchozích let. Tradičně měly vysokou úroveň akce environmentálního vzdělávání pro děti a mládež z</w:t>
      </w:r>
      <w:r>
        <w:t xml:space="preserve"> </w:t>
      </w:r>
      <w:r w:rsidRPr="00F011B1">
        <w:t>oblasti lesního hospodářství a programy pro děti zaměřené na bezpečnost a zacházení s</w:t>
      </w:r>
      <w:r>
        <w:t xml:space="preserve"> </w:t>
      </w:r>
      <w:r w:rsidRPr="00F011B1">
        <w:t>potravinami. Významný vzdělávací efekt měla rovněž vodohospodářská školení vodoprávních úřadů, konference k</w:t>
      </w:r>
      <w:r>
        <w:t xml:space="preserve"> </w:t>
      </w:r>
      <w:r w:rsidRPr="00F011B1">
        <w:t>ochraně a bioklimatologii zvířat, seminář k</w:t>
      </w:r>
      <w:r>
        <w:t xml:space="preserve"> </w:t>
      </w:r>
      <w:r w:rsidRPr="00F011B1">
        <w:t>ochraně rostlin, odborná školení pro pěstitel</w:t>
      </w:r>
      <w:r>
        <w:t>e</w:t>
      </w:r>
      <w:r w:rsidRPr="00F011B1">
        <w:t xml:space="preserve"> brambor a chmele. V</w:t>
      </w:r>
      <w:r>
        <w:t xml:space="preserve"> </w:t>
      </w:r>
      <w:r w:rsidRPr="00F011B1">
        <w:t>rámci RVP byly finančně podpořeny soutěže odborných znalostí a dovedností žáků středních škol s</w:t>
      </w:r>
      <w:r>
        <w:t> </w:t>
      </w:r>
      <w:r w:rsidRPr="00F011B1">
        <w:t>rezortním zaměřením. Na aktivity environmentálního vzdělávání, osvěty a propagace připadla z</w:t>
      </w:r>
      <w:r>
        <w:t xml:space="preserve"> </w:t>
      </w:r>
      <w:r w:rsidRPr="00F011B1">
        <w:t>celkového objemu finančních prostředků v</w:t>
      </w:r>
      <w:r>
        <w:t xml:space="preserve"> </w:t>
      </w:r>
      <w:r w:rsidRPr="00F011B1">
        <w:t>roce 2014 částka ve výši</w:t>
      </w:r>
      <w:r>
        <w:t xml:space="preserve"> </w:t>
      </w:r>
      <w:r w:rsidRPr="00F011B1">
        <w:t>2</w:t>
      </w:r>
      <w:r>
        <w:t> 404 677 </w:t>
      </w:r>
      <w:r w:rsidRPr="00F011B1">
        <w:t>Kč, což je přibližně 66 %.</w:t>
      </w:r>
    </w:p>
    <w:p w:rsidR="00BF576B" w:rsidRDefault="00BF576B" w:rsidP="00425142">
      <w:r w:rsidRPr="00F011B1">
        <w:t>Celkový počet účastníků akcí financovaných z</w:t>
      </w:r>
      <w:r>
        <w:t xml:space="preserve"> </w:t>
      </w:r>
      <w:r w:rsidRPr="00F011B1">
        <w:t>Ročního vzdělávacího plánu dosáhl v</w:t>
      </w:r>
      <w:r>
        <w:t> roce 2014 počtu 38 </w:t>
      </w:r>
      <w:r w:rsidRPr="00F011B1">
        <w:t>846 osob. Z</w:t>
      </w:r>
      <w:r>
        <w:t xml:space="preserve"> </w:t>
      </w:r>
      <w:r w:rsidRPr="00F011B1">
        <w:t>toho bylo</w:t>
      </w:r>
      <w:r>
        <w:t xml:space="preserve"> 10 </w:t>
      </w:r>
      <w:r w:rsidRPr="00F011B1">
        <w:t>236 dětí, které navštívily vzdělávací aktivity z</w:t>
      </w:r>
      <w:r>
        <w:t> </w:t>
      </w:r>
      <w:r w:rsidRPr="00F011B1">
        <w:t xml:space="preserve">oblasti bezpečnosti potravin a zásad zdravé výživy a akce </w:t>
      </w:r>
      <w:r w:rsidR="008969A9">
        <w:t>„</w:t>
      </w:r>
      <w:r w:rsidRPr="00F011B1">
        <w:t>Lesní pedagogika</w:t>
      </w:r>
      <w:r w:rsidR="008969A9">
        <w:t>“</w:t>
      </w:r>
      <w:r w:rsidRPr="00F011B1">
        <w:t xml:space="preserve"> pořádané Ústavem pro hospodářskou úpravu lesů.</w:t>
      </w:r>
    </w:p>
    <w:p w:rsidR="00BF576B" w:rsidRPr="00F011B1" w:rsidRDefault="00BF576B" w:rsidP="00425142">
      <w:r w:rsidRPr="00F011B1">
        <w:lastRenderedPageBreak/>
        <w:t>Významný podíl má MZe na přípravě kvalifikačních a hodnotících standardů pro zemědělská, potravinářská, lesnická a</w:t>
      </w:r>
      <w:r>
        <w:t xml:space="preserve"> </w:t>
      </w:r>
      <w:r w:rsidRPr="00F011B1">
        <w:t>vodohospodářská povolání. Tato aktivita je zároveň součástí funkce MZe jako autorizujícího orgánu ve smyslu zákona č.</w:t>
      </w:r>
      <w:r>
        <w:t xml:space="preserve"> </w:t>
      </w:r>
      <w:r w:rsidRPr="00F011B1">
        <w:t>179/2006</w:t>
      </w:r>
      <w:r>
        <w:t xml:space="preserve"> </w:t>
      </w:r>
      <w:r w:rsidRPr="00F011B1">
        <w:t>Sb., o</w:t>
      </w:r>
      <w:r>
        <w:t> </w:t>
      </w:r>
      <w:r w:rsidRPr="00F011B1">
        <w:t>ověřování a uznávání výsledků dalšího vzdělávání. Zákon umožňuje fyzickým osobám (starším 18 let, které mají alespoň základní vzdělání) získat osvědčení, které dokládá, že neformální výukou (např. při výkonu povolání nebo samostudiem) získali znalosti a</w:t>
      </w:r>
      <w:r>
        <w:t> </w:t>
      </w:r>
      <w:r w:rsidRPr="00F011B1">
        <w:t>dovednosti v</w:t>
      </w:r>
      <w:r>
        <w:t xml:space="preserve"> </w:t>
      </w:r>
      <w:r w:rsidRPr="00F011B1">
        <w:t>rozsahu profesní kvalifikace.</w:t>
      </w:r>
    </w:p>
    <w:p w:rsidR="00BF576B" w:rsidRPr="00F011B1" w:rsidRDefault="00BF576B" w:rsidP="00425142">
      <w:r w:rsidRPr="00F011B1">
        <w:t>Autorizaci k</w:t>
      </w:r>
      <w:r>
        <w:t xml:space="preserve"> </w:t>
      </w:r>
      <w:r w:rsidRPr="00F011B1">
        <w:t xml:space="preserve">vykonání zkoušek profesních kvalifikací získávají školy, právnické </w:t>
      </w:r>
      <w:r>
        <w:t>a </w:t>
      </w:r>
      <w:r w:rsidRPr="00F011B1">
        <w:t>fyzické osoby, které splňují požadované materiálně-technické podmínky a jejichž autorizovaní zástupci získali odborné způsobilosti k</w:t>
      </w:r>
      <w:r>
        <w:t xml:space="preserve"> vykonání těchto zkoušek. K 31. 12. </w:t>
      </w:r>
      <w:r w:rsidRPr="00F011B1">
        <w:t>2014 bylo evidováno 121</w:t>
      </w:r>
      <w:r>
        <w:t xml:space="preserve"> </w:t>
      </w:r>
      <w:r w:rsidRPr="00F011B1">
        <w:t>žadatelů o autorizaci, kterým bylo vydáno rozhodnutí o</w:t>
      </w:r>
      <w:r>
        <w:t xml:space="preserve"> autorizaci u 136 </w:t>
      </w:r>
      <w:r w:rsidRPr="00F011B1">
        <w:t>profesních kvalifikací. K</w:t>
      </w:r>
      <w:r>
        <w:t xml:space="preserve"> </w:t>
      </w:r>
      <w:r w:rsidRPr="00F011B1">
        <w:t>tomuto datu bylo vydáno 2</w:t>
      </w:r>
      <w:r>
        <w:t> </w:t>
      </w:r>
      <w:r w:rsidRPr="00F011B1">
        <w:t>600 osvědčení o získání profesních kvalifikací.</w:t>
      </w:r>
    </w:p>
    <w:p w:rsidR="00BF576B" w:rsidRPr="00F011B1" w:rsidRDefault="00BF576B" w:rsidP="00425142">
      <w:pPr>
        <w:rPr>
          <w:strike/>
        </w:rPr>
      </w:pPr>
      <w:r w:rsidRPr="00F011B1">
        <w:t>V</w:t>
      </w:r>
      <w:r>
        <w:t xml:space="preserve"> </w:t>
      </w:r>
      <w:r w:rsidRPr="00F011B1">
        <w:t xml:space="preserve">návaznosti na zákon č. 326/2004 Sb., o rostlinolékařské péči, odbor výzkumu, vzdělávání a poradenství </w:t>
      </w:r>
      <w:r w:rsidRPr="0066778A">
        <w:t xml:space="preserve">pověřil </w:t>
      </w:r>
      <w:r w:rsidRPr="00F011B1">
        <w:t>celkem 57 vzdělávac</w:t>
      </w:r>
      <w:r>
        <w:t>ích institucí ke konání kurzů a </w:t>
      </w:r>
      <w:r w:rsidRPr="00F011B1">
        <w:t>doplňujících školení pro získání odborné způsobilosti pro zacházení s</w:t>
      </w:r>
      <w:r>
        <w:t xml:space="preserve"> </w:t>
      </w:r>
      <w:r w:rsidRPr="00F011B1">
        <w:t>přípravky na ochranu rostlin. V</w:t>
      </w:r>
      <w:r>
        <w:t xml:space="preserve"> </w:t>
      </w:r>
      <w:r w:rsidRPr="00F011B1">
        <w:t>závěru roku 2014 bylo uspořádáno ve spolupráci se Státní rostlinolékařskou správou a Českou společností rostlinolékařskou školení pověřených institucí a jejich lektorů za účelem zkvalitnění a</w:t>
      </w:r>
      <w:r>
        <w:t xml:space="preserve"> </w:t>
      </w:r>
      <w:r w:rsidRPr="00F011B1">
        <w:t>sjednocení výuky v</w:t>
      </w:r>
      <w:r>
        <w:t xml:space="preserve"> </w:t>
      </w:r>
      <w:r w:rsidRPr="00F011B1">
        <w:t>těchto kurzech.</w:t>
      </w:r>
    </w:p>
    <w:p w:rsidR="00BF576B" w:rsidRDefault="00BF576B" w:rsidP="00425142">
      <w:r w:rsidRPr="00F011B1">
        <w:t>Posuzování a uznávání kvalifikací je významné pro potřeby opatření PRV a rovněž pro občany evropského hospodářského prostoru.</w:t>
      </w:r>
    </w:p>
    <w:p w:rsidR="00BF576B" w:rsidRDefault="00BF576B" w:rsidP="00425142">
      <w:r w:rsidRPr="00F011B1">
        <w:t xml:space="preserve">Splnění požadavku minimální zemědělské kvalifikace bylo posuzováno pro opatření </w:t>
      </w:r>
      <w:r w:rsidR="008969A9">
        <w:t>„</w:t>
      </w:r>
      <w:r w:rsidRPr="00F011B1">
        <w:t>Zahájení činnosti mladých zemědělců</w:t>
      </w:r>
      <w:r w:rsidR="008969A9">
        <w:t>“</w:t>
      </w:r>
      <w:r w:rsidRPr="00F011B1">
        <w:t>.</w:t>
      </w:r>
    </w:p>
    <w:p w:rsidR="00BF576B" w:rsidRDefault="00BF576B" w:rsidP="00425142">
      <w:r w:rsidRPr="00F011B1">
        <w:t>Uznávání kvalifikací občanů EU a evropského hospodářského prostoru pro výkon regulovaných povolání v</w:t>
      </w:r>
      <w:r>
        <w:t xml:space="preserve"> </w:t>
      </w:r>
      <w:r w:rsidRPr="00F011B1">
        <w:t>ČR probíhalo dle zákona č.</w:t>
      </w:r>
      <w:r>
        <w:t xml:space="preserve"> </w:t>
      </w:r>
      <w:r w:rsidRPr="00F011B1">
        <w:t>18/2004 Sb., o uznávání odborné kvalifikace v</w:t>
      </w:r>
      <w:r>
        <w:t xml:space="preserve"> </w:t>
      </w:r>
      <w:r w:rsidRPr="00F011B1">
        <w:t>rámci správního řízení, tím je umožněno zmíněným občanům zahájit podnikatelské aktivity v</w:t>
      </w:r>
      <w:r>
        <w:t xml:space="preserve"> </w:t>
      </w:r>
      <w:r w:rsidRPr="00F011B1">
        <w:t>rezortních oborech.</w:t>
      </w:r>
    </w:p>
    <w:p w:rsidR="00BF576B" w:rsidRPr="00F011B1" w:rsidRDefault="00BF576B" w:rsidP="00425142">
      <w:pPr>
        <w:rPr>
          <w:szCs w:val="24"/>
        </w:rPr>
      </w:pPr>
      <w:r w:rsidRPr="00F011B1">
        <w:rPr>
          <w:szCs w:val="24"/>
        </w:rPr>
        <w:t>V</w:t>
      </w:r>
      <w:r>
        <w:rPr>
          <w:szCs w:val="24"/>
        </w:rPr>
        <w:t xml:space="preserve"> </w:t>
      </w:r>
      <w:r w:rsidRPr="007F39C6">
        <w:t>rámci podpory odborné výchovy bylo v</w:t>
      </w:r>
      <w:r>
        <w:t xml:space="preserve"> </w:t>
      </w:r>
      <w:r w:rsidRPr="007F39C6">
        <w:t>roce 2014 podpořeno 86 subjektů, které vytvořily na svých pracovištích podmínky pro odborné vzdělávání ve vybraných zemědělských, lesnických, potravinářských učebních oborech, částkou</w:t>
      </w:r>
      <w:r>
        <w:t xml:space="preserve"> </w:t>
      </w:r>
      <w:r w:rsidRPr="007F39C6">
        <w:t>8</w:t>
      </w:r>
      <w:r>
        <w:t> </w:t>
      </w:r>
      <w:r w:rsidRPr="007F39C6">
        <w:t>599</w:t>
      </w:r>
      <w:r>
        <w:t> 916 </w:t>
      </w:r>
      <w:r w:rsidRPr="007F39C6">
        <w:t>Kč z</w:t>
      </w:r>
      <w:r>
        <w:t> </w:t>
      </w:r>
      <w:r w:rsidRPr="007F39C6">
        <w:t>národního</w:t>
      </w:r>
      <w:r w:rsidRPr="00F011B1">
        <w:rPr>
          <w:szCs w:val="24"/>
        </w:rPr>
        <w:t xml:space="preserve"> dotačního programu 9. E. – Školní závody. Tato podpora přispívá ke zkvalitnění kvalifikované pracovní síly v</w:t>
      </w:r>
      <w:r>
        <w:rPr>
          <w:szCs w:val="24"/>
        </w:rPr>
        <w:t xml:space="preserve"> </w:t>
      </w:r>
      <w:r w:rsidRPr="00F011B1">
        <w:rPr>
          <w:szCs w:val="24"/>
        </w:rPr>
        <w:t>sektoru zemědělství a je velice kladně hodnocena ze strany středních odborných škol a zemědělských podniků.</w:t>
      </w:r>
    </w:p>
    <w:p w:rsidR="00BF576B" w:rsidRPr="00F011B1" w:rsidRDefault="00BF576B" w:rsidP="00425142">
      <w:r w:rsidRPr="00F011B1">
        <w:t>V</w:t>
      </w:r>
      <w:r>
        <w:t xml:space="preserve"> </w:t>
      </w:r>
      <w:r w:rsidRPr="00F011B1">
        <w:t>roce 2014 pokračovala příprava Koncepce rezortního knihovnictví. K</w:t>
      </w:r>
      <w:r>
        <w:t xml:space="preserve"> </w:t>
      </w:r>
      <w:r w:rsidRPr="00F011B1">
        <w:t>hlavním cílům koncepce patří propojení informačních zdrojů a jejich lepší přístupnost pro uživatele, dále rovněž zvýšení využití nabízených služeb a</w:t>
      </w:r>
      <w:r>
        <w:t xml:space="preserve"> </w:t>
      </w:r>
      <w:r w:rsidRPr="00F011B1">
        <w:t xml:space="preserve">informačních zdrojů a kooperativní zpracování </w:t>
      </w:r>
      <w:r w:rsidRPr="00F011B1">
        <w:lastRenderedPageBreak/>
        <w:t>a</w:t>
      </w:r>
      <w:r>
        <w:t> </w:t>
      </w:r>
      <w:r w:rsidRPr="00F011B1">
        <w:t>budování knihovních fondů s</w:t>
      </w:r>
      <w:r>
        <w:t xml:space="preserve"> </w:t>
      </w:r>
      <w:r w:rsidRPr="00F011B1">
        <w:t>efektivním vynakládáním veřejných prostředků na</w:t>
      </w:r>
      <w:r>
        <w:t xml:space="preserve"> </w:t>
      </w:r>
      <w:r w:rsidRPr="00F011B1">
        <w:t>tyto činnosti. Tato koncepce bude dokončena v</w:t>
      </w:r>
      <w:r>
        <w:t xml:space="preserve"> </w:t>
      </w:r>
      <w:r w:rsidRPr="00F011B1">
        <w:t>roce 2015.</w:t>
      </w:r>
    </w:p>
    <w:p w:rsidR="00BF576B" w:rsidRPr="00F011B1" w:rsidRDefault="00BF576B" w:rsidP="00425142">
      <w:pPr>
        <w:rPr>
          <w:szCs w:val="24"/>
        </w:rPr>
      </w:pPr>
      <w:r w:rsidRPr="00F011B1">
        <w:rPr>
          <w:szCs w:val="24"/>
        </w:rPr>
        <w:t xml:space="preserve">Významný </w:t>
      </w:r>
      <w:r w:rsidRPr="007F39C6">
        <w:t>informační zdroj představuje Knihovn</w:t>
      </w:r>
      <w:r>
        <w:t>a</w:t>
      </w:r>
      <w:r w:rsidRPr="007F39C6">
        <w:t xml:space="preserve"> Antonína Švehly (KAŠ), která patří k</w:t>
      </w:r>
      <w:r>
        <w:t xml:space="preserve"> </w:t>
      </w:r>
      <w:r w:rsidRPr="007F39C6">
        <w:t>největším knihovnám tohoto druhu na světě. V</w:t>
      </w:r>
      <w:r>
        <w:t xml:space="preserve"> </w:t>
      </w:r>
      <w:r w:rsidRPr="007F39C6">
        <w:t>roce 2014 byl kladen důraz na akviziční činnost KAŠ. Byla založena Akviziční komise ÚZEI a vydány normativní dokumenty související s</w:t>
      </w:r>
      <w:r>
        <w:t xml:space="preserve"> </w:t>
      </w:r>
      <w:r w:rsidRPr="007F39C6">
        <w:t>akvizicí. Hlavním cílem bylo stanovit pravidla pro výběr a získávání dokumentů tak</w:t>
      </w:r>
      <w:r w:rsidR="009D48BC">
        <w:t>,</w:t>
      </w:r>
      <w:r w:rsidRPr="007F39C6">
        <w:t xml:space="preserve"> aby byly informační potřeby odborníků z</w:t>
      </w:r>
      <w:r>
        <w:t xml:space="preserve"> </w:t>
      </w:r>
      <w:r w:rsidRPr="007F39C6">
        <w:t>rezortu zemědělství</w:t>
      </w:r>
      <w:r w:rsidR="009D48BC" w:rsidRPr="009D48BC">
        <w:t xml:space="preserve"> </w:t>
      </w:r>
      <w:r w:rsidR="009D48BC" w:rsidRPr="007F39C6">
        <w:t>nejlépe uspokojeny</w:t>
      </w:r>
      <w:r w:rsidRPr="007F39C6">
        <w:t>. V</w:t>
      </w:r>
      <w:r w:rsidR="009D48BC">
        <w:t> </w:t>
      </w:r>
      <w:r w:rsidRPr="007F39C6">
        <w:t>rámci propagace knihovního fondu a</w:t>
      </w:r>
      <w:r>
        <w:t xml:space="preserve"> </w:t>
      </w:r>
      <w:r w:rsidRPr="007F39C6">
        <w:t>služeb KAŠ se knihovna aktivně zapojovala do celostátních knihovnických</w:t>
      </w:r>
      <w:r>
        <w:rPr>
          <w:szCs w:val="24"/>
        </w:rPr>
        <w:t xml:space="preserve"> akcí (Březen –</w:t>
      </w:r>
      <w:r w:rsidRPr="00F011B1">
        <w:rPr>
          <w:szCs w:val="24"/>
        </w:rPr>
        <w:t xml:space="preserve"> měsíc čtenářů 2014, Týden knihoven), pořádala semináře a</w:t>
      </w:r>
      <w:r>
        <w:rPr>
          <w:szCs w:val="24"/>
        </w:rPr>
        <w:t> </w:t>
      </w:r>
      <w:r w:rsidRPr="00F011B1">
        <w:rPr>
          <w:szCs w:val="24"/>
        </w:rPr>
        <w:t>výstavy pro uživatele knihovny.</w:t>
      </w:r>
    </w:p>
    <w:p w:rsidR="00BF576B" w:rsidRPr="00F011B1" w:rsidRDefault="00BF576B" w:rsidP="00425142">
      <w:pPr>
        <w:pStyle w:val="Norm-Bold"/>
      </w:pPr>
      <w:r w:rsidRPr="00F011B1">
        <w:t>Poradenství</w:t>
      </w:r>
    </w:p>
    <w:p w:rsidR="00BF576B" w:rsidRPr="00F011B1" w:rsidRDefault="00BF576B" w:rsidP="00425142">
      <w:r w:rsidRPr="00F011B1">
        <w:t>Pro potřeby vytváření zemědělského poradenského systému byla v</w:t>
      </w:r>
      <w:r>
        <w:t xml:space="preserve"> </w:t>
      </w:r>
      <w:r w:rsidRPr="00F011B1">
        <w:t>roce 2014 připravována nová Koncepce porade</w:t>
      </w:r>
      <w:r>
        <w:t>nského systému MZe na léta 2015</w:t>
      </w:r>
      <w:r>
        <w:noBreakHyphen/>
      </w:r>
      <w:r w:rsidRPr="00F011B1">
        <w:t>2020, která bude dopracována a</w:t>
      </w:r>
      <w:r>
        <w:t xml:space="preserve"> </w:t>
      </w:r>
      <w:r w:rsidRPr="00F011B1">
        <w:t>předložena ke</w:t>
      </w:r>
      <w:r>
        <w:t xml:space="preserve"> </w:t>
      </w:r>
      <w:r w:rsidRPr="00F011B1">
        <w:t>schválení v</w:t>
      </w:r>
      <w:r>
        <w:t xml:space="preserve"> </w:t>
      </w:r>
      <w:r w:rsidRPr="00F011B1">
        <w:t>r</w:t>
      </w:r>
      <w:r>
        <w:t>oce</w:t>
      </w:r>
      <w:r w:rsidRPr="00F011B1">
        <w:t xml:space="preserve"> 2015. Z</w:t>
      </w:r>
      <w:r>
        <w:t xml:space="preserve"> </w:t>
      </w:r>
      <w:r w:rsidRPr="00F011B1">
        <w:t>důvodu zlepšení transferu výzkumných poznatků do</w:t>
      </w:r>
      <w:r>
        <w:t xml:space="preserve"> </w:t>
      </w:r>
      <w:r w:rsidRPr="00F011B1">
        <w:t>praxe a</w:t>
      </w:r>
      <w:r>
        <w:t xml:space="preserve"> </w:t>
      </w:r>
      <w:r w:rsidRPr="00F011B1">
        <w:t>podpory inovací a potřeby cíleného přenosu informací o realizaci SZP v</w:t>
      </w:r>
      <w:r>
        <w:t> </w:t>
      </w:r>
      <w:r w:rsidRPr="00F011B1">
        <w:t>souladu s</w:t>
      </w:r>
      <w:r>
        <w:t xml:space="preserve"> </w:t>
      </w:r>
      <w:r w:rsidRPr="00F011B1">
        <w:t>regionálními prioritami, propagace oborů středních odborných škol s</w:t>
      </w:r>
      <w:r>
        <w:t xml:space="preserve"> </w:t>
      </w:r>
      <w:r w:rsidR="00854B54">
        <w:t>rezort</w:t>
      </w:r>
      <w:r w:rsidRPr="00F011B1">
        <w:t>ním zaměřením i regionálních produktů byly v</w:t>
      </w:r>
      <w:r>
        <w:t xml:space="preserve"> </w:t>
      </w:r>
      <w:r w:rsidRPr="00F011B1">
        <w:t>roce 2014 realizovány programy:</w:t>
      </w:r>
    </w:p>
    <w:p w:rsidR="00BF576B" w:rsidRDefault="00BF576B" w:rsidP="00BF576B">
      <w:pPr>
        <w:pStyle w:val="vet1"/>
        <w:suppressAutoHyphens w:val="0"/>
      </w:pPr>
      <w:r w:rsidRPr="00F011B1">
        <w:t>Regionální přenos informací prostřednictvím Krajských informačních středisek pro rozvoj zemědělství a venkova (KIS)</w:t>
      </w:r>
      <w:r>
        <w:t>;</w:t>
      </w:r>
    </w:p>
    <w:p w:rsidR="00BF576B" w:rsidRDefault="00BF576B" w:rsidP="00BF576B">
      <w:pPr>
        <w:pStyle w:val="vet1"/>
        <w:suppressAutoHyphens w:val="0"/>
      </w:pPr>
      <w:r w:rsidRPr="00F011B1">
        <w:t>Odborné konzultace. Program probíhal v</w:t>
      </w:r>
      <w:r>
        <w:t xml:space="preserve"> </w:t>
      </w:r>
      <w:r w:rsidR="00854B54">
        <w:t>rezort</w:t>
      </w:r>
      <w:r w:rsidRPr="00F011B1">
        <w:t>ních výzkumných institucích a</w:t>
      </w:r>
      <w:r>
        <w:t xml:space="preserve"> na </w:t>
      </w:r>
      <w:r w:rsidRPr="00F011B1">
        <w:t>univerzitách.</w:t>
      </w:r>
    </w:p>
    <w:p w:rsidR="00BF576B" w:rsidRPr="00F011B1" w:rsidRDefault="00BF576B" w:rsidP="00425142">
      <w:r w:rsidRPr="00F011B1">
        <w:t>Na oba programy bylo vyplaceno z</w:t>
      </w:r>
      <w:r>
        <w:t xml:space="preserve"> </w:t>
      </w:r>
      <w:r w:rsidRPr="00F011B1">
        <w:t xml:space="preserve">národních prostředků téměř 10,6 mil. Kč, </w:t>
      </w:r>
      <w:r w:rsidR="009D48BC">
        <w:t>v tom 6,5 </w:t>
      </w:r>
      <w:r w:rsidRPr="00F011B1">
        <w:t xml:space="preserve">mil. Kč </w:t>
      </w:r>
      <w:r w:rsidR="009D48BC" w:rsidRPr="00F011B1">
        <w:t xml:space="preserve">na KIS </w:t>
      </w:r>
      <w:r w:rsidRPr="00F011B1">
        <w:t>a 4,1 mil. Kč na Odborné konzultace.</w:t>
      </w:r>
    </w:p>
    <w:p w:rsidR="00BF576B" w:rsidRPr="00F011B1" w:rsidRDefault="00BF576B" w:rsidP="00425142">
      <w:r w:rsidRPr="00F011B1">
        <w:t>Individuální terénní poradenství podporované z</w:t>
      </w:r>
      <w:r>
        <w:t xml:space="preserve"> </w:t>
      </w:r>
      <w:r w:rsidRPr="00F011B1">
        <w:t xml:space="preserve">opatření I.3.4 PRV </w:t>
      </w:r>
      <w:r w:rsidR="008969A9">
        <w:t>„</w:t>
      </w:r>
      <w:r w:rsidRPr="00F011B1">
        <w:t>Využívání poradenských služeb</w:t>
      </w:r>
      <w:r w:rsidR="008969A9">
        <w:t>“</w:t>
      </w:r>
      <w:r w:rsidRPr="00F011B1">
        <w:t xml:space="preserve"> probíhalo na základě smluv uzavřených pro toto období. Podpořeno bylo 1</w:t>
      </w:r>
      <w:r>
        <w:t> </w:t>
      </w:r>
      <w:r w:rsidRPr="00F011B1">
        <w:t>580 projektů, ve kterých poradenské služby, zaměřené na řešení problematiky v</w:t>
      </w:r>
      <w:r>
        <w:t xml:space="preserve"> </w:t>
      </w:r>
      <w:r w:rsidRPr="00F011B1">
        <w:t xml:space="preserve">oblasti dodržování zásad SZP, </w:t>
      </w:r>
      <w:proofErr w:type="spellStart"/>
      <w:r w:rsidRPr="00F011B1">
        <w:t>Cross</w:t>
      </w:r>
      <w:proofErr w:type="spellEnd"/>
      <w:r w:rsidRPr="00F011B1">
        <w:t xml:space="preserve"> </w:t>
      </w:r>
      <w:proofErr w:type="spellStart"/>
      <w:r w:rsidRPr="00F011B1">
        <w:t>Compliance</w:t>
      </w:r>
      <w:proofErr w:type="spellEnd"/>
      <w:r w:rsidRPr="00F011B1">
        <w:t xml:space="preserve"> a správné zemědělské praxe, poskytovali poradci akreditovaní Ministerstvem zemědělství a vedení v</w:t>
      </w:r>
      <w:r>
        <w:t xml:space="preserve"> </w:t>
      </w:r>
      <w:r w:rsidRPr="00F011B1">
        <w:t>Registru poradců MZe (</w:t>
      </w:r>
      <w:r w:rsidR="008969A9">
        <w:t>„</w:t>
      </w:r>
      <w:r w:rsidRPr="00F011B1">
        <w:t>Registr</w:t>
      </w:r>
      <w:r w:rsidR="008969A9">
        <w:t>“</w:t>
      </w:r>
      <w:r w:rsidRPr="00F011B1">
        <w:t>). Vyplacena byla podpora ve výši téměř 57 mil. Kč.</w:t>
      </w:r>
    </w:p>
    <w:p w:rsidR="00BF576B" w:rsidRPr="00F011B1" w:rsidRDefault="00BF576B" w:rsidP="00425142">
      <w:r w:rsidRPr="00F011B1">
        <w:t>V oblasti zemědělství se akreditovalo 7 poradců, v oblasti rostlinolékařství 2 poradci. V</w:t>
      </w:r>
      <w:r>
        <w:t> </w:t>
      </w:r>
      <w:r w:rsidRPr="00F011B1">
        <w:t>Registru bylo k</w:t>
      </w:r>
      <w:r>
        <w:t xml:space="preserve"> </w:t>
      </w:r>
      <w:r w:rsidRPr="00F011B1">
        <w:t>datu 31. 12. 2014 vedeno celkem 256 poradců.</w:t>
      </w:r>
    </w:p>
    <w:p w:rsidR="00BF576B" w:rsidRPr="00F011B1" w:rsidRDefault="00BF576B" w:rsidP="00425142">
      <w:r w:rsidRPr="00F011B1">
        <w:t>Každoroční vzdělávací akce poradců v</w:t>
      </w:r>
      <w:r>
        <w:t xml:space="preserve"> </w:t>
      </w:r>
      <w:r w:rsidRPr="00F011B1">
        <w:t>rámci povinné</w:t>
      </w:r>
      <w:r>
        <w:t>ho a nepovinného bloku byly mj. </w:t>
      </w:r>
      <w:r w:rsidRPr="00F011B1">
        <w:t>tematicky zaměřené na vyhodnocení poradenství za dobu platnosti Koncepce poradenského systému Minist</w:t>
      </w:r>
      <w:r>
        <w:t>erstva zemědělství na léta 2009</w:t>
      </w:r>
      <w:r>
        <w:noBreakHyphen/>
      </w:r>
      <w:r w:rsidRPr="00F011B1">
        <w:t>2013, integrovanou ochranu rostlin, péči o</w:t>
      </w:r>
      <w:r>
        <w:t xml:space="preserve"> </w:t>
      </w:r>
      <w:r w:rsidRPr="00F011B1">
        <w:t>půdu (organická hmota), nitrátovou směrnici, posouzení staveb z</w:t>
      </w:r>
      <w:r>
        <w:t xml:space="preserve"> </w:t>
      </w:r>
      <w:r w:rsidRPr="00F011B1">
        <w:t>hlediska welfare hospodářských zvířat a lesnickou problematiku.</w:t>
      </w:r>
    </w:p>
    <w:p w:rsidR="00BF576B" w:rsidRDefault="00BF576B" w:rsidP="00425142">
      <w:r w:rsidRPr="00F011B1">
        <w:lastRenderedPageBreak/>
        <w:t>Poskytování informací prostřednictvím specializovaných webových portálů má za cíl zjednodušení přístupu k</w:t>
      </w:r>
      <w:r>
        <w:t xml:space="preserve"> </w:t>
      </w:r>
      <w:r w:rsidRPr="00F011B1">
        <w:t>poradenským informacím propojováním těchto portálů. Informace jsou poskytovány ve všech úrovních poradenství, v</w:t>
      </w:r>
      <w:r>
        <w:t xml:space="preserve"> </w:t>
      </w:r>
      <w:r w:rsidRPr="00F011B1">
        <w:t>různých stupních odbornosti. Na</w:t>
      </w:r>
      <w:r>
        <w:t xml:space="preserve"> </w:t>
      </w:r>
      <w:r w:rsidRPr="00F011B1">
        <w:t>specializovaných webových portálech (</w:t>
      </w:r>
      <w:hyperlink r:id="rId117" w:history="1">
        <w:r w:rsidRPr="00F011B1">
          <w:rPr>
            <w:rStyle w:val="Hypertextovodkaz"/>
            <w:szCs w:val="24"/>
          </w:rPr>
          <w:t>www.e-agri.cz</w:t>
        </w:r>
      </w:hyperlink>
      <w:r w:rsidRPr="00F011B1">
        <w:t xml:space="preserve">, </w:t>
      </w:r>
      <w:hyperlink r:id="rId118" w:history="1">
        <w:r w:rsidRPr="00F011B1">
          <w:rPr>
            <w:rStyle w:val="Hypertextovodkaz"/>
            <w:szCs w:val="24"/>
          </w:rPr>
          <w:t>www.agroporadenstvi.cz</w:t>
        </w:r>
      </w:hyperlink>
      <w:r w:rsidRPr="00F011B1">
        <w:t>, portál farmáře webové stránky výzkumných institucí atd.) jsou k</w:t>
      </w:r>
      <w:r>
        <w:t xml:space="preserve"> </w:t>
      </w:r>
      <w:r w:rsidRPr="00F011B1">
        <w:t>dispozici odborné informace, metodiky, formuláře a doporučení. Poradenské informace, údaje o nejlepší praxi, poznatcích a</w:t>
      </w:r>
      <w:r>
        <w:t> </w:t>
      </w:r>
      <w:r w:rsidRPr="00F011B1">
        <w:t>osvědčených postupech jsou poskytovány v rámci</w:t>
      </w:r>
      <w:r>
        <w:t xml:space="preserve"> </w:t>
      </w:r>
      <w:r w:rsidRPr="00F011B1">
        <w:t>Celostátní sítě pro venkov.</w:t>
      </w:r>
    </w:p>
    <w:p w:rsidR="00BF576B" w:rsidRDefault="00BF576B" w:rsidP="00425142">
      <w:r w:rsidRPr="00F011B1">
        <w:t>S</w:t>
      </w:r>
      <w:r>
        <w:t xml:space="preserve"> </w:t>
      </w:r>
      <w:r w:rsidRPr="00F011B1">
        <w:t xml:space="preserve">ohledem na současné potřeby </w:t>
      </w:r>
      <w:r w:rsidR="00854B54">
        <w:t>rezort</w:t>
      </w:r>
      <w:r w:rsidRPr="00F011B1">
        <w:t>ních podnikatelů je nezbytné i nadále klást důraz na transfer poznatků výzkumu, experimentálního vývoje a inovací do praxe. Také</w:t>
      </w:r>
      <w:r>
        <w:t xml:space="preserve"> Evropské inovační partnerství – </w:t>
      </w:r>
      <w:r w:rsidRPr="00F011B1">
        <w:t>nový koncept navržený Evropskou komisí v</w:t>
      </w:r>
      <w:r>
        <w:t xml:space="preserve"> </w:t>
      </w:r>
      <w:r w:rsidRPr="00F011B1">
        <w:t>jedné z</w:t>
      </w:r>
      <w:r>
        <w:t xml:space="preserve"> </w:t>
      </w:r>
      <w:r w:rsidRPr="00F011B1">
        <w:t>iniciativ strate</w:t>
      </w:r>
      <w:r>
        <w:t>gie Evropa 2020 – Unie inovací –</w:t>
      </w:r>
      <w:r w:rsidRPr="00F011B1">
        <w:t xml:space="preserve"> upozorňuje na nutnost podpory inovací. MZe pro podporu efektivního zavádění inovativních řešení do praxe připravuje koncept pro zveřejňování výsledků v</w:t>
      </w:r>
      <w:r>
        <w:t xml:space="preserve"> </w:t>
      </w:r>
      <w:r w:rsidRPr="00F011B1">
        <w:t>jednotném webovém rozhraní např. prostřednictvím digitálního úložiště typu Národní úložiště šedé literatury</w:t>
      </w:r>
      <w:bookmarkEnd w:id="147"/>
      <w:bookmarkEnd w:id="148"/>
      <w:r>
        <w:t>.</w:t>
      </w:r>
    </w:p>
    <w:p w:rsidR="00BF576B" w:rsidRPr="001B1078" w:rsidRDefault="00BF576B" w:rsidP="00425142">
      <w:pPr>
        <w:pStyle w:val="Nadpis2"/>
      </w:pPr>
      <w:bookmarkStart w:id="155" w:name="_Toc424307055"/>
      <w:r w:rsidRPr="001B1078">
        <w:t>6.6</w:t>
      </w:r>
      <w:r w:rsidRPr="001B1078">
        <w:tab/>
        <w:t>Organizace prvovýrobců, zpracovatelů a zájmové organizace na agrárním trhu</w:t>
      </w:r>
      <w:bookmarkEnd w:id="155"/>
    </w:p>
    <w:p w:rsidR="00BF576B" w:rsidRPr="00F1695F" w:rsidRDefault="00BF576B" w:rsidP="00425142">
      <w:r w:rsidRPr="00F1695F">
        <w:t>V roce 2014 působila na trhu s hovězím a vepřovým masem, obdobně jako v předchozích letech, celá řada odbytových družstev a organizac</w:t>
      </w:r>
      <w:r w:rsidR="0079228A">
        <w:t>í (např. Obchodní družstvo ŽĎÁR;</w:t>
      </w:r>
      <w:r w:rsidRPr="00F1695F">
        <w:t xml:space="preserve"> JIHOODBYT, družstvo</w:t>
      </w:r>
      <w:r w:rsidR="0079228A">
        <w:t>;</w:t>
      </w:r>
      <w:r w:rsidRPr="00F1695F">
        <w:t xml:space="preserve"> Odbytové družstvo Hlinsko aj.). K nejvýznamnějším z nich patřilo v odvětví hovězíh</w:t>
      </w:r>
      <w:r>
        <w:t>o a vepřového masa CENTROODBYT –</w:t>
      </w:r>
      <w:r w:rsidRPr="00F1695F">
        <w:t xml:space="preserve"> národní odbytové družstvo, které působilo na českém trhu již patnáct let</w:t>
      </w:r>
      <w:r>
        <w:t xml:space="preserve"> a v</w:t>
      </w:r>
      <w:r w:rsidRPr="00F1695F">
        <w:t xml:space="preserve"> roce 2014 sdružovalo celkem sedm odbytových družstev. </w:t>
      </w:r>
      <w:r>
        <w:t>Jeho č</w:t>
      </w:r>
      <w:r w:rsidRPr="00F1695F">
        <w:t xml:space="preserve">innost byla zaměřena především na obchodování s jatečným skotem, zástavovým skotem a jatečnými prasaty na tuzemském i zahraničním trhu. Kromě této aktivity poskytovalo toto národní odbytové družstvo svým členům marketingové a monitorovací služby o vývoji trhu s komoditami hovězí a vepřové maso v ČR, Evropě i ve světě. Prostřednictvím tohoto sdružení odbytových družstev byl v roce 2014 zprostředkován obchod s necelými 10 % celkové produkce prasat v ČR, což byl objem téměř shodný s rokem 2013. Na celkovém počtu zprostředkovaného prodeje skotu se v roce 2014 podílelo toto národní odbytové družstvo zanedbatelným procentem, meziročně však došlo k nárůstu obchodu o 16 %. K nejvýznamnějším odbytovým organizacím, členům CENTROODBYT, patřil v roce 2014 z hlediska objemu obchodované produkce </w:t>
      </w:r>
      <w:proofErr w:type="spellStart"/>
      <w:r w:rsidRPr="00F1695F">
        <w:t>Agropork</w:t>
      </w:r>
      <w:proofErr w:type="spellEnd"/>
      <w:r w:rsidRPr="00F1695F">
        <w:t xml:space="preserve"> CZ</w:t>
      </w:r>
      <w:r>
        <w:t>,</w:t>
      </w:r>
      <w:r w:rsidRPr="00F1695F">
        <w:t xml:space="preserve"> spol. s r.o.</w:t>
      </w:r>
      <w:r>
        <w:t>,</w:t>
      </w:r>
      <w:r w:rsidRPr="00F1695F">
        <w:t xml:space="preserve"> a dále AGROFARM</w:t>
      </w:r>
      <w:r>
        <w:t>,</w:t>
      </w:r>
      <w:r w:rsidRPr="00F1695F">
        <w:t xml:space="preserve"> a.</w:t>
      </w:r>
      <w:r>
        <w:t> </w:t>
      </w:r>
      <w:r w:rsidRPr="00F1695F">
        <w:t>s.</w:t>
      </w:r>
      <w:r>
        <w:t>,</w:t>
      </w:r>
      <w:r w:rsidRPr="00F1695F">
        <w:t xml:space="preserve"> Žďár nad Sázavou. </w:t>
      </w:r>
      <w:r>
        <w:t>K</w:t>
      </w:r>
      <w:r w:rsidRPr="00F1695F">
        <w:t xml:space="preserve"> 31. 12. 2014 ukončil </w:t>
      </w:r>
      <w:r>
        <w:t>CENTROODBYT –</w:t>
      </w:r>
      <w:r w:rsidRPr="00F1695F">
        <w:t xml:space="preserve"> národní odbytové družstvo svou činnost a </w:t>
      </w:r>
      <w:r>
        <w:t xml:space="preserve">od 1. 1. 2015 </w:t>
      </w:r>
      <w:r w:rsidRPr="00F1695F">
        <w:t>je v likvidaci.</w:t>
      </w:r>
    </w:p>
    <w:p w:rsidR="00BF576B" w:rsidRPr="00F1695F" w:rsidRDefault="00BF576B" w:rsidP="00425142">
      <w:r w:rsidRPr="00F1695F">
        <w:t>Na trhu s mlékem v ČR bylo v kvótovém roce 2013/14 registrováno celkem 31 odbytových organizací oprávněných ke zprostředkování prodeje mléka. V uvedeném kvótovém roce bylo prodáno prostřednictvím</w:t>
      </w:r>
      <w:r>
        <w:t xml:space="preserve"> odbytových organizací celkem 1 </w:t>
      </w:r>
      <w:r w:rsidRPr="00F1695F">
        <w:t xml:space="preserve">815,7 tis. t mléka, tj. 66,1 % množství dodaného k dalšímu zpracování. Největšími sdruženími z hlediska </w:t>
      </w:r>
      <w:r w:rsidRPr="00F1695F">
        <w:lastRenderedPageBreak/>
        <w:t>objemu mléka zprostředkovaného k prodeji byly Mlékařské a hospodářské družstvo JIH, Mlékařské hospodářské družstvo Střední Čechy a dále Morava, mlékařské odbytové družstvo. V referenčním období 2014/15 zůstal k 31. 12. 2014 počet odbytových organizací nezměněn. Mimoto bylo k 31. 12. 2014 registrováno celkem 8 organizací producentů mléka.</w:t>
      </w:r>
    </w:p>
    <w:p w:rsidR="00BF576B" w:rsidRPr="00F1695F" w:rsidRDefault="00BF576B" w:rsidP="00425142">
      <w:r w:rsidRPr="00F1695F">
        <w:t>Na úseku komodity ovce a kozy působila v roce 2014 společnost OVEKO, a. s., která byla založena chovateli ovcí a koz sdruženými ve Svazu chovatelů ovcí a koz v ČR. Jejím hlavním cílem je zajistit pravidelný odbyt jatečných a chovných zvířat do zahraničí a na tuzemský trh a distribuci dalších produktů ovcí a koz. K ostatním aktivitám patří provádění kontroly užitkovosti a poradenství.</w:t>
      </w:r>
    </w:p>
    <w:p w:rsidR="00BF576B" w:rsidRDefault="00BF576B" w:rsidP="00425142">
      <w:r w:rsidRPr="00F1695F">
        <w:t>U komodity slepičí vejce pokračovala v činnosti v roce 2014 dvě velká odbytová seskupení – ČESKÁ VEJCE, a. s.</w:t>
      </w:r>
      <w:r>
        <w:t>,</w:t>
      </w:r>
      <w:r w:rsidRPr="00F1695F">
        <w:t xml:space="preserve"> a</w:t>
      </w:r>
      <w:r>
        <w:t xml:space="preserve"> </w:t>
      </w:r>
      <w:r w:rsidRPr="00F1695F">
        <w:t>ZLATÁ VEJCE, a. s., jejichž hlavním úkolem je zajišťovat centrálně odbyt většiny produkce od výrobců, kteří jsou zároveň akcionáři uvedených společností a jejich výrobní závody jsou rozmístěny tak, že seskupení je schopno zabezpečit v případě potřeby zásobování ve všech částech republiky.</w:t>
      </w:r>
    </w:p>
    <w:p w:rsidR="00BF576B" w:rsidRPr="00F1695F" w:rsidRDefault="00BF576B" w:rsidP="00425142">
      <w:r w:rsidRPr="00F1695F">
        <w:t>Ke konci roku 2014 bylo v ČR registrováno 19 funkčních organizací producentů ovoce a zeleniny a jedna nadnárodní organizace producentů. SZIF přijal v roce 2014 celkem 40 žádostí o dotace, 18 žádostí o změnu operačního programu a 3 žádosti o schválení nového operačního programu. V rámci Společné organizace trhu (SOT) obdržely organizace producentů ovoce a zeleniny v roce 2014 dotaci v částce 48,5 mil. Kč, která byla vyplacena v plné výši z rozpočtu EU. Dále byl</w:t>
      </w:r>
      <w:r>
        <w:t>a</w:t>
      </w:r>
      <w:r w:rsidRPr="00F1695F">
        <w:t xml:space="preserve"> ke konci roku 2014 registrován</w:t>
      </w:r>
      <w:r>
        <w:t>a</w:t>
      </w:r>
      <w:r w:rsidRPr="00F1695F">
        <w:t xml:space="preserve"> 2 seskupení producentů ovoce a zeleniny a SZIF přijal od těchto seskupení celkem 6 žádostí na dotace. Předběžně uznaná seskupení producentů ovoce a zeleniny obdržela celk</w:t>
      </w:r>
      <w:r>
        <w:t>em 8,2 mil. Kč, z toho 6,1 mil. </w:t>
      </w:r>
      <w:r w:rsidRPr="00F1695F">
        <w:t>Kč z EU (75 %) a 2,1 mil. Kč (25 %) bylo vyplaceno ze státního rozpočtu ČR.</w:t>
      </w:r>
    </w:p>
    <w:p w:rsidR="00BF576B" w:rsidRPr="00F1695F" w:rsidRDefault="00BF576B" w:rsidP="00425142">
      <w:r w:rsidRPr="00F1695F">
        <w:t>Stávající organizace producentů ovoce a zeleniny</w:t>
      </w:r>
      <w:r w:rsidR="00131F53">
        <w:t>:</w:t>
      </w:r>
      <w:r w:rsidRPr="00F1695F">
        <w:t xml:space="preserve"> CZ FRUIT, odbytové družstvo, Praha; JIHOFRUKT, družstvo, Velké Bílovice; Jihomoravská zelenina, družstvo, Velké Bílovice; Odbytové družstvo LITOZEL, Bohušovice nad Ohří; EKO-ODBYT odbytové družstvo Slaný; Družstvo producentů rajčat, Podivín; Východočeská zelenina – družstvo producentů zeleniny, </w:t>
      </w:r>
      <w:proofErr w:type="spellStart"/>
      <w:r w:rsidRPr="00F1695F">
        <w:t>Synkov</w:t>
      </w:r>
      <w:proofErr w:type="spellEnd"/>
      <w:r w:rsidRPr="00F1695F">
        <w:t xml:space="preserve">; EB </w:t>
      </w:r>
      <w:proofErr w:type="spellStart"/>
      <w:r w:rsidRPr="00F1695F">
        <w:t>Fruit</w:t>
      </w:r>
      <w:proofErr w:type="spellEnd"/>
      <w:r w:rsidRPr="00F1695F">
        <w:t xml:space="preserve">, odbytové družstvo ovocnářů, Holovousy; Odbytové družstvo Polabí, Přerov nad Labem; Družstvo BRAMKO CZ, Semice; Družstvo OZC Jizera, Předměřice nad Jizerou; Odbytové družstvo ovoce Český ráj, Praha; Odbytové družstvo </w:t>
      </w:r>
      <w:proofErr w:type="spellStart"/>
      <w:r w:rsidRPr="00F1695F">
        <w:t>Berry</w:t>
      </w:r>
      <w:proofErr w:type="spellEnd"/>
      <w:r w:rsidRPr="00F1695F">
        <w:t xml:space="preserve">, Břežany; M.O.Z. družstvo pěstitelů, Sedlnice; Bohemia Apple, družstvo, Tuchoraz; ZELTR odbytové družstvo, Troubky; NATURE FRUIT, družstvo, Choustníkovo Hradiště; </w:t>
      </w:r>
      <w:proofErr w:type="spellStart"/>
      <w:r w:rsidRPr="00F1695F">
        <w:t>G’s</w:t>
      </w:r>
      <w:proofErr w:type="spellEnd"/>
      <w:r w:rsidRPr="00F1695F">
        <w:t xml:space="preserve"> Pěstitel, odbytové družstvo, Stratov; </w:t>
      </w:r>
      <w:proofErr w:type="spellStart"/>
      <w:r w:rsidRPr="00F1695F">
        <w:t>Vital</w:t>
      </w:r>
      <w:proofErr w:type="spellEnd"/>
      <w:r w:rsidRPr="00F1695F">
        <w:t xml:space="preserve"> odbytové družstvo, </w:t>
      </w:r>
      <w:proofErr w:type="spellStart"/>
      <w:r w:rsidRPr="00F1695F">
        <w:t>Rozběřice</w:t>
      </w:r>
      <w:proofErr w:type="spellEnd"/>
      <w:r w:rsidRPr="00F1695F">
        <w:t>.</w:t>
      </w:r>
    </w:p>
    <w:p w:rsidR="00BF576B" w:rsidRPr="00F1695F" w:rsidRDefault="00BF576B" w:rsidP="00425142">
      <w:r w:rsidRPr="00131F53">
        <w:t>Stávající seskupení producentů: ZP Otice odbyt s.r.o.; Odbytové družstvo Suchá Loz.</w:t>
      </w:r>
    </w:p>
    <w:p w:rsidR="00BF576B" w:rsidRPr="00F1695F" w:rsidRDefault="00BF576B" w:rsidP="00425142">
      <w:r w:rsidRPr="00F1695F">
        <w:t xml:space="preserve">Celorepublikové odbytové družstvo regionálních dodavatelů pekárenských a mlýnských výrobků MP Produkt sdružuje významné české i slovenské výrobce z pekařsko-cukrářského a mlynářského oboru (ČR – 18 členů, SR – 5 členů). Základním předmětem činnosti tohoto </w:t>
      </w:r>
      <w:r w:rsidRPr="00F1695F">
        <w:lastRenderedPageBreak/>
        <w:t>družstva je prodej nejširšího sortimentu produktů z pekařsko-cukrářského a mlynářského oboru.</w:t>
      </w:r>
    </w:p>
    <w:p w:rsidR="00BF576B" w:rsidRPr="00F1695F" w:rsidRDefault="00BF576B" w:rsidP="00425142">
      <w:r w:rsidRPr="00F1695F">
        <w:t>PRODEJ-BIO s.r.o. založená Svazem ekologických zemědělců PRO</w:t>
      </w:r>
      <w:r w:rsidR="00BC2DA2">
        <w:noBreakHyphen/>
      </w:r>
      <w:r w:rsidRPr="00F1695F">
        <w:t xml:space="preserve">BIO a německým svazem </w:t>
      </w:r>
      <w:proofErr w:type="spellStart"/>
      <w:r w:rsidRPr="00F1695F">
        <w:t>Bioland</w:t>
      </w:r>
      <w:proofErr w:type="spellEnd"/>
      <w:r w:rsidRPr="00F1695F">
        <w:t xml:space="preserve">, organizuje a koordinuje odbyt českých </w:t>
      </w:r>
      <w:proofErr w:type="spellStart"/>
      <w:r w:rsidRPr="00F1695F">
        <w:t>biosurovin</w:t>
      </w:r>
      <w:proofErr w:type="spellEnd"/>
      <w:r w:rsidRPr="00F1695F">
        <w:t xml:space="preserve"> (obiloviny, luštěniny, krmiva, osiva, maso) s cílem umístit českou produkci na český trh.</w:t>
      </w:r>
    </w:p>
    <w:p w:rsidR="00BF576B" w:rsidRPr="00F1695F" w:rsidRDefault="00BF576B" w:rsidP="00425142">
      <w:pPr>
        <w:pStyle w:val="Norm-Bold"/>
      </w:pPr>
      <w:r w:rsidRPr="00F1695F">
        <w:t>Zájmové organizace</w:t>
      </w:r>
    </w:p>
    <w:p w:rsidR="00BF576B" w:rsidRPr="00F1695F" w:rsidRDefault="00BF576B" w:rsidP="00425142">
      <w:r w:rsidRPr="00F1695F">
        <w:t>Venkov, zemědělství a potravinářství jsou velmi významné propojené oblasti, které generují také velký počet zájmových organizací. Popisovat každou zájmovou organizaci by přesahovalo rozsah a účel Zprávy o stavu zemědělství, proto jsou zde uvedeny ty nejaktivnější.</w:t>
      </w:r>
    </w:p>
    <w:p w:rsidR="00BF576B" w:rsidRPr="00F1695F" w:rsidRDefault="00BF576B" w:rsidP="00425142">
      <w:pPr>
        <w:pStyle w:val="Norm-Bold"/>
      </w:pPr>
      <w:r w:rsidRPr="00F1695F">
        <w:t>Agrární komora ČR</w:t>
      </w:r>
    </w:p>
    <w:p w:rsidR="00BF576B" w:rsidRPr="00F1695F" w:rsidRDefault="00BF576B" w:rsidP="00425142">
      <w:r w:rsidRPr="00F1695F">
        <w:t xml:space="preserve">AK ČR sdružuje většinu podnikatelů v zemědělství, lesnictví a potravinářství, prosazuje a obhajuje zájmy svých členů, poskytuje poradenství a informační služby na celém území ČR v následujících oblastech: právní a legislativní, konzultační, poradenské a praktické přípravy na povolání, zahraničních vztahů, celní a certifikační, informatiky. Více informací lze nalézt na </w:t>
      </w:r>
      <w:hyperlink r:id="rId119" w:history="1">
        <w:r w:rsidRPr="00F1695F">
          <w:rPr>
            <w:rStyle w:val="Hypertextovodkaz"/>
          </w:rPr>
          <w:t>www.agrocr.cz</w:t>
        </w:r>
      </w:hyperlink>
      <w:r w:rsidRPr="00F1695F">
        <w:t>.</w:t>
      </w:r>
    </w:p>
    <w:p w:rsidR="00BF576B" w:rsidRPr="00F1695F" w:rsidRDefault="00BF576B" w:rsidP="00425142">
      <w:pPr>
        <w:pStyle w:val="Norm-Bold"/>
      </w:pPr>
      <w:r w:rsidRPr="00F1695F">
        <w:t>Asociace soukromého zemědělství ČR</w:t>
      </w:r>
    </w:p>
    <w:p w:rsidR="00BF576B" w:rsidRPr="00F1695F" w:rsidRDefault="00BF576B" w:rsidP="00425142">
      <w:r w:rsidRPr="00F1695F">
        <w:t xml:space="preserve">ASZ je dobrovolnou stavovskou a profesní organizací soukromých zemědělců v ČR Veškerá činnost vychází z respektování starých selských tradic a přesvědčení o perspektivě rodinných farem jako základu moderního evropského zemědělství a živého venkova. Základním předmětem činnosti je obhajoba ekonomických, sociálních a odborných zájmů českých soukromých zemědělců v ČR a v zahraničí. Více informací lze nalézt na </w:t>
      </w:r>
      <w:hyperlink r:id="rId120" w:history="1">
        <w:r w:rsidRPr="00F1695F">
          <w:rPr>
            <w:rStyle w:val="Hypertextovodkaz"/>
          </w:rPr>
          <w:t>www.asz.cz</w:t>
        </w:r>
      </w:hyperlink>
      <w:r w:rsidRPr="00F1695F">
        <w:t>.</w:t>
      </w:r>
    </w:p>
    <w:p w:rsidR="00BF576B" w:rsidRPr="00F1695F" w:rsidRDefault="00BF576B" w:rsidP="00425142">
      <w:pPr>
        <w:pStyle w:val="Norm-Bold"/>
      </w:pPr>
      <w:r w:rsidRPr="00F1695F">
        <w:t>Českomoravský svaz zemědělských podnikatelů</w:t>
      </w:r>
    </w:p>
    <w:p w:rsidR="00BF576B" w:rsidRPr="00F1695F" w:rsidRDefault="00BF576B" w:rsidP="00425142">
      <w:r w:rsidRPr="00F1695F">
        <w:t>Sdružuje právnické a fyzické osoby, které realizují svoji podnikatelskou činnost především v zemědělské výrobě. Jde především o subjekty, které hospodaří na území bývalých státních statků, jejichž majetek zprivatizovaly anebo získaly v restitucích. Hlavním předmětem činnosti svazu je hájení zájmů svých členů v oblastech privatizace majetku, privatizace státní půdy, vytváření stabilního podnikatelského prostředí a kontakt na struktury zemědělství EU. Více informací lze nalézt na </w:t>
      </w:r>
      <w:hyperlink r:id="rId121" w:history="1">
        <w:r w:rsidRPr="00F1695F">
          <w:rPr>
            <w:rStyle w:val="Hypertextovodkaz"/>
          </w:rPr>
          <w:t>www.cmszp.cz</w:t>
        </w:r>
      </w:hyperlink>
    </w:p>
    <w:p w:rsidR="00BF576B" w:rsidRPr="00F1695F" w:rsidRDefault="00BF576B" w:rsidP="00425142">
      <w:pPr>
        <w:pStyle w:val="Norm-Bold"/>
      </w:pPr>
      <w:r w:rsidRPr="00F1695F">
        <w:t>Potravinářská komora ČR</w:t>
      </w:r>
    </w:p>
    <w:p w:rsidR="00BF576B" w:rsidRPr="00F1695F" w:rsidRDefault="00BF576B" w:rsidP="00425142">
      <w:r w:rsidRPr="00F1695F">
        <w:t xml:space="preserve">PK ČR plní funkci zájmového neziskového sdružení pro všechny potravinářské obory a obory zpracování zemědělských produktů. Je reprezentantem oboru potravinářství vůči orgánům státní správy a obdobným organizacím v členských státech EU a organizacím se světovou působností. Spolupracuje s ostatními oborovými svazy a společenstvy, která mají </w:t>
      </w:r>
      <w:r w:rsidRPr="00F1695F">
        <w:lastRenderedPageBreak/>
        <w:t xml:space="preserve">k problematice potravinářství vztah, nebo navazují na jeho činnost. Více informací lze nalézt na </w:t>
      </w:r>
      <w:hyperlink r:id="rId122" w:history="1">
        <w:r w:rsidRPr="00F1695F">
          <w:rPr>
            <w:rStyle w:val="Hypertextovodkaz"/>
          </w:rPr>
          <w:t>www.foodnet.cz</w:t>
        </w:r>
      </w:hyperlink>
      <w:r w:rsidRPr="00F1695F">
        <w:t>.</w:t>
      </w:r>
    </w:p>
    <w:p w:rsidR="00BF576B" w:rsidRPr="00F1695F" w:rsidRDefault="00BF576B" w:rsidP="00425142">
      <w:pPr>
        <w:pStyle w:val="Norm-Bold"/>
      </w:pPr>
      <w:r w:rsidRPr="00F1695F">
        <w:t>PRO-BIO Svaz ekologických zemědělců</w:t>
      </w:r>
    </w:p>
    <w:p w:rsidR="00BF576B" w:rsidRPr="00F1695F" w:rsidRDefault="00BF576B" w:rsidP="00425142">
      <w:r w:rsidRPr="00F1695F">
        <w:t>Je celostátní sdružení ekologicky hospodařících zemědělců, zpracovatelů a prodejců biopotravin. Sdružuje také poradce, školy, spotřebitele a přátele ekologického zemědělství. Hlavním posláním svazu je prosazovat v ČR ekologické zemědělství. Důležitou součástí je propagace biopotravin, vždy s ohledem na zájmy ekologických zemědělců, členů svazu PRO</w:t>
      </w:r>
      <w:r w:rsidRPr="00F1695F">
        <w:noBreakHyphen/>
        <w:t>BIO. Více informací lze nalézt na </w:t>
      </w:r>
      <w:hyperlink r:id="rId123" w:history="1">
        <w:r w:rsidRPr="00F1695F">
          <w:rPr>
            <w:rStyle w:val="Hypertextovodkaz"/>
          </w:rPr>
          <w:t>www.pro-bio.cz</w:t>
        </w:r>
      </w:hyperlink>
      <w:r w:rsidRPr="00F1695F">
        <w:t>.</w:t>
      </w:r>
    </w:p>
    <w:p w:rsidR="00BF576B" w:rsidRPr="00F1695F" w:rsidRDefault="00BF576B" w:rsidP="00425142">
      <w:pPr>
        <w:pStyle w:val="Norm-Bold"/>
      </w:pPr>
      <w:r w:rsidRPr="00F1695F">
        <w:t>Společnost mladých agrárníků ČR</w:t>
      </w:r>
    </w:p>
    <w:p w:rsidR="00BF576B" w:rsidRPr="00F1695F" w:rsidRDefault="00BF576B" w:rsidP="00425142">
      <w:r w:rsidRPr="00F1695F">
        <w:t xml:space="preserve">Je neziskové nevládní občanské sdružení zastupující mladou zemědělskou veřejnost a venkovskou mládež. Prosazuje zájmy svých členů v oblasti politické, odborné i společenské. Více informací lze nalézt na </w:t>
      </w:r>
      <w:hyperlink r:id="rId124" w:history="1">
        <w:r w:rsidRPr="00F1695F">
          <w:rPr>
            <w:rStyle w:val="Hypertextovodkaz"/>
          </w:rPr>
          <w:t>www.smacr.cz</w:t>
        </w:r>
      </w:hyperlink>
      <w:r w:rsidRPr="00F1695F">
        <w:t>.</w:t>
      </w:r>
    </w:p>
    <w:p w:rsidR="00BF576B" w:rsidRPr="00F1695F" w:rsidRDefault="00BF576B" w:rsidP="00425142">
      <w:pPr>
        <w:pStyle w:val="Norm-Bold"/>
      </w:pPr>
      <w:r w:rsidRPr="00F1695F">
        <w:t>Svaz marginálních oblastí</w:t>
      </w:r>
    </w:p>
    <w:p w:rsidR="00BF576B" w:rsidRPr="00F1695F" w:rsidRDefault="00BF576B" w:rsidP="00425142">
      <w:r w:rsidRPr="00F1695F">
        <w:t>Zastupuje zemědělce hospodařící ve znevýhodněných (horských a podhorských) oblastech. Svaz prosazuje, aby při tvorbě dotační a podpůrné politiky byl kladen větší důraz na podporu a rozvoj konkurenceschopné produkce a zemědělských aktivit méně příznivých oblastí. Více informací lze nalézt na </w:t>
      </w:r>
      <w:hyperlink r:id="rId125" w:history="1">
        <w:r w:rsidRPr="00F1695F">
          <w:rPr>
            <w:rStyle w:val="Hypertextovodkaz"/>
          </w:rPr>
          <w:t>www.lfa.cz</w:t>
        </w:r>
      </w:hyperlink>
      <w:r w:rsidRPr="00F1695F">
        <w:t>.</w:t>
      </w:r>
    </w:p>
    <w:p w:rsidR="00BF576B" w:rsidRPr="00F1695F" w:rsidRDefault="00BF576B" w:rsidP="00425142">
      <w:pPr>
        <w:pStyle w:val="Norm-Bold"/>
      </w:pPr>
      <w:r w:rsidRPr="00F1695F">
        <w:t>Svaz vlastníků půdy ČR</w:t>
      </w:r>
    </w:p>
    <w:p w:rsidR="00BF576B" w:rsidRPr="00F1695F" w:rsidRDefault="00BF576B" w:rsidP="00425142">
      <w:r w:rsidRPr="00F1695F">
        <w:t>Je zájmová organizace vlastníků zemědělské, lesní a ostatní půdy a pozemkových manažerů Čech a Moravy. Vyvíjí úsilí: za reálný trh s půdou, proti vyvlastňování půdy, za osvobození od daně z pozemků a zátěže a břemen uživatelů půdy, za obnovu hranic a zpřístupnění pozemků zrychlením pozemkových úprav, o reformu pozemkového práva tak, aby bylo v souladu s</w:t>
      </w:r>
      <w:r w:rsidR="00436EB7">
        <w:t xml:space="preserve"> </w:t>
      </w:r>
      <w:r w:rsidR="008969A9">
        <w:t>„</w:t>
      </w:r>
      <w:r w:rsidRPr="00F1695F">
        <w:t>Listinou základních práv a svobod</w:t>
      </w:r>
      <w:r w:rsidR="008969A9">
        <w:t>“</w:t>
      </w:r>
      <w:r w:rsidRPr="00F1695F">
        <w:t xml:space="preserve">. Více informací lze nalézt na </w:t>
      </w:r>
      <w:hyperlink r:id="rId126" w:history="1">
        <w:r w:rsidRPr="00F1695F">
          <w:rPr>
            <w:rStyle w:val="Hypertextovodkaz"/>
          </w:rPr>
          <w:t>www.svazvlastnikupudy.cz</w:t>
        </w:r>
      </w:hyperlink>
      <w:r w:rsidRPr="00F1695F">
        <w:t>.</w:t>
      </w:r>
    </w:p>
    <w:p w:rsidR="00BF576B" w:rsidRPr="00F1695F" w:rsidRDefault="00BF576B" w:rsidP="00425142">
      <w:pPr>
        <w:pStyle w:val="Norm-Bold"/>
      </w:pPr>
      <w:r w:rsidRPr="00F1695F">
        <w:t>Zemědělský svaz ČR</w:t>
      </w:r>
    </w:p>
    <w:p w:rsidR="00BF576B" w:rsidRPr="00F1695F" w:rsidRDefault="00BF576B" w:rsidP="00425142">
      <w:r w:rsidRPr="00F1695F">
        <w:t>Je dobrovolným, nezávislým, neziskovým, nevládním a nepolitickým sdružením právnických a</w:t>
      </w:r>
      <w:r>
        <w:t xml:space="preserve"> </w:t>
      </w:r>
      <w:r w:rsidRPr="00F1695F">
        <w:t>fyzických osob – zemědělských obchodních společností, zemědělských družstev, odbytových družstev a</w:t>
      </w:r>
      <w:r>
        <w:t xml:space="preserve"> </w:t>
      </w:r>
      <w:r w:rsidRPr="00F1695F">
        <w:t>společností, zemědělců a</w:t>
      </w:r>
      <w:r>
        <w:t xml:space="preserve"> </w:t>
      </w:r>
      <w:r w:rsidRPr="00F1695F">
        <w:t xml:space="preserve">dalších podnikatelů, jejichž podnikání je především zaměřeno na zemědělství, pěstitelství, chovatelství a služby, které se sdružily na ochranu svých hospodářských a sociálních zájmů v souladu s právními předpisy ČR. Více informací lze nalézt na </w:t>
      </w:r>
      <w:hyperlink r:id="rId127" w:history="1">
        <w:r w:rsidRPr="00F1695F">
          <w:rPr>
            <w:rStyle w:val="Hypertextovodkaz"/>
          </w:rPr>
          <w:t>www.zscr.cz</w:t>
        </w:r>
      </w:hyperlink>
      <w:r w:rsidRPr="00F1695F">
        <w:t>.</w:t>
      </w:r>
    </w:p>
    <w:p w:rsidR="00BF576B" w:rsidRPr="00AD7843" w:rsidRDefault="00BF576B" w:rsidP="00425142">
      <w:pPr>
        <w:pStyle w:val="Nadpis2"/>
      </w:pPr>
      <w:bookmarkStart w:id="156" w:name="_Toc391991501"/>
      <w:bookmarkStart w:id="157" w:name="_Toc424307056"/>
      <w:r>
        <w:lastRenderedPageBreak/>
        <w:t>6.</w:t>
      </w:r>
      <w:r w:rsidRPr="00AD7843">
        <w:t>7</w:t>
      </w:r>
      <w:r w:rsidRPr="00AD7843">
        <w:tab/>
      </w:r>
      <w:r>
        <w:t>Agrární t</w:t>
      </w:r>
      <w:r w:rsidRPr="00AD7843">
        <w:t>rh práce</w:t>
      </w:r>
      <w:bookmarkEnd w:id="156"/>
      <w:bookmarkEnd w:id="157"/>
    </w:p>
    <w:p w:rsidR="00BF576B" w:rsidRPr="00AD7843" w:rsidRDefault="00BF576B" w:rsidP="00425142">
      <w:pPr>
        <w:pStyle w:val="Nadpis3"/>
      </w:pPr>
      <w:bookmarkStart w:id="158" w:name="_Toc296443134"/>
      <w:bookmarkStart w:id="159" w:name="_Toc391991502"/>
      <w:bookmarkStart w:id="160" w:name="_Toc424307057"/>
      <w:r w:rsidRPr="00AD7843">
        <w:t>6.7.1</w:t>
      </w:r>
      <w:r w:rsidRPr="00AD7843">
        <w:tab/>
        <w:t>Pracovní síly v zemědělství</w:t>
      </w:r>
      <w:bookmarkEnd w:id="158"/>
      <w:bookmarkEnd w:id="159"/>
      <w:bookmarkEnd w:id="160"/>
    </w:p>
    <w:p w:rsidR="00BF576B" w:rsidRDefault="00BF576B" w:rsidP="00425142">
      <w:pPr>
        <w:rPr>
          <w:rFonts w:eastAsia="Calibri"/>
        </w:rPr>
      </w:pPr>
      <w:r w:rsidRPr="00EA5D73">
        <w:rPr>
          <w:rFonts w:eastAsia="Calibri"/>
        </w:rPr>
        <w:t>Snižování zaměstnanosti v zemědělství pokračovalo mírnějším tempem i v roce 2014. Meziroční úbytek pracovníků v zemědělských podnicích činil 1,4 % a jejich počet se snížil přibližně na 102,1 tis.</w:t>
      </w:r>
      <w:r w:rsidRPr="00EA5D73">
        <w:rPr>
          <w:rStyle w:val="Znakapoznpodarou"/>
          <w:rFonts w:eastAsia="Calibri"/>
        </w:rPr>
        <w:footnoteReference w:id="102"/>
      </w:r>
      <w:r w:rsidRPr="00EA5D73">
        <w:rPr>
          <w:rFonts w:eastAsia="Calibri"/>
        </w:rPr>
        <w:t xml:space="preserve"> (tab. T6.7/01).</w:t>
      </w:r>
      <w:r w:rsidRPr="00AD7843">
        <w:rPr>
          <w:rFonts w:eastAsia="Calibri"/>
        </w:rPr>
        <w:t xml:space="preserve"> </w:t>
      </w:r>
      <w:r w:rsidRPr="008304A4">
        <w:rPr>
          <w:rFonts w:eastAsia="Calibri"/>
        </w:rPr>
        <w:t>Podíl pracovníků v zemědělství na celkové zaměstnanosti v národním hospodářství ČR činil 2,1 %</w:t>
      </w:r>
      <w:r w:rsidRPr="008304A4">
        <w:rPr>
          <w:rStyle w:val="Znakapoznpodarou"/>
          <w:rFonts w:eastAsia="Calibri"/>
        </w:rPr>
        <w:footnoteReference w:id="103"/>
      </w:r>
      <w:r w:rsidRPr="008304A4">
        <w:rPr>
          <w:rFonts w:eastAsia="Calibri"/>
        </w:rPr>
        <w:t xml:space="preserve"> (meziročně se </w:t>
      </w:r>
      <w:r>
        <w:rPr>
          <w:rFonts w:eastAsia="Calibri"/>
        </w:rPr>
        <w:t xml:space="preserve">prakticky </w:t>
      </w:r>
      <w:r w:rsidRPr="008304A4">
        <w:rPr>
          <w:rFonts w:eastAsia="Calibri"/>
        </w:rPr>
        <w:t>nezměnil).</w:t>
      </w:r>
    </w:p>
    <w:p w:rsidR="00BF576B" w:rsidRDefault="00BF576B" w:rsidP="00425142">
      <w:pPr>
        <w:pStyle w:val="mezera"/>
        <w:rPr>
          <w:rFonts w:eastAsia="Calibri"/>
        </w:rPr>
      </w:pPr>
    </w:p>
    <w:p w:rsidR="00BF576B" w:rsidRDefault="00754A1C" w:rsidP="00425142">
      <w:pPr>
        <w:pStyle w:val="mezera"/>
        <w:rPr>
          <w:rFonts w:eastAsia="Calibri"/>
        </w:rPr>
      </w:pPr>
      <w:r w:rsidRPr="00754A1C">
        <w:rPr>
          <w:rFonts w:eastAsia="Calibri"/>
          <w:noProof/>
          <w:lang w:eastAsia="cs-CZ"/>
        </w:rPr>
        <w:drawing>
          <wp:inline distT="0" distB="0" distL="0" distR="0" wp14:anchorId="6C5791AE" wp14:editId="767CB71F">
            <wp:extent cx="5760720" cy="3038709"/>
            <wp:effectExtent l="0" t="0" r="0" b="9525"/>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720" cy="3038709"/>
                    </a:xfrm>
                    <a:prstGeom prst="rect">
                      <a:avLst/>
                    </a:prstGeom>
                    <a:noFill/>
                    <a:ln>
                      <a:noFill/>
                    </a:ln>
                  </pic:spPr>
                </pic:pic>
              </a:graphicData>
            </a:graphic>
          </wp:inline>
        </w:drawing>
      </w:r>
    </w:p>
    <w:p w:rsidR="00BF576B" w:rsidRDefault="00BF576B" w:rsidP="00425142">
      <w:pPr>
        <w:pStyle w:val="mezera"/>
        <w:rPr>
          <w:rFonts w:eastAsia="Calibri"/>
        </w:rPr>
      </w:pPr>
    </w:p>
    <w:p w:rsidR="00BF576B" w:rsidRPr="00EA5D73" w:rsidRDefault="00BF576B" w:rsidP="00425142">
      <w:pPr>
        <w:rPr>
          <w:rFonts w:eastAsia="Calibri"/>
        </w:rPr>
      </w:pPr>
      <w:r w:rsidRPr="00EA5D73">
        <w:rPr>
          <w:rFonts w:eastAsia="Calibri"/>
        </w:rPr>
        <w:t xml:space="preserve">Meziročně došlo k úbytku pracovníků ve všech právních formách zemědělských podniků. Nejvíce poklesl počet pracovníků v obchodních </w:t>
      </w:r>
      <w:r>
        <w:rPr>
          <w:rFonts w:eastAsia="Calibri"/>
        </w:rPr>
        <w:t>společnostech – přibližně o 600 </w:t>
      </w:r>
      <w:r w:rsidRPr="00EA5D73">
        <w:rPr>
          <w:rFonts w:eastAsia="Calibri"/>
        </w:rPr>
        <w:t>osob (o 1,1 %), v družstvech cca o 500 osob (o 2,3 %) a v podnicích fyzických osob cca o 300 osob (o 1,2 %).</w:t>
      </w:r>
    </w:p>
    <w:p w:rsidR="00BF576B" w:rsidRDefault="00BF576B" w:rsidP="00425142">
      <w:pPr>
        <w:rPr>
          <w:rFonts w:eastAsia="Calibri"/>
        </w:rPr>
      </w:pPr>
      <w:r w:rsidRPr="00EA5D73">
        <w:rPr>
          <w:rFonts w:eastAsia="Calibri"/>
        </w:rPr>
        <w:t>Celková struktura zaměstnanosti podle právních forem se v posledních letech výrazně nemění. V roce 2014 více než polovina zemědělských pracovních sil (53,9 %) nadále pracovala v obchodních společnostech, přibližně pětina v družstvech (21,0 %) a čtvrtina v podnicích fyzických osob (25,0 %).</w:t>
      </w:r>
    </w:p>
    <w:p w:rsidR="00BF576B" w:rsidRPr="000878CD" w:rsidRDefault="00BF576B" w:rsidP="00425142">
      <w:pPr>
        <w:rPr>
          <w:rFonts w:eastAsia="Calibri"/>
        </w:rPr>
      </w:pPr>
      <w:r w:rsidRPr="00B50D2A">
        <w:rPr>
          <w:szCs w:val="24"/>
        </w:rPr>
        <w:t>Podle postavení v hlavním zaměstnání představovali ve 4. čtvrtletí 2014</w:t>
      </w:r>
      <w:r w:rsidRPr="00B50D2A">
        <w:rPr>
          <w:rStyle w:val="Znakapoznpodarou"/>
        </w:rPr>
        <w:footnoteReference w:id="104"/>
      </w:r>
      <w:r w:rsidRPr="00B50D2A">
        <w:rPr>
          <w:szCs w:val="24"/>
        </w:rPr>
        <w:t xml:space="preserve"> zaměstnanci včetně pracujících členů družstev 73,6 % pracovníků agrárního sektoru, pracující na vlastní </w:t>
      </w:r>
      <w:r w:rsidRPr="00B50D2A">
        <w:rPr>
          <w:szCs w:val="24"/>
        </w:rPr>
        <w:lastRenderedPageBreak/>
        <w:t xml:space="preserve">účet 21,4 %, zaměstnavatelé 3,7 % a pomáhající rodinní </w:t>
      </w:r>
      <w:r w:rsidRPr="000878CD">
        <w:rPr>
          <w:szCs w:val="24"/>
        </w:rPr>
        <w:t>příslušníci 1,3 %.</w:t>
      </w:r>
      <w:r w:rsidRPr="00B50D2A">
        <w:rPr>
          <w:szCs w:val="24"/>
        </w:rPr>
        <w:t xml:space="preserve"> V meziročním srovnání se zvýšil podíl pracujících na vlastní účet (o 1,9 p.</w:t>
      </w:r>
      <w:r>
        <w:rPr>
          <w:szCs w:val="24"/>
        </w:rPr>
        <w:t> </w:t>
      </w:r>
      <w:r w:rsidRPr="00B50D2A">
        <w:rPr>
          <w:szCs w:val="24"/>
        </w:rPr>
        <w:t xml:space="preserve">b.), podíly ostatních kategorií mírně poklesly. </w:t>
      </w:r>
      <w:r>
        <w:rPr>
          <w:szCs w:val="24"/>
        </w:rPr>
        <w:t>P</w:t>
      </w:r>
      <w:r w:rsidRPr="00AD7843">
        <w:rPr>
          <w:szCs w:val="24"/>
        </w:rPr>
        <w:t>odíl sloučené kategorie podnikatelů (pracující na vlastní účet a zaměstnavatelé)</w:t>
      </w:r>
      <w:r>
        <w:rPr>
          <w:szCs w:val="24"/>
        </w:rPr>
        <w:t xml:space="preserve"> byl</w:t>
      </w:r>
      <w:r w:rsidRPr="00AD7843">
        <w:rPr>
          <w:szCs w:val="24"/>
        </w:rPr>
        <w:t xml:space="preserve"> </w:t>
      </w:r>
      <w:r>
        <w:rPr>
          <w:szCs w:val="24"/>
        </w:rPr>
        <w:t>proti</w:t>
      </w:r>
      <w:r w:rsidRPr="00AD7843">
        <w:rPr>
          <w:szCs w:val="24"/>
        </w:rPr>
        <w:t> národním</w:t>
      </w:r>
      <w:r>
        <w:rPr>
          <w:szCs w:val="24"/>
        </w:rPr>
        <w:t>u</w:t>
      </w:r>
      <w:r w:rsidRPr="00AD7843">
        <w:rPr>
          <w:szCs w:val="24"/>
        </w:rPr>
        <w:t xml:space="preserve"> hospodářství vyšší (</w:t>
      </w:r>
      <w:r>
        <w:rPr>
          <w:szCs w:val="24"/>
        </w:rPr>
        <w:t xml:space="preserve">25,1 % </w:t>
      </w:r>
      <w:r w:rsidRPr="00AD7843">
        <w:rPr>
          <w:szCs w:val="24"/>
        </w:rPr>
        <w:t>proti 17,</w:t>
      </w:r>
      <w:r>
        <w:rPr>
          <w:szCs w:val="24"/>
        </w:rPr>
        <w:t>3</w:t>
      </w:r>
      <w:r w:rsidRPr="00AD7843">
        <w:rPr>
          <w:szCs w:val="24"/>
        </w:rPr>
        <w:t xml:space="preserve"> % v NH), </w:t>
      </w:r>
      <w:r>
        <w:rPr>
          <w:szCs w:val="24"/>
        </w:rPr>
        <w:t xml:space="preserve">pro </w:t>
      </w:r>
      <w:r w:rsidRPr="00AD7843">
        <w:rPr>
          <w:szCs w:val="24"/>
        </w:rPr>
        <w:t>agrární sektor však zůst</w:t>
      </w:r>
      <w:r>
        <w:rPr>
          <w:szCs w:val="24"/>
        </w:rPr>
        <w:t xml:space="preserve">ává příznačný zejména </w:t>
      </w:r>
      <w:r w:rsidRPr="00AD7843">
        <w:rPr>
          <w:szCs w:val="24"/>
        </w:rPr>
        <w:t>vyšší podíl podnikatelů na vlastní účet, čili těch, kteří sami pracovní místa ne</w:t>
      </w:r>
      <w:r>
        <w:rPr>
          <w:szCs w:val="24"/>
        </w:rPr>
        <w:t>vytvářejí (13,8 % v NH)</w:t>
      </w:r>
      <w:r w:rsidRPr="00AD7843">
        <w:rPr>
          <w:szCs w:val="24"/>
        </w:rPr>
        <w:t>.</w:t>
      </w:r>
      <w:r>
        <w:rPr>
          <w:szCs w:val="24"/>
        </w:rPr>
        <w:t xml:space="preserve"> </w:t>
      </w:r>
      <w:r w:rsidRPr="000878CD">
        <w:rPr>
          <w:szCs w:val="24"/>
        </w:rPr>
        <w:t>Podíl zaměstnavatelů byl prakticky stejný (3,5 % v NH).</w:t>
      </w:r>
    </w:p>
    <w:p w:rsidR="00BF576B" w:rsidRDefault="00BF576B" w:rsidP="00425142">
      <w:pPr>
        <w:rPr>
          <w:szCs w:val="24"/>
        </w:rPr>
      </w:pPr>
      <w:r w:rsidRPr="00BC7806">
        <w:t xml:space="preserve">Při hodnocení zaměstnanosti v zemědělství z hlediska výrobního zaměření podniků převládá v ČR </w:t>
      </w:r>
      <w:r>
        <w:t xml:space="preserve">i nadále </w:t>
      </w:r>
      <w:r w:rsidRPr="00BC7806">
        <w:t>zaměstnanost v podnicích se smíšenou výrobou, tj. provozujících rostlinnou i živočišnou výrob</w:t>
      </w:r>
      <w:r>
        <w:t>u. P</w:t>
      </w:r>
      <w:r w:rsidRPr="00BC7806">
        <w:t xml:space="preserve">rávě v této skupině došlo </w:t>
      </w:r>
      <w:r>
        <w:t>v roce 2014</w:t>
      </w:r>
      <w:r w:rsidRPr="0064327F">
        <w:rPr>
          <w:rStyle w:val="Znakypropoznmkupodarou"/>
        </w:rPr>
        <w:footnoteReference w:id="105"/>
      </w:r>
      <w:r>
        <w:t>,</w:t>
      </w:r>
      <w:r w:rsidRPr="00BC7806">
        <w:t xml:space="preserve"> </w:t>
      </w:r>
      <w:r>
        <w:t>obdobně jako v</w:t>
      </w:r>
      <w:r w:rsidR="0022297F">
        <w:t> </w:t>
      </w:r>
      <w:r>
        <w:t xml:space="preserve">roce předchozím, </w:t>
      </w:r>
      <w:r w:rsidRPr="00BC7806">
        <w:t>k největšímu úbytku zaměstnanců (přes 1 tisíc)</w:t>
      </w:r>
      <w:r>
        <w:t>. Za příznivý signál lze (i při obtížné předvídatelnosti situace na evropském agrárním trhu) považovat mírné zvýšení zaměstnanosti v podnicích zaměřených na pěstování zeleniny. Příznivý trend se zatím neprojevil v</w:t>
      </w:r>
      <w:r w:rsidRPr="00BC7806">
        <w:t> podnicích specializovaných na živočišnou výrobu</w:t>
      </w:r>
      <w:r>
        <w:t>, zaměstnanost poklesla jak v chovech prasat, tak drůbeže i mléčného skotu.</w:t>
      </w:r>
    </w:p>
    <w:p w:rsidR="00BF576B" w:rsidRDefault="00BF576B" w:rsidP="00425142">
      <w:pPr>
        <w:rPr>
          <w:rFonts w:eastAsia="Calibri"/>
        </w:rPr>
      </w:pPr>
      <w:r>
        <w:rPr>
          <w:rFonts w:eastAsia="Calibri"/>
        </w:rPr>
        <w:t>Věková skladba</w:t>
      </w:r>
      <w:r w:rsidRPr="00276423">
        <w:rPr>
          <w:rFonts w:eastAsia="Calibri"/>
        </w:rPr>
        <w:t xml:space="preserve"> zemědělské </w:t>
      </w:r>
      <w:r>
        <w:rPr>
          <w:rFonts w:eastAsia="Calibri"/>
        </w:rPr>
        <w:t xml:space="preserve">populace představuje problém ve </w:t>
      </w:r>
      <w:r w:rsidRPr="00276423">
        <w:rPr>
          <w:rFonts w:eastAsia="Calibri"/>
        </w:rPr>
        <w:t>větš</w:t>
      </w:r>
      <w:r>
        <w:rPr>
          <w:rFonts w:eastAsia="Calibri"/>
        </w:rPr>
        <w:t>ině</w:t>
      </w:r>
      <w:r w:rsidRPr="00276423">
        <w:rPr>
          <w:rFonts w:eastAsia="Calibri"/>
        </w:rPr>
        <w:t xml:space="preserve"> evropských zemí</w:t>
      </w:r>
      <w:r>
        <w:rPr>
          <w:rFonts w:eastAsia="Calibri"/>
        </w:rPr>
        <w:t xml:space="preserve">, </w:t>
      </w:r>
      <w:r w:rsidRPr="00276423">
        <w:rPr>
          <w:rFonts w:eastAsia="Calibri"/>
        </w:rPr>
        <w:t>ČR</w:t>
      </w:r>
      <w:r>
        <w:rPr>
          <w:rFonts w:eastAsia="Calibri"/>
        </w:rPr>
        <w:t xml:space="preserve"> nevyjímaje</w:t>
      </w:r>
      <w:r w:rsidRPr="00276423">
        <w:rPr>
          <w:rFonts w:eastAsia="Calibri"/>
        </w:rPr>
        <w:t>.</w:t>
      </w:r>
      <w:r>
        <w:rPr>
          <w:rFonts w:eastAsia="Calibri"/>
        </w:rPr>
        <w:t xml:space="preserve"> </w:t>
      </w:r>
      <w:r w:rsidRPr="00AD7843">
        <w:rPr>
          <w:rFonts w:eastAsia="Calibri"/>
        </w:rPr>
        <w:t>Ve 4. </w:t>
      </w:r>
      <w:r>
        <w:rPr>
          <w:rFonts w:eastAsia="Calibri"/>
        </w:rPr>
        <w:t>čtvrtletí 2014</w:t>
      </w:r>
      <w:r w:rsidRPr="00AD7843">
        <w:rPr>
          <w:rStyle w:val="Znakypropoznmkupodarou"/>
          <w:rFonts w:eastAsia="Calibri"/>
        </w:rPr>
        <w:footnoteReference w:id="106"/>
      </w:r>
      <w:r w:rsidRPr="00AD7843">
        <w:rPr>
          <w:rFonts w:eastAsia="Calibri"/>
        </w:rPr>
        <w:t xml:space="preserve"> vykazovali v</w:t>
      </w:r>
      <w:r>
        <w:rPr>
          <w:rFonts w:eastAsia="Calibri"/>
        </w:rPr>
        <w:t xml:space="preserve"> agrárním sektoru ČR nejvyšší zastoupení </w:t>
      </w:r>
      <w:r w:rsidRPr="00AD7843">
        <w:rPr>
          <w:rFonts w:eastAsia="Calibri"/>
        </w:rPr>
        <w:t>pracovníci ve věku 45</w:t>
      </w:r>
      <w:r w:rsidRPr="00AD7843">
        <w:rPr>
          <w:rFonts w:eastAsia="Calibri"/>
        </w:rPr>
        <w:noBreakHyphen/>
        <w:t>59 let (4</w:t>
      </w:r>
      <w:r>
        <w:rPr>
          <w:rFonts w:eastAsia="Calibri"/>
        </w:rPr>
        <w:t>3,8 </w:t>
      </w:r>
      <w:r w:rsidRPr="00AD7843">
        <w:rPr>
          <w:rFonts w:eastAsia="Calibri"/>
        </w:rPr>
        <w:t>%), následovala je kategorie pracovníků ve věku 30-44 </w:t>
      </w:r>
      <w:r>
        <w:rPr>
          <w:rFonts w:eastAsia="Calibri"/>
        </w:rPr>
        <w:t>let (34,5</w:t>
      </w:r>
      <w:r w:rsidRPr="00AD7843">
        <w:rPr>
          <w:rFonts w:eastAsia="Calibri"/>
        </w:rPr>
        <w:t> %). Nižších podílů dosahovali pracovníci nejmladší kategorie 15</w:t>
      </w:r>
      <w:r w:rsidRPr="00AD7843">
        <w:rPr>
          <w:rFonts w:eastAsia="Calibri"/>
        </w:rPr>
        <w:noBreakHyphen/>
        <w:t>29 </w:t>
      </w:r>
      <w:r>
        <w:rPr>
          <w:rFonts w:eastAsia="Calibri"/>
        </w:rPr>
        <w:t>let (12,4</w:t>
      </w:r>
      <w:r w:rsidRPr="00AD7843">
        <w:rPr>
          <w:rFonts w:eastAsia="Calibri"/>
        </w:rPr>
        <w:t> %) a pracovníci nejstarší, tj. ve věku 60 a </w:t>
      </w:r>
      <w:r>
        <w:rPr>
          <w:rFonts w:eastAsia="Calibri"/>
        </w:rPr>
        <w:t>více let (9</w:t>
      </w:r>
      <w:r w:rsidRPr="00AD7843">
        <w:rPr>
          <w:rFonts w:eastAsia="Calibri"/>
        </w:rPr>
        <w:t>,3 %).</w:t>
      </w:r>
      <w:r>
        <w:rPr>
          <w:rFonts w:eastAsia="Calibri"/>
        </w:rPr>
        <w:t xml:space="preserve"> </w:t>
      </w:r>
      <w:r w:rsidRPr="00AD7843">
        <w:rPr>
          <w:rFonts w:eastAsia="Calibri"/>
        </w:rPr>
        <w:t>V meziročním srovnání se mírně zvýšily podíly pracovníků ve věkové kategorii 15-29 let (o </w:t>
      </w:r>
      <w:r>
        <w:rPr>
          <w:rFonts w:eastAsia="Calibri"/>
        </w:rPr>
        <w:t xml:space="preserve">0,7 p. b.) a </w:t>
      </w:r>
      <w:r w:rsidRPr="00AD7843">
        <w:rPr>
          <w:rFonts w:eastAsia="Calibri"/>
        </w:rPr>
        <w:t>v kategorii 30-44 let (o 0,</w:t>
      </w:r>
      <w:r>
        <w:rPr>
          <w:rFonts w:eastAsia="Calibri"/>
        </w:rPr>
        <w:t>7 </w:t>
      </w:r>
      <w:r w:rsidRPr="00AD7843">
        <w:rPr>
          <w:rFonts w:eastAsia="Calibri"/>
        </w:rPr>
        <w:t>p. b.)</w:t>
      </w:r>
      <w:r>
        <w:rPr>
          <w:rFonts w:eastAsia="Calibri"/>
        </w:rPr>
        <w:t>. V</w:t>
      </w:r>
      <w:r w:rsidRPr="00AD7843">
        <w:rPr>
          <w:rFonts w:eastAsia="Calibri"/>
        </w:rPr>
        <w:t> </w:t>
      </w:r>
      <w:r>
        <w:rPr>
          <w:rFonts w:eastAsia="Calibri"/>
        </w:rPr>
        <w:t>kategorii 45-59 </w:t>
      </w:r>
      <w:r w:rsidRPr="00AD7843">
        <w:rPr>
          <w:rFonts w:eastAsia="Calibri"/>
        </w:rPr>
        <w:t xml:space="preserve">let </w:t>
      </w:r>
      <w:r>
        <w:rPr>
          <w:rFonts w:eastAsia="Calibri"/>
        </w:rPr>
        <w:t xml:space="preserve">naopak došlo k mírnému snížení </w:t>
      </w:r>
      <w:r w:rsidRPr="00AD7843">
        <w:rPr>
          <w:rFonts w:eastAsia="Calibri"/>
        </w:rPr>
        <w:t>(o </w:t>
      </w:r>
      <w:r>
        <w:rPr>
          <w:rFonts w:eastAsia="Calibri"/>
        </w:rPr>
        <w:t>0,4</w:t>
      </w:r>
      <w:r w:rsidRPr="00AD7843">
        <w:rPr>
          <w:rFonts w:eastAsia="Calibri"/>
        </w:rPr>
        <w:t xml:space="preserve"> p. b.), </w:t>
      </w:r>
      <w:r>
        <w:rPr>
          <w:rFonts w:eastAsia="Calibri"/>
        </w:rPr>
        <w:t>stejně tak v kategorii 60 a více let (snížení o 1,0 p. b.).</w:t>
      </w:r>
    </w:p>
    <w:p w:rsidR="00BF576B" w:rsidRPr="00CE0B3D" w:rsidRDefault="00BF576B" w:rsidP="00425142">
      <w:pPr>
        <w:rPr>
          <w:rFonts w:eastAsia="Calibri"/>
          <w:i/>
        </w:rPr>
      </w:pPr>
      <w:r w:rsidRPr="00AD7843">
        <w:rPr>
          <w:rFonts w:eastAsia="Calibri"/>
        </w:rPr>
        <w:t xml:space="preserve">Celkově podíl pracovníků ve věku 45 let a více dosáhl v agrárním sektoru </w:t>
      </w:r>
      <w:r>
        <w:rPr>
          <w:rFonts w:eastAsia="Calibri"/>
        </w:rPr>
        <w:t>53,1 </w:t>
      </w:r>
      <w:r w:rsidRPr="00AD7843">
        <w:rPr>
          <w:rFonts w:eastAsia="Calibri"/>
        </w:rPr>
        <w:t>%, kdežto v </w:t>
      </w:r>
      <w:r>
        <w:rPr>
          <w:rFonts w:eastAsia="Calibri"/>
        </w:rPr>
        <w:t>NH 41,4</w:t>
      </w:r>
      <w:r w:rsidRPr="00AD7843">
        <w:rPr>
          <w:rFonts w:eastAsia="Calibri"/>
        </w:rPr>
        <w:t> % a v </w:t>
      </w:r>
      <w:r>
        <w:rPr>
          <w:rFonts w:eastAsia="Calibri"/>
        </w:rPr>
        <w:t>průmyslu vč. stavebnictví 40,6</w:t>
      </w:r>
      <w:r w:rsidRPr="00AD7843">
        <w:rPr>
          <w:rFonts w:eastAsia="Calibri"/>
        </w:rPr>
        <w:t> %. Přestože se v agrárním sektoru podíl těchto starších pracovníků meziročně snížil o </w:t>
      </w:r>
      <w:r>
        <w:rPr>
          <w:rFonts w:eastAsia="Calibri"/>
        </w:rPr>
        <w:t>1,4</w:t>
      </w:r>
      <w:r w:rsidRPr="00AD7843">
        <w:rPr>
          <w:rFonts w:eastAsia="Calibri"/>
        </w:rPr>
        <w:t> p. b., zůstává věková struktura pracovníků sektoru stále výrazně horší ve srovnání s NH i průmyslem (v průmyslu vč. stavebnictví představovali pracovníci do 29 let 17,5</w:t>
      </w:r>
      <w:r>
        <w:rPr>
          <w:rFonts w:eastAsia="Calibri"/>
        </w:rPr>
        <w:t> </w:t>
      </w:r>
      <w:r w:rsidRPr="00AD7843">
        <w:rPr>
          <w:rFonts w:eastAsia="Calibri"/>
        </w:rPr>
        <w:t>% a pracovníci ve věku 30-44 let 4</w:t>
      </w:r>
      <w:r>
        <w:rPr>
          <w:rFonts w:eastAsia="Calibri"/>
        </w:rPr>
        <w:t>1,9 </w:t>
      </w:r>
      <w:r w:rsidRPr="00AD7843">
        <w:rPr>
          <w:rFonts w:eastAsia="Calibri"/>
        </w:rPr>
        <w:t xml:space="preserve">%). </w:t>
      </w:r>
      <w:r w:rsidRPr="00264DFA">
        <w:rPr>
          <w:rFonts w:eastAsia="Calibri"/>
        </w:rPr>
        <w:t>Meziročně tak sice došlo k nepatrnému zlepšení věkové struktury, ovšem vyvozování jakýkoliv závěrů je zatím předčasné.</w:t>
      </w:r>
    </w:p>
    <w:p w:rsidR="00BF576B" w:rsidRPr="00EA5D73" w:rsidRDefault="00BF576B" w:rsidP="00425142">
      <w:pPr>
        <w:rPr>
          <w:rFonts w:eastAsia="Calibri"/>
        </w:rPr>
      </w:pPr>
      <w:r w:rsidRPr="00EA5D73">
        <w:lastRenderedPageBreak/>
        <w:t>Snižující se zaměstnanost v sektoru postihla relativně více ženy než muže.</w:t>
      </w:r>
      <w:r w:rsidRPr="00EA5D73">
        <w:rPr>
          <w:rFonts w:eastAsia="Calibri"/>
        </w:rPr>
        <w:t xml:space="preserve"> Ve 4. čtvrtletí 2014</w:t>
      </w:r>
      <w:r w:rsidRPr="00EA5D73">
        <w:rPr>
          <w:rStyle w:val="Znakapoznpodarou"/>
          <w:rFonts w:eastAsia="Calibri"/>
        </w:rPr>
        <w:footnoteReference w:id="107"/>
      </w:r>
      <w:r w:rsidRPr="00EA5D73">
        <w:rPr>
          <w:rFonts w:eastAsia="Calibri"/>
        </w:rPr>
        <w:t xml:space="preserve"> činil podíl žen ve struktuře zaměstnanosti v agrárním sektoru 25,</w:t>
      </w:r>
      <w:r>
        <w:rPr>
          <w:rFonts w:eastAsia="Calibri"/>
        </w:rPr>
        <w:t>2 % a meziročně poklesl o 3,9 </w:t>
      </w:r>
      <w:r w:rsidRPr="00EA5D73">
        <w:rPr>
          <w:rFonts w:eastAsia="Calibri"/>
        </w:rPr>
        <w:t>p. b. V zemědělství (vč. myslivosti a souvisejících činností) pak tento podíl činil 28,</w:t>
      </w:r>
      <w:r>
        <w:rPr>
          <w:rFonts w:eastAsia="Calibri"/>
        </w:rPr>
        <w:t>8</w:t>
      </w:r>
      <w:r w:rsidRPr="00EA5D73">
        <w:rPr>
          <w:rFonts w:eastAsia="Calibri"/>
        </w:rPr>
        <w:t> % a snížil se o 2,</w:t>
      </w:r>
      <w:r>
        <w:rPr>
          <w:rFonts w:eastAsia="Calibri"/>
        </w:rPr>
        <w:t>4</w:t>
      </w:r>
      <w:r w:rsidRPr="00EA5D73">
        <w:rPr>
          <w:rFonts w:eastAsia="Calibri"/>
        </w:rPr>
        <w:t xml:space="preserve"> p. b.</w:t>
      </w:r>
    </w:p>
    <w:p w:rsidR="00BF576B" w:rsidRDefault="00BF576B" w:rsidP="00425142">
      <w:pPr>
        <w:rPr>
          <w:rFonts w:eastAsia="Calibri"/>
        </w:rPr>
      </w:pPr>
      <w:r w:rsidRPr="00EA5D73">
        <w:rPr>
          <w:rFonts w:eastAsia="Calibri"/>
        </w:rPr>
        <w:t>Podíl žen v zemědělství se dlouhodobě pohybuje kolem 30 % (</w:t>
      </w:r>
      <w:r w:rsidRPr="00EA5D73">
        <w:t xml:space="preserve">FSS 2013 </w:t>
      </w:r>
      <w:r>
        <w:t xml:space="preserve">rovněž </w:t>
      </w:r>
      <w:r w:rsidRPr="00EA5D73">
        <w:t xml:space="preserve">uvádí </w:t>
      </w:r>
      <w:r>
        <w:t>cca</w:t>
      </w:r>
      <w:r w:rsidRPr="00EA5D73">
        <w:t xml:space="preserve"> 30% podíl žen v zemědělství) a je </w:t>
      </w:r>
      <w:r>
        <w:t xml:space="preserve">výrazně </w:t>
      </w:r>
      <w:r w:rsidRPr="00EA5D73">
        <w:rPr>
          <w:rFonts w:eastAsia="Calibri"/>
        </w:rPr>
        <w:t>nižší než průměrný podíl žen na zaměstnanosti v národním hospodářství ČR (43,6 % ve 4. čtvrtletí 2014) i než podíl žen v zemědělství EU (36,9 % v EU 27 v roce 2012</w:t>
      </w:r>
      <w:r w:rsidRPr="00EA5D73">
        <w:rPr>
          <w:rStyle w:val="Znakapoznpodarou"/>
          <w:rFonts w:eastAsia="Calibri"/>
        </w:rPr>
        <w:footnoteReference w:id="108"/>
      </w:r>
      <w:r>
        <w:rPr>
          <w:rFonts w:eastAsia="Calibri"/>
        </w:rPr>
        <w:t>).</w:t>
      </w:r>
    </w:p>
    <w:p w:rsidR="00BF576B" w:rsidRPr="00B76DC9" w:rsidRDefault="00BF576B" w:rsidP="00425142">
      <w:pPr>
        <w:rPr>
          <w:szCs w:val="24"/>
        </w:rPr>
      </w:pPr>
      <w:r w:rsidRPr="00A01F0C">
        <w:rPr>
          <w:szCs w:val="24"/>
        </w:rPr>
        <w:t xml:space="preserve">Téměř polovina všech pracovníků sektoru </w:t>
      </w:r>
      <w:r>
        <w:rPr>
          <w:szCs w:val="24"/>
        </w:rPr>
        <w:t xml:space="preserve">byla </w:t>
      </w:r>
      <w:r w:rsidRPr="00A01F0C">
        <w:rPr>
          <w:szCs w:val="24"/>
        </w:rPr>
        <w:t>dle SLDB 2011 tvořena osobami se středním vzděláním bez maturity včetně vyučených (48,1 %), menší podíly připada</w:t>
      </w:r>
      <w:r>
        <w:rPr>
          <w:szCs w:val="24"/>
        </w:rPr>
        <w:t>ly</w:t>
      </w:r>
      <w:r w:rsidRPr="00A01F0C">
        <w:rPr>
          <w:szCs w:val="24"/>
        </w:rPr>
        <w:t xml:space="preserve"> na středoškolsky vzdělané pracovníky s maturitou vč. vyššího odborného vzdělání (30,9 %), na vysokoškolsky vzdělané (11,7 </w:t>
      </w:r>
      <w:r w:rsidRPr="0020231F">
        <w:rPr>
          <w:szCs w:val="24"/>
        </w:rPr>
        <w:t>%), nejméně</w:t>
      </w:r>
      <w:r w:rsidRPr="00A01F0C">
        <w:rPr>
          <w:szCs w:val="24"/>
        </w:rPr>
        <w:t xml:space="preserve"> pak na osoby se základním či chybějícím </w:t>
      </w:r>
      <w:r w:rsidRPr="008949A2">
        <w:rPr>
          <w:szCs w:val="24"/>
        </w:rPr>
        <w:t>vzděláním (8,8 %). Přestože</w:t>
      </w:r>
      <w:r w:rsidRPr="0020231F">
        <w:rPr>
          <w:szCs w:val="24"/>
        </w:rPr>
        <w:t xml:space="preserve"> se vzdělanostní struktura pracovníků v zemědělství dlouhodobě zlepšuje, v</w:t>
      </w:r>
      <w:r w:rsidRPr="0020231F">
        <w:rPr>
          <w:rFonts w:eastAsia="Calibri"/>
        </w:rPr>
        <w:t>e srovnání se situací v NH jsou mezi zemědělci vyšší podíly pracovníků bez maturity a se základním vzděláním (to je však do jisté míry determinováno charakterem zemědělské práce).</w:t>
      </w:r>
      <w:r w:rsidRPr="0020231F">
        <w:rPr>
          <w:szCs w:val="24"/>
        </w:rPr>
        <w:t xml:space="preserve"> Meziroční změny lze vzhledem</w:t>
      </w:r>
      <w:r w:rsidRPr="00A01F0C">
        <w:rPr>
          <w:szCs w:val="24"/>
        </w:rPr>
        <w:t xml:space="preserve"> k dostupnosti dat hodnotit pouze u kategorie </w:t>
      </w:r>
      <w:r w:rsidRPr="0020231F">
        <w:rPr>
          <w:szCs w:val="24"/>
        </w:rPr>
        <w:t>zaměstnanců</w:t>
      </w:r>
      <w:r w:rsidRPr="0020231F">
        <w:rPr>
          <w:rStyle w:val="Znakapoznpodarou"/>
          <w:szCs w:val="24"/>
        </w:rPr>
        <w:footnoteReference w:id="109"/>
      </w:r>
      <w:r w:rsidRPr="0020231F">
        <w:rPr>
          <w:szCs w:val="24"/>
        </w:rPr>
        <w:t xml:space="preserve">, jež se </w:t>
      </w:r>
      <w:r w:rsidRPr="00A01F0C">
        <w:rPr>
          <w:szCs w:val="24"/>
        </w:rPr>
        <w:t xml:space="preserve">vyznačuje mírně horším vzdělanostním profilem. V roce 2013 </w:t>
      </w:r>
      <w:r w:rsidRPr="008949A2">
        <w:rPr>
          <w:szCs w:val="24"/>
        </w:rPr>
        <w:t>mělo 54,6 % zaměstnanců</w:t>
      </w:r>
      <w:r w:rsidRPr="00A01F0C">
        <w:rPr>
          <w:szCs w:val="24"/>
        </w:rPr>
        <w:t xml:space="preserve"> středoškolské vzdělání bez maturity, 23,5 % středoškolské s maturitou, 10,7 % základní (včetně nedokončeného, resp. bez vzdělání) a 9,6 % vysokoškolské (vč. vyššího odborného). Ve srovnání s průmyslem a národním hospodářstvím, </w:t>
      </w:r>
      <w:r>
        <w:rPr>
          <w:szCs w:val="24"/>
        </w:rPr>
        <w:t>kde</w:t>
      </w:r>
      <w:r w:rsidRPr="00A01F0C">
        <w:rPr>
          <w:szCs w:val="24"/>
        </w:rPr>
        <w:t xml:space="preserve"> došlo meziročně k mírnému zlepšení vzdělanostní </w:t>
      </w:r>
      <w:r>
        <w:rPr>
          <w:szCs w:val="24"/>
        </w:rPr>
        <w:t>úrovně</w:t>
      </w:r>
      <w:r w:rsidRPr="00A01F0C">
        <w:rPr>
          <w:szCs w:val="24"/>
        </w:rPr>
        <w:t xml:space="preserve"> zaměstnanců, vzdělanostní struktura zaměstnanců zemědělství, lesnictví a rybolovu zůstala proti </w:t>
      </w:r>
      <w:r>
        <w:rPr>
          <w:szCs w:val="24"/>
        </w:rPr>
        <w:t>předchozímu</w:t>
      </w:r>
      <w:r w:rsidRPr="00A01F0C">
        <w:rPr>
          <w:szCs w:val="24"/>
        </w:rPr>
        <w:t xml:space="preserve"> roku prakticky beze </w:t>
      </w:r>
      <w:r w:rsidRPr="00B76DC9">
        <w:rPr>
          <w:szCs w:val="24"/>
        </w:rPr>
        <w:t>změn.</w:t>
      </w:r>
    </w:p>
    <w:p w:rsidR="00BF576B" w:rsidRDefault="00BF576B" w:rsidP="00425142">
      <w:pPr>
        <w:rPr>
          <w:rFonts w:eastAsia="Calibri"/>
        </w:rPr>
      </w:pPr>
      <w:r w:rsidRPr="00AD7843">
        <w:rPr>
          <w:rFonts w:eastAsia="Calibri"/>
        </w:rPr>
        <w:t>Nižší vzdělanostní úroveň zemědělců souvisí se skutečností, že většina pracovníků sektoru se uplatňuje v manuálních profesích. Podle klasifikace zaměstnání (</w:t>
      </w:r>
      <w:hyperlink r:id="rId129" w:history="1">
        <w:r w:rsidRPr="00AD7843">
          <w:rPr>
            <w:rStyle w:val="Hypertextovodkaz"/>
            <w:rFonts w:eastAsia="Calibri"/>
          </w:rPr>
          <w:t>CZ-ISCO</w:t>
        </w:r>
      </w:hyperlink>
      <w:r w:rsidRPr="00AD7843">
        <w:rPr>
          <w:rFonts w:eastAsia="Calibri"/>
        </w:rPr>
        <w:t>) byla profesní struktura v sektoru v roce 201</w:t>
      </w:r>
      <w:r>
        <w:rPr>
          <w:rFonts w:eastAsia="Calibri"/>
        </w:rPr>
        <w:t>4</w:t>
      </w:r>
      <w:r w:rsidRPr="00AD7843">
        <w:rPr>
          <w:rFonts w:eastAsia="Calibri"/>
        </w:rPr>
        <w:t xml:space="preserve"> následující</w:t>
      </w:r>
      <w:r w:rsidRPr="00AD7843">
        <w:rPr>
          <w:rStyle w:val="Znakypropoznmkupodarou"/>
          <w:rFonts w:eastAsia="Calibri"/>
        </w:rPr>
        <w:footnoteReference w:id="110"/>
      </w:r>
      <w:r w:rsidRPr="00AD7843">
        <w:rPr>
          <w:rFonts w:eastAsia="Calibri"/>
        </w:rPr>
        <w:t xml:space="preserve">: </w:t>
      </w:r>
      <w:r>
        <w:rPr>
          <w:rFonts w:eastAsia="Calibri"/>
        </w:rPr>
        <w:t>37,2</w:t>
      </w:r>
      <w:r w:rsidRPr="00AD7843">
        <w:rPr>
          <w:rFonts w:eastAsia="Calibri"/>
        </w:rPr>
        <w:t xml:space="preserve"> % představovali kvalifikovaní zemědělští pracovníci, </w:t>
      </w:r>
      <w:r>
        <w:rPr>
          <w:rFonts w:eastAsia="Calibri"/>
        </w:rPr>
        <w:t>23</w:t>
      </w:r>
      <w:r w:rsidRPr="00AD7843">
        <w:rPr>
          <w:rFonts w:eastAsia="Calibri"/>
        </w:rPr>
        <w:t> % obsluha strojů a </w:t>
      </w:r>
      <w:r>
        <w:rPr>
          <w:rFonts w:eastAsia="Calibri"/>
        </w:rPr>
        <w:t>zařízení, 11,0</w:t>
      </w:r>
      <w:r w:rsidRPr="00AD7843">
        <w:rPr>
          <w:rFonts w:eastAsia="Calibri"/>
        </w:rPr>
        <w:t> % techničtí a odborní pracovníci,</w:t>
      </w:r>
      <w:r>
        <w:rPr>
          <w:rFonts w:eastAsia="Calibri"/>
        </w:rPr>
        <w:t xml:space="preserve"> 7,4 % </w:t>
      </w:r>
      <w:r w:rsidRPr="00AD7843">
        <w:rPr>
          <w:rFonts w:eastAsia="Calibri"/>
        </w:rPr>
        <w:t>pomocní a nekvalifikovaní pracovníci</w:t>
      </w:r>
      <w:r>
        <w:rPr>
          <w:rFonts w:eastAsia="Calibri"/>
        </w:rPr>
        <w:t>, 7,2</w:t>
      </w:r>
      <w:r w:rsidRPr="00AD7843">
        <w:rPr>
          <w:rFonts w:eastAsia="Calibri"/>
        </w:rPr>
        <w:t xml:space="preserve"> % řemeslníci a opraváři, </w:t>
      </w:r>
      <w:r>
        <w:rPr>
          <w:rFonts w:eastAsia="Calibri"/>
        </w:rPr>
        <w:t>4,3</w:t>
      </w:r>
      <w:r w:rsidRPr="00AD7843">
        <w:rPr>
          <w:rFonts w:eastAsia="Calibri"/>
        </w:rPr>
        <w:t xml:space="preserve"> % úředníci, </w:t>
      </w:r>
      <w:r>
        <w:rPr>
          <w:rFonts w:eastAsia="Calibri"/>
        </w:rPr>
        <w:t>3,5</w:t>
      </w:r>
      <w:r w:rsidRPr="00AD7843">
        <w:rPr>
          <w:rFonts w:eastAsia="Calibri"/>
        </w:rPr>
        <w:t> %</w:t>
      </w:r>
      <w:r>
        <w:rPr>
          <w:rFonts w:eastAsia="Calibri"/>
        </w:rPr>
        <w:t xml:space="preserve"> řídící pracovníci, 3,2</w:t>
      </w:r>
      <w:r w:rsidRPr="00AD7843">
        <w:rPr>
          <w:rFonts w:eastAsia="Calibri"/>
        </w:rPr>
        <w:t> % specialisté a </w:t>
      </w:r>
      <w:r>
        <w:rPr>
          <w:rFonts w:eastAsia="Calibri"/>
        </w:rPr>
        <w:t>3,1</w:t>
      </w:r>
      <w:r w:rsidRPr="00AD7843">
        <w:rPr>
          <w:rFonts w:eastAsia="Calibri"/>
        </w:rPr>
        <w:t xml:space="preserve"> % pracovníci ve službách a prodeji. Pracovníci sloučených </w:t>
      </w:r>
      <w:proofErr w:type="spellStart"/>
      <w:r w:rsidRPr="00AD7843">
        <w:rPr>
          <w:rFonts w:eastAsia="Calibri"/>
        </w:rPr>
        <w:t>technicko-hospodářských</w:t>
      </w:r>
      <w:proofErr w:type="spellEnd"/>
      <w:r w:rsidRPr="00AD7843">
        <w:rPr>
          <w:rFonts w:eastAsia="Calibri"/>
        </w:rPr>
        <w:t xml:space="preserve"> profesí (CZ-ISCO </w:t>
      </w:r>
      <w:r>
        <w:rPr>
          <w:rFonts w:eastAsia="Calibri"/>
        </w:rPr>
        <w:t xml:space="preserve">1-4) </w:t>
      </w:r>
      <w:r w:rsidRPr="005B040F">
        <w:rPr>
          <w:rFonts w:eastAsia="Calibri"/>
        </w:rPr>
        <w:t>tvořili zhruba pětinový (22,0 %)</w:t>
      </w:r>
      <w:r w:rsidRPr="00AD7843">
        <w:rPr>
          <w:rFonts w:eastAsia="Calibri"/>
        </w:rPr>
        <w:t xml:space="preserve"> a meziročně zaznamenali </w:t>
      </w:r>
      <w:r w:rsidRPr="005B040F">
        <w:rPr>
          <w:rFonts w:eastAsia="Calibri"/>
        </w:rPr>
        <w:t>pokles podílu</w:t>
      </w:r>
      <w:r>
        <w:rPr>
          <w:rFonts w:eastAsia="Calibri"/>
        </w:rPr>
        <w:t xml:space="preserve"> </w:t>
      </w:r>
      <w:r w:rsidRPr="00AD7843">
        <w:rPr>
          <w:rFonts w:eastAsia="Calibri"/>
        </w:rPr>
        <w:t>o </w:t>
      </w:r>
      <w:r>
        <w:rPr>
          <w:rFonts w:eastAsia="Calibri"/>
        </w:rPr>
        <w:t>1,9</w:t>
      </w:r>
      <w:r w:rsidRPr="00AD7843">
        <w:rPr>
          <w:rFonts w:eastAsia="Calibri"/>
        </w:rPr>
        <w:t> p. b. Ve sloučené skupině manuálních profesí</w:t>
      </w:r>
      <w:r>
        <w:rPr>
          <w:rFonts w:eastAsia="Calibri"/>
        </w:rPr>
        <w:t xml:space="preserve"> </w:t>
      </w:r>
      <w:r w:rsidRPr="00AD7843">
        <w:rPr>
          <w:rFonts w:eastAsia="Calibri"/>
        </w:rPr>
        <w:lastRenderedPageBreak/>
        <w:t>(CZ-ISCO </w:t>
      </w:r>
      <w:r>
        <w:rPr>
          <w:rFonts w:eastAsia="Calibri"/>
        </w:rPr>
        <w:t xml:space="preserve">5-9) </w:t>
      </w:r>
      <w:r w:rsidRPr="00AD7843">
        <w:rPr>
          <w:rFonts w:eastAsia="Calibri"/>
        </w:rPr>
        <w:t xml:space="preserve">vykazovala nejvyšší meziroční </w:t>
      </w:r>
      <w:r>
        <w:rPr>
          <w:rFonts w:eastAsia="Calibri"/>
        </w:rPr>
        <w:t>nárůst</w:t>
      </w:r>
      <w:r w:rsidRPr="00AD7843">
        <w:rPr>
          <w:rFonts w:eastAsia="Calibri"/>
        </w:rPr>
        <w:t xml:space="preserve"> podílu kategorie </w:t>
      </w:r>
      <w:r>
        <w:rPr>
          <w:rFonts w:eastAsia="Calibri"/>
        </w:rPr>
        <w:t>obsluha strojů a zařízení (o 3,8</w:t>
      </w:r>
      <w:r w:rsidRPr="00AD7843">
        <w:rPr>
          <w:rFonts w:eastAsia="Calibri"/>
        </w:rPr>
        <w:t> p. b.</w:t>
      </w:r>
      <w:r>
        <w:rPr>
          <w:rFonts w:eastAsia="Calibri"/>
        </w:rPr>
        <w:t>)</w:t>
      </w:r>
      <w:r w:rsidRPr="00AD7843">
        <w:rPr>
          <w:rFonts w:eastAsia="Calibri"/>
        </w:rPr>
        <w:t xml:space="preserve">, naopak nejvíce </w:t>
      </w:r>
      <w:r>
        <w:rPr>
          <w:rFonts w:eastAsia="Calibri"/>
        </w:rPr>
        <w:t>se snížil</w:t>
      </w:r>
      <w:r w:rsidRPr="00AD7843">
        <w:rPr>
          <w:rFonts w:eastAsia="Calibri"/>
        </w:rPr>
        <w:t xml:space="preserve"> podíl pomocných a nekvalifikovaných pracovníků (o </w:t>
      </w:r>
      <w:r>
        <w:rPr>
          <w:rFonts w:eastAsia="Calibri"/>
        </w:rPr>
        <w:t>2,2</w:t>
      </w:r>
      <w:r w:rsidRPr="00AD7843">
        <w:rPr>
          <w:rFonts w:eastAsia="Calibri"/>
        </w:rPr>
        <w:t> p. b.).</w:t>
      </w:r>
    </w:p>
    <w:p w:rsidR="00BF576B" w:rsidRPr="00E863F3" w:rsidRDefault="00BF576B" w:rsidP="00425142">
      <w:pPr>
        <w:rPr>
          <w:rFonts w:eastAsia="Calibri"/>
        </w:rPr>
      </w:pPr>
      <w:r>
        <w:t>Zaměstnanost v sektoru se z regionálního pohledu meziročně výrazně neproměnila. Ve 4. čtvrtletí roku 2014</w:t>
      </w:r>
      <w:r w:rsidRPr="00EA5D73">
        <w:rPr>
          <w:rStyle w:val="Znakapoznpodarou"/>
        </w:rPr>
        <w:footnoteReference w:id="111"/>
      </w:r>
      <w:r w:rsidRPr="00EA5D73">
        <w:t xml:space="preserve"> b</w:t>
      </w:r>
      <w:r>
        <w:t xml:space="preserve">yl v ČR nejvyšší podíl na celkové zaměstnanosti v sektoru zaznamenán v Kraji Vysočina (12,2 %). Pořadí dalších krajů bylo následující: Jihočeský (11,7 %), Středočeský (11,6 %), Jihomoravský (11,3 %), Moravskoslezský (9,4 %), Pardubický (8,4 %), Plzeňský (7,3 %), Olomoucký (7,2 %), Královéhradecký (5,9 %), Ústecký (5,2 %), Zlínský (5,1 %), Liberecký (2,1 %), Karlovarský (1,7 %) a Hl. m. Praha (0,9 %). Největší meziroční relativní úbytek zaznamenal kraj </w:t>
      </w:r>
      <w:r w:rsidRPr="005B040F">
        <w:t>Královéhradecký (o 2,</w:t>
      </w:r>
      <w:r>
        <w:t>2 p. b.).</w:t>
      </w:r>
    </w:p>
    <w:p w:rsidR="00BF576B" w:rsidRDefault="00BF576B" w:rsidP="00425142">
      <w:r>
        <w:t>Pořadí krajů podle podílu zemědělců na celkové zaměstnanosti kraje se rovněž ve sledovaném období výrazně nezměnilo: Kraj Vysočina (7,3 %), Jihočeský (5,5 %), Pardubický (4,8 %), Plzeňský (3,7 %), Olomoucký (3,6 %), Královéhradecký (3,3 %), Jihomoravský (2,9 %), Zlínský (2,7 %), Středočeský (2,6 %), Moravskoslezský (2,5 %), Ústecký (2,1 %), Karlovarský (1,7 %), Liberecký (1,5 %) a Hl. m. Praha (0,2 %).</w:t>
      </w:r>
    </w:p>
    <w:p w:rsidR="00BF576B" w:rsidRPr="0071676E" w:rsidRDefault="00BF576B" w:rsidP="00425142">
      <w:r w:rsidRPr="0071676E">
        <w:t xml:space="preserve">Pro sledování situace a vývoje na agrárním trhu práce a </w:t>
      </w:r>
      <w:r>
        <w:t xml:space="preserve">pro komparaci s NH </w:t>
      </w:r>
      <w:r w:rsidRPr="0071676E">
        <w:t xml:space="preserve">využívá ÚZEI </w:t>
      </w:r>
      <w:r w:rsidRPr="00644282">
        <w:t>vlastního metodického</w:t>
      </w:r>
      <w:r w:rsidRPr="0071676E">
        <w:t xml:space="preserve"> nástroje – signální míry nezaměstnanosti</w:t>
      </w:r>
      <w:r w:rsidRPr="0071676E">
        <w:rPr>
          <w:rStyle w:val="Znakapoznpodarou"/>
        </w:rPr>
        <w:footnoteReference w:id="112"/>
      </w:r>
      <w:r w:rsidRPr="0071676E">
        <w:t>. Hodnota této míry v sektoru ve 4. čtvrtletí roku 2014 dosahovala 5,0 %, což př</w:t>
      </w:r>
      <w:r>
        <w:t>edstavovalo meziroční snížení o 0,6 p. b. I </w:t>
      </w:r>
      <w:r w:rsidRPr="0071676E">
        <w:t>v celku NH se její hodnota meziročně snížila</w:t>
      </w:r>
      <w:r>
        <w:t>, a to o 0,8 p. b. na </w:t>
      </w:r>
      <w:r w:rsidRPr="0071676E">
        <w:t>4,4 %.</w:t>
      </w:r>
    </w:p>
    <w:p w:rsidR="00BF576B" w:rsidRPr="0071676E" w:rsidRDefault="00BF576B" w:rsidP="00425142">
      <w:r w:rsidRPr="0071676E">
        <w:t xml:space="preserve">Z dlouhodobého hlediska lze konstatovat, že signální míra agrární nezaměstnanosti byla od roku 2003 až do poloviny roku 2008 vyšší, než tomu bylo v NH. Do poloviny roku 2011 se pak držela pod úrovní NH. Od té doby vykazuje vyšší hodnotu zejména ve 4. a 1. čtvrtletí, naopak v období </w:t>
      </w:r>
      <w:r w:rsidR="005227F9">
        <w:t>sezon</w:t>
      </w:r>
      <w:r w:rsidRPr="0071676E">
        <w:t>ních prací se její hodnota dostává pod úroveň NH.</w:t>
      </w:r>
    </w:p>
    <w:p w:rsidR="00BF576B" w:rsidRPr="00DC3BFF" w:rsidRDefault="00BF576B" w:rsidP="00425142">
      <w:r w:rsidRPr="0071676E">
        <w:t xml:space="preserve">Signální míra agrární nezaměstnanosti má nejen svá </w:t>
      </w:r>
      <w:r w:rsidR="005227F9">
        <w:t>sezon</w:t>
      </w:r>
      <w:r w:rsidRPr="0071676E">
        <w:t xml:space="preserve">ní specifika, významná je také disproporce z hlediska pohlaví. Dlouhodobě je tato míra vyšší u žen než </w:t>
      </w:r>
      <w:r>
        <w:t>u </w:t>
      </w:r>
      <w:r w:rsidRPr="0071676E">
        <w:t xml:space="preserve">mužů a rozdíly se meziročně ještě prohloubily – ve </w:t>
      </w:r>
      <w:r>
        <w:t>4. </w:t>
      </w:r>
      <w:r w:rsidRPr="0071676E">
        <w:t xml:space="preserve">čtvrtletí 2014 dosahovala u žen hodnoty 10,4 % (meziroční nárůst o 1,5 p. b.), </w:t>
      </w:r>
      <w:r>
        <w:t>zatímco u </w:t>
      </w:r>
      <w:r w:rsidRPr="0071676E">
        <w:t>mužů 3,1 % (pokles o</w:t>
      </w:r>
      <w:r>
        <w:t> </w:t>
      </w:r>
      <w:r w:rsidRPr="0071676E">
        <w:t xml:space="preserve">1,2 p. b.). V celku NH byla situace </w:t>
      </w:r>
      <w:r>
        <w:t>u </w:t>
      </w:r>
      <w:r w:rsidRPr="0071676E">
        <w:t>žen také n</w:t>
      </w:r>
      <w:r>
        <w:t>evýhodnější, nejedná se ovšem o </w:t>
      </w:r>
      <w:r w:rsidRPr="0071676E">
        <w:t>tak výrazný rozdíl – hodnota signální míry nezaměstnanosti činila u žen 5,3 % (pokles</w:t>
      </w:r>
      <w:r>
        <w:t xml:space="preserve"> o </w:t>
      </w:r>
      <w:r w:rsidRPr="0071676E">
        <w:t>1,1 p. b.) a u mužů 3,7 % (pokles</w:t>
      </w:r>
      <w:r>
        <w:t xml:space="preserve"> </w:t>
      </w:r>
      <w:r w:rsidRPr="007302CD">
        <w:t>o</w:t>
      </w:r>
      <w:r>
        <w:t> </w:t>
      </w:r>
      <w:r w:rsidRPr="007302CD">
        <w:t>0</w:t>
      </w:r>
      <w:r w:rsidRPr="0071676E">
        <w:t>,5 p. b.).</w:t>
      </w:r>
    </w:p>
    <w:p w:rsidR="00BF576B" w:rsidRPr="00AD7843" w:rsidRDefault="00BF576B" w:rsidP="00425142">
      <w:pPr>
        <w:pStyle w:val="Nadpis3"/>
      </w:pPr>
      <w:bookmarkStart w:id="161" w:name="_Toc296443135"/>
      <w:bookmarkStart w:id="162" w:name="_Toc391991503"/>
      <w:bookmarkStart w:id="163" w:name="_Toc424307058"/>
      <w:r w:rsidRPr="00AD7843">
        <w:lastRenderedPageBreak/>
        <w:t>6.7.2</w:t>
      </w:r>
      <w:r w:rsidRPr="00AD7843">
        <w:tab/>
      </w:r>
      <w:r>
        <w:t>Mzdy</w:t>
      </w:r>
      <w:r w:rsidRPr="00AD7843">
        <w:t xml:space="preserve"> zemědělců</w:t>
      </w:r>
      <w:bookmarkEnd w:id="161"/>
      <w:bookmarkEnd w:id="162"/>
      <w:bookmarkEnd w:id="163"/>
    </w:p>
    <w:p w:rsidR="00BF576B" w:rsidRDefault="00BF576B" w:rsidP="00425142">
      <w:pPr>
        <w:rPr>
          <w:rFonts w:eastAsia="Calibri"/>
        </w:rPr>
      </w:pPr>
      <w:r w:rsidRPr="009B723D">
        <w:rPr>
          <w:rFonts w:eastAsia="Calibri"/>
        </w:rPr>
        <w:t xml:space="preserve">Rozhodující část pracovníků v zemědělství ČR </w:t>
      </w:r>
      <w:r>
        <w:rPr>
          <w:rFonts w:eastAsia="Calibri"/>
        </w:rPr>
        <w:t>získává svůj příjem formou mzdy</w:t>
      </w:r>
      <w:r w:rsidRPr="009B723D">
        <w:rPr>
          <w:rFonts w:eastAsia="Calibri"/>
        </w:rPr>
        <w:t xml:space="preserve">, a lze tudíž průběžně sledovat úroveň a vývoj těchto příjmů ze mzdových statistik ČSÚ (do zaměstnanců jsou zde zahrnuti i pracující členové zemědělských družstev). </w:t>
      </w:r>
      <w:r>
        <w:rPr>
          <w:rFonts w:eastAsia="Calibri"/>
        </w:rPr>
        <w:t>M</w:t>
      </w:r>
      <w:r w:rsidRPr="009B723D">
        <w:rPr>
          <w:rFonts w:eastAsia="Calibri"/>
        </w:rPr>
        <w:t>zdy v </w:t>
      </w:r>
      <w:r w:rsidRPr="000F7C85">
        <w:rPr>
          <w:rFonts w:eastAsia="Calibri"/>
        </w:rPr>
        <w:t>zemědělství (vč. lesnictví a rybářství) dlouhodobě</w:t>
      </w:r>
      <w:r w:rsidRPr="009B723D">
        <w:rPr>
          <w:rFonts w:eastAsia="Calibri"/>
        </w:rPr>
        <w:t xml:space="preserve"> </w:t>
      </w:r>
      <w:r w:rsidR="002823A6">
        <w:rPr>
          <w:szCs w:val="24"/>
        </w:rPr>
        <w:t xml:space="preserve">setrvávají pod </w:t>
      </w:r>
      <w:r w:rsidRPr="009B723D">
        <w:rPr>
          <w:rFonts w:eastAsia="Calibri"/>
        </w:rPr>
        <w:t xml:space="preserve">úrovní mezd v průmyslu </w:t>
      </w:r>
      <w:r>
        <w:rPr>
          <w:rFonts w:eastAsia="Calibri"/>
        </w:rPr>
        <w:t>i </w:t>
      </w:r>
      <w:r w:rsidRPr="009B723D">
        <w:rPr>
          <w:rFonts w:eastAsia="Calibri"/>
        </w:rPr>
        <w:t>v národním hospodářství celkem.</w:t>
      </w:r>
      <w:r>
        <w:rPr>
          <w:rFonts w:eastAsia="Calibri"/>
        </w:rPr>
        <w:t xml:space="preserve"> Zatímco</w:t>
      </w:r>
      <w:r w:rsidRPr="00BC7806">
        <w:rPr>
          <w:rFonts w:eastAsia="Calibri"/>
        </w:rPr>
        <w:t xml:space="preserve"> </w:t>
      </w:r>
      <w:r>
        <w:rPr>
          <w:rFonts w:eastAsia="Calibri"/>
        </w:rPr>
        <w:t>v roce 2013 se v ČR všeobecně projevilo silné zpomalení růstu mezd (zejména v souvislosti s doznívající hospodářskou krizí), rok 2014 již zaznamenával vyšší mzdové nárůsty, ve většině hlavních odvětví na úrovni 2-3 %. V</w:t>
      </w:r>
      <w:r w:rsidRPr="00BC7806">
        <w:rPr>
          <w:rFonts w:eastAsia="Calibri"/>
        </w:rPr>
        <w:t xml:space="preserve"> národním hospodářství celkem </w:t>
      </w:r>
      <w:r>
        <w:rPr>
          <w:rFonts w:eastAsia="Calibri"/>
        </w:rPr>
        <w:t xml:space="preserve">tak </w:t>
      </w:r>
      <w:r w:rsidRPr="00BC7806">
        <w:rPr>
          <w:rFonts w:eastAsia="Calibri"/>
        </w:rPr>
        <w:t>vzrostla průměrná mzda</w:t>
      </w:r>
      <w:r w:rsidRPr="0064327F">
        <w:rPr>
          <w:rStyle w:val="Znakypropoznmkupodarou"/>
          <w:rFonts w:eastAsia="Calibri"/>
        </w:rPr>
        <w:footnoteReference w:id="113"/>
      </w:r>
      <w:r w:rsidRPr="00BC7806">
        <w:rPr>
          <w:rFonts w:eastAsia="Calibri"/>
        </w:rPr>
        <w:t xml:space="preserve"> (</w:t>
      </w:r>
      <w:proofErr w:type="spellStart"/>
      <w:r w:rsidRPr="00BC7806">
        <w:rPr>
          <w:rFonts w:eastAsia="Calibri"/>
        </w:rPr>
        <w:t>příl</w:t>
      </w:r>
      <w:proofErr w:type="spellEnd"/>
      <w:r w:rsidRPr="00BC7806">
        <w:rPr>
          <w:rFonts w:eastAsia="Calibri"/>
        </w:rPr>
        <w:t>.</w:t>
      </w:r>
      <w:r>
        <w:rPr>
          <w:rFonts w:eastAsia="Calibri"/>
        </w:rPr>
        <w:t xml:space="preserve"> </w:t>
      </w:r>
      <w:r w:rsidRPr="00BC7806">
        <w:rPr>
          <w:rFonts w:eastAsia="Calibri"/>
        </w:rPr>
        <w:t xml:space="preserve">tab. 6.7/01) </w:t>
      </w:r>
      <w:r>
        <w:rPr>
          <w:rFonts w:eastAsia="Calibri"/>
        </w:rPr>
        <w:t>o 2</w:t>
      </w:r>
      <w:r w:rsidRPr="00BC7806">
        <w:rPr>
          <w:rFonts w:eastAsia="Calibri"/>
        </w:rPr>
        <w:t>,</w:t>
      </w:r>
      <w:r>
        <w:rPr>
          <w:rFonts w:eastAsia="Calibri"/>
        </w:rPr>
        <w:t>4</w:t>
      </w:r>
      <w:r w:rsidRPr="00BC7806">
        <w:rPr>
          <w:rFonts w:eastAsia="Calibri"/>
        </w:rPr>
        <w:t> % na 25 </w:t>
      </w:r>
      <w:r>
        <w:rPr>
          <w:rFonts w:eastAsia="Calibri"/>
        </w:rPr>
        <w:t>686</w:t>
      </w:r>
      <w:r w:rsidRPr="00BC7806">
        <w:rPr>
          <w:rFonts w:eastAsia="Calibri"/>
        </w:rPr>
        <w:t xml:space="preserve"> Kč</w:t>
      </w:r>
      <w:r>
        <w:rPr>
          <w:rFonts w:eastAsia="Calibri"/>
        </w:rPr>
        <w:t>. Průmysl</w:t>
      </w:r>
      <w:r w:rsidRPr="00BC7806">
        <w:rPr>
          <w:rFonts w:eastAsia="Calibri"/>
        </w:rPr>
        <w:t xml:space="preserve"> </w:t>
      </w:r>
      <w:r>
        <w:rPr>
          <w:rFonts w:eastAsia="Calibri"/>
        </w:rPr>
        <w:t xml:space="preserve">se </w:t>
      </w:r>
      <w:r w:rsidRPr="00BC7806">
        <w:rPr>
          <w:rFonts w:eastAsia="Calibri"/>
        </w:rPr>
        <w:t xml:space="preserve">s nárůstem </w:t>
      </w:r>
      <w:r>
        <w:rPr>
          <w:rFonts w:eastAsia="Calibri"/>
        </w:rPr>
        <w:t>2</w:t>
      </w:r>
      <w:r w:rsidRPr="00BC7806">
        <w:rPr>
          <w:rFonts w:eastAsia="Calibri"/>
        </w:rPr>
        <w:t>,</w:t>
      </w:r>
      <w:r>
        <w:rPr>
          <w:rFonts w:eastAsia="Calibri"/>
        </w:rPr>
        <w:t>8</w:t>
      </w:r>
      <w:r w:rsidRPr="00BC7806">
        <w:rPr>
          <w:rFonts w:eastAsia="Calibri"/>
        </w:rPr>
        <w:t> % (na 2</w:t>
      </w:r>
      <w:r>
        <w:rPr>
          <w:rFonts w:eastAsia="Calibri"/>
        </w:rPr>
        <w:t>6</w:t>
      </w:r>
      <w:r w:rsidRPr="00BC7806">
        <w:rPr>
          <w:rFonts w:eastAsia="Calibri"/>
        </w:rPr>
        <w:t> </w:t>
      </w:r>
      <w:r>
        <w:rPr>
          <w:rFonts w:eastAsia="Calibri"/>
        </w:rPr>
        <w:t>083</w:t>
      </w:r>
      <w:r w:rsidRPr="00BC7806">
        <w:rPr>
          <w:rFonts w:eastAsia="Calibri"/>
        </w:rPr>
        <w:t xml:space="preserve"> Kč) </w:t>
      </w:r>
      <w:r>
        <w:rPr>
          <w:rFonts w:eastAsia="Calibri"/>
        </w:rPr>
        <w:t>řadil k úspěšnějším odvětvím (ve </w:t>
      </w:r>
      <w:r w:rsidRPr="00BC7806">
        <w:rPr>
          <w:rFonts w:eastAsia="Calibri"/>
        </w:rPr>
        <w:t>stavebnictví, kde se krize</w:t>
      </w:r>
      <w:r>
        <w:rPr>
          <w:rFonts w:eastAsia="Calibri"/>
        </w:rPr>
        <w:t xml:space="preserve"> velmi silně a setrvale projevovala, došlo k mírnějšímu meziročnímu nárůstu</w:t>
      </w:r>
      <w:r w:rsidRPr="001504D9">
        <w:rPr>
          <w:rFonts w:eastAsia="Calibri"/>
        </w:rPr>
        <w:t>, tj. 1,8 %).</w:t>
      </w:r>
      <w:r w:rsidRPr="00BC7806">
        <w:rPr>
          <w:rFonts w:eastAsia="Calibri"/>
        </w:rPr>
        <w:t xml:space="preserve"> Průmysl </w:t>
      </w:r>
      <w:r w:rsidRPr="001504D9">
        <w:rPr>
          <w:rFonts w:eastAsia="Calibri"/>
        </w:rPr>
        <w:t>tak dále mírně</w:t>
      </w:r>
      <w:r w:rsidRPr="00BC7806">
        <w:rPr>
          <w:rFonts w:eastAsia="Calibri"/>
        </w:rPr>
        <w:t xml:space="preserve"> navýšil svůj náskok (dosažený v roce 2012) před průměrem národního hospodářství. V zemědělství </w:t>
      </w:r>
      <w:r>
        <w:rPr>
          <w:rFonts w:eastAsia="Calibri"/>
        </w:rPr>
        <w:t>(vč. lesnictví a rybářství) vzrostla mzda</w:t>
      </w:r>
      <w:r w:rsidRPr="00BC7806">
        <w:rPr>
          <w:rFonts w:eastAsia="Calibri"/>
        </w:rPr>
        <w:t xml:space="preserve"> </w:t>
      </w:r>
      <w:r>
        <w:rPr>
          <w:rFonts w:eastAsia="Calibri"/>
        </w:rPr>
        <w:t xml:space="preserve">podobně jako v průmyslu o </w:t>
      </w:r>
      <w:r w:rsidRPr="00BC7806">
        <w:rPr>
          <w:rFonts w:eastAsia="Calibri"/>
        </w:rPr>
        <w:t>2,</w:t>
      </w:r>
      <w:r>
        <w:rPr>
          <w:rFonts w:eastAsia="Calibri"/>
        </w:rPr>
        <w:t>9</w:t>
      </w:r>
      <w:r w:rsidRPr="00BC7806">
        <w:rPr>
          <w:rFonts w:eastAsia="Calibri"/>
        </w:rPr>
        <w:t xml:space="preserve"> % </w:t>
      </w:r>
      <w:r>
        <w:rPr>
          <w:rFonts w:eastAsia="Calibri"/>
        </w:rPr>
        <w:t xml:space="preserve">a dosáhla </w:t>
      </w:r>
      <w:r w:rsidRPr="00BC7806">
        <w:rPr>
          <w:rFonts w:eastAsia="Calibri"/>
        </w:rPr>
        <w:t>2</w:t>
      </w:r>
      <w:r>
        <w:rPr>
          <w:rFonts w:eastAsia="Calibri"/>
        </w:rPr>
        <w:t>1</w:t>
      </w:r>
      <w:r w:rsidRPr="00BC7806">
        <w:rPr>
          <w:rFonts w:eastAsia="Calibri"/>
        </w:rPr>
        <w:t> </w:t>
      </w:r>
      <w:r>
        <w:rPr>
          <w:rFonts w:eastAsia="Calibri"/>
        </w:rPr>
        <w:t>117</w:t>
      </w:r>
      <w:r w:rsidRPr="00BC7806">
        <w:rPr>
          <w:rFonts w:eastAsia="Calibri"/>
        </w:rPr>
        <w:t xml:space="preserve"> Kč. </w:t>
      </w:r>
      <w:r>
        <w:rPr>
          <w:rFonts w:eastAsia="Calibri"/>
        </w:rPr>
        <w:t xml:space="preserve">Jestliže v minulém roce docházelo </w:t>
      </w:r>
      <w:r w:rsidRPr="00BC7806">
        <w:rPr>
          <w:rFonts w:eastAsia="Calibri"/>
        </w:rPr>
        <w:t>v rámci národního hospodářství k určitému vyrovnávání mzdových rozdílů</w:t>
      </w:r>
      <w:r>
        <w:rPr>
          <w:rFonts w:eastAsia="Calibri"/>
        </w:rPr>
        <w:t>, pak v roce 2014 již tento trend všeobecně nepokračoval (projevoval se už pouze v některých případech). P</w:t>
      </w:r>
      <w:r w:rsidRPr="00BC7806">
        <w:rPr>
          <w:rFonts w:eastAsia="Calibri"/>
        </w:rPr>
        <w:t xml:space="preserve">eněžnictví a pojišťovnictví </w:t>
      </w:r>
      <w:r>
        <w:rPr>
          <w:rFonts w:eastAsia="Calibri"/>
        </w:rPr>
        <w:t>vykázalo nejvyšší mzdový nárůst (3,3 %) a upevnilo svou vedoucí pozici ve výši průměrných mezd v rámci všech odvětví NH.</w:t>
      </w:r>
    </w:p>
    <w:p w:rsidR="00BF576B" w:rsidRDefault="00BF576B" w:rsidP="00425142">
      <w:pPr>
        <w:rPr>
          <w:rFonts w:eastAsia="Calibri"/>
        </w:rPr>
      </w:pPr>
      <w:r w:rsidRPr="002823A6">
        <w:rPr>
          <w:rFonts w:eastAsia="Calibri"/>
        </w:rPr>
        <w:t xml:space="preserve">Mzdová disparita zemědělství (vč. lesnictví a rybářství) se vůči průmyslu prakticky nezměnila a zůstala na úrovni 81,0 %, </w:t>
      </w:r>
      <w:r w:rsidR="002823A6">
        <w:rPr>
          <w:szCs w:val="24"/>
        </w:rPr>
        <w:t xml:space="preserve">relace mezd </w:t>
      </w:r>
      <w:r w:rsidRPr="002823A6">
        <w:rPr>
          <w:rFonts w:eastAsia="Calibri"/>
        </w:rPr>
        <w:t xml:space="preserve">vůči národnímu hospodářství celkem se </w:t>
      </w:r>
      <w:r w:rsidR="002823A6">
        <w:rPr>
          <w:szCs w:val="24"/>
        </w:rPr>
        <w:t xml:space="preserve">zvýšila </w:t>
      </w:r>
      <w:r w:rsidRPr="002823A6">
        <w:rPr>
          <w:rFonts w:eastAsia="Calibri"/>
        </w:rPr>
        <w:t>o 0,3 p. b. na 82,2 %</w:t>
      </w:r>
      <w:r w:rsidRPr="002823A6">
        <w:rPr>
          <w:rStyle w:val="Znakypropoznmkupodarou"/>
          <w:rFonts w:eastAsia="Calibri"/>
        </w:rPr>
        <w:footnoteReference w:id="114"/>
      </w:r>
      <w:r w:rsidRPr="002823A6">
        <w:rPr>
          <w:rFonts w:eastAsia="Calibri"/>
        </w:rPr>
        <w:t>. Nepříznivý je nárůst absolutního schodku v průměrné mzdě v zemědělství vůči průmyslu – dosáhl již zhruba 5 tis. Kč (4 966 Kč). Vůči národnímu hospodářství se prakticky nezměnil (prohloubil se o 23 Kč na 4 569 Kč). Rozdíl ve mzdách je nižší u nekvalifikovaných pracovníků a narůstá s úrovní vzdělání a pracovní pozicí, nejvyšší je u řídících pracovníků (tito v zemědělství pobírají mzdu jen o málo vyšší než poloviční ve srovnání s řídícími pracovníky v průmyslu).</w:t>
      </w:r>
    </w:p>
    <w:p w:rsidR="00BF576B" w:rsidRPr="002C4804" w:rsidRDefault="00BF576B" w:rsidP="00425142">
      <w:pPr>
        <w:rPr>
          <w:rFonts w:eastAsia="Calibri"/>
        </w:rPr>
      </w:pPr>
      <w:r w:rsidRPr="00B5358B">
        <w:rPr>
          <w:rFonts w:eastAsia="Calibri"/>
        </w:rPr>
        <w:t>Spotřebitelské ceny vzrostly v roce 2014 pouze o 0,4 %, ve srovnání s předchozím rokem tak došlo k dalšímu významnému zpomalení tempa jejich růstu a přiblížení k deflaci. Ve spojení s výraznějšími nárůsty nominálních mezd to znamenalo v národním hospodářství zvýšení reálné mzdy o 2,0 %, v průmyslu a v zemědělství o 2,4 %</w:t>
      </w:r>
      <w:r>
        <w:rPr>
          <w:rFonts w:eastAsia="Calibri"/>
        </w:rPr>
        <w:t>, resp. o 2,5 %</w:t>
      </w:r>
      <w:r w:rsidRPr="00B5358B">
        <w:rPr>
          <w:rFonts w:eastAsia="Calibri"/>
        </w:rPr>
        <w:t xml:space="preserve">. Ve všech </w:t>
      </w:r>
      <w:r w:rsidRPr="002C4804">
        <w:rPr>
          <w:rFonts w:eastAsia="Calibri"/>
        </w:rPr>
        <w:t>srovnávaných sektorech tak oproti roku 2013 došlo ke zlepšení situace.</w:t>
      </w:r>
    </w:p>
    <w:p w:rsidR="00BF576B" w:rsidRPr="00BC7806" w:rsidRDefault="00BF576B" w:rsidP="00425142">
      <w:pPr>
        <w:rPr>
          <w:rFonts w:eastAsia="Calibri"/>
        </w:rPr>
      </w:pPr>
      <w:r w:rsidRPr="00663871">
        <w:rPr>
          <w:rFonts w:eastAsia="Calibri"/>
        </w:rPr>
        <w:t xml:space="preserve">Celkový objem mzdových prostředků (bez ostatních osobních nákladů) v zemědělství vzrostl meziročně o 2,9 %, což je rychlejší nárůst než v předchozím roce. K výrazně vyššímu </w:t>
      </w:r>
      <w:r w:rsidRPr="00663871">
        <w:rPr>
          <w:rFonts w:eastAsia="Calibri"/>
        </w:rPr>
        <w:lastRenderedPageBreak/>
        <w:t>nárůstu došlo v průmyslu (4,1 %)</w:t>
      </w:r>
      <w:r>
        <w:rPr>
          <w:rFonts w:eastAsia="Calibri"/>
        </w:rPr>
        <w:t>, od</w:t>
      </w:r>
      <w:r w:rsidRPr="00663871">
        <w:rPr>
          <w:rFonts w:eastAsia="Calibri"/>
        </w:rPr>
        <w:t xml:space="preserve"> nárůstu v celém národním hospodářství (3,0 %) se </w:t>
      </w:r>
      <w:r>
        <w:rPr>
          <w:rFonts w:eastAsia="Calibri"/>
        </w:rPr>
        <w:t xml:space="preserve">pak </w:t>
      </w:r>
      <w:r w:rsidRPr="00663871">
        <w:rPr>
          <w:rFonts w:eastAsia="Calibri"/>
        </w:rPr>
        <w:t>zemědělství příliš neodlišovalo. Použité mzdové prostředky v zemědělství (vč. lesnictví a rybářství) činily i nadále přibližně dvouprocentní podíl na celkových mzdových prostředcích vyplacených v ČR.</w:t>
      </w:r>
    </w:p>
    <w:p w:rsidR="00BF576B" w:rsidRPr="00FF70C1" w:rsidRDefault="00BF576B" w:rsidP="00FF70C1">
      <w:r w:rsidRPr="00B25AEE">
        <w:rPr>
          <w:rFonts w:eastAsia="Calibri"/>
        </w:rPr>
        <w:t xml:space="preserve">Vývoj mezd v zemědělství </w:t>
      </w:r>
      <w:r>
        <w:rPr>
          <w:rFonts w:eastAsia="Calibri"/>
        </w:rPr>
        <w:t xml:space="preserve">se v roce 2014 významně neodlišoval od národního hospodářství jako celku a v relativním nárůstu kopíroval mzdový vývoj v průmyslu. Nedošlo tak k zásadní změně v disparitě zemědělských </w:t>
      </w:r>
      <w:r w:rsidRPr="00686DB6">
        <w:rPr>
          <w:rFonts w:eastAsia="Calibri"/>
        </w:rPr>
        <w:t>mezd (relativně vyjádřené), přičemž</w:t>
      </w:r>
      <w:r>
        <w:rPr>
          <w:rFonts w:eastAsia="Calibri"/>
        </w:rPr>
        <w:t xml:space="preserve"> však absolutní schodek zejména vůči průmyslu ještě narostl, a to za situace, kdy pro zemědělství byl hodnocený rok hospodářsky celkově příznivý.</w:t>
      </w:r>
    </w:p>
    <w:p w:rsidR="005A312F" w:rsidRPr="00720671" w:rsidRDefault="005A312F" w:rsidP="00D26858">
      <w:pPr>
        <w:pStyle w:val="Nadpis1"/>
      </w:pPr>
      <w:bookmarkStart w:id="164" w:name="_Toc384382589"/>
      <w:bookmarkStart w:id="165" w:name="_Toc385946933"/>
      <w:bookmarkStart w:id="166" w:name="_Toc424307059"/>
      <w:r w:rsidRPr="00720671">
        <w:t>7</w:t>
      </w:r>
      <w:r w:rsidRPr="00720671">
        <w:tab/>
        <w:t>Půda a vlastnické vztahy k půdě</w:t>
      </w:r>
      <w:bookmarkEnd w:id="164"/>
      <w:bookmarkEnd w:id="165"/>
      <w:bookmarkEnd w:id="166"/>
    </w:p>
    <w:p w:rsidR="00B60D53" w:rsidRDefault="00B60D53" w:rsidP="00B60D53">
      <w:pPr>
        <w:pStyle w:val="souhrn-kap"/>
      </w:pPr>
      <w:bookmarkStart w:id="167" w:name="_Toc328053833"/>
      <w:bookmarkStart w:id="168" w:name="_Toc359920559"/>
      <w:bookmarkStart w:id="169" w:name="_Toc384382590"/>
      <w:bookmarkStart w:id="170" w:name="_Toc385946934"/>
      <w:r w:rsidRPr="00A36D5D">
        <w:t xml:space="preserve">Během </w:t>
      </w:r>
      <w:r>
        <w:t xml:space="preserve">více než </w:t>
      </w:r>
      <w:r w:rsidRPr="00A36D5D">
        <w:t xml:space="preserve">20 let realizace pozemkových úprav jsou dokončené nebo rozpracované KPÚ a JPÚ </w:t>
      </w:r>
      <w:r>
        <w:t xml:space="preserve">zhruba </w:t>
      </w:r>
      <w:r w:rsidRPr="00A36D5D">
        <w:t xml:space="preserve">na </w:t>
      </w:r>
      <w:r>
        <w:t>třetině výměry</w:t>
      </w:r>
      <w:r w:rsidRPr="00A36D5D">
        <w:t xml:space="preserve"> z. p.</w:t>
      </w:r>
      <w:r>
        <w:t xml:space="preserve"> ČR a c</w:t>
      </w:r>
      <w:r w:rsidRPr="00A36D5D">
        <w:t>elkové náklady</w:t>
      </w:r>
      <w:r>
        <w:t xml:space="preserve"> na ně</w:t>
      </w:r>
      <w:r w:rsidRPr="00A36D5D">
        <w:t xml:space="preserve"> dosáhly </w:t>
      </w:r>
      <w:r w:rsidRPr="00EC631B">
        <w:t>2</w:t>
      </w:r>
      <w:r>
        <w:t>5</w:t>
      </w:r>
      <w:r w:rsidRPr="00EC631B">
        <w:t>,</w:t>
      </w:r>
      <w:r>
        <w:t>4</w:t>
      </w:r>
      <w:r w:rsidRPr="00EC631B">
        <w:t xml:space="preserve"> mld. Kč, </w:t>
      </w:r>
      <w:r>
        <w:t xml:space="preserve">Ve srovnání s rokem </w:t>
      </w:r>
      <w:r w:rsidRPr="00A36D5D">
        <w:t>201</w:t>
      </w:r>
      <w:r>
        <w:t>3</w:t>
      </w:r>
      <w:r w:rsidRPr="00A36D5D">
        <w:t xml:space="preserve"> došlo</w:t>
      </w:r>
      <w:r>
        <w:t xml:space="preserve"> v roce 2014</w:t>
      </w:r>
      <w:r w:rsidRPr="00A36D5D">
        <w:t xml:space="preserve"> </w:t>
      </w:r>
      <w:r>
        <w:t>k výraznému navýšení finančních prostředků pro realizaci pozemkových úprav, a to</w:t>
      </w:r>
      <w:r w:rsidRPr="00A36D5D">
        <w:t xml:space="preserve"> na </w:t>
      </w:r>
      <w:r>
        <w:t>2</w:t>
      </w:r>
      <w:r w:rsidRPr="00A36D5D">
        <w:t>,</w:t>
      </w:r>
      <w:r>
        <w:t>17 mld. Kč. Navýšení bylo dosaženo převážně financováním z rozpočtu PRV. Objem zobchodované půdy vykazuje dlouhodobý trend poklesu. Podle odhadu bylo</w:t>
      </w:r>
      <w:r w:rsidRPr="00A36D5D">
        <w:t> </w:t>
      </w:r>
      <w:r>
        <w:t>v </w:t>
      </w:r>
      <w:r w:rsidRPr="00A36D5D">
        <w:t>roce</w:t>
      </w:r>
      <w:r>
        <w:t> 2014</w:t>
      </w:r>
      <w:r w:rsidRPr="00A36D5D">
        <w:t xml:space="preserve"> zobchodov</w:t>
      </w:r>
      <w:r>
        <w:t>áno</w:t>
      </w:r>
      <w:r w:rsidRPr="00A36D5D">
        <w:t xml:space="preserve"> </w:t>
      </w:r>
      <w:r>
        <w:t>1,97</w:t>
      </w:r>
      <w:r w:rsidRPr="00A36D5D">
        <w:t xml:space="preserve"> % ZPF, což v absolutním vyjádření </w:t>
      </w:r>
      <w:r>
        <w:t>představuje</w:t>
      </w:r>
      <w:r w:rsidRPr="00A36D5D">
        <w:t xml:space="preserve"> </w:t>
      </w:r>
      <w:r>
        <w:t>79</w:t>
      </w:r>
      <w:r w:rsidRPr="00A36D5D">
        <w:t xml:space="preserve"> tis. ha. </w:t>
      </w:r>
      <w:r>
        <w:t xml:space="preserve">V rámci převodů státní půdy bylo z vyčleněné </w:t>
      </w:r>
      <w:r w:rsidRPr="00A36D5D">
        <w:t xml:space="preserve">celkové nabídky státní půdy </w:t>
      </w:r>
      <w:r>
        <w:t xml:space="preserve">od roku 1999 doposud úplatně nebo bezúplatně převedeno téměř </w:t>
      </w:r>
      <w:r w:rsidRPr="00117F4B">
        <w:t>575 t</w:t>
      </w:r>
      <w:r>
        <w:t xml:space="preserve">is. ha z. p. </w:t>
      </w:r>
      <w:r w:rsidRPr="002C4E1B">
        <w:t>Vývoj tržních cen zemědělské půdy</w:t>
      </w:r>
      <w:r>
        <w:t>, přes mírný pokles v roce 2014, sleduje všeobecný trend růstu tržních cen zemědělské půdy a průměrná tržní cena zemědělské půdy se podle uváděných zdrojů v průměru pohybuje nad úrovní 11 Kč/m</w:t>
      </w:r>
      <w:r w:rsidRPr="007B11A8">
        <w:rPr>
          <w:vertAlign w:val="superscript"/>
        </w:rPr>
        <w:t>2</w:t>
      </w:r>
      <w:r>
        <w:t xml:space="preserve">. </w:t>
      </w:r>
      <w:r w:rsidRPr="00F01F81">
        <w:t xml:space="preserve">V rámci </w:t>
      </w:r>
      <w:r>
        <w:t>restitučních</w:t>
      </w:r>
      <w:r w:rsidRPr="00F01F81">
        <w:t xml:space="preserve"> řízení b</w:t>
      </w:r>
      <w:r>
        <w:t>ylo doposud rozhodnuto celkem o </w:t>
      </w:r>
      <w:r w:rsidRPr="00D85DBC">
        <w:t>1</w:t>
      </w:r>
      <w:r>
        <w:t> 723 tis. ha zemědělské a lesní půdy. Objem státní půdy vyčleněné k propachtování v roce 2014 byl 177 tis. ha, z toho skutečně propachtováno bylo 146 tis. ha.</w:t>
      </w:r>
    </w:p>
    <w:p w:rsidR="00B60D53" w:rsidRPr="00F01F81" w:rsidRDefault="00B60D53" w:rsidP="00B60D53">
      <w:pPr>
        <w:pStyle w:val="souhrn-kap"/>
      </w:pPr>
      <w:r w:rsidRPr="004D6882">
        <w:t xml:space="preserve">Proti roku 2013 došlo v roce 2014 ke snížení </w:t>
      </w:r>
      <w:r w:rsidR="004559E9">
        <w:t xml:space="preserve">výměry </w:t>
      </w:r>
      <w:r w:rsidRPr="004D6882">
        <w:t xml:space="preserve">z. p. o cca 4,2 tis. ha, tj. o 0,1 %. V rámci nejvýznamnějších </w:t>
      </w:r>
      <w:r w:rsidR="004559E9">
        <w:t>druhů pozemků</w:t>
      </w:r>
      <w:r w:rsidRPr="004D6882">
        <w:t xml:space="preserve"> na z. p. došlo podle ČÚZK v roce 2014 především ke snížení výměry orné půdy o 6,8 tis. ha, oproti tomu však vzrostla výměra kultury trvalých travních porostů o 2,8 tis. ha. Dochází k </w:t>
      </w:r>
      <w:r w:rsidR="004559E9">
        <w:t>poklesu velikosti parcel katastru nemovitostí</w:t>
      </w:r>
      <w:r w:rsidRPr="004D6882">
        <w:t xml:space="preserve">, </w:t>
      </w:r>
      <w:r w:rsidR="004559E9">
        <w:t>z části jejich dělením a z části při obnově katastrálního operátu v rámci probíhající digitalizace katastrálních map, při které jsou do katastrální mapy doplňovány parcely dosud vedené ve zjednodušené evidenci</w:t>
      </w:r>
      <w:r w:rsidRPr="004D6882">
        <w:t>. V roce 2014 narostl meziročně počet vlastnických parcel zemědělské půdy o 393 tis. Celková výměra půdy podle evidence LPIS se zvýšila na 3 554 tis. ha, což signalizuje dostatečný zájem o podnikání v zemědělství. Konkurenceschopnost zemědělství vlivem nevhodného vztahu k zemědělské půdě se snižuje úbytkem její výměry a kvality. Od roku 1966 se snížila výměra zemědělské půdy o 297 tis. ha. Vlivem změn druhů pozemků je potenciální roční ztráta produkce přibližně 172 mil. Kč, vůči roku 1995 znamenal úbytek plochy půdy v roce 2014 ztrátu produkce téměř 3,75 mld. Kč. Degradace půdy je často způsobena volbou nevhodných technologií a osevním sledem. V současné době je přibližně 26 % půd postiženo nadlimitním utužením. Odhad přímé roční ekonomické ztráty na produkci způsobené utužením podorničí je cca 410 mil. Kč.</w:t>
      </w:r>
    </w:p>
    <w:p w:rsidR="005A312F" w:rsidRPr="00720671" w:rsidRDefault="005A312F" w:rsidP="00D26858">
      <w:pPr>
        <w:pStyle w:val="Nadpis2"/>
      </w:pPr>
      <w:bookmarkStart w:id="171" w:name="_Toc424307060"/>
      <w:r w:rsidRPr="00720671">
        <w:t>7.1</w:t>
      </w:r>
      <w:r w:rsidRPr="00720671">
        <w:tab/>
        <w:t>Pozemkové úpravy</w:t>
      </w:r>
      <w:bookmarkEnd w:id="167"/>
      <w:bookmarkEnd w:id="168"/>
      <w:bookmarkEnd w:id="169"/>
      <w:bookmarkEnd w:id="170"/>
      <w:bookmarkEnd w:id="171"/>
    </w:p>
    <w:p w:rsidR="005A312F" w:rsidRDefault="005A312F" w:rsidP="00D26858">
      <w:r w:rsidRPr="00720671">
        <w:t>Pozemkové úpravy naplňují preambuli zákona č.</w:t>
      </w:r>
      <w:r>
        <w:t> </w:t>
      </w:r>
      <w:r w:rsidRPr="00720671">
        <w:t>229/1991</w:t>
      </w:r>
      <w:r>
        <w:t> </w:t>
      </w:r>
      <w:r w:rsidRPr="00720671">
        <w:t>Sb.</w:t>
      </w:r>
      <w:r>
        <w:t xml:space="preserve">, </w:t>
      </w:r>
      <w:r w:rsidRPr="00720671">
        <w:t xml:space="preserve">o </w:t>
      </w:r>
      <w:r>
        <w:t>úpravě vlastnických vztahů k půdě a jinému zemědělskému majetku</w:t>
      </w:r>
      <w:r w:rsidRPr="00720671">
        <w:t xml:space="preserve">, podle které se mají upravovat vlastnické vztahy k půdě v souladu se zájmy hospodářského rozvoje venkova i v souladu s požadavky na </w:t>
      </w:r>
      <w:r w:rsidRPr="00720671">
        <w:lastRenderedPageBreak/>
        <w:t>tvorbu krajiny a životního prostředí</w:t>
      </w:r>
      <w:r w:rsidRPr="000A6662">
        <w:t xml:space="preserve">. </w:t>
      </w:r>
      <w:r w:rsidRPr="00C00E10">
        <w:t>V rámci pozemkových úprav se mimo jiné vyjasňují vlastnické vztahy, tzn. upřesňuje se katastr nemovitostí a vzniká nová digitální katastrální mapa. Součástí návrhu pozemkové úpravy je plán</w:t>
      </w:r>
      <w:r>
        <w:t xml:space="preserve"> společných zařízení zahrnující technické a další opatření sloužící ke zpřístupnění pozemků, protierozní opatření, vodohospodářská opatření a opatření k ochraně a tvorbě životního prostředí.</w:t>
      </w:r>
    </w:p>
    <w:p w:rsidR="005A312F" w:rsidRDefault="005A312F" w:rsidP="00D26858">
      <w:r w:rsidRPr="00720671">
        <w:t>Pozemkové úpravy</w:t>
      </w:r>
      <w:r w:rsidRPr="00720671">
        <w:rPr>
          <w:rStyle w:val="Znakapoznpodarou"/>
        </w:rPr>
        <w:footnoteReference w:id="115"/>
      </w:r>
      <w:r w:rsidRPr="00720671">
        <w:t xml:space="preserve"> započaly v roce 1991 a v </w:t>
      </w:r>
      <w:r>
        <w:t>současné době jsou jednoduché a </w:t>
      </w:r>
      <w:r w:rsidRPr="00720671">
        <w:t>komplexní pozemkové úpravy provedeny na zhruba 26,62 % výměry zemědělského půdního fondu, na dalších zhruba 8,82 % půdy jsou pozemkové úpravy ve stádiu řešení.</w:t>
      </w:r>
    </w:p>
    <w:p w:rsidR="005A312F" w:rsidRPr="00720671" w:rsidRDefault="005A312F" w:rsidP="00D26858">
      <w:r w:rsidRPr="00720671">
        <w:t>Celková výměra se zahájenými nebo do</w:t>
      </w:r>
      <w:r>
        <w:t xml:space="preserve">končenými pozemkovými úpravami </w:t>
      </w:r>
      <w:r w:rsidRPr="00720671">
        <w:t>představuje rozlohu více než 1 504</w:t>
      </w:r>
      <w:r>
        <w:t xml:space="preserve"> tis. ha z. p. </w:t>
      </w:r>
      <w:r w:rsidRPr="00720671">
        <w:t>Tab. T7.1/01 znázorňuje stav provádění pozemkových úprav v roce 2014.</w:t>
      </w:r>
    </w:p>
    <w:p w:rsidR="005A312F" w:rsidRPr="00B9178B" w:rsidRDefault="005A312F" w:rsidP="00D26858">
      <w:pPr>
        <w:pStyle w:val="mezera"/>
      </w:pPr>
    </w:p>
    <w:p w:rsidR="005A312F" w:rsidRPr="00B9178B" w:rsidRDefault="005A312F" w:rsidP="00D26858">
      <w:pPr>
        <w:pStyle w:val="mezera"/>
      </w:pPr>
      <w:r w:rsidRPr="00EC42D3">
        <w:rPr>
          <w:noProof/>
          <w:lang w:eastAsia="cs-CZ"/>
        </w:rPr>
        <w:drawing>
          <wp:inline distT="0" distB="0" distL="0" distR="0" wp14:anchorId="298A044B" wp14:editId="2ED3779B">
            <wp:extent cx="5760720" cy="1746610"/>
            <wp:effectExtent l="0" t="0" r="0" b="63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720" cy="1746610"/>
                    </a:xfrm>
                    <a:prstGeom prst="rect">
                      <a:avLst/>
                    </a:prstGeom>
                    <a:noFill/>
                    <a:ln>
                      <a:noFill/>
                    </a:ln>
                  </pic:spPr>
                </pic:pic>
              </a:graphicData>
            </a:graphic>
          </wp:inline>
        </w:drawing>
      </w:r>
    </w:p>
    <w:p w:rsidR="005A312F" w:rsidRPr="00B9178B" w:rsidRDefault="005A312F" w:rsidP="00D26858">
      <w:pPr>
        <w:pStyle w:val="mezera"/>
      </w:pPr>
    </w:p>
    <w:p w:rsidR="005A312F" w:rsidRPr="005D7D6E" w:rsidRDefault="005A312F" w:rsidP="00D26858">
      <w:r>
        <w:t>Zcela ukončeny byly pozemkové úpravy na 4 185 z</w:t>
      </w:r>
      <w:r w:rsidRPr="00720671">
        <w:t xml:space="preserve"> </w:t>
      </w:r>
      <w:r w:rsidRPr="002A3943">
        <w:t>celkového počtu 13 09</w:t>
      </w:r>
      <w:r>
        <w:t>9 </w:t>
      </w:r>
      <w:r w:rsidRPr="002A3943">
        <w:t>katastrálních</w:t>
      </w:r>
      <w:r w:rsidRPr="00720671">
        <w:t xml:space="preserve"> území v</w:t>
      </w:r>
      <w:r>
        <w:t> </w:t>
      </w:r>
      <w:r w:rsidRPr="00720671">
        <w:t>ČR</w:t>
      </w:r>
      <w:r>
        <w:t>.</w:t>
      </w:r>
      <w:r w:rsidRPr="00720671">
        <w:t xml:space="preserve"> </w:t>
      </w:r>
      <w:r w:rsidRPr="005D7D6E">
        <w:t>V rámci pozemkových úprav bylo dosud vybudováno více než 2 514 km cest. Na každý km</w:t>
      </w:r>
      <w:r w:rsidRPr="005D7D6E">
        <w:rPr>
          <w:vertAlign w:val="superscript"/>
        </w:rPr>
        <w:t>2</w:t>
      </w:r>
      <w:r w:rsidRPr="005D7D6E">
        <w:t xml:space="preserve"> provedené KPÚ tak připadá v průměru 301 metrů nově vytvořených cest v krajině. Celkový rozsah ukončených i rozpracovaných pozemkových úprav a realizovaná společná zařízení v krajině, v členění podle jednotlivých krajů (NUTS 3), uvádí tab. T7.1/02. Průměrná velikost území spadajícího do jedné pozemkové úpravy je 45</w:t>
      </w:r>
      <w:r>
        <w:t>7</w:t>
      </w:r>
      <w:r w:rsidRPr="005D7D6E">
        <w:t> ha u KPÚ a 10</w:t>
      </w:r>
      <w:r>
        <w:t>6</w:t>
      </w:r>
      <w:r w:rsidRPr="005D7D6E">
        <w:t> ha v případě JPÚ.</w:t>
      </w:r>
    </w:p>
    <w:p w:rsidR="005A312F" w:rsidRPr="00B9178B" w:rsidRDefault="005A312F" w:rsidP="00D26858">
      <w:pPr>
        <w:pStyle w:val="mezera"/>
      </w:pPr>
    </w:p>
    <w:p w:rsidR="005A312F" w:rsidRPr="00B9178B" w:rsidRDefault="005A312F" w:rsidP="00D26858">
      <w:pPr>
        <w:pStyle w:val="mezera"/>
      </w:pPr>
      <w:r w:rsidRPr="000056D9">
        <w:rPr>
          <w:noProof/>
          <w:lang w:eastAsia="cs-CZ"/>
        </w:rPr>
        <w:lastRenderedPageBreak/>
        <w:drawing>
          <wp:inline distT="0" distB="0" distL="0" distR="0" wp14:anchorId="01A03E4B" wp14:editId="7B827392">
            <wp:extent cx="5760720" cy="2777592"/>
            <wp:effectExtent l="0" t="0" r="0" b="381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2777592"/>
                    </a:xfrm>
                    <a:prstGeom prst="rect">
                      <a:avLst/>
                    </a:prstGeom>
                    <a:noFill/>
                    <a:ln>
                      <a:noFill/>
                    </a:ln>
                  </pic:spPr>
                </pic:pic>
              </a:graphicData>
            </a:graphic>
          </wp:inline>
        </w:drawing>
      </w:r>
    </w:p>
    <w:p w:rsidR="005A312F" w:rsidRPr="00B9178B" w:rsidRDefault="005A312F" w:rsidP="00D26858">
      <w:pPr>
        <w:pStyle w:val="mezera"/>
      </w:pPr>
    </w:p>
    <w:p w:rsidR="005A312F" w:rsidRPr="00BE1AE4" w:rsidRDefault="005A312F" w:rsidP="00D26858">
      <w:r>
        <w:t>Pozemkové úpravy se zpracovanými návrhy efektivnější struktury</w:t>
      </w:r>
      <w:r w:rsidRPr="00720671">
        <w:t xml:space="preserve"> vlastnické držby </w:t>
      </w:r>
      <w:r>
        <w:t>podílí na rozvoji trhu s půdou.</w:t>
      </w:r>
      <w:r w:rsidRPr="00720671">
        <w:t xml:space="preserve"> Provedení pozemkových úprav je </w:t>
      </w:r>
      <w:r>
        <w:t xml:space="preserve">také </w:t>
      </w:r>
      <w:r w:rsidRPr="00720671">
        <w:t xml:space="preserve">pro některá katastrální území (obce) přímo podmínkou jejich dalšího rozvoje. </w:t>
      </w:r>
      <w:r w:rsidRPr="00BE1AE4">
        <w:t>Vzhledem k </w:t>
      </w:r>
      <w:r>
        <w:t>časové a investiční náročnosti</w:t>
      </w:r>
      <w:r w:rsidRPr="00BE1AE4">
        <w:t> procesu pozemkových úprav</w:t>
      </w:r>
      <w:r>
        <w:t xml:space="preserve"> ale </w:t>
      </w:r>
      <w:r w:rsidRPr="00BE1AE4">
        <w:t>jejich postup stále neodpovídá potřebá</w:t>
      </w:r>
      <w:r>
        <w:t>m obcí,</w:t>
      </w:r>
      <w:r w:rsidRPr="00BE1AE4">
        <w:t xml:space="preserve"> vlastník</w:t>
      </w:r>
      <w:r>
        <w:t>ů</w:t>
      </w:r>
      <w:r w:rsidRPr="00BE1AE4">
        <w:t>, uživatel</w:t>
      </w:r>
      <w:r>
        <w:t>ů půdy a zainteresovaným</w:t>
      </w:r>
      <w:r w:rsidRPr="00BE1AE4">
        <w:t xml:space="preserve"> orgán</w:t>
      </w:r>
      <w:r>
        <w:t>ům</w:t>
      </w:r>
      <w:r w:rsidRPr="00BE1AE4">
        <w:t xml:space="preserve"> státní správy. Situaci komplikuje skutečnost, že během privatizace státní půdy nebyla v některých katastrálních územích ponechána dostatečná rezerva státní půdy pro realizaci společných zařízení.</w:t>
      </w:r>
    </w:p>
    <w:p w:rsidR="005A312F" w:rsidRDefault="005A312F" w:rsidP="00D26858">
      <w:r>
        <w:t>V</w:t>
      </w:r>
      <w:r w:rsidRPr="00606510">
        <w:t xml:space="preserve"> roce 2014 </w:t>
      </w:r>
      <w:r>
        <w:t xml:space="preserve">byl </w:t>
      </w:r>
      <w:r w:rsidRPr="00606510">
        <w:t>rozpočet pozemkových úprav výrazně posílen</w:t>
      </w:r>
      <w:r>
        <w:t>, k čemuž došlo navzdory</w:t>
      </w:r>
      <w:r w:rsidRPr="00606510">
        <w:t xml:space="preserve"> dlouhodobému trendu</w:t>
      </w:r>
      <w:r>
        <w:t xml:space="preserve"> meziročního</w:t>
      </w:r>
      <w:r w:rsidRPr="00606510">
        <w:t xml:space="preserve"> poklesu</w:t>
      </w:r>
      <w:r>
        <w:t xml:space="preserve"> alokovaných prostředků na toto opatření.</w:t>
      </w:r>
      <w:r w:rsidRPr="00606510">
        <w:t xml:space="preserve"> </w:t>
      </w:r>
      <w:r w:rsidRPr="00BB692A">
        <w:t>Pozitivní nárůst byl způsoben především navýšením prostředků na předfinancování pozemkových úprav z Programu rozvoje venkova o téměř 1 mld. Kč</w:t>
      </w:r>
      <w:r w:rsidRPr="00C00E10">
        <w:t>. Ve srovnání s rokem 2013 se tak rozpočet pozemkových úprav skokově navýšil</w:t>
      </w:r>
      <w:r>
        <w:t xml:space="preserve"> o 85,5%</w:t>
      </w:r>
      <w:r w:rsidRPr="00606510">
        <w:t xml:space="preserve"> </w:t>
      </w:r>
      <w:r>
        <w:t>na celkovou sumu </w:t>
      </w:r>
      <w:r w:rsidRPr="00606510">
        <w:t>2</w:t>
      </w:r>
      <w:r>
        <w:t>,</w:t>
      </w:r>
      <w:r w:rsidRPr="00606510">
        <w:t>174 ml</w:t>
      </w:r>
      <w:r>
        <w:t>d</w:t>
      </w:r>
      <w:r w:rsidRPr="00606510">
        <w:t>. Kč (tab. T7.1/0</w:t>
      </w:r>
      <w:r>
        <w:t>3</w:t>
      </w:r>
      <w:r w:rsidRPr="00606510">
        <w:t xml:space="preserve">). </w:t>
      </w:r>
      <w:r>
        <w:t>Opětovně</w:t>
      </w:r>
      <w:r w:rsidRPr="00606510">
        <w:t xml:space="preserve"> navýšeny byly</w:t>
      </w:r>
      <w:r>
        <w:t xml:space="preserve"> také</w:t>
      </w:r>
      <w:r w:rsidRPr="00606510">
        <w:t>, oproti výraznému poklesu v roce 2013, prostředky z rozpočtu Ředitelství silnic a dálnic na 56,5 mil.</w:t>
      </w:r>
      <w:r>
        <w:t xml:space="preserve"> Kč</w:t>
      </w:r>
      <w:r w:rsidRPr="00606510">
        <w:t>, k mírnému snížení došlo u položky zdrojů MZe na 675,5 mil.</w:t>
      </w:r>
      <w:r>
        <w:t xml:space="preserve"> Kč</w:t>
      </w:r>
      <w:r w:rsidRPr="00606510">
        <w:t xml:space="preserve">. Zdroje finančních prostředků na pozemkové úpravy z rozpočtu </w:t>
      </w:r>
      <w:r w:rsidR="00754A1C">
        <w:t>SPÚ</w:t>
      </w:r>
      <w:r w:rsidRPr="00606510">
        <w:t xml:space="preserve"> zůstaly prakticky beze změny na úrovni 51</w:t>
      </w:r>
      <w:r>
        <w:t>,</w:t>
      </w:r>
      <w:r w:rsidR="00754A1C">
        <w:t>6</w:t>
      </w:r>
      <w:r>
        <w:t> </w:t>
      </w:r>
      <w:r w:rsidRPr="00606510">
        <w:t>mil. Kč</w:t>
      </w:r>
      <w:r>
        <w:t>.</w:t>
      </w:r>
    </w:p>
    <w:p w:rsidR="005A312F" w:rsidRPr="00BE1AE4" w:rsidRDefault="005A312F" w:rsidP="00D26858">
      <w:r w:rsidRPr="00BE1AE4">
        <w:t>Pozemkové úpravy jsou hrazeny jak ze státního rozpočtu (Všeobecná pokladní správa, Ředitelství silnic a dálnic, SPÚ, Protipovodňová a protierozní opatření (podle usnesení vlády č. 1304</w:t>
      </w:r>
      <w:r>
        <w:t xml:space="preserve"> </w:t>
      </w:r>
      <w:r w:rsidRPr="00BE1AE4">
        <w:t>ze dne 15. listopadu 2006)), tak i z financí, které plynou z fondů EU (PRV), a to zejména na realizace společných zařízení v pozemkových úpravách (polní cesty, protierozní, vodohospodářská a ekologická opatření).</w:t>
      </w:r>
    </w:p>
    <w:p w:rsidR="005A312F" w:rsidRPr="00B9178B" w:rsidRDefault="005A312F" w:rsidP="00D26858">
      <w:pPr>
        <w:pStyle w:val="mezera"/>
      </w:pPr>
    </w:p>
    <w:p w:rsidR="005A312F" w:rsidRPr="00B9178B" w:rsidRDefault="00754A1C" w:rsidP="00D26858">
      <w:pPr>
        <w:pStyle w:val="mezera"/>
      </w:pPr>
      <w:r w:rsidRPr="00754A1C">
        <w:rPr>
          <w:noProof/>
          <w:lang w:eastAsia="cs-CZ"/>
        </w:rPr>
        <w:lastRenderedPageBreak/>
        <w:drawing>
          <wp:inline distT="0" distB="0" distL="0" distR="0" wp14:anchorId="5698AE50" wp14:editId="3A640542">
            <wp:extent cx="5619750" cy="2716530"/>
            <wp:effectExtent l="0" t="0" r="0" b="762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0" cy="2716530"/>
                    </a:xfrm>
                    <a:prstGeom prst="rect">
                      <a:avLst/>
                    </a:prstGeom>
                    <a:noFill/>
                    <a:ln>
                      <a:noFill/>
                    </a:ln>
                  </pic:spPr>
                </pic:pic>
              </a:graphicData>
            </a:graphic>
          </wp:inline>
        </w:drawing>
      </w:r>
    </w:p>
    <w:p w:rsidR="005A312F" w:rsidRPr="00B9178B" w:rsidRDefault="005A312F" w:rsidP="00D26858">
      <w:pPr>
        <w:pStyle w:val="mezera"/>
      </w:pPr>
    </w:p>
    <w:p w:rsidR="005A312F" w:rsidRPr="00B6571E" w:rsidRDefault="005A312F" w:rsidP="00D26858">
      <w:r w:rsidRPr="00B6571E">
        <w:t>Na neinvestiční činnosti (návrhy pozemkových úprav, identifikace parcel, apod.) bylo vynaloženo 381 mil. Kč, což ve srovnání s rokem 2013 představuje zhruba 19 % pokles výdajů. Došlo naopak k výraznému zvýšení výdajů na vlastní realizace společných zařízení.</w:t>
      </w:r>
      <w:r>
        <w:t xml:space="preserve"> </w:t>
      </w:r>
      <w:r w:rsidRPr="00B6571E">
        <w:t>V roce 2014 se objem těchto financí oproti roku 2013 více než zdvojnásobil, a to na vydanou částku 1 792 mil. Kč. Největší podíl těchto prostředků byl vynaložen na výstavbu cest (činil 1 550 mil. Kč), další, již menší objemy prostředků, byly využity k realizaci hydrologických (152 mil. Kč) a ekologických opatření (13 mil. Kč).</w:t>
      </w:r>
    </w:p>
    <w:p w:rsidR="005A312F" w:rsidRPr="00B6571E" w:rsidRDefault="005A312F" w:rsidP="00D26858">
      <w:r w:rsidRPr="00B6571E">
        <w:t>Celkové náklady na komplexní a jednoduché pozemkové úpravy od jejich zahájení v roce 1991 dosáhly 25,4 mld. Kč.</w:t>
      </w:r>
    </w:p>
    <w:p w:rsidR="005A312F" w:rsidRPr="00F71036" w:rsidRDefault="005A312F" w:rsidP="005A312F">
      <w:pPr>
        <w:pStyle w:val="Nadpis2"/>
        <w:numPr>
          <w:ilvl w:val="1"/>
          <w:numId w:val="10"/>
        </w:numPr>
        <w:tabs>
          <w:tab w:val="clear" w:pos="576"/>
        </w:tabs>
        <w:ind w:left="567" w:hanging="567"/>
      </w:pPr>
      <w:bookmarkStart w:id="172" w:name="_Toc296443138"/>
      <w:bookmarkStart w:id="173" w:name="_Toc328053834"/>
      <w:bookmarkStart w:id="174" w:name="_Toc359920560"/>
      <w:bookmarkStart w:id="175" w:name="_Toc384382591"/>
      <w:bookmarkStart w:id="176" w:name="_Toc385946935"/>
      <w:bookmarkStart w:id="177" w:name="_Toc424307061"/>
      <w:r w:rsidRPr="00F71036">
        <w:t>7.2</w:t>
      </w:r>
      <w:r w:rsidRPr="00F71036">
        <w:tab/>
        <w:t>Trh s půdou</w:t>
      </w:r>
      <w:bookmarkEnd w:id="172"/>
      <w:bookmarkEnd w:id="173"/>
      <w:bookmarkEnd w:id="174"/>
      <w:bookmarkEnd w:id="175"/>
      <w:bookmarkEnd w:id="176"/>
      <w:bookmarkEnd w:id="177"/>
    </w:p>
    <w:p w:rsidR="005A312F" w:rsidRPr="00F71036" w:rsidRDefault="005A312F" w:rsidP="00D26858">
      <w:r w:rsidRPr="00F71036">
        <w:t>V ČR se v roce 2013 zobchodovalo přibližně 2</w:t>
      </w:r>
      <w:r>
        <w:t>,1</w:t>
      </w:r>
      <w:r w:rsidRPr="00F71036">
        <w:t> % ZPF, vedle toho se část půdy převedla bezúplatně (formou dědictví, darem, apod.). Tab. T7.2/01 uvádí vývoj podílu zobchodované zemědělské půdy na celkové výměře.</w:t>
      </w:r>
    </w:p>
    <w:p w:rsidR="005A312F" w:rsidRPr="00F71036" w:rsidRDefault="005A312F" w:rsidP="00D26858">
      <w:pPr>
        <w:pStyle w:val="mezera"/>
      </w:pPr>
    </w:p>
    <w:p w:rsidR="005A312F" w:rsidRDefault="00DA2555" w:rsidP="00D26858">
      <w:pPr>
        <w:pStyle w:val="mezera"/>
      </w:pPr>
      <w:r w:rsidRPr="00DA2555">
        <w:rPr>
          <w:noProof/>
          <w:lang w:eastAsia="cs-CZ"/>
        </w:rPr>
        <w:drawing>
          <wp:inline distT="0" distB="0" distL="0" distR="0" wp14:anchorId="2A2A98C8" wp14:editId="3F340866">
            <wp:extent cx="5760720" cy="1229472"/>
            <wp:effectExtent l="0" t="0" r="0" b="889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1229472"/>
                    </a:xfrm>
                    <a:prstGeom prst="rect">
                      <a:avLst/>
                    </a:prstGeom>
                    <a:noFill/>
                    <a:ln>
                      <a:noFill/>
                    </a:ln>
                  </pic:spPr>
                </pic:pic>
              </a:graphicData>
            </a:graphic>
          </wp:inline>
        </w:drawing>
      </w:r>
    </w:p>
    <w:p w:rsidR="005A312F" w:rsidRPr="00F71036" w:rsidRDefault="005A312F" w:rsidP="00D26858">
      <w:pPr>
        <w:pStyle w:val="mezera"/>
      </w:pPr>
    </w:p>
    <w:p w:rsidR="005A312F" w:rsidRPr="00F71036" w:rsidRDefault="005A312F" w:rsidP="00D26858">
      <w:r w:rsidRPr="00F71036">
        <w:t>Je možné očekávat, že objem obchodované půdy bude v příštích letech nadále klesat. Odhad se opírá o pozorovaný trend, který souvisí zejména s</w:t>
      </w:r>
      <w:r>
        <w:t xml:space="preserve"> </w:t>
      </w:r>
      <w:r w:rsidRPr="00F71036">
        <w:t>ukončováním převádění státní půdy privátním subjektům.</w:t>
      </w:r>
    </w:p>
    <w:p w:rsidR="005A312F" w:rsidRDefault="005A312F" w:rsidP="00D26858">
      <w:r w:rsidRPr="000D1826">
        <w:t>Převody zemědělské půdy do soukrom</w:t>
      </w:r>
      <w:r>
        <w:t>ého vlastnictví v roce 2014 nadále pokračovaly</w:t>
      </w:r>
      <w:r w:rsidRPr="000D1826">
        <w:t xml:space="preserve"> v rámci agendy SPÚ (viz kap. 7.3). Výměra státní půdy převedená úplatně do soukromého </w:t>
      </w:r>
      <w:r w:rsidRPr="000D1826">
        <w:lastRenderedPageBreak/>
        <w:t>vlastnictví od 25. 5. </w:t>
      </w:r>
      <w:r w:rsidRPr="000871AA">
        <w:t>1999 do 31. 12. 2014 představuje 561,7 tis. ha, což činí 98 % všech dosud převedených ploch. Kromě převažujících úplatných převodů byl v průběhu tohoto období drobný cca 2% podíl státní zemědělské půdy o výměře téměř 13 tis.</w:t>
      </w:r>
      <w:r w:rsidRPr="000D1826">
        <w:t> ha převeden bezúplatně na obce, veřejné vysoké školy a výzkumné instituc</w:t>
      </w:r>
      <w:r w:rsidR="00682A15">
        <w:t>e. Převedeno tak bylo úplatně a </w:t>
      </w:r>
      <w:r w:rsidRPr="000D1826">
        <w:t xml:space="preserve">bezúplatně 94,5 % celkové výměry zemědělské půdy určené k převodu do soukromého vlastnictví. </w:t>
      </w:r>
      <w:r>
        <w:t>Ke konci roku 2014 bylo k dispozici přibližně 168 tis. ha státní zemědělské půdy spravované SPÚ. Z toho</w:t>
      </w:r>
      <w:r w:rsidRPr="006225A2">
        <w:t xml:space="preserve"> připadá na blokace podle § 6 zákona </w:t>
      </w:r>
      <w:r>
        <w:t xml:space="preserve">č. 503/2012 Sb., </w:t>
      </w:r>
      <w:r w:rsidRPr="006225A2">
        <w:t>o Státním po</w:t>
      </w:r>
      <w:r>
        <w:t xml:space="preserve">zemkovém úřadu, pro církve </w:t>
      </w:r>
      <w:r w:rsidRPr="006225A2">
        <w:t xml:space="preserve">34 tis. ha a </w:t>
      </w:r>
      <w:r>
        <w:t xml:space="preserve">blokace mimo </w:t>
      </w:r>
      <w:r w:rsidRPr="006225A2">
        <w:t>církve 37 tis. ha, k převodu na organizace MŽP a VHZ 6 tis. ha</w:t>
      </w:r>
      <w:r>
        <w:t>.</w:t>
      </w:r>
      <w:r w:rsidRPr="006225A2">
        <w:t xml:space="preserve"> </w:t>
      </w:r>
      <w:r>
        <w:t>Přitom aktuální požadavky jiných rezortů představují cca 220 tis. ha.</w:t>
      </w:r>
    </w:p>
    <w:p w:rsidR="005A312F" w:rsidRDefault="005A312F" w:rsidP="00D26858">
      <w:r>
        <w:t>Obecně lze uvést, že bez ohledu na určitý nárůst v prodeji zemědělských pozemků během roku 2014, tempo odstátnění zemědělské půdy v posledních letech meziročně trvale klesalo. Pokles byl důsledkem především</w:t>
      </w:r>
      <w:r w:rsidRPr="00E6784C">
        <w:t> snižující se disponibilní vým</w:t>
      </w:r>
      <w:r>
        <w:t xml:space="preserve">ěry </w:t>
      </w:r>
      <w:r w:rsidRPr="00E6784C">
        <w:t>státní půdy.</w:t>
      </w:r>
      <w:r>
        <w:t xml:space="preserve"> Dílčí nárůst, k němuž došlo v průběhu roku 2014, byl způsoben skutečností, že v mnohých případech </w:t>
      </w:r>
      <w:r w:rsidRPr="00E6784C">
        <w:t xml:space="preserve">bylo nutno </w:t>
      </w:r>
      <w:r>
        <w:t>dokončit některé z </w:t>
      </w:r>
      <w:r w:rsidRPr="00E6784C">
        <w:t>rozpracovaných převodů pozemků podle pře</w:t>
      </w:r>
      <w:r>
        <w:t>chodných ustanovení zákona o SPÚ.</w:t>
      </w:r>
    </w:p>
    <w:p w:rsidR="005A312F" w:rsidRPr="00CC1F41" w:rsidRDefault="005A312F" w:rsidP="00D26858">
      <w:r w:rsidRPr="00CC1F41">
        <w:t>Podíl prodané z celkem převedené zemědělské půdy ve vlastnictví státu v roce 2014 tvořil 94,5 % a představoval plochu o výměře 3 239 ha. Z hlediska výměry byl objem převodů v roce 2014 více než dvojnásobný ve srovnání s převody předchozího roku 2013. Celkově v roce 2014 SPÚ převedl 3 427 ha zemědělské půdy. Průměrná výměra prodávaného pozemku činila 0,51 ha. Kupní cena za 1 m</w:t>
      </w:r>
      <w:r w:rsidRPr="00CC1F41">
        <w:rPr>
          <w:vertAlign w:val="superscript"/>
        </w:rPr>
        <w:t>2</w:t>
      </w:r>
      <w:r w:rsidRPr="00CC1F41">
        <w:t xml:space="preserve"> v tomto segmentu trhu půdy meziročně vzrostla téměř na dvojnásobek, a to z 6,72 Kč/m</w:t>
      </w:r>
      <w:r w:rsidRPr="00CC1F41">
        <w:rPr>
          <w:vertAlign w:val="superscript"/>
        </w:rPr>
        <w:t>2</w:t>
      </w:r>
      <w:r w:rsidRPr="00CC1F41">
        <w:t xml:space="preserve"> na 13,42 Kč/m</w:t>
      </w:r>
      <w:r w:rsidRPr="00CC1F41">
        <w:rPr>
          <w:vertAlign w:val="superscript"/>
        </w:rPr>
        <w:t>2</w:t>
      </w:r>
      <w:r w:rsidRPr="00CC1F41">
        <w:t xml:space="preserve"> (tab. T7.2/02). Uvedená průměrná cena prodejů zahrnuje jak nákupy bez, tak i s využitím 30letého splátkového režimu a</w:t>
      </w:r>
      <w:r>
        <w:t> </w:t>
      </w:r>
      <w:r w:rsidRPr="00CC1F41">
        <w:t>nerozlišuje přednostní prodeje.</w:t>
      </w:r>
    </w:p>
    <w:p w:rsidR="005A312F" w:rsidRPr="00B9178B" w:rsidRDefault="005A312F" w:rsidP="00D26858">
      <w:pPr>
        <w:pStyle w:val="mezera"/>
      </w:pPr>
    </w:p>
    <w:p w:rsidR="005A312F" w:rsidRPr="00B9178B" w:rsidRDefault="005A312F" w:rsidP="00D26858">
      <w:pPr>
        <w:pStyle w:val="mezera"/>
      </w:pPr>
      <w:r w:rsidRPr="00EC42D3">
        <w:rPr>
          <w:noProof/>
          <w:lang w:eastAsia="cs-CZ"/>
        </w:rPr>
        <w:drawing>
          <wp:inline distT="0" distB="0" distL="0" distR="0" wp14:anchorId="4A32FF6E" wp14:editId="217DF8A7">
            <wp:extent cx="5760720" cy="1520715"/>
            <wp:effectExtent l="0" t="0" r="0" b="381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1520715"/>
                    </a:xfrm>
                    <a:prstGeom prst="rect">
                      <a:avLst/>
                    </a:prstGeom>
                    <a:noFill/>
                    <a:ln>
                      <a:noFill/>
                    </a:ln>
                  </pic:spPr>
                </pic:pic>
              </a:graphicData>
            </a:graphic>
          </wp:inline>
        </w:drawing>
      </w:r>
    </w:p>
    <w:p w:rsidR="005A312F" w:rsidRPr="00B9178B" w:rsidRDefault="005A312F" w:rsidP="00D26858">
      <w:pPr>
        <w:pStyle w:val="mezera"/>
      </w:pPr>
    </w:p>
    <w:p w:rsidR="005A312F" w:rsidRDefault="005A312F" w:rsidP="00D26858">
      <w:r>
        <w:t xml:space="preserve">Nákup nestátní zemědělské půdy podporoval i v roce 2014 PGRLF. </w:t>
      </w:r>
      <w:r w:rsidRPr="00A60F3C">
        <w:t xml:space="preserve">Příjem žádostí v programu </w:t>
      </w:r>
      <w:r w:rsidRPr="00A60F3C">
        <w:rPr>
          <w:b/>
          <w:bCs/>
        </w:rPr>
        <w:t xml:space="preserve">Podpora nákupu půdy – de </w:t>
      </w:r>
      <w:proofErr w:type="spellStart"/>
      <w:r w:rsidRPr="00A60F3C">
        <w:rPr>
          <w:b/>
          <w:bCs/>
        </w:rPr>
        <w:t>minimis</w:t>
      </w:r>
      <w:proofErr w:type="spellEnd"/>
      <w:r w:rsidRPr="00A60F3C">
        <w:t xml:space="preserve"> byl zahájen 1. října 2013</w:t>
      </w:r>
      <w:r>
        <w:t xml:space="preserve"> po zajištění prostředků ve výši 100 mil. Kč. </w:t>
      </w:r>
      <w:r w:rsidRPr="00C00E10">
        <w:t>Ještě před vyčerpáním prostředků v roce 2014 došlo k jejich navýšení z dotace v posledním čtvrtletí roku 2014, a díky tomu je program pro podávání žádostí stále otevřený. Od 1. 7. 2014 došlo ke zvýšení maximální</w:t>
      </w:r>
      <w:r>
        <w:t xml:space="preserve"> částky pro čerpání podpory </w:t>
      </w:r>
      <w:r>
        <w:lastRenderedPageBreak/>
        <w:t xml:space="preserve">de </w:t>
      </w:r>
      <w:proofErr w:type="spellStart"/>
      <w:r>
        <w:t>minimis</w:t>
      </w:r>
      <w:proofErr w:type="spellEnd"/>
      <w:r>
        <w:t xml:space="preserve"> z 7 500 </w:t>
      </w:r>
      <w:r w:rsidR="00584C1E">
        <w:t>€</w:t>
      </w:r>
      <w:r>
        <w:t xml:space="preserve"> na 15 000 </w:t>
      </w:r>
      <w:r w:rsidR="00584C1E">
        <w:t>€</w:t>
      </w:r>
      <w:r>
        <w:t xml:space="preserve"> pro sektor zemědělské prvovýroby, a díky tomu mohlo dojít i k náležité úpravě podmínek programu</w:t>
      </w:r>
    </w:p>
    <w:p w:rsidR="005A312F" w:rsidRPr="00A60F3C" w:rsidRDefault="005A312F" w:rsidP="00D26858">
      <w:r>
        <w:t>V průběhu roku 2014 bylo schváleno 455 z 588 podaných žádostí o podporu z programu Podpora nákupu půdy a výměra s podporou nakoupené půdy dosáhla 7 724 ha. Při objemu vyplacených prostředků ve výši 49 264 tis. Kč za rok 2014 byly zprostředkovány úvěry ve výši 873 039 tis. Kč. Průměrná cena s podporou PGRLF nakupované půdy byla v roce 2014 12,5 Kč/m</w:t>
      </w:r>
      <w:r w:rsidRPr="00690FBB">
        <w:rPr>
          <w:vertAlign w:val="superscript"/>
        </w:rPr>
        <w:t>2</w:t>
      </w:r>
      <w:r>
        <w:t xml:space="preserve">. </w:t>
      </w:r>
      <w:r w:rsidRPr="00A60F3C">
        <w:t>Od roku 2004 bylo v programech PGRLF zaměřených na nákup soukromé půdy schváleno 2 084 žádostí s celkovou výší úvěrů 3,86 mld. Kč a s podporou bylo nakoupeno téměř 67 tis. ha půdy za průměrnou cenu 6,</w:t>
      </w:r>
      <w:r>
        <w:t>36</w:t>
      </w:r>
      <w:r w:rsidRPr="00A60F3C">
        <w:t> Kč/m</w:t>
      </w:r>
      <w:r w:rsidRPr="00A60F3C">
        <w:rPr>
          <w:vertAlign w:val="superscript"/>
        </w:rPr>
        <w:t>2</w:t>
      </w:r>
      <w:r w:rsidRPr="00A60F3C">
        <w:t>.</w:t>
      </w:r>
    </w:p>
    <w:p w:rsidR="005A312F" w:rsidRPr="00B9178B" w:rsidRDefault="005A312F" w:rsidP="00D26858">
      <w:pPr>
        <w:pStyle w:val="mezera"/>
      </w:pPr>
    </w:p>
    <w:p w:rsidR="005A312F" w:rsidRPr="00B9178B" w:rsidRDefault="0010563E" w:rsidP="00D26858">
      <w:pPr>
        <w:pStyle w:val="mezera"/>
        <w:rPr>
          <w:noProof/>
        </w:rPr>
      </w:pPr>
      <w:r w:rsidRPr="0010563E">
        <w:rPr>
          <w:noProof/>
          <w:lang w:eastAsia="cs-CZ"/>
        </w:rPr>
        <w:drawing>
          <wp:inline distT="0" distB="0" distL="0" distR="0" wp14:anchorId="78B8E266" wp14:editId="67D26B0C">
            <wp:extent cx="5760720" cy="2844904"/>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2844904"/>
                    </a:xfrm>
                    <a:prstGeom prst="rect">
                      <a:avLst/>
                    </a:prstGeom>
                    <a:noFill/>
                    <a:ln>
                      <a:noFill/>
                    </a:ln>
                  </pic:spPr>
                </pic:pic>
              </a:graphicData>
            </a:graphic>
          </wp:inline>
        </w:drawing>
      </w:r>
    </w:p>
    <w:p w:rsidR="005A312F" w:rsidRPr="00B9178B" w:rsidRDefault="005A312F" w:rsidP="00D26858">
      <w:pPr>
        <w:pStyle w:val="mezera"/>
      </w:pPr>
    </w:p>
    <w:p w:rsidR="005A312F" w:rsidRPr="00577664" w:rsidRDefault="005A312F" w:rsidP="00D26858">
      <w:r w:rsidRPr="00577664">
        <w:t>V tab. T7.2/03</w:t>
      </w:r>
      <w:r w:rsidRPr="00577664">
        <w:rPr>
          <w:rStyle w:val="Znakapoznpodarou"/>
        </w:rPr>
        <w:footnoteReference w:id="116"/>
      </w:r>
      <w:r w:rsidRPr="00577664">
        <w:t xml:space="preserve"> je uvedeno srovnání časových řad o vývoji tržních cen zemědělské půdy podle různých zdrojů za období let 200</w:t>
      </w:r>
      <w:r w:rsidR="00584C1E">
        <w:t>8</w:t>
      </w:r>
      <w:r w:rsidRPr="00577664">
        <w:noBreakHyphen/>
        <w:t>2014. Podle nashromážděných údajů o cenách půdy ceny meziročně kolísají, ale všeobecný trend je rostoucí. Ověření reálného vývoje z více zdrojů se ukazuje jako užitečné na příkladu roku 2011, kdy údaj ČSÚ vykazoval extrémní propad, ale naopak ze šetření odhadců a analýzy kupních smluv byla cena půdy vyšší, než v jiných letech. Po roce 2012 časová řada vykazuje u všech zdrojů postupný růst ceny zemědělské půdy přibližně o korunu ročně za m</w:t>
      </w:r>
      <w:r w:rsidRPr="00577664">
        <w:rPr>
          <w:vertAlign w:val="superscript"/>
        </w:rPr>
        <w:t>2</w:t>
      </w:r>
      <w:r>
        <w:t>.</w:t>
      </w:r>
    </w:p>
    <w:p w:rsidR="005A312F" w:rsidRPr="00577664" w:rsidRDefault="005A312F" w:rsidP="00D26858">
      <w:r w:rsidRPr="00577664">
        <w:t>V roce 201</w:t>
      </w:r>
      <w:r>
        <w:t>4</w:t>
      </w:r>
      <w:r w:rsidRPr="00577664">
        <w:t xml:space="preserve"> byl u všech zjišťovaných zdrojů zaznamenán poměrně výrazný nárůst ceny. V rámci běhu nového programu P</w:t>
      </w:r>
      <w:r>
        <w:t xml:space="preserve">odpora nákupu půdy – de </w:t>
      </w:r>
      <w:proofErr w:type="spellStart"/>
      <w:r>
        <w:t>minimis</w:t>
      </w:r>
      <w:proofErr w:type="spellEnd"/>
      <w:r w:rsidRPr="00577664">
        <w:t xml:space="preserve"> byla zjištěna cena vyšší ve srovnání s minulými roky. Z údajů posledních let lze očekávat mírné a stálé tempo </w:t>
      </w:r>
      <w:r w:rsidRPr="00577664">
        <w:lastRenderedPageBreak/>
        <w:t>růstu cen zemědělských pozemků. S ohledem na stabilizaci ekonomické situace podniků a vývoj na agrárních trzích není odůvodněné očekávat pokles poptávky po nákupu půdy.</w:t>
      </w:r>
    </w:p>
    <w:p w:rsidR="005A312F" w:rsidRDefault="005A312F" w:rsidP="00D26858">
      <w:r>
        <w:t xml:space="preserve">Průměrné </w:t>
      </w:r>
      <w:proofErr w:type="spellStart"/>
      <w:r>
        <w:t>pachtovné</w:t>
      </w:r>
      <w:proofErr w:type="spellEnd"/>
      <w:r w:rsidRPr="003848E6">
        <w:t xml:space="preserve"> z</w:t>
      </w:r>
      <w:r>
        <w:t>a</w:t>
      </w:r>
      <w:r w:rsidRPr="003848E6">
        <w:t xml:space="preserve"> zemědělsk</w:t>
      </w:r>
      <w:r>
        <w:t>ou</w:t>
      </w:r>
      <w:r w:rsidRPr="003848E6">
        <w:t xml:space="preserve"> půd</w:t>
      </w:r>
      <w:r>
        <w:t>u</w:t>
      </w:r>
      <w:r w:rsidRPr="003848E6">
        <w:t xml:space="preserve"> podle šetření FADN v roce 2013 v </w:t>
      </w:r>
      <w:r w:rsidRPr="00C00E10">
        <w:t>ČR činilo</w:t>
      </w:r>
      <w:r w:rsidRPr="003848E6">
        <w:t xml:space="preserve"> u fyzických osob 1 484 Kč/ha a u právnických osob 1 849 Kč/ha. Podle odhadu by z údajů pro rok 201</w:t>
      </w:r>
      <w:r>
        <w:t>3 měl být potvrzen trend růstu pachtu</w:t>
      </w:r>
      <w:r w:rsidRPr="003848E6">
        <w:t xml:space="preserve"> ve všech výrobních oblaste</w:t>
      </w:r>
      <w:r>
        <w:t>ch. Vyšší tempo růstu úrovně pachtovného</w:t>
      </w:r>
      <w:r w:rsidRPr="003848E6">
        <w:t xml:space="preserve"> se</w:t>
      </w:r>
      <w:r>
        <w:t xml:space="preserve"> nadále</w:t>
      </w:r>
      <w:r w:rsidRPr="003848E6">
        <w:t xml:space="preserve"> očekává u právnických osob. Vyšší </w:t>
      </w:r>
      <w:proofErr w:type="spellStart"/>
      <w:r>
        <w:t>pachtovné</w:t>
      </w:r>
      <w:proofErr w:type="spellEnd"/>
      <w:r w:rsidRPr="003848E6">
        <w:t xml:space="preserve"> u právnických osob je, jak z údajů vyplývá, současně doprovázen</w:t>
      </w:r>
      <w:r>
        <w:t>o</w:t>
      </w:r>
      <w:r w:rsidRPr="003848E6">
        <w:t xml:space="preserve"> v průměru vyšším tempem jeho růstu.</w:t>
      </w:r>
      <w:r>
        <w:t xml:space="preserve"> Zatímco průměrný roční nárůst pachtovného placeného</w:t>
      </w:r>
      <w:r w:rsidRPr="003848E6">
        <w:t xml:space="preserve"> FO se od roku 2006 pohyboval kolem 4,1 %, u PO dosáhl v témže období téměř 9,4 % tempa růstu.</w:t>
      </w:r>
      <w:r>
        <w:t xml:space="preserve"> Výše pachtovného</w:t>
      </w:r>
      <w:r w:rsidRPr="003848E6">
        <w:t xml:space="preserve"> je dle výběrového šetření FADN významně diferencována podle výrobních oblastí (tab. T7.2/04). </w:t>
      </w:r>
      <w:proofErr w:type="spellStart"/>
      <w:r>
        <w:t>Pachtovné</w:t>
      </w:r>
      <w:proofErr w:type="spellEnd"/>
      <w:r w:rsidRPr="003848E6">
        <w:t xml:space="preserve"> na nejkvalitnějších půdách v kukuřičné nebo řepařské</w:t>
      </w:r>
      <w:r>
        <w:t xml:space="preserve"> výrobní </w:t>
      </w:r>
      <w:r w:rsidRPr="003848E6">
        <w:t>oblasti je v průřezu jednotlivých let 2</w:t>
      </w:r>
      <w:r w:rsidRPr="003848E6">
        <w:noBreakHyphen/>
        <w:t>2,5krát vyšší než v horské výrobní oblasti.</w:t>
      </w:r>
    </w:p>
    <w:p w:rsidR="005A312F" w:rsidRPr="00B9178B" w:rsidRDefault="005A312F" w:rsidP="00D26858">
      <w:pPr>
        <w:pStyle w:val="mezera"/>
      </w:pPr>
    </w:p>
    <w:p w:rsidR="005A312F" w:rsidRPr="00B9178B" w:rsidRDefault="005A312F" w:rsidP="00D26858">
      <w:pPr>
        <w:pStyle w:val="mezera"/>
      </w:pPr>
      <w:r w:rsidRPr="00EC42D3">
        <w:rPr>
          <w:noProof/>
          <w:lang w:eastAsia="cs-CZ"/>
        </w:rPr>
        <w:drawing>
          <wp:inline distT="0" distB="0" distL="0" distR="0" wp14:anchorId="0E619F47" wp14:editId="52281A31">
            <wp:extent cx="5760720" cy="1741766"/>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1741766"/>
                    </a:xfrm>
                    <a:prstGeom prst="rect">
                      <a:avLst/>
                    </a:prstGeom>
                    <a:noFill/>
                    <a:ln>
                      <a:noFill/>
                    </a:ln>
                  </pic:spPr>
                </pic:pic>
              </a:graphicData>
            </a:graphic>
          </wp:inline>
        </w:drawing>
      </w:r>
    </w:p>
    <w:p w:rsidR="005A312F" w:rsidRPr="00B9178B" w:rsidRDefault="005A312F" w:rsidP="00D26858">
      <w:pPr>
        <w:pStyle w:val="mezera"/>
      </w:pPr>
    </w:p>
    <w:p w:rsidR="005A312F" w:rsidRDefault="005A312F" w:rsidP="00D26858">
      <w:r w:rsidRPr="00496C9B">
        <w:t xml:space="preserve">Samostatnou </w:t>
      </w:r>
      <w:r>
        <w:t xml:space="preserve">tematickou </w:t>
      </w:r>
      <w:r w:rsidRPr="00496C9B">
        <w:t>oblastí je pro</w:t>
      </w:r>
      <w:r>
        <w:t>pachtování</w:t>
      </w:r>
      <w:r w:rsidRPr="00496C9B">
        <w:t xml:space="preserve"> </w:t>
      </w:r>
      <w:r>
        <w:t xml:space="preserve">zemědělské </w:t>
      </w:r>
      <w:r w:rsidRPr="00496C9B">
        <w:t>půdy ve vlastnictví státu, kterou spra</w:t>
      </w:r>
      <w:r>
        <w:t>vuje SPÚ (viz kap. 7.3)</w:t>
      </w:r>
      <w:r w:rsidRPr="00496C9B">
        <w:t>. U smluv uzavíraných s</w:t>
      </w:r>
      <w:r>
        <w:t xml:space="preserve"> pachtýřem na dobu neurčitou je stanoveno </w:t>
      </w:r>
      <w:proofErr w:type="spellStart"/>
      <w:r>
        <w:t>pachtovné</w:t>
      </w:r>
      <w:proofErr w:type="spellEnd"/>
      <w:r>
        <w:t xml:space="preserve"> v minimální výši 2,2</w:t>
      </w:r>
      <w:r w:rsidR="00584C1E">
        <w:t xml:space="preserve"> </w:t>
      </w:r>
      <w:r>
        <w:t>% úřední ceny půdy</w:t>
      </w:r>
      <w:r w:rsidRPr="00496C9B">
        <w:t>, u</w:t>
      </w:r>
      <w:r>
        <w:t xml:space="preserve"> pětiletých smluv v rámci</w:t>
      </w:r>
      <w:r w:rsidRPr="00496C9B">
        <w:t xml:space="preserve"> PRV </w:t>
      </w:r>
      <w:r>
        <w:t xml:space="preserve">pak v minimální výši 2,4 % úřední ceny </w:t>
      </w:r>
      <w:proofErr w:type="spellStart"/>
      <w:r>
        <w:t>propachtovávané</w:t>
      </w:r>
      <w:proofErr w:type="spellEnd"/>
      <w:r>
        <w:t xml:space="preserve"> půdy.</w:t>
      </w:r>
    </w:p>
    <w:p w:rsidR="005A312F" w:rsidRPr="00496C9B" w:rsidRDefault="005A312F" w:rsidP="00D26858">
      <w:pPr>
        <w:pStyle w:val="Norm-Bold"/>
      </w:pPr>
      <w:r>
        <w:t>Ceny zemědělské půdy ve vybraných státech EU</w:t>
      </w:r>
    </w:p>
    <w:p w:rsidR="005A312F" w:rsidRPr="00311A3B" w:rsidRDefault="005A312F" w:rsidP="00D26858">
      <w:r w:rsidRPr="00311A3B">
        <w:t xml:space="preserve">Ceny zemědělské půdy se v jednotlivých státech EU významně odlišují, a to i </w:t>
      </w:r>
      <w:r w:rsidR="00584C1E">
        <w:t xml:space="preserve">v </w:t>
      </w:r>
      <w:r w:rsidRPr="00311A3B">
        <w:t>rámci sousedících regionů. Důvodem jsou jak velmi různorodé půdně-klimatické podmínky, tak velmi nerovnoměrná výměra zemědělské půdy vzhledem k počtu obyvatel, odlišná podnikatelská struktura zemědělství i odlišná ekonomická úroveň jednotlivých států a často i nižších územních jednotek, odlišná efektivnost zemědělsk</w:t>
      </w:r>
      <w:r>
        <w:t>ých podniků a úroveň podpor vč. </w:t>
      </w:r>
      <w:r w:rsidRPr="00311A3B">
        <w:t xml:space="preserve">různých systémů jejich aplikace. </w:t>
      </w:r>
      <w:r w:rsidR="00480ADC" w:rsidRPr="00480ADC">
        <w:t>Významnou roli sehrávají</w:t>
      </w:r>
      <w:r w:rsidR="00480ADC">
        <w:t xml:space="preserve"> i</w:t>
      </w:r>
      <w:r w:rsidR="00480ADC" w:rsidRPr="00480ADC">
        <w:t xml:space="preserve"> </w:t>
      </w:r>
      <w:r w:rsidR="00480ADC">
        <w:t>podmínky vyplývající z </w:t>
      </w:r>
      <w:r w:rsidR="00480ADC" w:rsidRPr="00480ADC">
        <w:t xml:space="preserve">právních předpisů </w:t>
      </w:r>
      <w:r w:rsidRPr="00311A3B">
        <w:t>a</w:t>
      </w:r>
      <w:r>
        <w:t> </w:t>
      </w:r>
      <w:r w:rsidRPr="00311A3B">
        <w:t xml:space="preserve">úroveň liberalizace trhu se zemědělskou půdou. </w:t>
      </w:r>
      <w:r>
        <w:t xml:space="preserve">V tab. </w:t>
      </w:r>
      <w:r w:rsidRPr="00404D61">
        <w:t>T7.2/05</w:t>
      </w:r>
      <w:r>
        <w:t xml:space="preserve"> je uvedeno srovnání cen zemědělské půdy ve vybraných státech Evropské unie od roku 2007 do roku 2013.</w:t>
      </w:r>
    </w:p>
    <w:p w:rsidR="005A312F" w:rsidRPr="00B9178B" w:rsidRDefault="005A312F" w:rsidP="00D26858">
      <w:pPr>
        <w:pStyle w:val="mezera"/>
      </w:pPr>
      <w:bookmarkStart w:id="178" w:name="RANGE!A2:I47"/>
      <w:bookmarkEnd w:id="178"/>
    </w:p>
    <w:p w:rsidR="005A312F" w:rsidRPr="00B9178B" w:rsidRDefault="00584C1E" w:rsidP="00D26858">
      <w:pPr>
        <w:pStyle w:val="mezera"/>
      </w:pPr>
      <w:r w:rsidRPr="00584C1E">
        <w:rPr>
          <w:noProof/>
          <w:lang w:eastAsia="cs-CZ"/>
        </w:rPr>
        <w:lastRenderedPageBreak/>
        <w:drawing>
          <wp:inline distT="0" distB="0" distL="0" distR="0" wp14:anchorId="6781BADE" wp14:editId="76EAB428">
            <wp:extent cx="5760720" cy="2450719"/>
            <wp:effectExtent l="0" t="0" r="0" b="6985"/>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450719"/>
                    </a:xfrm>
                    <a:prstGeom prst="rect">
                      <a:avLst/>
                    </a:prstGeom>
                    <a:noFill/>
                    <a:ln>
                      <a:noFill/>
                    </a:ln>
                  </pic:spPr>
                </pic:pic>
              </a:graphicData>
            </a:graphic>
          </wp:inline>
        </w:drawing>
      </w:r>
    </w:p>
    <w:p w:rsidR="005A312F" w:rsidRPr="00B9178B" w:rsidRDefault="005A312F" w:rsidP="00D26858">
      <w:pPr>
        <w:pStyle w:val="mezera"/>
      </w:pPr>
    </w:p>
    <w:p w:rsidR="005A312F" w:rsidRPr="00404D61" w:rsidRDefault="005A312F" w:rsidP="00D26858">
      <w:r>
        <w:t>Z uvedených států vykazuje nejvyšší cenu půdy Nizozemsko, kde se cenová úroveň pohybuje kolem 50 000 €/ha. Velmi vysokých cen dosahuje zemědělská půda také v Dánsku, Itálii nebo Velké Británii, kde se cena pohybuje kolem 15 000 až 20 000 €/ha. Přes hranici 15 000 €</w:t>
      </w:r>
      <w:r w:rsidRPr="00C00E10">
        <w:t>/ha zemědělské půdy přešlo v roce</w:t>
      </w:r>
      <w:r>
        <w:t xml:space="preserve"> 2013 též Německo, zde je ovšem cena silně ovlivněna relativně nižší cenou v nových spolkových zemích. Ve srovnání cen zemědělské půdy starých a nových spolkových zemí Německa je cena v nových oproti starým spolkovým zemím v průměru méně než poloviční. Zhruba ve výši 4 000 až 6 000 €/ha se </w:t>
      </w:r>
      <w:r w:rsidRPr="00C00E10">
        <w:t>pohybuje cena zemědělské půdy v severských</w:t>
      </w:r>
      <w:r>
        <w:t xml:space="preserve"> zemích Finsku a Švédsku. Francie vykazuje plynulý rostoucí trend ceny zemědělské půdy a cena zde od roku 2007 vzrostla z 5 000 € na téměř 6 000 €/ha. V mezinárodním srovnání vybraných států se nejníže pohybují ceny v České republice, které vykazují rovněž mírně rostoucí trend, výše ceny zemědělské půdy je ve srovnání s Francií přibližně </w:t>
      </w:r>
      <w:r w:rsidRPr="00C00E10">
        <w:t>třetinová a od roku 2003 vzrostla z</w:t>
      </w:r>
      <w:r>
        <w:t> původních necelých 2 000 € na téměř 2 500 €/ha.</w:t>
      </w:r>
    </w:p>
    <w:p w:rsidR="005A312F" w:rsidRPr="005C1C81" w:rsidRDefault="005A312F" w:rsidP="005A312F">
      <w:pPr>
        <w:pStyle w:val="Nadpis2"/>
        <w:numPr>
          <w:ilvl w:val="1"/>
          <w:numId w:val="10"/>
        </w:numPr>
        <w:tabs>
          <w:tab w:val="clear" w:pos="576"/>
        </w:tabs>
        <w:ind w:left="567" w:hanging="567"/>
      </w:pPr>
      <w:bookmarkStart w:id="179" w:name="_Toc265072464"/>
      <w:bookmarkStart w:id="180" w:name="_Toc328053835"/>
      <w:bookmarkStart w:id="181" w:name="_Toc359920561"/>
      <w:bookmarkStart w:id="182" w:name="_Toc384382592"/>
      <w:bookmarkStart w:id="183" w:name="_Toc385946936"/>
      <w:bookmarkStart w:id="184" w:name="_Toc424307062"/>
      <w:r w:rsidRPr="005C1C81">
        <w:t>7.3</w:t>
      </w:r>
      <w:r w:rsidRPr="005C1C81">
        <w:tab/>
      </w:r>
      <w:bookmarkEnd w:id="179"/>
      <w:r w:rsidRPr="005C1C81">
        <w:t>Státní pozemkový úřad, privatizace a restituce majetku a půdy</w:t>
      </w:r>
      <w:bookmarkEnd w:id="180"/>
      <w:bookmarkEnd w:id="181"/>
      <w:bookmarkEnd w:id="182"/>
      <w:bookmarkEnd w:id="183"/>
      <w:bookmarkEnd w:id="184"/>
    </w:p>
    <w:p w:rsidR="005A312F" w:rsidRPr="005C1C81" w:rsidRDefault="005A312F" w:rsidP="00D26858">
      <w:pPr>
        <w:pStyle w:val="Norm-Bold"/>
      </w:pPr>
      <w:r w:rsidRPr="005C1C81">
        <w:t>Státní pozemkový úřad</w:t>
      </w:r>
    </w:p>
    <w:p w:rsidR="005A312F" w:rsidRPr="005C1C81" w:rsidRDefault="005A312F" w:rsidP="00D26858">
      <w:r>
        <w:t>SPÚ</w:t>
      </w:r>
      <w:r w:rsidRPr="005C1C81">
        <w:t xml:space="preserve"> </w:t>
      </w:r>
      <w:r w:rsidR="00311A6E">
        <w:t xml:space="preserve">byl </w:t>
      </w:r>
      <w:r w:rsidRPr="005C1C81">
        <w:t>zřízen ke dni 1. ledna 2013 na základě zákona č. 503/2012 Sb., o Státním poze</w:t>
      </w:r>
      <w:r>
        <w:t>mkovém úřadu ČR, a</w:t>
      </w:r>
      <w:r w:rsidRPr="005C1C81">
        <w:t xml:space="preserve"> spojil agendy Pozemkov</w:t>
      </w:r>
      <w:r>
        <w:t>ého</w:t>
      </w:r>
      <w:r w:rsidRPr="005C1C81">
        <w:t xml:space="preserve"> fond</w:t>
      </w:r>
      <w:r>
        <w:t>u</w:t>
      </w:r>
      <w:r w:rsidRPr="005C1C81">
        <w:t xml:space="preserve"> ČR a Ústřední</w:t>
      </w:r>
      <w:r>
        <w:t>ho</w:t>
      </w:r>
      <w:r w:rsidRPr="005C1C81">
        <w:t xml:space="preserve"> pozemkov</w:t>
      </w:r>
      <w:r>
        <w:t>ého</w:t>
      </w:r>
      <w:r w:rsidRPr="005C1C81">
        <w:t xml:space="preserve"> úřad</w:t>
      </w:r>
      <w:r>
        <w:t>u</w:t>
      </w:r>
      <w:r w:rsidR="00311A6E">
        <w:t>.</w:t>
      </w:r>
      <w:r w:rsidRPr="005C1C81">
        <w:t xml:space="preserve"> V rámci restitucí administruje SPÚ nároky na náhrady oprávněných osob (např. za znehodnocení vrácených budov, za odebraný živý a mrtvý inventář) a vypořádání nároků oprávněných osob na převod pozemků. Tyto nároky vypořádává SPÚ bezúplatným převodem jiných pozemků z vlastnictví státu a správy SPÚ do vla</w:t>
      </w:r>
      <w:r>
        <w:t>stnictví oprávněných osob (tzv. </w:t>
      </w:r>
      <w:r w:rsidRPr="005C1C81">
        <w:t>náhradní pozemky) a zápočtem nároků oprávněných osob na převod.</w:t>
      </w:r>
    </w:p>
    <w:p w:rsidR="005A312F" w:rsidRPr="00EA7FE2" w:rsidRDefault="005A312F" w:rsidP="00D26858">
      <w:pPr>
        <w:pStyle w:val="Norm-Bold"/>
      </w:pPr>
      <w:r w:rsidRPr="00EA7FE2">
        <w:t>Privatizace státních podniků hospodařících na zemědělské půdě</w:t>
      </w:r>
    </w:p>
    <w:p w:rsidR="005A312F" w:rsidRPr="00EA7FE2" w:rsidRDefault="005A312F" w:rsidP="00D26858">
      <w:pPr>
        <w:rPr>
          <w:rFonts w:asciiTheme="minorBidi" w:hAnsiTheme="minorBidi"/>
        </w:rPr>
      </w:pPr>
      <w:r w:rsidRPr="00EA7FE2">
        <w:rPr>
          <w:rFonts w:asciiTheme="minorBidi" w:hAnsiTheme="minorBidi"/>
        </w:rPr>
        <w:t xml:space="preserve">Privatizace státních statků a obdobných státních podniků hospodařících na zemědělské půdě (dále jen státních statků) je v zásadě ukončena. Z původního </w:t>
      </w:r>
      <w:r w:rsidRPr="00EA7FE2">
        <w:t>počtu 452</w:t>
      </w:r>
      <w:r w:rsidRPr="00EA7FE2">
        <w:rPr>
          <w:rFonts w:asciiTheme="minorBidi" w:hAnsiTheme="minorBidi"/>
        </w:rPr>
        <w:t xml:space="preserve"> státních statků a obdobných státních podniků, které vstoupily do privatizace, dosud nebyla likvidace </w:t>
      </w:r>
      <w:r w:rsidRPr="00EA7FE2">
        <w:rPr>
          <w:rFonts w:asciiTheme="minorBidi" w:hAnsiTheme="minorBidi"/>
        </w:rPr>
        <w:lastRenderedPageBreak/>
        <w:t xml:space="preserve">ukončena u </w:t>
      </w:r>
      <w:r w:rsidRPr="00EA7FE2">
        <w:t>10 s</w:t>
      </w:r>
      <w:r w:rsidRPr="00EA7FE2">
        <w:rPr>
          <w:rFonts w:asciiTheme="minorBidi" w:hAnsiTheme="minorBidi"/>
        </w:rPr>
        <w:t>ubjektů a dále je k </w:t>
      </w:r>
      <w:r w:rsidRPr="00EA7FE2">
        <w:t>31. 12. 2014</w:t>
      </w:r>
      <w:r w:rsidRPr="00EA7FE2">
        <w:rPr>
          <w:rFonts w:asciiTheme="minorBidi" w:hAnsiTheme="minorBidi"/>
        </w:rPr>
        <w:t xml:space="preserve"> v řízení o úpadku a způsobech jeho řešení (insolvenční zákon) 9 státních statků a obdobných státních podniků.</w:t>
      </w:r>
    </w:p>
    <w:p w:rsidR="005A312F" w:rsidRPr="00EB0AF2" w:rsidRDefault="005A312F" w:rsidP="00D26858">
      <w:pPr>
        <w:pStyle w:val="Norm-Bold"/>
      </w:pPr>
      <w:r w:rsidRPr="00EB0AF2">
        <w:t>Situace ve vypořádání restitučních nároků</w:t>
      </w:r>
    </w:p>
    <w:p w:rsidR="005A312F" w:rsidRDefault="005A312F" w:rsidP="00D26858">
      <w:r w:rsidRPr="00EE48D8">
        <w:t>Vyřizování uplatněných restitučních nároků v zemědělství je, až na řešení sporných případů, téměř ukončeno. V rámci správních řízení bylo do 31. 12. 2014 rozhodnuto celkem o 1 722 449,72 ha zemědělské a lesní půdy. Z toho bylo skutečně vydáno 1 251 353,90 ha, nevydáno s nárokem na náhradu prostřednictvím SPÚ bylo 128 068,84 ha. Z důvodů nenaplnění zákonných podmínek pozemkové úřady rozhodly o nevydání 343 369,49 ha.</w:t>
      </w:r>
    </w:p>
    <w:p w:rsidR="005A312F" w:rsidRPr="00B9178B" w:rsidRDefault="005A312F" w:rsidP="00D26858">
      <w:pPr>
        <w:pStyle w:val="mezera"/>
      </w:pPr>
    </w:p>
    <w:p w:rsidR="005A312F" w:rsidRPr="00B9178B" w:rsidRDefault="005A312F" w:rsidP="00D26858">
      <w:pPr>
        <w:pStyle w:val="mezera"/>
      </w:pPr>
      <w:r w:rsidRPr="00F050BB">
        <w:rPr>
          <w:noProof/>
          <w:lang w:eastAsia="cs-CZ"/>
        </w:rPr>
        <w:drawing>
          <wp:inline distT="0" distB="0" distL="0" distR="0" wp14:anchorId="250E56BF" wp14:editId="3222ACBD">
            <wp:extent cx="5391150" cy="2602865"/>
            <wp:effectExtent l="0" t="0" r="0" b="698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2602865"/>
                    </a:xfrm>
                    <a:prstGeom prst="rect">
                      <a:avLst/>
                    </a:prstGeom>
                    <a:noFill/>
                    <a:ln>
                      <a:noFill/>
                    </a:ln>
                  </pic:spPr>
                </pic:pic>
              </a:graphicData>
            </a:graphic>
          </wp:inline>
        </w:drawing>
      </w:r>
    </w:p>
    <w:p w:rsidR="005A312F" w:rsidRPr="00B9178B" w:rsidRDefault="005A312F" w:rsidP="00D26858">
      <w:pPr>
        <w:pStyle w:val="mezera"/>
      </w:pPr>
    </w:p>
    <w:p w:rsidR="005A312F" w:rsidRDefault="005A312F" w:rsidP="00D26858">
      <w:r w:rsidRPr="00A4137C">
        <w:t>Počty uplatněných restitučních nároků meziročně mírně klesají</w:t>
      </w:r>
      <w:r w:rsidR="00311A6E">
        <w:t xml:space="preserve"> (tab. T7.3/01)</w:t>
      </w:r>
      <w:r w:rsidRPr="00C00E10">
        <w:t xml:space="preserve">. </w:t>
      </w:r>
      <w:r w:rsidR="00311A6E">
        <w:t>V</w:t>
      </w:r>
      <w:r w:rsidRPr="00C00E10">
        <w:t> tab. T7.3/02 je uvedeno vyčíslení uplatněných nároků a náhrad v mil. Kč.</w:t>
      </w:r>
    </w:p>
    <w:p w:rsidR="005A312F" w:rsidRDefault="005A312F" w:rsidP="00D26858">
      <w:pPr>
        <w:pStyle w:val="mezera"/>
      </w:pPr>
    </w:p>
    <w:p w:rsidR="005A312F" w:rsidRPr="00B9178B" w:rsidRDefault="005A312F" w:rsidP="00D26858">
      <w:pPr>
        <w:pStyle w:val="mezera"/>
      </w:pPr>
      <w:r w:rsidRPr="00F050BB">
        <w:rPr>
          <w:noProof/>
          <w:lang w:eastAsia="cs-CZ"/>
        </w:rPr>
        <w:drawing>
          <wp:inline distT="0" distB="0" distL="0" distR="0" wp14:anchorId="77498FD8" wp14:editId="5C2052B8">
            <wp:extent cx="5486400" cy="287782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2877820"/>
                    </a:xfrm>
                    <a:prstGeom prst="rect">
                      <a:avLst/>
                    </a:prstGeom>
                    <a:noFill/>
                    <a:ln>
                      <a:noFill/>
                    </a:ln>
                  </pic:spPr>
                </pic:pic>
              </a:graphicData>
            </a:graphic>
          </wp:inline>
        </w:drawing>
      </w:r>
    </w:p>
    <w:p w:rsidR="005A312F" w:rsidRPr="00B9178B" w:rsidRDefault="005A312F" w:rsidP="00D26858">
      <w:pPr>
        <w:pStyle w:val="mezera"/>
      </w:pPr>
    </w:p>
    <w:p w:rsidR="005A312F" w:rsidRPr="00A44D60" w:rsidRDefault="005A312F" w:rsidP="00D26858">
      <w:pPr>
        <w:pStyle w:val="Norm-Bold"/>
      </w:pPr>
      <w:r w:rsidRPr="00A44D60">
        <w:lastRenderedPageBreak/>
        <w:t>Vypořádání církevních restitucí</w:t>
      </w:r>
    </w:p>
    <w:p w:rsidR="005A312F" w:rsidRPr="00A44D60" w:rsidRDefault="005A312F" w:rsidP="00D26858">
      <w:r w:rsidRPr="00A44D60">
        <w:t>Od 1. ledna 2013 vykonává SPÚ jako právní nástupce Pozemkového fondu ČR roli povinné osoby dle zákona č. 428/2012 Sb., o majetkovém vyrovnání s církvemi a</w:t>
      </w:r>
      <w:r>
        <w:t> </w:t>
      </w:r>
      <w:r w:rsidRPr="00A44D60">
        <w:t>náboženskými společnostmi, a od tohoto data tak přijímal výzvy oprávněných osob k vydání zemědělských nemovitostí, které do 31. 12. 2012 spravoval Pozemkový fond ČR. Oprávněné osoby mohly ve lhůtě 12 měsíců ode dne nabytí účinnosti zákona o majetkovém vyrovnání z listopadu 2012 písemně vyzvat SPÚ o vydání příslušné nemovitosti. SPÚ má působnost v</w:t>
      </w:r>
      <w:r>
        <w:t> </w:t>
      </w:r>
      <w:r w:rsidRPr="00A44D60">
        <w:t>průběhu samotného majetkového vyrovnání s církvemi a náboženskými společnostmi také jako příslušný pozemkový úřad.</w:t>
      </w:r>
    </w:p>
    <w:p w:rsidR="005A312F" w:rsidRDefault="005A312F" w:rsidP="00D26858">
      <w:r w:rsidRPr="00A44D60">
        <w:t>Proces majetkového vyrovnání s církvemi je v současné době ve svých</w:t>
      </w:r>
      <w:r>
        <w:t xml:space="preserve"> </w:t>
      </w:r>
      <w:r w:rsidRPr="00A44D60">
        <w:t>začátcích. Až na výjimky dle §18, odst. 1 zákona č. 428/2012 Sb., byl poslední možný termín doručení výzvy oprávněných osob 2. 1. 2014 a jejich stav by se tedy neměl dále výrazně měnit. Konkrétní údaje byly zí</w:t>
      </w:r>
      <w:r>
        <w:t xml:space="preserve">skány ze zveřejněných údajů SPÚ a týkají se </w:t>
      </w:r>
      <w:r w:rsidRPr="00B9178B">
        <w:t>stavu výzev a dohod k 31. 12. 201</w:t>
      </w:r>
      <w:r>
        <w:t>4.</w:t>
      </w:r>
    </w:p>
    <w:p w:rsidR="005A312F" w:rsidRDefault="005A312F" w:rsidP="00D26858">
      <w:r w:rsidRPr="00C00E10">
        <w:t>Počet výzev, týkajících se vydání zemědělského majetku dle §9, odst. 2 zákona č. 428/2012 Sb., o majetkovém vyrovnání, přijatých povinnou osobou SPÚ do 31. 12. 2014 od oprávněných osob byl 3 414.</w:t>
      </w:r>
    </w:p>
    <w:p w:rsidR="005A312F" w:rsidRPr="00385CED" w:rsidRDefault="005A312F" w:rsidP="00D26858">
      <w:r w:rsidRPr="00385CED">
        <w:t>Ve výzvě nebyly oprávněné osoby povinny uvádět výměru původních pozemků nárokovaných nyní v rámci restitucí. Suma oprávněnými osobami dobrovolně uvedených nárokovaných výměr ve výzvách podaných před 31.</w:t>
      </w:r>
      <w:r>
        <w:t> </w:t>
      </w:r>
      <w:r w:rsidRPr="00385CED">
        <w:t>12.</w:t>
      </w:r>
      <w:r>
        <w:t> </w:t>
      </w:r>
      <w:r w:rsidRPr="00385CED">
        <w:t>2014 je 2 129 ha</w:t>
      </w:r>
      <w:r w:rsidRPr="00C00E10">
        <w:t>. Odhad výměry nárokované plochy byl však uveden oprávněnými osobami pouze u 11</w:t>
      </w:r>
      <w:r w:rsidR="00311A6E">
        <w:t xml:space="preserve"> </w:t>
      </w:r>
      <w:r w:rsidRPr="00C00E10">
        <w:t>% přijatých výzev.</w:t>
      </w:r>
    </w:p>
    <w:p w:rsidR="005A312F" w:rsidRDefault="005A312F" w:rsidP="00D26858">
      <w:r w:rsidRPr="00BE07C5">
        <w:t>Do</w:t>
      </w:r>
      <w:r>
        <w:t xml:space="preserve"> </w:t>
      </w:r>
      <w:r w:rsidRPr="00BE07C5">
        <w:t>31.</w:t>
      </w:r>
      <w:r>
        <w:t> </w:t>
      </w:r>
      <w:r w:rsidRPr="00BE07C5">
        <w:t>12.</w:t>
      </w:r>
      <w:r>
        <w:t> </w:t>
      </w:r>
      <w:r w:rsidRPr="00BE07C5">
        <w:t xml:space="preserve">2014 bylo </w:t>
      </w:r>
      <w:r>
        <w:t xml:space="preserve">SPÚ </w:t>
      </w:r>
      <w:r w:rsidRPr="00BE07C5">
        <w:t>dle §9 odst. 2 zákona č. 428/2012 Sb</w:t>
      </w:r>
      <w:r>
        <w:t>.</w:t>
      </w:r>
      <w:r w:rsidRPr="00BE07C5">
        <w:t xml:space="preserve"> schváleno 1 313</w:t>
      </w:r>
      <w:r>
        <w:t> dohod k</w:t>
      </w:r>
      <w:r w:rsidRPr="00BE07C5">
        <w:t> 15 181 pozemkům o celkové výměře 1</w:t>
      </w:r>
      <w:r>
        <w:t>0</w:t>
      </w:r>
      <w:r w:rsidRPr="00BE07C5">
        <w:t> </w:t>
      </w:r>
      <w:r>
        <w:t>701</w:t>
      </w:r>
      <w:r w:rsidRPr="00BE07C5">
        <w:t xml:space="preserve"> ha. </w:t>
      </w:r>
      <w:r>
        <w:t xml:space="preserve">Skutečně vydáno pak bylo podle uvedených údajů v rámci 126 rozhodnutí 848 pozemků o výměře 764 ha. </w:t>
      </w:r>
      <w:r w:rsidRPr="00BE07C5">
        <w:t>Na místě je zde upozornění, že toto jsou údaje o stavu ke konkrétnímu datu, který se bude nadále průběžně, v souvislosti s během restitučním procesu, měnit</w:t>
      </w:r>
      <w:r w:rsidRPr="00BE07C5">
        <w:rPr>
          <w:rStyle w:val="Znakapoznpodarou"/>
        </w:rPr>
        <w:footnoteReference w:id="117"/>
      </w:r>
      <w:r>
        <w:t>.</w:t>
      </w:r>
    </w:p>
    <w:p w:rsidR="005A312F" w:rsidRPr="001D5C55" w:rsidRDefault="005A312F" w:rsidP="00D26858">
      <w:pPr>
        <w:pStyle w:val="Norm-Bold"/>
      </w:pPr>
      <w:r>
        <w:t>Propachtování</w:t>
      </w:r>
      <w:r w:rsidRPr="001D5C55">
        <w:t xml:space="preserve"> půdy ve správě Státního pozemkového úřadu</w:t>
      </w:r>
    </w:p>
    <w:p w:rsidR="005A312F" w:rsidRDefault="005A312F" w:rsidP="00D26858">
      <w:r w:rsidRPr="001D5C55">
        <w:t>SPÚ pro</w:t>
      </w:r>
      <w:r>
        <w:t>pachtovává</w:t>
      </w:r>
      <w:r w:rsidRPr="001D5C55">
        <w:t xml:space="preserve"> státn</w:t>
      </w:r>
      <w:r>
        <w:t>í půdu a ostatní státní majetek, který má ve správě</w:t>
      </w:r>
      <w:r w:rsidRPr="001D5C55">
        <w:t xml:space="preserve">. Podle údajů poskytnutých SPÚ bylo z celkové výměry 177 tis. ha státní zemědělské půdy k 31. 12. 2014 pronajato 146 tis. ha, tedy </w:t>
      </w:r>
      <w:r>
        <w:t>82</w:t>
      </w:r>
      <w:r w:rsidR="00311A6E">
        <w:t>,5</w:t>
      </w:r>
      <w:r>
        <w:t> % ploch určených k propachtování</w:t>
      </w:r>
      <w:r w:rsidRPr="001D5C55">
        <w:t>. Z hledi</w:t>
      </w:r>
      <w:r>
        <w:t>ska podílu na státní půdě k propachtování</w:t>
      </w:r>
      <w:r w:rsidRPr="001D5C55">
        <w:t xml:space="preserve"> připadl</w:t>
      </w:r>
      <w:r>
        <w:t>o</w:t>
      </w:r>
      <w:r w:rsidRPr="001D5C55">
        <w:t xml:space="preserve"> na právnické osoby 54,7 % a na fyzické osoby 27,8 %</w:t>
      </w:r>
      <w:r>
        <w:t xml:space="preserve"> její výměry</w:t>
      </w:r>
      <w:r w:rsidRPr="001D5C55">
        <w:t>. Z nejrůznějších důvodů zůstalo k 31. 12. 201</w:t>
      </w:r>
      <w:r>
        <w:t>4</w:t>
      </w:r>
      <w:r w:rsidRPr="001D5C55">
        <w:t xml:space="preserve"> nepronajato</w:t>
      </w:r>
      <w:r w:rsidRPr="001D5C55" w:rsidDel="003642E0">
        <w:t xml:space="preserve"> </w:t>
      </w:r>
      <w:r>
        <w:t>necelých 31</w:t>
      </w:r>
      <w:r w:rsidRPr="001D5C55">
        <w:t xml:space="preserve"> tis. ha zemědělské půdy, což představuje 17,5 % celkové výměry státní </w:t>
      </w:r>
      <w:r w:rsidRPr="00C00E10">
        <w:t>půdy ve správě SPÚ určené k propachtování. Srovnání stavu propachtované státní půdy v letech 2013 a 2014 jsou uvedeny v tab. T7.3/03.</w:t>
      </w:r>
    </w:p>
    <w:p w:rsidR="005A312F" w:rsidRDefault="005A312F" w:rsidP="00D26858">
      <w:pPr>
        <w:pStyle w:val="mezera"/>
      </w:pPr>
    </w:p>
    <w:p w:rsidR="005A312F" w:rsidRDefault="005A312F" w:rsidP="00D26858">
      <w:pPr>
        <w:pStyle w:val="mezera"/>
      </w:pPr>
      <w:r w:rsidRPr="00F050BB">
        <w:rPr>
          <w:noProof/>
          <w:lang w:eastAsia="cs-CZ"/>
        </w:rPr>
        <w:drawing>
          <wp:inline distT="0" distB="0" distL="0" distR="0" wp14:anchorId="5F12436B" wp14:editId="5AB15342">
            <wp:extent cx="5760720" cy="1599501"/>
            <wp:effectExtent l="0" t="0" r="0" b="127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1599501"/>
                    </a:xfrm>
                    <a:prstGeom prst="rect">
                      <a:avLst/>
                    </a:prstGeom>
                    <a:noFill/>
                    <a:ln>
                      <a:noFill/>
                    </a:ln>
                  </pic:spPr>
                </pic:pic>
              </a:graphicData>
            </a:graphic>
          </wp:inline>
        </w:drawing>
      </w:r>
    </w:p>
    <w:p w:rsidR="005A312F" w:rsidRDefault="005A312F" w:rsidP="00D26858">
      <w:pPr>
        <w:pStyle w:val="mezera"/>
      </w:pPr>
    </w:p>
    <w:p w:rsidR="005A312F" w:rsidRPr="00582C10" w:rsidRDefault="005A312F" w:rsidP="00D26858">
      <w:pPr>
        <w:pStyle w:val="Nadpis2"/>
      </w:pPr>
      <w:bookmarkStart w:id="185" w:name="_Toc228334930"/>
      <w:bookmarkStart w:id="186" w:name="_Toc328053836"/>
      <w:bookmarkStart w:id="187" w:name="_Toc356811478"/>
      <w:bookmarkStart w:id="188" w:name="_Toc391991508"/>
      <w:bookmarkStart w:id="189" w:name="_Toc424307063"/>
      <w:bookmarkStart w:id="190" w:name="_Toc199146382"/>
      <w:bookmarkStart w:id="191" w:name="_Toc296443144"/>
      <w:r w:rsidRPr="00582C10">
        <w:t>7.4</w:t>
      </w:r>
      <w:r w:rsidRPr="00582C10">
        <w:tab/>
        <w:t>Využití a stav zemědělského půdního fondu</w:t>
      </w:r>
      <w:bookmarkEnd w:id="185"/>
      <w:bookmarkEnd w:id="186"/>
      <w:bookmarkEnd w:id="187"/>
      <w:bookmarkEnd w:id="188"/>
      <w:bookmarkEnd w:id="189"/>
    </w:p>
    <w:p w:rsidR="005A312F" w:rsidRPr="00582C10" w:rsidRDefault="005A312F" w:rsidP="00D26858">
      <w:pPr>
        <w:pStyle w:val="Nadpis3"/>
      </w:pPr>
      <w:bookmarkStart w:id="192" w:name="_Toc356811479"/>
      <w:bookmarkStart w:id="193" w:name="_Toc391991509"/>
      <w:bookmarkStart w:id="194" w:name="_Toc424307064"/>
      <w:r w:rsidRPr="00582C10">
        <w:t>7.4.1</w:t>
      </w:r>
      <w:r w:rsidRPr="00582C10">
        <w:tab/>
        <w:t>Vývoj výměry zemědělského půdního fondu ČR a struktury jeho užití</w:t>
      </w:r>
      <w:bookmarkEnd w:id="192"/>
      <w:bookmarkEnd w:id="193"/>
      <w:bookmarkEnd w:id="194"/>
    </w:p>
    <w:p w:rsidR="005A312F" w:rsidRDefault="005A312F" w:rsidP="00D26858">
      <w:r w:rsidRPr="00582C10">
        <w:t>Zemědělský půdní fond představoval k 31. 12. 201</w:t>
      </w:r>
      <w:r>
        <w:t>4</w:t>
      </w:r>
      <w:r w:rsidRPr="00582C10">
        <w:t xml:space="preserve"> podle evidence katastru nemovitostí celkem 4</w:t>
      </w:r>
      <w:r>
        <w:t> </w:t>
      </w:r>
      <w:r w:rsidRPr="00582C10">
        <w:t>21</w:t>
      </w:r>
      <w:r>
        <w:t>5,6</w:t>
      </w:r>
      <w:r w:rsidRPr="00582C10">
        <w:t> tis. ha, tj. 53,5 % z rozlohy státu (tab. T7.4/01). Na jednoho obyvatele připadá</w:t>
      </w:r>
      <w:r>
        <w:t xml:space="preserve"> jako v minulém roce</w:t>
      </w:r>
      <w:r w:rsidRPr="00582C10">
        <w:t xml:space="preserve"> 0,40 ha </w:t>
      </w:r>
      <w:r w:rsidR="004559E9">
        <w:t>z. p.</w:t>
      </w:r>
      <w:r w:rsidRPr="00582C10">
        <w:t xml:space="preserve"> a 0,28 ha o</w:t>
      </w:r>
      <w:r w:rsidR="00FB79FD">
        <w:t>.</w:t>
      </w:r>
      <w:r w:rsidRPr="00582C10">
        <w:t xml:space="preserve"> p</w:t>
      </w:r>
      <w:r w:rsidR="00FB79FD">
        <w:t>.</w:t>
      </w:r>
      <w:r w:rsidRPr="00582C10">
        <w:t>. Proti roku 201</w:t>
      </w:r>
      <w:r>
        <w:t>3</w:t>
      </w:r>
      <w:r w:rsidRPr="00582C10">
        <w:t xml:space="preserve"> došlo ke snížení rozlohy z</w:t>
      </w:r>
      <w:r w:rsidR="004559E9">
        <w:t>. </w:t>
      </w:r>
      <w:r w:rsidRPr="00582C10">
        <w:t>p</w:t>
      </w:r>
      <w:r w:rsidR="004559E9">
        <w:t xml:space="preserve">. </w:t>
      </w:r>
      <w:r w:rsidRPr="00582C10">
        <w:t>o cca 4,</w:t>
      </w:r>
      <w:r>
        <w:t>2</w:t>
      </w:r>
      <w:r w:rsidRPr="00582C10">
        <w:t> tis. ha, tj. o 0,1 %.</w:t>
      </w:r>
    </w:p>
    <w:p w:rsidR="005A312F" w:rsidRPr="00582C10" w:rsidRDefault="005A312F" w:rsidP="00D26858">
      <w:r w:rsidRPr="00582C10">
        <w:rPr>
          <w:iCs/>
        </w:rPr>
        <w:t>Meziroční úbytek ZPF v roce 201</w:t>
      </w:r>
      <w:r>
        <w:rPr>
          <w:iCs/>
        </w:rPr>
        <w:t>4</w:t>
      </w:r>
      <w:r w:rsidRPr="00582C10">
        <w:rPr>
          <w:iCs/>
        </w:rPr>
        <w:t xml:space="preserve"> spočíval podle ČÚZK především ve snížení výměry orné půdy o </w:t>
      </w:r>
      <w:r>
        <w:rPr>
          <w:iCs/>
        </w:rPr>
        <w:t>6,8</w:t>
      </w:r>
      <w:r w:rsidRPr="00582C10">
        <w:rPr>
          <w:iCs/>
        </w:rPr>
        <w:t> tis.</w:t>
      </w:r>
      <w:r w:rsidRPr="00582C10">
        <w:t> ha</w:t>
      </w:r>
      <w:r w:rsidRPr="00582C10">
        <w:rPr>
          <w:iCs/>
        </w:rPr>
        <w:t xml:space="preserve">, což je úbytek </w:t>
      </w:r>
      <w:r>
        <w:rPr>
          <w:iCs/>
        </w:rPr>
        <w:t>menší</w:t>
      </w:r>
      <w:r w:rsidRPr="00582C10">
        <w:rPr>
          <w:iCs/>
        </w:rPr>
        <w:t xml:space="preserve"> cca o </w:t>
      </w:r>
      <w:r>
        <w:rPr>
          <w:iCs/>
        </w:rPr>
        <w:t>600</w:t>
      </w:r>
      <w:r w:rsidRPr="00582C10">
        <w:rPr>
          <w:iCs/>
        </w:rPr>
        <w:t> ha oproti roku 201</w:t>
      </w:r>
      <w:r>
        <w:rPr>
          <w:iCs/>
        </w:rPr>
        <w:t>3</w:t>
      </w:r>
      <w:r w:rsidRPr="00582C10">
        <w:rPr>
          <w:iCs/>
        </w:rPr>
        <w:t>. Narostla výměra druhu pozemku trvalé travní porosty o 2,</w:t>
      </w:r>
      <w:r>
        <w:rPr>
          <w:iCs/>
        </w:rPr>
        <w:t>8</w:t>
      </w:r>
      <w:r w:rsidRPr="00582C10">
        <w:rPr>
          <w:iCs/>
        </w:rPr>
        <w:t xml:space="preserve"> tis. ha, tedy o </w:t>
      </w:r>
      <w:r>
        <w:rPr>
          <w:iCs/>
        </w:rPr>
        <w:t>100</w:t>
      </w:r>
      <w:r w:rsidRPr="00582C10">
        <w:rPr>
          <w:iCs/>
        </w:rPr>
        <w:t xml:space="preserve"> ha </w:t>
      </w:r>
      <w:r>
        <w:rPr>
          <w:iCs/>
        </w:rPr>
        <w:t>méně</w:t>
      </w:r>
      <w:r w:rsidRPr="00582C10">
        <w:rPr>
          <w:iCs/>
        </w:rPr>
        <w:t xml:space="preserve"> než v roce 201</w:t>
      </w:r>
      <w:r>
        <w:rPr>
          <w:iCs/>
        </w:rPr>
        <w:t>3</w:t>
      </w:r>
      <w:r w:rsidRPr="00582C10">
        <w:rPr>
          <w:iCs/>
        </w:rPr>
        <w:t>. Zvětšila se výměra lesní půdy o </w:t>
      </w:r>
      <w:r>
        <w:rPr>
          <w:iCs/>
        </w:rPr>
        <w:t>2,6</w:t>
      </w:r>
      <w:r w:rsidRPr="00582C10">
        <w:rPr>
          <w:iCs/>
        </w:rPr>
        <w:t xml:space="preserve"> tis. ha a výměra v kategoriích </w:t>
      </w:r>
      <w:r w:rsidR="008969A9">
        <w:rPr>
          <w:iCs/>
        </w:rPr>
        <w:t>„</w:t>
      </w:r>
      <w:r w:rsidRPr="00582C10">
        <w:rPr>
          <w:iCs/>
        </w:rPr>
        <w:t>zastavěné plochy a nádvoří</w:t>
      </w:r>
      <w:r w:rsidR="008969A9">
        <w:rPr>
          <w:iCs/>
        </w:rPr>
        <w:t>“</w:t>
      </w:r>
      <w:r w:rsidRPr="00582C10">
        <w:rPr>
          <w:iCs/>
        </w:rPr>
        <w:t xml:space="preserve"> a </w:t>
      </w:r>
      <w:r w:rsidR="008969A9">
        <w:rPr>
          <w:iCs/>
        </w:rPr>
        <w:t>„</w:t>
      </w:r>
      <w:r w:rsidRPr="00582C10">
        <w:rPr>
          <w:iCs/>
        </w:rPr>
        <w:t>ostatní plochy</w:t>
      </w:r>
      <w:r w:rsidR="008969A9">
        <w:rPr>
          <w:iCs/>
        </w:rPr>
        <w:t>“</w:t>
      </w:r>
      <w:r w:rsidRPr="00582C10">
        <w:rPr>
          <w:iCs/>
        </w:rPr>
        <w:t xml:space="preserve"> o </w:t>
      </w:r>
      <w:r>
        <w:rPr>
          <w:iCs/>
        </w:rPr>
        <w:t>1,2</w:t>
      </w:r>
      <w:r w:rsidRPr="00582C10">
        <w:rPr>
          <w:iCs/>
        </w:rPr>
        <w:t xml:space="preserve"> tis. ha. </w:t>
      </w:r>
      <w:r>
        <w:rPr>
          <w:iCs/>
        </w:rPr>
        <w:t>Mírně</w:t>
      </w:r>
      <w:r w:rsidRPr="00582C10">
        <w:rPr>
          <w:iCs/>
        </w:rPr>
        <w:t xml:space="preserve"> se zvyšuje výměra zahrad (o </w:t>
      </w:r>
      <w:r>
        <w:rPr>
          <w:iCs/>
        </w:rPr>
        <w:t>100</w:t>
      </w:r>
      <w:r w:rsidRPr="00582C10">
        <w:rPr>
          <w:iCs/>
        </w:rPr>
        <w:t xml:space="preserve"> ha) a vodních ploch (o </w:t>
      </w:r>
      <w:r>
        <w:rPr>
          <w:iCs/>
        </w:rPr>
        <w:t>500</w:t>
      </w:r>
      <w:r w:rsidRPr="00582C10">
        <w:rPr>
          <w:iCs/>
        </w:rPr>
        <w:t xml:space="preserve"> ha), úbytek plochy ovocných sadů dosáhl </w:t>
      </w:r>
      <w:r>
        <w:rPr>
          <w:iCs/>
        </w:rPr>
        <w:t>200</w:t>
      </w:r>
      <w:r w:rsidRPr="00582C10">
        <w:rPr>
          <w:iCs/>
        </w:rPr>
        <w:t xml:space="preserve"> ha. Výměra chmelnic </w:t>
      </w:r>
      <w:r>
        <w:rPr>
          <w:iCs/>
        </w:rPr>
        <w:t>a</w:t>
      </w:r>
      <w:r w:rsidR="00FD6B8F">
        <w:rPr>
          <w:iCs/>
        </w:rPr>
        <w:t> </w:t>
      </w:r>
      <w:r w:rsidRPr="00582C10">
        <w:rPr>
          <w:iCs/>
        </w:rPr>
        <w:t xml:space="preserve">vinic </w:t>
      </w:r>
      <w:r>
        <w:rPr>
          <w:iCs/>
        </w:rPr>
        <w:t>je stabilizovaná</w:t>
      </w:r>
      <w:r w:rsidRPr="00582C10">
        <w:rPr>
          <w:iCs/>
        </w:rPr>
        <w:t>.</w:t>
      </w:r>
    </w:p>
    <w:p w:rsidR="005A312F" w:rsidRPr="00582C10" w:rsidRDefault="005A312F" w:rsidP="00D26858">
      <w:pPr>
        <w:pStyle w:val="mezera"/>
      </w:pPr>
    </w:p>
    <w:p w:rsidR="005A312F" w:rsidRPr="00582C10" w:rsidRDefault="005A312F" w:rsidP="00D26858">
      <w:pPr>
        <w:pStyle w:val="mezera"/>
      </w:pPr>
      <w:r w:rsidRPr="00F050BB">
        <w:rPr>
          <w:noProof/>
          <w:lang w:eastAsia="cs-CZ"/>
        </w:rPr>
        <w:drawing>
          <wp:inline distT="0" distB="0" distL="0" distR="0" wp14:anchorId="5FD400B0" wp14:editId="632B477D">
            <wp:extent cx="5760720" cy="2506528"/>
            <wp:effectExtent l="0" t="0" r="0" b="825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2506528"/>
                    </a:xfrm>
                    <a:prstGeom prst="rect">
                      <a:avLst/>
                    </a:prstGeom>
                    <a:noFill/>
                    <a:ln>
                      <a:noFill/>
                    </a:ln>
                  </pic:spPr>
                </pic:pic>
              </a:graphicData>
            </a:graphic>
          </wp:inline>
        </w:drawing>
      </w:r>
    </w:p>
    <w:p w:rsidR="005A312F" w:rsidRPr="00582C10" w:rsidRDefault="005A312F" w:rsidP="00D26858">
      <w:pPr>
        <w:pStyle w:val="mezera"/>
      </w:pPr>
    </w:p>
    <w:p w:rsidR="005A312F" w:rsidRPr="00582C10" w:rsidRDefault="005A312F" w:rsidP="00D26858">
      <w:r w:rsidRPr="00582C10">
        <w:t xml:space="preserve">Rozdíl počtu parcel dokumentuje </w:t>
      </w:r>
      <w:r w:rsidR="0099226D" w:rsidRPr="00582C10">
        <w:t>soustavn</w:t>
      </w:r>
      <w:r w:rsidR="0099226D">
        <w:t>ý</w:t>
      </w:r>
      <w:r w:rsidR="0099226D" w:rsidRPr="00582C10">
        <w:t xml:space="preserve"> </w:t>
      </w:r>
      <w:r w:rsidR="0099226D">
        <w:t>pokles velikosti parcel</w:t>
      </w:r>
      <w:r w:rsidR="0099226D" w:rsidRPr="00582C10" w:rsidDel="0099226D">
        <w:t xml:space="preserve"> </w:t>
      </w:r>
      <w:r w:rsidRPr="00582C10">
        <w:t>půdního fondu, z části tvořen</w:t>
      </w:r>
      <w:r w:rsidR="0099226D">
        <w:t>ý</w:t>
      </w:r>
      <w:r w:rsidRPr="00582C10">
        <w:t xml:space="preserve"> dělením vlastnických parcel a z části obnovou katastrálního </w:t>
      </w:r>
      <w:r w:rsidRPr="0099226D">
        <w:t xml:space="preserve">operátu </w:t>
      </w:r>
      <w:r w:rsidR="0099226D" w:rsidRPr="0099226D">
        <w:t>v rámci probíhající digitalizace katastrálních map, při které jsou do katastrální mapy doplňovány parcely dosud vedené ve zjednodušené evidenci</w:t>
      </w:r>
      <w:r w:rsidRPr="00582C10">
        <w:t>. V roce 201</w:t>
      </w:r>
      <w:r>
        <w:t>4</w:t>
      </w:r>
      <w:r w:rsidRPr="00582C10">
        <w:t xml:space="preserve"> narostl počet vlastnických </w:t>
      </w:r>
      <w:r w:rsidRPr="00582C10">
        <w:lastRenderedPageBreak/>
        <w:t>parcel zemědělské půdy o </w:t>
      </w:r>
      <w:r>
        <w:t>393</w:t>
      </w:r>
      <w:r w:rsidRPr="00582C10">
        <w:t> tis. při současném poklesu výměry této půdy oproti roku 201</w:t>
      </w:r>
      <w:r>
        <w:t>3</w:t>
      </w:r>
      <w:r w:rsidRPr="00582C10">
        <w:t>. Průměrná výměra parcely orné půdy dále poklesla z 0,</w:t>
      </w:r>
      <w:r>
        <w:t>69</w:t>
      </w:r>
      <w:r w:rsidRPr="00582C10">
        <w:t xml:space="preserve"> ha na 0,6</w:t>
      </w:r>
      <w:r>
        <w:t>5</w:t>
      </w:r>
      <w:r w:rsidRPr="00582C10">
        <w:t> ha. Tento trend je stabilní a mimo zvýšených transakčních nákladů při manipulaci se zemědělskou půdou a zvýšených nákladů na provoz techniky zvyšuje i potřebu realizace komplexních pozemkových úprav.</w:t>
      </w:r>
    </w:p>
    <w:p w:rsidR="005A312F" w:rsidRPr="00582C10" w:rsidRDefault="005A312F" w:rsidP="00D26858">
      <w:r w:rsidRPr="00582C10">
        <w:t>Vývoj vybraných druhů pozemků v ČR od roku 2001 je zobrazen v grafu T7.4/01, ze kterého vyplývá dlouhodobé snižování výměry zemědělského půdního fondu v ČR. V roce 201</w:t>
      </w:r>
      <w:r>
        <w:t>4</w:t>
      </w:r>
      <w:r w:rsidRPr="00582C10">
        <w:t xml:space="preserve"> podle ČÚZK byl podíl zornění 70,</w:t>
      </w:r>
      <w:r>
        <w:t>7</w:t>
      </w:r>
      <w:r w:rsidRPr="00582C10">
        <w:t> %</w:t>
      </w:r>
      <w:r>
        <w:t xml:space="preserve"> a </w:t>
      </w:r>
      <w:r w:rsidR="001567B2">
        <w:t xml:space="preserve">meziročně </w:t>
      </w:r>
      <w:r>
        <w:t>kles</w:t>
      </w:r>
      <w:r w:rsidR="00064BFE">
        <w:t>l</w:t>
      </w:r>
      <w:r>
        <w:t xml:space="preserve"> o 0,1</w:t>
      </w:r>
      <w:r w:rsidR="00064BFE">
        <w:t xml:space="preserve"> p. b.</w:t>
      </w:r>
      <w:r w:rsidRPr="00582C10">
        <w:t>, zatravnění tvoří 23,</w:t>
      </w:r>
      <w:r>
        <w:t>7</w:t>
      </w:r>
      <w:r w:rsidRPr="00582C10">
        <w:t> % ZPF a mírně tak stoupá (v roce 201</w:t>
      </w:r>
      <w:r>
        <w:t>3</w:t>
      </w:r>
      <w:r w:rsidRPr="00582C10">
        <w:t xml:space="preserve"> činilo 23,</w:t>
      </w:r>
      <w:r>
        <w:t>6</w:t>
      </w:r>
      <w:r w:rsidRPr="00582C10">
        <w:t xml:space="preserve"> %). </w:t>
      </w:r>
      <w:r>
        <w:t>Mírně s</w:t>
      </w:r>
      <w:r w:rsidRPr="00582C10">
        <w:t>toupá i vzájemný poměr výměry lesní ku zemědělské půdě</w:t>
      </w:r>
      <w:r>
        <w:t xml:space="preserve"> (o 0,1</w:t>
      </w:r>
      <w:r w:rsidR="00064BFE">
        <w:t xml:space="preserve"> p. b.</w:t>
      </w:r>
      <w:r>
        <w:t>)</w:t>
      </w:r>
      <w:r w:rsidRPr="00582C10">
        <w:t>.</w:t>
      </w:r>
    </w:p>
    <w:p w:rsidR="005A312F" w:rsidRPr="00582C10" w:rsidRDefault="005A312F" w:rsidP="00D26858">
      <w:pPr>
        <w:pStyle w:val="mezera"/>
      </w:pPr>
    </w:p>
    <w:p w:rsidR="005A312F" w:rsidRPr="00582C10" w:rsidRDefault="005A312F" w:rsidP="00D26858">
      <w:pPr>
        <w:pStyle w:val="mezera-svzan"/>
      </w:pPr>
      <w:r w:rsidRPr="0022381C">
        <w:rPr>
          <w:noProof/>
          <w:lang w:eastAsia="cs-CZ"/>
        </w:rPr>
        <w:drawing>
          <wp:inline distT="0" distB="0" distL="0" distR="0" wp14:anchorId="0E62614D" wp14:editId="6F3B871C">
            <wp:extent cx="5760720" cy="3711127"/>
            <wp:effectExtent l="0" t="0" r="0" b="381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0720" cy="3711127"/>
                    </a:xfrm>
                    <a:prstGeom prst="rect">
                      <a:avLst/>
                    </a:prstGeom>
                    <a:noFill/>
                    <a:ln>
                      <a:noFill/>
                    </a:ln>
                  </pic:spPr>
                </pic:pic>
              </a:graphicData>
            </a:graphic>
          </wp:inline>
        </w:drawing>
      </w:r>
    </w:p>
    <w:p w:rsidR="005A312F" w:rsidRPr="00582C10" w:rsidRDefault="005A312F" w:rsidP="00D26858">
      <w:pPr>
        <w:pStyle w:val="TabPramZprac"/>
      </w:pPr>
      <w:r w:rsidRPr="00582C10">
        <w:t>Pramen:</w:t>
      </w:r>
      <w:r w:rsidRPr="00582C10">
        <w:tab/>
        <w:t>ČÚZK</w:t>
      </w:r>
    </w:p>
    <w:p w:rsidR="005A312F" w:rsidRPr="00582C10" w:rsidRDefault="005A312F" w:rsidP="00D26858">
      <w:pPr>
        <w:pStyle w:val="TabPramZprac"/>
      </w:pPr>
      <w:r w:rsidRPr="00582C10">
        <w:t>Zpracoval:</w:t>
      </w:r>
      <w:r w:rsidRPr="00582C10">
        <w:tab/>
        <w:t>V. Voltr (ÚZEI)</w:t>
      </w:r>
    </w:p>
    <w:p w:rsidR="005A312F" w:rsidRPr="00582C10" w:rsidRDefault="005A312F" w:rsidP="00D26858">
      <w:pPr>
        <w:pStyle w:val="mezera"/>
      </w:pPr>
    </w:p>
    <w:p w:rsidR="005A312F" w:rsidRPr="00582C10" w:rsidRDefault="005A312F" w:rsidP="00D26858">
      <w:pPr>
        <w:rPr>
          <w:rFonts w:ascii="Arial" w:hAnsi="Arial" w:cs="Arial"/>
          <w:color w:val="000000"/>
          <w:sz w:val="20"/>
          <w:szCs w:val="20"/>
        </w:rPr>
      </w:pPr>
      <w:r w:rsidRPr="00582C10">
        <w:t>V systému LPIS je evidovaná výměra půdy podle zákona o zemědělství č. 252/1997 Sb. K 31. 12. 201</w:t>
      </w:r>
      <w:r>
        <w:t>4</w:t>
      </w:r>
      <w:r w:rsidRPr="00582C10">
        <w:t xml:space="preserve"> byla celková výměra ve výši 3 5</w:t>
      </w:r>
      <w:r>
        <w:t>54</w:t>
      </w:r>
      <w:r w:rsidRPr="00582C10">
        <w:t> tis. ha, tj. větší oproti předchozímu roku o </w:t>
      </w:r>
      <w:r>
        <w:t>5</w:t>
      </w:r>
      <w:r w:rsidRPr="00582C10">
        <w:t> </w:t>
      </w:r>
      <w:r>
        <w:t>818</w:t>
      </w:r>
      <w:r w:rsidRPr="00582C10">
        <w:t xml:space="preserve"> ha a </w:t>
      </w:r>
      <w:r>
        <w:t xml:space="preserve">meziroční </w:t>
      </w:r>
      <w:r w:rsidRPr="00582C10">
        <w:t xml:space="preserve">přírůstek </w:t>
      </w:r>
      <w:r>
        <w:t>byl o 1,1 tis. ha větší než v roce 2013</w:t>
      </w:r>
      <w:r w:rsidRPr="00582C10">
        <w:t>.</w:t>
      </w:r>
    </w:p>
    <w:p w:rsidR="005A312F" w:rsidRPr="00582C10" w:rsidRDefault="005A312F" w:rsidP="00D26858">
      <w:r w:rsidRPr="00582C10">
        <w:t>Struktura ZPF v evidenci LPIS je uvedena v tab. T4.7/02. Hlavní rozdíl v zastoupení druhů pozemků spočívá v navýšení druhů pozemků travní porost o </w:t>
      </w:r>
      <w:r>
        <w:t>5</w:t>
      </w:r>
      <w:r w:rsidRPr="00582C10">
        <w:t>,</w:t>
      </w:r>
      <w:r>
        <w:t>0</w:t>
      </w:r>
      <w:r w:rsidRPr="00582C10">
        <w:t> tis. ha</w:t>
      </w:r>
      <w:r>
        <w:t>;</w:t>
      </w:r>
      <w:r w:rsidRPr="00582C10">
        <w:t> snížení</w:t>
      </w:r>
      <w:r>
        <w:t xml:space="preserve"> výměry</w:t>
      </w:r>
      <w:r w:rsidRPr="00582C10">
        <w:t xml:space="preserve"> o. p. </w:t>
      </w:r>
      <w:r>
        <w:t>je zanedbatelné</w:t>
      </w:r>
      <w:r w:rsidRPr="00582C10">
        <w:t xml:space="preserve">. Podíl travních porostů na zemědělské půdě tvoří již </w:t>
      </w:r>
      <w:r>
        <w:t>28,0</w:t>
      </w:r>
      <w:r w:rsidRPr="00582C10">
        <w:t> %</w:t>
      </w:r>
      <w:r w:rsidRPr="00582C10">
        <w:rPr>
          <w:i/>
          <w:vertAlign w:val="superscript"/>
        </w:rPr>
        <w:footnoteReference w:id="118"/>
      </w:r>
      <w:r w:rsidRPr="00582C10">
        <w:t>.</w:t>
      </w:r>
    </w:p>
    <w:p w:rsidR="005A312F" w:rsidRPr="00582C10" w:rsidRDefault="005A312F" w:rsidP="00D26858">
      <w:pPr>
        <w:pStyle w:val="mezera"/>
      </w:pPr>
    </w:p>
    <w:p w:rsidR="005A312F" w:rsidRPr="00582C10" w:rsidRDefault="00994711" w:rsidP="00D26858">
      <w:pPr>
        <w:pStyle w:val="mezera"/>
      </w:pPr>
      <w:r w:rsidRPr="00994711">
        <w:rPr>
          <w:noProof/>
          <w:lang w:eastAsia="cs-CZ"/>
        </w:rPr>
        <w:drawing>
          <wp:inline distT="0" distB="0" distL="0" distR="0" wp14:anchorId="59BB2998" wp14:editId="7C377FC3">
            <wp:extent cx="5760720" cy="2655232"/>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55232"/>
                    </a:xfrm>
                    <a:prstGeom prst="rect">
                      <a:avLst/>
                    </a:prstGeom>
                    <a:noFill/>
                    <a:ln>
                      <a:noFill/>
                    </a:ln>
                  </pic:spPr>
                </pic:pic>
              </a:graphicData>
            </a:graphic>
          </wp:inline>
        </w:drawing>
      </w:r>
    </w:p>
    <w:p w:rsidR="005A312F" w:rsidRPr="00582C10" w:rsidRDefault="005A312F" w:rsidP="00D26858">
      <w:pPr>
        <w:pStyle w:val="mezera"/>
      </w:pPr>
    </w:p>
    <w:p w:rsidR="005A312F" w:rsidRPr="00582C10" w:rsidRDefault="005A312F" w:rsidP="00D26858">
      <w:r w:rsidRPr="00582C10">
        <w:t xml:space="preserve">Rozdíl </w:t>
      </w:r>
      <w:r w:rsidR="00A575B0" w:rsidRPr="00FE2A41">
        <w:t xml:space="preserve">ve výměře </w:t>
      </w:r>
      <w:r w:rsidRPr="00582C10">
        <w:t>zemědělské půdy podle LPIS a ČÚZK ve výši 6</w:t>
      </w:r>
      <w:r>
        <w:t>6</w:t>
      </w:r>
      <w:r w:rsidRPr="00582C10">
        <w:t xml:space="preserve">1 tis. ha je dán odlišnou metodikou </w:t>
      </w:r>
      <w:r w:rsidR="00A575B0">
        <w:t xml:space="preserve">její </w:t>
      </w:r>
      <w:r w:rsidRPr="00582C10">
        <w:t>evidence</w:t>
      </w:r>
      <w:r w:rsidR="00A575B0" w:rsidRPr="00FE2A41">
        <w:t>, s čímž souvisí i změny</w:t>
      </w:r>
      <w:r w:rsidRPr="00582C10">
        <w:t xml:space="preserve"> výměr jednotlivých druhů pozemků </w:t>
      </w:r>
      <w:r w:rsidR="00A575B0" w:rsidRPr="00FE2A41">
        <w:t xml:space="preserve">s tím, že podle zákona </w:t>
      </w:r>
      <w:r w:rsidRPr="00582C10">
        <w:t>o zemědělství se započítává do výměry zemědělsky obhospodařované půdy rovněž výměra zalesněné půdy</w:t>
      </w:r>
      <w:r w:rsidR="00A575B0">
        <w:t xml:space="preserve">, </w:t>
      </w:r>
      <w:r w:rsidRPr="00582C10">
        <w:t>rybníků</w:t>
      </w:r>
      <w:r w:rsidR="00A575B0" w:rsidRPr="00FE2A41">
        <w:t xml:space="preserve">, mimoprodukčních ploch a jiných </w:t>
      </w:r>
      <w:r w:rsidR="00A575B0">
        <w:t>druhů pozemků</w:t>
      </w:r>
      <w:r w:rsidRPr="00582C10">
        <w:t xml:space="preserve">. ČÚZK eviduje </w:t>
      </w:r>
      <w:r w:rsidR="00A575B0" w:rsidRPr="00FE2A41">
        <w:t>veškeré zemědělské pozemky podle katastrálního zákona. K jejich změnám tak dochází na základě zápisů do katastru nemovitostí. Evidují se i zemědělské pozemky v zastavěném území, v zas</w:t>
      </w:r>
      <w:r w:rsidR="00A575B0">
        <w:t>tavěných stavebních pozemcích a </w:t>
      </w:r>
      <w:r w:rsidR="00A575B0" w:rsidRPr="00FE2A41">
        <w:t xml:space="preserve">zastavitelných plochách obce a </w:t>
      </w:r>
      <w:r w:rsidR="00A575B0">
        <w:t>zemědělské pozemky mimo toto území, které nejsou obsaženy v evidenci LPIS</w:t>
      </w:r>
      <w:r w:rsidR="00A575B0" w:rsidRPr="00FE2A41">
        <w:t>. LPIS eviduje díly půdních bloků podle uživatelských vztahů a využití půdy</w:t>
      </w:r>
      <w:r w:rsidR="00A575B0">
        <w:t>, přičemž nejmenší evidovaná plocha může být 100 m</w:t>
      </w:r>
      <w:r w:rsidR="00A575B0" w:rsidRPr="00B877FC">
        <w:rPr>
          <w:vertAlign w:val="superscript"/>
        </w:rPr>
        <w:t>2</w:t>
      </w:r>
      <w:r w:rsidR="00A575B0" w:rsidRPr="00FE2A41">
        <w:t xml:space="preserve">. </w:t>
      </w:r>
      <w:r w:rsidRPr="00582C10">
        <w:t xml:space="preserve">Obhospodařovaná výměra je přitom nižší oproti evidenci katastru nemovitostí </w:t>
      </w:r>
      <w:r w:rsidR="00A575B0">
        <w:t xml:space="preserve">i </w:t>
      </w:r>
      <w:r w:rsidRPr="00582C10">
        <w:t>vlivem zarůstání původní zemědělské půdy dřevinami. Evidovaná výměra zemědělské půdy v LPIS se může každoročně i v průběhu jednoho roku měnit v závislosti na evidenci uživatelů, kteří žádají o podpory.</w:t>
      </w:r>
      <w:bookmarkEnd w:id="190"/>
    </w:p>
    <w:p w:rsidR="005A312F" w:rsidRPr="00582C10" w:rsidRDefault="005A312F" w:rsidP="00D26858">
      <w:r w:rsidRPr="00582C10">
        <w:t>Rozsah evidované neoseté orné půdy a úhoru podle evidence ČSÚ činil v roce 201</w:t>
      </w:r>
      <w:r>
        <w:t>4</w:t>
      </w:r>
      <w:r w:rsidRPr="00582C10">
        <w:t xml:space="preserve"> 2</w:t>
      </w:r>
      <w:r>
        <w:t>2</w:t>
      </w:r>
      <w:r w:rsidRPr="00582C10">
        <w:t> tis. ha a výměra tak vzhledem k roku 201</w:t>
      </w:r>
      <w:r>
        <w:t xml:space="preserve">3 opět </w:t>
      </w:r>
      <w:r w:rsidRPr="00582C10">
        <w:t xml:space="preserve">mírně poklesla (graf T7.4/02) při současném poklesu oseté plochy o </w:t>
      </w:r>
      <w:r>
        <w:t>8</w:t>
      </w:r>
      <w:r w:rsidRPr="00582C10">
        <w:t> tis. ha.</w:t>
      </w:r>
    </w:p>
    <w:p w:rsidR="005A312F" w:rsidRPr="00582C10" w:rsidRDefault="005A312F" w:rsidP="00D26858">
      <w:pPr>
        <w:pStyle w:val="mezera"/>
      </w:pPr>
    </w:p>
    <w:p w:rsidR="005A312F" w:rsidRPr="00582C10" w:rsidRDefault="005A312F" w:rsidP="00D26858">
      <w:pPr>
        <w:pStyle w:val="mezera-svzan"/>
      </w:pPr>
      <w:r w:rsidRPr="0022381C">
        <w:rPr>
          <w:noProof/>
          <w:lang w:eastAsia="cs-CZ"/>
        </w:rPr>
        <w:lastRenderedPageBreak/>
        <w:drawing>
          <wp:inline distT="0" distB="0" distL="0" distR="0" wp14:anchorId="782D49FB" wp14:editId="7C7C22FB">
            <wp:extent cx="5760720" cy="3711127"/>
            <wp:effectExtent l="0" t="0" r="0" b="381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60720" cy="3711127"/>
                    </a:xfrm>
                    <a:prstGeom prst="rect">
                      <a:avLst/>
                    </a:prstGeom>
                    <a:noFill/>
                    <a:ln>
                      <a:noFill/>
                    </a:ln>
                  </pic:spPr>
                </pic:pic>
              </a:graphicData>
            </a:graphic>
          </wp:inline>
        </w:drawing>
      </w:r>
    </w:p>
    <w:p w:rsidR="005A312F" w:rsidRPr="00582C10" w:rsidRDefault="005A312F" w:rsidP="00D26858">
      <w:pPr>
        <w:pStyle w:val="TabPoz"/>
      </w:pPr>
      <w:r w:rsidRPr="00582C10">
        <w:t>1)</w:t>
      </w:r>
      <w:r w:rsidRPr="00582C10">
        <w:tab/>
        <w:t>Osevní plocha je uváděna pro zemědělský sektor a tento údaj není za rok 2000 k dispozici.</w:t>
      </w:r>
    </w:p>
    <w:p w:rsidR="005A312F" w:rsidRPr="00582C10" w:rsidRDefault="005A312F" w:rsidP="00D26858">
      <w:pPr>
        <w:pStyle w:val="TabPramZprac"/>
      </w:pPr>
      <w:r w:rsidRPr="00582C10">
        <w:t>Pramen:</w:t>
      </w:r>
      <w:r w:rsidRPr="00582C10">
        <w:tab/>
        <w:t>ČSÚ</w:t>
      </w:r>
    </w:p>
    <w:p w:rsidR="005A312F" w:rsidRPr="00582C10" w:rsidRDefault="005A312F" w:rsidP="00D26858">
      <w:pPr>
        <w:pStyle w:val="TabPramZprac"/>
      </w:pPr>
      <w:r w:rsidRPr="00582C10">
        <w:t>Zpracoval:</w:t>
      </w:r>
      <w:r w:rsidRPr="00582C10">
        <w:tab/>
        <w:t>V. Voltr (ÚZEI)</w:t>
      </w:r>
    </w:p>
    <w:p w:rsidR="005A312F" w:rsidRPr="00582C10" w:rsidRDefault="005A312F" w:rsidP="00D26858">
      <w:pPr>
        <w:pStyle w:val="mezera"/>
      </w:pPr>
    </w:p>
    <w:p w:rsidR="005A312F" w:rsidRPr="00582C10" w:rsidRDefault="005A312F" w:rsidP="00D26858">
      <w:r w:rsidRPr="00582C10">
        <w:t>V LFA je podle evidence LPIS k 31. 12. 201</w:t>
      </w:r>
      <w:r>
        <w:t>4</w:t>
      </w:r>
      <w:r w:rsidRPr="00582C10">
        <w:t xml:space="preserve"> do kategorie travních porostů zařazeno celkem 378 tis. ha v horské oblasti, v ostatních méně příznivých oblastech 33</w:t>
      </w:r>
      <w:r>
        <w:t>5</w:t>
      </w:r>
      <w:r w:rsidRPr="00582C10">
        <w:t> tis. ha a ve specifických oblastech 14</w:t>
      </w:r>
      <w:r>
        <w:t>1</w:t>
      </w:r>
      <w:r w:rsidRPr="00582C10">
        <w:t> tis. ha, které představují celkem oprávněnou plochu 85</w:t>
      </w:r>
      <w:r>
        <w:t>4</w:t>
      </w:r>
      <w:r w:rsidRPr="00582C10">
        <w:t xml:space="preserve"> tis. ha (tab. T7.4/03), tj. o cca </w:t>
      </w:r>
      <w:r>
        <w:t>2</w:t>
      </w:r>
      <w:r w:rsidRPr="00582C10">
        <w:t xml:space="preserve"> tis. ha více než v roce 201</w:t>
      </w:r>
      <w:r>
        <w:t>3</w:t>
      </w:r>
      <w:r w:rsidRPr="00582C10">
        <w:t>. Z celkové plochy travních porostů evidovaných v LPIS představují plochy zařazené do LFA 85,</w:t>
      </w:r>
      <w:r>
        <w:t>8</w:t>
      </w:r>
      <w:r w:rsidRPr="00582C10">
        <w:t> %. Podle evidence LPIS je podíl veškeré půdy v LFA k celkové výměře zemědělské půdy 50,</w:t>
      </w:r>
      <w:r>
        <w:t>1</w:t>
      </w:r>
      <w:r w:rsidRPr="00582C10">
        <w:t> %. Od roku 2011 platí v souladu s vydáním nového nařízení vlády č. 372/2010 Sb. vyřazení do té doby existujících přechodných oblastí LFA-SX.</w:t>
      </w:r>
    </w:p>
    <w:p w:rsidR="005A312F" w:rsidRPr="00582C10" w:rsidRDefault="005A312F" w:rsidP="00D26858">
      <w:pPr>
        <w:pStyle w:val="mezera"/>
      </w:pPr>
    </w:p>
    <w:p w:rsidR="005A312F" w:rsidRPr="00582C10" w:rsidRDefault="005A312F" w:rsidP="00D26858">
      <w:pPr>
        <w:pStyle w:val="mezera"/>
      </w:pPr>
      <w:r w:rsidRPr="00B77FE6">
        <w:rPr>
          <w:noProof/>
          <w:lang w:eastAsia="cs-CZ"/>
        </w:rPr>
        <w:drawing>
          <wp:inline distT="0" distB="0" distL="0" distR="0" wp14:anchorId="415700AD" wp14:editId="41C1D2AD">
            <wp:extent cx="5760720" cy="1712675"/>
            <wp:effectExtent l="0" t="0" r="0" b="190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60720" cy="1712675"/>
                    </a:xfrm>
                    <a:prstGeom prst="rect">
                      <a:avLst/>
                    </a:prstGeom>
                    <a:noFill/>
                    <a:ln>
                      <a:noFill/>
                    </a:ln>
                  </pic:spPr>
                </pic:pic>
              </a:graphicData>
            </a:graphic>
          </wp:inline>
        </w:drawing>
      </w:r>
    </w:p>
    <w:p w:rsidR="005A312F" w:rsidRPr="00AE308F" w:rsidRDefault="005A312F" w:rsidP="00D26858">
      <w:pPr>
        <w:pStyle w:val="mezera"/>
      </w:pPr>
    </w:p>
    <w:p w:rsidR="005A312F" w:rsidRPr="00582C10" w:rsidRDefault="005A312F" w:rsidP="00D26858">
      <w:r w:rsidRPr="00582C10">
        <w:lastRenderedPageBreak/>
        <w:t>Chráněné oblasti představují celkem (bez překryvů) 38</w:t>
      </w:r>
      <w:r>
        <w:t>7</w:t>
      </w:r>
      <w:r w:rsidRPr="00582C10">
        <w:t>,</w:t>
      </w:r>
      <w:r>
        <w:t>8</w:t>
      </w:r>
      <w:r w:rsidRPr="00582C10">
        <w:t> tis. ha z. p., tj. 10,</w:t>
      </w:r>
      <w:r>
        <w:t>9</w:t>
      </w:r>
      <w:r w:rsidRPr="00582C10">
        <w:t> % výměry v ČR evidované v systému LPIS</w:t>
      </w:r>
      <w:r w:rsidRPr="00582C10">
        <w:rPr>
          <w:i/>
          <w:vertAlign w:val="superscript"/>
        </w:rPr>
        <w:footnoteReference w:id="119"/>
      </w:r>
      <w:r w:rsidRPr="00582C10">
        <w:t>. Celková výměra všech druhů pozemků půdy chráněných oblastí v ČR (bez překryvů) je 1 68</w:t>
      </w:r>
      <w:r>
        <w:t>6</w:t>
      </w:r>
      <w:r w:rsidRPr="00582C10">
        <w:t> tis. ha půdy, tj. 21,</w:t>
      </w:r>
      <w:r>
        <w:t>4</w:t>
      </w:r>
      <w:r w:rsidRPr="00582C10">
        <w:t> % veškeré půdy v ČR.</w:t>
      </w:r>
    </w:p>
    <w:p w:rsidR="005A312F" w:rsidRPr="00582C10" w:rsidRDefault="005A312F" w:rsidP="00D26858">
      <w:r w:rsidRPr="00582C10">
        <w:t>Na území ČR se nachází celkem 30</w:t>
      </w:r>
      <w:r>
        <w:t>2</w:t>
      </w:r>
      <w:r w:rsidRPr="00582C10">
        <w:t> tis. ha zemědělské půdy ve zvláště chráněných územích, a to převážně na TTP (19</w:t>
      </w:r>
      <w:r>
        <w:t>2,8</w:t>
      </w:r>
      <w:r w:rsidRPr="00582C10">
        <w:t> tis. ha). Podle LPIS je v soustavě Natura 2000 evidováno 187</w:t>
      </w:r>
      <w:r>
        <w:t>,6</w:t>
      </w:r>
      <w:r w:rsidRPr="00582C10">
        <w:t> tis. ha z. p</w:t>
      </w:r>
      <w:r>
        <w:t>. (tab. T4.1/01)</w:t>
      </w:r>
      <w:r w:rsidRPr="00582C10">
        <w:t>.</w:t>
      </w:r>
    </w:p>
    <w:p w:rsidR="005A312F" w:rsidRPr="00582C10" w:rsidRDefault="005A312F" w:rsidP="00D26858">
      <w:pPr>
        <w:pStyle w:val="Nadpis3"/>
      </w:pPr>
      <w:bookmarkStart w:id="195" w:name="_Toc356811480"/>
      <w:bookmarkStart w:id="196" w:name="_Toc391991510"/>
      <w:bookmarkStart w:id="197" w:name="_Toc424307065"/>
      <w:r w:rsidRPr="00582C10">
        <w:t>7.4.2</w:t>
      </w:r>
      <w:r w:rsidRPr="00582C10">
        <w:tab/>
        <w:t>Stav zemědělské půdy a jeho dopady do konkurenceschopnosti českého zemědělství</w:t>
      </w:r>
      <w:bookmarkEnd w:id="195"/>
      <w:bookmarkEnd w:id="196"/>
      <w:bookmarkEnd w:id="197"/>
    </w:p>
    <w:p w:rsidR="005A312F" w:rsidRPr="00582C10" w:rsidRDefault="005A312F" w:rsidP="00D26858">
      <w:r w:rsidRPr="00582C10">
        <w:t>Hodnocení stavu zemědělské půdy se týká dvou směrů: ochrany stavu půdy jako takového a dále úbytku zemědělské půdy. Půda jako živý organizmus vyžaduje správné zacházení, které odpovídá potřebám dlouhodobě udržitelných vlastností půdy ve vztahu k životnímu prostředí i produkční schopnosti půdy s následnými dopady do konkurenceschopnosti sektoru. Trvá i snaha o omezení převodu zemědělské půdy do nezemědělského užívání z důvodu uchování přirozeného potenciálu půdy k výživě obyvatelstva.</w:t>
      </w:r>
    </w:p>
    <w:p w:rsidR="005A312F" w:rsidRDefault="005A312F" w:rsidP="00D26858">
      <w:r w:rsidRPr="00582C10">
        <w:t>Základní podklad pro hodnocení kvality ZPF, jeho stavu a potřebné míry ochrany vychází v ČR z bonitovaných půdně ekologických jednotek (BPEJ).</w:t>
      </w:r>
    </w:p>
    <w:p w:rsidR="005A312F" w:rsidRPr="00582C10" w:rsidRDefault="005A312F" w:rsidP="00D26858">
      <w:pPr>
        <w:pStyle w:val="Nadpis4"/>
      </w:pPr>
      <w:r w:rsidRPr="00582C10">
        <w:t>7.4.2.1</w:t>
      </w:r>
      <w:r w:rsidRPr="00582C10">
        <w:tab/>
        <w:t>Zákonné podmínky k zabezpečení kvality půdy</w:t>
      </w:r>
    </w:p>
    <w:p w:rsidR="005A312F" w:rsidRPr="00582C10" w:rsidRDefault="005A312F" w:rsidP="00D26858">
      <w:pPr>
        <w:pStyle w:val="Norm-Bold"/>
      </w:pPr>
      <w:r w:rsidRPr="00582C10">
        <w:t>Zákon o ochraně ZPF</w:t>
      </w:r>
    </w:p>
    <w:p w:rsidR="005A312F" w:rsidRPr="00582C10" w:rsidRDefault="005A312F" w:rsidP="00D26858">
      <w:r w:rsidRPr="00582C10">
        <w:t xml:space="preserve">Ochrana ZPF je dána především zákonem č. 334/1992 Sb. ve znění pozdějších předpisů, o ochraně ZPF, který řeší zásady změn druhů pozemků půdy a obecná pravidla hospodaření na z. p. Výměra ZPF je ovlivněna intenzitou zástavby, která je regulovaná zákonem č. 402/2010 Sb., který zvyšuje výši poplatků za vynětí půdy ze ZPF, daných zákonem č. 334/1992 Sb. ve znění pozdějších předpisů. Působení zákona se projevilo v meziročním poklesu výměry půdy vyňaté ze ZPF </w:t>
      </w:r>
      <w:r>
        <w:t>po roce 2010</w:t>
      </w:r>
      <w:r w:rsidRPr="00582C10">
        <w:t xml:space="preserve">. Roční úbytek zemědělské půdy před účinností novely zákona o ochraně zemědělského půdního fondu </w:t>
      </w:r>
      <w:r>
        <w:t>byl v období let 2007-2010 v průměru 5,2 tis. ha z. p., v období let 2011-2014 v průměru 4,5 tis. ha, tj. průměrný roční úbytek byl nižší o 700 ha</w:t>
      </w:r>
      <w:r w:rsidRPr="00582C10">
        <w:t>.</w:t>
      </w:r>
    </w:p>
    <w:p w:rsidR="005A312F" w:rsidRPr="00582C10" w:rsidRDefault="005A312F" w:rsidP="00D26858">
      <w:pPr>
        <w:pStyle w:val="Norm-Bold"/>
      </w:pPr>
      <w:r w:rsidRPr="00582C10">
        <w:t>Kontrola podmíněnosti</w:t>
      </w:r>
    </w:p>
    <w:p w:rsidR="005A312F" w:rsidRPr="002C7FF3" w:rsidRDefault="005A312F" w:rsidP="00D26858">
      <w:r w:rsidRPr="00582C10">
        <w:t xml:space="preserve">Pravidla hospodaření s dopady do kvality ZPF byla dále uplatňována v rámci Kontroly podmíněnosti při vyplácení podpor. Tato kontrola se skládá ze standardů </w:t>
      </w:r>
      <w:r w:rsidRPr="00B87BB1">
        <w:t xml:space="preserve">Dobrého </w:t>
      </w:r>
      <w:r w:rsidRPr="00B87BB1">
        <w:lastRenderedPageBreak/>
        <w:t xml:space="preserve">zemědělského a environmentálního stavu </w:t>
      </w:r>
      <w:r>
        <w:t>(</w:t>
      </w:r>
      <w:r w:rsidRPr="00582C10">
        <w:t>GAEC</w:t>
      </w:r>
      <w:r>
        <w:t>)</w:t>
      </w:r>
      <w:r>
        <w:rPr>
          <w:rStyle w:val="Znakapoznpodarou"/>
        </w:rPr>
        <w:footnoteReference w:id="120"/>
      </w:r>
      <w:r w:rsidRPr="00582C10">
        <w:t xml:space="preserve"> a Povinných požadavků na hospodaření (SMR) v oblasti životního prostředí a veřejného zdraví, zdraví zvířat a zdraví rostlin. Standardy GAEC </w:t>
      </w:r>
      <w:r w:rsidR="00A575B0" w:rsidRPr="00582C10">
        <w:t>zajišť</w:t>
      </w:r>
      <w:r w:rsidR="00A575B0">
        <w:t>ovaly</w:t>
      </w:r>
      <w:r w:rsidR="00A575B0" w:rsidRPr="00582C10">
        <w:t xml:space="preserve"> </w:t>
      </w:r>
      <w:r w:rsidRPr="00582C10">
        <w:t xml:space="preserve">zemědělské hospodaření ve shodě s ochranou životního prostředí. </w:t>
      </w:r>
      <w:r>
        <w:t>Byly</w:t>
      </w:r>
      <w:r w:rsidRPr="00582C10">
        <w:t xml:space="preserve"> definovány v</w:t>
      </w:r>
      <w:r>
        <w:t> </w:t>
      </w:r>
      <w:r w:rsidRPr="00582C10">
        <w:t>nařízení</w:t>
      </w:r>
      <w:r>
        <w:t xml:space="preserve"> vlády č. 479/2009 Sb., </w:t>
      </w:r>
      <w:r w:rsidRPr="002C7FF3">
        <w:t>o stanovení důsledků porušení podmíněnosti poskytování některých podpor</w:t>
      </w:r>
      <w:r>
        <w:t xml:space="preserve">, a podmiňují platby </w:t>
      </w:r>
      <w:r w:rsidRPr="00582C10">
        <w:t>jednotlivých dotačních titulů a jejich dodržování je pro zemědělce v ČR povinné od roku 2004</w:t>
      </w:r>
      <w:r w:rsidRPr="00582C10">
        <w:rPr>
          <w:i/>
          <w:vertAlign w:val="superscript"/>
        </w:rPr>
        <w:footnoteReference w:id="121"/>
      </w:r>
      <w:r w:rsidRPr="00582C10">
        <w:t xml:space="preserve">. Hospodaření v souladu se standardy GAEC je jednou z podmínek poskytnutí plné výše přímých plateb, některých podpor z osy II PRV a některých podpor společné organizace trhu s vínem. V oblasti Dobrého zemědělského a environmentálního stavu </w:t>
      </w:r>
      <w:r w:rsidR="00A575B0">
        <w:t>byla</w:t>
      </w:r>
      <w:r w:rsidRPr="00582C10">
        <w:t xml:space="preserve"> od 1. 1. 2012</w:t>
      </w:r>
      <w:r>
        <w:t xml:space="preserve"> uplatňována podmínka GAEC 11 s </w:t>
      </w:r>
      <w:r w:rsidRPr="00582C10">
        <w:t xml:space="preserve">tématem Ochrany vody a hospodaření s ní. Vyžadováno </w:t>
      </w:r>
      <w:r w:rsidR="00A575B0">
        <w:t>bylo</w:t>
      </w:r>
      <w:r w:rsidRPr="00582C10">
        <w:t xml:space="preserve"> plnění rozšířené podmínky na mírně erozně ohrožené půdy GAEC 2 z okruhu Eroze půdy. Od 1. 1. 2013 </w:t>
      </w:r>
      <w:r w:rsidR="00A575B0">
        <w:t>byly</w:t>
      </w:r>
      <w:r w:rsidR="00A575B0" w:rsidRPr="00582C10">
        <w:t xml:space="preserve"> </w:t>
      </w:r>
      <w:r w:rsidRPr="00582C10">
        <w:t>podmínky GAEC 2 upraveny.</w:t>
      </w:r>
      <w:r>
        <w:t xml:space="preserve"> </w:t>
      </w:r>
      <w:r w:rsidRPr="00FE1D8C">
        <w:t xml:space="preserve">Od 1. ledna 2014 </w:t>
      </w:r>
      <w:r w:rsidR="00A575B0">
        <w:t>nabylo</w:t>
      </w:r>
      <w:r w:rsidR="00A575B0" w:rsidRPr="00FE1D8C">
        <w:t xml:space="preserve"> </w:t>
      </w:r>
      <w:r w:rsidRPr="00FE1D8C">
        <w:t xml:space="preserve">účinnosti </w:t>
      </w:r>
      <w:r w:rsidR="001A3BC2">
        <w:t xml:space="preserve">nařízení vlády č. 400/2013 Sb., kterým se mění nařízení vlády č. 479/2009 Sb., o stanovení důsledků porušení podmíněnosti poskytování některých podpor, ve znění pozdějších předpisů, a některá související nařízení vlády. </w:t>
      </w:r>
      <w:r w:rsidRPr="00174447">
        <w:t>Hlavní změna stanovená novelou uvedeného nařízení vlády se týká přeřazení požadavků na ochranu podzemních vod před znečištěním nebezpečnými látkami z oblasti povinných požadavků na hospodaření (SMR 2) do oblasti s</w:t>
      </w:r>
      <w:r>
        <w:t>tandardů dobrého zemědělského a </w:t>
      </w:r>
      <w:r w:rsidRPr="00174447">
        <w:t xml:space="preserve">environmentálního stavu tzv. GAEC. Nově </w:t>
      </w:r>
      <w:r w:rsidR="00A575B0">
        <w:t>byl</w:t>
      </w:r>
      <w:r w:rsidRPr="00174447">
        <w:t xml:space="preserve"> zaveden GAEC 12</w:t>
      </w:r>
      <w:r w:rsidRPr="002C7FF3">
        <w:t xml:space="preserve">. Od roku 2015 jsou podmínky GAEC kategorizovány do podmínek DZES. Problematika ochrany půdy před vodní erozí je v rámci DZES (dříve GAEC) řešena standardy </w:t>
      </w:r>
      <w:r>
        <w:t>DZES 4 a DZES 5 (dříve GAEC 1 a </w:t>
      </w:r>
      <w:r w:rsidRPr="002C7FF3">
        <w:t>GAEC 2).</w:t>
      </w:r>
    </w:p>
    <w:p w:rsidR="005A312F" w:rsidRPr="00582C10" w:rsidRDefault="005A312F" w:rsidP="00D26858">
      <w:pPr>
        <w:pStyle w:val="Nadpis4"/>
      </w:pPr>
      <w:r w:rsidRPr="00582C10">
        <w:t>7.4.2.2</w:t>
      </w:r>
      <w:r w:rsidRPr="00582C10">
        <w:tab/>
        <w:t>Popis stavu půdy</w:t>
      </w:r>
    </w:p>
    <w:p w:rsidR="005A312F" w:rsidRPr="00582C10" w:rsidRDefault="005A312F" w:rsidP="00D26858">
      <w:pPr>
        <w:pStyle w:val="Norm-Bold"/>
      </w:pPr>
      <w:r w:rsidRPr="00582C10">
        <w:t>Potenciální ohroženost půd</w:t>
      </w:r>
    </w:p>
    <w:p w:rsidR="005A312F" w:rsidRPr="00582C10" w:rsidRDefault="005A312F" w:rsidP="00D26858">
      <w:r w:rsidRPr="00582C10">
        <w:t>Zařazení do příslušných pásem a dotčené výměry zpracované VÚMOP v roce 201</w:t>
      </w:r>
      <w:r>
        <w:t>4</w:t>
      </w:r>
      <w:r w:rsidRPr="00582C10">
        <w:t xml:space="preserve"> udává tab. T7.4/04 pro erozní ohroženost půd a tab. T7.4/05 pro ostatní omezení kvality půd v ČR</w:t>
      </w:r>
      <w:r w:rsidRPr="00582C10">
        <w:rPr>
          <w:i/>
          <w:vertAlign w:val="superscript"/>
        </w:rPr>
        <w:footnoteReference w:id="122"/>
      </w:r>
      <w:r w:rsidRPr="00582C10">
        <w:t>.</w:t>
      </w:r>
    </w:p>
    <w:p w:rsidR="005A312F" w:rsidRPr="00582C10" w:rsidRDefault="005A312F" w:rsidP="00D26858">
      <w:pPr>
        <w:pStyle w:val="mezera"/>
      </w:pPr>
    </w:p>
    <w:p w:rsidR="005A312F" w:rsidRDefault="00994711" w:rsidP="00D26858">
      <w:pPr>
        <w:pStyle w:val="mezera"/>
      </w:pPr>
      <w:r w:rsidRPr="00994711">
        <w:rPr>
          <w:noProof/>
          <w:lang w:eastAsia="cs-CZ"/>
        </w:rPr>
        <w:lastRenderedPageBreak/>
        <w:drawing>
          <wp:inline distT="0" distB="0" distL="0" distR="0" wp14:anchorId="43BC0AEB" wp14:editId="1FFBAB92">
            <wp:extent cx="5760720" cy="4075184"/>
            <wp:effectExtent l="0" t="0" r="0" b="1905"/>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4075184"/>
                    </a:xfrm>
                    <a:prstGeom prst="rect">
                      <a:avLst/>
                    </a:prstGeom>
                    <a:noFill/>
                    <a:ln>
                      <a:noFill/>
                    </a:ln>
                  </pic:spPr>
                </pic:pic>
              </a:graphicData>
            </a:graphic>
          </wp:inline>
        </w:drawing>
      </w:r>
    </w:p>
    <w:p w:rsidR="005A312F" w:rsidRPr="00582C10" w:rsidRDefault="005A312F" w:rsidP="00D26858">
      <w:pPr>
        <w:pStyle w:val="mezera"/>
      </w:pPr>
    </w:p>
    <w:p w:rsidR="005A312F" w:rsidRDefault="005A312F" w:rsidP="00D26858">
      <w:r w:rsidRPr="00CE35B9">
        <w:t>Kontrolu dodržování standardů vykonává SZIF, který buďto nepřímo, s využitím metod dálkového průzkumu Země (DPZ), n</w:t>
      </w:r>
      <w:r>
        <w:t>ebo přímo v </w:t>
      </w:r>
      <w:r w:rsidRPr="00CE35B9">
        <w:t>terénu ověřuje aktuální stav na veškeré zemědělské půdě obhospodařované žadatelem, který byl ke kontrole vybrán.</w:t>
      </w:r>
    </w:p>
    <w:p w:rsidR="005A312F" w:rsidRDefault="005A312F" w:rsidP="00D26858">
      <w:r w:rsidRPr="00CE35B9">
        <w:t xml:space="preserve">Cílem standardu GAEC 2 </w:t>
      </w:r>
      <w:r>
        <w:t>byla</w:t>
      </w:r>
      <w:r w:rsidRPr="00CE35B9">
        <w:t xml:space="preserve"> především ochrana půdy před vodní erozí a snaha omezit negativní působení důsledků eroze, jako jsou např. škody na obecním a soukromém majetku způsobené zaplavením nebo zanesením splavenou půdou. Pro potřeby tohoto standardu byly na základě vrstvy </w:t>
      </w:r>
      <w:r w:rsidR="001567B2">
        <w:t>„</w:t>
      </w:r>
      <w:r w:rsidRPr="00CE35B9">
        <w:t>Maximálních přípustných hodnot faktoru ochranného vlivu vegetace</w:t>
      </w:r>
      <w:r w:rsidR="001567B2">
        <w:t>“</w:t>
      </w:r>
      <w:r w:rsidRPr="00CE35B9">
        <w:t xml:space="preserve"> (</w:t>
      </w:r>
      <w:proofErr w:type="spellStart"/>
      <w:r w:rsidRPr="00CE35B9">
        <w:t>Cp</w:t>
      </w:r>
      <w:proofErr w:type="spellEnd"/>
      <w:r w:rsidRPr="00CE35B9">
        <w:t xml:space="preserve">) vymezeny plochy silně (SEO) a mírně (MEO) erozně ohrožených půd a stanoveny požadavky na způsob pěstování vybraných hlavních plodin. Kromě odborného hlediska zohledňuje toto vymezení také ekonomické aspekty, především nákladovost realizace </w:t>
      </w:r>
      <w:proofErr w:type="spellStart"/>
      <w:r w:rsidRPr="00CE35B9">
        <w:t>půdoochranných</w:t>
      </w:r>
      <w:proofErr w:type="spellEnd"/>
      <w:r w:rsidRPr="00CE35B9">
        <w:t xml:space="preserve"> technologií na erozně ohrožených plochách. Z tohoto důvodu MZe v rámci standardu </w:t>
      </w:r>
      <w:r w:rsidRPr="00174447">
        <w:t>GAEC 2</w:t>
      </w:r>
      <w:r>
        <w:t xml:space="preserve"> byla připuštěna</w:t>
      </w:r>
      <w:r w:rsidRPr="00CE35B9">
        <w:t xml:space="preserve"> eroz</w:t>
      </w:r>
      <w:r>
        <w:t>e</w:t>
      </w:r>
      <w:r w:rsidRPr="00CE35B9">
        <w:t xml:space="preserve"> v rozsahu cca </w:t>
      </w:r>
      <w:r w:rsidR="00A575B0">
        <w:t>35</w:t>
      </w:r>
      <w:r w:rsidR="00A575B0" w:rsidRPr="00CE35B9">
        <w:t xml:space="preserve"> </w:t>
      </w:r>
      <w:r w:rsidRPr="00CE35B9">
        <w:t>t.ha</w:t>
      </w:r>
      <w:r w:rsidRPr="00572695">
        <w:rPr>
          <w:vertAlign w:val="superscript"/>
        </w:rPr>
        <w:t>-1</w:t>
      </w:r>
      <w:r w:rsidRPr="00CE35B9">
        <w:t>.rok</w:t>
      </w:r>
      <w:r w:rsidRPr="00572695">
        <w:rPr>
          <w:vertAlign w:val="superscript"/>
        </w:rPr>
        <w:t>-1</w:t>
      </w:r>
      <w:r>
        <w:t>.</w:t>
      </w:r>
    </w:p>
    <w:p w:rsidR="005A312F" w:rsidRPr="00582C10" w:rsidRDefault="005A312F" w:rsidP="00D26858">
      <w:r w:rsidRPr="00582C10">
        <w:t>Větrná eroze má pro ohroženost půd stejný význam jako eroze vodní a klíčovým ukazatelem je kombinace klimatického regionu a hlavních půdních jednotek. Bez ohrožení větrnou erozí je v ČR 7</w:t>
      </w:r>
      <w:r>
        <w:t>4</w:t>
      </w:r>
      <w:r w:rsidRPr="00582C10">
        <w:t> % půd.</w:t>
      </w:r>
    </w:p>
    <w:p w:rsidR="005A312F" w:rsidRDefault="005A312F" w:rsidP="00D26858">
      <w:r w:rsidRPr="00582C10">
        <w:t xml:space="preserve">Výměra podmáčených půd je tvořena trvale zamokřenými půdami a periodicky zamokřenými půdami. Může být ovlivněna provedenými </w:t>
      </w:r>
      <w:proofErr w:type="spellStart"/>
      <w:r w:rsidRPr="00582C10">
        <w:t>hydromelioracemi</w:t>
      </w:r>
      <w:proofErr w:type="spellEnd"/>
      <w:r w:rsidRPr="00582C10">
        <w:t xml:space="preserve">, ale i jejich současným stavem a funkčností, kdy již končí jejich životnost a dochází k poruchám systémů </w:t>
      </w:r>
      <w:r w:rsidRPr="00582C10">
        <w:lastRenderedPageBreak/>
        <w:t xml:space="preserve">a následnému podmáčení půdy. Území ovlivněné nedostatkem vláhy vymezené na základě vysychavých půd zaujímají plochu </w:t>
      </w:r>
      <w:r w:rsidR="00A575B0">
        <w:t>125 292</w:t>
      </w:r>
      <w:r w:rsidRPr="00582C10">
        <w:t xml:space="preserve"> ha (</w:t>
      </w:r>
      <w:r w:rsidR="00A575B0">
        <w:t>3</w:t>
      </w:r>
      <w:r w:rsidRPr="00582C10">
        <w:t xml:space="preserve"> % ZPF podle databáze BPEJ).</w:t>
      </w:r>
    </w:p>
    <w:p w:rsidR="005A312F" w:rsidRPr="00582C10" w:rsidRDefault="005A312F" w:rsidP="00D26858">
      <w:r>
        <w:t>V tab. T7.4/05 jsou uvedeny faktory ovlivňující produkční schopnost půd a vztah k životnímu prostředí.</w:t>
      </w:r>
    </w:p>
    <w:p w:rsidR="005A312F" w:rsidRDefault="005A312F" w:rsidP="00D26858">
      <w:pPr>
        <w:pStyle w:val="mezera"/>
      </w:pPr>
    </w:p>
    <w:p w:rsidR="00250B07" w:rsidRDefault="00250B07" w:rsidP="00D26858">
      <w:pPr>
        <w:pStyle w:val="mezera"/>
      </w:pPr>
      <w:r w:rsidRPr="00250B07">
        <w:rPr>
          <w:noProof/>
          <w:lang w:eastAsia="cs-CZ"/>
        </w:rPr>
        <w:drawing>
          <wp:inline distT="0" distB="0" distL="0" distR="0" wp14:anchorId="14F1BD7C" wp14:editId="18FEEF6D">
            <wp:extent cx="4675505" cy="3800475"/>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5505" cy="3800475"/>
                    </a:xfrm>
                    <a:prstGeom prst="rect">
                      <a:avLst/>
                    </a:prstGeom>
                    <a:noFill/>
                    <a:ln>
                      <a:noFill/>
                    </a:ln>
                  </pic:spPr>
                </pic:pic>
              </a:graphicData>
            </a:graphic>
          </wp:inline>
        </w:drawing>
      </w:r>
    </w:p>
    <w:p w:rsidR="00250B07" w:rsidRPr="00582C10" w:rsidRDefault="00250B07" w:rsidP="00D26858">
      <w:pPr>
        <w:pStyle w:val="mezera"/>
      </w:pPr>
    </w:p>
    <w:p w:rsidR="005A312F" w:rsidRPr="00582C10" w:rsidRDefault="005A312F" w:rsidP="00D26858">
      <w:pPr>
        <w:rPr>
          <w:sz w:val="16"/>
        </w:rPr>
      </w:pPr>
      <w:r>
        <w:t xml:space="preserve">Vyšší zranitelnost acidifikací je cca 70 %, vyšší zranitelnost utužením je cca u 33 % půd. </w:t>
      </w:r>
      <w:r w:rsidRPr="00582C10">
        <w:t xml:space="preserve">Pro jednotlivé typy degradace půdy je charakteristické, že navzájem podmiňují vznik ostatních degradací. Důležitým ukazatelem kvality půdy je struktura a její stabilita, přičemž půdy s nestabilní půdní strukturou následně snáze podléhají utužení. Rozpadu půdní struktury a následnému utužení půdy tedy často předchází acidifikace půdy a úbytek organické hmoty. Dalšími důležitými faktory ovlivňující tento proces jsou např.: vliv těžké zemědělské a lesní mechanizace, změna </w:t>
      </w:r>
      <w:proofErr w:type="spellStart"/>
      <w:r w:rsidRPr="00582C10">
        <w:t>hydrotermických</w:t>
      </w:r>
      <w:proofErr w:type="spellEnd"/>
      <w:r w:rsidRPr="00582C10">
        <w:t xml:space="preserve"> podmínek způsobené vysokými dávkami závlahové vody, pěstování monokultur bez zastoupení víceletých pícnin v osevním postupu, používání draselných hnojiv a další. Potenciální zranitelnost půd acidifikací vzniká při sklonu k</w:t>
      </w:r>
      <w:r w:rsidRPr="00582C10">
        <w:rPr>
          <w:b/>
        </w:rPr>
        <w:t> </w:t>
      </w:r>
      <w:r w:rsidRPr="00582C10">
        <w:t>pozvolnému snižování hodnoty půdní reakce, tj. okyselování půdy. Tato půdní charakteristika je velmi významný půdní ukazatel, který má mimo jiné vliv na přístupnost živin, jejich pohyb v půdě (včetně pohybu těžkých kovů), růst rostlin, biologické oživení půdy, tvorbu a kvalitu humusu a další půdotvorné procesy.</w:t>
      </w:r>
    </w:p>
    <w:p w:rsidR="005A312F" w:rsidRPr="00582C10" w:rsidRDefault="005A312F" w:rsidP="00D26858">
      <w:pPr>
        <w:rPr>
          <w:sz w:val="16"/>
        </w:rPr>
      </w:pPr>
      <w:r w:rsidRPr="00582C10">
        <w:t xml:space="preserve">Potenciální zranitelnost spodních vrstev utužením vyplývá z degradace fyzikálních vlastností půdy a z ní vyplývající utužení podorničí a spodin a tvorba krust na povrchu půdy. Negativně ovlivňují produkční a mimoprodukční funkce půdy a patří k hlavním příčinám </w:t>
      </w:r>
      <w:r w:rsidRPr="00582C10">
        <w:lastRenderedPageBreak/>
        <w:t>degradace půdy. Omezuje infiltraci, urychluje povrchový odtok a zvyšuje erozi, zmenšuje retenční vodní kapacitu a využitelnou vodní kapacitu půdy, omezuje účinnou hloubku půdního profilu a potlačuje biologickou aktivitu zhoršením vzdušného, vodního a termického režimu půdy.</w:t>
      </w:r>
    </w:p>
    <w:p w:rsidR="005A312F" w:rsidRPr="00582C10" w:rsidRDefault="005A312F" w:rsidP="00D26858">
      <w:pPr>
        <w:pStyle w:val="Norm-Bold"/>
      </w:pPr>
      <w:r w:rsidRPr="00582C10">
        <w:t>Stav zemědělské půdy podle agrochemického zkoušení půd</w:t>
      </w:r>
    </w:p>
    <w:p w:rsidR="005A312F" w:rsidRDefault="005A312F" w:rsidP="00D26858">
      <w:r w:rsidRPr="00582C10">
        <w:t>Stav ZPF je sledován ÚKZÚZ, který provádí sledování agrochemických vlastností půd v šestiletém cyklu.</w:t>
      </w:r>
    </w:p>
    <w:p w:rsidR="005A312F" w:rsidRPr="002B2274" w:rsidRDefault="005A312F" w:rsidP="00D26858">
      <w:r>
        <w:t>Z v</w:t>
      </w:r>
      <w:r w:rsidRPr="002B2274">
        <w:t>ýsledk</w:t>
      </w:r>
      <w:r>
        <w:t>ů</w:t>
      </w:r>
      <w:r w:rsidRPr="002B2274">
        <w:t xml:space="preserve"> agrochemického zkoušení zemědělských půd za období 2008-2013</w:t>
      </w:r>
      <w:r>
        <w:t xml:space="preserve"> vyplývá:</w:t>
      </w:r>
    </w:p>
    <w:p w:rsidR="005A312F" w:rsidRPr="002B2274" w:rsidRDefault="005A312F" w:rsidP="00E406EF">
      <w:pPr>
        <w:pStyle w:val="vet1"/>
      </w:pPr>
      <w:r w:rsidRPr="002B2274">
        <w:t>Průměrná hodnota půdní reakce zemědělsk</w:t>
      </w:r>
      <w:r w:rsidR="00FD6B8F">
        <w:t>é půdy v ČR je 6,0 stupně pH. Z </w:t>
      </w:r>
      <w:r w:rsidRPr="002B2274">
        <w:t>dlouhodobých výsledků je patrný trend nárůstu silně kyselých a kyselých půd, jako následek nedostatečného vápnění pozemků.</w:t>
      </w:r>
    </w:p>
    <w:p w:rsidR="005A312F" w:rsidRPr="002B2274" w:rsidRDefault="005A312F" w:rsidP="00E406EF">
      <w:pPr>
        <w:pStyle w:val="vet1"/>
      </w:pPr>
      <w:r w:rsidRPr="002B2274">
        <w:t>Průměrná zásoba přístupného fosforu v zemědělské půdě ČR činí podle výsledků této zprávy 87 mg.kg</w:t>
      </w:r>
      <w:r w:rsidRPr="00572695">
        <w:rPr>
          <w:vertAlign w:val="superscript"/>
        </w:rPr>
        <w:t>-1</w:t>
      </w:r>
      <w:r w:rsidRPr="002B2274">
        <w:t>. Půdní zásoba přístupného fosforu dlouhodobě mírně klesá a také srovnání podle kritérií hodnocení má negativní trend.</w:t>
      </w:r>
    </w:p>
    <w:p w:rsidR="005A312F" w:rsidRDefault="005A312F" w:rsidP="00E406EF">
      <w:pPr>
        <w:pStyle w:val="vet1"/>
      </w:pPr>
      <w:r w:rsidRPr="002B2274">
        <w:t>Průměrný obsah přístupného draslíku v zemědělské půdě ČR je v současné době 244</w:t>
      </w:r>
      <w:r>
        <w:t> </w:t>
      </w:r>
      <w:r w:rsidRPr="002B2274">
        <w:t>mg.kg</w:t>
      </w:r>
      <w:r w:rsidRPr="00572695">
        <w:rPr>
          <w:vertAlign w:val="superscript"/>
        </w:rPr>
        <w:t>-1</w:t>
      </w:r>
      <w:r w:rsidRPr="002B2274">
        <w:t xml:space="preserve">. U draslíku je obecně patrná stagnace </w:t>
      </w:r>
      <w:proofErr w:type="spellStart"/>
      <w:r w:rsidRPr="002B2274">
        <w:t>zásobenosti</w:t>
      </w:r>
      <w:proofErr w:type="spellEnd"/>
      <w:r w:rsidRPr="002B2274">
        <w:t xml:space="preserve"> půd touto živinou, i když dlouhodobé snížení spotřeby draselných hnojiv je podobné jako u fosforu. Pravděpodobně dochází k uvolňování draslíku v půdě z méně přístupných forem.</w:t>
      </w:r>
    </w:p>
    <w:p w:rsidR="005A312F" w:rsidRDefault="005A312F" w:rsidP="00E406EF">
      <w:pPr>
        <w:pStyle w:val="vet1"/>
      </w:pPr>
      <w:r w:rsidRPr="002B2274">
        <w:t>Průměrný obsah přístupného hořčíku v zemědělské půdě ČR je 188 mg.kg</w:t>
      </w:r>
      <w:r w:rsidRPr="00572695">
        <w:rPr>
          <w:vertAlign w:val="superscript"/>
        </w:rPr>
        <w:t>-1</w:t>
      </w:r>
      <w:r w:rsidRPr="002B2274">
        <w:t>. Vývojový trend obsahu přístupného hořčíku není zcela jednoznačný, vykazuje stagnaci, ale i mírné snížení nebo zvýšení. Tento stav do jisté míry souvisí s</w:t>
      </w:r>
      <w:r w:rsidR="00FD6B8F">
        <w:t>e zastoupením jiných kationtů v </w:t>
      </w:r>
      <w:r w:rsidRPr="002B2274">
        <w:t>sorpčním komplexu (především draslíku)</w:t>
      </w:r>
      <w:r w:rsidR="003B2D4C">
        <w:t>,</w:t>
      </w:r>
      <w:r w:rsidRPr="002B2274">
        <w:t xml:space="preserve"> a tím lepším nebo horším uplatněním méně aktivního hořčíku.</w:t>
      </w:r>
    </w:p>
    <w:p w:rsidR="005A312F" w:rsidRPr="002B2274" w:rsidRDefault="005A312F" w:rsidP="00E406EF">
      <w:pPr>
        <w:pStyle w:val="vet1"/>
      </w:pPr>
      <w:r w:rsidRPr="002B2274">
        <w:t>Průměrný obsah přístupného vápníku v zemědělské půdě ČR je 2 803 mg.kg</w:t>
      </w:r>
      <w:r w:rsidRPr="00572695">
        <w:rPr>
          <w:vertAlign w:val="superscript"/>
        </w:rPr>
        <w:t>-1</w:t>
      </w:r>
      <w:r w:rsidRPr="002B2274">
        <w:t>. Půdní zásoba přístupného vápníku postupně klesá. Tento trend je v poslední době stále více výrazný a plně koresponduje s poklesem půdní reakce.</w:t>
      </w:r>
    </w:p>
    <w:p w:rsidR="005A312F" w:rsidRPr="002B2274" w:rsidRDefault="005A312F" w:rsidP="00E406EF">
      <w:pPr>
        <w:pStyle w:val="vet1"/>
      </w:pPr>
      <w:r w:rsidRPr="002B2274">
        <w:t>Poměr draslíku k hořčíku se mírně zlepšuje.</w:t>
      </w:r>
    </w:p>
    <w:bookmarkEnd w:id="191"/>
    <w:p w:rsidR="005A312F" w:rsidRPr="00582C10" w:rsidRDefault="005A312F" w:rsidP="00D26858">
      <w:pPr>
        <w:pStyle w:val="Nadpis4"/>
      </w:pPr>
      <w:r w:rsidRPr="00582C10">
        <w:t>7.4.2.3</w:t>
      </w:r>
      <w:r w:rsidRPr="00582C10">
        <w:tab/>
        <w:t>Kvantifikace změny kvality půdy</w:t>
      </w:r>
    </w:p>
    <w:p w:rsidR="00BC6011" w:rsidRPr="00582C10" w:rsidRDefault="00BC6011" w:rsidP="00114285">
      <w:pPr>
        <w:pStyle w:val="Norm-Bold"/>
      </w:pPr>
      <w:r w:rsidRPr="00582C10">
        <w:t xml:space="preserve">Změna kvality půdy v katastrálních územích, kde proběhla </w:t>
      </w:r>
      <w:proofErr w:type="spellStart"/>
      <w:r w:rsidRPr="00582C10">
        <w:t>rebonitace</w:t>
      </w:r>
      <w:proofErr w:type="spellEnd"/>
    </w:p>
    <w:p w:rsidR="00BC6011" w:rsidRPr="00582C10" w:rsidRDefault="00BC6011" w:rsidP="00114285">
      <w:r>
        <w:t xml:space="preserve">Změna na katastrálních územích, na kterých proběhla v roce 2014 </w:t>
      </w:r>
      <w:proofErr w:type="spellStart"/>
      <w:r>
        <w:t>rebonitace</w:t>
      </w:r>
      <w:proofErr w:type="spellEnd"/>
      <w:r>
        <w:t>, je uvedena v tab. T7.</w:t>
      </w:r>
      <w:r w:rsidR="0075689E">
        <w:t>4</w:t>
      </w:r>
      <w:r>
        <w:t xml:space="preserve">/06. Kvantifikace změny kvality půdy vychází z údajů numerické databáze BPEJ a údajů o výměře zemědělské půdy evidované v </w:t>
      </w:r>
      <w:r w:rsidR="005209A9">
        <w:t>katastru nemovitostí</w:t>
      </w:r>
      <w:r>
        <w:t>. Je vyjádřena rozdílem hodnoty základu daně v Kč, vypočteného jako výměra zemědělské půdy vynásobená průměrnou cenou zemědělské půdy. Seznam katastrálních území s přiřazenými cenami zemědělské půdy vydává dle § 17 zákona ČNR č. 338/1992 Sb. MZe po dohodě s MF.</w:t>
      </w:r>
    </w:p>
    <w:p w:rsidR="00BC6011" w:rsidRDefault="00BC6011" w:rsidP="00BC6011">
      <w:pPr>
        <w:pStyle w:val="mezera"/>
      </w:pPr>
    </w:p>
    <w:p w:rsidR="00BC6011" w:rsidRDefault="00114285" w:rsidP="00BC6011">
      <w:pPr>
        <w:pStyle w:val="mezera"/>
      </w:pPr>
      <w:r w:rsidRPr="00114285">
        <w:rPr>
          <w:noProof/>
          <w:lang w:eastAsia="cs-CZ"/>
        </w:rPr>
        <w:lastRenderedPageBreak/>
        <w:drawing>
          <wp:inline distT="0" distB="0" distL="0" distR="0" wp14:anchorId="0733F6FA" wp14:editId="6F968825">
            <wp:extent cx="5760720" cy="2335163"/>
            <wp:effectExtent l="0" t="0" r="0" b="825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2335163"/>
                    </a:xfrm>
                    <a:prstGeom prst="rect">
                      <a:avLst/>
                    </a:prstGeom>
                    <a:noFill/>
                    <a:ln>
                      <a:noFill/>
                    </a:ln>
                  </pic:spPr>
                </pic:pic>
              </a:graphicData>
            </a:graphic>
          </wp:inline>
        </w:drawing>
      </w:r>
    </w:p>
    <w:p w:rsidR="00BC6011" w:rsidRPr="00582C10" w:rsidRDefault="00BC6011" w:rsidP="00BC6011">
      <w:pPr>
        <w:pStyle w:val="mezera"/>
      </w:pPr>
    </w:p>
    <w:p w:rsidR="00BC6011" w:rsidRDefault="00BC6011" w:rsidP="00BC6011">
      <w:r w:rsidRPr="00582C10">
        <w:t>Stanovené průměrné ceny odráží výsledek aktualizace bonitačního mapování zemědělských pozemků a výsledky aktualizace vstupů evidovaných katastrálních území České republiky v souvislosti se změnami výměry zemědělské půdy (zábor zemědělské půdy pro nezemědělské účely, převod rekultivovaných ploch do zemědělských pozemků, obnova katastrálních operátů).</w:t>
      </w:r>
    </w:p>
    <w:p w:rsidR="00BC6011" w:rsidRPr="00582C10" w:rsidRDefault="00BC6011" w:rsidP="00BC6011">
      <w:r>
        <w:t xml:space="preserve">Celkem bylo v roce 2014 hodnoceno 74 katastrálních území. </w:t>
      </w:r>
      <w:r w:rsidRPr="00F71D4A">
        <w:t xml:space="preserve">Z vyhodnocení průměrných ukazatelů vyplývá, že </w:t>
      </w:r>
      <w:r>
        <w:t xml:space="preserve">v roce 2014 </w:t>
      </w:r>
      <w:r w:rsidRPr="00F71D4A">
        <w:t xml:space="preserve">došlo k </w:t>
      </w:r>
      <w:r>
        <w:t>nárůstu</w:t>
      </w:r>
      <w:r w:rsidR="00114285">
        <w:t xml:space="preserve"> průměrné ceny půdy o </w:t>
      </w:r>
      <w:r>
        <w:t>1 400</w:t>
      </w:r>
      <w:r w:rsidR="00114285">
        <w:t> </w:t>
      </w:r>
      <w:r w:rsidRPr="00F71D4A">
        <w:t xml:space="preserve">Kč/ha, což představuje </w:t>
      </w:r>
      <w:r>
        <w:t>nárůst</w:t>
      </w:r>
      <w:r w:rsidRPr="00F71D4A">
        <w:t xml:space="preserve"> hodnoty zemědělské půdy o </w:t>
      </w:r>
      <w:r>
        <w:t>2,25</w:t>
      </w:r>
      <w:r w:rsidRPr="00F71D4A">
        <w:t xml:space="preserve"> %. Nejvyšší ztráta kvality půdy je dosažena především na území </w:t>
      </w:r>
      <w:r>
        <w:t>Libereckého kraje</w:t>
      </w:r>
      <w:r w:rsidRPr="00F71D4A">
        <w:t xml:space="preserve">, </w:t>
      </w:r>
      <w:r>
        <w:t>naopak především Jihočeský a Ústecký kraj</w:t>
      </w:r>
      <w:r w:rsidRPr="00F71D4A">
        <w:t xml:space="preserve"> zaznamenal nárůst kvality půdy.</w:t>
      </w:r>
      <w:r>
        <w:t xml:space="preserve"> Vzhledem k tomu, že v roce 2014 byla </w:t>
      </w:r>
      <w:proofErr w:type="spellStart"/>
      <w:r>
        <w:t>rebonitovaná</w:t>
      </w:r>
      <w:proofErr w:type="spellEnd"/>
      <w:r>
        <w:t xml:space="preserve"> podstatně menší část ČR než v předcházejících letech a hlavní postižené kraje na Moravě zde chybí, nelze z tabulky přímo odvozovat plošné zvýšení kvality zemědělského půdního fondu, protože při celkovém vyhodnocení za poslední </w:t>
      </w:r>
      <w:r w:rsidR="00114285">
        <w:t>tři roky došlo k poklesu ceny o </w:t>
      </w:r>
      <w:r>
        <w:t>1,74%.</w:t>
      </w:r>
    </w:p>
    <w:p w:rsidR="005A312F" w:rsidRPr="00582C10" w:rsidRDefault="005A312F" w:rsidP="00D26858">
      <w:pPr>
        <w:pStyle w:val="Norm-Bold"/>
      </w:pPr>
      <w:r w:rsidRPr="00582C10">
        <w:t>Ztráta půdy jejím zakrytím</w:t>
      </w:r>
    </w:p>
    <w:p w:rsidR="005A312F" w:rsidRPr="00582C10" w:rsidRDefault="005A312F" w:rsidP="00D26858">
      <w:r w:rsidRPr="00582C10">
        <w:t>Zakrytí povrchu půdy nepropustným materiálem (</w:t>
      </w:r>
      <w:proofErr w:type="spellStart"/>
      <w:r w:rsidRPr="008520EA">
        <w:t>soil</w:t>
      </w:r>
      <w:proofErr w:type="spellEnd"/>
      <w:r w:rsidRPr="008520EA">
        <w:t xml:space="preserve"> </w:t>
      </w:r>
      <w:proofErr w:type="spellStart"/>
      <w:r w:rsidRPr="008520EA">
        <w:t>sealing</w:t>
      </w:r>
      <w:proofErr w:type="spellEnd"/>
      <w:r w:rsidRPr="00582C10">
        <w:t>) způsobuje závažné škody na životním prostředí a je nejdůležitější formou degradace půdy. Kromě likvidace produkčního potenciálu půdy přispívá k poškození biodiverzity, zvyšuje nebezpečí povodní a nedostatku vláhy, přispívá ke globálnímu oteplování. Od roku 1966 se snížila výměra zemědělské půdy o 29</w:t>
      </w:r>
      <w:r>
        <w:t>7</w:t>
      </w:r>
      <w:r w:rsidRPr="00582C10">
        <w:t> tis. ha, lze předpokládat zakrytí významné části této plochy</w:t>
      </w:r>
      <w:r w:rsidRPr="00582C10">
        <w:rPr>
          <w:i/>
          <w:vertAlign w:val="superscript"/>
        </w:rPr>
        <w:footnoteReference w:id="123"/>
      </w:r>
      <w:r w:rsidRPr="00582C10">
        <w:t>.</w:t>
      </w:r>
    </w:p>
    <w:p w:rsidR="005A312F" w:rsidRPr="00582C10" w:rsidRDefault="005A312F" w:rsidP="00D26858">
      <w:r w:rsidRPr="00582C10">
        <w:t>Produkci na zemědělské půdě negativně ovlivňuje</w:t>
      </w:r>
      <w:r>
        <w:t xml:space="preserve"> kromě změny kvality půdy i </w:t>
      </w:r>
      <w:r w:rsidRPr="00582C10">
        <w:t xml:space="preserve">poměrově vyšší zábor zemědělské půdy na úrodných půdách než na marginálních půdách. Celkový přehled změn v ČR podle vyhodnocení průměrných cen v katastrálních územích </w:t>
      </w:r>
      <w:r w:rsidRPr="00582C10">
        <w:lastRenderedPageBreak/>
        <w:t>vyplývající z výměry katastrů je uvedený v tab. T7.4/0</w:t>
      </w:r>
      <w:r>
        <w:t>7</w:t>
      </w:r>
      <w:r w:rsidRPr="00582C10">
        <w:t>. Je zde uveden úbyt</w:t>
      </w:r>
      <w:r>
        <w:t>ek</w:t>
      </w:r>
      <w:r w:rsidRPr="00582C10">
        <w:t xml:space="preserve"> ceny zemědělské</w:t>
      </w:r>
      <w:r>
        <w:t>ho</w:t>
      </w:r>
      <w:r w:rsidRPr="00582C10">
        <w:t xml:space="preserve"> půd</w:t>
      </w:r>
      <w:r>
        <w:t>ního fondu</w:t>
      </w:r>
      <w:r w:rsidRPr="00582C10">
        <w:t xml:space="preserve"> v období 1995</w:t>
      </w:r>
      <w:r w:rsidRPr="00582C10">
        <w:noBreakHyphen/>
        <w:t>201</w:t>
      </w:r>
      <w:r>
        <w:t>4</w:t>
      </w:r>
      <w:r w:rsidRPr="00582C10">
        <w:t xml:space="preserve"> </w:t>
      </w:r>
      <w:r>
        <w:t>na základě rozdílu cen půdy</w:t>
      </w:r>
      <w:r w:rsidRPr="00582C10">
        <w:t xml:space="preserve"> </w:t>
      </w:r>
      <w:r>
        <w:t>podle katastrálních území</w:t>
      </w:r>
      <w:r w:rsidRPr="00582C10">
        <w:t>, v jednotném ceníku roku 201</w:t>
      </w:r>
      <w:r>
        <w:t>4</w:t>
      </w:r>
      <w:r w:rsidRPr="00582C10">
        <w:t>.</w:t>
      </w:r>
    </w:p>
    <w:p w:rsidR="005A312F" w:rsidRDefault="005A312F" w:rsidP="00D26858">
      <w:pPr>
        <w:pStyle w:val="mezera"/>
      </w:pPr>
    </w:p>
    <w:p w:rsidR="005A312F" w:rsidRDefault="005A312F" w:rsidP="00D26858">
      <w:pPr>
        <w:pStyle w:val="mezera"/>
      </w:pPr>
      <w:r w:rsidRPr="00945A7E">
        <w:rPr>
          <w:noProof/>
          <w:lang w:eastAsia="cs-CZ"/>
        </w:rPr>
        <w:drawing>
          <wp:inline distT="0" distB="0" distL="0" distR="0" wp14:anchorId="7CF1DD89" wp14:editId="65CCD8C3">
            <wp:extent cx="4639310" cy="3736340"/>
            <wp:effectExtent l="0" t="0" r="889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39310" cy="3736340"/>
                    </a:xfrm>
                    <a:prstGeom prst="rect">
                      <a:avLst/>
                    </a:prstGeom>
                    <a:noFill/>
                    <a:ln>
                      <a:noFill/>
                    </a:ln>
                  </pic:spPr>
                </pic:pic>
              </a:graphicData>
            </a:graphic>
          </wp:inline>
        </w:drawing>
      </w:r>
    </w:p>
    <w:p w:rsidR="005A312F" w:rsidRPr="00582C10" w:rsidRDefault="005A312F" w:rsidP="00D26858">
      <w:pPr>
        <w:pStyle w:val="mezera"/>
      </w:pPr>
    </w:p>
    <w:p w:rsidR="005A312F" w:rsidRPr="00582C10" w:rsidRDefault="005A312F" w:rsidP="00D26858">
      <w:r w:rsidRPr="00582C10">
        <w:t xml:space="preserve">Tato skutečnost vede zejména v nížinách v blízkosti obcí k celkovému </w:t>
      </w:r>
      <w:r>
        <w:t xml:space="preserve">úbytku kvalitní půdy, což způsobuje celkové </w:t>
      </w:r>
      <w:r w:rsidRPr="00582C10">
        <w:t>snížení kvality zemědělské půdy, a tím ke snížení konkurenceschopnosti zejména polní výroby.</w:t>
      </w:r>
      <w:r>
        <w:t xml:space="preserve"> Rozdíl v ceně zemědělské půdy v ČR mezi lety 1995 a 2014 je celkem 4 886 mil. Kč.</w:t>
      </w:r>
    </w:p>
    <w:p w:rsidR="005A312F" w:rsidRDefault="005A312F" w:rsidP="00D26858">
      <w:r w:rsidRPr="00582C10">
        <w:t xml:space="preserve">Celková bilance ztráty </w:t>
      </w:r>
      <w:r>
        <w:t xml:space="preserve">produkce </w:t>
      </w:r>
      <w:r w:rsidRPr="00582C10">
        <w:t>je rámcově vyhodnocená v tab.</w:t>
      </w:r>
      <w:r>
        <w:t> </w:t>
      </w:r>
      <w:r w:rsidRPr="00582C10">
        <w:t>T7.4/0</w:t>
      </w:r>
      <w:r>
        <w:t>8</w:t>
      </w:r>
      <w:r w:rsidRPr="00582C10">
        <w:t xml:space="preserve">. Roční celková ztráta produkce v rostlinné výrobě </w:t>
      </w:r>
      <w:r>
        <w:t>odhadem dosahuje</w:t>
      </w:r>
      <w:r w:rsidRPr="00582C10">
        <w:t xml:space="preserve"> 17</w:t>
      </w:r>
      <w:r>
        <w:t>2</w:t>
      </w:r>
      <w:r w:rsidRPr="00582C10">
        <w:t> mil. Kč</w:t>
      </w:r>
      <w:r>
        <w:t>.</w:t>
      </w:r>
      <w:r w:rsidRPr="00582C10">
        <w:t xml:space="preserve"> </w:t>
      </w:r>
      <w:r>
        <w:t xml:space="preserve">V roce 2014 byl rozdíl produkce vzhledem </w:t>
      </w:r>
      <w:r w:rsidRPr="00582C10">
        <w:t xml:space="preserve">k roku 1995 </w:t>
      </w:r>
      <w:r>
        <w:t xml:space="preserve">ve výši </w:t>
      </w:r>
      <w:r w:rsidRPr="00582C10">
        <w:t>3 </w:t>
      </w:r>
      <w:r>
        <w:t>749</w:t>
      </w:r>
      <w:r w:rsidRPr="00582C10">
        <w:t xml:space="preserve"> mil. Kč.</w:t>
      </w:r>
    </w:p>
    <w:p w:rsidR="005A312F" w:rsidRPr="00582C10" w:rsidRDefault="005A312F" w:rsidP="00D26858">
      <w:pPr>
        <w:pStyle w:val="mezera"/>
      </w:pPr>
    </w:p>
    <w:p w:rsidR="005A312F" w:rsidRDefault="005A312F" w:rsidP="00D26858">
      <w:pPr>
        <w:pStyle w:val="mezera"/>
      </w:pPr>
      <w:r w:rsidRPr="00DC192D">
        <w:rPr>
          <w:noProof/>
          <w:lang w:eastAsia="cs-CZ"/>
        </w:rPr>
        <w:drawing>
          <wp:inline distT="0" distB="0" distL="0" distR="0" wp14:anchorId="7EA4A4C0" wp14:editId="0D5159E1">
            <wp:extent cx="5760720" cy="2332792"/>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0720" cy="2332792"/>
                    </a:xfrm>
                    <a:prstGeom prst="rect">
                      <a:avLst/>
                    </a:prstGeom>
                    <a:noFill/>
                    <a:ln>
                      <a:noFill/>
                    </a:ln>
                  </pic:spPr>
                </pic:pic>
              </a:graphicData>
            </a:graphic>
          </wp:inline>
        </w:drawing>
      </w:r>
    </w:p>
    <w:p w:rsidR="005A312F" w:rsidRPr="00582C10" w:rsidRDefault="005A312F" w:rsidP="00D26858">
      <w:pPr>
        <w:pStyle w:val="mezera"/>
      </w:pPr>
    </w:p>
    <w:p w:rsidR="005A312F" w:rsidRPr="00582C10" w:rsidRDefault="005A312F" w:rsidP="00D26858">
      <w:pPr>
        <w:pStyle w:val="Nadpis4"/>
      </w:pPr>
      <w:r w:rsidRPr="00582C10">
        <w:t>7.4.2.4</w:t>
      </w:r>
      <w:r w:rsidRPr="00582C10">
        <w:tab/>
        <w:t>Vyhodnocení dalších faktorů kvality půdy</w:t>
      </w:r>
    </w:p>
    <w:p w:rsidR="005A312F" w:rsidRPr="00582C10" w:rsidRDefault="005A312F" w:rsidP="00D26858">
      <w:r w:rsidRPr="00582C10">
        <w:t>Mimo ocenění půdy podle zařazení do BPEJ je kvalita ovlivněna rovněž volbou technologických postupů. Při nevhodně volených technologických postupech vzniká nadměrné utužení půdy zejména v podorničí, v jehož důsledku klesají výnosy až o 0,25 t pšenice na hektar při nárůstu utužení podorničí o 1 </w:t>
      </w:r>
      <w:proofErr w:type="spellStart"/>
      <w:r w:rsidRPr="00582C10">
        <w:t>MPa</w:t>
      </w:r>
      <w:proofErr w:type="spellEnd"/>
      <w:r w:rsidRPr="00582C10">
        <w:t>. V současné době je podle šetření ÚZEI postiženo nadlimitním utužením přibližně 26 % půd.</w:t>
      </w:r>
    </w:p>
    <w:p w:rsidR="005A312F" w:rsidRPr="00582C10" w:rsidRDefault="005A312F" w:rsidP="00D26858">
      <w:r w:rsidRPr="00582C10">
        <w:t>Pokles pH půdy způsobený nedostatečným vápněním má velký význam u většiny zemědělských plodin. Přímé ztráty výnosu pšenice ozimé při poklesu pH o jeden stupeň jsou stanoveny ve výši 0,71 t/ha</w:t>
      </w:r>
      <w:r w:rsidRPr="00582C10">
        <w:rPr>
          <w:i/>
          <w:vertAlign w:val="superscript"/>
        </w:rPr>
        <w:footnoteReference w:id="124"/>
      </w:r>
      <w:r w:rsidRPr="00582C10">
        <w:t>. Při současném poklesu pH o 0,1 stupně se snižuje hrubý roční rentní efekt (HRRE) pšenice při ceně 3 </w:t>
      </w:r>
      <w:r>
        <w:t>4</w:t>
      </w:r>
      <w:r w:rsidRPr="00582C10">
        <w:t>00 Kč/t o 241 Kč/ha. Při předpokladu poměrného snížení výnosů i u ostatních plodin tak vzniká roční ztráta na orné půdě v ČR ve výši přibližně 600 mil. Kč.</w:t>
      </w:r>
    </w:p>
    <w:p w:rsidR="005A312F" w:rsidRPr="00582C10" w:rsidRDefault="005A312F" w:rsidP="00D26858">
      <w:r w:rsidRPr="00582C10">
        <w:t>Zásady správné péče o kvalitu půdy se projevují i u ostatních sledovaných ukazatelů. Výnos pšenice ozimé závisí na přívodu organické hmoty do půdy. Kvantifikace ztrát pšenice ozimé v důsledku nedostatečného</w:t>
      </w:r>
      <w:r w:rsidRPr="00582C10">
        <w:rPr>
          <w:i/>
          <w:vertAlign w:val="superscript"/>
        </w:rPr>
        <w:footnoteReference w:id="125"/>
      </w:r>
      <w:r w:rsidRPr="00582C10">
        <w:rPr>
          <w:vertAlign w:val="superscript"/>
        </w:rPr>
        <w:t xml:space="preserve"> </w:t>
      </w:r>
      <w:r w:rsidRPr="00582C10">
        <w:t>přísunu organických hnojiv do půdy činí přibližně 0,4 t/ha za rok.</w:t>
      </w:r>
    </w:p>
    <w:p w:rsidR="005A312F" w:rsidRPr="00582C10" w:rsidRDefault="005A312F" w:rsidP="00D26858">
      <w:r w:rsidRPr="00582C10">
        <w:t>V důsledku nevhodné kombinace plodin vlivem požadavků trhu vznikají ztráty na výnosech. Pšenice ozimá snižuje výnos vlivem pěstování po obilovinách až o 1 t/ha.</w:t>
      </w:r>
    </w:p>
    <w:p w:rsidR="005A312F" w:rsidRPr="00582C10" w:rsidRDefault="005A312F" w:rsidP="00D26858">
      <w:r w:rsidRPr="00582C10">
        <w:t>Vyhodnocení ztrát produkce na základě stávajícího utužení půdy je uvedeno v tab. T7.4/</w:t>
      </w:r>
      <w:r>
        <w:t>09</w:t>
      </w:r>
      <w:r w:rsidRPr="00582C10">
        <w:t xml:space="preserve">. Přímá roční ztráta produkce při zjištěném průměrném nadlimitním utužení půdy v ČR na 26 % půd o 1 </w:t>
      </w:r>
      <w:proofErr w:type="spellStart"/>
      <w:r w:rsidRPr="00582C10">
        <w:t>MPa</w:t>
      </w:r>
      <w:proofErr w:type="spellEnd"/>
      <w:r w:rsidRPr="00582C10">
        <w:rPr>
          <w:i/>
          <w:vertAlign w:val="superscript"/>
        </w:rPr>
        <w:footnoteReference w:id="126"/>
      </w:r>
      <w:r w:rsidRPr="00582C10">
        <w:t xml:space="preserve"> na základě </w:t>
      </w:r>
      <w:proofErr w:type="spellStart"/>
      <w:r w:rsidRPr="00582C10">
        <w:t>penetrometrického</w:t>
      </w:r>
      <w:proofErr w:type="spellEnd"/>
      <w:r w:rsidRPr="00582C10">
        <w:t xml:space="preserve"> šetření odporu půdy je celkem cca </w:t>
      </w:r>
      <w:r>
        <w:t>410</w:t>
      </w:r>
      <w:r w:rsidRPr="00582C10">
        <w:t xml:space="preserve"> mil. Kč. Vzhledem k dalším efektům utužení půdy ve vztahu k erozi půdy a kvalitě vod skutečná škoda </w:t>
      </w:r>
      <w:r>
        <w:t>ještě narůstá</w:t>
      </w:r>
      <w:r w:rsidRPr="00582C10">
        <w:t>.</w:t>
      </w:r>
    </w:p>
    <w:p w:rsidR="005A312F" w:rsidRPr="00582C10" w:rsidRDefault="005A312F" w:rsidP="00D26858">
      <w:pPr>
        <w:pStyle w:val="mezera"/>
      </w:pPr>
    </w:p>
    <w:p w:rsidR="005A312F" w:rsidRDefault="005A312F" w:rsidP="00D26858">
      <w:pPr>
        <w:pStyle w:val="mezera"/>
      </w:pPr>
      <w:r w:rsidRPr="00DC192D">
        <w:rPr>
          <w:noProof/>
          <w:lang w:eastAsia="cs-CZ"/>
        </w:rPr>
        <w:lastRenderedPageBreak/>
        <w:drawing>
          <wp:inline distT="0" distB="0" distL="0" distR="0" wp14:anchorId="04F1D798" wp14:editId="4CE8A74D">
            <wp:extent cx="5760720" cy="3529992"/>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3529992"/>
                    </a:xfrm>
                    <a:prstGeom prst="rect">
                      <a:avLst/>
                    </a:prstGeom>
                    <a:noFill/>
                    <a:ln>
                      <a:noFill/>
                    </a:ln>
                  </pic:spPr>
                </pic:pic>
              </a:graphicData>
            </a:graphic>
          </wp:inline>
        </w:drawing>
      </w:r>
    </w:p>
    <w:p w:rsidR="005A312F" w:rsidRPr="00582C10" w:rsidRDefault="005A312F" w:rsidP="00D26858">
      <w:pPr>
        <w:pStyle w:val="mezera"/>
      </w:pPr>
    </w:p>
    <w:p w:rsidR="00567C4A" w:rsidRPr="00074C0F" w:rsidRDefault="00567C4A" w:rsidP="000B7BEE">
      <w:pPr>
        <w:pStyle w:val="Nadpis1"/>
      </w:pPr>
      <w:bookmarkStart w:id="198" w:name="_Toc424307066"/>
      <w:r w:rsidRPr="00BC303A">
        <w:t>8</w:t>
      </w:r>
      <w:r w:rsidRPr="00BC303A">
        <w:tab/>
        <w:t>AGRÁRNÍ PRODUKCE A JEJÍ BILANCE</w:t>
      </w:r>
      <w:bookmarkEnd w:id="198"/>
    </w:p>
    <w:p w:rsidR="0024506D" w:rsidRDefault="0024506D" w:rsidP="0024506D">
      <w:pPr>
        <w:pStyle w:val="souhrn-kap"/>
      </w:pPr>
      <w:r>
        <w:t>V rostlinné výrobě došlo v marketingovém roce 201</w:t>
      </w:r>
      <w:r w:rsidR="00DD3085">
        <w:t>4</w:t>
      </w:r>
      <w:r>
        <w:t>/1</w:t>
      </w:r>
      <w:r w:rsidR="00DD3085">
        <w:t>5</w:t>
      </w:r>
      <w:r>
        <w:t xml:space="preserve"> k meziročnímu nárůstu </w:t>
      </w:r>
      <w:r w:rsidRPr="0024506D">
        <w:t>produkce</w:t>
      </w:r>
      <w:r>
        <w:t xml:space="preserve"> u všech hlavních komodit vyjma vinné révy. Nejvyšší meziroční růst výroby byl zaznamenán u brambor, ale také u ječmene, kukuřice a zeleniny. Hlavním důvodem byly meziročně vyšší výnosy (někde až na rekordní úrovni) ovlivněné zejména celoročně příznivými povětrnostními podmínkami. Naopak ke zhoršení výnosů</w:t>
      </w:r>
      <w:r w:rsidR="004E6349">
        <w:t>,</w:t>
      </w:r>
      <w:r>
        <w:t xml:space="preserve"> a tím i produkce</w:t>
      </w:r>
      <w:r w:rsidR="004E6349">
        <w:t>,</w:t>
      </w:r>
      <w:r>
        <w:t xml:space="preserve"> došlo u vinné révy vlivem napadení rostlin škůdci a houbami. V meziročním srovnání došlo k nárůstu spotřeby především u zeleniny, ovoce, řepky a z obilovin u pšenice, naopak její pokles byl evidován u cukru, vína a kukuřice. Vzhledem k tomu, že produkce u většiny komodit rostla výrazněji než spotřeba, došlo většinou ke zlepšení míry soběstačnosti. Její pokles byl evidován pouze v případě řepky, vína a mírně u ovoce. U většiny obilovin, u řepky, cukrovky a vína klesly v roce 2014 průměrné CZV, zároveň se u nich zhoršila také rentabilita produkce. Výrazné zvýšení cen brambor ovlivnilo pozitivně ekonomiku produkce a rentabilita se dostala do kladných hodnot. </w:t>
      </w:r>
      <w:r w:rsidR="006C7D77" w:rsidRPr="006C7D77">
        <w:t>V živočišné výrobě došlo v roce 2014 podle Soupisu hospodářských zvířat k meziročnímu zvýšení stavů skotu celkem, dojených i masných krav, prasat, ovcí a koz, zatímco meziročně klesly stavy drůbeže i slepic.</w:t>
      </w:r>
      <w:r w:rsidR="006C7D77">
        <w:t xml:space="preserve"> </w:t>
      </w:r>
      <w:r>
        <w:t>Produkce většiny živočišných komodit v roce 2014 vzrostla</w:t>
      </w:r>
      <w:r w:rsidR="00E361BC">
        <w:t>,</w:t>
      </w:r>
      <w:r>
        <w:t xml:space="preserve"> a to nejvýznamněji u drůbežího a skopového masa, naopak došlo k poklesu výroby vajec. Spotřeba se zvýšila u mléka, drůbežího a</w:t>
      </w:r>
      <w:r w:rsidR="006C7D77">
        <w:t> </w:t>
      </w:r>
      <w:r>
        <w:t xml:space="preserve">hovězího masa, její </w:t>
      </w:r>
      <w:r w:rsidR="00E361BC">
        <w:t>stagnace byla evidována u </w:t>
      </w:r>
      <w:r>
        <w:t xml:space="preserve">vepřového masa a k poklesu naopak došlo u vajec. Míra soběstačnosti se téměř u všech komodit meziročně zlepšila, vyjma hovězího masa a vajec. </w:t>
      </w:r>
      <w:r w:rsidR="00E361BC">
        <w:t>CZV se nejvýrazněji zvýšily u </w:t>
      </w:r>
      <w:r>
        <w:t>mléka, kde významně ovlivnily rentabilitu výroby. Naopak k poklesu cen došlo v roce 2014 u </w:t>
      </w:r>
      <w:r w:rsidR="004E6349">
        <w:t>vepřového a </w:t>
      </w:r>
      <w:r>
        <w:t>drůbežího masa, přesto však se u těchto komodit rentabilita nezhoršila, neboť zároveň došlo ke snížení nákladů.</w:t>
      </w:r>
    </w:p>
    <w:p w:rsidR="0024506D" w:rsidRDefault="0024506D" w:rsidP="0024506D">
      <w:pPr>
        <w:pStyle w:val="souhrn-kap"/>
      </w:pPr>
      <w:r>
        <w:t xml:space="preserve">Průmyslová produkce ve výrobě potravinářských výrobků měřena jejím indexem v roce 2014 </w:t>
      </w:r>
      <w:r w:rsidR="003F46B1">
        <w:t>vzrostla</w:t>
      </w:r>
      <w:r>
        <w:t>. U výroby nápojů pokračovala ve zmíněném roce podle téhož ukazatele mírná progrese. V oborové struktuře potravinářské výroby v roce 2014 svou pozici oslabilo zpracování masa a masných výrobků vč. drůbeže, naproti tomu výkonnost posílilo zejména zpracování a konzervování ovoce a zeleniny a výroby průmyslových krmiv, zejména vlivem růstu hodnoty krmiv pro zvířata v zájmovém chovu.</w:t>
      </w:r>
      <w:r w:rsidRPr="00E40EA3">
        <w:t xml:space="preserve"> </w:t>
      </w:r>
      <w:r>
        <w:t xml:space="preserve">Mlékárenský obor mohl těžit z globální </w:t>
      </w:r>
      <w:r>
        <w:lastRenderedPageBreak/>
        <w:t>poptávky po mléčných výrobcích, ale na domácím trhu se obtížně bránil zahraniční konkurenci.</w:t>
      </w:r>
    </w:p>
    <w:p w:rsidR="0024506D" w:rsidRPr="00B26551" w:rsidRDefault="0024506D" w:rsidP="0024506D">
      <w:pPr>
        <w:pStyle w:val="souhrn-kap"/>
      </w:pPr>
      <w:r w:rsidRPr="00B02B4C">
        <w:t xml:space="preserve">Celkový podíl obnovitelné energie na primárních energetických zdrojích (PEZ) </w:t>
      </w:r>
      <w:r>
        <w:t xml:space="preserve">v roce 2013 </w:t>
      </w:r>
      <w:r w:rsidRPr="00B02B4C">
        <w:t xml:space="preserve">činil dle MPO </w:t>
      </w:r>
      <w:r>
        <w:t>8,8</w:t>
      </w:r>
      <w:r w:rsidRPr="00B02B4C">
        <w:t xml:space="preserve"> %. </w:t>
      </w:r>
      <w:r>
        <w:t>P</w:t>
      </w:r>
      <w:r w:rsidRPr="00B02B4C">
        <w:t>odíl obnovitelných zdrojů energie v roce 201</w:t>
      </w:r>
      <w:r>
        <w:t>3</w:t>
      </w:r>
      <w:r w:rsidRPr="00B02B4C">
        <w:t xml:space="preserve"> na hrubé výrobě elektřiny dosáhl </w:t>
      </w:r>
      <w:r>
        <w:t xml:space="preserve">10,7 </w:t>
      </w:r>
      <w:r w:rsidRPr="00B02B4C">
        <w:t xml:space="preserve">% a jejich podíl na hrubé výrobě tepelné energie okolo </w:t>
      </w:r>
      <w:r>
        <w:t>9 </w:t>
      </w:r>
      <w:r w:rsidRPr="00B02B4C">
        <w:t>%. Podíl OZE na konečné spotřebě se podle mezinárodní metodiky výpočtu pohyboval okolo 1</w:t>
      </w:r>
      <w:r>
        <w:t>1,2 </w:t>
      </w:r>
      <w:r w:rsidRPr="00B02B4C">
        <w:t>%.</w:t>
      </w:r>
      <w:r>
        <w:t xml:space="preserve"> </w:t>
      </w:r>
      <w:r w:rsidRPr="00976E29">
        <w:t xml:space="preserve">Výměra GM kukuřice v ČR </w:t>
      </w:r>
      <w:r>
        <w:t xml:space="preserve">v posledních letech </w:t>
      </w:r>
      <w:r w:rsidRPr="00976E29">
        <w:t>klesá.</w:t>
      </w:r>
      <w:r w:rsidRPr="002C4804">
        <w:t xml:space="preserve"> </w:t>
      </w:r>
      <w:r w:rsidRPr="00367656">
        <w:t xml:space="preserve">V roce 2014 byl zaznamenán </w:t>
      </w:r>
      <w:r>
        <w:t xml:space="preserve">jak </w:t>
      </w:r>
      <w:r w:rsidRPr="00367656">
        <w:t xml:space="preserve">meziroční </w:t>
      </w:r>
      <w:r>
        <w:t>úbytek</w:t>
      </w:r>
      <w:r w:rsidRPr="00367656">
        <w:t xml:space="preserve"> </w:t>
      </w:r>
      <w:r>
        <w:t xml:space="preserve">výměry </w:t>
      </w:r>
      <w:r w:rsidRPr="00367656">
        <w:t>o</w:t>
      </w:r>
      <w:r>
        <w:t> </w:t>
      </w:r>
      <w:r w:rsidRPr="00367656">
        <w:t>32 %</w:t>
      </w:r>
      <w:r>
        <w:t xml:space="preserve">, tak </w:t>
      </w:r>
      <w:r w:rsidRPr="00367656">
        <w:t xml:space="preserve">i </w:t>
      </w:r>
      <w:r>
        <w:t>pokles poč</w:t>
      </w:r>
      <w:r w:rsidRPr="00367656">
        <w:t>t</w:t>
      </w:r>
      <w:r>
        <w:t>u pěstitelů o </w:t>
      </w:r>
      <w:r w:rsidRPr="00367656">
        <w:t>42 %.</w:t>
      </w:r>
    </w:p>
    <w:p w:rsidR="00567C4A" w:rsidRPr="00074C0F" w:rsidRDefault="00567C4A" w:rsidP="000B7BEE">
      <w:pPr>
        <w:pStyle w:val="Nadpis2"/>
      </w:pPr>
      <w:bookmarkStart w:id="199" w:name="_Toc424307067"/>
      <w:r w:rsidRPr="00074C0F">
        <w:t>8.1</w:t>
      </w:r>
      <w:r w:rsidRPr="00074C0F">
        <w:tab/>
        <w:t>Rostlinná produkce celkem a podle rozhodujících komodit</w:t>
      </w:r>
      <w:bookmarkEnd w:id="199"/>
    </w:p>
    <w:p w:rsidR="00567C4A" w:rsidRPr="00074C0F" w:rsidRDefault="00567C4A" w:rsidP="000B7BEE">
      <w:pPr>
        <w:pStyle w:val="Nadpis3"/>
      </w:pPr>
      <w:bookmarkStart w:id="200" w:name="_Toc424307068"/>
      <w:r w:rsidRPr="00074C0F">
        <w:t>8.1.1</w:t>
      </w:r>
      <w:r w:rsidRPr="00074C0F">
        <w:tab/>
        <w:t>Obiloviny</w:t>
      </w:r>
      <w:bookmarkEnd w:id="200"/>
    </w:p>
    <w:p w:rsidR="00567C4A" w:rsidRPr="00074C0F" w:rsidRDefault="00567C4A" w:rsidP="000B7BEE">
      <w:r w:rsidRPr="00074C0F">
        <w:t>Celková světová produkce obilovin v marketingovém roce 2014/15 dosáhla 2 193,0 mil. t (včetně rýže), což představuje téměř shodný objem ve srovnání s předchozím rokem. Světově nejvýznamnější obilovinou je kukuřice, které se v roce 2014 sklidilo rekordních 991,9 mil. t, a podílí se tak 45,2 % na globální obilnářské produkci. Světová sklizeň pšenice dosáhla úrovně 726,5 mil. t (meziročně o 1,4 % vyšší), produkce rýže jako třetí nejvýznamnější obiloviny se proti roku 2013 změnila nejméně a činila 474,6 mil. t. Nejvýznamnějšími producenty kukuřice podle objemu sklizně roku 2014 zůstaly (stejně jako v předchozím roce) USA, Čína, Brazílie a EU, v případě pšenice pak EU, Čína, Indie, USA a Rusko. Hlavními světovými producenty rýže jsou Čína, Indie, Indonésie, Bangladéš a Vietnam (USDA, IV 2015).</w:t>
      </w:r>
    </w:p>
    <w:p w:rsidR="00567C4A" w:rsidRPr="00074C0F" w:rsidRDefault="00567C4A" w:rsidP="000B7BEE">
      <w:r w:rsidRPr="00074C0F">
        <w:t>V marketingovém roce 2014/15 byla světová produkce a spotřeba hlavních obilovin takřka vyrovnaná, přičemž produkce dosáhla úrovně 2 193,0</w:t>
      </w:r>
      <w:r>
        <w:t xml:space="preserve"> </w:t>
      </w:r>
      <w:r w:rsidRPr="00074C0F">
        <w:t>mil. t (meziročně o 0,5 % vyšší) a spotřeba 2 164,8 mil. t (meziročně o 2,1 % vyšší). Celkový objem světových zásob hlavních obilovin meziročně poklesl, a to na 484,3 mil. t, tj. o 4,2 % (USDA, IV 2015).</w:t>
      </w:r>
    </w:p>
    <w:p w:rsidR="00567C4A" w:rsidRPr="00074C0F" w:rsidRDefault="00567C4A" w:rsidP="000B7BEE">
      <w:r w:rsidRPr="00074C0F">
        <w:t>Pěstební plocha obilovin v Evropské unii v marketingovém roce 2014/15 činila 57,2 mil. ha a odpovídala téměř shodně výměře, na níž byly sklizeny obiloviny v předchozím roce. Nejdůležitějšími obilovinami v EU jako celku zůstávají pšenice setá, kukuřice a ječmen. Největší sklizňovou plochu obilovin v roce 2014 vykázala Francie, dále Polsko, Německo, Španělsko a Rumunsko.</w:t>
      </w:r>
    </w:p>
    <w:p w:rsidR="00567C4A" w:rsidRPr="00074C0F" w:rsidRDefault="00567C4A" w:rsidP="000B7BEE">
      <w:r w:rsidRPr="00074C0F">
        <w:t>Celková produkce zrna obilovin v členských státech EU dosáhla celkového objemu 323,6 mil. t a byla tak o 7,3 % vyšší než v předchozím roce. Největšími producenty obilovin jsou, podobně jako v předchozích letech, Francie, Německo, Polsko, Spojené království a Španělsko, jejichž souhrnná sklizeň v roce 2014 představovala 61,2 % veškeré produkce obilovin v EU. ČR zaujímá svým objemem výr</w:t>
      </w:r>
      <w:r>
        <w:t xml:space="preserve">oby 8,8 mil. t obilného zrna </w:t>
      </w:r>
      <w:r w:rsidRPr="00074C0F">
        <w:t>2,4</w:t>
      </w:r>
      <w:r>
        <w:t xml:space="preserve"> </w:t>
      </w:r>
      <w:r w:rsidRPr="00074C0F">
        <w:t>%</w:t>
      </w:r>
      <w:r>
        <w:t xml:space="preserve"> na celkové produkci obilovin</w:t>
      </w:r>
      <w:r w:rsidRPr="00074C0F">
        <w:t xml:space="preserve"> mezi 28 členskými státy EU opakovaně desáté místo (COCERAL, IV 2015).</w:t>
      </w:r>
    </w:p>
    <w:p w:rsidR="00567C4A" w:rsidRPr="00074C0F" w:rsidRDefault="00567C4A" w:rsidP="000B7BEE">
      <w:r w:rsidRPr="00074C0F">
        <w:t xml:space="preserve">Z celkové sklizňové plochy obilovin v ČR v roce 2014, tj. 1 409,6 tis. ha (téměř shodné s plochou sklizenou v předchozím roce), zaujímaly největší podíl pšenice (835,9 tis. ha, tj. </w:t>
      </w:r>
      <w:r w:rsidRPr="00074C0F">
        <w:lastRenderedPageBreak/>
        <w:t>59,3 % celkové plochy) a ječmen (350,5 tis. ha, 24,9 %). Třetí nejvýznamnější obilovinou byla kukuřice na zrno s výměrou 98,7 tis. ha, podílející se 7,0 % na celkové ploše obilovin. Na sklizňové ploše obilovin se dále podílely minoritní obilné druhy, jmenovitě triticale (48,5 tis. ha, 3,4 %), oves (42,3 tis. ha, 3,0 %), žito (25,1 tis. ha, 1,8 %) a ostatní obiloviny, především proso, čirok a pohanka (v souhrnu pouhých 8,5 tis. ha, tj. 0,6 % celkové plochy obilovin).</w:t>
      </w:r>
    </w:p>
    <w:p w:rsidR="00567C4A" w:rsidRPr="00074C0F" w:rsidRDefault="00567C4A" w:rsidP="000B7BEE">
      <w:r w:rsidRPr="00074C0F">
        <w:t>Produkce obilovin, sklizených v ČR v roce 2014, dosáhla výše 8 779,3 tis. t, což proti předchozímu roku představuje nárůst o 16,9 % a jde tudíž o třetí nejvyšší objem produkce za posledních 25 let (po rekordních sklizních v sez</w:t>
      </w:r>
      <w:r w:rsidR="005227F9">
        <w:t>o</w:t>
      </w:r>
      <w:r w:rsidRPr="00074C0F">
        <w:t>nách 1990 a 2004). Na celkové produkci se nejvyšším objemem podílela pšenice, a to 5 442,3 tis. t (62,0 %), ječmene bylo sklizeno 1 967,0 tis. t (22,4 %) a zrnové kukuřice 832,3 tis. t (9,5 % celkové produkce).</w:t>
      </w:r>
    </w:p>
    <w:p w:rsidR="00567C4A" w:rsidRPr="00074C0F" w:rsidRDefault="00567C4A" w:rsidP="000B7BEE">
      <w:r w:rsidRPr="00074C0F">
        <w:t>Bilance výroby a spotřeby obilovin je dlouhodobě aktivní. Celková nabídka 10 027,4 tis. t pro marketingový rok 2014/15 je o </w:t>
      </w:r>
      <w:r w:rsidR="00BC303A">
        <w:t>10,5</w:t>
      </w:r>
      <w:r w:rsidRPr="00074C0F">
        <w:t> % vyšší než v předchozím roce. Odhaduje se stagnace objemu celkové domácí spotřeby obilovin ve výši 5 417,0 tis. t. Míra soběstačnosti u obilovin celkem v marketingovém roce 2014/15 díky vyšší produkci a stagnaci spotřeby meziročně vzrostla o 21,3 p. b. na vysokých 162,1 %, objem konečných zásob se meziročně, rovněž díky rekordní produkci, výrazně zvýšil o 63,7 % na 1 648,4 tis. t.</w:t>
      </w:r>
    </w:p>
    <w:p w:rsidR="00567C4A" w:rsidRPr="00074C0F" w:rsidRDefault="00567C4A" w:rsidP="000B7BEE">
      <w:r w:rsidRPr="00074C0F">
        <w:t>Objem dovozu obilovin do ČR je za marketingový rok 2014/15 odhadován na 241,0 tis. t, především ze zemí EU a dalších evropských států. Výše vývozu obilovin opět více než desetinásobně převyšuje dovoz do ČR a předpokládaný exportovaný objem dosáhl výše 2 962,0 tis. t, na němž se ze 72,</w:t>
      </w:r>
      <w:r w:rsidR="00BC303A">
        <w:t>9</w:t>
      </w:r>
      <w:r w:rsidRPr="00074C0F">
        <w:t> % podílí pšenice. Cílovými trhy obilovin, vyvážených z ČR, jsou především sousední státy EU a další evropské země, vývoz mimo prostředí EU je možno hodnotit jako zanedbatelný.</w:t>
      </w:r>
    </w:p>
    <w:p w:rsidR="00567C4A" w:rsidRPr="00074C0F" w:rsidRDefault="00567C4A" w:rsidP="000B7BEE">
      <w:r w:rsidRPr="00074C0F">
        <w:t>Vysoce nadprůměrná sklizeň roku 2014 svým objemem zcela zabezpečuje kvantitativní pokrytí domácí potřeby, činící v dlouhodobém průměru 5,5-6,0 mil. t obilovin celkem. Potřeba dovozu obilovin, z velké části určených ke speciálnímu užití, tvoří, podobně jako v předchozích letech, jen zlomek vysoce aktivní bilance zahraničního obchodu ČR.</w:t>
      </w:r>
    </w:p>
    <w:p w:rsidR="00567C4A" w:rsidRPr="00074C0F" w:rsidRDefault="00CE7E18" w:rsidP="000B7BEE">
      <w:r w:rsidRPr="00CE7E18">
        <w:t>V marketingovém roce 2014/15 je intervenční nákup obilovin v EU nastaven v souladu s nařízením Evropského parlamentu a Rady (EU) č. 1308/2013 ve znění pozdějších předpisů, pro intervenční nákup pšenice s množstevním omezením 3 mil. t pro celou EU.</w:t>
      </w:r>
      <w:r>
        <w:t xml:space="preserve"> </w:t>
      </w:r>
      <w:r w:rsidR="00567C4A" w:rsidRPr="00074C0F">
        <w:t>V případě ČR v marketingovém roce 2014/15 není vzhledem k situaci na trhu předpoklad realizace žádného intervenčního nákupu ani prodeje intervenčních zásob.</w:t>
      </w:r>
    </w:p>
    <w:p w:rsidR="00567C4A" w:rsidRPr="002E47CA" w:rsidRDefault="00567C4A" w:rsidP="000B7BEE">
      <w:pPr>
        <w:pStyle w:val="mezera"/>
      </w:pPr>
    </w:p>
    <w:p w:rsidR="00567C4A" w:rsidRPr="002E47CA" w:rsidRDefault="00567C4A" w:rsidP="000B7BEE">
      <w:pPr>
        <w:pStyle w:val="mezera"/>
      </w:pPr>
      <w:r w:rsidRPr="002E47CA">
        <w:rPr>
          <w:noProof/>
          <w:lang w:eastAsia="cs-CZ"/>
        </w:rPr>
        <w:lastRenderedPageBreak/>
        <w:drawing>
          <wp:inline distT="0" distB="0" distL="0" distR="0" wp14:anchorId="146720F3" wp14:editId="5367B3F0">
            <wp:extent cx="5760720" cy="3771138"/>
            <wp:effectExtent l="0" t="0" r="0" b="127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3771138"/>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Ceny zemědělských výrobců hlavních obilovin v ČR v prvním pololetí roku 2014 rostly. Ke zlomu tohoto trendu došlo počátkem léta s vidinou prognózy objemově i kvalitativně příznivé sklizně dominantních druhů obilovin (nejen v ČR, ale u většiny hlavních producentů v EU). S výjimkou stagnující CZV sladovnického ječmene ceny ke konci roku klesaly s prognózou mírného oživení počátkem roku 2015.</w:t>
      </w:r>
    </w:p>
    <w:p w:rsidR="00567C4A" w:rsidRPr="00074C0F" w:rsidRDefault="00567C4A" w:rsidP="000B7BEE">
      <w:pPr>
        <w:pStyle w:val="mezera-svzan"/>
      </w:pPr>
    </w:p>
    <w:p w:rsidR="00567C4A" w:rsidRDefault="00567C4A" w:rsidP="000B7BEE">
      <w:pPr>
        <w:pStyle w:val="mezera-svzan"/>
      </w:pPr>
      <w:r w:rsidRPr="00127E4E">
        <w:rPr>
          <w:noProof/>
          <w:lang w:eastAsia="cs-CZ"/>
        </w:rPr>
        <w:drawing>
          <wp:inline distT="0" distB="0" distL="0" distR="0" wp14:anchorId="4C6ED7BA" wp14:editId="5356D6BB">
            <wp:extent cx="5760720" cy="3552611"/>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60720" cy="3552611"/>
                    </a:xfrm>
                    <a:prstGeom prst="rect">
                      <a:avLst/>
                    </a:prstGeom>
                    <a:noFill/>
                    <a:ln>
                      <a:noFill/>
                    </a:ln>
                  </pic:spPr>
                </pic:pic>
              </a:graphicData>
            </a:graphic>
          </wp:inline>
        </w:drawing>
      </w:r>
    </w:p>
    <w:p w:rsidR="00567C4A" w:rsidRPr="00074C0F" w:rsidRDefault="00567C4A" w:rsidP="000B7BEE">
      <w:pPr>
        <w:pStyle w:val="TabPramZprac"/>
      </w:pPr>
      <w:r w:rsidRPr="00074C0F">
        <w:t>Pramen:</w:t>
      </w:r>
      <w:r w:rsidRPr="00074C0F">
        <w:tab/>
        <w:t>ČSÚ</w:t>
      </w:r>
    </w:p>
    <w:p w:rsidR="00567C4A" w:rsidRPr="00074C0F" w:rsidRDefault="00567C4A" w:rsidP="000B7BEE">
      <w:pPr>
        <w:pStyle w:val="TabPramZprac"/>
      </w:pPr>
      <w:r w:rsidRPr="00074C0F">
        <w:t>Zpracoval:</w:t>
      </w:r>
      <w:r w:rsidRPr="00074C0F">
        <w:tab/>
        <w:t>P. Novotný (ÚZEI)</w:t>
      </w:r>
    </w:p>
    <w:p w:rsidR="00567C4A" w:rsidRPr="00074C0F" w:rsidRDefault="00567C4A" w:rsidP="000B7BEE">
      <w:pPr>
        <w:pStyle w:val="Norm-Bold"/>
      </w:pPr>
      <w:r w:rsidRPr="00074C0F">
        <w:t>Pšenice</w:t>
      </w:r>
    </w:p>
    <w:p w:rsidR="00567C4A" w:rsidRPr="00074C0F" w:rsidRDefault="00567C4A" w:rsidP="000B7BEE">
      <w:r w:rsidRPr="00074C0F">
        <w:t>V marketingovém roce 2014/15 byla sklizňová plocha pšenice v ČR téměř srovnatelná s předchozím rokem, a to 835,9 tis. ha (meziročně o 0,8 % větší), z níž ozimé odrůdy zaujímaly 790,7 tis. ha (tj. 94,6 % celkové výměry pšenice) a jarní odrůdy pouze 45,3 tis. ha. Díky vysokému průměrnému výnosu 6,51 t/ha (proti předchozímu roku vyššímu o 14,8 %) produkce pšeničného zrna meziročně vzrostla o 15,8 % na 5 442,3 tis. t.</w:t>
      </w:r>
    </w:p>
    <w:p w:rsidR="00567C4A" w:rsidRPr="00074C0F" w:rsidRDefault="00567C4A" w:rsidP="000B7BEE">
      <w:r w:rsidRPr="00074C0F">
        <w:t>Kvalita pšeničného zrna, sklizeného v sez</w:t>
      </w:r>
      <w:r w:rsidR="005227F9">
        <w:t>o</w:t>
      </w:r>
      <w:r w:rsidRPr="00074C0F">
        <w:t>ně 2014, ani přes značnou nevyrovnanost nepředstavovala výrazný problém se zajištěním dostatku zrna pšenice v jakosti, potřebné pro potravinářské zpracování. Charakteristickými rysy pšeničného zrna ze sklizně roku 2014 byly celkově průměrné hodnoty v parametrech objemové hmotnosti a čísla poklesu, určité problémy však nastaly v obsahu a kvalitě bílkovin, především v případě zrna sklizeného během druhé poloviny žní.</w:t>
      </w:r>
    </w:p>
    <w:p w:rsidR="00567C4A" w:rsidRPr="00074C0F" w:rsidRDefault="00567C4A" w:rsidP="000B7BEE">
      <w:r w:rsidRPr="00074C0F">
        <w:t>Počáteční zásoby pšenice pro marketingový rok 2014/15 proti předchozímu roku opět výrazně poklesly (o 38,4 %), a to na 344,1 tis. t včetně státních hmotných rezerv. Dovoz pšenice poklesl a je odhadován na 41,0 tis. t. Celková nabídka pšenice díky výrazně vyššímu objemu produkce vzrostla na 5 827,4 tis. t, tj. o 10,0 %. Objem vývozu je odhadován na relativně vysokou hodnotu 2 160,0 tis. t, meziročně o 3,7 % vyšší.</w:t>
      </w:r>
    </w:p>
    <w:p w:rsidR="00567C4A" w:rsidRPr="00074C0F" w:rsidRDefault="00567C4A" w:rsidP="000B7BEE">
      <w:r w:rsidRPr="00074C0F">
        <w:t xml:space="preserve">Celkový objem spotřeby pšenice v marketingovém roce 2014/15 se odhaduje ve výši 3 040,0 tis. t, z toho pro potravinářské účely 1 250,0 tis. t, spotřeba na osivo pak 190,0 tis. t. Pšenice v ČR zůstává stále nejdůležitější krmnou obilovinou a v marketingovém roce 2014/15 </w:t>
      </w:r>
      <w:r w:rsidRPr="00074C0F">
        <w:lastRenderedPageBreak/>
        <w:t>se předpokládá její spotřeba na krmné účely ve výši 1 450 tis. t (ve srovnání s předchozím rokem o 7,4 % vyšší). Díky vysokému objemu produkce se předpokládá výrazné zvýšení konečných zásob pšenice na 627,4 tis. t, tj. o 82,3 %. Odhadovaná míra soběstačnosti vzrostla meziročně o 15,1 p. b. na vysokou hodnotu 179,0 %.</w:t>
      </w:r>
    </w:p>
    <w:p w:rsidR="00567C4A" w:rsidRPr="002E47CA" w:rsidRDefault="00567C4A" w:rsidP="000B7BEE">
      <w:pPr>
        <w:pStyle w:val="mezera"/>
      </w:pPr>
    </w:p>
    <w:p w:rsidR="00567C4A" w:rsidRPr="002E47CA" w:rsidRDefault="00225381" w:rsidP="000B7BEE">
      <w:pPr>
        <w:pStyle w:val="mezera"/>
      </w:pPr>
      <w:r w:rsidRPr="00225381">
        <w:rPr>
          <w:noProof/>
          <w:lang w:eastAsia="cs-CZ"/>
        </w:rPr>
        <w:drawing>
          <wp:inline distT="0" distB="0" distL="0" distR="0" wp14:anchorId="4578ADCF" wp14:editId="41B0AAED">
            <wp:extent cx="5760720" cy="5661768"/>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5661768"/>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Ceny zemědělských výrobců pšenice v ČR v roce 2014, po výrazném pádu v předchozím roce, pozvolna rostly, a ročních kulminací dosáhly na hodnotách 4 789 Kč/t u potravinářské pšenice a 4 666 Kč/t u</w:t>
      </w:r>
      <w:r>
        <w:t xml:space="preserve"> </w:t>
      </w:r>
      <w:r w:rsidRPr="00074C0F">
        <w:t>pšenice krmné kvality. Následně došlo k poklesu CZV a ke konci roku k jejich stagnaci, kdy průměrná výše činila koncem roku 4 163 Kč/t u potravinářské pšenice a 3 606 Kč/t u</w:t>
      </w:r>
      <w:r>
        <w:t xml:space="preserve"> </w:t>
      </w:r>
      <w:r w:rsidRPr="00074C0F">
        <w:t>pšenice krmné. Průměrné roční CZV meziročně poklesly, a to o 15,2 % na 4 483 Kč/t u potravinářské pšenice a o 16,0 % na 4 119 Kč/t u krmné pšenice.</w:t>
      </w:r>
    </w:p>
    <w:p w:rsidR="00567C4A" w:rsidRPr="00074C0F" w:rsidRDefault="00567C4A" w:rsidP="000B7BEE">
      <w:r w:rsidRPr="00074C0F">
        <w:lastRenderedPageBreak/>
        <w:t>I přes nižší objem nákladů poklesla v důsledku propadu realizačních cen v marketingovém roce 2014/15 míra nákladové rentability potravinářské pšenice, dosahuje však opět vysoké hodnoty 39,7 %. Míra souhrnné rentability (včetně započtených přímých plateb) meziročně rovněž poklesla (o 16,1 p. b.) na hodnotu 69,3, %, stále však patří mezi hlavními plodinami na orné půdě k nejvyšším.</w:t>
      </w:r>
    </w:p>
    <w:p w:rsidR="00567C4A" w:rsidRPr="00074C0F" w:rsidRDefault="00567C4A" w:rsidP="000B7BEE">
      <w:pPr>
        <w:pStyle w:val="Norm-Bold"/>
      </w:pPr>
      <w:r w:rsidRPr="00074C0F">
        <w:t>Ječmen</w:t>
      </w:r>
    </w:p>
    <w:p w:rsidR="00567C4A" w:rsidRPr="00074C0F" w:rsidRDefault="00567C4A" w:rsidP="000B7BEE">
      <w:r w:rsidRPr="00074C0F">
        <w:t>V marketingovém roce 2014/15 činila sklizňová plocha ječmene 350,5 tis. ha a byla tak srovnatelná s rozlohou předchozího roku, která byla historicky nejmenší. Ozimé odrůdy zaujímaly 102,9 tis. ha (29,4 % celkové výměry ječmene), jarní odrůdy pak 247,6 tis. ha (70,6 %). Průměrný celkový výnos ječmene dosáhl 5,61 t/ha a byl meziročně vyšší o 22,8 %, a proto bylo i při srovnatelné sklizňové ploše dosaženo vyšší produkce zrna než v předchozím roce, a to 1 967,0 tis. t (meziroční nárůst o 23,4 %).</w:t>
      </w:r>
    </w:p>
    <w:p w:rsidR="00567C4A" w:rsidRPr="00074C0F" w:rsidRDefault="00567C4A" w:rsidP="000B7BEE">
      <w:r w:rsidRPr="00074C0F">
        <w:t>Hodnocení kvality sladovnického ječmene ze sklizně 2014 je výsledkem komplexního pohledu na řadu sledovaných ukazatelů. Vzhledem k průměrné sklizňové vlhkosti lze předpokládat určitou nestabilitu v hodnocených kvalitativních parametrech, avšak při relativně nízkém objemu dovozu kvalitnějších partií zrna je zajištěno plné pokrytí potřeb tuzemského sladovnického průmyslu.</w:t>
      </w:r>
    </w:p>
    <w:p w:rsidR="00567C4A" w:rsidRPr="00074C0F" w:rsidRDefault="00567C4A" w:rsidP="000B7BEE">
      <w:r w:rsidRPr="00074C0F">
        <w:t>Počáteční zásoba marketingového roku 2014/15 proti předchozímu roku poklesla, a to na 160,1 tis. t, tj. o 17,9 %. Dovoz ječmene je odhadován jako srovnatelný s předchozím rokem ve výši 36,0 tis. t, vývoz na 275,0 tis. t. Celková nabídka ječmene je odhadována na 2 163,1</w:t>
      </w:r>
      <w:r>
        <w:t xml:space="preserve"> </w:t>
      </w:r>
      <w:r w:rsidRPr="00074C0F">
        <w:t>tis. t, meziročně o 18,5 % vyšší.</w:t>
      </w:r>
    </w:p>
    <w:p w:rsidR="00567C4A" w:rsidRDefault="00567C4A" w:rsidP="000B7BEE">
      <w:r w:rsidRPr="00074C0F">
        <w:t>Očekává se mírný pokles domácí spotřeby ječmene proti předchozímu roku na 1 425,0 tis. t, především v důsledku nižší krmné spotřeby. Míra soběstačnosti ČR za marketingový rok 2014/15 se u ječmene, především díky vyšší produkci, zvýšila o 28,1 p. b. na 138,0 %.</w:t>
      </w:r>
    </w:p>
    <w:p w:rsidR="00567C4A" w:rsidRPr="002E47CA" w:rsidRDefault="00567C4A" w:rsidP="000B7BEE">
      <w:pPr>
        <w:pStyle w:val="mezera"/>
      </w:pPr>
    </w:p>
    <w:p w:rsidR="00567C4A" w:rsidRPr="002E47CA" w:rsidRDefault="00567C4A" w:rsidP="000B7BEE">
      <w:pPr>
        <w:pStyle w:val="mezera"/>
      </w:pPr>
      <w:r w:rsidRPr="002E47CA">
        <w:rPr>
          <w:noProof/>
          <w:lang w:eastAsia="cs-CZ"/>
        </w:rPr>
        <w:lastRenderedPageBreak/>
        <w:drawing>
          <wp:inline distT="0" distB="0" distL="0" distR="0" wp14:anchorId="319A1FF0" wp14:editId="00C80BDD">
            <wp:extent cx="5760720" cy="5444776"/>
            <wp:effectExtent l="0" t="0" r="0" b="381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5444776"/>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Průměrné ceny zemědělských výrobců sladovnického ječmene v ČR dlouhodobě stagnovaly a ke konci roku 2014 lze jejich vývoj hodnotit jako mírný pokles (5 243 Kč/t v lednu, v prosinci pak 5 001 Kč/t). Průměrná roční CZV sladovnického ječmene činila 5 164 Kč/t s výhledem růstu poptávky po této komoditě, průměrná roční CZV ječmene krmné kvality meziročně poklesla o 11,7 %, a to na 3 959 Kč/t.</w:t>
      </w:r>
    </w:p>
    <w:p w:rsidR="00567C4A" w:rsidRPr="00074C0F" w:rsidRDefault="00567C4A" w:rsidP="000B7BEE">
      <w:r w:rsidRPr="00074C0F">
        <w:t>Ječmen, především jarní, určený ke sladovnickému zpracování, patří k polním plodinám s nejvyšší rentabilitou. Díky relativně vysokým realizačním cenám a meziročnímu poklesu výrobních nákladů dosáhla nákladová rentabilita u sladovnického ječmene 58,2 %, míra souhrnné rentability pak dosáhla podobné výše jako v předchozím roce, a to 92,0 % (proti roku 2013 jde o pokles o 2,</w:t>
      </w:r>
      <w:r w:rsidR="00BC303A">
        <w:t>8</w:t>
      </w:r>
      <w:r w:rsidRPr="00074C0F">
        <w:t> p. b.).</w:t>
      </w:r>
    </w:p>
    <w:p w:rsidR="00567C4A" w:rsidRPr="00074C0F" w:rsidRDefault="00567C4A" w:rsidP="000B7BEE">
      <w:pPr>
        <w:pStyle w:val="Norm-Bold"/>
      </w:pPr>
      <w:r w:rsidRPr="00074C0F">
        <w:t>Kukuřice</w:t>
      </w:r>
    </w:p>
    <w:p w:rsidR="00567C4A" w:rsidRPr="00074C0F" w:rsidRDefault="00567C4A" w:rsidP="000B7BEE">
      <w:r w:rsidRPr="00074C0F">
        <w:t xml:space="preserve">Výměra sklizňové plochy kukuřice na zrno v ČR v roce 2014 meziročně vzrostla o 1,9 % na 98,7 tis. ha. Díky vysokému průměrnému výnosu 8,43 t/ha (proti roku 2013 </w:t>
      </w:r>
      <w:r w:rsidRPr="00074C0F">
        <w:lastRenderedPageBreak/>
        <w:t>vyššímu o 20,9 %) zaznamenala zrnová kukuřice výrazný nárůst objemu produkce, jež dosáhla 832,2 tis. t, což představuje historicky třetí nejvyšší úroveň (po sklizních v roce 2011 a 2012), meziročně vyšší o 23,2 %.</w:t>
      </w:r>
    </w:p>
    <w:p w:rsidR="00567C4A" w:rsidRPr="00074C0F" w:rsidRDefault="00567C4A" w:rsidP="000B7BEE">
      <w:r w:rsidRPr="00074C0F">
        <w:t xml:space="preserve">V roce 2014 došlo v ČR opět k výraznému poklesu plochy, oseté geneticky modifikovanou kukuřicí (tzv. </w:t>
      </w:r>
      <w:proofErr w:type="spellStart"/>
      <w:r w:rsidRPr="00074C0F">
        <w:t>Bt</w:t>
      </w:r>
      <w:proofErr w:type="spellEnd"/>
      <w:r w:rsidRPr="00074C0F">
        <w:t> kukuřice), a to o </w:t>
      </w:r>
      <w:r w:rsidR="00BC303A">
        <w:t>68,5</w:t>
      </w:r>
      <w:r w:rsidRPr="00074C0F">
        <w:t> % na 1 7</w:t>
      </w:r>
      <w:r w:rsidR="00BC303A">
        <w:t>54</w:t>
      </w:r>
      <w:r w:rsidRPr="00074C0F">
        <w:t xml:space="preserve"> ha. Důvodem malého rozšíření GM kukuřice v ČR je problematický odbyt, nutnost oddělovat ji od běžné produkce a označovat ji jako GMO. </w:t>
      </w:r>
      <w:proofErr w:type="spellStart"/>
      <w:r w:rsidRPr="00074C0F">
        <w:t>Bt</w:t>
      </w:r>
      <w:proofErr w:type="spellEnd"/>
      <w:r w:rsidRPr="00074C0F">
        <w:t> kukuřice nachází uplatnění jako krmná a technická surovina a v ČR není užívána pro potravinářské účely.</w:t>
      </w:r>
    </w:p>
    <w:p w:rsidR="00567C4A" w:rsidRPr="00074C0F" w:rsidRDefault="00567C4A" w:rsidP="000B7BEE">
      <w:r w:rsidRPr="00074C0F">
        <w:t>Celková nabídka kukuřičného zrna v marketingovém roce 2014/15 vzrostla na 1 383,2 tis. t, (meziročně o 9,3 %). Objem celkové domácí spotřeby je odhadován na 527,0 tis. t díky vyšší potravinářské spotřebě a vyšší spotřebě osiva. Míra soběstačnosti je u zrnové kukuřice opět předpokládána velice vysoká na úrovni 157,9 %, což představuje proti roku 2013 výrazný nárůst o 33,5 p. b.</w:t>
      </w:r>
    </w:p>
    <w:p w:rsidR="00567C4A" w:rsidRDefault="00567C4A" w:rsidP="000B7BEE">
      <w:r w:rsidRPr="00074C0F">
        <w:t>Rozšiřování a intenzifikace výroby kukuřice na zrno v několika minulých letech posunuly ČR z role dovozce této komodity na pozici vývozce. Při meziročně srovnatelné výši dovozu dosahuje očekávaný vývoz z ČR vysoké hodnoty 431,0 tis. t. Předpoklad objemu konečných zásob v marketingovém roce 2014/15 činí 425,2 tis. t, podobně jako v minulém roce.</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157BD050" wp14:editId="49F35B4A">
            <wp:extent cx="5760720" cy="451800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4518005"/>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Ceny zemědělských výrobců kukuřičného zrna krmné kvality během 1. pololetí roku 2014 rostly, přičemž ročního maxima 4 665</w:t>
      </w:r>
      <w:r>
        <w:t xml:space="preserve"> </w:t>
      </w:r>
      <w:r w:rsidRPr="00074C0F">
        <w:t>Kč/t dosáhly v červnu, následně došlo k jejich výraznému poklesu a CZV koncem roku propadla na 3 449 Kč/t. Průměrná CZV zrna kukuřice krmné kvality za rok 2014 činila 4 253 Kč/t, což představuje meziroční pokles o 16,0 %.</w:t>
      </w:r>
    </w:p>
    <w:p w:rsidR="00567C4A" w:rsidRPr="00074C0F" w:rsidRDefault="00567C4A" w:rsidP="000B7BEE">
      <w:r w:rsidRPr="00074C0F">
        <w:t>Přes meziroční značný pokles výše výrobních nákladů ani výrazně vyšší výnos nezvýšil rentabilitu produkce kukuřičného zrna v ČR, byť je stále ve srovnání s většinou ostatních plodin velmi vysoká. Především v důsledku poklesu cen zůstala míra nákladové i souhrnné rentability téměř srovnatelná s hodnotami předchozího roku. Nákladová rentabilita u krmné kukuřice činila 34,6 %, míra souhrnné rentability pak 57,8 %.</w:t>
      </w:r>
    </w:p>
    <w:p w:rsidR="00567C4A" w:rsidRPr="00074C0F" w:rsidRDefault="00567C4A" w:rsidP="000B7BEE">
      <w:pPr>
        <w:pStyle w:val="Norm-Bold"/>
      </w:pPr>
      <w:r w:rsidRPr="00074C0F">
        <w:t>Žito</w:t>
      </w:r>
    </w:p>
    <w:p w:rsidR="00567C4A" w:rsidRPr="00074C0F" w:rsidRDefault="00567C4A" w:rsidP="000B7BEE">
      <w:r w:rsidRPr="00074C0F">
        <w:t>Sklizňová plocha žita v roce 2014 výrazně poklesla, a to o třetinu, na pouhých 25,1 tis. ha. Producenti této tradiční obiloviny dosáhli průměrného výnosu 5,13 t/ha a produkce žitného zrna činila 129,1 tis. t, čímž meziročně poklesla o 26</w:t>
      </w:r>
      <w:r w:rsidR="00BC303A">
        <w:t>,8</w:t>
      </w:r>
      <w:r w:rsidRPr="00074C0F">
        <w:t> %. Kvalitu žita ze sklizně 2014 lze podle výsledků monitoringu kvality ÚKZÚZ hodnotit v dlouhodobé časové řadě jako podprůměrnou – v hodnocených parametrech vyhovělo pouze 43 % vzorků.</w:t>
      </w:r>
    </w:p>
    <w:p w:rsidR="00567C4A" w:rsidRPr="00074C0F" w:rsidRDefault="00567C4A" w:rsidP="000B7BEE">
      <w:r w:rsidRPr="00074C0F">
        <w:t>Počáteční zásoby žita v marketingovém roce 2014/15 byly meziročně mnohem nižší, a to o 57,3 % ve výši 20,7 tis. t. Celková nabídka žitného zrna rovněž poklesla, a to na 179,8 tis. t (o </w:t>
      </w:r>
      <w:r w:rsidR="00310602">
        <w:t>27,0</w:t>
      </w:r>
      <w:r w:rsidRPr="00074C0F">
        <w:t> %). Dovoz je předpokládán ve výši 30,0 tis. t. Odhadovaná tuzemská spotřeba žita poklesla o 22,7 % na 119,0 tis. t, především v důsledku poklesu potravinářského užití (o 21,4 %). Objem vývozu žita je předpokládán ve výši 30,0 tis. t. Celkové užití žita meziročně pokleslo o třetinu, na 149,0 tis. t. Odhadovaná míra soběstačnosti je u žita mezi hlavními obilovinami, pěstovanými v ČR, nejnižší, a v roce 2014/15 činila 108,5 % proti 114,4 % v předchozím roce (meziroční pokles o 5,9 p. b.).</w:t>
      </w:r>
    </w:p>
    <w:p w:rsidR="00567C4A" w:rsidRPr="00074C0F" w:rsidRDefault="00567C4A" w:rsidP="000B7BEE">
      <w:r w:rsidRPr="00074C0F">
        <w:t>Podobně jako u všech hlavních obilovin během 1. pololetí roku 2014 měsíční CZV potravinářského žita v ČR rostla. Z ročního maxima 4 214 Kč/t v červenci pak do konce roku poklesla na 3 818 Kč/t. Průměrná roční CZV žita za rok 2014 poklesla z 4 621 Kč/t na 3 931 Kč/t, meziročně o 14,9 %.</w:t>
      </w:r>
    </w:p>
    <w:p w:rsidR="00567C4A" w:rsidRPr="00074C0F" w:rsidRDefault="00567C4A" w:rsidP="000B7BEE">
      <w:pPr>
        <w:pStyle w:val="Norm-Bold"/>
      </w:pPr>
      <w:r w:rsidRPr="00074C0F">
        <w:t>Oves</w:t>
      </w:r>
    </w:p>
    <w:p w:rsidR="00567C4A" w:rsidRPr="00074C0F" w:rsidRDefault="00567C4A" w:rsidP="000B7BEE">
      <w:r w:rsidRPr="00074C0F">
        <w:t>Sklizňová plocha ovsa v marketingovém roce 2014/15 opět meziročně poklesla, a to o 2,9 % na historicky nejmenší rozlohu 42,3 tis. ha. Produkce ovsa však při vyšším průměrném výnosu 3,60 t/ha ve srovnání s předchozím rokem vzrostla o 9,4 % na 152,2 tis. t.</w:t>
      </w:r>
    </w:p>
    <w:p w:rsidR="00567C4A" w:rsidRPr="00074C0F" w:rsidRDefault="00567C4A" w:rsidP="000B7BEE">
      <w:r w:rsidRPr="00074C0F">
        <w:t>Při předpokládané absenci dovozu činila celková nabídka 154,5 tis</w:t>
      </w:r>
      <w:r w:rsidR="00310602">
        <w:t>. t a byla meziročně nižší o 4,6</w:t>
      </w:r>
      <w:r w:rsidRPr="00074C0F">
        <w:t xml:space="preserve"> %. V marketingovém roce 2014/15 se očekává pokles objemu vývozu ovsa, a to na </w:t>
      </w:r>
      <w:r w:rsidRPr="00074C0F">
        <w:lastRenderedPageBreak/>
        <w:t>33,0 tis. t. Při poklesu odhadované domácí spotřeby na 103,0 tis. t se předpokládá celkové tuzemské užití ovsa ve výši 136,0 tis. t, proti předchozímu roku o 14,8 % nižší.</w:t>
      </w:r>
    </w:p>
    <w:p w:rsidR="00567C4A" w:rsidRPr="00074C0F" w:rsidRDefault="00567C4A" w:rsidP="000B7BEE">
      <w:r w:rsidRPr="00074C0F">
        <w:t>Průměrné ceny zemědělských výrobců krmného ovsa v ČR během roku 2014 klesaly a v září dosáhly dlouhodobého minima 3 168 Kč/t, následovaného růstem, kdy prosincová hodnota činila 3 391 Kč/t s perspektivou dalšího zvýšení cen. Průměrná roční CZV krmného ovsa činila 3 590 Kč/t (tj. meziroční pokles o 13,0 %), průměrná CZV ovsa potravinářské kvality v roce 2014, i přes výrazný meziroční pokles, dosahovala mezi všemi hlavními obilovinami nejvyšší úrovně 6 617 Kč/t (přičemž dosáhla ročního maxima 7 160</w:t>
      </w:r>
      <w:r>
        <w:t xml:space="preserve"> </w:t>
      </w:r>
      <w:r w:rsidRPr="00074C0F">
        <w:t>Kč/t v březnu 2014).</w:t>
      </w:r>
    </w:p>
    <w:p w:rsidR="00567C4A" w:rsidRPr="00074C0F" w:rsidRDefault="00567C4A" w:rsidP="000B7BEE">
      <w:pPr>
        <w:pStyle w:val="Norm-Bold"/>
      </w:pPr>
      <w:r w:rsidRPr="00074C0F">
        <w:t>Triticale</w:t>
      </w:r>
    </w:p>
    <w:p w:rsidR="00567C4A" w:rsidRPr="00074C0F" w:rsidRDefault="00567C4A" w:rsidP="000B7BEE">
      <w:r w:rsidRPr="00074C0F">
        <w:t>Sklizeň triticale v roce 2014 činila 243,9 tis. t a byla ve srovnání s předchozím rokem o 13,9 % vyšší. Na ploše 48,5 tis. ha (meziročně o 3,6 % větší) bylo dosaženo průměrného výnosu 5,03 t/ha.</w:t>
      </w:r>
    </w:p>
    <w:p w:rsidR="00567C4A" w:rsidRPr="00074C0F" w:rsidRDefault="00567C4A" w:rsidP="000B7BEE">
      <w:r w:rsidRPr="00074C0F">
        <w:t>V marketingovém roce 2014/15 se předpokládá zvýšení domácí spotřeby triticale na objem 194,0 tis. t (na krmné i technické účely), a tím i vyšší celkové užití v objemu 219,0 tis. t (meziročně vyšší o 6,3 %). Při dovozu max. 1 tis. t se výše vývozu v roce 2014/15 očekává 25,0 tis. t.</w:t>
      </w:r>
    </w:p>
    <w:p w:rsidR="00567C4A" w:rsidRPr="00074C0F" w:rsidRDefault="00567C4A" w:rsidP="000B7BEE">
      <w:r w:rsidRPr="00074C0F">
        <w:t>Od roku 2013 sleduje ČSÚ vedle hlavních obilovin i ceny triticale. Průměrná CZV této komodity se meziročně téměř nezměnila, dosahujíc průměrné hodnoty 3 874 Kč/t.</w:t>
      </w:r>
    </w:p>
    <w:p w:rsidR="00567C4A" w:rsidRPr="00074C0F" w:rsidRDefault="00567C4A" w:rsidP="000B7BEE">
      <w:pPr>
        <w:pStyle w:val="Norm-Bold"/>
      </w:pPr>
      <w:r w:rsidRPr="00074C0F">
        <w:t>Ostatní obiloviny</w:t>
      </w:r>
    </w:p>
    <w:p w:rsidR="00567C4A" w:rsidRPr="00074C0F" w:rsidRDefault="00567C4A" w:rsidP="000B7BEE">
      <w:r w:rsidRPr="00074C0F">
        <w:t>Proso, pohanka, čirok, chrastice (lesknice) a další minoritní druhy obilovin se pěstovaly v ČR v marketingovém roce 2014/15 na ploše 8,5 tis. ha, meziročně o 15,0 % menší. Sklizeň zrna těchto speciálních plodin v roce 2014 činila v důsledku úbytku osevních ploch 12,5 tis. t (meziroční pokles o 5,3 %) při průměrném výnosu 1,47 t/ha.</w:t>
      </w:r>
    </w:p>
    <w:p w:rsidR="00567C4A" w:rsidRDefault="00567C4A" w:rsidP="000B7BEE">
      <w:r w:rsidRPr="00074C0F">
        <w:t>Celkové užití ostatních obilovin je odhadováno na 17,0 tis. t, z toho domácí spotřeba činí 9,0 tis. t. Nejvýznamnějšími exportními komoditami této skupiny obilovin jsou proso a pohanka. Zahraniční obchod je dlouhodobě poměrně stabilní, objem vývozu za rok 2014 je odhadován na 8,0 tis. t, dovoz pak (především zrna potravinářské kvality) na 3,0 tis. t.</w:t>
      </w:r>
    </w:p>
    <w:p w:rsidR="00DB11C1" w:rsidRPr="000D25EC" w:rsidRDefault="00DB11C1" w:rsidP="00AB226C">
      <w:pPr>
        <w:pStyle w:val="Nadpis3"/>
      </w:pPr>
      <w:bookmarkStart w:id="201" w:name="_Toc424307069"/>
      <w:bookmarkStart w:id="202" w:name="_Toc356811484"/>
      <w:bookmarkStart w:id="203" w:name="_Toc296443145"/>
      <w:r w:rsidRPr="00CB5270">
        <w:t>8.1.2</w:t>
      </w:r>
      <w:r w:rsidRPr="00CB5270">
        <w:tab/>
        <w:t>Cukr</w:t>
      </w:r>
      <w:r w:rsidRPr="000D25EC">
        <w:t>ová řepa</w:t>
      </w:r>
      <w:r>
        <w:t xml:space="preserve"> </w:t>
      </w:r>
      <w:r w:rsidRPr="000D25EC">
        <w:t>–</w:t>
      </w:r>
      <w:r>
        <w:t xml:space="preserve"> </w:t>
      </w:r>
      <w:r w:rsidRPr="000D25EC">
        <w:t>cukr</w:t>
      </w:r>
      <w:bookmarkEnd w:id="201"/>
    </w:p>
    <w:p w:rsidR="00DB11C1" w:rsidRPr="000D25EC" w:rsidRDefault="00DB11C1" w:rsidP="00AB226C">
      <w:r w:rsidRPr="000D25EC">
        <w:t>Odhad světové výroby surového cukru pro hospodářský rok 2014/15 podle F.</w:t>
      </w:r>
      <w:r>
        <w:t xml:space="preserve"> </w:t>
      </w:r>
      <w:r w:rsidRPr="000D25EC">
        <w:t>O.</w:t>
      </w:r>
      <w:r>
        <w:t xml:space="preserve"> </w:t>
      </w:r>
      <w:proofErr w:type="spellStart"/>
      <w:r w:rsidRPr="000D25EC">
        <w:t>Licht</w:t>
      </w:r>
      <w:proofErr w:type="spellEnd"/>
      <w:r w:rsidRPr="000D25EC">
        <w:t xml:space="preserve"> činí 179,7</w:t>
      </w:r>
      <w:r>
        <w:t> mil. </w:t>
      </w:r>
      <w:r w:rsidRPr="000D25EC">
        <w:t>t (165,1</w:t>
      </w:r>
      <w:r>
        <w:t> mil. </w:t>
      </w:r>
      <w:r w:rsidRPr="000D25EC">
        <w:t>t v</w:t>
      </w:r>
      <w:r>
        <w:t xml:space="preserve"> </w:t>
      </w:r>
      <w:r w:rsidRPr="000D25EC">
        <w:t>přepočtu na bílý cukr), tj.</w:t>
      </w:r>
      <w:r>
        <w:t xml:space="preserve"> </w:t>
      </w:r>
      <w:r w:rsidRPr="000D25EC">
        <w:t>0,7% pokles proti předchozímu období. Předpokládaná spotřeba ve světě se očekává ve výši 179,8</w:t>
      </w:r>
      <w:r>
        <w:t> mil. </w:t>
      </w:r>
      <w:r w:rsidRPr="000D25EC">
        <w:t>t surového cukru (165,2</w:t>
      </w:r>
      <w:r>
        <w:t> mil. </w:t>
      </w:r>
      <w:r w:rsidRPr="000D25EC">
        <w:t>t v</w:t>
      </w:r>
      <w:r>
        <w:t> </w:t>
      </w:r>
      <w:r w:rsidRPr="000D25EC">
        <w:t>přepočtu na bílý cukr) a</w:t>
      </w:r>
      <w:r>
        <w:t xml:space="preserve"> </w:t>
      </w:r>
      <w:r w:rsidRPr="000D25EC">
        <w:t>výše deficitu surového cukru 1,1</w:t>
      </w:r>
      <w:r>
        <w:t> mil. </w:t>
      </w:r>
      <w:r w:rsidRPr="000D25EC">
        <w:t>t (1,0</w:t>
      </w:r>
      <w:r>
        <w:t> mil. </w:t>
      </w:r>
      <w:r w:rsidRPr="000D25EC">
        <w:t>t v</w:t>
      </w:r>
      <w:r>
        <w:t> </w:t>
      </w:r>
      <w:r w:rsidRPr="000D25EC">
        <w:t>přepočtu na bílý cukr). Spotřeba cukru ve světě se meziročně mírně zvyšuje (průměrně asi o</w:t>
      </w:r>
      <w:r>
        <w:t> </w:t>
      </w:r>
      <w:r w:rsidRPr="000D25EC">
        <w:t>2–2,5</w:t>
      </w:r>
      <w:r>
        <w:t xml:space="preserve"> </w:t>
      </w:r>
      <w:r w:rsidRPr="000D25EC">
        <w:t>% ročně).</w:t>
      </w:r>
    </w:p>
    <w:p w:rsidR="00DB11C1" w:rsidRPr="000D25EC" w:rsidRDefault="00DB11C1" w:rsidP="00AB226C">
      <w:r w:rsidRPr="000D25EC">
        <w:lastRenderedPageBreak/>
        <w:t>Vedoucí pozice Brazílie jako hlavního výrobce cukru a</w:t>
      </w:r>
      <w:r>
        <w:t xml:space="preserve"> </w:t>
      </w:r>
      <w:r w:rsidRPr="000D25EC">
        <w:t>kvasného lihu zůstala i</w:t>
      </w:r>
      <w:r>
        <w:t xml:space="preserve"> </w:t>
      </w:r>
      <w:r w:rsidRPr="000D25EC">
        <w:t>v</w:t>
      </w:r>
      <w:r>
        <w:t xml:space="preserve"> </w:t>
      </w:r>
      <w:r w:rsidRPr="000D25EC">
        <w:t>roce 2014/15, bylo vyrobeno 37,3</w:t>
      </w:r>
      <w:r>
        <w:t> mil. </w:t>
      </w:r>
      <w:r w:rsidRPr="000D25EC">
        <w:t>t surového cukru (v</w:t>
      </w:r>
      <w:r>
        <w:t xml:space="preserve"> </w:t>
      </w:r>
      <w:r w:rsidRPr="000D25EC">
        <w:t>přepočtu na bílý cukr 34,3</w:t>
      </w:r>
      <w:r>
        <w:t> mil. </w:t>
      </w:r>
      <w:r w:rsidRPr="000D25EC">
        <w:t>t). Celkově se výroba cukru zemí Jižní Ameriky snížila o</w:t>
      </w:r>
      <w:r>
        <w:t xml:space="preserve"> </w:t>
      </w:r>
      <w:r w:rsidRPr="000D25EC">
        <w:t>4,2</w:t>
      </w:r>
      <w:r>
        <w:t xml:space="preserve"> </w:t>
      </w:r>
      <w:r w:rsidRPr="000D25EC">
        <w:t>% na 45,3</w:t>
      </w:r>
      <w:r>
        <w:t> mil. </w:t>
      </w:r>
      <w:r w:rsidRPr="000D25EC">
        <w:t>t surového cukru (v</w:t>
      </w:r>
      <w:r>
        <w:t> </w:t>
      </w:r>
      <w:r w:rsidRPr="000D25EC">
        <w:t>přepočtu na bílý cukr 41,6</w:t>
      </w:r>
      <w:r>
        <w:t> mil. </w:t>
      </w:r>
      <w:r w:rsidRPr="000D25EC">
        <w:t>t). Země Severní a</w:t>
      </w:r>
      <w:r>
        <w:t xml:space="preserve"> </w:t>
      </w:r>
      <w:r w:rsidRPr="000D25EC">
        <w:t>Střední Ameriky prezentované především USA a</w:t>
      </w:r>
      <w:r>
        <w:t xml:space="preserve"> </w:t>
      </w:r>
      <w:r w:rsidRPr="000D25EC">
        <w:t>Mexikem výrobu cukru zvýšily o</w:t>
      </w:r>
      <w:r>
        <w:t xml:space="preserve"> </w:t>
      </w:r>
      <w:r w:rsidRPr="000D25EC">
        <w:t>1,4</w:t>
      </w:r>
      <w:r>
        <w:t xml:space="preserve"> </w:t>
      </w:r>
      <w:r w:rsidRPr="000D25EC">
        <w:t>% na</w:t>
      </w:r>
      <w:r>
        <w:t xml:space="preserve"> </w:t>
      </w:r>
      <w:r w:rsidRPr="000D25EC">
        <w:t>22,5</w:t>
      </w:r>
      <w:r>
        <w:t> mil. </w:t>
      </w:r>
      <w:r w:rsidRPr="000D25EC">
        <w:t>t (v</w:t>
      </w:r>
      <w:r>
        <w:t xml:space="preserve"> </w:t>
      </w:r>
      <w:r w:rsidRPr="000D25EC">
        <w:t>přepočtu na bílý cukr 20,7</w:t>
      </w:r>
      <w:r>
        <w:t> mil. </w:t>
      </w:r>
      <w:r w:rsidRPr="000D25EC">
        <w:t>t). V</w:t>
      </w:r>
      <w:r>
        <w:t xml:space="preserve"> </w:t>
      </w:r>
      <w:r w:rsidRPr="000D25EC">
        <w:t>Indii se podařilo zvýšit výrobu surového cukru o</w:t>
      </w:r>
      <w:r>
        <w:t xml:space="preserve"> </w:t>
      </w:r>
      <w:r w:rsidRPr="000D25EC">
        <w:t>2,8</w:t>
      </w:r>
      <w:r>
        <w:t xml:space="preserve"> </w:t>
      </w:r>
      <w:r w:rsidRPr="000D25EC">
        <w:t>% na</w:t>
      </w:r>
      <w:r>
        <w:t xml:space="preserve"> </w:t>
      </w:r>
      <w:r w:rsidRPr="000D25EC">
        <w:t>27,5</w:t>
      </w:r>
      <w:r>
        <w:t> mil. </w:t>
      </w:r>
      <w:r w:rsidRPr="000D25EC">
        <w:t>t (v</w:t>
      </w:r>
      <w:r>
        <w:t> </w:t>
      </w:r>
      <w:r w:rsidRPr="000D25EC">
        <w:t>přepočtu na bílý cukr 25,3</w:t>
      </w:r>
      <w:r>
        <w:t> mil. </w:t>
      </w:r>
      <w:r w:rsidRPr="000D25EC">
        <w:t>t), což představuje 73,7</w:t>
      </w:r>
      <w:r>
        <w:t xml:space="preserve"> </w:t>
      </w:r>
      <w:r w:rsidRPr="000D25EC">
        <w:t>% výroby surového cukru v</w:t>
      </w:r>
      <w:r w:rsidR="00DC3392">
        <w:t> </w:t>
      </w:r>
      <w:r w:rsidRPr="000D25EC">
        <w:t>Brazílii. Ve</w:t>
      </w:r>
      <w:r>
        <w:t xml:space="preserve"> </w:t>
      </w:r>
      <w:r w:rsidRPr="000D25EC">
        <w:t>významných oblastech výroby cukru v</w:t>
      </w:r>
      <w:r>
        <w:t xml:space="preserve"> </w:t>
      </w:r>
      <w:r w:rsidRPr="000D25EC">
        <w:t>Asii (Čína, Pákistán, Thajsko) se výroba surového cukru snížila o</w:t>
      </w:r>
      <w:r>
        <w:t xml:space="preserve"> </w:t>
      </w:r>
      <w:r w:rsidRPr="000D25EC">
        <w:t>3,3</w:t>
      </w:r>
      <w:r>
        <w:t xml:space="preserve"> </w:t>
      </w:r>
      <w:r w:rsidRPr="000D25EC">
        <w:t>% na 66,8</w:t>
      </w:r>
      <w:r>
        <w:t> mil. </w:t>
      </w:r>
      <w:r w:rsidRPr="000D25EC">
        <w:t>t (v</w:t>
      </w:r>
      <w:r>
        <w:t xml:space="preserve"> </w:t>
      </w:r>
      <w:r w:rsidRPr="000D25EC">
        <w:t>přepočtu na bílý cukr 61,4</w:t>
      </w:r>
      <w:r>
        <w:t> mil. </w:t>
      </w:r>
      <w:r w:rsidRPr="000D25EC">
        <w:t>t). Nejvyššího zvýšení výroby cukru o</w:t>
      </w:r>
      <w:r>
        <w:t xml:space="preserve"> </w:t>
      </w:r>
      <w:r w:rsidRPr="000D25EC">
        <w:t>13,1</w:t>
      </w:r>
      <w:r>
        <w:t xml:space="preserve"> </w:t>
      </w:r>
      <w:r w:rsidRPr="000D25EC">
        <w:t>% na 30,7</w:t>
      </w:r>
      <w:r>
        <w:t> mil. </w:t>
      </w:r>
      <w:r w:rsidRPr="000D25EC">
        <w:t>t surového cukru (v</w:t>
      </w:r>
      <w:r>
        <w:t xml:space="preserve"> </w:t>
      </w:r>
      <w:r w:rsidRPr="000D25EC">
        <w:t>přepočtu na bílý cukr 28,2</w:t>
      </w:r>
      <w:r>
        <w:t> mil. </w:t>
      </w:r>
      <w:r w:rsidRPr="000D25EC">
        <w:t>t) dosáhly evropské země, tj. EU</w:t>
      </w:r>
      <w:r>
        <w:t xml:space="preserve"> </w:t>
      </w:r>
      <w:r w:rsidRPr="000D25EC">
        <w:t>28 a</w:t>
      </w:r>
      <w:r>
        <w:t xml:space="preserve"> </w:t>
      </w:r>
      <w:r w:rsidRPr="000D25EC">
        <w:t>ostatní (Rusko, Turecko, Ukrajina aj.).</w:t>
      </w:r>
    </w:p>
    <w:p w:rsidR="00DB11C1" w:rsidRPr="000D25EC" w:rsidRDefault="00DB11C1" w:rsidP="00AB226C">
      <w:r w:rsidRPr="000D25EC">
        <w:t>Průměrná cena surového cukru za rok 2014 (burza New York) byla 370</w:t>
      </w:r>
      <w:r>
        <w:t xml:space="preserve"> </w:t>
      </w:r>
      <w:r w:rsidRPr="000D25EC">
        <w:t>USD/t (7</w:t>
      </w:r>
      <w:r>
        <w:t> </w:t>
      </w:r>
      <w:r w:rsidRPr="000D25EC">
        <w:t>812</w:t>
      </w:r>
      <w:r>
        <w:t> </w:t>
      </w:r>
      <w:r w:rsidRPr="000D25EC">
        <w:t>Kč/t), ve</w:t>
      </w:r>
      <w:r>
        <w:t xml:space="preserve"> </w:t>
      </w:r>
      <w:r w:rsidRPr="000D25EC">
        <w:t>srovnání s</w:t>
      </w:r>
      <w:r>
        <w:t xml:space="preserve"> </w:t>
      </w:r>
      <w:r w:rsidRPr="000D25EC">
        <w:t>průměrem roku 2013 to představuje pokles o 14,0 %.</w:t>
      </w:r>
    </w:p>
    <w:p w:rsidR="00DB11C1" w:rsidRPr="000D25EC" w:rsidRDefault="00DB11C1" w:rsidP="00AB226C">
      <w:r w:rsidRPr="000D25EC">
        <w:t>V</w:t>
      </w:r>
      <w:r>
        <w:t xml:space="preserve"> </w:t>
      </w:r>
      <w:r w:rsidRPr="000D25EC">
        <w:t>hospodářském roce 2014/15 byla dle předběžných údajů sklizena cukrová řepa v</w:t>
      </w:r>
      <w:r>
        <w:t xml:space="preserve"> </w:t>
      </w:r>
      <w:r w:rsidRPr="000D25EC">
        <w:t>EU</w:t>
      </w:r>
      <w:r>
        <w:t xml:space="preserve"> </w:t>
      </w:r>
      <w:r w:rsidRPr="000D25EC">
        <w:t>28 z</w:t>
      </w:r>
      <w:r>
        <w:t> </w:t>
      </w:r>
      <w:r w:rsidRPr="000D25EC">
        <w:t>plochy 1</w:t>
      </w:r>
      <w:r>
        <w:t xml:space="preserve"> </w:t>
      </w:r>
      <w:r w:rsidRPr="000D25EC">
        <w:t>557,0 tis.</w:t>
      </w:r>
      <w:r>
        <w:t xml:space="preserve"> </w:t>
      </w:r>
      <w:r w:rsidRPr="000D25EC">
        <w:t>ha. Ve</w:t>
      </w:r>
      <w:r>
        <w:t xml:space="preserve"> </w:t>
      </w:r>
      <w:r w:rsidRPr="000D25EC">
        <w:t>srovnání s</w:t>
      </w:r>
      <w:r>
        <w:t xml:space="preserve"> </w:t>
      </w:r>
      <w:r w:rsidRPr="000D25EC">
        <w:t>rokem 2013/14 se plocha zvýšila o</w:t>
      </w:r>
      <w:r>
        <w:t xml:space="preserve"> </w:t>
      </w:r>
      <w:r w:rsidRPr="000D25EC">
        <w:t>2,9</w:t>
      </w:r>
      <w:r>
        <w:t xml:space="preserve"> </w:t>
      </w:r>
      <w:r w:rsidRPr="000D25EC">
        <w:t>%. Celková výroba v</w:t>
      </w:r>
      <w:r>
        <w:t> </w:t>
      </w:r>
      <w:r w:rsidRPr="000D25EC">
        <w:t>roce 2014/15 významně vzrostla o</w:t>
      </w:r>
      <w:r>
        <w:t xml:space="preserve"> </w:t>
      </w:r>
      <w:r w:rsidRPr="000D25EC">
        <w:t>18</w:t>
      </w:r>
      <w:r>
        <w:t xml:space="preserve"> </w:t>
      </w:r>
      <w:r w:rsidRPr="000D25EC">
        <w:t>% na 19</w:t>
      </w:r>
      <w:r>
        <w:t xml:space="preserve"> </w:t>
      </w:r>
      <w:r w:rsidRPr="000D25EC">
        <w:t>884</w:t>
      </w:r>
      <w:r>
        <w:t xml:space="preserve"> </w:t>
      </w:r>
      <w:r w:rsidRPr="000D25EC">
        <w:t>tis.</w:t>
      </w:r>
      <w:r>
        <w:t xml:space="preserve"> </w:t>
      </w:r>
      <w:r w:rsidRPr="000D25EC">
        <w:t>t. Z</w:t>
      </w:r>
      <w:r>
        <w:t xml:space="preserve"> </w:t>
      </w:r>
      <w:r w:rsidRPr="000D25EC">
        <w:t>předchozího hospodářského roku 2013/14 bylo převedeno do</w:t>
      </w:r>
      <w:r>
        <w:t xml:space="preserve"> </w:t>
      </w:r>
      <w:r w:rsidRPr="000D25EC">
        <w:t>kvóty následujícího hospodářského roku (13</w:t>
      </w:r>
      <w:r>
        <w:t> </w:t>
      </w:r>
      <w:r w:rsidRPr="000D25EC">
        <w:t>529,6</w:t>
      </w:r>
      <w:r>
        <w:t xml:space="preserve"> </w:t>
      </w:r>
      <w:r w:rsidRPr="000D25EC">
        <w:t>tis.</w:t>
      </w:r>
      <w:r>
        <w:t xml:space="preserve"> </w:t>
      </w:r>
      <w:r w:rsidRPr="000D25EC">
        <w:t>t) 560</w:t>
      </w:r>
      <w:r>
        <w:t xml:space="preserve"> </w:t>
      </w:r>
      <w:r w:rsidRPr="000D25EC">
        <w:t>tis.</w:t>
      </w:r>
      <w:r>
        <w:t xml:space="preserve"> </w:t>
      </w:r>
      <w:r w:rsidRPr="000D25EC">
        <w:t>t cukru. V roce 2014/15 dosáhla výroba cukru nad</w:t>
      </w:r>
      <w:r>
        <w:t xml:space="preserve"> </w:t>
      </w:r>
      <w:r w:rsidRPr="000D25EC">
        <w:t>rámec kvót 6</w:t>
      </w:r>
      <w:r>
        <w:t> </w:t>
      </w:r>
      <w:r w:rsidRPr="000D25EC">
        <w:t>377</w:t>
      </w:r>
      <w:r>
        <w:t> </w:t>
      </w:r>
      <w:r w:rsidRPr="000D25EC">
        <w:t>tis.</w:t>
      </w:r>
      <w:r>
        <w:t xml:space="preserve"> </w:t>
      </w:r>
      <w:r w:rsidRPr="000D25EC">
        <w:t>t, přičemž pouze v</w:t>
      </w:r>
      <w:r>
        <w:t xml:space="preserve"> </w:t>
      </w:r>
      <w:r w:rsidRPr="000D25EC">
        <w:t>zámořském departementu Portugalska výroba cukru nedosáhla výše přidělené kvóty. V</w:t>
      </w:r>
      <w:r>
        <w:t xml:space="preserve"> </w:t>
      </w:r>
      <w:r w:rsidRPr="000D25EC">
        <w:t>ostatních zemích EU</w:t>
      </w:r>
      <w:r>
        <w:t xml:space="preserve"> </w:t>
      </w:r>
      <w:r w:rsidRPr="000D25EC">
        <w:t>28 byly kvóty naplněny.</w:t>
      </w:r>
    </w:p>
    <w:p w:rsidR="00DB11C1" w:rsidRPr="000D25EC" w:rsidRDefault="00DB11C1" w:rsidP="00AB226C">
      <w:r w:rsidRPr="000D25EC">
        <w:t xml:space="preserve">Podíl </w:t>
      </w:r>
      <w:proofErr w:type="spellStart"/>
      <w:r w:rsidRPr="000D25EC">
        <w:t>nadkvótového</w:t>
      </w:r>
      <w:proofErr w:type="spellEnd"/>
      <w:r w:rsidRPr="000D25EC">
        <w:t xml:space="preserve"> cukru na tuzemské výrobě cukru byl vysoký, v</w:t>
      </w:r>
      <w:r>
        <w:t xml:space="preserve"> </w:t>
      </w:r>
      <w:r w:rsidRPr="000D25EC">
        <w:t>Německu (27,9</w:t>
      </w:r>
      <w:r>
        <w:t xml:space="preserve"> </w:t>
      </w:r>
      <w:r w:rsidRPr="000D25EC">
        <w:t>%), ve Francii (27,6</w:t>
      </w:r>
      <w:r>
        <w:t xml:space="preserve"> </w:t>
      </w:r>
      <w:r w:rsidRPr="000D25EC">
        <w:t>%) a</w:t>
      </w:r>
      <w:r>
        <w:t xml:space="preserve"> </w:t>
      </w:r>
      <w:r w:rsidRPr="000D25EC">
        <w:t>v</w:t>
      </w:r>
      <w:r>
        <w:t xml:space="preserve"> </w:t>
      </w:r>
      <w:r w:rsidRPr="000D25EC">
        <w:t>Polsku (9,8</w:t>
      </w:r>
      <w:r>
        <w:t xml:space="preserve"> </w:t>
      </w:r>
      <w:r w:rsidRPr="000D25EC">
        <w:t>%). Ve</w:t>
      </w:r>
      <w:r>
        <w:t xml:space="preserve"> </w:t>
      </w:r>
      <w:r w:rsidRPr="000D25EC">
        <w:t>většině zemí EU</w:t>
      </w:r>
      <w:r>
        <w:t xml:space="preserve"> </w:t>
      </w:r>
      <w:r w:rsidRPr="000D25EC">
        <w:t>28 se výroba cukru v</w:t>
      </w:r>
      <w:r>
        <w:t> </w:t>
      </w:r>
      <w:r w:rsidRPr="000D25EC">
        <w:t>hospodářském roce 2014/15 zvýšila. Na celkové výrobě cukru v</w:t>
      </w:r>
      <w:r>
        <w:t xml:space="preserve"> </w:t>
      </w:r>
      <w:r w:rsidRPr="000D25EC">
        <w:t>EU</w:t>
      </w:r>
      <w:r>
        <w:t xml:space="preserve"> </w:t>
      </w:r>
      <w:r w:rsidRPr="000D25EC">
        <w:t>28 se podílela Francie (26,1</w:t>
      </w:r>
      <w:r>
        <w:t xml:space="preserve"> </w:t>
      </w:r>
      <w:r w:rsidRPr="000D25EC">
        <w:t>%), Německo (23,5</w:t>
      </w:r>
      <w:r>
        <w:t xml:space="preserve"> </w:t>
      </w:r>
      <w:r w:rsidRPr="000D25EC">
        <w:t>%), Polsko (10,2</w:t>
      </w:r>
      <w:r>
        <w:t xml:space="preserve"> </w:t>
      </w:r>
      <w:r w:rsidRPr="000D25EC">
        <w:t>%) a</w:t>
      </w:r>
      <w:r>
        <w:t xml:space="preserve"> </w:t>
      </w:r>
      <w:r w:rsidRPr="000D25EC">
        <w:t>Velká Británie (7,6</w:t>
      </w:r>
      <w:r>
        <w:t xml:space="preserve"> </w:t>
      </w:r>
      <w:r w:rsidRPr="000D25EC">
        <w:t>%). Výjimku tvořilo Slovensko, Rumunsko, Litva a</w:t>
      </w:r>
      <w:r>
        <w:t xml:space="preserve"> </w:t>
      </w:r>
      <w:r w:rsidRPr="000D25EC">
        <w:t>zámořské departementy Portugalska, kde výroba cukru ve</w:t>
      </w:r>
      <w:r>
        <w:t xml:space="preserve"> </w:t>
      </w:r>
      <w:r w:rsidRPr="000D25EC">
        <w:t>srovnání s</w:t>
      </w:r>
      <w:r>
        <w:t xml:space="preserve"> </w:t>
      </w:r>
      <w:r w:rsidRPr="000D25EC">
        <w:t>rokem 2013/14 klesla. Česká republika svým podílem výroby 3,0</w:t>
      </w:r>
      <w:r>
        <w:t xml:space="preserve"> </w:t>
      </w:r>
      <w:r w:rsidRPr="000D25EC">
        <w:t>% na</w:t>
      </w:r>
      <w:r>
        <w:t xml:space="preserve"> </w:t>
      </w:r>
      <w:r w:rsidRPr="000D25EC">
        <w:t>celkové výrobě EU</w:t>
      </w:r>
      <w:r>
        <w:t xml:space="preserve"> </w:t>
      </w:r>
      <w:r w:rsidRPr="000D25EC">
        <w:t>28</w:t>
      </w:r>
      <w:r>
        <w:t xml:space="preserve"> </w:t>
      </w:r>
      <w:r w:rsidRPr="000D25EC">
        <w:t>v</w:t>
      </w:r>
      <w:r>
        <w:t xml:space="preserve"> </w:t>
      </w:r>
      <w:r w:rsidRPr="000D25EC">
        <w:t>roce 2014/15 obsadila 9.</w:t>
      </w:r>
      <w:r>
        <w:t xml:space="preserve"> </w:t>
      </w:r>
      <w:r w:rsidRPr="000D25EC">
        <w:t>místo z</w:t>
      </w:r>
      <w:r>
        <w:t xml:space="preserve"> </w:t>
      </w:r>
      <w:r w:rsidRPr="000D25EC">
        <w:t>21 států vyrábějících cukr. Touto pozicí si nadále udržuje statut středně velkého výrobce cukru EU.</w:t>
      </w:r>
      <w:r w:rsidRPr="000D25EC" w:rsidDel="003F17A8">
        <w:t xml:space="preserve"> </w:t>
      </w:r>
      <w:r w:rsidRPr="000D25EC">
        <w:t>Ve</w:t>
      </w:r>
      <w:r>
        <w:t xml:space="preserve"> </w:t>
      </w:r>
      <w:r w:rsidRPr="000D25EC">
        <w:t>spotřebě cukru se v</w:t>
      </w:r>
      <w:r>
        <w:t xml:space="preserve"> </w:t>
      </w:r>
      <w:r w:rsidRPr="000D25EC">
        <w:t>roce 2014/15 předpokládá v</w:t>
      </w:r>
      <w:r>
        <w:t xml:space="preserve"> </w:t>
      </w:r>
      <w:r w:rsidRPr="000D25EC">
        <w:t>zemích EU</w:t>
      </w:r>
      <w:r>
        <w:t xml:space="preserve"> </w:t>
      </w:r>
      <w:r w:rsidRPr="000D25EC">
        <w:t>28 meziroční pokles o</w:t>
      </w:r>
      <w:r>
        <w:t xml:space="preserve"> </w:t>
      </w:r>
      <w:r w:rsidRPr="000D25EC">
        <w:t>1,8</w:t>
      </w:r>
      <w:r>
        <w:t xml:space="preserve"> </w:t>
      </w:r>
      <w:r w:rsidRPr="000D25EC">
        <w:t>% na 17</w:t>
      </w:r>
      <w:r>
        <w:t> </w:t>
      </w:r>
      <w:r w:rsidRPr="000D25EC">
        <w:t>023</w:t>
      </w:r>
      <w:r>
        <w:t> </w:t>
      </w:r>
      <w:r w:rsidRPr="000D25EC">
        <w:t>tis.</w:t>
      </w:r>
      <w:r>
        <w:t xml:space="preserve"> </w:t>
      </w:r>
      <w:r w:rsidRPr="000D25EC">
        <w:t>t. Dovoz cukru včetně cukru ve výrobcích se v</w:t>
      </w:r>
      <w:r>
        <w:t xml:space="preserve"> </w:t>
      </w:r>
      <w:r w:rsidRPr="000D25EC">
        <w:t>roce 2014/15 očekává v</w:t>
      </w:r>
      <w:r>
        <w:t xml:space="preserve"> </w:t>
      </w:r>
      <w:r w:rsidRPr="000D25EC">
        <w:t>EU</w:t>
      </w:r>
      <w:r>
        <w:t xml:space="preserve"> </w:t>
      </w:r>
      <w:r w:rsidRPr="000D25EC">
        <w:t>28 ve výši 3</w:t>
      </w:r>
      <w:r>
        <w:t> </w:t>
      </w:r>
      <w:r w:rsidRPr="000D25EC">
        <w:t>200</w:t>
      </w:r>
      <w:r>
        <w:t xml:space="preserve"> </w:t>
      </w:r>
      <w:r w:rsidRPr="000D25EC">
        <w:t>tis.</w:t>
      </w:r>
      <w:r>
        <w:t xml:space="preserve"> </w:t>
      </w:r>
      <w:r w:rsidRPr="000D25EC">
        <w:t>t, tj.</w:t>
      </w:r>
      <w:r>
        <w:t xml:space="preserve"> </w:t>
      </w:r>
      <w:r w:rsidRPr="000D25EC">
        <w:t>16,6</w:t>
      </w:r>
      <w:r>
        <w:t> </w:t>
      </w:r>
      <w:r w:rsidRPr="000D25EC">
        <w:t>%</w:t>
      </w:r>
      <w:r>
        <w:t xml:space="preserve"> </w:t>
      </w:r>
      <w:r w:rsidRPr="000D25EC">
        <w:t>z</w:t>
      </w:r>
      <w:r>
        <w:t> </w:t>
      </w:r>
      <w:r w:rsidRPr="000D25EC">
        <w:t>celkové nabídky cukru. Dovoz cukru byl uskutečněn převážně v</w:t>
      </w:r>
      <w:r>
        <w:t xml:space="preserve"> </w:t>
      </w:r>
      <w:r w:rsidRPr="000D25EC">
        <w:t>rámci preferenčních dohod vyplývajících z</w:t>
      </w:r>
      <w:r>
        <w:t xml:space="preserve"> </w:t>
      </w:r>
      <w:r w:rsidRPr="000D25EC">
        <w:t>mezinárodních dohod EBA</w:t>
      </w:r>
      <w:r w:rsidRPr="00382875">
        <w:rPr>
          <w:rStyle w:val="Znakapoznpodarou"/>
        </w:rPr>
        <w:footnoteReference w:id="127"/>
      </w:r>
      <w:r w:rsidRPr="000D25EC">
        <w:t xml:space="preserve"> a</w:t>
      </w:r>
      <w:r>
        <w:t xml:space="preserve"> </w:t>
      </w:r>
      <w:r w:rsidRPr="000D25EC">
        <w:t>EPA</w:t>
      </w:r>
      <w:r w:rsidRPr="00382875">
        <w:rPr>
          <w:rStyle w:val="Znakapoznpodarou"/>
        </w:rPr>
        <w:footnoteReference w:id="128"/>
      </w:r>
      <w:r w:rsidRPr="000D25EC">
        <w:t>. Vývoz cukru včetně výrobků obsahujících cukr se předpokládá ve výši 1</w:t>
      </w:r>
      <w:r>
        <w:t xml:space="preserve"> </w:t>
      </w:r>
      <w:r w:rsidRPr="000D25EC">
        <w:t>390</w:t>
      </w:r>
      <w:r>
        <w:t xml:space="preserve"> </w:t>
      </w:r>
      <w:r w:rsidRPr="000D25EC">
        <w:t>tis.</w:t>
      </w:r>
      <w:r>
        <w:t xml:space="preserve"> </w:t>
      </w:r>
      <w:r w:rsidRPr="000D25EC">
        <w:t>t, tj. 7,2</w:t>
      </w:r>
      <w:r>
        <w:t xml:space="preserve"> </w:t>
      </w:r>
      <w:r w:rsidRPr="000D25EC">
        <w:t>% z</w:t>
      </w:r>
      <w:r>
        <w:t xml:space="preserve"> </w:t>
      </w:r>
      <w:r w:rsidRPr="000D25EC">
        <w:t xml:space="preserve">celkové nabídky cukru. </w:t>
      </w:r>
      <w:r w:rsidRPr="000D25EC">
        <w:lastRenderedPageBreak/>
        <w:t>Konečné zásoby uvedeného hospodářského roku se v</w:t>
      </w:r>
      <w:r>
        <w:t xml:space="preserve"> </w:t>
      </w:r>
      <w:r w:rsidRPr="000D25EC">
        <w:t>porovnání s</w:t>
      </w:r>
      <w:r>
        <w:t xml:space="preserve"> </w:t>
      </w:r>
      <w:r w:rsidRPr="000D25EC">
        <w:t>rokem 2013/14 snížily o</w:t>
      </w:r>
      <w:r>
        <w:t> </w:t>
      </w:r>
      <w:r w:rsidRPr="000D25EC">
        <w:t>52,7</w:t>
      </w:r>
      <w:r>
        <w:t xml:space="preserve"> </w:t>
      </w:r>
      <w:r w:rsidRPr="000D25EC">
        <w:t>% na</w:t>
      </w:r>
      <w:r>
        <w:t xml:space="preserve"> </w:t>
      </w:r>
      <w:r w:rsidRPr="000D25EC">
        <w:t>878</w:t>
      </w:r>
      <w:r>
        <w:t xml:space="preserve"> </w:t>
      </w:r>
      <w:r w:rsidRPr="000D25EC">
        <w:t>tis.</w:t>
      </w:r>
      <w:r>
        <w:t xml:space="preserve"> </w:t>
      </w:r>
      <w:r w:rsidRPr="000D25EC">
        <w:t>t.</w:t>
      </w:r>
    </w:p>
    <w:p w:rsidR="00DB11C1" w:rsidRPr="000D25EC" w:rsidRDefault="00DB11C1" w:rsidP="00DB11C1">
      <w:pPr>
        <w:rPr>
          <w:szCs w:val="24"/>
        </w:rPr>
      </w:pPr>
      <w:r w:rsidRPr="000D25EC">
        <w:rPr>
          <w:szCs w:val="24"/>
        </w:rPr>
        <w:t>Průměrná prodejní cena bílého cukru ve Společenství (CPV) v</w:t>
      </w:r>
      <w:r>
        <w:rPr>
          <w:szCs w:val="24"/>
        </w:rPr>
        <w:t xml:space="preserve"> </w:t>
      </w:r>
      <w:r w:rsidRPr="000D25EC">
        <w:rPr>
          <w:szCs w:val="24"/>
        </w:rPr>
        <w:t>roce 2013 dosáhla 700</w:t>
      </w:r>
      <w:r>
        <w:rPr>
          <w:szCs w:val="24"/>
        </w:rPr>
        <w:t> </w:t>
      </w:r>
      <w:r w:rsidRPr="000D25EC">
        <w:rPr>
          <w:szCs w:val="24"/>
        </w:rPr>
        <w:t>€/t (18</w:t>
      </w:r>
      <w:r>
        <w:rPr>
          <w:szCs w:val="24"/>
        </w:rPr>
        <w:t> </w:t>
      </w:r>
      <w:r w:rsidRPr="000D25EC">
        <w:rPr>
          <w:szCs w:val="24"/>
        </w:rPr>
        <w:t>182</w:t>
      </w:r>
      <w:r>
        <w:rPr>
          <w:szCs w:val="24"/>
        </w:rPr>
        <w:t xml:space="preserve"> </w:t>
      </w:r>
      <w:r w:rsidRPr="000D25EC">
        <w:rPr>
          <w:szCs w:val="24"/>
        </w:rPr>
        <w:t>Kč/t), což lze hodnotit jako mírný pokles (o</w:t>
      </w:r>
      <w:r>
        <w:rPr>
          <w:szCs w:val="24"/>
        </w:rPr>
        <w:t xml:space="preserve"> </w:t>
      </w:r>
      <w:r w:rsidRPr="000D25EC">
        <w:rPr>
          <w:szCs w:val="24"/>
        </w:rPr>
        <w:t>1,5</w:t>
      </w:r>
      <w:r>
        <w:rPr>
          <w:szCs w:val="24"/>
        </w:rPr>
        <w:t xml:space="preserve"> </w:t>
      </w:r>
      <w:r w:rsidRPr="000D25EC">
        <w:rPr>
          <w:szCs w:val="24"/>
        </w:rPr>
        <w:t>%) proti průměrné ceně v</w:t>
      </w:r>
      <w:r>
        <w:rPr>
          <w:szCs w:val="24"/>
        </w:rPr>
        <w:t> </w:t>
      </w:r>
      <w:r w:rsidRPr="000D25EC">
        <w:rPr>
          <w:szCs w:val="24"/>
        </w:rPr>
        <w:t>roce 2012. V</w:t>
      </w:r>
      <w:r>
        <w:rPr>
          <w:szCs w:val="24"/>
        </w:rPr>
        <w:t xml:space="preserve"> </w:t>
      </w:r>
      <w:r w:rsidRPr="000D25EC">
        <w:rPr>
          <w:szCs w:val="24"/>
        </w:rPr>
        <w:t>roce 2014 cena postupně klesala. Nejvyšší dosažená cena obchodů s</w:t>
      </w:r>
      <w:r>
        <w:rPr>
          <w:szCs w:val="24"/>
        </w:rPr>
        <w:t xml:space="preserve"> </w:t>
      </w:r>
      <w:r w:rsidRPr="000D25EC">
        <w:rPr>
          <w:szCs w:val="24"/>
        </w:rPr>
        <w:t>bílým cukrem byla v</w:t>
      </w:r>
      <w:r>
        <w:rPr>
          <w:szCs w:val="24"/>
        </w:rPr>
        <w:t xml:space="preserve"> </w:t>
      </w:r>
      <w:r w:rsidRPr="000D25EC">
        <w:rPr>
          <w:szCs w:val="24"/>
        </w:rPr>
        <w:t>lednu 2014 (627</w:t>
      </w:r>
      <w:r>
        <w:rPr>
          <w:szCs w:val="24"/>
        </w:rPr>
        <w:t> </w:t>
      </w:r>
      <w:r w:rsidRPr="000D25EC">
        <w:rPr>
          <w:szCs w:val="24"/>
        </w:rPr>
        <w:t>€/t, tj.</w:t>
      </w:r>
      <w:r>
        <w:rPr>
          <w:szCs w:val="24"/>
        </w:rPr>
        <w:t xml:space="preserve"> </w:t>
      </w:r>
      <w:r w:rsidRPr="000D25EC">
        <w:rPr>
          <w:szCs w:val="24"/>
        </w:rPr>
        <w:t>17</w:t>
      </w:r>
      <w:r>
        <w:rPr>
          <w:szCs w:val="24"/>
        </w:rPr>
        <w:t xml:space="preserve"> </w:t>
      </w:r>
      <w:r w:rsidRPr="000D25EC">
        <w:rPr>
          <w:szCs w:val="24"/>
        </w:rPr>
        <w:t>232</w:t>
      </w:r>
      <w:r>
        <w:rPr>
          <w:szCs w:val="24"/>
        </w:rPr>
        <w:t xml:space="preserve"> </w:t>
      </w:r>
      <w:r w:rsidRPr="000D25EC">
        <w:rPr>
          <w:szCs w:val="24"/>
        </w:rPr>
        <w:t>Kč/t). Průměrná cena bílého cukru činila v</w:t>
      </w:r>
      <w:r>
        <w:rPr>
          <w:szCs w:val="24"/>
        </w:rPr>
        <w:t> </w:t>
      </w:r>
      <w:r w:rsidRPr="000D25EC">
        <w:rPr>
          <w:szCs w:val="24"/>
        </w:rPr>
        <w:t>I.</w:t>
      </w:r>
      <w:r>
        <w:rPr>
          <w:szCs w:val="24"/>
        </w:rPr>
        <w:t> </w:t>
      </w:r>
      <w:r w:rsidRPr="000D25EC">
        <w:rPr>
          <w:szCs w:val="24"/>
        </w:rPr>
        <w:t>čtvrtletí 611</w:t>
      </w:r>
      <w:r>
        <w:rPr>
          <w:szCs w:val="24"/>
        </w:rPr>
        <w:t xml:space="preserve"> </w:t>
      </w:r>
      <w:r w:rsidRPr="000D25EC">
        <w:rPr>
          <w:szCs w:val="24"/>
        </w:rPr>
        <w:t>€/t (16</w:t>
      </w:r>
      <w:r>
        <w:rPr>
          <w:szCs w:val="24"/>
        </w:rPr>
        <w:t xml:space="preserve"> </w:t>
      </w:r>
      <w:r w:rsidRPr="000D25EC">
        <w:rPr>
          <w:szCs w:val="24"/>
        </w:rPr>
        <w:t>766</w:t>
      </w:r>
      <w:r>
        <w:rPr>
          <w:szCs w:val="24"/>
        </w:rPr>
        <w:t xml:space="preserve"> </w:t>
      </w:r>
      <w:r w:rsidRPr="000D25EC">
        <w:rPr>
          <w:szCs w:val="24"/>
        </w:rPr>
        <w:t>Kč/t), ve</w:t>
      </w:r>
      <w:r>
        <w:rPr>
          <w:szCs w:val="24"/>
        </w:rPr>
        <w:t xml:space="preserve"> </w:t>
      </w:r>
      <w:r w:rsidRPr="000D25EC">
        <w:rPr>
          <w:szCs w:val="24"/>
        </w:rPr>
        <w:t>druhém se snížila již na</w:t>
      </w:r>
      <w:r>
        <w:rPr>
          <w:szCs w:val="24"/>
        </w:rPr>
        <w:t xml:space="preserve"> </w:t>
      </w:r>
      <w:r w:rsidRPr="000D25EC">
        <w:rPr>
          <w:szCs w:val="24"/>
        </w:rPr>
        <w:t>570</w:t>
      </w:r>
      <w:r>
        <w:rPr>
          <w:szCs w:val="24"/>
        </w:rPr>
        <w:t xml:space="preserve"> </w:t>
      </w:r>
      <w:r w:rsidRPr="000D25EC">
        <w:rPr>
          <w:szCs w:val="24"/>
        </w:rPr>
        <w:t>€/t (15</w:t>
      </w:r>
      <w:r>
        <w:rPr>
          <w:szCs w:val="24"/>
        </w:rPr>
        <w:t xml:space="preserve"> </w:t>
      </w:r>
      <w:r w:rsidRPr="000D25EC">
        <w:rPr>
          <w:szCs w:val="24"/>
        </w:rPr>
        <w:t>645</w:t>
      </w:r>
      <w:r>
        <w:rPr>
          <w:szCs w:val="24"/>
        </w:rPr>
        <w:t xml:space="preserve"> </w:t>
      </w:r>
      <w:r w:rsidRPr="000D25EC">
        <w:rPr>
          <w:szCs w:val="24"/>
        </w:rPr>
        <w:t>Kč/t). Ve</w:t>
      </w:r>
      <w:r>
        <w:rPr>
          <w:szCs w:val="24"/>
        </w:rPr>
        <w:t xml:space="preserve"> </w:t>
      </w:r>
      <w:r w:rsidRPr="000D25EC">
        <w:rPr>
          <w:szCs w:val="24"/>
        </w:rPr>
        <w:t>druhé polovině roku 2014 průměrná cena klesala od července z 536</w:t>
      </w:r>
      <w:r>
        <w:rPr>
          <w:szCs w:val="24"/>
        </w:rPr>
        <w:t xml:space="preserve"> </w:t>
      </w:r>
      <w:r w:rsidRPr="000D25EC">
        <w:rPr>
          <w:szCs w:val="24"/>
        </w:rPr>
        <w:t>€/t (14</w:t>
      </w:r>
      <w:r>
        <w:rPr>
          <w:szCs w:val="24"/>
        </w:rPr>
        <w:t xml:space="preserve"> </w:t>
      </w:r>
      <w:r w:rsidRPr="000D25EC">
        <w:rPr>
          <w:szCs w:val="24"/>
        </w:rPr>
        <w:t>717</w:t>
      </w:r>
      <w:r>
        <w:rPr>
          <w:szCs w:val="24"/>
        </w:rPr>
        <w:t xml:space="preserve"> </w:t>
      </w:r>
      <w:r w:rsidRPr="000D25EC">
        <w:rPr>
          <w:szCs w:val="24"/>
        </w:rPr>
        <w:t>Kč/t) do prosince na</w:t>
      </w:r>
      <w:r>
        <w:rPr>
          <w:szCs w:val="24"/>
        </w:rPr>
        <w:t xml:space="preserve"> </w:t>
      </w:r>
      <w:r w:rsidRPr="000D25EC">
        <w:rPr>
          <w:szCs w:val="24"/>
        </w:rPr>
        <w:t>435</w:t>
      </w:r>
      <w:r>
        <w:rPr>
          <w:szCs w:val="24"/>
        </w:rPr>
        <w:t xml:space="preserve"> </w:t>
      </w:r>
      <w:r w:rsidRPr="000D25EC">
        <w:rPr>
          <w:szCs w:val="24"/>
        </w:rPr>
        <w:t>€/t (12</w:t>
      </w:r>
      <w:r>
        <w:rPr>
          <w:szCs w:val="24"/>
        </w:rPr>
        <w:t xml:space="preserve"> </w:t>
      </w:r>
      <w:r w:rsidRPr="000D25EC">
        <w:rPr>
          <w:szCs w:val="24"/>
        </w:rPr>
        <w:t>021</w:t>
      </w:r>
      <w:r>
        <w:rPr>
          <w:szCs w:val="24"/>
        </w:rPr>
        <w:t xml:space="preserve"> </w:t>
      </w:r>
      <w:r w:rsidRPr="000D25EC">
        <w:rPr>
          <w:szCs w:val="24"/>
        </w:rPr>
        <w:t>Kč/t). Konečná průměrná cena za celý rok se ve</w:t>
      </w:r>
      <w:r>
        <w:rPr>
          <w:szCs w:val="24"/>
        </w:rPr>
        <w:t xml:space="preserve"> </w:t>
      </w:r>
      <w:r w:rsidRPr="000D25EC">
        <w:rPr>
          <w:szCs w:val="24"/>
        </w:rPr>
        <w:t>srovnání s</w:t>
      </w:r>
      <w:r>
        <w:rPr>
          <w:szCs w:val="24"/>
        </w:rPr>
        <w:t xml:space="preserve"> </w:t>
      </w:r>
      <w:r w:rsidRPr="000D25EC">
        <w:rPr>
          <w:szCs w:val="24"/>
        </w:rPr>
        <w:t>rokem 2013 snížila o</w:t>
      </w:r>
      <w:r>
        <w:rPr>
          <w:szCs w:val="24"/>
        </w:rPr>
        <w:t xml:space="preserve"> </w:t>
      </w:r>
      <w:r w:rsidRPr="000D25EC">
        <w:rPr>
          <w:szCs w:val="24"/>
        </w:rPr>
        <w:t>23,2</w:t>
      </w:r>
      <w:r>
        <w:rPr>
          <w:szCs w:val="24"/>
        </w:rPr>
        <w:t xml:space="preserve"> </w:t>
      </w:r>
      <w:r w:rsidRPr="000D25EC">
        <w:rPr>
          <w:szCs w:val="24"/>
        </w:rPr>
        <w:t>% (o</w:t>
      </w:r>
      <w:r>
        <w:rPr>
          <w:szCs w:val="24"/>
        </w:rPr>
        <w:t xml:space="preserve"> </w:t>
      </w:r>
      <w:r w:rsidRPr="000D25EC">
        <w:rPr>
          <w:szCs w:val="24"/>
        </w:rPr>
        <w:t>162</w:t>
      </w:r>
      <w:r>
        <w:rPr>
          <w:szCs w:val="24"/>
        </w:rPr>
        <w:t xml:space="preserve"> </w:t>
      </w:r>
      <w:r w:rsidRPr="000D25EC">
        <w:rPr>
          <w:szCs w:val="24"/>
        </w:rPr>
        <w:t>€/t), tj.</w:t>
      </w:r>
      <w:r>
        <w:rPr>
          <w:szCs w:val="24"/>
        </w:rPr>
        <w:t xml:space="preserve"> </w:t>
      </w:r>
      <w:r w:rsidRPr="000D25EC">
        <w:rPr>
          <w:szCs w:val="24"/>
        </w:rPr>
        <w:t>na</w:t>
      </w:r>
      <w:r>
        <w:rPr>
          <w:szCs w:val="24"/>
        </w:rPr>
        <w:t xml:space="preserve"> </w:t>
      </w:r>
      <w:r w:rsidRPr="000D25EC">
        <w:rPr>
          <w:szCs w:val="24"/>
        </w:rPr>
        <w:t>538</w:t>
      </w:r>
      <w:r>
        <w:rPr>
          <w:szCs w:val="24"/>
        </w:rPr>
        <w:t xml:space="preserve"> </w:t>
      </w:r>
      <w:r w:rsidRPr="000D25EC">
        <w:rPr>
          <w:szCs w:val="24"/>
        </w:rPr>
        <w:t>€/t (14</w:t>
      </w:r>
      <w:r>
        <w:rPr>
          <w:szCs w:val="24"/>
        </w:rPr>
        <w:t xml:space="preserve"> </w:t>
      </w:r>
      <w:r w:rsidRPr="000D25EC">
        <w:rPr>
          <w:szCs w:val="24"/>
        </w:rPr>
        <w:t>813</w:t>
      </w:r>
      <w:r>
        <w:rPr>
          <w:szCs w:val="24"/>
        </w:rPr>
        <w:t xml:space="preserve"> </w:t>
      </w:r>
      <w:r w:rsidRPr="000D25EC">
        <w:rPr>
          <w:szCs w:val="24"/>
        </w:rPr>
        <w:t>Kč/t).</w:t>
      </w:r>
    </w:p>
    <w:p w:rsidR="00DB11C1" w:rsidRPr="000D25EC" w:rsidRDefault="00DB11C1" w:rsidP="00DB11C1">
      <w:pPr>
        <w:rPr>
          <w:szCs w:val="24"/>
        </w:rPr>
      </w:pPr>
      <w:r w:rsidRPr="000D25EC">
        <w:rPr>
          <w:szCs w:val="24"/>
        </w:rPr>
        <w:t>Průměrná cena průmyslového cukru pro chemický a</w:t>
      </w:r>
      <w:r>
        <w:rPr>
          <w:szCs w:val="24"/>
        </w:rPr>
        <w:t xml:space="preserve"> </w:t>
      </w:r>
      <w:r w:rsidRPr="000D25EC">
        <w:rPr>
          <w:szCs w:val="24"/>
        </w:rPr>
        <w:t>kvasný průmysl v</w:t>
      </w:r>
      <w:r>
        <w:rPr>
          <w:szCs w:val="24"/>
        </w:rPr>
        <w:t xml:space="preserve"> </w:t>
      </w:r>
      <w:r w:rsidRPr="000D25EC">
        <w:rPr>
          <w:szCs w:val="24"/>
        </w:rPr>
        <w:t>EU</w:t>
      </w:r>
      <w:r>
        <w:rPr>
          <w:szCs w:val="24"/>
        </w:rPr>
        <w:t xml:space="preserve"> </w:t>
      </w:r>
      <w:r w:rsidRPr="000D25EC">
        <w:rPr>
          <w:szCs w:val="24"/>
        </w:rPr>
        <w:t>28 v</w:t>
      </w:r>
      <w:r>
        <w:rPr>
          <w:szCs w:val="24"/>
        </w:rPr>
        <w:t xml:space="preserve"> </w:t>
      </w:r>
      <w:r w:rsidRPr="000D25EC">
        <w:rPr>
          <w:szCs w:val="24"/>
        </w:rPr>
        <w:t>roce 2014 dosáhla 329</w:t>
      </w:r>
      <w:r>
        <w:rPr>
          <w:szCs w:val="24"/>
        </w:rPr>
        <w:t xml:space="preserve"> </w:t>
      </w:r>
      <w:r w:rsidRPr="000D25EC">
        <w:rPr>
          <w:szCs w:val="24"/>
        </w:rPr>
        <w:t>€/t (9</w:t>
      </w:r>
      <w:r>
        <w:rPr>
          <w:szCs w:val="24"/>
        </w:rPr>
        <w:t xml:space="preserve"> </w:t>
      </w:r>
      <w:r w:rsidRPr="000D25EC">
        <w:rPr>
          <w:szCs w:val="24"/>
        </w:rPr>
        <w:t>058</w:t>
      </w:r>
      <w:r>
        <w:rPr>
          <w:szCs w:val="24"/>
        </w:rPr>
        <w:t xml:space="preserve"> </w:t>
      </w:r>
      <w:r w:rsidRPr="000D25EC">
        <w:rPr>
          <w:szCs w:val="24"/>
        </w:rPr>
        <w:t>Kč/t). Nákupní cena hlášená zpracovateli za stejné období činila 373</w:t>
      </w:r>
      <w:r>
        <w:rPr>
          <w:szCs w:val="24"/>
        </w:rPr>
        <w:t xml:space="preserve"> </w:t>
      </w:r>
      <w:r w:rsidRPr="000D25EC">
        <w:rPr>
          <w:szCs w:val="24"/>
        </w:rPr>
        <w:t>€/t (10</w:t>
      </w:r>
      <w:r>
        <w:rPr>
          <w:szCs w:val="24"/>
        </w:rPr>
        <w:t> </w:t>
      </w:r>
      <w:r w:rsidRPr="000D25EC">
        <w:rPr>
          <w:szCs w:val="24"/>
        </w:rPr>
        <w:t>270</w:t>
      </w:r>
      <w:r>
        <w:rPr>
          <w:szCs w:val="24"/>
        </w:rPr>
        <w:t xml:space="preserve"> </w:t>
      </w:r>
      <w:r w:rsidRPr="000D25EC">
        <w:rPr>
          <w:szCs w:val="24"/>
        </w:rPr>
        <w:t>Kč/t). Průměrná dovozní cena bílého cukru ze zemí ACP (Afrika, Karibik a</w:t>
      </w:r>
      <w:r>
        <w:rPr>
          <w:szCs w:val="24"/>
        </w:rPr>
        <w:t> </w:t>
      </w:r>
      <w:r w:rsidRPr="000D25EC">
        <w:rPr>
          <w:szCs w:val="24"/>
        </w:rPr>
        <w:t>Tichomoří) do</w:t>
      </w:r>
      <w:r>
        <w:rPr>
          <w:szCs w:val="24"/>
        </w:rPr>
        <w:t xml:space="preserve"> </w:t>
      </w:r>
      <w:r w:rsidRPr="000D25EC">
        <w:rPr>
          <w:szCs w:val="24"/>
        </w:rPr>
        <w:t>EU</w:t>
      </w:r>
      <w:r>
        <w:rPr>
          <w:szCs w:val="24"/>
        </w:rPr>
        <w:t xml:space="preserve"> </w:t>
      </w:r>
      <w:r w:rsidRPr="000D25EC">
        <w:rPr>
          <w:szCs w:val="24"/>
        </w:rPr>
        <w:t>28 dosáhla 504</w:t>
      </w:r>
      <w:r>
        <w:rPr>
          <w:szCs w:val="24"/>
        </w:rPr>
        <w:t xml:space="preserve"> </w:t>
      </w:r>
      <w:r w:rsidRPr="000D25EC">
        <w:rPr>
          <w:szCs w:val="24"/>
        </w:rPr>
        <w:t>€/t (13</w:t>
      </w:r>
      <w:r>
        <w:rPr>
          <w:szCs w:val="24"/>
        </w:rPr>
        <w:t xml:space="preserve"> </w:t>
      </w:r>
      <w:r w:rsidRPr="000D25EC">
        <w:rPr>
          <w:szCs w:val="24"/>
        </w:rPr>
        <w:t>877</w:t>
      </w:r>
      <w:r>
        <w:rPr>
          <w:szCs w:val="24"/>
        </w:rPr>
        <w:t xml:space="preserve"> </w:t>
      </w:r>
      <w:r w:rsidRPr="000D25EC">
        <w:rPr>
          <w:szCs w:val="24"/>
        </w:rPr>
        <w:t>Kč/t), cena surového cukru 457</w:t>
      </w:r>
      <w:r>
        <w:rPr>
          <w:szCs w:val="24"/>
        </w:rPr>
        <w:t xml:space="preserve"> </w:t>
      </w:r>
      <w:r w:rsidRPr="000D25EC">
        <w:rPr>
          <w:szCs w:val="24"/>
        </w:rPr>
        <w:t>€/t (12</w:t>
      </w:r>
      <w:r>
        <w:rPr>
          <w:szCs w:val="24"/>
        </w:rPr>
        <w:t> </w:t>
      </w:r>
      <w:r w:rsidRPr="000D25EC">
        <w:rPr>
          <w:szCs w:val="24"/>
        </w:rPr>
        <w:t>583</w:t>
      </w:r>
      <w:r>
        <w:rPr>
          <w:szCs w:val="24"/>
        </w:rPr>
        <w:t> </w:t>
      </w:r>
      <w:r w:rsidRPr="000D25EC">
        <w:rPr>
          <w:szCs w:val="24"/>
        </w:rPr>
        <w:t>Kč/t)</w:t>
      </w:r>
      <w:r w:rsidRPr="00382875">
        <w:rPr>
          <w:rStyle w:val="Znakapoznpodarou"/>
        </w:rPr>
        <w:footnoteReference w:id="129"/>
      </w:r>
      <w:r w:rsidRPr="000D25EC">
        <w:rPr>
          <w:szCs w:val="24"/>
        </w:rPr>
        <w:t>.</w:t>
      </w:r>
    </w:p>
    <w:p w:rsidR="00DB11C1" w:rsidRDefault="00DB11C1" w:rsidP="00DB11C1">
      <w:pPr>
        <w:rPr>
          <w:szCs w:val="24"/>
        </w:rPr>
      </w:pPr>
      <w:r w:rsidRPr="000D25EC">
        <w:rPr>
          <w:szCs w:val="24"/>
        </w:rPr>
        <w:t>V</w:t>
      </w:r>
      <w:r>
        <w:rPr>
          <w:szCs w:val="24"/>
        </w:rPr>
        <w:t xml:space="preserve"> </w:t>
      </w:r>
      <w:r w:rsidRPr="000D25EC">
        <w:rPr>
          <w:szCs w:val="24"/>
        </w:rPr>
        <w:t>letech 2006-2009 prošlo odvětví pěstování cukrové řepy a výroby cukru v</w:t>
      </w:r>
      <w:r>
        <w:rPr>
          <w:szCs w:val="24"/>
        </w:rPr>
        <w:t xml:space="preserve"> </w:t>
      </w:r>
      <w:r w:rsidRPr="000D25EC">
        <w:rPr>
          <w:szCs w:val="24"/>
        </w:rPr>
        <w:t>EU zcela zásadní reformou, jejímž hlavním výsledkem bylo snížení výroby cukru v</w:t>
      </w:r>
      <w:r>
        <w:rPr>
          <w:szCs w:val="24"/>
        </w:rPr>
        <w:t xml:space="preserve"> </w:t>
      </w:r>
      <w:r w:rsidRPr="000D25EC">
        <w:rPr>
          <w:szCs w:val="24"/>
        </w:rPr>
        <w:t>EU o cca</w:t>
      </w:r>
      <w:r>
        <w:rPr>
          <w:szCs w:val="24"/>
        </w:rPr>
        <w:t xml:space="preserve"> </w:t>
      </w:r>
      <w:r w:rsidRPr="000D25EC">
        <w:rPr>
          <w:szCs w:val="24"/>
        </w:rPr>
        <w:t>6</w:t>
      </w:r>
      <w:r>
        <w:rPr>
          <w:szCs w:val="24"/>
        </w:rPr>
        <w:t> mil. </w:t>
      </w:r>
      <w:r w:rsidRPr="000D25EC">
        <w:rPr>
          <w:szCs w:val="24"/>
        </w:rPr>
        <w:t>t cukru ročně a</w:t>
      </w:r>
      <w:r>
        <w:rPr>
          <w:szCs w:val="24"/>
        </w:rPr>
        <w:t> </w:t>
      </w:r>
      <w:r w:rsidRPr="000D25EC">
        <w:rPr>
          <w:szCs w:val="24"/>
        </w:rPr>
        <w:t>Evropa jako celek se stala dovozovým regionem. Na výsledky reformy jsou nadále rozdílné pohledy zejména proto, že k</w:t>
      </w:r>
      <w:r>
        <w:rPr>
          <w:szCs w:val="24"/>
        </w:rPr>
        <w:t xml:space="preserve"> </w:t>
      </w:r>
      <w:r w:rsidRPr="000D25EC">
        <w:rPr>
          <w:szCs w:val="24"/>
        </w:rPr>
        <w:t>odevzdání kvót došlo i</w:t>
      </w:r>
      <w:r>
        <w:rPr>
          <w:szCs w:val="24"/>
        </w:rPr>
        <w:t xml:space="preserve"> </w:t>
      </w:r>
      <w:r w:rsidRPr="000D25EC">
        <w:rPr>
          <w:szCs w:val="24"/>
        </w:rPr>
        <w:t>v</w:t>
      </w:r>
      <w:r>
        <w:rPr>
          <w:szCs w:val="24"/>
        </w:rPr>
        <w:t xml:space="preserve"> </w:t>
      </w:r>
      <w:r w:rsidRPr="000D25EC">
        <w:rPr>
          <w:szCs w:val="24"/>
        </w:rPr>
        <w:t>konkurenceschopných regionech EU a</w:t>
      </w:r>
      <w:r>
        <w:rPr>
          <w:szCs w:val="24"/>
        </w:rPr>
        <w:t xml:space="preserve"> </w:t>
      </w:r>
      <w:r w:rsidRPr="000D25EC">
        <w:rPr>
          <w:szCs w:val="24"/>
        </w:rPr>
        <w:t>naopak zůstala výroba cukru zachována i v</w:t>
      </w:r>
      <w:r>
        <w:rPr>
          <w:szCs w:val="24"/>
        </w:rPr>
        <w:t xml:space="preserve"> </w:t>
      </w:r>
      <w:r w:rsidRPr="000D25EC">
        <w:rPr>
          <w:szCs w:val="24"/>
        </w:rPr>
        <w:t>regionech slabších.</w:t>
      </w:r>
    </w:p>
    <w:p w:rsidR="00DB11C1" w:rsidRPr="000D25EC" w:rsidRDefault="00DB11C1" w:rsidP="00DB11C1">
      <w:pPr>
        <w:rPr>
          <w:szCs w:val="24"/>
        </w:rPr>
      </w:pPr>
      <w:r w:rsidRPr="000D25EC">
        <w:rPr>
          <w:szCs w:val="24"/>
        </w:rPr>
        <w:t>SOT s</w:t>
      </w:r>
      <w:r>
        <w:rPr>
          <w:szCs w:val="24"/>
        </w:rPr>
        <w:t xml:space="preserve"> </w:t>
      </w:r>
      <w:r w:rsidRPr="000D25EC">
        <w:rPr>
          <w:szCs w:val="24"/>
        </w:rPr>
        <w:t>cukrem prošla změnou ještě v</w:t>
      </w:r>
      <w:r>
        <w:rPr>
          <w:szCs w:val="24"/>
        </w:rPr>
        <w:t xml:space="preserve"> </w:t>
      </w:r>
      <w:r w:rsidRPr="000D25EC">
        <w:rPr>
          <w:szCs w:val="24"/>
        </w:rPr>
        <w:t>roce 2013. V</w:t>
      </w:r>
      <w:r>
        <w:rPr>
          <w:szCs w:val="24"/>
        </w:rPr>
        <w:t xml:space="preserve"> </w:t>
      </w:r>
      <w:r w:rsidRPr="000D25EC">
        <w:rPr>
          <w:szCs w:val="24"/>
        </w:rPr>
        <w:t>rámci celkové reformy SZP a</w:t>
      </w:r>
      <w:r>
        <w:rPr>
          <w:szCs w:val="24"/>
        </w:rPr>
        <w:t> </w:t>
      </w:r>
      <w:r w:rsidRPr="000D25EC">
        <w:rPr>
          <w:szCs w:val="24"/>
        </w:rPr>
        <w:t>přípravy nového finančního rámce na období 2015 až 2020 bylo na základě kompromisu na úrovni orgánů EU (zejména EP, EK a Rady ministrů zemědělství) odsouhlaseno prodloužení trvání SOT s</w:t>
      </w:r>
      <w:r>
        <w:rPr>
          <w:szCs w:val="24"/>
        </w:rPr>
        <w:t xml:space="preserve"> </w:t>
      </w:r>
      <w:r w:rsidRPr="000D25EC">
        <w:rPr>
          <w:szCs w:val="24"/>
        </w:rPr>
        <w:t xml:space="preserve">cukrem do hospodářského roku 2016/17 včetně. Jiná možnost podpory byla </w:t>
      </w:r>
      <w:r>
        <w:rPr>
          <w:szCs w:val="24"/>
        </w:rPr>
        <w:t>otevřena v rámci kategorie tzv. </w:t>
      </w:r>
      <w:r w:rsidRPr="000D25EC">
        <w:rPr>
          <w:szCs w:val="24"/>
        </w:rPr>
        <w:t>citlivých komodit podle článku 52 nařízení Evropského parlamentu a Rady</w:t>
      </w:r>
      <w:r>
        <w:rPr>
          <w:szCs w:val="24"/>
        </w:rPr>
        <w:t xml:space="preserve"> </w:t>
      </w:r>
      <w:r w:rsidRPr="000D25EC">
        <w:rPr>
          <w:szCs w:val="24"/>
        </w:rPr>
        <w:t>(EU)</w:t>
      </w:r>
      <w:r>
        <w:rPr>
          <w:szCs w:val="24"/>
        </w:rPr>
        <w:t xml:space="preserve"> </w:t>
      </w:r>
      <w:r w:rsidRPr="000D25EC">
        <w:rPr>
          <w:szCs w:val="24"/>
        </w:rPr>
        <w:t>č. 1307/2013. Samotný systém SOT s</w:t>
      </w:r>
      <w:r>
        <w:rPr>
          <w:szCs w:val="24"/>
        </w:rPr>
        <w:t xml:space="preserve"> </w:t>
      </w:r>
      <w:r w:rsidRPr="000D25EC">
        <w:rPr>
          <w:szCs w:val="24"/>
        </w:rPr>
        <w:t>cukrem je od změn v</w:t>
      </w:r>
      <w:r>
        <w:rPr>
          <w:szCs w:val="24"/>
        </w:rPr>
        <w:t xml:space="preserve"> </w:t>
      </w:r>
      <w:r w:rsidRPr="000D25EC">
        <w:rPr>
          <w:szCs w:val="24"/>
        </w:rPr>
        <w:t>roce 2013 legislativně ukotven zejména v</w:t>
      </w:r>
      <w:r>
        <w:rPr>
          <w:szCs w:val="24"/>
        </w:rPr>
        <w:t xml:space="preserve"> </w:t>
      </w:r>
      <w:r w:rsidRPr="000D25EC">
        <w:rPr>
          <w:szCs w:val="24"/>
        </w:rPr>
        <w:t>nařízení Evropského parlamentu a</w:t>
      </w:r>
      <w:r>
        <w:rPr>
          <w:szCs w:val="24"/>
        </w:rPr>
        <w:t xml:space="preserve"> </w:t>
      </w:r>
      <w:r w:rsidRPr="000D25EC">
        <w:rPr>
          <w:szCs w:val="24"/>
        </w:rPr>
        <w:t>Rady</w:t>
      </w:r>
      <w:r>
        <w:rPr>
          <w:szCs w:val="24"/>
        </w:rPr>
        <w:t xml:space="preserve"> </w:t>
      </w:r>
      <w:r w:rsidRPr="000D25EC">
        <w:rPr>
          <w:szCs w:val="24"/>
        </w:rPr>
        <w:t>(EU)</w:t>
      </w:r>
      <w:r>
        <w:rPr>
          <w:szCs w:val="24"/>
        </w:rPr>
        <w:t xml:space="preserve"> </w:t>
      </w:r>
      <w:r w:rsidRPr="000D25EC">
        <w:rPr>
          <w:szCs w:val="24"/>
        </w:rPr>
        <w:t>č.</w:t>
      </w:r>
      <w:r>
        <w:rPr>
          <w:szCs w:val="24"/>
        </w:rPr>
        <w:t> </w:t>
      </w:r>
      <w:r w:rsidRPr="000D25EC">
        <w:rPr>
          <w:szCs w:val="24"/>
        </w:rPr>
        <w:t>1308/2013 ze dne</w:t>
      </w:r>
      <w:r>
        <w:rPr>
          <w:szCs w:val="24"/>
        </w:rPr>
        <w:t xml:space="preserve"> </w:t>
      </w:r>
      <w:r w:rsidRPr="000D25EC">
        <w:rPr>
          <w:szCs w:val="24"/>
        </w:rPr>
        <w:t>17. prosince</w:t>
      </w:r>
      <w:r>
        <w:rPr>
          <w:szCs w:val="24"/>
        </w:rPr>
        <w:t xml:space="preserve"> </w:t>
      </w:r>
      <w:r w:rsidRPr="000D25EC">
        <w:rPr>
          <w:szCs w:val="24"/>
        </w:rPr>
        <w:t>2013, kterým se stanoví společná organizace zemědělských trhů se zemědělskými produkty. Celková kvóta cukru EU před reformou v</w:t>
      </w:r>
      <w:r>
        <w:rPr>
          <w:szCs w:val="24"/>
        </w:rPr>
        <w:t xml:space="preserve"> </w:t>
      </w:r>
      <w:r w:rsidRPr="000D25EC">
        <w:rPr>
          <w:szCs w:val="24"/>
        </w:rPr>
        <w:t>letech 2006 až 2009 činila 17</w:t>
      </w:r>
      <w:r w:rsidR="00787D0C">
        <w:rPr>
          <w:szCs w:val="24"/>
        </w:rPr>
        <w:t> </w:t>
      </w:r>
      <w:r w:rsidRPr="000D25EC">
        <w:rPr>
          <w:szCs w:val="24"/>
        </w:rPr>
        <w:t>554,5</w:t>
      </w:r>
      <w:r w:rsidR="00787D0C">
        <w:rPr>
          <w:szCs w:val="24"/>
        </w:rPr>
        <w:t> </w:t>
      </w:r>
      <w:r w:rsidRPr="000D25EC">
        <w:rPr>
          <w:szCs w:val="24"/>
        </w:rPr>
        <w:t>tis.</w:t>
      </w:r>
      <w:r w:rsidR="00787D0C">
        <w:rPr>
          <w:szCs w:val="24"/>
        </w:rPr>
        <w:t> </w:t>
      </w:r>
      <w:r w:rsidRPr="000D25EC">
        <w:rPr>
          <w:szCs w:val="24"/>
        </w:rPr>
        <w:t>t, v rámci reformy došlo ke snížení na výsledných 13</w:t>
      </w:r>
      <w:r w:rsidR="00787D0C">
        <w:rPr>
          <w:szCs w:val="24"/>
        </w:rPr>
        <w:t> </w:t>
      </w:r>
      <w:r w:rsidRPr="000D25EC">
        <w:rPr>
          <w:szCs w:val="24"/>
        </w:rPr>
        <w:t>336,7</w:t>
      </w:r>
      <w:r w:rsidR="00787D0C">
        <w:rPr>
          <w:szCs w:val="24"/>
        </w:rPr>
        <w:t> </w:t>
      </w:r>
      <w:r w:rsidRPr="000D25EC">
        <w:rPr>
          <w:szCs w:val="24"/>
        </w:rPr>
        <w:t>tis.</w:t>
      </w:r>
      <w:r w:rsidR="00787D0C">
        <w:rPr>
          <w:szCs w:val="24"/>
        </w:rPr>
        <w:t> </w:t>
      </w:r>
      <w:r w:rsidRPr="000D25EC">
        <w:rPr>
          <w:szCs w:val="24"/>
        </w:rPr>
        <w:t>t v</w:t>
      </w:r>
      <w:r>
        <w:rPr>
          <w:szCs w:val="24"/>
        </w:rPr>
        <w:t> </w:t>
      </w:r>
      <w:r w:rsidRPr="000D25EC">
        <w:rPr>
          <w:szCs w:val="24"/>
        </w:rPr>
        <w:t>EU</w:t>
      </w:r>
      <w:r>
        <w:rPr>
          <w:szCs w:val="24"/>
        </w:rPr>
        <w:t xml:space="preserve"> </w:t>
      </w:r>
      <w:r w:rsidRPr="000D25EC">
        <w:rPr>
          <w:szCs w:val="24"/>
        </w:rPr>
        <w:t xml:space="preserve">27. Kvóta </w:t>
      </w:r>
      <w:proofErr w:type="spellStart"/>
      <w:r w:rsidRPr="000D25EC">
        <w:rPr>
          <w:szCs w:val="24"/>
        </w:rPr>
        <w:t>isoglukózy</w:t>
      </w:r>
      <w:proofErr w:type="spellEnd"/>
      <w:r w:rsidRPr="000D25EC">
        <w:rPr>
          <w:szCs w:val="24"/>
        </w:rPr>
        <w:t xml:space="preserve"> činí 611,4</w:t>
      </w:r>
      <w:r>
        <w:rPr>
          <w:szCs w:val="24"/>
        </w:rPr>
        <w:t xml:space="preserve"> </w:t>
      </w:r>
      <w:r w:rsidRPr="000D25EC">
        <w:rPr>
          <w:szCs w:val="24"/>
        </w:rPr>
        <w:t>tis.</w:t>
      </w:r>
      <w:r>
        <w:rPr>
          <w:szCs w:val="24"/>
        </w:rPr>
        <w:t xml:space="preserve"> </w:t>
      </w:r>
      <w:r w:rsidRPr="000D25EC">
        <w:rPr>
          <w:szCs w:val="24"/>
        </w:rPr>
        <w:t>t, výroba inulinového sirupu (320,7</w:t>
      </w:r>
      <w:r>
        <w:rPr>
          <w:szCs w:val="24"/>
        </w:rPr>
        <w:t xml:space="preserve"> </w:t>
      </w:r>
      <w:r w:rsidRPr="000D25EC">
        <w:rPr>
          <w:szCs w:val="24"/>
        </w:rPr>
        <w:t>tis.</w:t>
      </w:r>
      <w:r>
        <w:rPr>
          <w:szCs w:val="24"/>
        </w:rPr>
        <w:t xml:space="preserve"> </w:t>
      </w:r>
      <w:r w:rsidRPr="000D25EC">
        <w:rPr>
          <w:szCs w:val="24"/>
        </w:rPr>
        <w:t>t) byla zcela zrušena. Prozatím poslední přistoupivší stát (Chorvatsko) od</w:t>
      </w:r>
      <w:r w:rsidR="00787D0C">
        <w:rPr>
          <w:szCs w:val="24"/>
        </w:rPr>
        <w:t xml:space="preserve"> roku 2014 roční kvótu cukru EU </w:t>
      </w:r>
      <w:r w:rsidRPr="000D25EC">
        <w:rPr>
          <w:szCs w:val="24"/>
        </w:rPr>
        <w:t>28 zvýšil na celkových 13</w:t>
      </w:r>
      <w:r>
        <w:rPr>
          <w:szCs w:val="24"/>
        </w:rPr>
        <w:t xml:space="preserve"> </w:t>
      </w:r>
      <w:r w:rsidRPr="000D25EC">
        <w:rPr>
          <w:szCs w:val="24"/>
        </w:rPr>
        <w:t>529,6 tis. t.</w:t>
      </w:r>
    </w:p>
    <w:p w:rsidR="00DB11C1" w:rsidRPr="000D25EC" w:rsidRDefault="00DB11C1" w:rsidP="00DB11C1">
      <w:pPr>
        <w:rPr>
          <w:szCs w:val="24"/>
        </w:rPr>
      </w:pPr>
      <w:r w:rsidRPr="000D25EC">
        <w:rPr>
          <w:szCs w:val="24"/>
        </w:rPr>
        <w:lastRenderedPageBreak/>
        <w:t>Cukrovarnická kampaň 2014/15 proběhla v</w:t>
      </w:r>
      <w:r>
        <w:rPr>
          <w:szCs w:val="24"/>
        </w:rPr>
        <w:t xml:space="preserve"> </w:t>
      </w:r>
      <w:r w:rsidRPr="000D25EC">
        <w:rPr>
          <w:szCs w:val="24"/>
        </w:rPr>
        <w:t>ČR v</w:t>
      </w:r>
      <w:r>
        <w:rPr>
          <w:szCs w:val="24"/>
        </w:rPr>
        <w:t xml:space="preserve"> </w:t>
      </w:r>
      <w:r w:rsidRPr="000D25EC">
        <w:rPr>
          <w:szCs w:val="24"/>
        </w:rPr>
        <w:t>období od</w:t>
      </w:r>
      <w:r>
        <w:rPr>
          <w:szCs w:val="24"/>
        </w:rPr>
        <w:t xml:space="preserve"> </w:t>
      </w:r>
      <w:r w:rsidRPr="000D25EC">
        <w:rPr>
          <w:szCs w:val="24"/>
        </w:rPr>
        <w:t>8.</w:t>
      </w:r>
      <w:r>
        <w:rPr>
          <w:szCs w:val="24"/>
        </w:rPr>
        <w:t xml:space="preserve"> </w:t>
      </w:r>
      <w:r w:rsidRPr="000D25EC">
        <w:rPr>
          <w:szCs w:val="24"/>
        </w:rPr>
        <w:t>září 2014 (od</w:t>
      </w:r>
      <w:r>
        <w:rPr>
          <w:szCs w:val="24"/>
        </w:rPr>
        <w:t xml:space="preserve"> </w:t>
      </w:r>
      <w:r w:rsidRPr="000D25EC">
        <w:rPr>
          <w:szCs w:val="24"/>
        </w:rPr>
        <w:t>24.</w:t>
      </w:r>
      <w:r>
        <w:rPr>
          <w:szCs w:val="24"/>
        </w:rPr>
        <w:t xml:space="preserve"> </w:t>
      </w:r>
      <w:r w:rsidRPr="000D25EC">
        <w:rPr>
          <w:szCs w:val="24"/>
        </w:rPr>
        <w:t>září v</w:t>
      </w:r>
      <w:r w:rsidR="00787D0C">
        <w:rPr>
          <w:szCs w:val="24"/>
        </w:rPr>
        <w:t> </w:t>
      </w:r>
      <w:r w:rsidRPr="000D25EC">
        <w:rPr>
          <w:szCs w:val="24"/>
        </w:rPr>
        <w:t>roce 2013) do</w:t>
      </w:r>
      <w:r>
        <w:rPr>
          <w:szCs w:val="24"/>
        </w:rPr>
        <w:t xml:space="preserve"> </w:t>
      </w:r>
      <w:r w:rsidRPr="000D25EC">
        <w:rPr>
          <w:szCs w:val="24"/>
        </w:rPr>
        <w:t>3.</w:t>
      </w:r>
      <w:r>
        <w:rPr>
          <w:szCs w:val="24"/>
        </w:rPr>
        <w:t xml:space="preserve"> </w:t>
      </w:r>
      <w:r w:rsidRPr="000D25EC">
        <w:rPr>
          <w:szCs w:val="24"/>
        </w:rPr>
        <w:t>března 2015 (do</w:t>
      </w:r>
      <w:r>
        <w:rPr>
          <w:szCs w:val="24"/>
        </w:rPr>
        <w:t xml:space="preserve"> </w:t>
      </w:r>
      <w:r w:rsidRPr="000D25EC">
        <w:rPr>
          <w:szCs w:val="24"/>
        </w:rPr>
        <w:t>26.</w:t>
      </w:r>
      <w:r>
        <w:rPr>
          <w:szCs w:val="24"/>
        </w:rPr>
        <w:t xml:space="preserve"> </w:t>
      </w:r>
      <w:r w:rsidRPr="000D25EC">
        <w:rPr>
          <w:szCs w:val="24"/>
        </w:rPr>
        <w:t>1.</w:t>
      </w:r>
      <w:r>
        <w:rPr>
          <w:szCs w:val="24"/>
        </w:rPr>
        <w:t xml:space="preserve"> </w:t>
      </w:r>
      <w:r w:rsidRPr="000D25EC">
        <w:rPr>
          <w:szCs w:val="24"/>
        </w:rPr>
        <w:t>v</w:t>
      </w:r>
      <w:r>
        <w:rPr>
          <w:szCs w:val="24"/>
        </w:rPr>
        <w:t xml:space="preserve"> </w:t>
      </w:r>
      <w:r w:rsidRPr="000D25EC">
        <w:rPr>
          <w:szCs w:val="24"/>
        </w:rPr>
        <w:t>roce 2014) a</w:t>
      </w:r>
      <w:r>
        <w:rPr>
          <w:szCs w:val="24"/>
        </w:rPr>
        <w:t xml:space="preserve"> </w:t>
      </w:r>
      <w:r w:rsidRPr="000D25EC">
        <w:rPr>
          <w:szCs w:val="24"/>
        </w:rPr>
        <w:t>průměrná délka kampaně dosáhla přibližně 139</w:t>
      </w:r>
      <w:r>
        <w:rPr>
          <w:szCs w:val="24"/>
        </w:rPr>
        <w:t> </w:t>
      </w:r>
      <w:r w:rsidRPr="000D25EC">
        <w:rPr>
          <w:szCs w:val="24"/>
        </w:rPr>
        <w:t>dnů (107,5</w:t>
      </w:r>
      <w:r>
        <w:rPr>
          <w:szCs w:val="24"/>
        </w:rPr>
        <w:t xml:space="preserve"> </w:t>
      </w:r>
      <w:r w:rsidRPr="000D25EC">
        <w:rPr>
          <w:szCs w:val="24"/>
        </w:rPr>
        <w:t>dnů v</w:t>
      </w:r>
      <w:r>
        <w:rPr>
          <w:szCs w:val="24"/>
        </w:rPr>
        <w:t xml:space="preserve"> </w:t>
      </w:r>
      <w:r w:rsidRPr="000D25EC">
        <w:rPr>
          <w:szCs w:val="24"/>
        </w:rPr>
        <w:t>roce 2013/14), celková doba dosáhla 179 dnů. Ve srovnání s</w:t>
      </w:r>
      <w:r w:rsidR="00787D0C">
        <w:rPr>
          <w:szCs w:val="24"/>
        </w:rPr>
        <w:t> </w:t>
      </w:r>
      <w:r w:rsidRPr="000D25EC">
        <w:rPr>
          <w:szCs w:val="24"/>
        </w:rPr>
        <w:t>předcházejícím obdobím i</w:t>
      </w:r>
      <w:r>
        <w:rPr>
          <w:szCs w:val="24"/>
        </w:rPr>
        <w:t xml:space="preserve"> </w:t>
      </w:r>
      <w:r w:rsidRPr="000D25EC">
        <w:rPr>
          <w:szCs w:val="24"/>
        </w:rPr>
        <w:t>deseti lety byla nejdelší v</w:t>
      </w:r>
      <w:r>
        <w:rPr>
          <w:szCs w:val="24"/>
        </w:rPr>
        <w:t xml:space="preserve"> </w:t>
      </w:r>
      <w:r w:rsidRPr="000D25EC">
        <w:rPr>
          <w:szCs w:val="24"/>
        </w:rPr>
        <w:t>novodobé historii. Na</w:t>
      </w:r>
      <w:r>
        <w:rPr>
          <w:szCs w:val="24"/>
        </w:rPr>
        <w:t xml:space="preserve"> </w:t>
      </w:r>
      <w:r w:rsidRPr="000D25EC">
        <w:rPr>
          <w:szCs w:val="24"/>
        </w:rPr>
        <w:t>celkové výrobě cukru se v</w:t>
      </w:r>
      <w:r>
        <w:rPr>
          <w:szCs w:val="24"/>
        </w:rPr>
        <w:t xml:space="preserve"> </w:t>
      </w:r>
      <w:r w:rsidRPr="000D25EC">
        <w:rPr>
          <w:szCs w:val="24"/>
        </w:rPr>
        <w:t>Čechách a na</w:t>
      </w:r>
      <w:r>
        <w:rPr>
          <w:szCs w:val="24"/>
        </w:rPr>
        <w:t xml:space="preserve"> </w:t>
      </w:r>
      <w:r w:rsidRPr="000D25EC">
        <w:rPr>
          <w:szCs w:val="24"/>
        </w:rPr>
        <w:t>Moravě podílelo pět cukrovarnických společností (</w:t>
      </w:r>
      <w:proofErr w:type="spellStart"/>
      <w:r w:rsidRPr="000D25EC">
        <w:rPr>
          <w:szCs w:val="24"/>
        </w:rPr>
        <w:t>Tereos</w:t>
      </w:r>
      <w:proofErr w:type="spellEnd"/>
      <w:r>
        <w:rPr>
          <w:szCs w:val="24"/>
        </w:rPr>
        <w:t xml:space="preserve"> </w:t>
      </w:r>
      <w:r w:rsidRPr="000D25EC">
        <w:rPr>
          <w:szCs w:val="24"/>
        </w:rPr>
        <w:t>TTD,</w:t>
      </w:r>
      <w:r>
        <w:rPr>
          <w:szCs w:val="24"/>
        </w:rPr>
        <w:t xml:space="preserve"> </w:t>
      </w:r>
      <w:r w:rsidRPr="000D25EC">
        <w:rPr>
          <w:szCs w:val="24"/>
        </w:rPr>
        <w:t>a.</w:t>
      </w:r>
      <w:r>
        <w:rPr>
          <w:szCs w:val="24"/>
        </w:rPr>
        <w:t xml:space="preserve"> </w:t>
      </w:r>
      <w:r w:rsidRPr="000D25EC">
        <w:rPr>
          <w:szCs w:val="24"/>
        </w:rPr>
        <w:t>s., Moravskoslezské cukrovary,</w:t>
      </w:r>
      <w:r>
        <w:rPr>
          <w:szCs w:val="24"/>
        </w:rPr>
        <w:t xml:space="preserve"> </w:t>
      </w:r>
      <w:r w:rsidRPr="000D25EC">
        <w:rPr>
          <w:szCs w:val="24"/>
        </w:rPr>
        <w:t>a.</w:t>
      </w:r>
      <w:r>
        <w:rPr>
          <w:szCs w:val="24"/>
        </w:rPr>
        <w:t> </w:t>
      </w:r>
      <w:r w:rsidRPr="000D25EC">
        <w:rPr>
          <w:szCs w:val="24"/>
        </w:rPr>
        <w:t>s., Cukrovar Vrbátky,</w:t>
      </w:r>
      <w:r>
        <w:rPr>
          <w:szCs w:val="24"/>
        </w:rPr>
        <w:t xml:space="preserve"> </w:t>
      </w:r>
      <w:r w:rsidRPr="000D25EC">
        <w:rPr>
          <w:szCs w:val="24"/>
        </w:rPr>
        <w:t>a.</w:t>
      </w:r>
      <w:r>
        <w:rPr>
          <w:szCs w:val="24"/>
        </w:rPr>
        <w:t xml:space="preserve"> </w:t>
      </w:r>
      <w:r w:rsidRPr="000D25EC">
        <w:rPr>
          <w:szCs w:val="24"/>
        </w:rPr>
        <w:t xml:space="preserve">s., Litovelská </w:t>
      </w:r>
      <w:proofErr w:type="spellStart"/>
      <w:r w:rsidRPr="000D25EC">
        <w:rPr>
          <w:szCs w:val="24"/>
        </w:rPr>
        <w:t>cukrovarna</w:t>
      </w:r>
      <w:proofErr w:type="spellEnd"/>
      <w:r w:rsidRPr="000D25EC">
        <w:rPr>
          <w:szCs w:val="24"/>
        </w:rPr>
        <w:t>,</w:t>
      </w:r>
      <w:r>
        <w:rPr>
          <w:szCs w:val="24"/>
        </w:rPr>
        <w:t xml:space="preserve"> </w:t>
      </w:r>
      <w:r w:rsidRPr="000D25EC">
        <w:rPr>
          <w:szCs w:val="24"/>
        </w:rPr>
        <w:t>a.</w:t>
      </w:r>
      <w:r>
        <w:rPr>
          <w:szCs w:val="24"/>
        </w:rPr>
        <w:t xml:space="preserve"> </w:t>
      </w:r>
      <w:r w:rsidRPr="000D25EC">
        <w:rPr>
          <w:szCs w:val="24"/>
        </w:rPr>
        <w:t>s.</w:t>
      </w:r>
      <w:r>
        <w:rPr>
          <w:szCs w:val="24"/>
        </w:rPr>
        <w:t>,</w:t>
      </w:r>
      <w:r w:rsidRPr="000D25EC">
        <w:rPr>
          <w:szCs w:val="24"/>
        </w:rPr>
        <w:t xml:space="preserve"> a</w:t>
      </w:r>
      <w:r w:rsidR="00787D0C">
        <w:rPr>
          <w:szCs w:val="24"/>
        </w:rPr>
        <w:t> </w:t>
      </w:r>
      <w:r w:rsidRPr="000D25EC">
        <w:rPr>
          <w:szCs w:val="24"/>
        </w:rPr>
        <w:t>Hanácká potravinářská společnost,</w:t>
      </w:r>
      <w:r>
        <w:rPr>
          <w:szCs w:val="24"/>
        </w:rPr>
        <w:t xml:space="preserve"> </w:t>
      </w:r>
      <w:r w:rsidRPr="000D25EC">
        <w:rPr>
          <w:szCs w:val="24"/>
        </w:rPr>
        <w:t>s.</w:t>
      </w:r>
      <w:r>
        <w:rPr>
          <w:szCs w:val="24"/>
        </w:rPr>
        <w:t> </w:t>
      </w:r>
      <w:r w:rsidRPr="000D25EC">
        <w:rPr>
          <w:szCs w:val="24"/>
        </w:rPr>
        <w:t>r.</w:t>
      </w:r>
      <w:r>
        <w:rPr>
          <w:szCs w:val="24"/>
        </w:rPr>
        <w:t> </w:t>
      </w:r>
      <w:r w:rsidRPr="000D25EC">
        <w:rPr>
          <w:szCs w:val="24"/>
        </w:rPr>
        <w:t>o). Celkový jmenovitý výkon</w:t>
      </w:r>
      <w:r w:rsidRPr="00382875">
        <w:rPr>
          <w:rStyle w:val="Znakapoznpodarou"/>
        </w:rPr>
        <w:footnoteReference w:id="130"/>
      </w:r>
      <w:r w:rsidRPr="000D25EC">
        <w:rPr>
          <w:szCs w:val="24"/>
        </w:rPr>
        <w:t xml:space="preserve"> cukrovarů se opět mírně zvýšil (36</w:t>
      </w:r>
      <w:r>
        <w:rPr>
          <w:szCs w:val="24"/>
        </w:rPr>
        <w:t xml:space="preserve"> </w:t>
      </w:r>
      <w:r w:rsidRPr="000D25EC">
        <w:rPr>
          <w:szCs w:val="24"/>
        </w:rPr>
        <w:t>600</w:t>
      </w:r>
      <w:r>
        <w:rPr>
          <w:szCs w:val="24"/>
        </w:rPr>
        <w:t xml:space="preserve"> </w:t>
      </w:r>
      <w:r w:rsidRPr="000D25EC">
        <w:rPr>
          <w:szCs w:val="24"/>
        </w:rPr>
        <w:t>t/d</w:t>
      </w:r>
      <w:r>
        <w:rPr>
          <w:szCs w:val="24"/>
        </w:rPr>
        <w:t xml:space="preserve"> </w:t>
      </w:r>
      <w:r w:rsidRPr="000D25EC">
        <w:rPr>
          <w:szCs w:val="24"/>
        </w:rPr>
        <w:t>ř.</w:t>
      </w:r>
      <w:r w:rsidRPr="00631A17">
        <w:rPr>
          <w:rStyle w:val="Znakapoznpodarou"/>
        </w:rPr>
        <w:footnoteReference w:id="131"/>
      </w:r>
      <w:r w:rsidRPr="000D25EC">
        <w:rPr>
          <w:szCs w:val="24"/>
        </w:rPr>
        <w:t>), průměrný denní jmenovitý výkon</w:t>
      </w:r>
      <w:r w:rsidRPr="00631A17">
        <w:rPr>
          <w:rStyle w:val="Znakapoznpodarou"/>
        </w:rPr>
        <w:footnoteReference w:id="132"/>
      </w:r>
      <w:r w:rsidRPr="000D25EC">
        <w:rPr>
          <w:szCs w:val="24"/>
        </w:rPr>
        <w:t xml:space="preserve"> jednoho cukrovaru se snížil (5</w:t>
      </w:r>
      <w:r>
        <w:rPr>
          <w:szCs w:val="24"/>
        </w:rPr>
        <w:t xml:space="preserve"> </w:t>
      </w:r>
      <w:r w:rsidRPr="000D25EC">
        <w:rPr>
          <w:szCs w:val="24"/>
        </w:rPr>
        <w:t>000</w:t>
      </w:r>
      <w:r>
        <w:rPr>
          <w:szCs w:val="24"/>
        </w:rPr>
        <w:t xml:space="preserve"> </w:t>
      </w:r>
      <w:r w:rsidRPr="000D25EC">
        <w:rPr>
          <w:szCs w:val="24"/>
        </w:rPr>
        <w:t>t/d</w:t>
      </w:r>
      <w:r>
        <w:rPr>
          <w:szCs w:val="24"/>
        </w:rPr>
        <w:t xml:space="preserve"> </w:t>
      </w:r>
      <w:r w:rsidRPr="000D25EC">
        <w:rPr>
          <w:szCs w:val="24"/>
        </w:rPr>
        <w:t>ř.</w:t>
      </w:r>
      <w:r w:rsidRPr="00631A17">
        <w:rPr>
          <w:rStyle w:val="Znakapoznpodarou"/>
        </w:rPr>
        <w:footnoteReference w:id="133"/>
      </w:r>
      <w:r w:rsidRPr="000D25EC">
        <w:rPr>
          <w:szCs w:val="24"/>
        </w:rPr>
        <w:t>). Pro</w:t>
      </w:r>
      <w:r>
        <w:rPr>
          <w:szCs w:val="24"/>
        </w:rPr>
        <w:t xml:space="preserve"> </w:t>
      </w:r>
      <w:r w:rsidRPr="000D25EC">
        <w:rPr>
          <w:szCs w:val="24"/>
        </w:rPr>
        <w:t>rok</w:t>
      </w:r>
      <w:r>
        <w:rPr>
          <w:szCs w:val="24"/>
        </w:rPr>
        <w:t xml:space="preserve"> </w:t>
      </w:r>
      <w:r w:rsidRPr="000D25EC">
        <w:rPr>
          <w:szCs w:val="24"/>
        </w:rPr>
        <w:t>2014/15 zůstala kvóta cukru ve výši 372,5</w:t>
      </w:r>
      <w:r>
        <w:rPr>
          <w:szCs w:val="24"/>
        </w:rPr>
        <w:t xml:space="preserve"> </w:t>
      </w:r>
      <w:r w:rsidRPr="000D25EC">
        <w:rPr>
          <w:szCs w:val="24"/>
        </w:rPr>
        <w:t>tis.</w:t>
      </w:r>
      <w:r>
        <w:rPr>
          <w:szCs w:val="24"/>
        </w:rPr>
        <w:t xml:space="preserve"> </w:t>
      </w:r>
      <w:r w:rsidRPr="000D25EC">
        <w:rPr>
          <w:szCs w:val="24"/>
        </w:rPr>
        <w:t>t, stejně jako v</w:t>
      </w:r>
      <w:r w:rsidR="00787D0C">
        <w:rPr>
          <w:szCs w:val="24"/>
        </w:rPr>
        <w:t> </w:t>
      </w:r>
      <w:r w:rsidRPr="000D25EC">
        <w:rPr>
          <w:szCs w:val="24"/>
        </w:rPr>
        <w:t>předchozím roce.</w:t>
      </w:r>
    </w:p>
    <w:p w:rsidR="00DB11C1" w:rsidRPr="000D25EC" w:rsidRDefault="00DB11C1" w:rsidP="00DB11C1">
      <w:pPr>
        <w:rPr>
          <w:szCs w:val="24"/>
        </w:rPr>
      </w:pPr>
      <w:r w:rsidRPr="000D25EC">
        <w:rPr>
          <w:szCs w:val="24"/>
        </w:rPr>
        <w:t>Sklizni řepy předcházelo poměrně vlhké období již od léta. Dlouhodobé skladování řepy zejména ve druhé polovině kampaně bylo poměrně dobré s relativně</w:t>
      </w:r>
      <w:r>
        <w:rPr>
          <w:szCs w:val="24"/>
        </w:rPr>
        <w:t xml:space="preserve"> </w:t>
      </w:r>
      <w:r w:rsidRPr="000D25EC">
        <w:rPr>
          <w:szCs w:val="24"/>
        </w:rPr>
        <w:t>malými ztrátami. Část dlouhodobě uskladněné řepy v</w:t>
      </w:r>
      <w:r>
        <w:rPr>
          <w:szCs w:val="24"/>
        </w:rPr>
        <w:t xml:space="preserve"> </w:t>
      </w:r>
      <w:r w:rsidRPr="000D25EC">
        <w:rPr>
          <w:szCs w:val="24"/>
        </w:rPr>
        <w:t>množství několika set tisíc tun byla opět zakryta řezanou slámou a</w:t>
      </w:r>
      <w:r>
        <w:rPr>
          <w:szCs w:val="24"/>
        </w:rPr>
        <w:t> </w:t>
      </w:r>
      <w:r w:rsidRPr="000D25EC">
        <w:rPr>
          <w:szCs w:val="24"/>
        </w:rPr>
        <w:t>opět s</w:t>
      </w:r>
      <w:r>
        <w:rPr>
          <w:szCs w:val="24"/>
        </w:rPr>
        <w:t xml:space="preserve"> </w:t>
      </w:r>
      <w:r w:rsidRPr="000D25EC">
        <w:rPr>
          <w:szCs w:val="24"/>
        </w:rPr>
        <w:t>lepšími výsledky než řepa n</w:t>
      </w:r>
      <w:r w:rsidR="00E86ED0">
        <w:rPr>
          <w:szCs w:val="24"/>
        </w:rPr>
        <w:t>e</w:t>
      </w:r>
      <w:r w:rsidRPr="000D25EC">
        <w:rPr>
          <w:szCs w:val="24"/>
        </w:rPr>
        <w:t>zakrytá. Sklizeň skončila až v</w:t>
      </w:r>
      <w:r>
        <w:rPr>
          <w:szCs w:val="24"/>
        </w:rPr>
        <w:t xml:space="preserve"> </w:t>
      </w:r>
      <w:r w:rsidRPr="000D25EC">
        <w:rPr>
          <w:szCs w:val="24"/>
        </w:rPr>
        <w:t>prvních dnech měsíce prosince.</w:t>
      </w:r>
    </w:p>
    <w:p w:rsidR="00DB11C1" w:rsidRDefault="00DB11C1" w:rsidP="00DB11C1">
      <w:pPr>
        <w:pStyle w:val="mezera"/>
      </w:pPr>
    </w:p>
    <w:p w:rsidR="00DB11C1" w:rsidRPr="000D25EC" w:rsidRDefault="00AB226C" w:rsidP="00AB226C">
      <w:pPr>
        <w:pStyle w:val="mezera"/>
      </w:pPr>
      <w:r w:rsidRPr="00AB226C">
        <w:rPr>
          <w:noProof/>
          <w:lang w:eastAsia="cs-CZ"/>
        </w:rPr>
        <w:lastRenderedPageBreak/>
        <w:drawing>
          <wp:inline distT="0" distB="0" distL="0" distR="0" wp14:anchorId="1801FD24" wp14:editId="1F590261">
            <wp:extent cx="5760720" cy="7588070"/>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7588070"/>
                    </a:xfrm>
                    <a:prstGeom prst="rect">
                      <a:avLst/>
                    </a:prstGeom>
                    <a:noFill/>
                    <a:ln>
                      <a:noFill/>
                    </a:ln>
                  </pic:spPr>
                </pic:pic>
              </a:graphicData>
            </a:graphic>
          </wp:inline>
        </w:drawing>
      </w:r>
    </w:p>
    <w:p w:rsidR="00DB11C1" w:rsidRPr="000D25EC" w:rsidRDefault="00DB11C1" w:rsidP="00DB11C1">
      <w:pPr>
        <w:pStyle w:val="mezera"/>
      </w:pPr>
    </w:p>
    <w:p w:rsidR="00DB11C1" w:rsidRPr="000D25EC" w:rsidRDefault="00DB11C1" w:rsidP="00DB11C1">
      <w:pPr>
        <w:rPr>
          <w:szCs w:val="24"/>
        </w:rPr>
      </w:pPr>
      <w:r w:rsidRPr="000D25EC">
        <w:rPr>
          <w:szCs w:val="24"/>
        </w:rPr>
        <w:t>Bilanční ukazatele uvedené v</w:t>
      </w:r>
      <w:r>
        <w:rPr>
          <w:szCs w:val="24"/>
        </w:rPr>
        <w:t xml:space="preserve"> </w:t>
      </w:r>
      <w:r w:rsidRPr="000D25EC">
        <w:rPr>
          <w:szCs w:val="24"/>
        </w:rPr>
        <w:t>tab.</w:t>
      </w:r>
      <w:r>
        <w:rPr>
          <w:szCs w:val="24"/>
        </w:rPr>
        <w:t xml:space="preserve"> </w:t>
      </w:r>
      <w:r w:rsidRPr="000D25EC">
        <w:rPr>
          <w:szCs w:val="24"/>
        </w:rPr>
        <w:t>T8.1/05 jsou získané z</w:t>
      </w:r>
      <w:r>
        <w:rPr>
          <w:szCs w:val="24"/>
        </w:rPr>
        <w:t xml:space="preserve"> </w:t>
      </w:r>
      <w:r w:rsidRPr="000D25EC">
        <w:rPr>
          <w:szCs w:val="24"/>
        </w:rPr>
        <w:t>tabulky Statistika komodity cukr</w:t>
      </w:r>
      <w:r>
        <w:rPr>
          <w:szCs w:val="24"/>
        </w:rPr>
        <w:t xml:space="preserve"> </w:t>
      </w:r>
      <w:r w:rsidRPr="000D25EC">
        <w:rPr>
          <w:szCs w:val="24"/>
        </w:rPr>
        <w:t>–</w:t>
      </w:r>
      <w:r>
        <w:rPr>
          <w:szCs w:val="24"/>
        </w:rPr>
        <w:t xml:space="preserve"> </w:t>
      </w:r>
      <w:r w:rsidRPr="000D25EC">
        <w:rPr>
          <w:szCs w:val="24"/>
        </w:rPr>
        <w:t>cukrová řepa v</w:t>
      </w:r>
      <w:r>
        <w:rPr>
          <w:szCs w:val="24"/>
        </w:rPr>
        <w:t xml:space="preserve"> </w:t>
      </w:r>
      <w:r w:rsidRPr="000D25EC">
        <w:rPr>
          <w:szCs w:val="24"/>
        </w:rPr>
        <w:t>České republice vydané MZe, která vychází z</w:t>
      </w:r>
      <w:r>
        <w:rPr>
          <w:szCs w:val="24"/>
        </w:rPr>
        <w:t xml:space="preserve"> </w:t>
      </w:r>
      <w:r w:rsidRPr="000D25EC">
        <w:rPr>
          <w:szCs w:val="24"/>
        </w:rPr>
        <w:t>předpisů EU a</w:t>
      </w:r>
      <w:r>
        <w:rPr>
          <w:szCs w:val="24"/>
        </w:rPr>
        <w:t xml:space="preserve"> </w:t>
      </w:r>
      <w:r w:rsidRPr="000D25EC">
        <w:rPr>
          <w:szCs w:val="24"/>
        </w:rPr>
        <w:t>ČR k</w:t>
      </w:r>
      <w:r w:rsidR="00787D0C">
        <w:rPr>
          <w:szCs w:val="24"/>
        </w:rPr>
        <w:t> </w:t>
      </w:r>
      <w:r w:rsidRPr="000D25EC">
        <w:rPr>
          <w:szCs w:val="24"/>
        </w:rPr>
        <w:t>regulaci trhu s</w:t>
      </w:r>
      <w:r>
        <w:rPr>
          <w:szCs w:val="24"/>
        </w:rPr>
        <w:t> </w:t>
      </w:r>
      <w:r w:rsidRPr="000D25EC">
        <w:rPr>
          <w:szCs w:val="24"/>
        </w:rPr>
        <w:t>cukrem.</w:t>
      </w:r>
    </w:p>
    <w:p w:rsidR="00DB11C1" w:rsidRPr="000D25EC" w:rsidRDefault="00DB11C1" w:rsidP="00DB11C1">
      <w:pPr>
        <w:rPr>
          <w:szCs w:val="24"/>
        </w:rPr>
      </w:pPr>
      <w:r w:rsidRPr="000D25EC">
        <w:rPr>
          <w:szCs w:val="24"/>
        </w:rPr>
        <w:lastRenderedPageBreak/>
        <w:t>V</w:t>
      </w:r>
      <w:r>
        <w:rPr>
          <w:szCs w:val="24"/>
        </w:rPr>
        <w:t xml:space="preserve"> </w:t>
      </w:r>
      <w:r w:rsidRPr="000D25EC">
        <w:rPr>
          <w:szCs w:val="24"/>
        </w:rPr>
        <w:t>ČR se cukrová řepa pro výrobu cukru v</w:t>
      </w:r>
      <w:r>
        <w:rPr>
          <w:szCs w:val="24"/>
        </w:rPr>
        <w:t xml:space="preserve"> </w:t>
      </w:r>
      <w:r w:rsidRPr="000D25EC">
        <w:rPr>
          <w:szCs w:val="24"/>
        </w:rPr>
        <w:t>roce 2014/15 pěstovala na ploše 53,8</w:t>
      </w:r>
      <w:r>
        <w:rPr>
          <w:szCs w:val="24"/>
        </w:rPr>
        <w:t xml:space="preserve"> </w:t>
      </w:r>
      <w:r w:rsidRPr="000D25EC">
        <w:rPr>
          <w:szCs w:val="24"/>
        </w:rPr>
        <w:t>tis.</w:t>
      </w:r>
      <w:r>
        <w:rPr>
          <w:szCs w:val="24"/>
        </w:rPr>
        <w:t xml:space="preserve"> </w:t>
      </w:r>
      <w:r w:rsidRPr="000D25EC">
        <w:rPr>
          <w:szCs w:val="24"/>
        </w:rPr>
        <w:t>ha (102,1</w:t>
      </w:r>
      <w:r>
        <w:rPr>
          <w:szCs w:val="24"/>
        </w:rPr>
        <w:t> </w:t>
      </w:r>
      <w:r w:rsidRPr="000D25EC">
        <w:rPr>
          <w:szCs w:val="24"/>
        </w:rPr>
        <w:t>% skutečnosti předchozího roku). Průměrný výnos cukrové řepy při skutečně dosažené cukernatosti dosáhl hodnoty</w:t>
      </w:r>
      <w:r>
        <w:rPr>
          <w:szCs w:val="24"/>
        </w:rPr>
        <w:t xml:space="preserve"> </w:t>
      </w:r>
      <w:r w:rsidRPr="000D25EC">
        <w:rPr>
          <w:szCs w:val="24"/>
        </w:rPr>
        <w:t>78,11</w:t>
      </w:r>
      <w:r>
        <w:rPr>
          <w:szCs w:val="24"/>
        </w:rPr>
        <w:t xml:space="preserve"> t/ha</w:t>
      </w:r>
      <w:r w:rsidRPr="00383270">
        <w:rPr>
          <w:rStyle w:val="Znakapoznpodarou"/>
        </w:rPr>
        <w:footnoteReference w:id="134"/>
      </w:r>
      <w:r w:rsidRPr="000D25EC">
        <w:rPr>
          <w:szCs w:val="24"/>
        </w:rPr>
        <w:t xml:space="preserve"> (ve srovnání s</w:t>
      </w:r>
      <w:r>
        <w:rPr>
          <w:szCs w:val="24"/>
        </w:rPr>
        <w:t xml:space="preserve"> </w:t>
      </w:r>
      <w:r w:rsidRPr="000D25EC">
        <w:rPr>
          <w:szCs w:val="24"/>
        </w:rPr>
        <w:t>rokem</w:t>
      </w:r>
      <w:r>
        <w:rPr>
          <w:szCs w:val="24"/>
        </w:rPr>
        <w:t xml:space="preserve"> </w:t>
      </w:r>
      <w:r w:rsidRPr="000D25EC">
        <w:rPr>
          <w:szCs w:val="24"/>
        </w:rPr>
        <w:t>2013/14 byl o</w:t>
      </w:r>
      <w:r>
        <w:rPr>
          <w:szCs w:val="24"/>
        </w:rPr>
        <w:t xml:space="preserve"> </w:t>
      </w:r>
      <w:r w:rsidRPr="000D25EC">
        <w:rPr>
          <w:szCs w:val="24"/>
        </w:rPr>
        <w:t>24,4</w:t>
      </w:r>
      <w:r>
        <w:rPr>
          <w:szCs w:val="24"/>
        </w:rPr>
        <w:t xml:space="preserve"> </w:t>
      </w:r>
      <w:r w:rsidRPr="000D25EC">
        <w:rPr>
          <w:szCs w:val="24"/>
        </w:rPr>
        <w:t>% vyšší). Cukernatost řepy se ve</w:t>
      </w:r>
      <w:r>
        <w:rPr>
          <w:szCs w:val="24"/>
        </w:rPr>
        <w:t xml:space="preserve"> </w:t>
      </w:r>
      <w:r w:rsidRPr="000D25EC">
        <w:rPr>
          <w:szCs w:val="24"/>
        </w:rPr>
        <w:t>srovnání s</w:t>
      </w:r>
      <w:r>
        <w:rPr>
          <w:szCs w:val="24"/>
        </w:rPr>
        <w:t xml:space="preserve"> </w:t>
      </w:r>
      <w:r w:rsidRPr="000D25EC">
        <w:rPr>
          <w:szCs w:val="24"/>
        </w:rPr>
        <w:t>rokem 2014/15 významně vlivem počasí snížila o</w:t>
      </w:r>
      <w:r>
        <w:rPr>
          <w:szCs w:val="24"/>
        </w:rPr>
        <w:t xml:space="preserve"> </w:t>
      </w:r>
      <w:r w:rsidRPr="000D25EC">
        <w:rPr>
          <w:szCs w:val="24"/>
        </w:rPr>
        <w:t>9,6</w:t>
      </w:r>
      <w:r>
        <w:rPr>
          <w:szCs w:val="24"/>
        </w:rPr>
        <w:t xml:space="preserve"> </w:t>
      </w:r>
      <w:r w:rsidRPr="000D25EC">
        <w:rPr>
          <w:szCs w:val="24"/>
        </w:rPr>
        <w:t>% na 15,91</w:t>
      </w:r>
      <w:r>
        <w:rPr>
          <w:szCs w:val="24"/>
        </w:rPr>
        <w:t> </w:t>
      </w:r>
      <w:r w:rsidRPr="000D25EC">
        <w:rPr>
          <w:szCs w:val="24"/>
        </w:rPr>
        <w:t>%.</w:t>
      </w:r>
    </w:p>
    <w:p w:rsidR="00DB11C1" w:rsidRPr="000D25EC" w:rsidRDefault="00DB11C1" w:rsidP="00DB11C1">
      <w:pPr>
        <w:rPr>
          <w:szCs w:val="24"/>
        </w:rPr>
      </w:pPr>
      <w:r w:rsidRPr="000D25EC">
        <w:rPr>
          <w:szCs w:val="24"/>
        </w:rPr>
        <w:t>Výroba cukru v</w:t>
      </w:r>
      <w:r>
        <w:rPr>
          <w:szCs w:val="24"/>
        </w:rPr>
        <w:t xml:space="preserve"> </w:t>
      </w:r>
      <w:r w:rsidRPr="000D25EC">
        <w:rPr>
          <w:szCs w:val="24"/>
        </w:rPr>
        <w:t>ČR v</w:t>
      </w:r>
      <w:r>
        <w:rPr>
          <w:szCs w:val="24"/>
        </w:rPr>
        <w:t xml:space="preserve"> </w:t>
      </w:r>
      <w:r w:rsidRPr="000D25EC">
        <w:rPr>
          <w:szCs w:val="24"/>
        </w:rPr>
        <w:t>roce 2014/15 dosáhla podle předběžných údajů 591,4</w:t>
      </w:r>
      <w:r>
        <w:rPr>
          <w:szCs w:val="24"/>
        </w:rPr>
        <w:t xml:space="preserve"> </w:t>
      </w:r>
      <w:r w:rsidRPr="000D25EC">
        <w:rPr>
          <w:szCs w:val="24"/>
        </w:rPr>
        <w:t>tis.</w:t>
      </w:r>
      <w:r>
        <w:rPr>
          <w:szCs w:val="24"/>
        </w:rPr>
        <w:t xml:space="preserve"> </w:t>
      </w:r>
      <w:r w:rsidRPr="000D25EC">
        <w:rPr>
          <w:szCs w:val="24"/>
        </w:rPr>
        <w:t>t. Celkově bylo vyrobeno 596,4</w:t>
      </w:r>
      <w:r>
        <w:rPr>
          <w:szCs w:val="24"/>
        </w:rPr>
        <w:t xml:space="preserve"> </w:t>
      </w:r>
      <w:r w:rsidRPr="000D25EC">
        <w:rPr>
          <w:szCs w:val="24"/>
        </w:rPr>
        <w:t>tis.</w:t>
      </w:r>
      <w:r>
        <w:rPr>
          <w:szCs w:val="24"/>
        </w:rPr>
        <w:t xml:space="preserve"> </w:t>
      </w:r>
      <w:r w:rsidRPr="000D25EC">
        <w:rPr>
          <w:szCs w:val="24"/>
        </w:rPr>
        <w:t>t cukru (rozdíl byl vyroben mimo ČR). Do kvóty hospodářského roku 2014/15 bylo z</w:t>
      </w:r>
      <w:r>
        <w:rPr>
          <w:szCs w:val="24"/>
        </w:rPr>
        <w:t xml:space="preserve"> </w:t>
      </w:r>
      <w:r w:rsidRPr="000D25EC">
        <w:rPr>
          <w:szCs w:val="24"/>
        </w:rPr>
        <w:t>předchozího hospodářského roku převedeno 20,2</w:t>
      </w:r>
      <w:r>
        <w:rPr>
          <w:szCs w:val="24"/>
        </w:rPr>
        <w:t xml:space="preserve"> </w:t>
      </w:r>
      <w:r w:rsidRPr="000D25EC">
        <w:rPr>
          <w:szCs w:val="24"/>
        </w:rPr>
        <w:t>tis.</w:t>
      </w:r>
      <w:r>
        <w:rPr>
          <w:szCs w:val="24"/>
        </w:rPr>
        <w:t xml:space="preserve"> </w:t>
      </w:r>
      <w:r w:rsidRPr="000D25EC">
        <w:rPr>
          <w:szCs w:val="24"/>
        </w:rPr>
        <w:t>t cukru. Kvóta cukru ČR zůstala nadále nezměněna a</w:t>
      </w:r>
      <w:r>
        <w:rPr>
          <w:szCs w:val="24"/>
        </w:rPr>
        <w:t xml:space="preserve"> </w:t>
      </w:r>
      <w:r w:rsidRPr="000D25EC">
        <w:rPr>
          <w:szCs w:val="24"/>
        </w:rPr>
        <w:t>zůstala ve výši 372,5</w:t>
      </w:r>
      <w:r>
        <w:rPr>
          <w:szCs w:val="24"/>
        </w:rPr>
        <w:t xml:space="preserve"> </w:t>
      </w:r>
      <w:r w:rsidRPr="000D25EC">
        <w:rPr>
          <w:szCs w:val="24"/>
        </w:rPr>
        <w:t>tis. t. Nad</w:t>
      </w:r>
      <w:r>
        <w:rPr>
          <w:szCs w:val="24"/>
        </w:rPr>
        <w:t xml:space="preserve"> </w:t>
      </w:r>
      <w:r w:rsidRPr="000D25EC">
        <w:rPr>
          <w:szCs w:val="24"/>
        </w:rPr>
        <w:t>rámec kvóty bylo vyrobeno 244,2</w:t>
      </w:r>
      <w:r>
        <w:rPr>
          <w:szCs w:val="24"/>
        </w:rPr>
        <w:t xml:space="preserve"> </w:t>
      </w:r>
      <w:r w:rsidRPr="000D25EC">
        <w:rPr>
          <w:szCs w:val="24"/>
        </w:rPr>
        <w:t>tis.</w:t>
      </w:r>
      <w:r>
        <w:rPr>
          <w:szCs w:val="24"/>
        </w:rPr>
        <w:t xml:space="preserve"> </w:t>
      </w:r>
      <w:r w:rsidRPr="000D25EC">
        <w:rPr>
          <w:szCs w:val="24"/>
        </w:rPr>
        <w:t>t cukru. Výnos polarizačního cukru dosáhl 12,42</w:t>
      </w:r>
      <w:r>
        <w:rPr>
          <w:szCs w:val="24"/>
        </w:rPr>
        <w:t xml:space="preserve"> </w:t>
      </w:r>
      <w:r w:rsidRPr="000D25EC">
        <w:rPr>
          <w:szCs w:val="24"/>
        </w:rPr>
        <w:t>t/ha</w:t>
      </w:r>
      <w:r w:rsidRPr="00383270">
        <w:rPr>
          <w:rStyle w:val="Znakapoznpodarou"/>
        </w:rPr>
        <w:footnoteReference w:id="135"/>
      </w:r>
      <w:r w:rsidRPr="000D25EC">
        <w:rPr>
          <w:szCs w:val="24"/>
        </w:rPr>
        <w:t xml:space="preserve"> (meziroční zvýšení o</w:t>
      </w:r>
      <w:r>
        <w:rPr>
          <w:szCs w:val="24"/>
        </w:rPr>
        <w:t xml:space="preserve"> </w:t>
      </w:r>
      <w:r w:rsidRPr="000D25EC">
        <w:rPr>
          <w:szCs w:val="24"/>
        </w:rPr>
        <w:t>11,1</w:t>
      </w:r>
      <w:r>
        <w:rPr>
          <w:szCs w:val="24"/>
        </w:rPr>
        <w:t xml:space="preserve"> </w:t>
      </w:r>
      <w:r w:rsidRPr="000D25EC">
        <w:rPr>
          <w:szCs w:val="24"/>
        </w:rPr>
        <w:t>%).</w:t>
      </w:r>
    </w:p>
    <w:p w:rsidR="00DB11C1" w:rsidRPr="000D25EC" w:rsidRDefault="00DB11C1" w:rsidP="00DB11C1">
      <w:pPr>
        <w:rPr>
          <w:szCs w:val="24"/>
        </w:rPr>
      </w:pPr>
      <w:r w:rsidRPr="000D25EC">
        <w:rPr>
          <w:szCs w:val="24"/>
        </w:rPr>
        <w:t>Od hospodářského roku</w:t>
      </w:r>
      <w:r>
        <w:rPr>
          <w:szCs w:val="24"/>
        </w:rPr>
        <w:t xml:space="preserve"> </w:t>
      </w:r>
      <w:r w:rsidRPr="000D25EC">
        <w:rPr>
          <w:szCs w:val="24"/>
        </w:rPr>
        <w:t>2007/08 je stále vybírána výrobní dávka z</w:t>
      </w:r>
      <w:r>
        <w:rPr>
          <w:szCs w:val="24"/>
        </w:rPr>
        <w:t xml:space="preserve"> </w:t>
      </w:r>
      <w:r w:rsidRPr="000D25EC">
        <w:rPr>
          <w:szCs w:val="24"/>
        </w:rPr>
        <w:t xml:space="preserve">kvót cukru, </w:t>
      </w:r>
      <w:proofErr w:type="spellStart"/>
      <w:r w:rsidRPr="000D25EC">
        <w:rPr>
          <w:szCs w:val="24"/>
        </w:rPr>
        <w:t>isoglukózy</w:t>
      </w:r>
      <w:proofErr w:type="spellEnd"/>
      <w:r w:rsidRPr="000D25EC">
        <w:rPr>
          <w:szCs w:val="24"/>
        </w:rPr>
        <w:t xml:space="preserve"> a</w:t>
      </w:r>
      <w:r>
        <w:rPr>
          <w:szCs w:val="24"/>
        </w:rPr>
        <w:t> </w:t>
      </w:r>
      <w:r w:rsidRPr="000D25EC">
        <w:rPr>
          <w:szCs w:val="24"/>
        </w:rPr>
        <w:t>inulinového sirupu přidělená výrobním podnikům, kterou stanovila EU na 12</w:t>
      </w:r>
      <w:r>
        <w:rPr>
          <w:szCs w:val="24"/>
        </w:rPr>
        <w:t xml:space="preserve"> </w:t>
      </w:r>
      <w:r w:rsidRPr="000D25EC">
        <w:rPr>
          <w:szCs w:val="24"/>
        </w:rPr>
        <w:t>€/t bílého cukru, přičemž z</w:t>
      </w:r>
      <w:r>
        <w:rPr>
          <w:szCs w:val="24"/>
        </w:rPr>
        <w:t xml:space="preserve"> </w:t>
      </w:r>
      <w:r w:rsidRPr="000D25EC">
        <w:rPr>
          <w:szCs w:val="24"/>
        </w:rPr>
        <w:t>této dávky hradí pěstitel až 50</w:t>
      </w:r>
      <w:r>
        <w:rPr>
          <w:szCs w:val="24"/>
        </w:rPr>
        <w:t xml:space="preserve"> </w:t>
      </w:r>
      <w:r w:rsidRPr="000D25EC">
        <w:rPr>
          <w:szCs w:val="24"/>
        </w:rPr>
        <w:t>%. Za</w:t>
      </w:r>
      <w:r>
        <w:rPr>
          <w:szCs w:val="24"/>
        </w:rPr>
        <w:t xml:space="preserve"> </w:t>
      </w:r>
      <w:r w:rsidRPr="000D25EC">
        <w:rPr>
          <w:szCs w:val="24"/>
        </w:rPr>
        <w:t>hospodářský rok 2013/14 bylo SZIF vybráno na výrobních dávkách cukru celkem 115,0</w:t>
      </w:r>
      <w:r>
        <w:rPr>
          <w:szCs w:val="24"/>
        </w:rPr>
        <w:t> mil. </w:t>
      </w:r>
      <w:r w:rsidRPr="000D25EC">
        <w:rPr>
          <w:szCs w:val="24"/>
        </w:rPr>
        <w:t>Kč. Z</w:t>
      </w:r>
      <w:r>
        <w:rPr>
          <w:szCs w:val="24"/>
        </w:rPr>
        <w:t xml:space="preserve"> </w:t>
      </w:r>
      <w:r w:rsidRPr="000D25EC">
        <w:rPr>
          <w:szCs w:val="24"/>
        </w:rPr>
        <w:t>této částky bylo odvedeno prostřednictvím MF 86,3</w:t>
      </w:r>
      <w:r>
        <w:rPr>
          <w:szCs w:val="24"/>
        </w:rPr>
        <w:t> mil. </w:t>
      </w:r>
      <w:r w:rsidRPr="000D25EC">
        <w:rPr>
          <w:szCs w:val="24"/>
        </w:rPr>
        <w:t>Kč (75</w:t>
      </w:r>
      <w:r>
        <w:rPr>
          <w:szCs w:val="24"/>
        </w:rPr>
        <w:t xml:space="preserve"> </w:t>
      </w:r>
      <w:r w:rsidRPr="000D25EC">
        <w:rPr>
          <w:szCs w:val="24"/>
        </w:rPr>
        <w:t>%) a</w:t>
      </w:r>
      <w:r>
        <w:rPr>
          <w:szCs w:val="24"/>
        </w:rPr>
        <w:t xml:space="preserve"> </w:t>
      </w:r>
      <w:r w:rsidRPr="000D25EC">
        <w:rPr>
          <w:szCs w:val="24"/>
        </w:rPr>
        <w:t>28,8</w:t>
      </w:r>
      <w:r>
        <w:rPr>
          <w:szCs w:val="24"/>
        </w:rPr>
        <w:t> mil. </w:t>
      </w:r>
      <w:r w:rsidRPr="000D25EC">
        <w:rPr>
          <w:szCs w:val="24"/>
        </w:rPr>
        <w:t>Kč (25</w:t>
      </w:r>
      <w:r>
        <w:rPr>
          <w:szCs w:val="24"/>
        </w:rPr>
        <w:t xml:space="preserve"> </w:t>
      </w:r>
      <w:r w:rsidRPr="000D25EC">
        <w:rPr>
          <w:szCs w:val="24"/>
        </w:rPr>
        <w:t>%) bylo převedeno do správních výdajů SZIF. V</w:t>
      </w:r>
      <w:r>
        <w:rPr>
          <w:szCs w:val="24"/>
        </w:rPr>
        <w:t xml:space="preserve"> </w:t>
      </w:r>
      <w:r w:rsidRPr="000D25EC">
        <w:rPr>
          <w:szCs w:val="24"/>
        </w:rPr>
        <w:t>rámci programu pomoci nejchudším bylo za rok 2013 vyplaceno na 2</w:t>
      </w:r>
      <w:r>
        <w:rPr>
          <w:szCs w:val="24"/>
        </w:rPr>
        <w:t xml:space="preserve"> </w:t>
      </w:r>
      <w:r w:rsidRPr="000D25EC">
        <w:rPr>
          <w:szCs w:val="24"/>
        </w:rPr>
        <w:t>žádosti celkem 4</w:t>
      </w:r>
      <w:r>
        <w:rPr>
          <w:szCs w:val="24"/>
        </w:rPr>
        <w:t xml:space="preserve"> </w:t>
      </w:r>
      <w:r w:rsidRPr="000D25EC">
        <w:rPr>
          <w:szCs w:val="24"/>
        </w:rPr>
        <w:t>990</w:t>
      </w:r>
      <w:r>
        <w:rPr>
          <w:szCs w:val="24"/>
        </w:rPr>
        <w:t xml:space="preserve"> </w:t>
      </w:r>
      <w:r w:rsidRPr="000D25EC">
        <w:rPr>
          <w:szCs w:val="24"/>
        </w:rPr>
        <w:t>tis.</w:t>
      </w:r>
      <w:r>
        <w:rPr>
          <w:szCs w:val="24"/>
        </w:rPr>
        <w:t xml:space="preserve"> </w:t>
      </w:r>
      <w:r w:rsidRPr="000D25EC">
        <w:rPr>
          <w:szCs w:val="24"/>
        </w:rPr>
        <w:t>Kč. Intervenční nákup cukru nebyl v</w:t>
      </w:r>
      <w:r>
        <w:rPr>
          <w:szCs w:val="24"/>
        </w:rPr>
        <w:t xml:space="preserve"> </w:t>
      </w:r>
      <w:r w:rsidRPr="000D25EC">
        <w:rPr>
          <w:szCs w:val="24"/>
        </w:rPr>
        <w:t>roce 2014 realizován a</w:t>
      </w:r>
      <w:r w:rsidR="00787D0C">
        <w:rPr>
          <w:szCs w:val="24"/>
        </w:rPr>
        <w:t> </w:t>
      </w:r>
      <w:r w:rsidRPr="000D25EC">
        <w:rPr>
          <w:szCs w:val="24"/>
        </w:rPr>
        <w:t>Program pomoc nejchudším již od roku 2014 není v</w:t>
      </w:r>
      <w:r>
        <w:rPr>
          <w:szCs w:val="24"/>
        </w:rPr>
        <w:t xml:space="preserve"> </w:t>
      </w:r>
      <w:r w:rsidRPr="000D25EC">
        <w:rPr>
          <w:szCs w:val="24"/>
        </w:rPr>
        <w:t>kompetenci SZIF.</w:t>
      </w:r>
    </w:p>
    <w:p w:rsidR="00DB11C1" w:rsidRPr="000D25EC" w:rsidRDefault="00DB11C1" w:rsidP="00AB226C">
      <w:r w:rsidRPr="000D25EC">
        <w:t>Podle statistiky zahraničního obchodu ČSÚ bylo v</w:t>
      </w:r>
      <w:r>
        <w:t xml:space="preserve"> </w:t>
      </w:r>
      <w:r w:rsidRPr="000D25EC">
        <w:t>průběhu roku 2013/14 dovezeno 375,9</w:t>
      </w:r>
      <w:r>
        <w:t xml:space="preserve"> </w:t>
      </w:r>
      <w:r w:rsidRPr="000D25EC">
        <w:t>tis.</w:t>
      </w:r>
      <w:r>
        <w:t xml:space="preserve"> </w:t>
      </w:r>
      <w:r w:rsidRPr="000D25EC">
        <w:t>t cukru celkem, z</w:t>
      </w:r>
      <w:r>
        <w:t xml:space="preserve"> </w:t>
      </w:r>
      <w:r w:rsidRPr="000D25EC">
        <w:t>toho cukru bílého 130,6</w:t>
      </w:r>
      <w:r>
        <w:t xml:space="preserve"> </w:t>
      </w:r>
      <w:r w:rsidRPr="000D25EC">
        <w:t>tis.</w:t>
      </w:r>
      <w:r>
        <w:t xml:space="preserve"> </w:t>
      </w:r>
      <w:r w:rsidRPr="000D25EC">
        <w:t>t (zvýšení proti roku 2012/13 o</w:t>
      </w:r>
      <w:r w:rsidR="00787D0C">
        <w:t> </w:t>
      </w:r>
      <w:r w:rsidRPr="000D25EC">
        <w:t>55,5</w:t>
      </w:r>
      <w:r w:rsidR="00787D0C">
        <w:t> </w:t>
      </w:r>
      <w:r w:rsidRPr="000D25EC">
        <w:t>%) a</w:t>
      </w:r>
      <w:r>
        <w:t xml:space="preserve"> </w:t>
      </w:r>
      <w:r w:rsidRPr="000D25EC">
        <w:t>cukru obsaženého ve výrobcích a</w:t>
      </w:r>
      <w:r>
        <w:t xml:space="preserve"> </w:t>
      </w:r>
      <w:r w:rsidRPr="000D25EC">
        <w:t>substituentech 245,3</w:t>
      </w:r>
      <w:r>
        <w:t xml:space="preserve"> </w:t>
      </w:r>
      <w:r w:rsidRPr="000D25EC">
        <w:t>tis.</w:t>
      </w:r>
      <w:r>
        <w:t xml:space="preserve"> </w:t>
      </w:r>
      <w:r w:rsidRPr="000D25EC">
        <w:t>t. Cukr byl dovezen ze zemí EU, převážně z</w:t>
      </w:r>
      <w:r>
        <w:t> </w:t>
      </w:r>
      <w:r w:rsidRPr="000D25EC">
        <w:t>Polska. Vzhledem ke</w:t>
      </w:r>
      <w:r>
        <w:t xml:space="preserve"> </w:t>
      </w:r>
      <w:r w:rsidRPr="000D25EC">
        <w:t>zvýšení výroby cukru v</w:t>
      </w:r>
      <w:r>
        <w:t xml:space="preserve"> </w:t>
      </w:r>
      <w:r w:rsidRPr="000D25EC">
        <w:t>roce 2014/15 se předpokládá snížení celkového dovozu cukru o</w:t>
      </w:r>
      <w:r>
        <w:t xml:space="preserve"> </w:t>
      </w:r>
      <w:r w:rsidRPr="000D25EC">
        <w:t>16,1</w:t>
      </w:r>
      <w:r>
        <w:t xml:space="preserve"> </w:t>
      </w:r>
      <w:r w:rsidRPr="000D25EC">
        <w:t>% na</w:t>
      </w:r>
      <w:r>
        <w:t xml:space="preserve"> </w:t>
      </w:r>
      <w:r w:rsidRPr="000D25EC">
        <w:t>315,5</w:t>
      </w:r>
      <w:r>
        <w:t xml:space="preserve"> </w:t>
      </w:r>
      <w:r w:rsidRPr="000D25EC">
        <w:t>tis.</w:t>
      </w:r>
      <w:r>
        <w:t xml:space="preserve"> </w:t>
      </w:r>
      <w:r w:rsidRPr="000D25EC">
        <w:t>t, z</w:t>
      </w:r>
      <w:r>
        <w:t xml:space="preserve"> </w:t>
      </w:r>
      <w:r w:rsidRPr="000D25EC">
        <w:t>toho snížení cukru bílého o</w:t>
      </w:r>
      <w:r>
        <w:t xml:space="preserve"> </w:t>
      </w:r>
      <w:r w:rsidRPr="000D25EC">
        <w:t>16,9</w:t>
      </w:r>
      <w:r>
        <w:t xml:space="preserve"> </w:t>
      </w:r>
      <w:r w:rsidRPr="000D25EC">
        <w:t>% na</w:t>
      </w:r>
      <w:r>
        <w:t xml:space="preserve"> </w:t>
      </w:r>
      <w:r w:rsidRPr="000D25EC">
        <w:t>108,5</w:t>
      </w:r>
      <w:r>
        <w:t xml:space="preserve"> </w:t>
      </w:r>
      <w:r w:rsidRPr="000D25EC">
        <w:t>tis.</w:t>
      </w:r>
      <w:r>
        <w:t xml:space="preserve"> </w:t>
      </w:r>
      <w:r w:rsidRPr="000D25EC">
        <w:t>t a</w:t>
      </w:r>
      <w:r>
        <w:t xml:space="preserve"> </w:t>
      </w:r>
      <w:r w:rsidRPr="000D25EC">
        <w:t>cukru obsaženého ve výrobcích a</w:t>
      </w:r>
      <w:r>
        <w:t xml:space="preserve"> </w:t>
      </w:r>
      <w:r w:rsidRPr="000D25EC">
        <w:t>substituentů cukru o</w:t>
      </w:r>
      <w:r>
        <w:t xml:space="preserve"> </w:t>
      </w:r>
      <w:r w:rsidRPr="000D25EC">
        <w:t>16,6</w:t>
      </w:r>
      <w:r>
        <w:t xml:space="preserve"> </w:t>
      </w:r>
      <w:r w:rsidRPr="000D25EC">
        <w:t>% na</w:t>
      </w:r>
      <w:r>
        <w:t xml:space="preserve"> </w:t>
      </w:r>
      <w:r w:rsidRPr="000D25EC">
        <w:t>207,0</w:t>
      </w:r>
      <w:r>
        <w:t xml:space="preserve"> </w:t>
      </w:r>
      <w:r w:rsidRPr="000D25EC">
        <w:t>tis.</w:t>
      </w:r>
      <w:r>
        <w:t xml:space="preserve"> </w:t>
      </w:r>
      <w:r w:rsidRPr="000D25EC">
        <w:t>t.</w:t>
      </w:r>
    </w:p>
    <w:p w:rsidR="00DB11C1" w:rsidRPr="000D25EC" w:rsidRDefault="00DB11C1" w:rsidP="00AB226C">
      <w:r w:rsidRPr="000D25EC">
        <w:t>Vývoz cukru celkem v</w:t>
      </w:r>
      <w:r>
        <w:t xml:space="preserve"> </w:t>
      </w:r>
      <w:r w:rsidRPr="000D25EC">
        <w:t>roce 2013/14 se meziročně zvýšil o</w:t>
      </w:r>
      <w:r>
        <w:t xml:space="preserve"> </w:t>
      </w:r>
      <w:r w:rsidRPr="000D25EC">
        <w:t>43,9</w:t>
      </w:r>
      <w:r>
        <w:t xml:space="preserve"> </w:t>
      </w:r>
      <w:r w:rsidRPr="000D25EC">
        <w:t>% a</w:t>
      </w:r>
      <w:r>
        <w:t xml:space="preserve"> </w:t>
      </w:r>
      <w:r w:rsidRPr="000D25EC">
        <w:t>byl realizován ve</w:t>
      </w:r>
      <w:r>
        <w:t xml:space="preserve"> </w:t>
      </w:r>
      <w:r w:rsidRPr="000D25EC">
        <w:t>výši 475,0</w:t>
      </w:r>
      <w:r>
        <w:t xml:space="preserve"> </w:t>
      </w:r>
      <w:r w:rsidRPr="000D25EC">
        <w:t>tis.</w:t>
      </w:r>
      <w:r>
        <w:t xml:space="preserve"> </w:t>
      </w:r>
      <w:r w:rsidRPr="000D25EC">
        <w:t>t. Největší podíl 65,8</w:t>
      </w:r>
      <w:r>
        <w:t xml:space="preserve"> </w:t>
      </w:r>
      <w:r w:rsidRPr="000D25EC">
        <w:t>% na celkovém vývozu cukru 2013/14 měl bílý cukr, kterého se vyvezlo</w:t>
      </w:r>
      <w:r>
        <w:t xml:space="preserve"> </w:t>
      </w:r>
      <w:r w:rsidRPr="000D25EC">
        <w:t>312,6</w:t>
      </w:r>
      <w:r>
        <w:t xml:space="preserve"> </w:t>
      </w:r>
      <w:r w:rsidRPr="000D25EC">
        <w:t>tis.</w:t>
      </w:r>
      <w:r>
        <w:t xml:space="preserve"> </w:t>
      </w:r>
      <w:r w:rsidRPr="000D25EC">
        <w:t>t. Růst vývozu byl zaznamenán také u</w:t>
      </w:r>
      <w:r>
        <w:t xml:space="preserve"> </w:t>
      </w:r>
      <w:r w:rsidRPr="000D25EC">
        <w:t>výrobků obsahujících cukr a</w:t>
      </w:r>
      <w:r>
        <w:t xml:space="preserve"> </w:t>
      </w:r>
      <w:r w:rsidRPr="000D25EC">
        <w:t>substituentů cukru o</w:t>
      </w:r>
      <w:r>
        <w:t xml:space="preserve"> </w:t>
      </w:r>
      <w:r w:rsidRPr="000D25EC">
        <w:t>41,2</w:t>
      </w:r>
      <w:r>
        <w:t xml:space="preserve"> </w:t>
      </w:r>
      <w:r w:rsidRPr="000D25EC">
        <w:t>% na</w:t>
      </w:r>
      <w:r>
        <w:t xml:space="preserve"> </w:t>
      </w:r>
      <w:r w:rsidRPr="000D25EC">
        <w:t>162,4</w:t>
      </w:r>
      <w:r>
        <w:t xml:space="preserve"> </w:t>
      </w:r>
      <w:r w:rsidRPr="000D25EC">
        <w:t>tis.</w:t>
      </w:r>
      <w:r>
        <w:t xml:space="preserve"> </w:t>
      </w:r>
      <w:r w:rsidRPr="000D25EC">
        <w:t>t. Vzhledem ke zvýšení výroby cukru v</w:t>
      </w:r>
      <w:r>
        <w:t xml:space="preserve"> </w:t>
      </w:r>
      <w:r w:rsidRPr="000D25EC">
        <w:t>roce 2014/15 se očekává stagnace vývozu bílého cukru a</w:t>
      </w:r>
      <w:r>
        <w:t xml:space="preserve"> </w:t>
      </w:r>
      <w:r w:rsidRPr="000D25EC">
        <w:t>u</w:t>
      </w:r>
      <w:r>
        <w:t xml:space="preserve"> </w:t>
      </w:r>
      <w:r w:rsidRPr="000D25EC">
        <w:t>výrobků obsahujících cukr a</w:t>
      </w:r>
      <w:r w:rsidR="00787D0C">
        <w:t> </w:t>
      </w:r>
      <w:r w:rsidRPr="000D25EC">
        <w:t>u</w:t>
      </w:r>
      <w:r w:rsidR="00787D0C">
        <w:t> </w:t>
      </w:r>
      <w:r w:rsidRPr="000D25EC">
        <w:t>substituentů cukru se předpokládá snížení vývozu ve</w:t>
      </w:r>
      <w:r>
        <w:t xml:space="preserve"> </w:t>
      </w:r>
      <w:r w:rsidRPr="000D25EC">
        <w:t>srovnání s</w:t>
      </w:r>
      <w:r>
        <w:t xml:space="preserve"> </w:t>
      </w:r>
      <w:r w:rsidRPr="000D25EC">
        <w:t>rokem 2013/14 o</w:t>
      </w:r>
      <w:r>
        <w:t xml:space="preserve"> </w:t>
      </w:r>
      <w:r w:rsidRPr="000D25EC">
        <w:t>38,4</w:t>
      </w:r>
      <w:r>
        <w:t xml:space="preserve"> </w:t>
      </w:r>
      <w:r w:rsidRPr="000D25EC">
        <w:t>%.</w:t>
      </w:r>
    </w:p>
    <w:p w:rsidR="00DB11C1" w:rsidRPr="000D25EC" w:rsidRDefault="00DB11C1" w:rsidP="00AB226C">
      <w:r w:rsidRPr="000D25EC">
        <w:lastRenderedPageBreak/>
        <w:t>V</w:t>
      </w:r>
      <w:r>
        <w:t xml:space="preserve"> </w:t>
      </w:r>
      <w:r w:rsidRPr="000D25EC">
        <w:t>kalendářním roce 2014 dosáhla podle údajů ČSÚ průměrná CZV cukrové řepy při dosažené cukernatosti 818</w:t>
      </w:r>
      <w:r>
        <w:t xml:space="preserve"> </w:t>
      </w:r>
      <w:r w:rsidRPr="000D25EC">
        <w:t>Kč/t, tj.</w:t>
      </w:r>
      <w:r>
        <w:t xml:space="preserve"> </w:t>
      </w:r>
      <w:r w:rsidRPr="000D25EC">
        <w:t>snížení na</w:t>
      </w:r>
      <w:r>
        <w:t xml:space="preserve"> </w:t>
      </w:r>
      <w:r w:rsidRPr="000D25EC">
        <w:t>99,2</w:t>
      </w:r>
      <w:r>
        <w:t xml:space="preserve"> </w:t>
      </w:r>
      <w:r w:rsidRPr="000D25EC">
        <w:t>% skutečnosti roku 2013.</w:t>
      </w:r>
    </w:p>
    <w:p w:rsidR="00DB11C1" w:rsidRPr="000D25EC" w:rsidRDefault="00DB11C1" w:rsidP="00AB226C">
      <w:r w:rsidRPr="000D25EC">
        <w:t>Průměrná CPV krystalového cukru v</w:t>
      </w:r>
      <w:r>
        <w:t xml:space="preserve"> </w:t>
      </w:r>
      <w:r w:rsidRPr="000D25EC">
        <w:t>ČR se v</w:t>
      </w:r>
      <w:r>
        <w:t xml:space="preserve"> </w:t>
      </w:r>
      <w:r w:rsidRPr="000D25EC">
        <w:t>roce 2014 ve</w:t>
      </w:r>
      <w:r>
        <w:t xml:space="preserve"> </w:t>
      </w:r>
      <w:r w:rsidRPr="000D25EC">
        <w:t>srovnání s</w:t>
      </w:r>
      <w:r>
        <w:t xml:space="preserve"> </w:t>
      </w:r>
      <w:r w:rsidRPr="000D25EC">
        <w:t>rokem 2013 snížila o</w:t>
      </w:r>
      <w:r>
        <w:t> </w:t>
      </w:r>
      <w:r w:rsidRPr="000D25EC">
        <w:t>14,6</w:t>
      </w:r>
      <w:r>
        <w:t xml:space="preserve"> </w:t>
      </w:r>
      <w:r w:rsidRPr="000D25EC">
        <w:t>% na 15,62</w:t>
      </w:r>
      <w:r>
        <w:t xml:space="preserve"> </w:t>
      </w:r>
      <w:r w:rsidRPr="000D25EC">
        <w:t>Kč/kg. Spotřebitelská cena krystalového cukru klesla na 22,00</w:t>
      </w:r>
      <w:r w:rsidR="00787D0C">
        <w:t> </w:t>
      </w:r>
      <w:r w:rsidRPr="000D25EC">
        <w:t>Kč/kg, tj.</w:t>
      </w:r>
      <w:r>
        <w:t xml:space="preserve"> </w:t>
      </w:r>
      <w:r w:rsidRPr="000D25EC">
        <w:t>na</w:t>
      </w:r>
      <w:r>
        <w:t xml:space="preserve"> </w:t>
      </w:r>
      <w:r w:rsidRPr="000D25EC">
        <w:t>91,1</w:t>
      </w:r>
      <w:r>
        <w:t> </w:t>
      </w:r>
      <w:r w:rsidRPr="000D25EC">
        <w:t>% skutečnosti roku 2013.</w:t>
      </w:r>
    </w:p>
    <w:p w:rsidR="00DB11C1" w:rsidRPr="000156B4" w:rsidRDefault="00DB11C1" w:rsidP="00AB226C">
      <w:r w:rsidRPr="000156B4">
        <w:t>Podle konečných údajů Výběrového šetření o</w:t>
      </w:r>
      <w:r>
        <w:t xml:space="preserve"> </w:t>
      </w:r>
      <w:r w:rsidRPr="000156B4">
        <w:t>nákladech zemědělských výrobků ÚZEI za</w:t>
      </w:r>
      <w:r>
        <w:t xml:space="preserve"> </w:t>
      </w:r>
      <w:r w:rsidRPr="000156B4">
        <w:t>rok 2013 dosáhly vlastní náklady na</w:t>
      </w:r>
      <w:r>
        <w:t xml:space="preserve"> </w:t>
      </w:r>
      <w:r w:rsidRPr="000156B4">
        <w:t>pěstování cukrové řepy 55</w:t>
      </w:r>
      <w:r>
        <w:t xml:space="preserve"> </w:t>
      </w:r>
      <w:r w:rsidRPr="000156B4">
        <w:t>841</w:t>
      </w:r>
      <w:r>
        <w:t xml:space="preserve"> </w:t>
      </w:r>
      <w:r w:rsidRPr="000156B4">
        <w:t>Kč/ha, což představuje meziroční 13% snížení nákladů hlavního výrobku především v</w:t>
      </w:r>
      <w:r>
        <w:t xml:space="preserve"> </w:t>
      </w:r>
      <w:r w:rsidRPr="000156B4">
        <w:t>důsledku snížení přímých materiálových nákladů, z</w:t>
      </w:r>
      <w:r>
        <w:t xml:space="preserve"> </w:t>
      </w:r>
      <w:r w:rsidRPr="000156B4">
        <w:t>nichž se nejvíce snížily náklady na nakupovaná osiva o</w:t>
      </w:r>
      <w:r>
        <w:t xml:space="preserve"> </w:t>
      </w:r>
      <w:r w:rsidRPr="000156B4">
        <w:t>7,0</w:t>
      </w:r>
      <w:r>
        <w:t xml:space="preserve"> </w:t>
      </w:r>
      <w:r w:rsidRPr="000156B4">
        <w:t>% na 6</w:t>
      </w:r>
      <w:r w:rsidR="00787D0C">
        <w:t> </w:t>
      </w:r>
      <w:r w:rsidRPr="000156B4">
        <w:t>171</w:t>
      </w:r>
      <w:r>
        <w:t xml:space="preserve"> </w:t>
      </w:r>
      <w:r w:rsidRPr="000156B4">
        <w:t>Kč/ha a</w:t>
      </w:r>
      <w:r>
        <w:t xml:space="preserve"> </w:t>
      </w:r>
      <w:r w:rsidRPr="000156B4">
        <w:t>na</w:t>
      </w:r>
      <w:r>
        <w:t xml:space="preserve"> </w:t>
      </w:r>
      <w:r w:rsidRPr="000156B4">
        <w:t>nakupovaná hnojiva o</w:t>
      </w:r>
      <w:r>
        <w:t xml:space="preserve"> </w:t>
      </w:r>
      <w:r w:rsidRPr="000156B4">
        <w:t>22,8</w:t>
      </w:r>
      <w:r>
        <w:t xml:space="preserve"> </w:t>
      </w:r>
      <w:r w:rsidRPr="000156B4">
        <w:t>% na</w:t>
      </w:r>
      <w:r>
        <w:t xml:space="preserve"> </w:t>
      </w:r>
      <w:r w:rsidRPr="000156B4">
        <w:t>5</w:t>
      </w:r>
      <w:r>
        <w:t xml:space="preserve"> </w:t>
      </w:r>
      <w:r w:rsidRPr="000156B4">
        <w:t>933</w:t>
      </w:r>
      <w:r>
        <w:t xml:space="preserve"> </w:t>
      </w:r>
      <w:r w:rsidRPr="000156B4">
        <w:t>Kč/ha.</w:t>
      </w:r>
    </w:p>
    <w:p w:rsidR="00DB11C1" w:rsidRPr="000156B4" w:rsidRDefault="00DB11C1" w:rsidP="00AB226C">
      <w:r w:rsidRPr="000156B4">
        <w:t>Proti původnímu odhadu se zvýšily v</w:t>
      </w:r>
      <w:r>
        <w:t xml:space="preserve"> </w:t>
      </w:r>
      <w:r w:rsidRPr="000156B4">
        <w:t>roce 2013 ostatní přímé náklady a</w:t>
      </w:r>
      <w:r>
        <w:t xml:space="preserve"> </w:t>
      </w:r>
      <w:r w:rsidRPr="000156B4">
        <w:t>služby o</w:t>
      </w:r>
      <w:r w:rsidR="00787D0C">
        <w:t> </w:t>
      </w:r>
      <w:r w:rsidRPr="000156B4">
        <w:t>17,2</w:t>
      </w:r>
      <w:r w:rsidR="00787D0C">
        <w:t> </w:t>
      </w:r>
      <w:r w:rsidRPr="000156B4">
        <w:t>% na</w:t>
      </w:r>
      <w:r>
        <w:t xml:space="preserve"> </w:t>
      </w:r>
      <w:r w:rsidRPr="000156B4">
        <w:t>9</w:t>
      </w:r>
      <w:r>
        <w:t> </w:t>
      </w:r>
      <w:r w:rsidRPr="000156B4">
        <w:t>607</w:t>
      </w:r>
      <w:r>
        <w:t xml:space="preserve"> </w:t>
      </w:r>
      <w:r w:rsidRPr="000156B4">
        <w:t>Kč/ha, náklady pomocných činností se však o</w:t>
      </w:r>
      <w:r>
        <w:t xml:space="preserve"> </w:t>
      </w:r>
      <w:r w:rsidRPr="000156B4">
        <w:t>20,4</w:t>
      </w:r>
      <w:r>
        <w:t xml:space="preserve"> </w:t>
      </w:r>
      <w:r w:rsidRPr="000156B4">
        <w:t>% snížily na 5</w:t>
      </w:r>
      <w:r w:rsidR="00787D0C">
        <w:t> </w:t>
      </w:r>
      <w:r w:rsidRPr="000156B4">
        <w:t>651</w:t>
      </w:r>
      <w:r w:rsidR="00787D0C">
        <w:t> </w:t>
      </w:r>
      <w:r w:rsidRPr="000156B4">
        <w:t>Kč/ha a</w:t>
      </w:r>
      <w:r>
        <w:t xml:space="preserve"> </w:t>
      </w:r>
      <w:r w:rsidRPr="000156B4">
        <w:t>rovněž tak výrobní a správní režie o</w:t>
      </w:r>
      <w:r>
        <w:t xml:space="preserve"> </w:t>
      </w:r>
      <w:r w:rsidRPr="000156B4">
        <w:t>27,8</w:t>
      </w:r>
      <w:r>
        <w:t xml:space="preserve"> </w:t>
      </w:r>
      <w:r w:rsidRPr="000156B4">
        <w:t>% na 5</w:t>
      </w:r>
      <w:r>
        <w:t xml:space="preserve"> </w:t>
      </w:r>
      <w:r w:rsidRPr="000156B4">
        <w:t>053</w:t>
      </w:r>
      <w:r>
        <w:t xml:space="preserve"> </w:t>
      </w:r>
      <w:r w:rsidRPr="000156B4">
        <w:t>Kč/ha.</w:t>
      </w:r>
    </w:p>
    <w:p w:rsidR="00DB11C1" w:rsidRPr="000156B4" w:rsidRDefault="00DB11C1" w:rsidP="00AB226C">
      <w:r w:rsidRPr="000156B4">
        <w:t>Hektarový výnos respondentů se snížil v</w:t>
      </w:r>
      <w:r>
        <w:t xml:space="preserve"> </w:t>
      </w:r>
      <w:r w:rsidRPr="000156B4">
        <w:t>roce 2013 na 62,37</w:t>
      </w:r>
      <w:r>
        <w:t xml:space="preserve"> </w:t>
      </w:r>
      <w:r w:rsidRPr="000156B4">
        <w:t>t/ha. Jednotkové náklady se meziročně mírně snížily na 895</w:t>
      </w:r>
      <w:r>
        <w:t xml:space="preserve"> </w:t>
      </w:r>
      <w:r w:rsidRPr="000156B4">
        <w:t>Kč/t.</w:t>
      </w:r>
    </w:p>
    <w:p w:rsidR="00DB11C1" w:rsidRPr="000156B4" w:rsidRDefault="00DB11C1" w:rsidP="00AB226C">
      <w:r w:rsidRPr="000156B4">
        <w:t>Pro potřeby srovnání parametrů pěstování cukrové řepy s</w:t>
      </w:r>
      <w:r>
        <w:t xml:space="preserve"> </w:t>
      </w:r>
      <w:r w:rsidRPr="000156B4">
        <w:t>evropskými státy vyrábějící cukr je v</w:t>
      </w:r>
      <w:r>
        <w:t> </w:t>
      </w:r>
      <w:r w:rsidRPr="000156B4">
        <w:t>rámci Výběrového šetření přepočítáván výnos cukrovky i</w:t>
      </w:r>
      <w:r>
        <w:t xml:space="preserve"> </w:t>
      </w:r>
      <w:r w:rsidRPr="000156B4">
        <w:t>náklady na 16% cukernatost řepy. V</w:t>
      </w:r>
      <w:r>
        <w:t xml:space="preserve"> </w:t>
      </w:r>
      <w:r w:rsidRPr="000156B4">
        <w:t>roce 2013 tak přepočtený výnos dosáhl 68,56</w:t>
      </w:r>
      <w:r>
        <w:t xml:space="preserve"> </w:t>
      </w:r>
      <w:r w:rsidRPr="000156B4">
        <w:t>t/ha a</w:t>
      </w:r>
      <w:r>
        <w:t xml:space="preserve"> </w:t>
      </w:r>
      <w:r w:rsidRPr="000156B4">
        <w:t>nákladové zatížení 814</w:t>
      </w:r>
      <w:r>
        <w:t xml:space="preserve"> </w:t>
      </w:r>
      <w:r w:rsidRPr="000156B4">
        <w:t>Kč/t. Realizační cena respondentů v</w:t>
      </w:r>
      <w:r>
        <w:t xml:space="preserve"> </w:t>
      </w:r>
      <w:r w:rsidRPr="000156B4">
        <w:t>roce 2013 činila 1</w:t>
      </w:r>
      <w:r>
        <w:t xml:space="preserve"> </w:t>
      </w:r>
      <w:r w:rsidRPr="000156B4">
        <w:t>010</w:t>
      </w:r>
      <w:r>
        <w:t xml:space="preserve"> </w:t>
      </w:r>
      <w:r w:rsidRPr="000156B4">
        <w:t>Kč/t. Cukrová řepa dle Výběrového šetření o</w:t>
      </w:r>
      <w:r>
        <w:t xml:space="preserve"> </w:t>
      </w:r>
      <w:r w:rsidRPr="000156B4">
        <w:t>nákladech zemědělských výrobků ÚZEI byla dlouhodobě komoditou rentabilní. V</w:t>
      </w:r>
      <w:r>
        <w:t xml:space="preserve"> </w:t>
      </w:r>
      <w:r w:rsidRPr="000156B4">
        <w:t>roce 2013 se ve</w:t>
      </w:r>
      <w:r>
        <w:t xml:space="preserve"> </w:t>
      </w:r>
      <w:r w:rsidRPr="000156B4">
        <w:t>výpočtu nákladové i</w:t>
      </w:r>
      <w:r>
        <w:t xml:space="preserve"> </w:t>
      </w:r>
      <w:r w:rsidRPr="000156B4">
        <w:t>souhrnné rentability při 16% cukernatosti projevilo zvýšení realizační ceny cukrové řepy, přímých plateb a</w:t>
      </w:r>
      <w:r>
        <w:t xml:space="preserve"> </w:t>
      </w:r>
      <w:r w:rsidRPr="000156B4">
        <w:t>částka oddělené platby na cukr. V</w:t>
      </w:r>
      <w:r>
        <w:t xml:space="preserve"> </w:t>
      </w:r>
      <w:r w:rsidRPr="000156B4">
        <w:t>důsledku toho se nákladová rentabilita meziročně zvýšila o</w:t>
      </w:r>
      <w:r>
        <w:t xml:space="preserve"> </w:t>
      </w:r>
      <w:r w:rsidRPr="000156B4">
        <w:t>7</w:t>
      </w:r>
      <w:r>
        <w:t xml:space="preserve"> </w:t>
      </w:r>
      <w:r w:rsidRPr="000156B4">
        <w:t>p.</w:t>
      </w:r>
      <w:r>
        <w:t xml:space="preserve"> </w:t>
      </w:r>
      <w:r w:rsidRPr="000156B4">
        <w:t>b. na</w:t>
      </w:r>
      <w:r>
        <w:t xml:space="preserve"> </w:t>
      </w:r>
      <w:r w:rsidRPr="000156B4">
        <w:t>24,0</w:t>
      </w:r>
      <w:r w:rsidR="00787D0C">
        <w:t> </w:t>
      </w:r>
      <w:r w:rsidRPr="000156B4">
        <w:t>% a</w:t>
      </w:r>
      <w:r w:rsidR="00787D0C">
        <w:t> </w:t>
      </w:r>
      <w:r w:rsidRPr="000156B4">
        <w:t>souhrnná rentabilita se zvýšila o</w:t>
      </w:r>
      <w:r>
        <w:t xml:space="preserve"> </w:t>
      </w:r>
      <w:r w:rsidRPr="000156B4">
        <w:t>12</w:t>
      </w:r>
      <w:r>
        <w:t xml:space="preserve"> </w:t>
      </w:r>
      <w:r w:rsidRPr="000156B4">
        <w:t>p.</w:t>
      </w:r>
      <w:r>
        <w:t xml:space="preserve"> </w:t>
      </w:r>
      <w:r w:rsidRPr="000156B4">
        <w:t>b. na 79,2</w:t>
      </w:r>
      <w:r>
        <w:t xml:space="preserve"> </w:t>
      </w:r>
      <w:r w:rsidRPr="000156B4">
        <w:t>%.</w:t>
      </w:r>
    </w:p>
    <w:p w:rsidR="00DB11C1" w:rsidRPr="000156B4" w:rsidRDefault="00DB11C1" w:rsidP="00AB226C">
      <w:r w:rsidRPr="000156B4">
        <w:t>Predikce nákladů na rok 2014 vychází z</w:t>
      </w:r>
      <w:r>
        <w:t xml:space="preserve"> </w:t>
      </w:r>
      <w:r w:rsidRPr="000156B4">
        <w:t>relativní stagnace cen vstupů. Předpokládá se meziroční zvýšení celkových nákladů o</w:t>
      </w:r>
      <w:r>
        <w:t xml:space="preserve"> </w:t>
      </w:r>
      <w:r w:rsidRPr="000156B4">
        <w:t>1</w:t>
      </w:r>
      <w:r>
        <w:t xml:space="preserve"> </w:t>
      </w:r>
      <w:r w:rsidRPr="000156B4">
        <w:t>% na</w:t>
      </w:r>
      <w:r>
        <w:t xml:space="preserve"> </w:t>
      </w:r>
      <w:r w:rsidRPr="000156B4">
        <w:t>56</w:t>
      </w:r>
      <w:r>
        <w:t xml:space="preserve"> </w:t>
      </w:r>
      <w:r w:rsidRPr="000156B4">
        <w:t>419</w:t>
      </w:r>
      <w:r>
        <w:t xml:space="preserve"> </w:t>
      </w:r>
      <w:r w:rsidRPr="000156B4">
        <w:t>Kč/ha, resp.</w:t>
      </w:r>
      <w:r>
        <w:t xml:space="preserve"> </w:t>
      </w:r>
      <w:r w:rsidRPr="000156B4">
        <w:t>na</w:t>
      </w:r>
      <w:r>
        <w:t xml:space="preserve"> </w:t>
      </w:r>
      <w:r w:rsidRPr="000156B4">
        <w:t>803</w:t>
      </w:r>
      <w:r>
        <w:t xml:space="preserve"> </w:t>
      </w:r>
      <w:r w:rsidRPr="000156B4">
        <w:t>Kč/t, při výnosu 70,3</w:t>
      </w:r>
      <w:r>
        <w:t xml:space="preserve"> </w:t>
      </w:r>
      <w:r w:rsidRPr="000156B4">
        <w:t>t/ha, který je prezentován ČSÚ na rok 2014, a</w:t>
      </w:r>
      <w:r>
        <w:t xml:space="preserve"> </w:t>
      </w:r>
      <w:r w:rsidRPr="000156B4">
        <w:t>užívá se ve fázi odhadu nákladů. Po přepočtu výnosu na 16% cukernatost výnos dosáhl 72,47</w:t>
      </w:r>
      <w:r>
        <w:t xml:space="preserve"> </w:t>
      </w:r>
      <w:r w:rsidRPr="000156B4">
        <w:t>t/ha, protože předpokládaná cukernatost dosáhla</w:t>
      </w:r>
      <w:r>
        <w:t xml:space="preserve"> </w:t>
      </w:r>
      <w:r w:rsidRPr="000156B4">
        <w:t>u respondentů 16,5</w:t>
      </w:r>
      <w:r>
        <w:t xml:space="preserve"> </w:t>
      </w:r>
      <w:r w:rsidRPr="000156B4">
        <w:t>%. Přepočtené náklady na</w:t>
      </w:r>
      <w:r>
        <w:t xml:space="preserve"> </w:t>
      </w:r>
      <w:r w:rsidRPr="000156B4">
        <w:t>tunu cukrové řepy se snížily na 778,0</w:t>
      </w:r>
      <w:r>
        <w:t xml:space="preserve"> </w:t>
      </w:r>
      <w:r w:rsidRPr="000156B4">
        <w:t>Kč/t.</w:t>
      </w:r>
    </w:p>
    <w:p w:rsidR="00DB11C1" w:rsidRPr="000156B4" w:rsidRDefault="00DB11C1" w:rsidP="00AB226C">
      <w:r w:rsidRPr="000156B4">
        <w:t>V</w:t>
      </w:r>
      <w:r>
        <w:t xml:space="preserve"> </w:t>
      </w:r>
      <w:r w:rsidRPr="000156B4">
        <w:t>roce 2014, kdy došlo k</w:t>
      </w:r>
      <w:r>
        <w:t xml:space="preserve"> </w:t>
      </w:r>
      <w:r w:rsidRPr="000156B4">
        <w:t>meziročnímu snížení realizační ceny o</w:t>
      </w:r>
      <w:r>
        <w:t xml:space="preserve"> </w:t>
      </w:r>
      <w:r w:rsidRPr="000156B4">
        <w:t>19</w:t>
      </w:r>
      <w:r>
        <w:t xml:space="preserve"> </w:t>
      </w:r>
      <w:r w:rsidRPr="000156B4">
        <w:t>% na</w:t>
      </w:r>
      <w:r>
        <w:t xml:space="preserve"> </w:t>
      </w:r>
      <w:r w:rsidRPr="000156B4">
        <w:t>818</w:t>
      </w:r>
      <w:r>
        <w:t xml:space="preserve"> </w:t>
      </w:r>
      <w:r w:rsidRPr="000156B4">
        <w:t>Kč/t a</w:t>
      </w:r>
      <w:r w:rsidR="00787D0C">
        <w:t> </w:t>
      </w:r>
      <w:r w:rsidRPr="000156B4">
        <w:t>snížení nákladů na</w:t>
      </w:r>
      <w:r>
        <w:t xml:space="preserve"> </w:t>
      </w:r>
      <w:r w:rsidRPr="000156B4">
        <w:t>tunu přepočtené cukrové řepy na</w:t>
      </w:r>
      <w:r>
        <w:t xml:space="preserve"> </w:t>
      </w:r>
      <w:r w:rsidRPr="000156B4">
        <w:t>16% cukernatost o</w:t>
      </w:r>
      <w:r>
        <w:t xml:space="preserve"> </w:t>
      </w:r>
      <w:r w:rsidRPr="000156B4">
        <w:t>4,4</w:t>
      </w:r>
      <w:r>
        <w:t xml:space="preserve"> </w:t>
      </w:r>
      <w:r w:rsidRPr="000156B4">
        <w:t>% na 778</w:t>
      </w:r>
      <w:r>
        <w:t xml:space="preserve"> </w:t>
      </w:r>
      <w:r w:rsidRPr="000156B4">
        <w:t>Kč/t, se předpokládá nákladová rentabilita ve výši 5,1</w:t>
      </w:r>
      <w:r>
        <w:t xml:space="preserve"> </w:t>
      </w:r>
      <w:r w:rsidRPr="000156B4">
        <w:t>% (meziroční snížení o</w:t>
      </w:r>
      <w:r>
        <w:t xml:space="preserve"> </w:t>
      </w:r>
      <w:r w:rsidRPr="000156B4">
        <w:t>18,9</w:t>
      </w:r>
      <w:r>
        <w:t xml:space="preserve"> </w:t>
      </w:r>
      <w:r w:rsidRPr="000156B4">
        <w:t>p.</w:t>
      </w:r>
      <w:r>
        <w:t xml:space="preserve"> </w:t>
      </w:r>
      <w:r w:rsidRPr="000156B4">
        <w:t>b.). Souhrnná rentabilita (se započtením přímých plateb) opět dosáhla kladných hodnot ve výši 64,1</w:t>
      </w:r>
      <w:r>
        <w:t xml:space="preserve"> </w:t>
      </w:r>
      <w:r w:rsidRPr="000156B4">
        <w:t>% (meziroční snížení o</w:t>
      </w:r>
      <w:r>
        <w:t xml:space="preserve"> </w:t>
      </w:r>
      <w:r w:rsidRPr="000156B4">
        <w:t>15</w:t>
      </w:r>
      <w:r>
        <w:t xml:space="preserve"> </w:t>
      </w:r>
      <w:r w:rsidRPr="000156B4">
        <w:t>p.</w:t>
      </w:r>
      <w:r>
        <w:t> </w:t>
      </w:r>
      <w:r w:rsidRPr="000156B4">
        <w:t>b.).</w:t>
      </w:r>
    </w:p>
    <w:p w:rsidR="00DB11C1" w:rsidRPr="000D25EC" w:rsidRDefault="00DB11C1" w:rsidP="00AB226C">
      <w:r w:rsidRPr="000156B4">
        <w:t>Přímé platby započítávané do souhrnné rentability zahrnují SAPS, Top-Up a</w:t>
      </w:r>
      <w:r>
        <w:t xml:space="preserve"> </w:t>
      </w:r>
      <w:r w:rsidRPr="000156B4">
        <w:t xml:space="preserve">od roku 2013 byla národní doplňková platba (Top-Up) nahrazena přechodnou vnitrostátní podporou. </w:t>
      </w:r>
      <w:r w:rsidRPr="000156B4">
        <w:lastRenderedPageBreak/>
        <w:t>Sazba jednotné platby na hektar (SAPS) se snížila přibližně o</w:t>
      </w:r>
      <w:r>
        <w:t xml:space="preserve"> </w:t>
      </w:r>
      <w:r w:rsidRPr="000156B4">
        <w:t>1,2</w:t>
      </w:r>
      <w:r>
        <w:t xml:space="preserve"> </w:t>
      </w:r>
      <w:r w:rsidRPr="000156B4">
        <w:t>% z</w:t>
      </w:r>
      <w:r>
        <w:t xml:space="preserve"> </w:t>
      </w:r>
      <w:r w:rsidRPr="000156B4">
        <w:t>částky 6</w:t>
      </w:r>
      <w:r>
        <w:t xml:space="preserve"> </w:t>
      </w:r>
      <w:r w:rsidRPr="000156B4">
        <w:t>068,88</w:t>
      </w:r>
      <w:r>
        <w:t xml:space="preserve"> </w:t>
      </w:r>
      <w:r w:rsidRPr="000156B4">
        <w:t>Kč/ha v</w:t>
      </w:r>
      <w:r w:rsidR="00787D0C">
        <w:t> </w:t>
      </w:r>
      <w:r w:rsidRPr="000156B4">
        <w:t>roce 2013 na</w:t>
      </w:r>
      <w:r>
        <w:t xml:space="preserve"> </w:t>
      </w:r>
      <w:r w:rsidRPr="000156B4">
        <w:t>5</w:t>
      </w:r>
      <w:r>
        <w:t> </w:t>
      </w:r>
      <w:r w:rsidRPr="000156B4">
        <w:t>997,23</w:t>
      </w:r>
      <w:r>
        <w:t> </w:t>
      </w:r>
      <w:r w:rsidRPr="000156B4">
        <w:t>Kč/ha v</w:t>
      </w:r>
      <w:r>
        <w:t xml:space="preserve"> </w:t>
      </w:r>
      <w:r w:rsidRPr="000156B4">
        <w:t>roce 2014 a</w:t>
      </w:r>
      <w:r>
        <w:t xml:space="preserve"> </w:t>
      </w:r>
      <w:r w:rsidRPr="000156B4">
        <w:t>sazba přechodné vnitrostátní podpory byla stanovena na rok 2014 ve výši 185,06</w:t>
      </w:r>
      <w:r>
        <w:t xml:space="preserve"> </w:t>
      </w:r>
      <w:r w:rsidRPr="000156B4">
        <w:t>Kč/ha. Od hospodářského roku</w:t>
      </w:r>
      <w:r>
        <w:t xml:space="preserve"> </w:t>
      </w:r>
      <w:r w:rsidRPr="000156B4">
        <w:t>2009/10 je v</w:t>
      </w:r>
      <w:r>
        <w:t xml:space="preserve"> </w:t>
      </w:r>
      <w:r w:rsidRPr="000156B4">
        <w:t>EU stanovena na stále stejné úrovni minimální cena cukrové řepy pro výrobu cukru v</w:t>
      </w:r>
      <w:r>
        <w:t xml:space="preserve"> </w:t>
      </w:r>
      <w:r w:rsidRPr="000156B4">
        <w:t>rámci kvóty ve výši 26,29</w:t>
      </w:r>
      <w:r>
        <w:t xml:space="preserve"> </w:t>
      </w:r>
      <w:r w:rsidRPr="000156B4">
        <w:t>€/t při standardní 16%</w:t>
      </w:r>
      <w:r>
        <w:t xml:space="preserve"> </w:t>
      </w:r>
      <w:r w:rsidRPr="000156B4">
        <w:t>cukernatosti. Sazba oddělené platby za cukr kompenzující pěstitelům snížení</w:t>
      </w:r>
      <w:r w:rsidRPr="000D25EC">
        <w:t xml:space="preserve"> příjmů z</w:t>
      </w:r>
      <w:r>
        <w:t xml:space="preserve"> </w:t>
      </w:r>
      <w:r w:rsidRPr="000D25EC">
        <w:t>klesající minimální ceny cukrové řepy od roku 2009/10 byla na rok 2014 v</w:t>
      </w:r>
      <w:r>
        <w:t xml:space="preserve"> </w:t>
      </w:r>
      <w:r w:rsidRPr="000D25EC">
        <w:t>rámci finančního stropu přiděleného ČR přiznána obdobně jako v</w:t>
      </w:r>
      <w:r w:rsidR="00787D0C">
        <w:t> </w:t>
      </w:r>
      <w:r w:rsidRPr="000D25EC">
        <w:t>roce 2013 v</w:t>
      </w:r>
      <w:r>
        <w:t xml:space="preserve"> </w:t>
      </w:r>
      <w:r w:rsidRPr="000D25EC">
        <w:t>plné výši 44,245</w:t>
      </w:r>
      <w:r>
        <w:t> mil. </w:t>
      </w:r>
      <w:r w:rsidRPr="000D25EC">
        <w:t>€. Sazba na 1</w:t>
      </w:r>
      <w:r>
        <w:t xml:space="preserve"> </w:t>
      </w:r>
      <w:r w:rsidRPr="000D25EC">
        <w:t>t cukrové řepy přepočítané na standardní 16% cukernatost (NV</w:t>
      </w:r>
      <w:r>
        <w:t xml:space="preserve"> </w:t>
      </w:r>
      <w:r w:rsidRPr="000D25EC">
        <w:t>č.</w:t>
      </w:r>
      <w:r>
        <w:t xml:space="preserve"> </w:t>
      </w:r>
      <w:r w:rsidRPr="000D25EC">
        <w:t>45/2007</w:t>
      </w:r>
      <w:r>
        <w:t xml:space="preserve"> </w:t>
      </w:r>
      <w:r w:rsidRPr="000D25EC">
        <w:t>Sb., o</w:t>
      </w:r>
      <w:r>
        <w:t xml:space="preserve"> </w:t>
      </w:r>
      <w:r w:rsidRPr="000D25EC">
        <w:t>stanovení některých podmínek poskytování oddělené platby za cukr pěstitelům cukrové řepy, ve znění pozdějších předpisů) dosáhla 13,906</w:t>
      </w:r>
      <w:r>
        <w:t xml:space="preserve"> </w:t>
      </w:r>
      <w:r w:rsidRPr="000D25EC">
        <w:t>€, tj.</w:t>
      </w:r>
      <w:r>
        <w:t xml:space="preserve"> </w:t>
      </w:r>
      <w:r w:rsidRPr="000D25EC">
        <w:t>382,25</w:t>
      </w:r>
      <w:r>
        <w:t xml:space="preserve"> </w:t>
      </w:r>
      <w:r w:rsidRPr="000D25EC">
        <w:t>Kč/t (meziroční rozdíly v</w:t>
      </w:r>
      <w:r>
        <w:t xml:space="preserve"> </w:t>
      </w:r>
      <w:r w:rsidRPr="000D25EC">
        <w:t>sazbě oddělené platby za</w:t>
      </w:r>
      <w:r>
        <w:t xml:space="preserve"> </w:t>
      </w:r>
      <w:r w:rsidRPr="000D25EC">
        <w:t>cukr jsou dány aktuálními kurzy). Celkem SZIF vyplatil za rok 2013 na 818</w:t>
      </w:r>
      <w:r>
        <w:t xml:space="preserve"> </w:t>
      </w:r>
      <w:r w:rsidRPr="000D25EC">
        <w:t>žádostí 1,077</w:t>
      </w:r>
      <w:r>
        <w:t xml:space="preserve"> </w:t>
      </w:r>
      <w:r w:rsidRPr="000D25EC">
        <w:t>mld.</w:t>
      </w:r>
      <w:r>
        <w:t xml:space="preserve"> </w:t>
      </w:r>
      <w:r w:rsidRPr="000D25EC">
        <w:t>Kč. V</w:t>
      </w:r>
      <w:r>
        <w:t xml:space="preserve"> </w:t>
      </w:r>
      <w:r w:rsidRPr="000D25EC">
        <w:t>roce 2014 bylo podáno 815</w:t>
      </w:r>
      <w:r>
        <w:t xml:space="preserve"> </w:t>
      </w:r>
      <w:r w:rsidRPr="000D25EC">
        <w:t>žádostí na</w:t>
      </w:r>
      <w:r>
        <w:t xml:space="preserve"> </w:t>
      </w:r>
      <w:r w:rsidRPr="000D25EC">
        <w:t>3</w:t>
      </w:r>
      <w:r>
        <w:t xml:space="preserve"> </w:t>
      </w:r>
      <w:r w:rsidRPr="000D25EC">
        <w:t>181,5</w:t>
      </w:r>
      <w:r>
        <w:t xml:space="preserve"> </w:t>
      </w:r>
      <w:r w:rsidRPr="000D25EC">
        <w:t>tis.</w:t>
      </w:r>
      <w:r>
        <w:t xml:space="preserve"> </w:t>
      </w:r>
      <w:r w:rsidRPr="000D25EC">
        <w:t>t cukru v</w:t>
      </w:r>
      <w:r>
        <w:t xml:space="preserve"> </w:t>
      </w:r>
      <w:r w:rsidRPr="000D25EC">
        <w:t>předpokládané částce 1,2</w:t>
      </w:r>
      <w:r>
        <w:t xml:space="preserve"> </w:t>
      </w:r>
      <w:r w:rsidRPr="000D25EC">
        <w:t>mld.</w:t>
      </w:r>
      <w:r>
        <w:t xml:space="preserve"> </w:t>
      </w:r>
      <w:r w:rsidRPr="000D25EC">
        <w:t>Kč. Podle bilančních ukazatelů bylo dosaženo v</w:t>
      </w:r>
      <w:r>
        <w:t xml:space="preserve"> </w:t>
      </w:r>
      <w:r w:rsidRPr="000D25EC">
        <w:t>roce 2014/15 vyšší soběstačnosti v</w:t>
      </w:r>
      <w:r>
        <w:t xml:space="preserve"> </w:t>
      </w:r>
      <w:r w:rsidRPr="000D25EC">
        <w:t>komoditě cukr (</w:t>
      </w:r>
      <w:r>
        <w:t xml:space="preserve">147,9 </w:t>
      </w:r>
      <w:r w:rsidRPr="000D25EC">
        <w:t>%) hlavně z</w:t>
      </w:r>
      <w:r>
        <w:t xml:space="preserve"> </w:t>
      </w:r>
      <w:r w:rsidRPr="000D25EC">
        <w:t>důvodu poklesu domácí spotřeby cukru.</w:t>
      </w:r>
    </w:p>
    <w:p w:rsidR="00DB11C1" w:rsidRPr="00383270" w:rsidRDefault="00DB11C1" w:rsidP="00AB226C">
      <w:r w:rsidRPr="000D25EC">
        <w:t>Spotřeba cukru v</w:t>
      </w:r>
      <w:r>
        <w:t xml:space="preserve"> </w:t>
      </w:r>
      <w:r w:rsidRPr="000D25EC">
        <w:t>roce 2013 dle ČSÚ dosáhla 33,4 kg/obyv./rok (pokles proti roku 2012 o</w:t>
      </w:r>
      <w:r>
        <w:t> </w:t>
      </w:r>
      <w:r w:rsidRPr="000D25EC">
        <w:t>3,3</w:t>
      </w:r>
      <w:r>
        <w:t> </w:t>
      </w:r>
      <w:r w:rsidRPr="000D25EC">
        <w:t>%), v</w:t>
      </w:r>
      <w:r>
        <w:t xml:space="preserve"> </w:t>
      </w:r>
      <w:r w:rsidRPr="000D25EC">
        <w:t>roce 2014 se odhaduje další snížení spotřeby na 32</w:t>
      </w:r>
      <w:r>
        <w:t xml:space="preserve"> kg/obyv./rok.</w:t>
      </w:r>
    </w:p>
    <w:p w:rsidR="00ED387B" w:rsidRPr="0085551F" w:rsidRDefault="00ED387B" w:rsidP="00ED387B">
      <w:pPr>
        <w:pStyle w:val="Nadpis3"/>
        <w:numPr>
          <w:ilvl w:val="2"/>
          <w:numId w:val="10"/>
        </w:numPr>
        <w:tabs>
          <w:tab w:val="clear" w:pos="567"/>
          <w:tab w:val="clear" w:pos="720"/>
        </w:tabs>
        <w:ind w:left="567" w:hanging="567"/>
      </w:pPr>
      <w:bookmarkStart w:id="204" w:name="_Toc424307070"/>
      <w:bookmarkEnd w:id="202"/>
      <w:r w:rsidRPr="0085551F">
        <w:t>8.1.3</w:t>
      </w:r>
      <w:r w:rsidRPr="0085551F">
        <w:tab/>
        <w:t>Brambory a bramborový škrob</w:t>
      </w:r>
      <w:bookmarkEnd w:id="203"/>
      <w:bookmarkEnd w:id="204"/>
    </w:p>
    <w:p w:rsidR="00ED387B" w:rsidRPr="00D51FBB" w:rsidRDefault="00ED387B" w:rsidP="00FA2CA5">
      <w:r w:rsidRPr="00D51FBB">
        <w:t>Produkční plocha brambor se v roce 2014 v zemích EU dle Eurostatu a odhadu ÚZEI ve srovnání s předchozím rokem 2013 snížila o 3,1 % na 1 690,9 tis. ha. Odhadovaná produkce zemí EU v roce 2014 se vlivem příznivých podmínek a zvýšením hektarových výnosů v </w:t>
      </w:r>
      <w:proofErr w:type="spellStart"/>
      <w:r w:rsidRPr="00D51FBB">
        <w:t>bramborářsky</w:t>
      </w:r>
      <w:proofErr w:type="spellEnd"/>
      <w:r w:rsidRPr="00D51FBB">
        <w:t xml:space="preserve"> vyspělých zemích meziročně zvýšila o 7,0 % na 57,8 mil. t.</w:t>
      </w:r>
    </w:p>
    <w:p w:rsidR="00ED387B" w:rsidRPr="00D51FBB" w:rsidRDefault="00ED387B" w:rsidP="00FA2CA5">
      <w:r w:rsidRPr="00D51FBB">
        <w:t>Snížení produkčních ploch v EU se však nedotklo hlavních pěstitelských zemí, tzv. EU 5 (Německo, Francie, Nizozemsko, Velká Británie a Belgie). Celkově se zvýšila produkční plocha v těchto zemích o 3,2 % na 549,0 tis. ha, z nichž se nejvyšší měrou zvýšila produkční plocha brambor v Belgii (o 6,9 % na 81,4 tis. ha) a Nizozemsku (o 4,8 % na 74,1 tis. ha). Zhruba srovnatelné zvýšení ploch bylo zaznamenáno ve Francii (o 3,6 % na 121,4 tis. ha) a v Německu (o 3,3 % na 167,1 tis. ha). Hektarové výnosy EU 5 se průměrně zvýšily o 14,5 %, avšak v jednotlivých zemích byly zaznamenány velké výkyvy. Nejvíce vzrostl hektarový výnos v Belgii (o 17,3 % na 56,2 t/ha)</w:t>
      </w:r>
      <w:r>
        <w:t xml:space="preserve"> a </w:t>
      </w:r>
      <w:r w:rsidRPr="00D51FBB">
        <w:t>v Německu (o 26,2 % na 53,0 t/ha). Ve Francii se meziročně zvýšil výnos brambor (o</w:t>
      </w:r>
      <w:r>
        <w:t> </w:t>
      </w:r>
      <w:r w:rsidRPr="00D51FBB">
        <w:t>11,9 % na 50,0 t/ha), v Nizozem</w:t>
      </w:r>
      <w:r>
        <w:t>sku</w:t>
      </w:r>
      <w:r w:rsidRPr="00D51FBB">
        <w:t xml:space="preserve"> (o 6,8 % na 53,5 t/ha). Zvýšení výnosu (o 4,3 % na 49,0 t/ha) se očekává ve Velké Británii.</w:t>
      </w:r>
    </w:p>
    <w:p w:rsidR="00ED387B" w:rsidRPr="00D51FBB" w:rsidRDefault="00ED387B" w:rsidP="00FA2CA5">
      <w:r w:rsidRPr="00D51FBB">
        <w:t>Produkce zemí EU 5 se meziročně zvýšila (o 18,2 % na 28,6 mil. t). Nejvyšší zvýšení bylo zaznamenáno v Německu (o 30,3 % na 8,9 mil. t), v Belgii (o 25,4 % na 4,6 mil. t) a ve Francii (o 16,0 % na 6,1 mil. t). Pouze ve Velké Británii vzrostl objem produkce minimálně (o 3,3 % na 5,1 mil. t).</w:t>
      </w:r>
    </w:p>
    <w:p w:rsidR="00ED387B" w:rsidRPr="00D51FBB" w:rsidRDefault="00ED387B" w:rsidP="00FA2CA5">
      <w:r w:rsidRPr="00D51FBB">
        <w:lastRenderedPageBreak/>
        <w:t>V ČR v hospodářském roce 2014/15 se pozastavil trend snižování produkční plochy brambor. V tomto roce se plocha brambor mírně zvýšila o 2,7 % na 30,1 tis. ha (se zápočtem ploch domácností).</w:t>
      </w:r>
    </w:p>
    <w:p w:rsidR="00ED387B" w:rsidRPr="00D51FBB" w:rsidRDefault="00ED387B" w:rsidP="00FA2CA5">
      <w:r w:rsidRPr="00D51FBB">
        <w:t xml:space="preserve">Podmínky pro pěstování brambor byly v roce 2014/15 nadstandardní a projevilo se to především v hektarovém výnosu, který se meziročně zvýšil o 25,4 % na 27,7 t/ha. Úměrně zvýšeným výnosům se zvýšila </w:t>
      </w:r>
      <w:r>
        <w:t xml:space="preserve">celková </w:t>
      </w:r>
      <w:r w:rsidRPr="00D51FBB">
        <w:t>produkce brambor o 28,7 % na 832,8 tis. t.</w:t>
      </w:r>
    </w:p>
    <w:p w:rsidR="003B792B" w:rsidRDefault="00ED387B" w:rsidP="00FA2CA5">
      <w:r w:rsidRPr="00D51FBB">
        <w:t>Zvýšení produkční plochy brambor celkem se týkalo v roce 2014/15 především ploch raných brambor, u kterých došlo ke zvýšení produkční plochy o 16,3 % na 2,4 tis. ha a výnosu na 19,0 t/ha, a brambor sadbových, u kterých došlo ke zvýšení produkční plochy o 3,7 % na 3,2 tis. ha a ke zvýšení výnosu o 11,2 % na 21,5 t/ha. V kategorii brambor pro výrobu škrobu se produkční plocha ve srovnání s rokem 2013/14 zvýšila o </w:t>
      </w:r>
      <w:r w:rsidR="00B85953">
        <w:t>17,2</w:t>
      </w:r>
      <w:r w:rsidRPr="00D51FBB">
        <w:t xml:space="preserve"> % na </w:t>
      </w:r>
      <w:r w:rsidR="00FA2CA5">
        <w:t>4,7</w:t>
      </w:r>
      <w:r w:rsidRPr="00D51FBB">
        <w:t xml:space="preserve"> tis. ha a hektarový výnos </w:t>
      </w:r>
      <w:r>
        <w:t>38,4 </w:t>
      </w:r>
      <w:r w:rsidRPr="00D51FBB">
        <w:t>t/ha překročil očekávání. Celková nabídka brambor ve výši 1 104,8 tis. t představovala proti roku 2013/14 zvýšení o 4,3 %.</w:t>
      </w:r>
    </w:p>
    <w:p w:rsidR="00ED387B" w:rsidRDefault="00ED387B" w:rsidP="00ED387B">
      <w:pPr>
        <w:pStyle w:val="mezera"/>
      </w:pPr>
    </w:p>
    <w:p w:rsidR="00ED387B" w:rsidRDefault="00FA2CA5" w:rsidP="00ED387B">
      <w:pPr>
        <w:pStyle w:val="mezera"/>
      </w:pPr>
      <w:r w:rsidRPr="00FA2CA5">
        <w:rPr>
          <w:noProof/>
          <w:lang w:eastAsia="cs-CZ"/>
        </w:rPr>
        <w:drawing>
          <wp:inline distT="0" distB="0" distL="0" distR="0" wp14:anchorId="34BD14D6" wp14:editId="54D5282A">
            <wp:extent cx="5760720" cy="564622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5646221"/>
                    </a:xfrm>
                    <a:prstGeom prst="rect">
                      <a:avLst/>
                    </a:prstGeom>
                    <a:noFill/>
                    <a:ln>
                      <a:noFill/>
                    </a:ln>
                  </pic:spPr>
                </pic:pic>
              </a:graphicData>
            </a:graphic>
          </wp:inline>
        </w:drawing>
      </w:r>
    </w:p>
    <w:p w:rsidR="00ED387B" w:rsidRPr="00D51FBB" w:rsidRDefault="00ED387B" w:rsidP="00ED387B">
      <w:pPr>
        <w:pStyle w:val="mezera"/>
      </w:pPr>
    </w:p>
    <w:p w:rsidR="00ED387B" w:rsidRDefault="00ED387B" w:rsidP="00382875">
      <w:r w:rsidRPr="00D51FBB">
        <w:t>Dovoz brambor celkem (brambory čerstvé, brambory obsažené ve výrobcích a polotovarech z brambor a brambory přepočtené na nativní škrob) v roce 2013/14 dosáhl 412,5 tis. t. Dovoz nových a raných brambor v období od 1. 1.</w:t>
      </w:r>
      <w:r w:rsidRPr="00D51FBB">
        <w:noBreakHyphen/>
        <w:t>30. 6. roku sklizně se realizoval především ze Španělska (6,8 tis. t), Itálie (1,6 tis. t) a z Egypta (0,4 tis. t). Celkem bylo dovezeno 10,8 tis. t raných a nových brambor. Dovoz brambor konzumních ostatních činil 178,1 tis. t v roce 2013/14. Nejvíce brambor konzumních ostatních bylo importováno z Německa (67,9 tis. t), Francie (61,3 tis. t)</w:t>
      </w:r>
      <w:r>
        <w:t xml:space="preserve"> a </w:t>
      </w:r>
      <w:r w:rsidRPr="00D51FBB">
        <w:t>z Nizozemska (22,6 tis. t). Brambor obsažených ve výrobcích bylo importováno 182,</w:t>
      </w:r>
      <w:r>
        <w:t>5</w:t>
      </w:r>
      <w:r w:rsidRPr="00D51FBB">
        <w:t xml:space="preserve"> tis. t. Dovoz brambor přepočtený na nativní škrob se meziročně </w:t>
      </w:r>
      <w:r w:rsidR="00FA2CA5">
        <w:t>snížil</w:t>
      </w:r>
      <w:r w:rsidRPr="00D51FBB">
        <w:t xml:space="preserve"> o </w:t>
      </w:r>
      <w:r w:rsidR="00FA2CA5">
        <w:t>18,5</w:t>
      </w:r>
      <w:r w:rsidRPr="00D51FBB">
        <w:t> % na 27,9 tis. t. V souvislosti s </w:t>
      </w:r>
      <w:r>
        <w:t>29</w:t>
      </w:r>
      <w:r w:rsidRPr="00D51FBB">
        <w:t>% nárůstem produkce brambor v roce 2014/15 by se měl celkový dovoz brambor dle předběžných údajů snížit na 65,9 % skutečnosti roku 2013/14, tj. na 272,0 tis. t brambor celkem. Očekává se snížení dovozu čerstvých brambor o 52,5 % na 96,0 tis. t a dovozu výrobků obsahujících brambory o 20 % na 146 tis. t. Předběžně se v roce 2014/15 očekává také zvýšení dovozu brambor přepočtených na nativní škrob o 7,5 % na 30,0 tis. t.</w:t>
      </w:r>
    </w:p>
    <w:p w:rsidR="00ED387B" w:rsidRPr="00D51FBB" w:rsidRDefault="00ED387B" w:rsidP="00382875">
      <w:r w:rsidRPr="00D51FBB">
        <w:t xml:space="preserve">Vývoz brambor celkem v roce 2013/14 činil </w:t>
      </w:r>
      <w:r>
        <w:t>129,7</w:t>
      </w:r>
      <w:r w:rsidRPr="00D51FBB">
        <w:t> tis. t. Vývoz nových a raných brambor v celkové výši 1,8 tis.</w:t>
      </w:r>
      <w:r>
        <w:t> </w:t>
      </w:r>
      <w:r w:rsidRPr="00D51FBB">
        <w:t>t byl realizován především na Slovensko (1,7 tis. t) a</w:t>
      </w:r>
      <w:r>
        <w:t> </w:t>
      </w:r>
      <w:r w:rsidRPr="00D51FBB">
        <w:t>do Polska (0,9 tis. t). Nejvíce brambor konzumních ostatních bylo vyvezeno na Slovensko (18,8 tis. t), do Německa (1,4 tis. t) a do Rakouska (0,87 tis. t) v celkové výši 22,7 tis. t. Celkově bylo exportováno 34,0 tis. t čerstvých brambor. Výrobky obsahující brambory se vyvezly v množství 52,2 tis. t. V roce 2013/14 došlo k výraznému zvýšení vývozu brambor v nativním škrobu a celkové množství vývozu tak činilo 43,4 tis. t. V roce 2014/15 se očekává zvýšení vývozu brambor celkem o </w:t>
      </w:r>
      <w:r>
        <w:t>2,8</w:t>
      </w:r>
      <w:r w:rsidRPr="00D51FBB">
        <w:t xml:space="preserve"> % na 133,3 tis. t, z nichž nejvyšší růst o 47,1 % na 50,0 tis. t se předpokládá u brambor čerstvých. Pokles vývozu se očekává u brambor obsažených ve výrobcích </w:t>
      </w:r>
      <w:r>
        <w:t>a </w:t>
      </w:r>
      <w:r w:rsidRPr="00D51FBB">
        <w:t>brambor v nativním škrobu.</w:t>
      </w:r>
    </w:p>
    <w:p w:rsidR="00ED387B" w:rsidRDefault="00ED387B" w:rsidP="00382875">
      <w:r w:rsidRPr="00D51FBB">
        <w:t>Většina parametrů bilance brambor celkem potvrzuje úspěšný bramborářský rok. Příznivé přírodní podmínky měly vliv na dosažení nejvyššího průměrného výnosu brambor celkem a produkci brambor za po</w:t>
      </w:r>
      <w:r>
        <w:t>s</w:t>
      </w:r>
      <w:r w:rsidRPr="00D51FBB">
        <w:t>lední tři roky. Potřeba dovozu brambor se snížila. Došlo k oživení domácí spotřeby brambor o 1,6 % na 650 tis. t. Pozitivním ukazatelem je předpoklad snížení odpadů a ztrát o </w:t>
      </w:r>
      <w:r w:rsidR="00FA2CA5">
        <w:t>0,6</w:t>
      </w:r>
      <w:r w:rsidRPr="00D51FBB">
        <w:t> % na 83,5 tis. t. Předpokládá se, že se výrazně zvýší potřeba brambor k technickému využití až o 2</w:t>
      </w:r>
      <w:r w:rsidR="00FA2CA5">
        <w:t xml:space="preserve">9,6 </w:t>
      </w:r>
      <w:r w:rsidRPr="00D51FBB">
        <w:t>% na 150,0 tis. t. Soběstačnost brambor se opět dostala na úroveň let 2010</w:t>
      </w:r>
      <w:r>
        <w:t>-</w:t>
      </w:r>
      <w:r w:rsidRPr="00D51FBB">
        <w:t>2012, tj.</w:t>
      </w:r>
      <w:r>
        <w:t> </w:t>
      </w:r>
      <w:r w:rsidRPr="00D51FBB">
        <w:t>85,7 %.</w:t>
      </w:r>
    </w:p>
    <w:p w:rsidR="00ED387B" w:rsidRPr="00D51FBB" w:rsidRDefault="00ED387B" w:rsidP="00FA2CA5">
      <w:r>
        <w:t xml:space="preserve">Průměrná roční </w:t>
      </w:r>
      <w:r w:rsidRPr="00D51FBB">
        <w:t xml:space="preserve">CZV brambor konzumních </w:t>
      </w:r>
      <w:r>
        <w:t>ostatních</w:t>
      </w:r>
      <w:r w:rsidRPr="00D51FBB">
        <w:t xml:space="preserve"> se v roce 2014 (podle ČSÚ) ve srovnání s rokem 2013 snížila o 1</w:t>
      </w:r>
      <w:r w:rsidR="00FA2CA5">
        <w:t>4</w:t>
      </w:r>
      <w:r w:rsidRPr="00D51FBB">
        <w:t xml:space="preserve">,3 % na 4 865 Kč/t. Průměrnou CZV brambor konzumních 6 809 Kč/t dosahovali pěstitelé v první polovině roku. K zásadnímu snížení CZV došlo v druhé polovině roku na 3 192 Kč/t. V listopadu a prosinci 2014 se CZV </w:t>
      </w:r>
      <w:r w:rsidR="00FA2CA5">
        <w:t>dostala pod hranici 3 000 Kč/t.</w:t>
      </w:r>
    </w:p>
    <w:p w:rsidR="00ED387B" w:rsidRDefault="00ED387B" w:rsidP="00FA2CA5">
      <w:r w:rsidRPr="00D51FBB">
        <w:lastRenderedPageBreak/>
        <w:t>Spotřebitelská cena brambor konzumních pozdních se snížila o 20 % z 17,00 Kč/kg v roce 2013</w:t>
      </w:r>
      <w:r>
        <w:t xml:space="preserve"> na 13,60 Kč/kg v roce 2014.</w:t>
      </w:r>
    </w:p>
    <w:p w:rsidR="00ED387B" w:rsidRDefault="00ED387B" w:rsidP="00382875">
      <w:r w:rsidRPr="00D51FBB">
        <w:t>Podle konečných výsledků výběrového šetření o nákladech a výnosech zemědělských výrobků ÚZEI dosáhly vlastní náklady brambor konzumních ostatních v roce 2013 výše 111 877 Kč/ha, resp. 4 663 Kč/t. Podle předběžných výsledků šetření se předpokládá v roce 2014 zvýšení vlastních nákladů o 1,0 % na 112 998 Kč/ha</w:t>
      </w:r>
      <w:r>
        <w:t>.</w:t>
      </w:r>
    </w:p>
    <w:p w:rsidR="00ED387B" w:rsidRPr="00D51FBB" w:rsidRDefault="00ED387B" w:rsidP="00382875">
      <w:r w:rsidRPr="00D51FBB">
        <w:t>Přímé materiální náklady v roce 2014 zůstaly přibližně na stejné úrovni jako v roce 2013, tj. 36 412 Kč/ha. S výjimkou zvýšení nákladů na prostředky ochrany rostlin o 4,0 % na 8 162 Kč/ha a stejné finanční částky ve srovnání s rokem 2013 vydané na vlastní hnojiva ve výši 895 Kč/ha, se zbývající nákladové položky jako sadba brambor vlastní (1 193 Kč/ha) i nakupovaná (18 107 Kč/ha), hnojiva nakupovaná (3 938 Kč/ha) a ostatní přímý materiál (4 117 Kč/ha) snížily. Z přímých materiálových nákladů celkem došlo v roce 2014 celkově k mírnému snížení o 0,2 %.</w:t>
      </w:r>
    </w:p>
    <w:p w:rsidR="00ED387B" w:rsidRDefault="00ED387B" w:rsidP="00FA2CA5">
      <w:r w:rsidRPr="00D51FBB">
        <w:t xml:space="preserve">Předběžné výsledky šetření v roce 2014 signalizují v porovnání s rokem 2013 největší zvýšení v položce odpisy DNHM – přímé o 5,2 % (2 281 Kč/ha), zvýšení pracovních nákladů celkem o 2,9 % (28 709 Kč/ha) a ostatních přímých nákladů a služeb o 2,1 % (5 729 Kč/ha). </w:t>
      </w:r>
      <w:r>
        <w:t>Předpokládá se snížení nákladů</w:t>
      </w:r>
      <w:r w:rsidRPr="00D51FBB">
        <w:t xml:space="preserve"> na režie o 1,0 % (16 219 Kč/ha).</w:t>
      </w:r>
    </w:p>
    <w:p w:rsidR="00ED387B" w:rsidRPr="00D51FBB" w:rsidRDefault="00ED387B" w:rsidP="00FA2CA5">
      <w:r w:rsidRPr="00D51FBB">
        <w:t>Pěstitelé brambor v ČR využili v roce 2014 finanční podporu z prostředků EU formou jednotné platby na hektar (SAPS). Její výše se meziročně snížila o 1,2 % na 5 997,23</w:t>
      </w:r>
      <w:r>
        <w:t> </w:t>
      </w:r>
      <w:r w:rsidRPr="00D51FBB">
        <w:t>Kč/ha. Přechodná vnitrostátní podpora (dříve Top-Up) byla stanovena na 185,06</w:t>
      </w:r>
      <w:r>
        <w:t> Kč/ha.</w:t>
      </w:r>
    </w:p>
    <w:p w:rsidR="00ED387B" w:rsidRPr="00D51FBB" w:rsidRDefault="00ED387B" w:rsidP="00FA2CA5">
      <w:r w:rsidRPr="00D51FBB">
        <w:t xml:space="preserve">Pro stanovení nákladovosti brambor a rentability se užívají realizační ceny konkrétních respondentů výběrového šetření. Pouze v případě odhadu se užívá průměrná kalendářní cena ČSÚ. Z důvodu teplotních a srážkových podmínek na pěstování brambor v průběhu roku 2014 se očekává zvýšení výnosu konzumních brambor </w:t>
      </w:r>
      <w:r>
        <w:t xml:space="preserve">ostatních </w:t>
      </w:r>
      <w:r w:rsidRPr="00D51FBB">
        <w:t>na 27,3 </w:t>
      </w:r>
      <w:r>
        <w:t>t/ha.</w:t>
      </w:r>
    </w:p>
    <w:p w:rsidR="00ED387B" w:rsidRDefault="00ED387B" w:rsidP="00FA2CA5">
      <w:r w:rsidRPr="00D51FBB">
        <w:t>Rentabilita pěstování brambor konzumních ostatních za rok 2013 vychází z definitivních údajů Výběrového šetření o nákladech a výnosech zemědělských výrobků ÚZEI. Nákladová rentabilita vlivem poklesu CZV zůstala v záporných hodnotách (</w:t>
      </w:r>
      <w:r>
        <w:t>-</w:t>
      </w:r>
      <w:r w:rsidRPr="00D51FBB">
        <w:t xml:space="preserve">8,73 %). </w:t>
      </w:r>
      <w:r w:rsidRPr="00144989">
        <w:t>Souhrnná rentabilita se započtením přímých plateb dosáhla lepších výsledků (-3,08 %). Vycházelo se z ekonomických ukazatelů 46 zemědělských podniků, z nichž převážná část (29) byla z bramborářské oblasti. V odhadu nákladů za rok 2014 se využívá již známé definitivní průměrné CZV dle ČSÚ. Podle předběžných údajů se však očekává spíše nižší cena brambor konzumních</w:t>
      </w:r>
      <w:r w:rsidR="00FA2CA5">
        <w:t>,</w:t>
      </w:r>
      <w:r w:rsidRPr="00144989">
        <w:t xml:space="preserve"> než uvádí ČSÚ a míra rentability opět v záporných hodnotách. Skutečně dosažená realizační cena respondentů bude známá po vyhodnocení všech výnosových a nákladových</w:t>
      </w:r>
      <w:r w:rsidRPr="00D51FBB">
        <w:t xml:space="preserve"> ukazatelů za rok 2014. Zatím se předpokládá, že se realizační cena zvýší o 14,3 % na 4 865 Kč/t, což by zlepšilo ekonomiku pěstování brambor konzumních. Význam má zvýšení hektarového výnosu (27,3 t/ha)</w:t>
      </w:r>
      <w:r w:rsidR="00FA2CA5">
        <w:t>,</w:t>
      </w:r>
      <w:r w:rsidRPr="00D51FBB">
        <w:t xml:space="preserve"> a tím snížení průměrných nákladů na tunu brambor</w:t>
      </w:r>
      <w:r>
        <w:t xml:space="preserve"> </w:t>
      </w:r>
      <w:r w:rsidRPr="00D51FBB">
        <w:t xml:space="preserve">o 11,2 % (4 139 Kč/ha). Pěstování brambor konzumních ostatních by </w:t>
      </w:r>
      <w:r w:rsidRPr="00D51FBB">
        <w:lastRenderedPageBreak/>
        <w:t>dosáhlo kladné rentability. Nákladová rentabilita by se zlepšila o 26,3 p. b.</w:t>
      </w:r>
      <w:r>
        <w:t> </w:t>
      </w:r>
      <w:r w:rsidRPr="00D51FBB">
        <w:t>a souhrnná o 26,1 p. b.</w:t>
      </w:r>
    </w:p>
    <w:p w:rsidR="00ED387B" w:rsidRDefault="00ED387B" w:rsidP="00FA2CA5">
      <w:r w:rsidRPr="00D51FBB">
        <w:t>Spotřeba brambor v roce 2013 se meziročně snížila o 1 % na 68,0 kg/obyv./rok. V roce 2014 se očekává zvýšení spotřeb</w:t>
      </w:r>
      <w:r>
        <w:t>y brambor na 70,5 kg/obyv./rok.</w:t>
      </w:r>
    </w:p>
    <w:p w:rsidR="00ED387B" w:rsidRPr="00D51FBB" w:rsidRDefault="00ED387B" w:rsidP="00FA2CA5">
      <w:pPr>
        <w:pStyle w:val="Norm-Bold"/>
      </w:pPr>
      <w:r w:rsidRPr="00D51FBB">
        <w:t>Brambory na výrobu škrobu</w:t>
      </w:r>
    </w:p>
    <w:p w:rsidR="00ED387B" w:rsidRPr="00D51FBB" w:rsidRDefault="00ED387B" w:rsidP="00FA2CA5">
      <w:r w:rsidRPr="00D51FBB">
        <w:t xml:space="preserve">Podle odhadu na rok 2014/15 </w:t>
      </w:r>
      <w:r>
        <w:t xml:space="preserve">a definitivních údajů za rok 2013/14 dle ČŠS </w:t>
      </w:r>
      <w:r w:rsidRPr="00D51FBB">
        <w:t>se plocha brambor pro výrobu škrobu meziročně zvýšila o </w:t>
      </w:r>
      <w:r w:rsidR="00B74F18">
        <w:t>17,2</w:t>
      </w:r>
      <w:r w:rsidRPr="00D51FBB">
        <w:t xml:space="preserve"> % na </w:t>
      </w:r>
      <w:r>
        <w:t>4 670</w:t>
      </w:r>
      <w:r w:rsidRPr="00D51FBB">
        <w:t xml:space="preserve"> ha. </w:t>
      </w:r>
      <w:r>
        <w:t xml:space="preserve">Z celkové uvedené produkční plochy brambor na výrobu škrobu v roce 2014/15 byla poskytnuta z 844 ha produkce brambor zahraničnímu výrobci škrobu. </w:t>
      </w:r>
      <w:r w:rsidRPr="00D51FBB">
        <w:t xml:space="preserve">Pro brambory pro výrobu škrobu byl rok 2014 příznivý. </w:t>
      </w:r>
      <w:r>
        <w:t>Na výrobu škrobu z brambor v ČR b</w:t>
      </w:r>
      <w:r w:rsidRPr="00D51FBB">
        <w:t xml:space="preserve">ylo zpracováno o </w:t>
      </w:r>
      <w:r>
        <w:t>63,1</w:t>
      </w:r>
      <w:r w:rsidRPr="00D51FBB">
        <w:t xml:space="preserve"> % více brambor než v roce 2013/14, tj. </w:t>
      </w:r>
      <w:r>
        <w:t>179,5</w:t>
      </w:r>
      <w:r w:rsidRPr="00D51FBB">
        <w:t> tis. t, hektarový výnos vzrostl o </w:t>
      </w:r>
      <w:r>
        <w:t>39,1</w:t>
      </w:r>
      <w:r w:rsidRPr="00D51FBB">
        <w:t xml:space="preserve"> % na </w:t>
      </w:r>
      <w:r>
        <w:t>38,4</w:t>
      </w:r>
      <w:r w:rsidRPr="00D51FBB">
        <w:t> t/ha a výnos škrobu se zvýšil o 3</w:t>
      </w:r>
      <w:r>
        <w:t>9</w:t>
      </w:r>
      <w:r w:rsidRPr="00D51FBB">
        <w:t>,7 % na </w:t>
      </w:r>
      <w:r>
        <w:t>8,1</w:t>
      </w:r>
      <w:r w:rsidRPr="00D51FBB">
        <w:t> t/ha.</w:t>
      </w:r>
    </w:p>
    <w:p w:rsidR="00ED387B" w:rsidRPr="00D51FBB" w:rsidRDefault="00ED387B" w:rsidP="00FA2CA5">
      <w:r w:rsidRPr="00D51FBB">
        <w:t xml:space="preserve">Zvýšení výnosu se odrazilo v množství vyrobeného škrobu. Bylo vyrobeno 30,9 tis. t škrobu, což představuje nárůst o </w:t>
      </w:r>
      <w:r>
        <w:t>33</w:t>
      </w:r>
      <w:r w:rsidRPr="00D51FBB">
        <w:t>,9 %. Škrobnatost brambor se v porovnání s rokem 2013 snížila o </w:t>
      </w:r>
      <w:r>
        <w:t>5,5</w:t>
      </w:r>
      <w:r w:rsidRPr="00D51FBB">
        <w:t> % na 17,</w:t>
      </w:r>
      <w:r>
        <w:t>2</w:t>
      </w:r>
      <w:r w:rsidRPr="00D51FBB">
        <w:t> %.</w:t>
      </w:r>
    </w:p>
    <w:p w:rsidR="00ED387B" w:rsidRDefault="00ED387B" w:rsidP="00FA2CA5">
      <w:pPr>
        <w:rPr>
          <w:rFonts w:cs="Times New Roman"/>
          <w:szCs w:val="24"/>
        </w:rPr>
      </w:pPr>
      <w:r w:rsidRPr="00D51FBB">
        <w:rPr>
          <w:rFonts w:cs="Times New Roman"/>
          <w:szCs w:val="24"/>
        </w:rPr>
        <w:t>V roce 2014 byla stanovena sazba zvláštní podpory dle čl. 68 odst. 1 písm. a) pododstavce i) NR (ES) č. 79/2009 ve výši 19 670,44 Kč/ha a přechodné vnitrostátní podpory na škrob 1 681,86 Kč/t. V roce 2014 byla vyplacena částka 43</w:t>
      </w:r>
      <w:r>
        <w:rPr>
          <w:rFonts w:cs="Times New Roman"/>
          <w:szCs w:val="24"/>
        </w:rPr>
        <w:t> </w:t>
      </w:r>
      <w:r w:rsidRPr="00D51FBB">
        <w:rPr>
          <w:rFonts w:cs="Times New Roman"/>
          <w:szCs w:val="24"/>
        </w:rPr>
        <w:t>85</w:t>
      </w:r>
      <w:r>
        <w:rPr>
          <w:rFonts w:cs="Times New Roman"/>
          <w:szCs w:val="24"/>
        </w:rPr>
        <w:t>3</w:t>
      </w:r>
      <w:r w:rsidRPr="00D51FBB">
        <w:rPr>
          <w:rFonts w:cs="Times New Roman"/>
          <w:szCs w:val="24"/>
        </w:rPr>
        <w:t> tis. Kč. Pěstitelé realizovali svoji produkci brambor na výrobu škrobu dle definitivních výsledků v roce 2013/14 za 2 </w:t>
      </w:r>
      <w:r>
        <w:rPr>
          <w:rFonts w:cs="Times New Roman"/>
          <w:szCs w:val="24"/>
        </w:rPr>
        <w:t>4</w:t>
      </w:r>
      <w:r w:rsidRPr="00D51FBB">
        <w:rPr>
          <w:rFonts w:cs="Times New Roman"/>
          <w:szCs w:val="24"/>
        </w:rPr>
        <w:t xml:space="preserve">00 Kč/t. Podle předběžných výsledků </w:t>
      </w:r>
      <w:r>
        <w:rPr>
          <w:rFonts w:cs="Times New Roman"/>
          <w:szCs w:val="24"/>
        </w:rPr>
        <w:t xml:space="preserve">zůstala cena brambor na výrobu škrobu </w:t>
      </w:r>
      <w:r w:rsidRPr="00D51FBB">
        <w:t>v roce</w:t>
      </w:r>
      <w:r w:rsidRPr="00D51FBB">
        <w:rPr>
          <w:rFonts w:cs="Times New Roman"/>
          <w:szCs w:val="24"/>
        </w:rPr>
        <w:t xml:space="preserve"> 2014/15 </w:t>
      </w:r>
      <w:r>
        <w:rPr>
          <w:rFonts w:cs="Times New Roman"/>
          <w:szCs w:val="24"/>
        </w:rPr>
        <w:t>na stejné úrovni jako v roce 2013.</w:t>
      </w:r>
    </w:p>
    <w:p w:rsidR="00567C4A" w:rsidRPr="00074C0F" w:rsidRDefault="00567C4A" w:rsidP="000B7BEE">
      <w:pPr>
        <w:pStyle w:val="Nadpis3"/>
      </w:pPr>
      <w:bookmarkStart w:id="205" w:name="_Toc202588583"/>
      <w:bookmarkStart w:id="206" w:name="_Toc261959162"/>
      <w:bookmarkStart w:id="207" w:name="_Toc424307071"/>
      <w:r w:rsidRPr="00074C0F">
        <w:t>8.1.4</w:t>
      </w:r>
      <w:r w:rsidRPr="00074C0F">
        <w:tab/>
        <w:t>Olejniny</w:t>
      </w:r>
      <w:bookmarkEnd w:id="205"/>
      <w:bookmarkEnd w:id="206"/>
      <w:bookmarkEnd w:id="207"/>
    </w:p>
    <w:p w:rsidR="00567C4A" w:rsidRPr="00074C0F" w:rsidRDefault="00567C4A" w:rsidP="000B7BEE">
      <w:r w:rsidRPr="00074C0F">
        <w:t>Celková světová produkce hlavních druhů olejnin</w:t>
      </w:r>
      <w:r w:rsidRPr="00074C0F">
        <w:rPr>
          <w:i/>
          <w:vertAlign w:val="superscript"/>
        </w:rPr>
        <w:footnoteReference w:id="136"/>
      </w:r>
      <w:r w:rsidRPr="00074C0F">
        <w:t xml:space="preserve"> v</w:t>
      </w:r>
      <w:r>
        <w:t xml:space="preserve"> </w:t>
      </w:r>
      <w:r w:rsidRPr="00074C0F">
        <w:t>marketingovém roce 2014/15 dosáhla 532,8 mil. t, což představuje meziroční nárůst</w:t>
      </w:r>
      <w:r>
        <w:t xml:space="preserve"> 5,6</w:t>
      </w:r>
      <w:r w:rsidR="00E26333">
        <w:t xml:space="preserve"> </w:t>
      </w:r>
      <w:r>
        <w:t>%</w:t>
      </w:r>
      <w:r w:rsidRPr="00074C0F">
        <w:t>, a to především díky vyšší sklizni sójových bobů. Světově nejvýznamnější olejninou dlouhodobě zůstává právě sója, které se v roce 2014 sklidilo 315,5 mil. t a podílí se tak 59,2 % na globální produkci olejnin. Světová sklizeň semene řepky olejné byla meziročně téměř srovnatelná a činila 71,6 mil. t.</w:t>
      </w:r>
    </w:p>
    <w:p w:rsidR="00567C4A" w:rsidRPr="00074C0F" w:rsidRDefault="00567C4A" w:rsidP="000B7BEE">
      <w:r w:rsidRPr="00074C0F">
        <w:t xml:space="preserve">Olejniny jsou skupinou plodin, koncentrovaných do relativně malého počtu producentských regionů či zemí, z nichž je nejvíce typická monokulturní produkce semen palmy olejné (Indonésie, Malajsie) a sóji (Argentina, Brazílie, Paraguay a Bolívie). Nejvýznamnějšími světovými producenty olejnin byly v marketingovém roce 2014/15 USA (117,3 mil. t), Brazílie (97,7 mil. t), Argentina (61,1 mil. t), Čína (57,8 mil. t) a Indie </w:t>
      </w:r>
      <w:r w:rsidRPr="00074C0F">
        <w:lastRenderedPageBreak/>
        <w:t>(35,6 mil. t). Zdaleka největším světovým dovozcem olejnin i přes vysokou vlastní produkci zůstává Čína (58,7 % světového importu), následovaná EU (12,6 %). Pozici největšího světového vývozce olejnin zaujímají USA s 49,8 mil. t, následované Brazílií s objemem exportu 46,1 mil. t (USDA, IV 2015).</w:t>
      </w:r>
    </w:p>
    <w:p w:rsidR="00567C4A" w:rsidRPr="00074C0F" w:rsidRDefault="00567C4A" w:rsidP="000B7BEE">
      <w:r w:rsidRPr="00074C0F">
        <w:t>Sklizňová plocha hlavních olejnin (řepky, slunečnice a sóji) v Evropské unii v roce 2014 činila 11,5 mil. ha, což představuje meziroční pokles o 1,2 %. Při průměrném výnosu 3,02 t/ha celková produkce EU vzrostla na 34,7 mil. t, což je ve srovnání s předchozím rokem o 12,3 % více (COCERAL, III 2014). EU se přes vysokou intenzitu pěstování podílí pouhými 6,5 % na celkové světové produkci hlavních olejnin, zaujímá ovšem pozici největšího producenta řepkového semene, činící</w:t>
      </w:r>
      <w:r>
        <w:t>ho</w:t>
      </w:r>
      <w:r w:rsidRPr="00074C0F">
        <w:t xml:space="preserve"> třetinu světové produkce. Současně je EU dominantním světovým producentem a exportérem oliv a olivového oleje.</w:t>
      </w:r>
    </w:p>
    <w:p w:rsidR="00567C4A" w:rsidRPr="00074C0F" w:rsidRDefault="00567C4A" w:rsidP="000B7BEE">
      <w:r w:rsidRPr="00074C0F">
        <w:t>Produkční plocha řepky, nejdůležitější olejniny v EU, v roce 2014 se meziročně téměř nezměnila a činila 6,7 mil. ha. Při vysokém průměrném výnosu 3,60 t/ha dosažená produkce řepky tak meziročně vzrostla na 24,1 mil. t (o 15,9 %). Podíl řepky na celkové produkci hlavních olejnin v EU v marketingovém roce 2014/15 činil 69,4 %.</w:t>
      </w:r>
    </w:p>
    <w:p w:rsidR="00567C4A" w:rsidRPr="00074C0F" w:rsidRDefault="00567C4A" w:rsidP="000B7BEE">
      <w:r w:rsidRPr="00074C0F">
        <w:t>Nejvýznamnějšími producenty řepkového semene v EU jsou Německo (v roce 2014 produkce 6,3 mil. t), Francie (5,5 mil. t), Polsko a Spojené království. Česká republika zaujímá objemem 1,5 mil. t mezi členskými zeměmi páté místo s podílem 6,4 % na celkové produkci EU.</w:t>
      </w:r>
    </w:p>
    <w:p w:rsidR="00567C4A" w:rsidRPr="00074C0F" w:rsidRDefault="00567C4A" w:rsidP="000B7BEE">
      <w:r w:rsidRPr="00074C0F">
        <w:t>Sklizňová plocha olejnin celkem v marketingovém roce 2014/15 činila v ČR 464,3 tis. ha, což představuje pokles ve srovnání s předchozím rekordním rokem o 4,6 %. Průměrný hektarový výnos meziročně však vzrostl, a to na 3,54 t/ha. Celková produkce olejnin se tak zvýšila o 7,2 % a dosáhla rekordní výše 1 644,1 tis. t, z čehož 93,6 % tvořilo řepkové semeno.</w:t>
      </w:r>
    </w:p>
    <w:p w:rsidR="00567C4A" w:rsidRPr="00074C0F" w:rsidRDefault="00567C4A" w:rsidP="000B7BEE">
      <w:r w:rsidRPr="00074C0F">
        <w:t>Zahraniční obchod olejninami celkem vykazuje kladnou bilanci a nejdůležitějšími exportními komoditami ČR jsou z olejnin řepkové, hořčičné, slunečnicové a makové semeno, u nichž objem vývozu výrazně převyšuje dovoz. Cílovými trhy vyvážených olejnin jsou především okolní země EU. Hlavními dováženými olejninami jsou sójové boby, semena podzemnice olejné a olivy.</w:t>
      </w:r>
    </w:p>
    <w:p w:rsidR="00567C4A" w:rsidRPr="00074C0F" w:rsidRDefault="00567C4A" w:rsidP="000B7BEE">
      <w:r w:rsidRPr="00074C0F">
        <w:t>Řepka olejná se v marketingovém roce 2014/15 sklidil</w:t>
      </w:r>
      <w:r>
        <w:t>a v ČR z produkční plochy 389,3 </w:t>
      </w:r>
      <w:r w:rsidRPr="00074C0F">
        <w:t xml:space="preserve">tis. ha, což představuje meziroční pokles o 7,0 %. Objem produkce řepky však proti předchozímu roku vzrostl o 6,5 % na historicky rekordní výši 1 537,3 tis. t, a to díky vysokému průměrnému výnosu 3,95 t/ha (v </w:t>
      </w:r>
      <w:r>
        <w:t>některých oblastech přesáhl i 4</w:t>
      </w:r>
      <w:r w:rsidRPr="00074C0F">
        <w:t> t/ha).</w:t>
      </w:r>
    </w:p>
    <w:p w:rsidR="00567C4A" w:rsidRPr="00074C0F" w:rsidRDefault="00567C4A" w:rsidP="000B7BEE">
      <w:r w:rsidRPr="00074C0F">
        <w:t xml:space="preserve">Osevy řepky na podzim pro sklizeň v marketingovém roce 2014/15 nebyly příliš vydařené z pohledu kvality zakládání porostů ani termínem provedení. Díky velmi teplému průběhu zimy však nedošlo k žádnému poškození porostů. Srážkově nadprůměrný květen </w:t>
      </w:r>
      <w:r w:rsidRPr="00074C0F">
        <w:lastRenderedPageBreak/>
        <w:t>a relativně prodloužená vegetační doba také pozitivně ovlivnily zdravotní stav porostů před sklizní.</w:t>
      </w:r>
    </w:p>
    <w:p w:rsidR="00567C4A" w:rsidRDefault="00567C4A" w:rsidP="000B7BEE">
      <w:r w:rsidRPr="00074C0F">
        <w:t>Počáteční zásoby řepky olejné v marketingovém roce 2014/15 byly opět ve srovnání s předchozím rokem výrazně nižší (o 48,4 %) a objem dovozu byl podobně nízký ve výši 95,0 tis. t. Celková nabídka řepky však díky rekordně vysoké produkci dosáhla 1 666,7 tis. t a opět plně pokryla domácí spotřebu, odhadovanou na 1</w:t>
      </w:r>
      <w:r w:rsidR="00E26333">
        <w:t> </w:t>
      </w:r>
      <w:r w:rsidRPr="00074C0F">
        <w:t>118,0 tis. t (z toho pro výrobu FAME 536,0 tis. t). Míra soběstačnosti je odhadována na 137,5 %, meziročně nižší o 8,2 p. b. Předpokládá se opět vysoký objem exportu řepkového semene cca 450 tis. t.</w:t>
      </w:r>
    </w:p>
    <w:p w:rsidR="00567C4A" w:rsidRPr="002E47CA" w:rsidRDefault="00567C4A" w:rsidP="000B7BEE">
      <w:pPr>
        <w:pStyle w:val="mezera"/>
      </w:pPr>
    </w:p>
    <w:p w:rsidR="00567C4A" w:rsidRPr="002E47CA" w:rsidRDefault="002D7EE2" w:rsidP="000B7BEE">
      <w:pPr>
        <w:pStyle w:val="mezera"/>
      </w:pPr>
      <w:r w:rsidRPr="002D7EE2">
        <w:rPr>
          <w:noProof/>
          <w:lang w:eastAsia="cs-CZ"/>
        </w:rPr>
        <w:drawing>
          <wp:inline distT="0" distB="0" distL="0" distR="0" wp14:anchorId="1072A59B" wp14:editId="1947F6B0">
            <wp:extent cx="5760720" cy="4325326"/>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4325326"/>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Průměrná cena zemědělských výrobců řepkového semene v ČR během roku 2013 z rekordních hodnot výrazně propadla, a to v závislosti na nižší poptávce na evropských trzích v důsledku vysoké sklizně ve většině zemí EU. Počátke</w:t>
      </w:r>
      <w:r>
        <w:t>m roku 2014 činila 9 710 Kč/t a </w:t>
      </w:r>
      <w:r w:rsidRPr="00074C0F">
        <w:t>ročního maxima dosáhla v květnu (11 047 Kč/t). Následně ceny s vidinou dobré sklizně opět klesaly až na nejnižší úroveň za poslední čtyři roky, a to 8 960 Kč/t (listopad 2014). Průměrná CZV za rok 2014 byla s hodnotou 9 724 Kč/t o 11,2 % meziročně nižší.</w:t>
      </w:r>
    </w:p>
    <w:p w:rsidR="00567C4A" w:rsidRPr="00074C0F" w:rsidRDefault="00567C4A" w:rsidP="000B7BEE">
      <w:r w:rsidRPr="00074C0F">
        <w:t xml:space="preserve">Díky vysokému výnosu a nižším průměrným nákladům na jednotku produkce (meziročně o 7,9 % nižším) byla nákladová rentabilita řepkového semene opět vysoká, a to 22,3 %. Souhrnná rentabilita pak činila 42,0 % a byla proti předchozímu roku o 6,1 p. b. nižší. </w:t>
      </w:r>
      <w:r w:rsidRPr="00074C0F">
        <w:lastRenderedPageBreak/>
        <w:t>Řepka zůstává v ČR dlouhodobě rentabilní komoditou s vyhlídkou dobrých ekonomických parametrů produkce v příštích letech.</w:t>
      </w:r>
    </w:p>
    <w:p w:rsidR="00567C4A" w:rsidRPr="00074C0F" w:rsidRDefault="00567C4A" w:rsidP="000B7BEE">
      <w:r w:rsidRPr="00074C0F">
        <w:t>Vedle řepky olejné jsou nejvýznamnějšími olejninami v ČR slunečnice, mák setý a hořčice setá, v menší míře pak sója a olejný len.</w:t>
      </w:r>
    </w:p>
    <w:p w:rsidR="00567C4A" w:rsidRPr="00074C0F" w:rsidRDefault="00567C4A" w:rsidP="000B7BEE">
      <w:r w:rsidRPr="00074C0F">
        <w:t>Slunečnice svou produkční plochou 18,6 tis. ha a produkcí semene 42,3 tis. t (proti předchozímu roku nižší o 9,6 %) představovala v marketingovém roce 2014/15 druhou nejvýznamnější olejninu v ČR. Průměrný výnos dosáhl 2,27 t/ha (meziročně o 3,4 % vyšší). Celková nabídka slunečnicového semene vzrostla na 148,9 tis. t (o 4,7 %) při meziročně srovnatelném objemu dovozu (70,0 tis. t). Odhad domácí spotřeby je předpokládán vyšší, a to 95,0 tis. t, a objem vývozu cca 20,0 tis. t, podobně jako v předchozím roce. Odhadovaná míra soběstačnosti meziročně opět poklesla, a to o 10,6 p. b. na 44,5 %. Průměrná roční CZV slunečnicového semene v ČR v roce 2014 z rekordní výše předchozího roku poklesla o 20,4 % a činila 8 447 Kč/t.</w:t>
      </w:r>
    </w:p>
    <w:p w:rsidR="00567C4A" w:rsidRPr="00074C0F" w:rsidRDefault="00567C4A" w:rsidP="000B7BEE">
      <w:r w:rsidRPr="00074C0F">
        <w:t>Pěstování máku setého v ČR, které bylo v minulých letech poznamenáno propadem cen (mj. vlivem dovozu makového semene za vysoce konkurenceschopné ceny), doznalo oživení a sklizňová plocha máku v marketingovém roce 2014/15 se meziročně o třetinu zvětšila na 27,0 tis. ha. Při velmi vysokém průměrném výnosu 0,91 t/ha (v předchozím roce 0,69 t/ha) se objem produkce makového semene zvýšil na 24,7 tis. t (meziročně o 77,3 %). Při odhadované domácí spotřebě 1,5 tis. t a předpokládaném vysokém objemu vývozu 30,0 tis. t dosahuje odhadovaná míra soběstačnosti u makového semene stále vysoké hodnoty</w:t>
      </w:r>
      <w:r>
        <w:t>, patnáctinásobně převyšující</w:t>
      </w:r>
      <w:r w:rsidRPr="00074C0F">
        <w:t xml:space="preserve"> </w:t>
      </w:r>
      <w:r>
        <w:t>potřeby tuzemského zpracování</w:t>
      </w:r>
      <w:r w:rsidRPr="00074C0F">
        <w:t>. Ceny zemědělských výrobců makového semene od roku 2012 rostly až na dlouhodobé maximum 73 125 Kč/t v březnu 2014, následně došlo k jejich poklesu. Průměrná roční cena v roce 2014 činila 58 588 Kč/t (meziročně o 12,8 % vyšší).</w:t>
      </w:r>
    </w:p>
    <w:p w:rsidR="00567C4A" w:rsidRPr="00074C0F" w:rsidRDefault="00567C4A" w:rsidP="000B7BEE">
      <w:r w:rsidRPr="00074C0F">
        <w:t>Produkce hořčičného semene v ČR v marketingovém roce 2014/14 při nárůstu vým</w:t>
      </w:r>
      <w:r>
        <w:t>ěry sklizňových ploch (o 12,0 % na 18,5 tis. ha),</w:t>
      </w:r>
      <w:r w:rsidRPr="00074C0F">
        <w:t xml:space="preserve"> meziročně vzrostla na 19,8 tis. t (o 48,3 %), především díky vysokému výnosu 1,07 t/ha. Při nárůstu vývozu na 14,0 tis. t a domácí spotřebě 9 tis. t je míra soběstačnosti odhadována na 220,4 %.</w:t>
      </w:r>
    </w:p>
    <w:p w:rsidR="00567C4A" w:rsidRPr="00074C0F" w:rsidRDefault="00567C4A" w:rsidP="000B7BEE">
      <w:r w:rsidRPr="00074C0F">
        <w:t>Z pěstebních ploch sóji 7,2 tis. ha bylo v ČR v marketingovém roce 2014/15 sklizeno 16,5 tis. t sójových bobů, odhadovaný objem dovozu činí 35,0 tis. t, vývozu pak 5,5 tis. t. Produkce lněného semene činila pouhých 2,4 tis. t ze sklizňové plochy 1,8 tis. ha.</w:t>
      </w:r>
    </w:p>
    <w:p w:rsidR="00567C4A" w:rsidRPr="00074C0F" w:rsidRDefault="00567C4A" w:rsidP="000B7BEE">
      <w:pPr>
        <w:pStyle w:val="Nadpis3"/>
      </w:pPr>
      <w:bookmarkStart w:id="208" w:name="_Toc261959163"/>
      <w:bookmarkStart w:id="209" w:name="_Toc424307072"/>
      <w:r w:rsidRPr="00074C0F">
        <w:t>8.1.5</w:t>
      </w:r>
      <w:r w:rsidRPr="00074C0F">
        <w:tab/>
        <w:t>Chmel</w:t>
      </w:r>
      <w:bookmarkEnd w:id="208"/>
      <w:bookmarkEnd w:id="209"/>
    </w:p>
    <w:p w:rsidR="00567C4A" w:rsidRPr="00074C0F" w:rsidRDefault="00567C4A" w:rsidP="000B7BEE">
      <w:r w:rsidRPr="00074C0F">
        <w:t xml:space="preserve">Světová situace trhu s chmelem se během posledních let výrazně změnila. Trh je ovlivňován poptávkou zejména malých pivovarů kategorie </w:t>
      </w:r>
      <w:r w:rsidR="008969A9">
        <w:t>„</w:t>
      </w:r>
      <w:proofErr w:type="spellStart"/>
      <w:r w:rsidRPr="008520EA">
        <w:t>craft</w:t>
      </w:r>
      <w:proofErr w:type="spellEnd"/>
      <w:r w:rsidRPr="008520EA">
        <w:t xml:space="preserve"> </w:t>
      </w:r>
      <w:proofErr w:type="spellStart"/>
      <w:r w:rsidRPr="008520EA">
        <w:t>breweries</w:t>
      </w:r>
      <w:proofErr w:type="spellEnd"/>
      <w:r w:rsidR="008969A9">
        <w:t>“</w:t>
      </w:r>
      <w:r w:rsidRPr="00074C0F">
        <w:t xml:space="preserve"> v USA a tento trend se přesouvá i na další kontinenty. Pivovary tohoto typu mají průměrnou dávku chmelení </w:t>
      </w:r>
      <w:r>
        <w:t>několikrát</w:t>
      </w:r>
      <w:r w:rsidRPr="00074C0F">
        <w:t xml:space="preserve"> větší než konzumní segment piva, kde je trendem snižování nákladů na suroviny. Dalším významným vlivem na změnu trhu byl slabý sklizňový ročník 2013, a to zejména </w:t>
      </w:r>
      <w:r w:rsidRPr="00074C0F">
        <w:lastRenderedPageBreak/>
        <w:t>v Německu. Důsledkem je výrazná změna poměru pěstovaných odrůd: zatímco před několika lety byl poměr hořkých a aromatických odrůd 60:40 ve prospěch hořkých odrůd, nyní je to přesně naopak.</w:t>
      </w:r>
    </w:p>
    <w:p w:rsidR="00567C4A" w:rsidRPr="00074C0F" w:rsidRDefault="00567C4A" w:rsidP="000B7BEE">
      <w:r w:rsidRPr="00074C0F">
        <w:t>Produkce hořkých odrůd a alfa hořkých kyselin se koncentruje spíše na německé území. Loňská bilance alfa hořkých kyselin byla poprvé za několik let na straně převisu poptávky a díky tomu dochází po letech k růstu cen chmele i u dlouhodobých smluv na budoucí období.</w:t>
      </w:r>
    </w:p>
    <w:p w:rsidR="00567C4A" w:rsidRPr="00074C0F" w:rsidRDefault="00567C4A" w:rsidP="000B7BEE">
      <w:r w:rsidRPr="00074C0F">
        <w:t>Sklizňový rok 2014 byl zejména v Evropě vlivem průběhu počasí nadprůměrný. V Německu bylo vyrobeno zhruba o 4 </w:t>
      </w:r>
      <w:r>
        <w:t>tis.</w:t>
      </w:r>
      <w:r w:rsidRPr="00074C0F">
        <w:t xml:space="preserve"> t chmele více, než činí desetiletý průměr. Ve Slovinsku, Anglii a České republice byla úroda dobrá, v Polsku velmi podprůměrná. Podprůměrnou sklizeň i přes nárůst plochy u</w:t>
      </w:r>
      <w:r>
        <w:t>vádějí</w:t>
      </w:r>
      <w:r w:rsidRPr="00074C0F">
        <w:t xml:space="preserve"> také USA.</w:t>
      </w:r>
    </w:p>
    <w:p w:rsidR="00567C4A" w:rsidRPr="00074C0F" w:rsidRDefault="00567C4A" w:rsidP="000B7BEE">
      <w:r w:rsidRPr="00074C0F">
        <w:t xml:space="preserve">V roce 2014 došlo ve světě podle IHGC (Mezinárodní sdružení pěstitelů) k nárůstu plochy o 1 576 ha (tj. o 3,3 %), takže celková sklizňová plocha chmele dosáhla 47 334 ha, z toho bylo vysázeno 2 019 ha nových porostů (nejsou zahrnuty změny a výsaz v USA). Světová produkce dosáhla 93 874 t chmele, tj. meziročně o 10,5 % více, především vlivem velmi dobrých výnosů v Evropě. </w:t>
      </w:r>
      <w:r>
        <w:t>A</w:t>
      </w:r>
      <w:r w:rsidRPr="00074C0F">
        <w:t>lfa hořkých kyselin byl</w:t>
      </w:r>
      <w:r>
        <w:t>o vyrobeno odhadem 9 282 t, tj. </w:t>
      </w:r>
      <w:r w:rsidRPr="00074C0F">
        <w:t>o 13,6 % více proti sklizni 2013. Desetiletý průměr výroby alfa hořkých kyselin dosahuje objemu 8 955 t.</w:t>
      </w:r>
    </w:p>
    <w:p w:rsidR="00567C4A" w:rsidRPr="00074C0F" w:rsidRDefault="00567C4A" w:rsidP="000B7BEE">
      <w:r w:rsidRPr="00074C0F">
        <w:t>Sklizňová plocha chmele v České republice byla v roce 2014 v novodobé historii druhá nejnižší a dosá</w:t>
      </w:r>
      <w:r>
        <w:t>hla jen 42,7 % plochy roku 1990. I</w:t>
      </w:r>
      <w:r w:rsidRPr="00074C0F">
        <w:t xml:space="preserve"> přesto ČR </w:t>
      </w:r>
      <w:r>
        <w:t xml:space="preserve">zůstává </w:t>
      </w:r>
      <w:r w:rsidRPr="00074C0F">
        <w:t>předním producentem jemně aromatického chmele na světě.</w:t>
      </w:r>
    </w:p>
    <w:p w:rsidR="00567C4A" w:rsidRPr="00074C0F" w:rsidRDefault="00567C4A" w:rsidP="000B7BEE">
      <w:r w:rsidRPr="00074C0F">
        <w:t>Podle údajů ÚKZÚZ činila v roce 2014 celková sklizňová plocha chmele v ČR 4 460 ha. Jemná aromatická odrůda Ž</w:t>
      </w:r>
      <w:r>
        <w:t>atecký poloraný červeňák (dále ŽPČ)</w:t>
      </w:r>
      <w:r w:rsidRPr="00074C0F">
        <w:t xml:space="preserve"> se podílela 87,5 % na celkové výměře chmele. Před třemi roky byla registrována další jemně aromatická odrůda </w:t>
      </w:r>
      <w:proofErr w:type="spellStart"/>
      <w:r w:rsidRPr="00A1643F">
        <w:t>Saaz</w:t>
      </w:r>
      <w:proofErr w:type="spellEnd"/>
      <w:r w:rsidRPr="00A1643F">
        <w:t xml:space="preserve"> Late</w:t>
      </w:r>
      <w:r w:rsidRPr="00074C0F">
        <w:t xml:space="preserve">, která byla v průběhu roku 2013 zařazena VÚPS na seznam českých odrůd, doporučených pro vaření piva označovaného </w:t>
      </w:r>
      <w:proofErr w:type="spellStart"/>
      <w:r w:rsidRPr="00074C0F">
        <w:t>ChZO</w:t>
      </w:r>
      <w:proofErr w:type="spellEnd"/>
      <w:r w:rsidRPr="00074C0F">
        <w:t xml:space="preserve"> </w:t>
      </w:r>
      <w:r w:rsidR="008969A9">
        <w:t>„</w:t>
      </w:r>
      <w:r w:rsidRPr="00074C0F">
        <w:t>České pivo</w:t>
      </w:r>
      <w:r w:rsidR="008969A9">
        <w:t>“</w:t>
      </w:r>
      <w:r w:rsidRPr="00074C0F">
        <w:t xml:space="preserve">. V roce 2014 dosáhla odrůda </w:t>
      </w:r>
      <w:proofErr w:type="spellStart"/>
      <w:r w:rsidRPr="00074C0F">
        <w:t>Saaz</w:t>
      </w:r>
      <w:proofErr w:type="spellEnd"/>
      <w:r w:rsidRPr="00074C0F">
        <w:t xml:space="preserve"> Late celkové sklizňové plochy 15 ha.</w:t>
      </w:r>
    </w:p>
    <w:p w:rsidR="00567C4A" w:rsidRPr="00074C0F" w:rsidRDefault="00567C4A" w:rsidP="000B7BEE">
      <w:r w:rsidRPr="00074C0F">
        <w:t>V roce 2014 se podl</w:t>
      </w:r>
      <w:r>
        <w:t>e ÚKZÚZ sklidilo celkem 6 202,0</w:t>
      </w:r>
      <w:r w:rsidRPr="00074C0F">
        <w:t> t chmele (meziročně o 16,4 % více) s průměrným výnosem 1,39 t/ha (2013 – 1,23 t/ha).</w:t>
      </w:r>
      <w:r>
        <w:t xml:space="preserve"> </w:t>
      </w:r>
      <w:r w:rsidRPr="00074C0F">
        <w:t xml:space="preserve">V Žatecké chmelařské oblasti </w:t>
      </w:r>
      <w:r>
        <w:t>bylo vypěstováno celkem 4 688,9</w:t>
      </w:r>
      <w:r w:rsidRPr="00074C0F">
        <w:t xml:space="preserve"> t chmele s průměrným výnosem 1,3</w:t>
      </w:r>
      <w:r>
        <w:t>6 t/ha, v Úštěcké oblasti 669,4</w:t>
      </w:r>
      <w:r w:rsidRPr="00074C0F">
        <w:t> t (výnos 1,41 </w:t>
      </w:r>
      <w:r>
        <w:t>t/ha) a v </w:t>
      </w:r>
      <w:proofErr w:type="spellStart"/>
      <w:r>
        <w:t>Tršické</w:t>
      </w:r>
      <w:proofErr w:type="spellEnd"/>
      <w:r>
        <w:t xml:space="preserve"> oblasti 843,8</w:t>
      </w:r>
      <w:r w:rsidRPr="00074C0F">
        <w:t> t (výnos 1,58 t/ha).</w:t>
      </w:r>
    </w:p>
    <w:p w:rsidR="00567C4A" w:rsidRDefault="00567C4A" w:rsidP="000B7BEE">
      <w:r w:rsidRPr="00074C0F">
        <w:t>Největší částí (83,1 %) se na cel</w:t>
      </w:r>
      <w:r>
        <w:t>kové produkci s objemem 5 154,4</w:t>
      </w:r>
      <w:r w:rsidRPr="00074C0F">
        <w:t> t podílela jemná aromatická odrůda ŽPČ. Druhou nejvíce pěstovanou odrůdou je aromatická odrůda S</w:t>
      </w:r>
      <w:r>
        <w:t>ládek s celkovou produkcí 542,3</w:t>
      </w:r>
      <w:r w:rsidRPr="00074C0F">
        <w:t> t, následuje další česká aromatická odrůda Premiant, které se vypěsto</w:t>
      </w:r>
      <w:r>
        <w:t>valo celkem 353,9</w:t>
      </w:r>
      <w:r w:rsidRPr="00074C0F">
        <w:t> t. Celková produkce nejrozšířenější české</w:t>
      </w:r>
      <w:r>
        <w:t xml:space="preserve"> hořké odrůdy Agnus činila 78,4</w:t>
      </w:r>
      <w:r w:rsidRPr="00074C0F">
        <w:t> t.</w:t>
      </w:r>
    </w:p>
    <w:p w:rsidR="00567C4A" w:rsidRPr="00074C0F" w:rsidRDefault="00567C4A" w:rsidP="000B7BEE">
      <w:r w:rsidRPr="00074C0F">
        <w:lastRenderedPageBreak/>
        <w:t>Průměrný obsah alfa hořkých látek (měřený metodou, odpovídající požadavkům Evropské pivovarské asociace) byl ve sklizni roku 2014 za celou ČR u hlavních odrůd následující</w:t>
      </w:r>
      <w:r w:rsidRPr="00074C0F">
        <w:rPr>
          <w:bCs/>
        </w:rPr>
        <w:t>:</w:t>
      </w:r>
      <w:r w:rsidRPr="00074C0F">
        <w:t xml:space="preserve"> ŽPČ 3,0 %, Sládek 6,0 %, Premiant 8,0 % a Agnus 10,5 %.</w:t>
      </w:r>
    </w:p>
    <w:p w:rsidR="00567C4A" w:rsidRPr="00074C0F" w:rsidRDefault="00567C4A" w:rsidP="000B7BEE">
      <w:r w:rsidRPr="00074C0F">
        <w:t>Český chmel zůstává důležitou položkou českého agrárního exportu. V roce 2014 ČR vyvezla celkem 4 123,3 t českého chmele (v celkové hodnotě 931 mil. Kč), z toho 86,3 % ve formě pelet, zbylý podíl pak ve formě sušeného lisovaného chmele. Největším odběratelem zůstává stále Japonsko, následované Německem a Čínou. Výraznější nárůst exportu byl zaznamenán u chmele, který směřoval do Japonska, Německa, Slovenska, Austrálie a Číny.</w:t>
      </w:r>
    </w:p>
    <w:p w:rsidR="00567C4A" w:rsidRPr="00074C0F" w:rsidRDefault="00567C4A" w:rsidP="000B7BEE">
      <w:r w:rsidRPr="00074C0F">
        <w:t>Průběh pěstitelského roku 2014 byl zcela odlišný od předchozích let. Mírná zima bez dlouhodobé souvislé sněhové pokrývky urychlila počátek jarních prací. V jarních měsících byl zaznamenán nedostatek srážek, zejména na Rakovnicku a na Moravě. Naproti tomu letní měsíce byly doprovázeny četnými, místy až přívalovými srážkami. Deštivé počasí v průběhu samotné sklizně značně komplikovalo sklizňové práce. Během letních lokálních bouřek spadlo přibližně 20 ha chmelnic. První jemně aromatický chmel se začal česat již 16. srpna a následující týden začala pak sklízet většina pěstitelů.</w:t>
      </w:r>
    </w:p>
    <w:p w:rsidR="00567C4A" w:rsidRDefault="00567C4A" w:rsidP="000B7BEE">
      <w:r w:rsidRPr="00074C0F">
        <w:t>Výskyt škůdců a chorob chmele již druhým rokem nebyl nikterak výrazný a prakticky všude se zvládalo základní ošetření s výslednou dobrou kvalitou chmele. Navzdory vlhkému počasí se pěstitelům podařilo udržet infekční tlak peronospory pod prahem hospodářské škodlivosti.</w:t>
      </w:r>
    </w:p>
    <w:p w:rsidR="00567C4A" w:rsidRPr="00074C0F" w:rsidRDefault="00567C4A" w:rsidP="000B7BEE">
      <w:r w:rsidRPr="00074C0F">
        <w:t>V roce 2014 bylo obnoveno největší procento chmelnic, a to na ploše 435,9 ha (meziročně o 9,8 % větší). Zvýšená intenzita pokračovala v obnovování porostů, které byly zasaženy povodněmi v roce 2013, a porostů poškozených v roce 2012.</w:t>
      </w:r>
    </w:p>
    <w:p w:rsidR="00567C4A" w:rsidRPr="00074C0F" w:rsidRDefault="00567C4A" w:rsidP="000B7BEE">
      <w:r w:rsidRPr="00074C0F">
        <w:t xml:space="preserve">Věková struktura porostů chmele v ČR je jedním z významných faktorů, ovlivňujících výnosovou stabilitu. Optimální doba obměny porostů je 10-12 let. Podle údajů ÚKZÚZ je podíl chmelnic starších 20 let se sníženým výnosem 21,6 % (nejstarší jsou v Úštěcké oblasti, kde tvoří až 30 %). Celkem 38,6 % porostů chmele je starších 15 let, což přestavuje meziroční pokles o 3,3 %. Podíl produktivních porostů ve stáří 5-14 let činí pouze 37,6 % všech chmelnic, poměrně vyhovující věkovou strukturu má zatím jen </w:t>
      </w:r>
      <w:proofErr w:type="spellStart"/>
      <w:r w:rsidRPr="00074C0F">
        <w:t>Tršicko</w:t>
      </w:r>
      <w:proofErr w:type="spellEnd"/>
      <w:r w:rsidRPr="00074C0F">
        <w:t>. Průměrné stáří chmelových konstrukcí je ještě méně příznivé než stáří porostů, protože celkem 66,7 % všech konstrukcí je starších dvaceti let, což bude do budoucnosti vyžadovat vysoké investice.</w:t>
      </w:r>
    </w:p>
    <w:p w:rsidR="00567C4A" w:rsidRPr="00074C0F" w:rsidRDefault="00567C4A" w:rsidP="000B7BEE">
      <w:r w:rsidRPr="00074C0F">
        <w:t xml:space="preserve">V roce 2014 bylo v rámci dotačního programu </w:t>
      </w:r>
      <w:r w:rsidR="008969A9">
        <w:t>„</w:t>
      </w:r>
      <w:r w:rsidRPr="00074C0F">
        <w:t>Uznaná certifikovaná sadba</w:t>
      </w:r>
      <w:r w:rsidR="008969A9">
        <w:t>“</w:t>
      </w:r>
      <w:r w:rsidRPr="00074C0F">
        <w:t xml:space="preserve"> vyplaceno celkem 17,9 mil. Kč, téměř stejně jako v předchozím roce. Celkem bylo vysázeno 1 364,9 tis. ks cer</w:t>
      </w:r>
      <w:r>
        <w:t>tifikované sadby na ploše 417,4</w:t>
      </w:r>
      <w:r w:rsidRPr="00074C0F">
        <w:t xml:space="preserve"> ha (meziročně vyšší o 4,4 %). Obnova porostů byla provedena odrůdami ŽPČ (374,1 ha), </w:t>
      </w:r>
      <w:proofErr w:type="spellStart"/>
      <w:r w:rsidRPr="00074C0F">
        <w:t>Saaz</w:t>
      </w:r>
      <w:proofErr w:type="spellEnd"/>
      <w:r w:rsidRPr="00074C0F">
        <w:t xml:space="preserve"> Late (29,9 ha) Sládek (19,2 ha), Premiant (5,4 ha), </w:t>
      </w:r>
      <w:proofErr w:type="spellStart"/>
      <w:r w:rsidRPr="00074C0F">
        <w:t>Saaz</w:t>
      </w:r>
      <w:proofErr w:type="spellEnd"/>
      <w:r w:rsidRPr="00074C0F">
        <w:t xml:space="preserve"> </w:t>
      </w:r>
      <w:proofErr w:type="spellStart"/>
      <w:r w:rsidRPr="00074C0F">
        <w:t>Special</w:t>
      </w:r>
      <w:proofErr w:type="spellEnd"/>
      <w:r w:rsidRPr="00074C0F">
        <w:t xml:space="preserve"> (2,3 ha), Agnus (1,9 ha), </w:t>
      </w:r>
      <w:proofErr w:type="spellStart"/>
      <w:r w:rsidRPr="00074C0F">
        <w:t>Kazbek</w:t>
      </w:r>
      <w:proofErr w:type="spellEnd"/>
      <w:r w:rsidRPr="00074C0F">
        <w:t xml:space="preserve"> (17,4 ha), a </w:t>
      </w:r>
      <w:proofErr w:type="spellStart"/>
      <w:r w:rsidRPr="00074C0F">
        <w:t>Vital</w:t>
      </w:r>
      <w:proofErr w:type="spellEnd"/>
      <w:r w:rsidRPr="00074C0F">
        <w:t xml:space="preserve"> (1,5 ha).</w:t>
      </w:r>
    </w:p>
    <w:p w:rsidR="00567C4A" w:rsidRPr="00074C0F" w:rsidRDefault="00567C4A" w:rsidP="000B7BEE">
      <w:r w:rsidRPr="00074C0F">
        <w:t xml:space="preserve">Chmelaři mohou dále již od roku 2001 čerpat finanční prostředky i z dotačního programu </w:t>
      </w:r>
      <w:r w:rsidR="008969A9">
        <w:t>„</w:t>
      </w:r>
      <w:r w:rsidR="0015256F" w:rsidRPr="0015256F">
        <w:t xml:space="preserve">Podpora vybudování kapkové závlahy v ovocných </w:t>
      </w:r>
      <w:r w:rsidR="00953761">
        <w:t xml:space="preserve">sadech, chmelnicích, vinicích </w:t>
      </w:r>
      <w:r w:rsidR="00953761">
        <w:lastRenderedPageBreak/>
        <w:t>a </w:t>
      </w:r>
      <w:r w:rsidR="0015256F" w:rsidRPr="0015256F">
        <w:t>ve školkách</w:t>
      </w:r>
      <w:r w:rsidR="008969A9">
        <w:t>“</w:t>
      </w:r>
      <w:r w:rsidRPr="00074C0F">
        <w:t>. Za dobu jeho existence byla vybudována kapková závlaha na 886,5 ha chmelnic, v roce 2014 bylo za podpory tohoto programu vybudováno závlahové zařízení na 27,4 ha chmelnic.</w:t>
      </w:r>
    </w:p>
    <w:p w:rsidR="00567C4A" w:rsidRPr="00074C0F" w:rsidRDefault="00567C4A" w:rsidP="000B7BEE">
      <w:r w:rsidRPr="00074C0F">
        <w:t>Od roku 2012 lze využít podporu v rámci čl. 68 nařízení Rady (ES) č. 73/2009. Pro sektor chmele je tato zvláštní podpora poskytována na zvláštní druhy zemědělské činnosti, důležité pro ochranu či zlepšení životního prostředí. Cílem opatření je podpořit pěstování aromatické odrůdy chmele, které mají menší nároky na agrotechniku a ochranu než ostatní odrůdy chmele.</w:t>
      </w:r>
    </w:p>
    <w:p w:rsidR="00567C4A" w:rsidRPr="00074C0F" w:rsidRDefault="00567C4A" w:rsidP="000B7BEE">
      <w:r w:rsidRPr="00074C0F">
        <w:t>Průměrná CZV sušeného chmele ze sklizně roku 2014 podle ČSÚ činila 169 217 Kč/t (o 11,</w:t>
      </w:r>
      <w:r w:rsidR="00E26333">
        <w:t>3</w:t>
      </w:r>
      <w:r w:rsidRPr="00074C0F">
        <w:t> % vyšší proti srovnatelnému období předchozího roku), přičemž v září 2014 dosáhla nejvyšší úrovně za posledních pět let, a to 174 766 Kč/t.</w:t>
      </w:r>
    </w:p>
    <w:p w:rsidR="00567C4A" w:rsidRDefault="00567C4A" w:rsidP="000B7BEE">
      <w:r w:rsidRPr="00074C0F">
        <w:t>Odhadovaná výše nákladů na produkci chmele v roce 2013 činila u podniků právnických osob 227 296 Kč/ha, meziročně o 1,6 % více. Nákladová rentabilita dosáhla 3,5 %,</w:t>
      </w:r>
      <w:r>
        <w:t xml:space="preserve"> </w:t>
      </w:r>
      <w:r w:rsidRPr="00074C0F">
        <w:t xml:space="preserve">míra souhrnné rentability (při započtení souhrnných podpor ve výši 20 327,47 Kč/ha) pak </w:t>
      </w:r>
      <w:r w:rsidR="006C7D77">
        <w:t>12,4</w:t>
      </w:r>
      <w:r w:rsidRPr="00074C0F">
        <w:t> %, o </w:t>
      </w:r>
      <w:r w:rsidR="006C7D77">
        <w:t>29,9</w:t>
      </w:r>
      <w:r w:rsidRPr="00074C0F">
        <w:t> p. b. vyšší ve srovnání s předchozím rokem.</w:t>
      </w:r>
    </w:p>
    <w:p w:rsidR="00567C4A" w:rsidRPr="00E529EE" w:rsidRDefault="00567C4A" w:rsidP="000B7BEE">
      <w:pPr>
        <w:pStyle w:val="Nadpis3"/>
      </w:pPr>
      <w:bookmarkStart w:id="210" w:name="_Toc296443148"/>
      <w:bookmarkStart w:id="211" w:name="_Toc356811488"/>
      <w:bookmarkStart w:id="212" w:name="_Toc424307073"/>
      <w:r w:rsidRPr="00E529EE">
        <w:t>8.1.6</w:t>
      </w:r>
      <w:r w:rsidRPr="00E529EE">
        <w:tab/>
        <w:t>Ovoce</w:t>
      </w:r>
      <w:bookmarkEnd w:id="210"/>
      <w:bookmarkEnd w:id="211"/>
      <w:bookmarkEnd w:id="212"/>
    </w:p>
    <w:p w:rsidR="00567C4A" w:rsidRDefault="00567C4A" w:rsidP="000B7BEE">
      <w:r>
        <w:t>Celková produkce ovoce v EU byla v roce 2014 nadprůměrná a je odhadována na 38,5 mil. t, tj. o 2 % více než v roce 2013. K předpokládané výši této úrody přispěla nejen dobrá sklizeň jádrového ovoce, ale také bohatá produkce ovoce peckového, především broskví a nektarinek. Sklizeň jablek byla v EU neobvykle vysoká a je předpoklad, že dosáhne 12,3 mil. t, což je o 11 % více než v roce předchozím. Vyšší produkci jablek v roce 2014 hlásí téměř všechny země EU.</w:t>
      </w:r>
    </w:p>
    <w:p w:rsidR="00567C4A" w:rsidRDefault="00567C4A" w:rsidP="000B7BEE">
      <w:r>
        <w:t>V</w:t>
      </w:r>
      <w:r w:rsidRPr="008A4FBB">
        <w:t> roce 201</w:t>
      </w:r>
      <w:r>
        <w:t>4</w:t>
      </w:r>
      <w:r w:rsidRPr="008A4FBB">
        <w:t xml:space="preserve"> činila </w:t>
      </w:r>
      <w:r>
        <w:t>p</w:t>
      </w:r>
      <w:r w:rsidRPr="008A4FBB">
        <w:t>odle údajů ČSÚ celková produkce ovoce v ČR (včetně dopočtu domácností) 3</w:t>
      </w:r>
      <w:r>
        <w:t>25</w:t>
      </w:r>
      <w:r w:rsidRPr="008A4FBB">
        <w:t>,</w:t>
      </w:r>
      <w:r>
        <w:t>0</w:t>
      </w:r>
      <w:r w:rsidRPr="008A4FBB">
        <w:t xml:space="preserve"> tis. t. </w:t>
      </w:r>
      <w:r>
        <w:t>V</w:t>
      </w:r>
      <w:r w:rsidRPr="008A4FBB">
        <w:t xml:space="preserve"> porovnání se sklizní ovoce v roce 201</w:t>
      </w:r>
      <w:r>
        <w:t>3 byla t</w:t>
      </w:r>
      <w:r w:rsidRPr="008A4FBB">
        <w:t xml:space="preserve">ato úroda o 4 % </w:t>
      </w:r>
      <w:r>
        <w:t>větší a produkce ovoce tak byla nejvyšší za posledních pět let.</w:t>
      </w:r>
      <w:r w:rsidRPr="008A4FBB">
        <w:t xml:space="preserve"> Meziročně vzrostla </w:t>
      </w:r>
      <w:r>
        <w:t xml:space="preserve">sklizeň </w:t>
      </w:r>
      <w:r w:rsidRPr="008A4FBB">
        <w:t xml:space="preserve">zejména </w:t>
      </w:r>
      <w:r>
        <w:t xml:space="preserve">třešní </w:t>
      </w:r>
      <w:r w:rsidRPr="008A4FBB">
        <w:t>(o </w:t>
      </w:r>
      <w:r>
        <w:t>43</w:t>
      </w:r>
      <w:r w:rsidRPr="008A4FBB">
        <w:t> % na 1</w:t>
      </w:r>
      <w:r>
        <w:t>0</w:t>
      </w:r>
      <w:r w:rsidRPr="008A4FBB">
        <w:t>,</w:t>
      </w:r>
      <w:r>
        <w:t>7</w:t>
      </w:r>
      <w:r w:rsidRPr="008A4FBB">
        <w:t xml:space="preserve"> tis. t), </w:t>
      </w:r>
      <w:r>
        <w:t xml:space="preserve">jahod (o 30 % na 10,3 tis. t), ořechů vlašských (o 26 % na 6,3 tis. t), </w:t>
      </w:r>
      <w:r w:rsidRPr="000249E8">
        <w:t>švestek, slív a renklód (o </w:t>
      </w:r>
      <w:r>
        <w:t>1</w:t>
      </w:r>
      <w:r w:rsidRPr="000249E8">
        <w:t>5 % na </w:t>
      </w:r>
      <w:r>
        <w:t>36</w:t>
      </w:r>
      <w:r w:rsidRPr="000249E8">
        <w:t>,</w:t>
      </w:r>
      <w:r>
        <w:t>3</w:t>
      </w:r>
      <w:r w:rsidRPr="000249E8">
        <w:t> tis. t)</w:t>
      </w:r>
      <w:r>
        <w:t xml:space="preserve">. Díky domácnostem meziročně byla výrazně vyšší úroda angreštu (o 76 % </w:t>
      </w:r>
      <w:r w:rsidR="00CB7713">
        <w:t>na</w:t>
      </w:r>
      <w:r>
        <w:t xml:space="preserve"> 4,0 tis. t). V důsledku jarních mrazíků se v roce 2014 proti předcházejícímu roku výrazně snížila produkce meruněk (o 46 % na 6,7 tis. t) a broskví (o 23 % na 7,3 tis. t). Mrazová a chladová poškození se významně projevila na sklizni hrušek, která meziročně poklesla o 28 % na 12,4 tis. t</w:t>
      </w:r>
      <w:r>
        <w:rPr>
          <w:i/>
        </w:rPr>
        <w:t xml:space="preserve">. </w:t>
      </w:r>
      <w:r w:rsidRPr="000249E8">
        <w:t>Celková sklizeň jablek</w:t>
      </w:r>
      <w:r>
        <w:t xml:space="preserve"> byla v roce 2014 nejvyšší za posledních pět let a</w:t>
      </w:r>
      <w:r w:rsidRPr="000249E8">
        <w:t xml:space="preserve"> činila </w:t>
      </w:r>
      <w:r>
        <w:t>208</w:t>
      </w:r>
      <w:r w:rsidRPr="000249E8">
        <w:t>,</w:t>
      </w:r>
      <w:r>
        <w:t>0</w:t>
      </w:r>
      <w:r w:rsidRPr="000249E8">
        <w:t xml:space="preserve"> tis. t, </w:t>
      </w:r>
      <w:r>
        <w:t xml:space="preserve">což bylo </w:t>
      </w:r>
      <w:r w:rsidRPr="000249E8">
        <w:t>meziročně o </w:t>
      </w:r>
      <w:r>
        <w:t>7</w:t>
      </w:r>
      <w:r w:rsidRPr="000249E8">
        <w:t> %</w:t>
      </w:r>
      <w:r>
        <w:t xml:space="preserve"> více</w:t>
      </w:r>
      <w:r w:rsidRPr="000249E8">
        <w:t>.</w:t>
      </w:r>
    </w:p>
    <w:p w:rsidR="00567C4A" w:rsidRDefault="00567C4A" w:rsidP="000B7BEE">
      <w:r w:rsidRPr="00487EB5">
        <w:t xml:space="preserve">Průběh zimy 2013/14 byl </w:t>
      </w:r>
      <w:r>
        <w:t xml:space="preserve">velmi mírný, téměř bez trvalejší sněhové pokrývky, což s sebou přineslo několik významných rizik. Jedním z nich byla absence zimních srážek, která se pak negativně projevila v nejsušších oblastech republiky. Vzhledem k vysokým teplotám </w:t>
      </w:r>
      <w:r w:rsidR="00C316E6">
        <w:t xml:space="preserve">a ukončené zimní dormanci </w:t>
      </w:r>
      <w:r>
        <w:t xml:space="preserve">hrozilo již od února </w:t>
      </w:r>
      <w:r w:rsidR="00C316E6">
        <w:t xml:space="preserve">nebezpečí </w:t>
      </w:r>
      <w:r>
        <w:t>poškození porostů ovocných druhů, zejména teplomilných peckovin</w:t>
      </w:r>
      <w:r w:rsidR="00C316E6">
        <w:t xml:space="preserve"> i</w:t>
      </w:r>
      <w:r>
        <w:t xml:space="preserve"> menšími mrazíky. Mírná zima a dobrá násada květů </w:t>
      </w:r>
      <w:r>
        <w:lastRenderedPageBreak/>
        <w:t>v počátku roku vytvořily předpoklady pro dobrou sklizeň. Vel</w:t>
      </w:r>
      <w:r w:rsidR="00C316E6">
        <w:t>mi teplé jaro uspíšilo rašení i </w:t>
      </w:r>
      <w:r>
        <w:t>kvetení, které nastalo u některých ovocných druhů</w:t>
      </w:r>
      <w:r w:rsidRPr="00487EB5">
        <w:t xml:space="preserve"> </w:t>
      </w:r>
      <w:r>
        <w:t xml:space="preserve">až o měsíc dříve než v běžných letech. Jarní mrazíky v dubnu, které zasáhly zejména jižní Moravu, poškodily hlavně peckoviny (zejména broskve a meruňky). Květnové mrazíky se pak negativně projevily na jádrovém ovoci v Čechách. V průběhu vegetace byly některé lokality zasaženy krupobitím, které ovšem nezpůsobilo tak vysoké škody jako v předchozích letech. Úroda ovoce na některých místech Moravy byla negativně ovlivněna suchem, které trvalo </w:t>
      </w:r>
      <w:r w:rsidR="00C316E6">
        <w:t>téměř</w:t>
      </w:r>
      <w:r>
        <w:t xml:space="preserve"> celé</w:t>
      </w:r>
      <w:r w:rsidR="00C316E6">
        <w:t xml:space="preserve"> léto</w:t>
      </w:r>
      <w:r>
        <w:t xml:space="preserve">. Vlivem chladnějšího počasí v srpnu došlo u pozdějších odrůd téměř k vyrovnání průběhu vegetace (doby zrání). V roce 2014 se projevil velký infekční tlak, především houbových chorob. Řada ovocných stromů byla v důsledku mírné zimy a dobrého přezimování </w:t>
      </w:r>
      <w:proofErr w:type="spellStart"/>
      <w:r w:rsidR="00C316E6">
        <w:t>patogena</w:t>
      </w:r>
      <w:proofErr w:type="spellEnd"/>
      <w:r w:rsidR="00C316E6">
        <w:t xml:space="preserve"> napadena padlím. Již v </w:t>
      </w:r>
      <w:r>
        <w:t>březnu se u jabloní projevila strupovitost a u plodů peckovin větší moniliový úžeh.</w:t>
      </w:r>
    </w:p>
    <w:p w:rsidR="00567C4A" w:rsidRPr="00B00B87" w:rsidRDefault="00567C4A" w:rsidP="000B7BEE">
      <w:r w:rsidRPr="00B00B87">
        <w:t>Rozloha produkčních sadů, které mají hlavní význam pro pěstování ovoce v ČR, v roce 201</w:t>
      </w:r>
      <w:r>
        <w:t>4</w:t>
      </w:r>
      <w:r w:rsidRPr="00B00B87">
        <w:t xml:space="preserve"> činila 17,</w:t>
      </w:r>
      <w:r>
        <w:t>6</w:t>
      </w:r>
      <w:r w:rsidRPr="00B00B87">
        <w:t> tis. ha, z toho plodných produkčních sadů 16,</w:t>
      </w:r>
      <w:r>
        <w:t>5</w:t>
      </w:r>
      <w:r w:rsidRPr="00B00B87">
        <w:t> tis. ha.</w:t>
      </w:r>
      <w:r w:rsidRPr="00487EB5">
        <w:rPr>
          <w:i/>
        </w:rPr>
        <w:t xml:space="preserve"> </w:t>
      </w:r>
      <w:r>
        <w:t>I přes netypický průběh počasí se v těchto sadech sklidilo 152,5 tis. t ovoce, tj. o 2 % více než v roce předchozím. Výměra produkčních j</w:t>
      </w:r>
      <w:r w:rsidRPr="00B00B87">
        <w:t>abloňov</w:t>
      </w:r>
      <w:r>
        <w:t xml:space="preserve">ých sadů </w:t>
      </w:r>
      <w:r w:rsidR="00C316E6">
        <w:t>dosáhla</w:t>
      </w:r>
      <w:r>
        <w:t xml:space="preserve"> 8</w:t>
      </w:r>
      <w:r w:rsidRPr="00B00B87">
        <w:t>,</w:t>
      </w:r>
      <w:r>
        <w:t>7 tis. ha a n</w:t>
      </w:r>
      <w:r w:rsidRPr="00B00B87">
        <w:t xml:space="preserve">ejvětší podíl plochy </w:t>
      </w:r>
      <w:r>
        <w:t xml:space="preserve">zaujímaly </w:t>
      </w:r>
      <w:r w:rsidRPr="00B00B87">
        <w:t>odrůd</w:t>
      </w:r>
      <w:r>
        <w:t>y</w:t>
      </w:r>
      <w:r w:rsidRPr="00B00B87">
        <w:t xml:space="preserve"> </w:t>
      </w:r>
      <w:proofErr w:type="spellStart"/>
      <w:r w:rsidRPr="00B00B87">
        <w:t>Golden</w:t>
      </w:r>
      <w:proofErr w:type="spellEnd"/>
      <w:r w:rsidRPr="00B00B87">
        <w:t xml:space="preserve"> </w:t>
      </w:r>
      <w:proofErr w:type="spellStart"/>
      <w:r w:rsidRPr="00B00B87">
        <w:t>Delicious</w:t>
      </w:r>
      <w:proofErr w:type="spellEnd"/>
      <w:r w:rsidRPr="00B00B87">
        <w:t xml:space="preserve"> (2</w:t>
      </w:r>
      <w:r>
        <w:t>2</w:t>
      </w:r>
      <w:r w:rsidRPr="00B00B87">
        <w:t> %) a </w:t>
      </w:r>
      <w:proofErr w:type="spellStart"/>
      <w:r w:rsidRPr="00B00B87">
        <w:t>Idared</w:t>
      </w:r>
      <w:proofErr w:type="spellEnd"/>
      <w:r w:rsidRPr="00B00B87">
        <w:t xml:space="preserve"> (18 %).</w:t>
      </w:r>
    </w:p>
    <w:p w:rsidR="00567C4A" w:rsidRDefault="00567C4A" w:rsidP="000B7BEE">
      <w:r w:rsidRPr="006B0A99">
        <w:t>Úroda jablek v produkčn</w:t>
      </w:r>
      <w:r>
        <w:t>ích sadech v ČR v roce 2014</w:t>
      </w:r>
      <w:r w:rsidRPr="006B0A99">
        <w:t xml:space="preserve"> činila 1</w:t>
      </w:r>
      <w:r>
        <w:t>3</w:t>
      </w:r>
      <w:r w:rsidRPr="006B0A99">
        <w:t>0,</w:t>
      </w:r>
      <w:r>
        <w:t>9</w:t>
      </w:r>
      <w:r w:rsidRPr="006B0A99">
        <w:t xml:space="preserve"> tis. t </w:t>
      </w:r>
      <w:r>
        <w:t xml:space="preserve">(meziročně více o 9 %) </w:t>
      </w:r>
      <w:r w:rsidRPr="006B0A99">
        <w:t xml:space="preserve">a </w:t>
      </w:r>
      <w:r>
        <w:t>n</w:t>
      </w:r>
      <w:r w:rsidRPr="006B0A99">
        <w:t>a celkové úrodě produkčních sadů se podílela 8</w:t>
      </w:r>
      <w:r>
        <w:t>6</w:t>
      </w:r>
      <w:r w:rsidRPr="006B0A99">
        <w:t xml:space="preserve"> %. </w:t>
      </w:r>
      <w:r>
        <w:t xml:space="preserve">Průměrný hektarový výnos byl ve výši 15,01 t/ha. </w:t>
      </w:r>
      <w:r w:rsidRPr="006B0A99">
        <w:t xml:space="preserve">Ze sklizených odrůd jablek měla největší zastoupení jablka skupiny </w:t>
      </w:r>
      <w:proofErr w:type="spellStart"/>
      <w:r w:rsidRPr="006B0A99">
        <w:t>Golden</w:t>
      </w:r>
      <w:proofErr w:type="spellEnd"/>
      <w:r w:rsidRPr="006B0A99">
        <w:t xml:space="preserve"> </w:t>
      </w:r>
      <w:proofErr w:type="spellStart"/>
      <w:r w:rsidRPr="006B0A99">
        <w:t>Delicious</w:t>
      </w:r>
      <w:proofErr w:type="spellEnd"/>
      <w:r w:rsidRPr="006B0A99">
        <w:t xml:space="preserve"> (2</w:t>
      </w:r>
      <w:r>
        <w:t>7</w:t>
      </w:r>
      <w:r w:rsidRPr="006B0A99">
        <w:t xml:space="preserve"> % celkové sklizně jablek), odrůda </w:t>
      </w:r>
      <w:proofErr w:type="spellStart"/>
      <w:r w:rsidRPr="006B0A99">
        <w:t>Idared</w:t>
      </w:r>
      <w:proofErr w:type="spellEnd"/>
      <w:r w:rsidRPr="006B0A99">
        <w:t xml:space="preserve"> (</w:t>
      </w:r>
      <w:r>
        <w:t>21</w:t>
      </w:r>
      <w:r w:rsidR="00207E7F">
        <w:t xml:space="preserve"> %) a odrůda </w:t>
      </w:r>
      <w:proofErr w:type="spellStart"/>
      <w:r w:rsidR="00207E7F">
        <w:t>Jonagold</w:t>
      </w:r>
      <w:proofErr w:type="spellEnd"/>
      <w:r w:rsidR="00207E7F">
        <w:t xml:space="preserve"> a </w:t>
      </w:r>
      <w:r w:rsidRPr="006B0A99">
        <w:t>mutace (1</w:t>
      </w:r>
      <w:r>
        <w:t>1</w:t>
      </w:r>
      <w:r w:rsidRPr="006B0A99">
        <w:t xml:space="preserve"> %). </w:t>
      </w:r>
      <w:r>
        <w:t>P</w:t>
      </w:r>
      <w:r w:rsidRPr="006B0A99">
        <w:t>roti předchozímu roku</w:t>
      </w:r>
      <w:r>
        <w:t xml:space="preserve"> byla vyšší</w:t>
      </w:r>
      <w:r w:rsidRPr="006B0A99">
        <w:t xml:space="preserve">, </w:t>
      </w:r>
      <w:r>
        <w:t>kromě jablek</w:t>
      </w:r>
      <w:r w:rsidRPr="006B0A99">
        <w:t xml:space="preserve">, </w:t>
      </w:r>
      <w:r>
        <w:t>již jen produkce</w:t>
      </w:r>
      <w:r w:rsidRPr="006B0A99">
        <w:t xml:space="preserve"> </w:t>
      </w:r>
      <w:r>
        <w:t xml:space="preserve">třešní (o 28 %, tj. 2,0 tis. t). </w:t>
      </w:r>
      <w:r w:rsidR="00341CED" w:rsidRPr="00341CED">
        <w:t>V roce 2014 bylo sklizeno přibližně stejné množs</w:t>
      </w:r>
      <w:r w:rsidR="00341CED">
        <w:t>tví višní jako v roce 2013 (5,2 </w:t>
      </w:r>
      <w:r w:rsidR="00341CED" w:rsidRPr="00341CED">
        <w:t>tis. t).</w:t>
      </w:r>
      <w:r>
        <w:t xml:space="preserve"> Produkce ostatních druhů ovoce byla v roce 2014 nižší. </w:t>
      </w:r>
      <w:r w:rsidR="00B847FA">
        <w:t>S</w:t>
      </w:r>
      <w:r>
        <w:t>klizeno</w:t>
      </w:r>
      <w:r w:rsidR="00B847FA">
        <w:t xml:space="preserve"> bylo</w:t>
      </w:r>
      <w:r>
        <w:t xml:space="preserve"> pouze 0,9 tis. t. broskví (meziroční pokles o 53 %), 3,8 tis. t hrušek (polovina produkce předchozího roku) a 1,9 tis. t </w:t>
      </w:r>
      <w:r w:rsidRPr="006B0A99">
        <w:t xml:space="preserve">meruněk </w:t>
      </w:r>
      <w:r>
        <w:t xml:space="preserve">(o 47 % méně než v roce předchozím). Mírně nižší (o 12 %) byla </w:t>
      </w:r>
      <w:r w:rsidR="00DC1057">
        <w:t>i </w:t>
      </w:r>
      <w:r w:rsidR="00B847FA">
        <w:t>úroda švestek a </w:t>
      </w:r>
      <w:r>
        <w:t>slivoní, která činila 5,8</w:t>
      </w:r>
      <w:r w:rsidRPr="006B0A99">
        <w:t> tis. </w:t>
      </w:r>
      <w:r>
        <w:t>t.</w:t>
      </w:r>
      <w:r w:rsidR="00B847FA">
        <w:t xml:space="preserve"> Na odhadované úrodě jablek EU se ČR podílí přibližně 0,5 %. Sklizeň hrušek byla v EU průměrná a odhaduje se na 2,4 mil. t, což je o 2 % méně než v roce 2013.</w:t>
      </w:r>
    </w:p>
    <w:p w:rsidR="00567C4A" w:rsidRDefault="00567C4A" w:rsidP="000B7BEE">
      <w:r w:rsidRPr="00190DBB">
        <w:t>Z hlediska stáří produkčních sadů je v poklesu plodnosti 4</w:t>
      </w:r>
      <w:r>
        <w:t>6</w:t>
      </w:r>
      <w:r w:rsidRPr="00190DBB">
        <w:t> % ovocných sadů, 3</w:t>
      </w:r>
      <w:r>
        <w:t>9</w:t>
      </w:r>
      <w:r w:rsidRPr="00190DBB">
        <w:t> %</w:t>
      </w:r>
      <w:r>
        <w:t> </w:t>
      </w:r>
      <w:r w:rsidRPr="00190DBB">
        <w:t>sadů je v plné plodnosti, 10 % na počátku plodnosti a 5 % tvoří mladé neplodné sady. Nejhorší věková struktura</w:t>
      </w:r>
      <w:r>
        <w:t>, která se každoročně zhoršuje,</w:t>
      </w:r>
      <w:r w:rsidRPr="00190DBB">
        <w:t xml:space="preserve"> přetrvává u broskvoní (6</w:t>
      </w:r>
      <w:r>
        <w:t>4</w:t>
      </w:r>
      <w:r w:rsidRPr="00190DBB">
        <w:t> %</w:t>
      </w:r>
      <w:r>
        <w:t> </w:t>
      </w:r>
      <w:r w:rsidRPr="00190DBB">
        <w:t>v poklesu plodnosti, 3</w:t>
      </w:r>
      <w:r>
        <w:t>2</w:t>
      </w:r>
      <w:r w:rsidRPr="00190DBB">
        <w:t xml:space="preserve"> % v plné plodnosti, </w:t>
      </w:r>
      <w:r>
        <w:t>2</w:t>
      </w:r>
      <w:r w:rsidRPr="00190DBB">
        <w:t> % jsou sady na začátku plodnosti a</w:t>
      </w:r>
      <w:r>
        <w:t xml:space="preserve"> rovněž </w:t>
      </w:r>
      <w:r w:rsidRPr="00190DBB">
        <w:t>2 % tvoří mladé neplodné výsadby). Také věková struktura jabloní je stále velmi špatná (57 % sadů v poklesu plodnosti, 3</w:t>
      </w:r>
      <w:r>
        <w:t>1</w:t>
      </w:r>
      <w:r w:rsidRPr="00190DBB">
        <w:t xml:space="preserve"> % v plné plodnosti, 9 % na začátku plodnosti, </w:t>
      </w:r>
      <w:r>
        <w:t>3</w:t>
      </w:r>
      <w:r w:rsidRPr="00190DBB">
        <w:t> %</w:t>
      </w:r>
      <w:r>
        <w:t> </w:t>
      </w:r>
      <w:r w:rsidRPr="00190DBB">
        <w:t xml:space="preserve">sadů jsou výsadby mladé a neplodné). </w:t>
      </w:r>
      <w:r>
        <w:t xml:space="preserve">Velký podíl plochy produkčních sadů v poklesu plodnosti je dále </w:t>
      </w:r>
      <w:r w:rsidRPr="00190DBB">
        <w:t>u</w:t>
      </w:r>
      <w:r>
        <w:t> </w:t>
      </w:r>
      <w:r w:rsidRPr="00190DBB">
        <w:t>meruněk (4</w:t>
      </w:r>
      <w:r>
        <w:t>2</w:t>
      </w:r>
      <w:r w:rsidRPr="00190DBB">
        <w:t> %)</w:t>
      </w:r>
      <w:r>
        <w:t>,</w:t>
      </w:r>
      <w:r w:rsidRPr="00190DBB">
        <w:t xml:space="preserve"> třešní (3</w:t>
      </w:r>
      <w:r>
        <w:t>7</w:t>
      </w:r>
      <w:r w:rsidRPr="00190DBB">
        <w:t> %)</w:t>
      </w:r>
      <w:r>
        <w:t xml:space="preserve"> a</w:t>
      </w:r>
      <w:r w:rsidRPr="00190DBB">
        <w:t xml:space="preserve"> višní (</w:t>
      </w:r>
      <w:r>
        <w:t>35</w:t>
      </w:r>
      <w:r w:rsidRPr="00190DBB">
        <w:t> %)</w:t>
      </w:r>
      <w:r>
        <w:t>.</w:t>
      </w:r>
      <w:r w:rsidRPr="00190DBB">
        <w:t xml:space="preserve"> </w:t>
      </w:r>
      <w:r>
        <w:t xml:space="preserve">Výrazně na ústupu je v ČR pěstování broskví, angreštu, bílého a červeného rybízu. </w:t>
      </w:r>
      <w:r w:rsidRPr="00190DBB">
        <w:t xml:space="preserve">Nejpříznivější věková struktura je </w:t>
      </w:r>
      <w:r>
        <w:t>u </w:t>
      </w:r>
      <w:r w:rsidRPr="00190DBB">
        <w:t>hrušní</w:t>
      </w:r>
      <w:r>
        <w:t xml:space="preserve"> a dále</w:t>
      </w:r>
      <w:r w:rsidRPr="00190DBB">
        <w:t xml:space="preserve"> u</w:t>
      </w:r>
      <w:r>
        <w:t> švestek a </w:t>
      </w:r>
      <w:r w:rsidRPr="00190DBB">
        <w:t>slivoní</w:t>
      </w:r>
      <w:r>
        <w:t>.</w:t>
      </w:r>
    </w:p>
    <w:p w:rsidR="00567C4A" w:rsidRDefault="00567C4A" w:rsidP="000B7BEE">
      <w:r w:rsidRPr="004E4C8D">
        <w:lastRenderedPageBreak/>
        <w:t>Producenti ovoce jsou zapojeni do integrovaného způsobu pěstování ovoce. Ve Svazu pro integrované systémy pěstování ovoce (známka SISPO garantuje, že ovoce prodávané pod</w:t>
      </w:r>
      <w:r>
        <w:t> </w:t>
      </w:r>
      <w:r w:rsidRPr="004E4C8D">
        <w:t xml:space="preserve">touto ochrannou známkou bylo vyprodukováno za výrazného omezení používání pesticidů a umělých hnojiv) bylo </w:t>
      </w:r>
      <w:r>
        <w:t>k 31. 8. </w:t>
      </w:r>
      <w:r w:rsidRPr="004E4C8D">
        <w:t xml:space="preserve">2014 zaregistrováno 307 členů a dalších pět subjektů bylo nevýrobních, bez pěstební plochy. Celková výměra </w:t>
      </w:r>
      <w:r>
        <w:t xml:space="preserve">ovocných sadů a školek </w:t>
      </w:r>
      <w:r w:rsidRPr="004E4C8D">
        <w:t>činila 10,9 tis. ha</w:t>
      </w:r>
      <w:r>
        <w:t>.</w:t>
      </w:r>
      <w:r w:rsidRPr="004E4C8D">
        <w:t xml:space="preserve"> Známka SISPO byla udělena 174 členům, kteří pěstují ovoce na 8,3 tis. ha. </w:t>
      </w:r>
      <w:r>
        <w:t>Ochranná z</w:t>
      </w:r>
      <w:r w:rsidRPr="004E4C8D">
        <w:t>námka nebyla udělena nebo byla odebrána 81 producentům s plochou 2,0 tis. ha a</w:t>
      </w:r>
      <w:r>
        <w:t> </w:t>
      </w:r>
      <w:r w:rsidRPr="004E4C8D">
        <w:t xml:space="preserve">v </w:t>
      </w:r>
      <w:r w:rsidR="00B847FA">
        <w:t>tří</w:t>
      </w:r>
      <w:r w:rsidRPr="004E4C8D">
        <w:t xml:space="preserve">letém přechodném období se nachází 41 podniků s celkovou výměrou 0,7 tis. ha. Největší </w:t>
      </w:r>
      <w:r>
        <w:t>výměru ovocných sadů SISPO</w:t>
      </w:r>
      <w:r w:rsidRPr="004E4C8D">
        <w:t xml:space="preserve"> zaujímají jabloně (5,8 tis. ha), následují slivoně (1,</w:t>
      </w:r>
      <w:r>
        <w:t>2</w:t>
      </w:r>
      <w:r w:rsidRPr="004E4C8D">
        <w:t> tis. ha) a višně (1,1 tis. ha).</w:t>
      </w:r>
    </w:p>
    <w:p w:rsidR="00567C4A" w:rsidRPr="00493B59" w:rsidRDefault="00567C4A" w:rsidP="000B7BEE">
      <w:r w:rsidRPr="00493B59">
        <w:t>Informace o nákupu čerstvého ovoce ke zpracování je k dispozici za rok 201</w:t>
      </w:r>
      <w:r>
        <w:t>3</w:t>
      </w:r>
      <w:r w:rsidRPr="00493B59">
        <w:t>. V tomto roce bylo dodáno</w:t>
      </w:r>
      <w:r>
        <w:t xml:space="preserve"> 66,8 tis. t ovoce</w:t>
      </w:r>
      <w:r w:rsidRPr="00493B59">
        <w:t xml:space="preserve"> ke zpracování</w:t>
      </w:r>
      <w:r>
        <w:t xml:space="preserve"> </w:t>
      </w:r>
      <w:r w:rsidRPr="00493B59">
        <w:t xml:space="preserve">(meziroční </w:t>
      </w:r>
      <w:r w:rsidRPr="00341CED">
        <w:t>pokles o </w:t>
      </w:r>
      <w:r w:rsidR="00341CED" w:rsidRPr="00341CED">
        <w:t>19</w:t>
      </w:r>
      <w:r w:rsidRPr="00341CED">
        <w:t> %),</w:t>
      </w:r>
      <w:r>
        <w:t xml:space="preserve"> z toho</w:t>
      </w:r>
      <w:r w:rsidRPr="00493B59">
        <w:t xml:space="preserve"> </w:t>
      </w:r>
      <w:r>
        <w:t>41,7</w:t>
      </w:r>
      <w:r w:rsidRPr="00493B59">
        <w:t xml:space="preserve"> tis. t </w:t>
      </w:r>
      <w:r>
        <w:t xml:space="preserve">čerstvého </w:t>
      </w:r>
      <w:r w:rsidRPr="00493B59">
        <w:t xml:space="preserve">ovoce </w:t>
      </w:r>
      <w:r>
        <w:t xml:space="preserve">a 15,1 tis. t ovoce zmrazeného, sušeného či jinak upraveného. </w:t>
      </w:r>
      <w:r w:rsidRPr="00493B59">
        <w:t>Nejví</w:t>
      </w:r>
      <w:r>
        <w:t>ce byla,</w:t>
      </w:r>
      <w:r w:rsidRPr="00493B59">
        <w:t xml:space="preserve"> </w:t>
      </w:r>
      <w:r>
        <w:t>jako každoročně, vykupována z čerstvého ovoce</w:t>
      </w:r>
      <w:r w:rsidRPr="00493B59">
        <w:t xml:space="preserve"> </w:t>
      </w:r>
      <w:r>
        <w:t xml:space="preserve">tuzemská </w:t>
      </w:r>
      <w:r w:rsidRPr="00493B59">
        <w:t>průmyslová jablka</w:t>
      </w:r>
      <w:r>
        <w:t>. Ke zpracování jich bylo dodáno 28</w:t>
      </w:r>
      <w:r w:rsidRPr="00493B59">
        <w:t>,</w:t>
      </w:r>
      <w:r>
        <w:t>6</w:t>
      </w:r>
      <w:r w:rsidRPr="00493B59">
        <w:t xml:space="preserve"> tis. t, </w:t>
      </w:r>
      <w:r>
        <w:t>což bylo</w:t>
      </w:r>
      <w:r w:rsidRPr="00493B59">
        <w:t xml:space="preserve"> o </w:t>
      </w:r>
      <w:r>
        <w:t>29</w:t>
      </w:r>
      <w:r w:rsidRPr="00493B59">
        <w:t xml:space="preserve"> % </w:t>
      </w:r>
      <w:r>
        <w:t xml:space="preserve">méně </w:t>
      </w:r>
      <w:r w:rsidRPr="00493B59">
        <w:t xml:space="preserve">než v roce předchozím. Nákup </w:t>
      </w:r>
      <w:r>
        <w:t xml:space="preserve">čerstvého </w:t>
      </w:r>
      <w:r w:rsidRPr="00493B59">
        <w:t xml:space="preserve">ovoce ze zahraničí </w:t>
      </w:r>
      <w:r>
        <w:t>pro výrobu ovocných výrobků se meziročně zvýšil o 6 %. MZe a ÚZEI odhadují, že ze sklizně jablek roku 2014 bylo na zpracovatelské účely dodáno cca 35 tis. t jablek.</w:t>
      </w:r>
    </w:p>
    <w:p w:rsidR="00567C4A" w:rsidRDefault="00567C4A" w:rsidP="000B7BEE">
      <w:r w:rsidRPr="00AA579A">
        <w:t>V ČR bylo v roce 201</w:t>
      </w:r>
      <w:r>
        <w:t>4</w:t>
      </w:r>
      <w:r w:rsidRPr="00AA579A">
        <w:t xml:space="preserve"> k dispozici celkem </w:t>
      </w:r>
      <w:r>
        <w:t>9</w:t>
      </w:r>
      <w:r w:rsidRPr="00AA579A">
        <w:t xml:space="preserve">1 tis. t skladovacích kapacit pro ovoce. </w:t>
      </w:r>
      <w:r>
        <w:t>Vzrostl p</w:t>
      </w:r>
      <w:r w:rsidRPr="00AA579A">
        <w:t xml:space="preserve">odíl skladů </w:t>
      </w:r>
      <w:r>
        <w:t xml:space="preserve">nejvyšší kvality, tj. </w:t>
      </w:r>
      <w:r w:rsidRPr="00AA579A">
        <w:t>s řízenou atmosférou a s ULO atmosférou</w:t>
      </w:r>
      <w:r>
        <w:t>, na </w:t>
      </w:r>
      <w:r w:rsidRPr="00AA579A">
        <w:t>5</w:t>
      </w:r>
      <w:r>
        <w:t>6 </w:t>
      </w:r>
      <w:r w:rsidRPr="00AA579A">
        <w:t>%</w:t>
      </w:r>
      <w:r>
        <w:t xml:space="preserve"> </w:t>
      </w:r>
      <w:r w:rsidRPr="00AA579A">
        <w:t>celkové skladovací</w:t>
      </w:r>
      <w:r>
        <w:t xml:space="preserve"> kapacity</w:t>
      </w:r>
      <w:r w:rsidRPr="00AA579A">
        <w:t xml:space="preserve">. </w:t>
      </w:r>
      <w:r>
        <w:t>Z</w:t>
      </w:r>
      <w:r w:rsidRPr="00AA579A">
        <w:t xml:space="preserve">ásoby jablek </w:t>
      </w:r>
      <w:r>
        <w:t>k</w:t>
      </w:r>
      <w:r w:rsidRPr="00AA579A">
        <w:t xml:space="preserve"> 31. 12. 201</w:t>
      </w:r>
      <w:r>
        <w:t>4</w:t>
      </w:r>
      <w:r w:rsidRPr="00AA579A">
        <w:t xml:space="preserve"> činily </w:t>
      </w:r>
      <w:r>
        <w:t>41</w:t>
      </w:r>
      <w:r w:rsidRPr="00AA579A">
        <w:t>,</w:t>
      </w:r>
      <w:r>
        <w:t>0</w:t>
      </w:r>
      <w:r w:rsidRPr="00AA579A">
        <w:t xml:space="preserve"> tis. t, z toho </w:t>
      </w:r>
      <w:r>
        <w:t xml:space="preserve">60 % </w:t>
      </w:r>
      <w:r w:rsidRPr="00AA579A">
        <w:t xml:space="preserve">tvořily odrůdy </w:t>
      </w:r>
      <w:proofErr w:type="spellStart"/>
      <w:r w:rsidRPr="00AA579A">
        <w:t>Golden</w:t>
      </w:r>
      <w:proofErr w:type="spellEnd"/>
      <w:r w:rsidRPr="00AA579A">
        <w:t xml:space="preserve"> </w:t>
      </w:r>
      <w:proofErr w:type="spellStart"/>
      <w:r w:rsidRPr="00AA579A">
        <w:t>Delicious</w:t>
      </w:r>
      <w:proofErr w:type="spellEnd"/>
      <w:r w:rsidRPr="00AA579A">
        <w:t xml:space="preserve"> a </w:t>
      </w:r>
      <w:proofErr w:type="spellStart"/>
      <w:r w:rsidRPr="00AA579A">
        <w:t>Idared</w:t>
      </w:r>
      <w:proofErr w:type="spellEnd"/>
      <w:r w:rsidRPr="00AA579A">
        <w:t xml:space="preserve">. </w:t>
      </w:r>
      <w:r>
        <w:t>V</w:t>
      </w:r>
      <w:r w:rsidRPr="00AA579A">
        <w:t xml:space="preserve">e srovnání se stejným obdobím předchozího roku byly </w:t>
      </w:r>
      <w:r>
        <w:t>t</w:t>
      </w:r>
      <w:r w:rsidRPr="00AA579A">
        <w:t>yto zásoby o </w:t>
      </w:r>
      <w:r>
        <w:t>24</w:t>
      </w:r>
      <w:r w:rsidRPr="00AA579A">
        <w:t> % vyšší. Největší podíl naskladněných jablek (7</w:t>
      </w:r>
      <w:r>
        <w:t>0</w:t>
      </w:r>
      <w:r w:rsidRPr="00AA579A">
        <w:t> %) byl ve</w:t>
      </w:r>
      <w:r>
        <w:t> </w:t>
      </w:r>
      <w:r w:rsidRPr="00AA579A">
        <w:t>skladech s</w:t>
      </w:r>
      <w:r>
        <w:t> </w:t>
      </w:r>
      <w:r w:rsidRPr="00AA579A">
        <w:t>ULO atmosférou (včetně řízené atmosféry), tj.</w:t>
      </w:r>
      <w:r>
        <w:t xml:space="preserve"> </w:t>
      </w:r>
      <w:r w:rsidRPr="00AA579A">
        <w:t xml:space="preserve">ve skladech se sníženým obsahem kyslíku </w:t>
      </w:r>
      <w:r>
        <w:t>a </w:t>
      </w:r>
      <w:r w:rsidRPr="00AA579A">
        <w:t>oxidu uhličitého.</w:t>
      </w:r>
    </w:p>
    <w:p w:rsidR="00567C4A" w:rsidRDefault="00567C4A" w:rsidP="000B7BEE">
      <w:r>
        <w:t>P</w:t>
      </w:r>
      <w:r w:rsidRPr="00C63373">
        <w:t xml:space="preserve">odle předběžných údajů </w:t>
      </w:r>
      <w:r>
        <w:t xml:space="preserve">byl v roce 2014 dovoz ovoce </w:t>
      </w:r>
      <w:r w:rsidRPr="00C63373">
        <w:t xml:space="preserve">do ČR </w:t>
      </w:r>
      <w:r w:rsidR="00B847FA">
        <w:t>mírně vyšší</w:t>
      </w:r>
      <w:r>
        <w:t xml:space="preserve"> (jak z hlediska množstevního, tak i finančního) </w:t>
      </w:r>
      <w:r w:rsidR="00B847FA">
        <w:t>než</w:t>
      </w:r>
      <w:r>
        <w:t xml:space="preserve"> v roce předchozím. Import činil</w:t>
      </w:r>
      <w:r w:rsidRPr="00C63373">
        <w:t xml:space="preserve"> 5</w:t>
      </w:r>
      <w:r>
        <w:t>45</w:t>
      </w:r>
      <w:r w:rsidRPr="00C63373">
        <w:t>,</w:t>
      </w:r>
      <w:r>
        <w:t>3</w:t>
      </w:r>
      <w:r w:rsidRPr="00C63373">
        <w:t> tis. t v celkové hodnotě 12,</w:t>
      </w:r>
      <w:r>
        <w:t>9</w:t>
      </w:r>
      <w:r w:rsidRPr="00C63373">
        <w:t> mld. Kč. Import ovoce mírného pásma (m.</w:t>
      </w:r>
      <w:r>
        <w:t> </w:t>
      </w:r>
      <w:r w:rsidRPr="00C63373">
        <w:t>p.) bez ořechů vlašských, které jsou započteny do skořápkového ovoce, činil 18</w:t>
      </w:r>
      <w:r>
        <w:t>8</w:t>
      </w:r>
      <w:r w:rsidRPr="00C63373">
        <w:t>,</w:t>
      </w:r>
      <w:r>
        <w:t>4</w:t>
      </w:r>
      <w:r w:rsidRPr="00C63373">
        <w:t> tis. t za </w:t>
      </w:r>
      <w:r>
        <w:t>3</w:t>
      </w:r>
      <w:r w:rsidRPr="00C63373">
        <w:t>,</w:t>
      </w:r>
      <w:r>
        <w:t>8</w:t>
      </w:r>
      <w:r w:rsidRPr="00C63373">
        <w:t> mld. Kč. Dodávky</w:t>
      </w:r>
      <w:r>
        <w:t xml:space="preserve"> konzumních</w:t>
      </w:r>
      <w:r w:rsidRPr="00C63373">
        <w:t xml:space="preserve"> jablek ve výši </w:t>
      </w:r>
      <w:r>
        <w:t>75</w:t>
      </w:r>
      <w:r w:rsidRPr="00C63373">
        <w:t>,</w:t>
      </w:r>
      <w:r>
        <w:t>6</w:t>
      </w:r>
      <w:r w:rsidRPr="00C63373">
        <w:t> tis. t za </w:t>
      </w:r>
      <w:r>
        <w:t>0</w:t>
      </w:r>
      <w:r w:rsidRPr="00C63373">
        <w:t>,</w:t>
      </w:r>
      <w:r>
        <w:t>8</w:t>
      </w:r>
      <w:r w:rsidRPr="00C63373">
        <w:t xml:space="preserve"> mld. Kč se na celkovém importu ovoce m.</w:t>
      </w:r>
      <w:r>
        <w:t> </w:t>
      </w:r>
      <w:r w:rsidRPr="00C63373">
        <w:t>p.</w:t>
      </w:r>
      <w:r>
        <w:t> </w:t>
      </w:r>
      <w:r w:rsidRPr="00C63373">
        <w:t>podílely 4</w:t>
      </w:r>
      <w:r>
        <w:t>1</w:t>
      </w:r>
      <w:r w:rsidRPr="00C63373">
        <w:t xml:space="preserve"> %. </w:t>
      </w:r>
      <w:r>
        <w:t>H</w:t>
      </w:r>
      <w:r w:rsidRPr="00C63373">
        <w:t>lavní</w:t>
      </w:r>
      <w:r>
        <w:t xml:space="preserve"> importérskou zemí </w:t>
      </w:r>
      <w:r w:rsidRPr="00C63373">
        <w:t>bylo</w:t>
      </w:r>
      <w:r>
        <w:t>, stejně jako v roce předchozím,</w:t>
      </w:r>
      <w:r w:rsidRPr="00C63373">
        <w:t xml:space="preserve"> Polsko, které dodalo </w:t>
      </w:r>
      <w:r>
        <w:t>27</w:t>
      </w:r>
      <w:r w:rsidRPr="00C63373">
        <w:t>,</w:t>
      </w:r>
      <w:r>
        <w:t>9</w:t>
      </w:r>
      <w:r w:rsidRPr="00C63373">
        <w:t> tis. t jablek za </w:t>
      </w:r>
      <w:r>
        <w:t>9,16</w:t>
      </w:r>
      <w:r w:rsidRPr="00C63373">
        <w:t xml:space="preserve"> Kč/kg. Další významné </w:t>
      </w:r>
      <w:r>
        <w:t xml:space="preserve">dovozy </w:t>
      </w:r>
      <w:r w:rsidRPr="00C63373">
        <w:t>jablek byly realizovány z</w:t>
      </w:r>
      <w:r>
        <w:t xml:space="preserve"> Itálie </w:t>
      </w:r>
      <w:r w:rsidRPr="00C63373">
        <w:t>(</w:t>
      </w:r>
      <w:r>
        <w:t>16</w:t>
      </w:r>
      <w:r w:rsidRPr="00C63373">
        <w:t>,</w:t>
      </w:r>
      <w:r>
        <w:t>5</w:t>
      </w:r>
      <w:r w:rsidRPr="00C63373">
        <w:t> tis. t za 1</w:t>
      </w:r>
      <w:r>
        <w:t>3</w:t>
      </w:r>
      <w:r w:rsidRPr="00C63373">
        <w:t>,6</w:t>
      </w:r>
      <w:r>
        <w:t>4</w:t>
      </w:r>
      <w:r w:rsidRPr="00C63373">
        <w:t> Kč/kg) a</w:t>
      </w:r>
      <w:r>
        <w:t xml:space="preserve"> ze </w:t>
      </w:r>
      <w:r w:rsidRPr="00C63373">
        <w:t>Slovenska (</w:t>
      </w:r>
      <w:r>
        <w:t>13</w:t>
      </w:r>
      <w:r w:rsidRPr="00C63373">
        <w:t>,</w:t>
      </w:r>
      <w:r>
        <w:t>3</w:t>
      </w:r>
      <w:r w:rsidRPr="00C63373">
        <w:t> tis. t za </w:t>
      </w:r>
      <w:r>
        <w:t>11</w:t>
      </w:r>
      <w:r w:rsidRPr="00C63373">
        <w:t>,</w:t>
      </w:r>
      <w:r>
        <w:t>21</w:t>
      </w:r>
      <w:r w:rsidRPr="00C63373">
        <w:t xml:space="preserve"> Kč/kg). Jižní ovoce tvořilo </w:t>
      </w:r>
      <w:r>
        <w:t xml:space="preserve">60 % celkového </w:t>
      </w:r>
      <w:r w:rsidRPr="00C63373">
        <w:t xml:space="preserve">importu ovoce </w:t>
      </w:r>
      <w:r>
        <w:t>(</w:t>
      </w:r>
      <w:r w:rsidRPr="00C63373">
        <w:t>32</w:t>
      </w:r>
      <w:r>
        <w:t>9</w:t>
      </w:r>
      <w:r w:rsidRPr="00C63373">
        <w:t>,0 tis. t za 6,</w:t>
      </w:r>
      <w:r>
        <w:t>4 </w:t>
      </w:r>
      <w:r w:rsidRPr="00C63373">
        <w:t>mld.</w:t>
      </w:r>
      <w:r>
        <w:t> Kč)</w:t>
      </w:r>
      <w:r w:rsidR="00E26333">
        <w:t>.</w:t>
      </w:r>
      <w:r w:rsidRPr="00C63373">
        <w:t xml:space="preserve"> V roce 201</w:t>
      </w:r>
      <w:r>
        <w:t>4</w:t>
      </w:r>
      <w:r w:rsidRPr="00C63373">
        <w:t xml:space="preserve"> se proti předchozímu roku </w:t>
      </w:r>
      <w:r>
        <w:t xml:space="preserve">téměř </w:t>
      </w:r>
      <w:r w:rsidRPr="00C63373">
        <w:t xml:space="preserve">nezměnil dovoz </w:t>
      </w:r>
      <w:r>
        <w:t>skořápkového ovoce (</w:t>
      </w:r>
      <w:r w:rsidRPr="00C63373">
        <w:t>15,</w:t>
      </w:r>
      <w:r>
        <w:t>2</w:t>
      </w:r>
      <w:r w:rsidRPr="00C63373">
        <w:t> tis. t v celkové hodnotě 1,</w:t>
      </w:r>
      <w:r>
        <w:t>9</w:t>
      </w:r>
      <w:r w:rsidRPr="00C63373">
        <w:t> mld. Kč</w:t>
      </w:r>
      <w:r>
        <w:t>) a</w:t>
      </w:r>
      <w:r w:rsidRPr="00C63373">
        <w:t xml:space="preserve"> sušeného ovoce </w:t>
      </w:r>
      <w:r>
        <w:t>(</w:t>
      </w:r>
      <w:r w:rsidRPr="00C63373">
        <w:t>1</w:t>
      </w:r>
      <w:r>
        <w:t>2</w:t>
      </w:r>
      <w:r w:rsidRPr="00C63373">
        <w:t>,</w:t>
      </w:r>
      <w:r>
        <w:t>3</w:t>
      </w:r>
      <w:r w:rsidRPr="00C63373">
        <w:t> tis. t za 0,</w:t>
      </w:r>
      <w:r>
        <w:t>9</w:t>
      </w:r>
      <w:r w:rsidRPr="00C63373">
        <w:t> mld. Kč</w:t>
      </w:r>
      <w:r>
        <w:t>).</w:t>
      </w:r>
    </w:p>
    <w:p w:rsidR="00567C4A" w:rsidRDefault="00567C4A" w:rsidP="000B7BEE">
      <w:r w:rsidRPr="00047350">
        <w:t xml:space="preserve">Vývoz čerstvého a sušeného ovoce včetně reexportu </w:t>
      </w:r>
      <w:r>
        <w:t xml:space="preserve">byl realizován </w:t>
      </w:r>
      <w:r w:rsidRPr="00047350">
        <w:t>v roce 201</w:t>
      </w:r>
      <w:r>
        <w:t xml:space="preserve">4 téměř ve stejné výši jako v roce předchozím a činil 160,8 tis. t za </w:t>
      </w:r>
      <w:r w:rsidR="00B847FA">
        <w:t>3,6</w:t>
      </w:r>
      <w:r>
        <w:t> ml</w:t>
      </w:r>
      <w:r w:rsidR="00243D27">
        <w:t>d</w:t>
      </w:r>
      <w:r>
        <w:t xml:space="preserve">. Kč. </w:t>
      </w:r>
      <w:r w:rsidRPr="00047350">
        <w:t xml:space="preserve">Export jablek </w:t>
      </w:r>
      <w:r>
        <w:t xml:space="preserve">byl </w:t>
      </w:r>
      <w:r>
        <w:lastRenderedPageBreak/>
        <w:t xml:space="preserve">ve výši 61,1 tis. t, </w:t>
      </w:r>
      <w:r w:rsidRPr="00047350">
        <w:t>z</w:t>
      </w:r>
      <w:r>
        <w:t> toho 68</w:t>
      </w:r>
      <w:r w:rsidRPr="00047350">
        <w:t>%</w:t>
      </w:r>
      <w:r>
        <w:t xml:space="preserve"> podíl tvořila jablka určená </w:t>
      </w:r>
      <w:r w:rsidRPr="00047350">
        <w:t xml:space="preserve">ke zpracování </w:t>
      </w:r>
      <w:r>
        <w:t>(41,7 tis. t z</w:t>
      </w:r>
      <w:r w:rsidRPr="00047350">
        <w:t>a </w:t>
      </w:r>
      <w:r>
        <w:t>2</w:t>
      </w:r>
      <w:r w:rsidRPr="00047350">
        <w:t>,</w:t>
      </w:r>
      <w:r>
        <w:t>74 </w:t>
      </w:r>
      <w:r w:rsidRPr="00047350">
        <w:t>Kč</w:t>
      </w:r>
      <w:r>
        <w:t>/kg)</w:t>
      </w:r>
      <w:r w:rsidRPr="00047350">
        <w:t>.</w:t>
      </w:r>
    </w:p>
    <w:p w:rsidR="00567C4A" w:rsidRPr="00503C11" w:rsidRDefault="00567C4A" w:rsidP="000B7BEE">
      <w:r w:rsidRPr="00503C11">
        <w:t>Výsledná záporná bilance zahraničního obchodu s čerstvým a sušeným ovocem v roce 201</w:t>
      </w:r>
      <w:r>
        <w:t>4</w:t>
      </w:r>
      <w:r w:rsidRPr="00503C11">
        <w:t xml:space="preserve"> </w:t>
      </w:r>
      <w:r>
        <w:t xml:space="preserve">se </w:t>
      </w:r>
      <w:r w:rsidRPr="00503C11">
        <w:t xml:space="preserve">v objemovém vyjádření mírně </w:t>
      </w:r>
      <w:r>
        <w:t xml:space="preserve">zhoršila </w:t>
      </w:r>
      <w:r w:rsidRPr="00503C11">
        <w:t>na 3</w:t>
      </w:r>
      <w:r>
        <w:t>84</w:t>
      </w:r>
      <w:r w:rsidRPr="00503C11">
        <w:t>,</w:t>
      </w:r>
      <w:r>
        <w:t>6</w:t>
      </w:r>
      <w:r w:rsidRPr="00503C11">
        <w:t> tis. t</w:t>
      </w:r>
      <w:r>
        <w:t>, finanční záporná bilance činila</w:t>
      </w:r>
      <w:r w:rsidRPr="00503C11">
        <w:t xml:space="preserve"> </w:t>
      </w:r>
      <w:r w:rsidR="008F55C6">
        <w:t>9,3</w:t>
      </w:r>
      <w:r w:rsidRPr="00503C11">
        <w:t> mld. Kč.</w:t>
      </w:r>
    </w:p>
    <w:p w:rsidR="00567C4A" w:rsidRDefault="00567C4A" w:rsidP="000B7BEE">
      <w:pPr>
        <w:tabs>
          <w:tab w:val="left" w:pos="851"/>
        </w:tabs>
      </w:pPr>
      <w:r>
        <w:t>S</w:t>
      </w:r>
      <w:r w:rsidRPr="00503C11">
        <w:t>potřeba</w:t>
      </w:r>
      <w:r>
        <w:t xml:space="preserve"> </w:t>
      </w:r>
      <w:r w:rsidRPr="00503C11">
        <w:t xml:space="preserve">ovoce v hodnotě čerstvého </w:t>
      </w:r>
      <w:r>
        <w:t>meziročně</w:t>
      </w:r>
      <w:r w:rsidRPr="00503C11">
        <w:t xml:space="preserve"> </w:t>
      </w:r>
      <w:r>
        <w:t>v</w:t>
      </w:r>
      <w:r w:rsidRPr="00503C11">
        <w:t xml:space="preserve"> roce 201</w:t>
      </w:r>
      <w:r>
        <w:t>3</w:t>
      </w:r>
      <w:r w:rsidRPr="00503C11">
        <w:t xml:space="preserve"> </w:t>
      </w:r>
      <w:r>
        <w:t xml:space="preserve">vzrostla o 2,2 kg/obyv./rok na </w:t>
      </w:r>
      <w:r w:rsidRPr="00503C11">
        <w:t>7</w:t>
      </w:r>
      <w:r>
        <w:t>6</w:t>
      </w:r>
      <w:r w:rsidRPr="00503C11">
        <w:t>,</w:t>
      </w:r>
      <w:r>
        <w:t>8</w:t>
      </w:r>
      <w:r w:rsidRPr="00503C11">
        <w:t> kg/obyv./rok</w:t>
      </w:r>
      <w:r>
        <w:t>.</w:t>
      </w:r>
      <w:r w:rsidRPr="00503C11">
        <w:t xml:space="preserve"> </w:t>
      </w:r>
      <w:r>
        <w:t>Na tomto zvýšení se v plné výši podílel nárůst spotřeby ovoce mírného pásma, který činil 45,6 kg/obyv./rok. Nejvíce vzrostla spotřeba jablek (20</w:t>
      </w:r>
      <w:r w:rsidRPr="00503C11">
        <w:t>,</w:t>
      </w:r>
      <w:r>
        <w:t>2</w:t>
      </w:r>
      <w:r w:rsidRPr="00503C11">
        <w:t> kg/obyv./rok</w:t>
      </w:r>
      <w:r>
        <w:t>), švestek (5,2 </w:t>
      </w:r>
      <w:r w:rsidRPr="00503C11">
        <w:t>kg/obyv./rok</w:t>
      </w:r>
      <w:r>
        <w:t>) a meruněk (2,1 </w:t>
      </w:r>
      <w:r w:rsidRPr="00503C11">
        <w:t>kg/obyv./rok</w:t>
      </w:r>
      <w:r>
        <w:t>).</w:t>
      </w:r>
      <w:r w:rsidRPr="00503C11">
        <w:t xml:space="preserve"> </w:t>
      </w:r>
      <w:r>
        <w:t>Spotřeba ovoce jižního, která činila 31,2 </w:t>
      </w:r>
      <w:r w:rsidRPr="00503C11">
        <w:t>kg/obyv./rok</w:t>
      </w:r>
      <w:r>
        <w:t>, zůstala</w:t>
      </w:r>
      <w:r w:rsidRPr="00503C11">
        <w:t xml:space="preserve"> </w:t>
      </w:r>
      <w:r>
        <w:t>na stejné výši jako v roce 2012. Mírně vzrostl zájem obyvatel o pomeranče a mandarinky (11,6 </w:t>
      </w:r>
      <w:r w:rsidRPr="00503C11">
        <w:t>kg/obyv./rok</w:t>
      </w:r>
      <w:r>
        <w:t>) na úkor banánů (</w:t>
      </w:r>
      <w:r>
        <w:rPr>
          <w:sz w:val="26"/>
        </w:rPr>
        <w:t>9,7</w:t>
      </w:r>
      <w:r w:rsidRPr="006C1F8B">
        <w:t xml:space="preserve"> </w:t>
      </w:r>
      <w:r w:rsidRPr="00503C11">
        <w:t>kg/obyv./rok</w:t>
      </w:r>
      <w:r>
        <w:t>).</w:t>
      </w:r>
    </w:p>
    <w:p w:rsidR="00567C4A" w:rsidRPr="00AB3ED6" w:rsidRDefault="00567C4A" w:rsidP="000B7BEE">
      <w:pPr>
        <w:tabs>
          <w:tab w:val="left" w:pos="851"/>
        </w:tabs>
      </w:pPr>
      <w:r w:rsidRPr="00AB3ED6">
        <w:t xml:space="preserve">Na rok 2014 ÚZEI </w:t>
      </w:r>
      <w:r w:rsidR="00E26333">
        <w:t>odhaduje</w:t>
      </w:r>
      <w:r w:rsidRPr="00AB3ED6">
        <w:t xml:space="preserve"> mírné zvýšení spotřeby ovoce, a to na 7</w:t>
      </w:r>
      <w:r w:rsidR="00E26333">
        <w:t>9,5</w:t>
      </w:r>
      <w:r w:rsidRPr="00AB3ED6">
        <w:t> kg/obyv./rok</w:t>
      </w:r>
      <w:r w:rsidR="00E26333">
        <w:t>, z </w:t>
      </w:r>
      <w:r w:rsidRPr="00AB3ED6">
        <w:t>toho u ovoce m. p. na 4</w:t>
      </w:r>
      <w:r w:rsidR="00E26333">
        <w:t>8,5</w:t>
      </w:r>
      <w:r w:rsidRPr="00AB3ED6">
        <w:t> kg/obyv./rok a u ovoce jižního na 3</w:t>
      </w:r>
      <w:r>
        <w:t>1,0</w:t>
      </w:r>
      <w:r w:rsidRPr="00AB3ED6">
        <w:t> kg/obyv./rok. V důsledku meziročně vyšší produkce jablek lze předpokládat i nárůst spotřeby jablek přibližně na 2</w:t>
      </w:r>
      <w:r>
        <w:t>3</w:t>
      </w:r>
      <w:r w:rsidRPr="00AB3ED6">
        <w:t>,0 kg/obyv./rok.</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78CF8D6F" wp14:editId="4D71D0D0">
            <wp:extent cx="5760720" cy="4322032"/>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720" cy="4322032"/>
                    </a:xfrm>
                    <a:prstGeom prst="rect">
                      <a:avLst/>
                    </a:prstGeom>
                    <a:noFill/>
                    <a:ln>
                      <a:noFill/>
                    </a:ln>
                  </pic:spPr>
                </pic:pic>
              </a:graphicData>
            </a:graphic>
          </wp:inline>
        </w:drawing>
      </w:r>
    </w:p>
    <w:p w:rsidR="00567C4A" w:rsidRDefault="00567C4A" w:rsidP="000B7BEE">
      <w:pPr>
        <w:pStyle w:val="mezera"/>
      </w:pPr>
    </w:p>
    <w:p w:rsidR="00567C4A" w:rsidRPr="002E47CA" w:rsidRDefault="00567C4A" w:rsidP="000B7BEE">
      <w:pPr>
        <w:pStyle w:val="mezera"/>
      </w:pPr>
    </w:p>
    <w:p w:rsidR="00567C4A" w:rsidRPr="00AD32E8" w:rsidRDefault="00BC0ECA" w:rsidP="000B7BEE">
      <w:pPr>
        <w:pStyle w:val="mezera"/>
      </w:pPr>
      <w:r w:rsidRPr="00BC0ECA">
        <w:rPr>
          <w:noProof/>
          <w:lang w:eastAsia="cs-CZ"/>
        </w:rPr>
        <w:lastRenderedPageBreak/>
        <w:drawing>
          <wp:inline distT="0" distB="0" distL="0" distR="0" wp14:anchorId="22648E36" wp14:editId="06B06E82">
            <wp:extent cx="5760720" cy="4866259"/>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720" cy="4866259"/>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794DAF">
        <w:t>Ceny zemědělských výrobců ovoce v roce 201</w:t>
      </w:r>
      <w:r>
        <w:t>4 byly v porovnání s předchozím rokem nižší.</w:t>
      </w:r>
      <w:r w:rsidRPr="00794DAF">
        <w:t xml:space="preserve"> Index CZV 201</w:t>
      </w:r>
      <w:r>
        <w:t>4</w:t>
      </w:r>
      <w:r w:rsidRPr="00794DAF">
        <w:t>/201</w:t>
      </w:r>
      <w:r>
        <w:t>3</w:t>
      </w:r>
      <w:r w:rsidRPr="00794DAF">
        <w:t xml:space="preserve"> činil </w:t>
      </w:r>
      <w:r>
        <w:t>87</w:t>
      </w:r>
      <w:r w:rsidRPr="00794DAF">
        <w:t>,</w:t>
      </w:r>
      <w:r>
        <w:t>2</w:t>
      </w:r>
      <w:r w:rsidRPr="00794DAF">
        <w:t xml:space="preserve">. </w:t>
      </w:r>
      <w:r>
        <w:t>S výjimkou broskví, které zůstaly svojí výší na úrovni roku 2013, byla u všech sledovaných druhů ovoce CZV nižší. Největší pokles ceny byl zaznamenán u višní (meziroční pokles o 35 % na 9 908 Kč/t) a jablek určených ke zpracování (o 30 % na 2 405 Kč/t). Dále se snížila průměrná roční CZV u</w:t>
      </w:r>
      <w:r w:rsidRPr="00794DAF">
        <w:t xml:space="preserve"> bílého a červeného rybízu (o</w:t>
      </w:r>
      <w:r>
        <w:t> </w:t>
      </w:r>
      <w:r w:rsidRPr="00794DAF">
        <w:t>1</w:t>
      </w:r>
      <w:r>
        <w:t>4</w:t>
      </w:r>
      <w:r w:rsidRPr="00794DAF">
        <w:t xml:space="preserve"> % na </w:t>
      </w:r>
      <w:r>
        <w:t>7</w:t>
      </w:r>
      <w:r w:rsidRPr="00794DAF">
        <w:t> </w:t>
      </w:r>
      <w:r>
        <w:t>434</w:t>
      </w:r>
      <w:r w:rsidRPr="00794DAF">
        <w:t> Kč/t)</w:t>
      </w:r>
      <w:r>
        <w:t xml:space="preserve"> a třešní (o 13 % na 32 490 Kč/t). Do 10 % byla meziročně nižší cena zbývajících sledovaných druhů ovoce – jablek konzumních (9 498 Kč/t), hrušek (10 200 Kč/kg), meruněk (21 924 Kč/t) a švestek (9 264 Kč/t).</w:t>
      </w:r>
    </w:p>
    <w:p w:rsidR="00567C4A" w:rsidRDefault="00567C4A" w:rsidP="000B7BEE">
      <w:r w:rsidRPr="00574B43">
        <w:t>Spotřebitelské ceny ovoce v roce 201</w:t>
      </w:r>
      <w:r>
        <w:t>4 zůstaly</w:t>
      </w:r>
      <w:r w:rsidRPr="00574B43">
        <w:t xml:space="preserve"> v průměru </w:t>
      </w:r>
      <w:r>
        <w:t>na úrovni předchozího roku</w:t>
      </w:r>
      <w:r w:rsidR="00E26333">
        <w:t xml:space="preserve">, </w:t>
      </w:r>
      <w:r>
        <w:t>index</w:t>
      </w:r>
      <w:r w:rsidR="00E26333">
        <w:t xml:space="preserve"> SC 2014/2013 činil</w:t>
      </w:r>
      <w:r>
        <w:t xml:space="preserve"> 100,5. </w:t>
      </w:r>
      <w:r w:rsidRPr="00574B43">
        <w:t xml:space="preserve">Ze sledovaných druhů ovoce m. p. </w:t>
      </w:r>
      <w:r>
        <w:t xml:space="preserve">poklesla zejména </w:t>
      </w:r>
      <w:r w:rsidRPr="00574B43">
        <w:t>průměrná roční spotřebitelská cena broskví a nektarinek (o </w:t>
      </w:r>
      <w:r>
        <w:t>2</w:t>
      </w:r>
      <w:r w:rsidRPr="00574B43">
        <w:t xml:space="preserve">2 % na </w:t>
      </w:r>
      <w:r>
        <w:t>68</w:t>
      </w:r>
      <w:r w:rsidRPr="00574B43">
        <w:t>,</w:t>
      </w:r>
      <w:r>
        <w:t>28</w:t>
      </w:r>
      <w:r w:rsidRPr="00574B43">
        <w:t> Kč/kg</w:t>
      </w:r>
      <w:r>
        <w:t xml:space="preserve"> a</w:t>
      </w:r>
      <w:r w:rsidR="00E26333">
        <w:t> </w:t>
      </w:r>
      <w:r w:rsidRPr="00574B43">
        <w:t>konzumních jablek (o 11 % na 3</w:t>
      </w:r>
      <w:r>
        <w:t>0,79</w:t>
      </w:r>
      <w:r w:rsidRPr="00574B43">
        <w:t> Kč/kg)</w:t>
      </w:r>
      <w:r>
        <w:t>.</w:t>
      </w:r>
      <w:r w:rsidRPr="00574B43">
        <w:t xml:space="preserve"> </w:t>
      </w:r>
      <w:r>
        <w:t>Naproti tomu o 7 % meziročně vzrostla spotřebitelská cena</w:t>
      </w:r>
      <w:r w:rsidRPr="00574B43">
        <w:t xml:space="preserve"> stolních hroznů (na </w:t>
      </w:r>
      <w:r>
        <w:t>72</w:t>
      </w:r>
      <w:r w:rsidRPr="00574B43">
        <w:t>,4</w:t>
      </w:r>
      <w:r>
        <w:t xml:space="preserve">1 Kč/kg) a </w:t>
      </w:r>
      <w:r w:rsidRPr="00574B43">
        <w:t xml:space="preserve">zahradních jahod </w:t>
      </w:r>
      <w:r>
        <w:t>(</w:t>
      </w:r>
      <w:r w:rsidRPr="00574B43">
        <w:t>na 1</w:t>
      </w:r>
      <w:r>
        <w:t>27</w:t>
      </w:r>
      <w:r w:rsidRPr="00574B43">
        <w:t>,</w:t>
      </w:r>
      <w:r>
        <w:t>18</w:t>
      </w:r>
      <w:r w:rsidRPr="00574B43">
        <w:t> Kč/kg</w:t>
      </w:r>
      <w:r>
        <w:t>)</w:t>
      </w:r>
      <w:r w:rsidRPr="00574B43">
        <w:t>.</w:t>
      </w:r>
      <w:r>
        <w:t xml:space="preserve"> Z ovoce jižního se v roce 2014 meziročně výrazně zvýšila cena kiwi (o 36 % na 77,83 Kč/kg) a citronů (o 15 % na 46,91 Kč/kg). Téměř beze změny byla v roce 2014 průměrná roční spotřebitelská cena banánů (31,44 Kč/kg) a o 5 % klesla cena pomerančů (na 29,88 Kč/kg).</w:t>
      </w:r>
    </w:p>
    <w:p w:rsidR="00567C4A" w:rsidRPr="0061401C" w:rsidRDefault="00567C4A" w:rsidP="000B7BEE">
      <w:pPr>
        <w:pStyle w:val="mezera"/>
      </w:pPr>
    </w:p>
    <w:p w:rsidR="00567C4A" w:rsidRDefault="00567C4A" w:rsidP="000B7BEE">
      <w:pPr>
        <w:pStyle w:val="mezera-svzan"/>
      </w:pPr>
      <w:r w:rsidRPr="0048098F">
        <w:rPr>
          <w:noProof/>
          <w:lang w:eastAsia="cs-CZ"/>
        </w:rPr>
        <w:lastRenderedPageBreak/>
        <w:drawing>
          <wp:inline distT="0" distB="0" distL="0" distR="0" wp14:anchorId="398C303E" wp14:editId="52238B25">
            <wp:extent cx="5760720" cy="3713662"/>
            <wp:effectExtent l="0" t="0" r="0" b="127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567C4A" w:rsidRPr="00F51151" w:rsidRDefault="00567C4A" w:rsidP="000B7BEE">
      <w:pPr>
        <w:pStyle w:val="TabPoz"/>
      </w:pPr>
      <w:r>
        <w:t>1)</w:t>
      </w:r>
      <w:r>
        <w:tab/>
      </w:r>
      <w:r w:rsidRPr="00F51151">
        <w:t>Marketingový rok u jablek začíná 1. 7.</w:t>
      </w:r>
      <w:r>
        <w:t xml:space="preserve"> </w:t>
      </w:r>
      <w:r w:rsidRPr="00F51151">
        <w:t>běžného roku a končí 30. 6. následujícího roku</w:t>
      </w:r>
      <w:r>
        <w:t>.</w:t>
      </w:r>
    </w:p>
    <w:p w:rsidR="00567C4A" w:rsidRPr="003F2CF5" w:rsidRDefault="00567C4A" w:rsidP="000B7BEE">
      <w:pPr>
        <w:pStyle w:val="TabPramZprac"/>
      </w:pPr>
      <w:r>
        <w:t>Pramen:</w:t>
      </w:r>
      <w:r>
        <w:tab/>
      </w:r>
      <w:r w:rsidRPr="00487EB5">
        <w:t>ČSÚ</w:t>
      </w:r>
    </w:p>
    <w:p w:rsidR="00567C4A" w:rsidRPr="003F2CF5" w:rsidRDefault="00567C4A" w:rsidP="000B7BEE">
      <w:pPr>
        <w:pStyle w:val="TabPramZprac"/>
      </w:pPr>
      <w:r w:rsidRPr="00487EB5">
        <w:t>Zpracoval</w:t>
      </w:r>
      <w:r>
        <w:t>:</w:t>
      </w:r>
      <w:r>
        <w:tab/>
      </w:r>
      <w:r w:rsidRPr="00487EB5">
        <w:t>I. Součková (ÚZEI)</w:t>
      </w:r>
    </w:p>
    <w:p w:rsidR="00567C4A" w:rsidRDefault="00567C4A" w:rsidP="000B7BEE">
      <w:pPr>
        <w:pStyle w:val="mezera"/>
      </w:pPr>
    </w:p>
    <w:p w:rsidR="00567C4A" w:rsidRDefault="00567C4A" w:rsidP="000B7BEE">
      <w:r>
        <w:t>P</w:t>
      </w:r>
      <w:r w:rsidRPr="0012396C">
        <w:t xml:space="preserve">růměrná roční CZV </w:t>
      </w:r>
      <w:r>
        <w:t xml:space="preserve">konzumních </w:t>
      </w:r>
      <w:r w:rsidRPr="0012396C">
        <w:t>jablek se podílela na průměrné r</w:t>
      </w:r>
      <w:r>
        <w:t>oční spotřebitelské ceně pouze 31</w:t>
      </w:r>
      <w:r w:rsidRPr="0012396C">
        <w:t xml:space="preserve"> %, což bylo </w:t>
      </w:r>
      <w:r>
        <w:t>o 3 p. b. více než v roce 2013.</w:t>
      </w:r>
    </w:p>
    <w:p w:rsidR="00567C4A" w:rsidRDefault="00567C4A" w:rsidP="000B7BEE">
      <w:pPr>
        <w:pStyle w:val="mezera-svzan"/>
      </w:pPr>
    </w:p>
    <w:p w:rsidR="00567C4A" w:rsidRDefault="00567C4A" w:rsidP="000B7BEE">
      <w:pPr>
        <w:pStyle w:val="mezera-svzan"/>
      </w:pPr>
      <w:r w:rsidRPr="0048098F">
        <w:rPr>
          <w:noProof/>
          <w:lang w:eastAsia="cs-CZ"/>
        </w:rPr>
        <w:drawing>
          <wp:inline distT="0" distB="0" distL="0" distR="0" wp14:anchorId="389DF55D" wp14:editId="1EDAD258">
            <wp:extent cx="5760720" cy="3713662"/>
            <wp:effectExtent l="0" t="0" r="0" b="127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567C4A" w:rsidRPr="003F2CF5" w:rsidRDefault="00567C4A" w:rsidP="000B7BEE">
      <w:pPr>
        <w:pStyle w:val="TabPramZprac"/>
      </w:pPr>
      <w:r w:rsidRPr="00C44186">
        <w:t>Pramen</w:t>
      </w:r>
      <w:r>
        <w:t>:</w:t>
      </w:r>
      <w:r>
        <w:tab/>
        <w:t>ČSÚ</w:t>
      </w:r>
    </w:p>
    <w:p w:rsidR="00567C4A" w:rsidRPr="003F2CF5" w:rsidRDefault="00567C4A" w:rsidP="000B7BEE">
      <w:pPr>
        <w:pStyle w:val="TabPramZprac"/>
      </w:pPr>
      <w:r>
        <w:t>Zpracoval:</w:t>
      </w:r>
      <w:r>
        <w:tab/>
        <w:t>I.</w:t>
      </w:r>
      <w:r w:rsidR="00142315">
        <w:t xml:space="preserve"> </w:t>
      </w:r>
      <w:r>
        <w:t>Součková (ÚZEI)</w:t>
      </w:r>
    </w:p>
    <w:p w:rsidR="00567C4A" w:rsidRDefault="00567C4A" w:rsidP="000B7BEE">
      <w:pPr>
        <w:pStyle w:val="mezera"/>
      </w:pPr>
    </w:p>
    <w:p w:rsidR="00567C4A" w:rsidRPr="00544647" w:rsidRDefault="00567C4A" w:rsidP="000B7BEE">
      <w:r w:rsidRPr="00544647">
        <w:t>Průměrná realizační cena jablek v marketingovém roce 2013/14 činila 6,</w:t>
      </w:r>
      <w:r>
        <w:t>60</w:t>
      </w:r>
      <w:r w:rsidRPr="00544647">
        <w:t> Kč/kg, z toho jablek konzumních 10,</w:t>
      </w:r>
      <w:r>
        <w:t>23</w:t>
      </w:r>
      <w:r w:rsidRPr="00544647">
        <w:t xml:space="preserve"> Kč/kg a jablek určených ke zpracování </w:t>
      </w:r>
      <w:r>
        <w:t>3</w:t>
      </w:r>
      <w:r w:rsidRPr="00544647">
        <w:t>,3</w:t>
      </w:r>
      <w:r>
        <w:t>5</w:t>
      </w:r>
      <w:r w:rsidRPr="00544647">
        <w:t> Kč/kg. Průměrná realizační cena jablek z nových výsadeb byla ve výši 8,</w:t>
      </w:r>
      <w:r>
        <w:t>8</w:t>
      </w:r>
      <w:r w:rsidRPr="00544647">
        <w:t>5 Kč/kg, ze starých výsadeb 6,79 Kč/kg.</w:t>
      </w:r>
    </w:p>
    <w:p w:rsidR="00567C4A" w:rsidRPr="00E5156A" w:rsidRDefault="00567C4A" w:rsidP="000B7BEE">
      <w:r w:rsidRPr="00E5156A">
        <w:t>Ke konci roku 201</w:t>
      </w:r>
      <w:r>
        <w:t>4</w:t>
      </w:r>
      <w:r w:rsidRPr="00E5156A">
        <w:t xml:space="preserve"> bylo v ČR registrováno 1</w:t>
      </w:r>
      <w:r>
        <w:t>8</w:t>
      </w:r>
      <w:r w:rsidRPr="00E5156A">
        <w:t> </w:t>
      </w:r>
      <w:r>
        <w:t xml:space="preserve">funkčních </w:t>
      </w:r>
      <w:r w:rsidRPr="00E5156A">
        <w:t>organizací producentů ovoce a zeleniny</w:t>
      </w:r>
      <w:r>
        <w:t xml:space="preserve"> a jedna nadnárodní organizace producentů. </w:t>
      </w:r>
      <w:r w:rsidRPr="00E5156A">
        <w:t>SZIF přijal v</w:t>
      </w:r>
      <w:r>
        <w:t> roce 2014</w:t>
      </w:r>
      <w:r w:rsidRPr="00E5156A">
        <w:t xml:space="preserve"> celkem </w:t>
      </w:r>
      <w:r>
        <w:t>40</w:t>
      </w:r>
      <w:r w:rsidRPr="00E5156A">
        <w:t xml:space="preserve"> žádostí o dotace, </w:t>
      </w:r>
      <w:r>
        <w:t>8</w:t>
      </w:r>
      <w:r w:rsidRPr="00E5156A">
        <w:t> žádostí o změn</w:t>
      </w:r>
      <w:r>
        <w:t>u</w:t>
      </w:r>
      <w:r w:rsidRPr="00E5156A">
        <w:t xml:space="preserve"> operačního programu</w:t>
      </w:r>
      <w:r w:rsidRPr="00487EB5">
        <w:rPr>
          <w:i/>
        </w:rPr>
        <w:t xml:space="preserve"> </w:t>
      </w:r>
      <w:r w:rsidRPr="00E5156A">
        <w:t>a</w:t>
      </w:r>
      <w:r>
        <w:t> 3</w:t>
      </w:r>
      <w:r w:rsidRPr="00E5156A">
        <w:t> žádost</w:t>
      </w:r>
      <w:r>
        <w:t>i</w:t>
      </w:r>
      <w:r w:rsidRPr="00E5156A">
        <w:t xml:space="preserve"> o</w:t>
      </w:r>
      <w:r>
        <w:t> </w:t>
      </w:r>
      <w:r w:rsidRPr="00E5156A">
        <w:t>schválení nového operačního programu.</w:t>
      </w:r>
      <w:r w:rsidRPr="00487EB5">
        <w:rPr>
          <w:i/>
        </w:rPr>
        <w:t xml:space="preserve"> </w:t>
      </w:r>
      <w:r w:rsidRPr="00E5156A">
        <w:t>V rámci Společné organizace trhu (SOT) obdržely organizace producentů ovoce a zeleniny v roce 201</w:t>
      </w:r>
      <w:r>
        <w:t>4</w:t>
      </w:r>
      <w:r w:rsidRPr="00E5156A">
        <w:t xml:space="preserve"> dotaci v částce </w:t>
      </w:r>
      <w:r>
        <w:t>48</w:t>
      </w:r>
      <w:r w:rsidRPr="00E5156A">
        <w:t>,5 mil. Kč, která byla vyplacena v</w:t>
      </w:r>
      <w:r>
        <w:t> </w:t>
      </w:r>
      <w:r w:rsidRPr="00E5156A">
        <w:t>plné výši z rozpočtu EU.</w:t>
      </w:r>
      <w:r w:rsidRPr="00487EB5">
        <w:rPr>
          <w:i/>
        </w:rPr>
        <w:t xml:space="preserve"> </w:t>
      </w:r>
      <w:r w:rsidRPr="00E5156A">
        <w:t>Dále byl</w:t>
      </w:r>
      <w:r>
        <w:t>y</w:t>
      </w:r>
      <w:r w:rsidRPr="00E5156A">
        <w:t xml:space="preserve"> ke konci roku 201</w:t>
      </w:r>
      <w:r>
        <w:t>4</w:t>
      </w:r>
      <w:r w:rsidRPr="00E5156A">
        <w:t xml:space="preserve"> </w:t>
      </w:r>
      <w:r>
        <w:t>registrovány</w:t>
      </w:r>
      <w:r w:rsidRPr="00E5156A">
        <w:t xml:space="preserve"> </w:t>
      </w:r>
      <w:r>
        <w:t>2</w:t>
      </w:r>
      <w:r w:rsidRPr="00E5156A">
        <w:t xml:space="preserve"> seskupení producentů ovoce a zeleniny a SZIF přijal od těchto seskupení celkem </w:t>
      </w:r>
      <w:r>
        <w:t>6</w:t>
      </w:r>
      <w:r w:rsidRPr="00E5156A">
        <w:t xml:space="preserve"> žádostí na dotace. Předběžně uznaná seskupení producentů ovoce a zeleniny obdržela celkem </w:t>
      </w:r>
      <w:r>
        <w:t>8,2</w:t>
      </w:r>
      <w:r w:rsidRPr="00E5156A">
        <w:t xml:space="preserve"> mil. Kč, z toho </w:t>
      </w:r>
      <w:r>
        <w:t>6</w:t>
      </w:r>
      <w:r w:rsidRPr="00E5156A">
        <w:t xml:space="preserve">,1 mil. Kč z EU (75 %) a </w:t>
      </w:r>
      <w:r>
        <w:t>2</w:t>
      </w:r>
      <w:r w:rsidRPr="00E5156A">
        <w:t>,</w:t>
      </w:r>
      <w:r>
        <w:t>1</w:t>
      </w:r>
      <w:r w:rsidRPr="00E5156A">
        <w:t> mil. Kč (25 %) bylo vyplaceno ze státního rozpočtu ČR.</w:t>
      </w:r>
    </w:p>
    <w:p w:rsidR="00567C4A" w:rsidRPr="00597A8D" w:rsidRDefault="00567C4A" w:rsidP="000B7BEE">
      <w:r w:rsidRPr="00CE7E18">
        <w:t xml:space="preserve">Projektu </w:t>
      </w:r>
      <w:r w:rsidR="008969A9" w:rsidRPr="00CE7E18">
        <w:t>„</w:t>
      </w:r>
      <w:r w:rsidRPr="00CE7E18">
        <w:t>Ovoce a zelenina do škol</w:t>
      </w:r>
      <w:r w:rsidR="008969A9" w:rsidRPr="00CE7E18">
        <w:t>“</w:t>
      </w:r>
      <w:r w:rsidRPr="00CE7E18">
        <w:t xml:space="preserve">, jehož záměrem je trvale zvýšit spotřebu ovoce a zeleniny u dětí na prvním stupni základních škol, se ve školním roce 2013/14 účastnilo 3 530 škol s počtem </w:t>
      </w:r>
      <w:r w:rsidR="00CE7E18" w:rsidRPr="00CE7E18">
        <w:t xml:space="preserve">přes </w:t>
      </w:r>
      <w:r w:rsidRPr="00CE7E18">
        <w:t>456 tis. žáků, tj. meziroční zvýšení o téměř 5 %, resp. o</w:t>
      </w:r>
      <w:r w:rsidR="00CE7E18">
        <w:t xml:space="preserve"> více než </w:t>
      </w:r>
      <w:r w:rsidRPr="00CE7E18">
        <w:t xml:space="preserve">9 %. Roční limit na jednoho žáka v tomto školním roce činil </w:t>
      </w:r>
      <w:r w:rsidR="009861D4">
        <w:t>315</w:t>
      </w:r>
      <w:r w:rsidRPr="00CE7E18">
        <w:t xml:space="preserve"> Kč. Vyplacená podpora dosáhla 143,6 mil. Kč. Ve školním roce 2014/15 je do projektu zapojeno 3 741 škol s počtem žáků 509 tis. Roční limit </w:t>
      </w:r>
      <w:r w:rsidR="00CE7E18" w:rsidRPr="00CE7E18">
        <w:t xml:space="preserve">na produkty </w:t>
      </w:r>
      <w:r w:rsidRPr="00CE7E18">
        <w:t>pro jednoho žáka je stanoven na 333 Kč</w:t>
      </w:r>
      <w:r w:rsidR="00CE7E18" w:rsidRPr="00CE7E18">
        <w:t xml:space="preserve"> a roční limit na </w:t>
      </w:r>
      <w:r w:rsidR="00CE7E18" w:rsidRPr="00CE7E18">
        <w:lastRenderedPageBreak/>
        <w:t>doprovodná opatření pro jednoho žáka je stanoven na 40 Kč. Celková podpora ze zdrojů EU a ČR pro školní rok 2014/15 činí 150,5 mil. Kč ze zdrojů EU a 40,0 mil. Kč ze zdrojů ČR, celkem tedy 190,5 mil. Kč. Maximální výše spolufinancování projektu „Ovoce a zelenina do škol“ ze zdrojů EU je</w:t>
      </w:r>
      <w:r w:rsidR="005D490A">
        <w:t xml:space="preserve"> podle </w:t>
      </w:r>
      <w:r w:rsidR="00CE7E18" w:rsidRPr="00CE7E18">
        <w:t>NK (ES) č. 288/2009 stanovena pro ČR ve výši 88 %.</w:t>
      </w:r>
    </w:p>
    <w:p w:rsidR="00567C4A" w:rsidRDefault="00567C4A" w:rsidP="000B7BEE">
      <w:r w:rsidRPr="00342430">
        <w:t xml:space="preserve">V roce 2014 mohli ovocnáři, stejně jako ostatní zemědělci, čerpat jednotnou platbu na plochu (SAPS), jejíž sazba činila </w:t>
      </w:r>
      <w:r>
        <w:t>5</w:t>
      </w:r>
      <w:r w:rsidRPr="00342430">
        <w:t> </w:t>
      </w:r>
      <w:r>
        <w:t>997</w:t>
      </w:r>
      <w:r w:rsidRPr="00342430">
        <w:t>,</w:t>
      </w:r>
      <w:r>
        <w:t>23</w:t>
      </w:r>
      <w:r w:rsidRPr="00342430">
        <w:t> Kč/ha.</w:t>
      </w:r>
    </w:p>
    <w:p w:rsidR="00567C4A" w:rsidRDefault="00567C4A" w:rsidP="000B7BEE">
      <w:r w:rsidRPr="00557E52">
        <w:t>V rámci EAFRD byl</w:t>
      </w:r>
      <w:r>
        <w:t>o</w:t>
      </w:r>
      <w:r w:rsidRPr="00557E52">
        <w:t xml:space="preserve"> v roce 201</w:t>
      </w:r>
      <w:r>
        <w:t>4 v rámci osy I. opatření 1.1.1 Modernizace zemědělských podniků</w:t>
      </w:r>
      <w:r w:rsidRPr="00557E52">
        <w:t xml:space="preserve"> </w:t>
      </w:r>
      <w:r>
        <w:t xml:space="preserve">schváleno pro ovocnářské a zelinářské podniky celkem 126 žádostí v částce 169,0 mil. Kč, z toho na sklady ovocnářů a zelinářů 93 žádostí na 152,0 mil. Kč a 33 žádostí na 17,0 mil. Kč na nové konstrukce v sadech. </w:t>
      </w:r>
      <w:r w:rsidRPr="00557E52">
        <w:t xml:space="preserve">Pro osu II. </w:t>
      </w:r>
      <w:r>
        <w:t>o</w:t>
      </w:r>
      <w:r w:rsidRPr="00557E52">
        <w:t>patření II.1.3</w:t>
      </w:r>
      <w:r w:rsidR="00142315">
        <w:t xml:space="preserve"> </w:t>
      </w:r>
      <w:proofErr w:type="spellStart"/>
      <w:r>
        <w:t>A</w:t>
      </w:r>
      <w:r w:rsidRPr="00557E52">
        <w:t>groenvironmentální</w:t>
      </w:r>
      <w:proofErr w:type="spellEnd"/>
      <w:r w:rsidRPr="00557E52">
        <w:t xml:space="preserve"> opatření byla pro integrovanou produkci ovoce </w:t>
      </w:r>
      <w:r w:rsidRPr="00C207D0">
        <w:t>pro rok 2014</w:t>
      </w:r>
      <w:r>
        <w:t xml:space="preserve"> </w:t>
      </w:r>
      <w:r w:rsidRPr="00C207D0">
        <w:t xml:space="preserve">stanovena </w:t>
      </w:r>
      <w:r w:rsidRPr="00557E52">
        <w:t xml:space="preserve">sazba 435 €/ha, tj. </w:t>
      </w:r>
      <w:r w:rsidRPr="00C207D0">
        <w:t>11 954 Kč/ha</w:t>
      </w:r>
      <w:r>
        <w:t xml:space="preserve"> (kurz 27,481 Kč/</w:t>
      </w:r>
      <w:r w:rsidRPr="00557E52">
        <w:t>€</w:t>
      </w:r>
      <w:r>
        <w:t>)</w:t>
      </w:r>
      <w:r w:rsidRPr="00C207D0">
        <w:t xml:space="preserve">. </w:t>
      </w:r>
      <w:r w:rsidRPr="00557E52">
        <w:t xml:space="preserve">Na integrovanou produkci ovoce bylo </w:t>
      </w:r>
      <w:r>
        <w:t>v roce 2014 podáno 292</w:t>
      </w:r>
      <w:r w:rsidRPr="00557E52">
        <w:t> žádostí na výměru 10 </w:t>
      </w:r>
      <w:r>
        <w:t>462</w:t>
      </w:r>
      <w:r w:rsidRPr="00557E52">
        <w:t> ha sadů v částce 12</w:t>
      </w:r>
      <w:r>
        <w:t>5</w:t>
      </w:r>
      <w:r w:rsidRPr="00557E52">
        <w:t xml:space="preserve">,1 mil. Kč. </w:t>
      </w:r>
      <w:r>
        <w:t>Proplaceno bylo v tomto roce 292 žádostí v částce 120,6 mil. Kč.</w:t>
      </w:r>
    </w:p>
    <w:p w:rsidR="00567C4A" w:rsidRPr="00557E52" w:rsidRDefault="00567C4A" w:rsidP="000B7BEE">
      <w:r w:rsidRPr="005947FC">
        <w:t xml:space="preserve">Na </w:t>
      </w:r>
      <w:r w:rsidR="005D490A">
        <w:t>podporu</w:t>
      </w:r>
      <w:r w:rsidRPr="005947FC">
        <w:t xml:space="preserve"> pro pěstování ovoce v rámci ekologického zemědělství, u kterého byla pro</w:t>
      </w:r>
      <w:r>
        <w:t> </w:t>
      </w:r>
      <w:r w:rsidRPr="005947FC">
        <w:t>rok 2014 sazba 849 €/ha, tj. 23</w:t>
      </w:r>
      <w:r>
        <w:t> </w:t>
      </w:r>
      <w:r w:rsidRPr="005947FC">
        <w:t>3</w:t>
      </w:r>
      <w:r>
        <w:t xml:space="preserve">31 </w:t>
      </w:r>
      <w:r w:rsidRPr="005947FC">
        <w:t>Kč/ha</w:t>
      </w:r>
      <w:r>
        <w:t>,</w:t>
      </w:r>
      <w:r w:rsidRPr="005947FC">
        <w:t xml:space="preserve"> </w:t>
      </w:r>
      <w:r>
        <w:t xml:space="preserve">bylo </w:t>
      </w:r>
      <w:r w:rsidRPr="005947FC">
        <w:t>ovocná</w:t>
      </w:r>
      <w:r>
        <w:t>řům</w:t>
      </w:r>
      <w:r w:rsidRPr="005947FC">
        <w:t xml:space="preserve"> v roce 2014 </w:t>
      </w:r>
      <w:r>
        <w:t xml:space="preserve">vyplaceno </w:t>
      </w:r>
      <w:r w:rsidRPr="005947FC">
        <w:t>290</w:t>
      </w:r>
      <w:r>
        <w:t> žádostí</w:t>
      </w:r>
      <w:r w:rsidRPr="005947FC">
        <w:t xml:space="preserve"> </w:t>
      </w:r>
      <w:r>
        <w:t>pro</w:t>
      </w:r>
      <w:r w:rsidRPr="005947FC">
        <w:t> 3 </w:t>
      </w:r>
      <w:r w:rsidR="005D490A">
        <w:t>649</w:t>
      </w:r>
      <w:r w:rsidRPr="005947FC">
        <w:t xml:space="preserve"> ha </w:t>
      </w:r>
      <w:r>
        <w:t xml:space="preserve">v částce </w:t>
      </w:r>
      <w:r w:rsidRPr="005947FC">
        <w:t>74,7 mil. Kč. Na extenzivní sady, při sazbě 510 €/ha, tj. 14 0</w:t>
      </w:r>
      <w:r>
        <w:t>1</w:t>
      </w:r>
      <w:r w:rsidRPr="005947FC">
        <w:t xml:space="preserve">5 Kč/ha, získali pěstitelé na základě 435 žádostí pro 2 738 ha sadů 35,1 mil. Kč. Celkem tak byla </w:t>
      </w:r>
      <w:r>
        <w:t xml:space="preserve">v roce 2014 </w:t>
      </w:r>
      <w:r w:rsidRPr="005947FC">
        <w:t xml:space="preserve">vyplacena na ekologické zemědělství na základě 725 žádostí ovocnářů pro 6 387 ha ovocných sadů částka 109,9 mil. Kč. V roce 2014 </w:t>
      </w:r>
      <w:r>
        <w:t xml:space="preserve">ovocnáři </w:t>
      </w:r>
      <w:r w:rsidRPr="005947FC">
        <w:t>pod</w:t>
      </w:r>
      <w:r>
        <w:t>ali</w:t>
      </w:r>
      <w:r w:rsidRPr="005947FC">
        <w:t xml:space="preserve"> celkem 738 žádostí na ekologickou produkci v 6 327 ha ovocných sadů ve výši 120,8 mil. Kč</w:t>
      </w:r>
      <w:r>
        <w:t xml:space="preserve"> (kurz 27,481 Kč/</w:t>
      </w:r>
      <w:r w:rsidRPr="00557E52">
        <w:t>€</w:t>
      </w:r>
      <w:r>
        <w:t>)</w:t>
      </w:r>
      <w:r w:rsidRPr="005947FC">
        <w:t>, z toho bylo 295 žádostí v částce 80,5 mil. Kč pro 3 452 ha intenzivních sadů a 443 žádostí ve výši 40,3 mil. Kč pro 2 738 ha sadů ostatních.</w:t>
      </w:r>
    </w:p>
    <w:p w:rsidR="00567C4A" w:rsidRPr="00BA240B" w:rsidRDefault="00567C4A" w:rsidP="000B7BEE">
      <w:r w:rsidRPr="00BA240B">
        <w:t>Z národních dotací bylo v roce 201</w:t>
      </w:r>
      <w:r>
        <w:t>4</w:t>
      </w:r>
      <w:r w:rsidRPr="00BA240B">
        <w:t xml:space="preserve"> na podporu restrukturalizace ovocných sadů v systému integrované produkce vyplaceno </w:t>
      </w:r>
      <w:r>
        <w:t>6</w:t>
      </w:r>
      <w:r w:rsidR="005D490A">
        <w:t>7</w:t>
      </w:r>
      <w:r w:rsidRPr="00BA240B">
        <w:t xml:space="preserve"> žádostí na 3</w:t>
      </w:r>
      <w:r>
        <w:t>34</w:t>
      </w:r>
      <w:r w:rsidRPr="00BA240B">
        <w:t> ha celkem 5</w:t>
      </w:r>
      <w:r>
        <w:t>8</w:t>
      </w:r>
      <w:r w:rsidRPr="00BA240B">
        <w:t>,</w:t>
      </w:r>
      <w:r>
        <w:t>7</w:t>
      </w:r>
      <w:r w:rsidRPr="00BA240B">
        <w:t> mil. Kč, z toho na základě 4</w:t>
      </w:r>
      <w:r w:rsidR="005D490A">
        <w:t>4</w:t>
      </w:r>
      <w:r w:rsidRPr="00BA240B">
        <w:t> schválených žádostí pro 2</w:t>
      </w:r>
      <w:r>
        <w:t>54</w:t>
      </w:r>
      <w:r w:rsidRPr="00BA240B">
        <w:t xml:space="preserve"> ha ovocných sadů </w:t>
      </w:r>
      <w:r>
        <w:t>50</w:t>
      </w:r>
      <w:r w:rsidRPr="00BA240B">
        <w:t>,</w:t>
      </w:r>
      <w:r>
        <w:t>9</w:t>
      </w:r>
      <w:r w:rsidRPr="00BA240B">
        <w:t xml:space="preserve"> mil. Kč (sazba </w:t>
      </w:r>
      <w:r>
        <w:t>200 tis. </w:t>
      </w:r>
      <w:r w:rsidRPr="00BA240B">
        <w:t>Kč/ha)</w:t>
      </w:r>
      <w:r>
        <w:t>, 21</w:t>
      </w:r>
      <w:r w:rsidRPr="00BA240B">
        <w:t xml:space="preserve"> žádostí pro </w:t>
      </w:r>
      <w:r>
        <w:t>74</w:t>
      </w:r>
      <w:r w:rsidRPr="00BA240B">
        <w:t xml:space="preserve"> ha </w:t>
      </w:r>
      <w:r>
        <w:t>7</w:t>
      </w:r>
      <w:r w:rsidRPr="00BA240B">
        <w:t>,</w:t>
      </w:r>
      <w:r>
        <w:t>5</w:t>
      </w:r>
      <w:r w:rsidRPr="00BA240B">
        <w:t xml:space="preserve"> mil. Kč (sazba </w:t>
      </w:r>
      <w:r>
        <w:t>100 tis. </w:t>
      </w:r>
      <w:r w:rsidRPr="00BA240B">
        <w:t>Kč/ha) a 2 žádost</w:t>
      </w:r>
      <w:r w:rsidR="005D490A">
        <w:t>i</w:t>
      </w:r>
      <w:r w:rsidRPr="00BA240B">
        <w:t xml:space="preserve"> pro </w:t>
      </w:r>
      <w:r w:rsidR="005D490A">
        <w:t>6</w:t>
      </w:r>
      <w:r w:rsidRPr="00BA240B">
        <w:t> ha 0,</w:t>
      </w:r>
      <w:r>
        <w:t>3</w:t>
      </w:r>
      <w:r w:rsidRPr="00BA240B">
        <w:t xml:space="preserve"> mil. Kč (sazba </w:t>
      </w:r>
      <w:r>
        <w:t>50 tis.</w:t>
      </w:r>
      <w:r w:rsidRPr="00BA240B">
        <w:t xml:space="preserve"> Kč/ha). Na vybudování kapkové závlahy ve </w:t>
      </w:r>
      <w:r>
        <w:t>250</w:t>
      </w:r>
      <w:r w:rsidRPr="00BA240B">
        <w:t> ha ovocných sadů (sazba 60 </w:t>
      </w:r>
      <w:r>
        <w:t>tis. </w:t>
      </w:r>
      <w:r w:rsidRPr="00BA240B">
        <w:t>Kč/ha) získalo 2</w:t>
      </w:r>
      <w:r>
        <w:t>7</w:t>
      </w:r>
      <w:r w:rsidRPr="00BA240B">
        <w:t xml:space="preserve"> pěstitelů </w:t>
      </w:r>
      <w:r>
        <w:t>14</w:t>
      </w:r>
      <w:r w:rsidRPr="00BA240B">
        <w:t xml:space="preserve">,1 mil. Kč, na </w:t>
      </w:r>
      <w:r>
        <w:t xml:space="preserve">podporu </w:t>
      </w:r>
      <w:r w:rsidRPr="00BA240B">
        <w:t>prostorov</w:t>
      </w:r>
      <w:r>
        <w:t>ých</w:t>
      </w:r>
      <w:r w:rsidRPr="00BA240B">
        <w:t xml:space="preserve"> a technick</w:t>
      </w:r>
      <w:r>
        <w:t>ých</w:t>
      </w:r>
      <w:r w:rsidRPr="00BA240B">
        <w:t xml:space="preserve"> izolát</w:t>
      </w:r>
      <w:r>
        <w:t>ů</w:t>
      </w:r>
      <w:r w:rsidRPr="00BA240B">
        <w:t xml:space="preserve"> množitelského materiálu 1,</w:t>
      </w:r>
      <w:r>
        <w:t>2</w:t>
      </w:r>
      <w:r w:rsidRPr="00BA240B">
        <w:t xml:space="preserve"> mil. Kč, na </w:t>
      </w:r>
      <w:r>
        <w:t xml:space="preserve">podporu </w:t>
      </w:r>
      <w:r w:rsidRPr="00BA240B">
        <w:t>testování množitelského materiálu 0,</w:t>
      </w:r>
      <w:r>
        <w:t>7</w:t>
      </w:r>
      <w:r w:rsidRPr="00BA240B">
        <w:t> mil. Kč a na </w:t>
      </w:r>
      <w:r>
        <w:t xml:space="preserve">podporu </w:t>
      </w:r>
      <w:r w:rsidRPr="00BA240B">
        <w:t>tvorb</w:t>
      </w:r>
      <w:r>
        <w:t>y</w:t>
      </w:r>
      <w:r w:rsidRPr="00BA240B">
        <w:t xml:space="preserve"> rostlinných genotypů 0,</w:t>
      </w:r>
      <w:r>
        <w:t>9</w:t>
      </w:r>
      <w:r w:rsidRPr="00BA240B">
        <w:t xml:space="preserve"> mil. Kč. Dotace byly dále ovocnářům poskytnuty na pořádání seminářů, školení, výstav a vydávání publikací v částce </w:t>
      </w:r>
      <w:r>
        <w:t>1,</w:t>
      </w:r>
      <w:r w:rsidRPr="00BA240B">
        <w:t>0 mil. Kč. Celkem ovocnáři v roce 201</w:t>
      </w:r>
      <w:r>
        <w:t>4</w:t>
      </w:r>
      <w:r w:rsidRPr="00BA240B">
        <w:t xml:space="preserve"> získali národní dotace ve výši </w:t>
      </w:r>
      <w:r>
        <w:t>75</w:t>
      </w:r>
      <w:r w:rsidRPr="00BA240B">
        <w:t>,</w:t>
      </w:r>
      <w:r>
        <w:t>4</w:t>
      </w:r>
      <w:r w:rsidRPr="00BA240B">
        <w:t> mil. Kč.</w:t>
      </w:r>
    </w:p>
    <w:p w:rsidR="00567C4A" w:rsidRPr="00074C0F" w:rsidRDefault="00567C4A" w:rsidP="000B7BEE">
      <w:pPr>
        <w:pStyle w:val="Nadpis3"/>
      </w:pPr>
      <w:bookmarkStart w:id="213" w:name="_Toc424307074"/>
      <w:r w:rsidRPr="00074C0F">
        <w:t>8.1.7</w:t>
      </w:r>
      <w:r w:rsidRPr="00074C0F">
        <w:tab/>
        <w:t>Zelenina</w:t>
      </w:r>
      <w:bookmarkEnd w:id="213"/>
    </w:p>
    <w:p w:rsidR="00567C4A" w:rsidRDefault="00567C4A" w:rsidP="000B7BEE">
      <w:r w:rsidRPr="00074C0F">
        <w:t xml:space="preserve">V roce 2014 sklizeň zeleniny v EU dosáhla 62,3 mil. t, tj. o 2,5 % více než v předchozím roce. Ke zvýšení produkce došlo v hlavních pěstitelských zemích (Německo, </w:t>
      </w:r>
      <w:r w:rsidRPr="00074C0F">
        <w:lastRenderedPageBreak/>
        <w:t xml:space="preserve">Španělsko, Polsko a Francie) vzhledem k příznivým klimatickým podmínkám a </w:t>
      </w:r>
      <w:r w:rsidR="00CB40B6">
        <w:t>nárůstu</w:t>
      </w:r>
      <w:r w:rsidRPr="00074C0F">
        <w:t xml:space="preserve"> ploch zejména rajčat a cibule.</w:t>
      </w:r>
    </w:p>
    <w:p w:rsidR="00567C4A" w:rsidRDefault="00567C4A" w:rsidP="000B7BEE">
      <w:r w:rsidRPr="00074C0F">
        <w:t>V Polsku byl zaznamenán meziročně 15,2% nárůst produkce veškeré venkovní zeleniny (sklidilo se 4,6 mil. t). Meziroční nárůst byl evidován u zelí (o 17,9 % na 1,1 mil. t), mrkve (o 10,6 % na 822 tis. t) a cibule (o 15,4 % na 636 tis. t).</w:t>
      </w:r>
    </w:p>
    <w:p w:rsidR="00567C4A" w:rsidRPr="00074C0F" w:rsidRDefault="00567C4A" w:rsidP="000B7BEE">
      <w:r w:rsidRPr="00074C0F">
        <w:t>V Německu vzrostla produkce proti roku 2013 o 10 % na 3,5 mil. t, jednalo se tak o druhou největší sklizeň od roku 2012. K výraznějšímu nárůstu produkce došlo u zelí (+12 %, tj. 479 tis. t) a chřestu (+11 %, tj. 114 tis. t); k mírnějšímu nárůstu pak u mrkve (+4 %, tj. 609 tis. t) a cibule (+2 %, tj. 500 tis. t). Pokles produkce pokračoval také u květáku (-2 %, tj. 121 tis. t).</w:t>
      </w:r>
    </w:p>
    <w:p w:rsidR="00567C4A" w:rsidRPr="00074C0F" w:rsidRDefault="00567C4A" w:rsidP="000B7BEE">
      <w:r w:rsidRPr="00074C0F">
        <w:t>Ve Španělsku vzrostla produkce rajčat o 29 % na 4,9 mil. t, papriky o 8 % na 1,1 mil. t a cibule o 5 % na 1,3 mil. t. Naopak produkce česneku proti roku 2013 poklesla o 3 % na 168 tis. t a mrkve o 11 % na 332 tis. t.</w:t>
      </w:r>
    </w:p>
    <w:p w:rsidR="00567C4A" w:rsidRDefault="00567C4A" w:rsidP="000B7BEE">
      <w:r w:rsidRPr="00074C0F">
        <w:t>Přestože byl rok 2014 vývojem počasí opět netypický, došlo také v ČR ke zvýšení produkce zeleniny. Zima byla mírná a bez sněhových a dešťových srážek. Jaro začalo velmi brzy. V některých zelinářských oblastech (jižní Morava, Nymbursko, Litoměřicko) byla zahájena přípravy půdy a následné zakládání porostů již koncem února. Většina zelinářů v obavách před mrazy chránila porosty netkanou textilií. Jarní mrazíky, které se objevily v dubnu, proto poškodily zeleninu jen místy. Během roku byl vývoj srážek v ČR velmi rozdílný. V průběhu května a léta se hojně vyskytovaly lokální přívalové deště a kroupy. Byly oblasti, kde nepršelo vůbec</w:t>
      </w:r>
      <w:r w:rsidR="00CB40B6">
        <w:t xml:space="preserve"> a p</w:t>
      </w:r>
      <w:r w:rsidRPr="00074C0F">
        <w:t xml:space="preserve">ěstitelé proto </w:t>
      </w:r>
      <w:r w:rsidR="00CB40B6">
        <w:t xml:space="preserve">museli </w:t>
      </w:r>
      <w:r w:rsidRPr="00074C0F">
        <w:t>intenzivně zavlažova</w:t>
      </w:r>
      <w:r w:rsidR="00CB40B6">
        <w:t>t</w:t>
      </w:r>
      <w:r w:rsidRPr="00074C0F">
        <w:t>. Sklizeň pokračovala díky příznivému počasí až do poloviny prosince. I v roce 2014 zelináři bojovali s vysokým výskytem škůdců (mšice, molice, třásněnky) a chorob (zejména plíseň cibulová).</w:t>
      </w:r>
    </w:p>
    <w:p w:rsidR="00567C4A" w:rsidRDefault="00567C4A" w:rsidP="000B7BEE">
      <w:r w:rsidRPr="00074C0F">
        <w:t>V roce 2014 se zelináři potýkali zejména s odbytovými problémy. Na jaře producenti zaznamenali zvýšený zájem spotřebitelů o ranou zeleninu, které však měli spíše nedostatek. Začátkem srpna 2014 vyhlášení zákazu dovozu některých produktů do Ruska (zahrnující i zákaz dovozu ovoce a zeleniny) ze zemí EU, USA, Austrálie, Kanady a Norska spolu s dobrou sklizní způsobilo pokles cen zeleniny.</w:t>
      </w:r>
    </w:p>
    <w:p w:rsidR="00567C4A" w:rsidRPr="00074C0F" w:rsidRDefault="00567C4A" w:rsidP="000B7BEE">
      <w:r w:rsidRPr="00074C0F">
        <w:t>V ČR výměra pěstební plochy zeleniny (včetně dopočtu domácností) v roce 2014 meziročně vzrostla o 6,3 % na 13,4 tis. ha</w:t>
      </w:r>
      <w:r w:rsidR="00CB40B6">
        <w:t>, n</w:t>
      </w:r>
      <w:r w:rsidRPr="00074C0F">
        <w:t xml:space="preserve">ejvětší podíl zaujímala opět cibule (16 %), hrách (10 %), zelí (10 %) a mrkev (8 %). K výraznějšímu </w:t>
      </w:r>
      <w:r w:rsidR="00CB40B6">
        <w:t>nárůstu</w:t>
      </w:r>
      <w:r w:rsidRPr="00074C0F">
        <w:t xml:space="preserve"> ploch došlo u ředkviček o 55 % na 273 ha, petržele o 26 % na 452 ha, česneku o 16 % na 425 ha a kapusty o 14 % na 155 ha. Zvýšení ploch bylo evidováno také u cibule o 11 % na 2 205 ha, mrkve o 11 % na 1 053 </w:t>
      </w:r>
      <w:r w:rsidR="00CB40B6">
        <w:t>ha a </w:t>
      </w:r>
      <w:r w:rsidRPr="00074C0F">
        <w:t>okurek nakládaček o 11 % na 1 048 ha. Snížení ploch bylo zaznamenáno u </w:t>
      </w:r>
      <w:r w:rsidR="00210546">
        <w:t>kedluben</w:t>
      </w:r>
      <w:r w:rsidRPr="00074C0F">
        <w:t xml:space="preserve"> o 5 % na 381 ha, hrachu o 5 % na 1 313 ha, salátových okurek o 1 % na 297 ha.</w:t>
      </w:r>
    </w:p>
    <w:p w:rsidR="00567C4A" w:rsidRPr="00074C0F" w:rsidRDefault="00567C4A" w:rsidP="000B7BEE">
      <w:r w:rsidRPr="00074C0F">
        <w:t xml:space="preserve">Celková produkce zeleniny (včetně dopočtu domácností) v roce 2014 byla 294,2 tis. t, tj. meziroční zvýšení o 23 %. Vyšší sklizeň byla dosažena u ředkviček (+272 % na 2 252 t), </w:t>
      </w:r>
      <w:r w:rsidRPr="00074C0F">
        <w:lastRenderedPageBreak/>
        <w:t xml:space="preserve">hrachu (+45 % na 6 319 t), kapusty (+43 % na 3 018 t), petržele (+36 % na 6 383 t), salátových okurek (+33 % na 9 977 t) a okurek nakládaček (+32 % na 23 287 t). Méně výraznější nárůst byl zaznamenán u póru (+28 % na 433 t), rajčat (+21 % na 24 003 t), salátu (+18 % na 2 711 t), mrkve (+15 % na 35 831 t) a cibule (+15 % na 46 238 t). Produkce poklesla u </w:t>
      </w:r>
      <w:r w:rsidR="00210546">
        <w:t>kedluben</w:t>
      </w:r>
      <w:r w:rsidRPr="00074C0F">
        <w:t xml:space="preserve"> o 20 % na 5 821 t.</w:t>
      </w:r>
    </w:p>
    <w:p w:rsidR="00567C4A" w:rsidRDefault="00567C4A" w:rsidP="000B7BEE">
      <w:r w:rsidRPr="00074C0F">
        <w:t>Hektarové výnosy (včetně dopočtu domácností) se meziročně výrazně zvýšily u ředkviček (o 140 % na 8,26 t/ha), hrachu (o 52 % na 4,81 t/ha), salátových okurek (o 35 % na 33,54 t/ha), kapusty (o 26 % na 19,48 t/ha) a póru (o 25 % na 17,57 t/ha). Mírnější nárůst hektarového výnosu byl zaznamenán u okurek nakládaček (o 19 % na 22,22 t/ha) a hlávkového salátu (o 15 % na 11,53 t/ha). Největší snížení výnosu bylo evidováno u </w:t>
      </w:r>
      <w:r w:rsidR="00210546">
        <w:t>kedluben</w:t>
      </w:r>
      <w:r w:rsidR="00210546" w:rsidRPr="00074C0F">
        <w:t xml:space="preserve"> </w:t>
      </w:r>
      <w:r w:rsidRPr="00074C0F">
        <w:t>(o 15 % na 15,26 t/ha) a česneku (o 10 % na 4,37 t/ha).</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4BC4407A" wp14:editId="42EA5F3D">
            <wp:extent cx="5760720" cy="3145008"/>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60720" cy="3145008"/>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074C0F">
        <w:t>V rámci systému IPZ (pěstitelé integrované produkce zeleniny evidovaní na SZIF) došlo v roce 2014 k opětovnému snížení ploch (pokles o 4,1 % na 5 707 ha). Počet pěstitelů klesl na 75. Držiteli ochranné známky IPZ se stalo 58 zelinářů s výměrou 5 010 ha a 6 pěstitelů (čekatelů) s plochou 387 ha bylo v přechodném období. Nejrozšířenějšími oblastmi pěstování zeleniny v IPZ zůstávají Nymbursko, jižní Morava, Litoměřicko, Královéhradecko a Opavsko.</w:t>
      </w:r>
    </w:p>
    <w:p w:rsidR="00567C4A" w:rsidRPr="00074C0F" w:rsidRDefault="00567C4A" w:rsidP="000B7BEE">
      <w:r w:rsidRPr="00074C0F">
        <w:t>Import zeleniny do ČR v roce 2014</w:t>
      </w:r>
      <w:r w:rsidR="006E6529">
        <w:t>, podle předběžných údajů,</w:t>
      </w:r>
      <w:r w:rsidRPr="00074C0F">
        <w:t xml:space="preserve"> byl meziročně objemově o 1,9 % nižší a i jeho finanční hodnota klesla. Dovezeno bylo 57</w:t>
      </w:r>
      <w:r w:rsidR="006E6529">
        <w:t>0,2 tis. t zeleniny za 9,3 mld. </w:t>
      </w:r>
      <w:r w:rsidRPr="00074C0F">
        <w:t xml:space="preserve">Kč. V meziročním porovnání byly dovozní ceny nižší. Největší pokles ceny byl zaznamenán u póru (o 43 % na 11,11 Kč/kg), mrkve (o 22 % na 6,85 Kč/kg), česneku (o 13 % na 41,12 Kč/kg) a salátových okurek (o 6 % na 16,09 Kč/kg). Výraznější zvýšení průměrné dovozní ceny nastalo u okurek nakládaček (o 21 % na 11,46 Kč/kg), hlávkového zelí (o 19 % </w:t>
      </w:r>
      <w:r w:rsidRPr="00074C0F">
        <w:lastRenderedPageBreak/>
        <w:t>na 5,43 Kč/kg), celeru bulvového (o 16 % na 9,82 Kč/kg), rajčat (o 12 % na 27,53 Kč/kg) a melounů (o 5 % na 7,13 Kč/kg).</w:t>
      </w:r>
    </w:p>
    <w:p w:rsidR="00567C4A" w:rsidRPr="00074C0F" w:rsidRDefault="00567C4A" w:rsidP="000B7BEE">
      <w:r w:rsidRPr="00074C0F">
        <w:t>Největší dodavatelskou zemí zůstalo, stejně jako v letech předchozích, Nizozemsko, které se podílelo na celkovém importu zeleniny do ČR téměř 19 %. V roce 2014 se snížil</w:t>
      </w:r>
      <w:r w:rsidR="006E6529">
        <w:t>y</w:t>
      </w:r>
      <w:r w:rsidRPr="00074C0F">
        <w:t xml:space="preserve"> dodávk</w:t>
      </w:r>
      <w:r w:rsidR="006E6529">
        <w:t>y</w:t>
      </w:r>
      <w:r w:rsidRPr="00074C0F">
        <w:t xml:space="preserve"> zeleniny z této destinace proti předchozímu roku o 1,2 %. V nizozemském dovozu převažovala rajčata (29 %, tj. 31,4 tis. t), mrkev (16 %, tj. 17,6 tis. </w:t>
      </w:r>
      <w:r w:rsidR="006E6529">
        <w:t>t), cibule (15 %, tj. 16,6 tis. </w:t>
      </w:r>
      <w:r w:rsidRPr="00074C0F">
        <w:t>t) a paprika (10 %, tj. 11,1 tis. t). Mezi další významné dodavatele zeleniny do ČR patřilo Španělsko (18 %), ze kterého se dovážely zejména okurky salátové (24 %, tj. 23,6 tis. t), rajčata (23 %, tj. 23,3 tis. t), paprika (15 %, tj. 15,8 tis. t) a melouny (10 %, tj. 10,4 tis. t), Polsko (13 %) s dodávkami hlávkového zelí (19 %, tj. 14,3 tis. t), cibule (14 %, tj. 10,7 tis. t), květáku (14 %, tj. 10,1 tis. t) a mrkve (13 %, tj. 9,5 tis. t), Německo (12 %) s převahou importu cibule (32 %, tj. 22,0 tis. t), salátových okurek (8 %, tj. 5,</w:t>
      </w:r>
      <w:r w:rsidR="006E6529">
        <w:t>5 tis. t), rajčat (8 %, tj. 5,4 </w:t>
      </w:r>
      <w:r w:rsidRPr="00074C0F">
        <w:t>tis. t) a okurek nakládaček (8 %, tj. 5,3 tis. t) a Itálie (8 %) s výrazným dovozem melounů (43 %, tj. 20,4 tis. t) a kedlubnů (11 %, tj. 5,2 tis. t).</w:t>
      </w:r>
    </w:p>
    <w:p w:rsidR="00567C4A" w:rsidRPr="00074C0F" w:rsidRDefault="00567C4A" w:rsidP="000B7BEE">
      <w:r w:rsidRPr="00074C0F">
        <w:t>Hlavní objem importované zeleniny tvořila již tradičně zelenina plodová. Dovoz rajčat činil 16 % celkového importu zeleniny (meziroční pokles o 6 %, tj. 90,6 tis. t), melounů 14 % (-6 %, tj. 81,4 tis. t) a papriky 9 % (+6 %, tj. 49,6 tis. t). Dovoz salátových okurek se meziročně zvýšil o 4 % na 60,9 tis. t, kdy jejich podíl na celkovém dovozu činil 11 %. V roce 2014 se z tradičních druhů zeleniny výrazně snížily dodávky hlávkového zelí (o 17 % na 25,1 tis. t), méně výrazně pak u cibule (o 7 % na 70,5 tis. t), celeru (o 2 % na 8,9 tis. t) a mrkve (o 1 % na 43,2 tis. t). Došlo také k dalšímu snížení do</w:t>
      </w:r>
      <w:r w:rsidR="006E6529">
        <w:t>vozů česneku o 18 % na 5,3 tis. </w:t>
      </w:r>
      <w:r w:rsidRPr="00074C0F">
        <w:t>t, poklesl i dovoz hlávkového salátu o 12 % na 7,6 tis. t. Významnější nárůst byl zaznamenán u dovozu okurek nakládaček o 29 % na 10,6 tis. t a ostatních salátů o 17 % na 6,3 tis. t.</w:t>
      </w:r>
    </w:p>
    <w:p w:rsidR="00567C4A" w:rsidRPr="00074C0F" w:rsidRDefault="00567C4A" w:rsidP="000B7BEE">
      <w:r w:rsidRPr="00074C0F">
        <w:t>Vývoz</w:t>
      </w:r>
      <w:r w:rsidR="006E6529">
        <w:t xml:space="preserve"> čerstvé zeleniny včetně</w:t>
      </w:r>
      <w:r w:rsidRPr="00074C0F">
        <w:t xml:space="preserve"> reexport</w:t>
      </w:r>
      <w:r w:rsidR="006E6529">
        <w:t>u</w:t>
      </w:r>
      <w:r w:rsidRPr="00074C0F">
        <w:t xml:space="preserve"> z ČR v roce 2014 klesl o 7 %, exportováno bylo 87,6 tis. t zeleniny v celkové hodnotě 1,7 mld. Kč. Z jednotlivých druhů zeleniny se nejvíce vyváželo hlávkové zelí (10 % celkového exportu a reexportu zeleniny, tj. 9,0 tis. t), mrkev (10 %, tj. 8,8 tis. t), okurky nakládačky (10 %, tj. 8,5 tis. t) a cibule (10 %, tj. 8,5 tis. t).</w:t>
      </w:r>
      <w:r w:rsidRPr="00074C0F">
        <w:rPr>
          <w:i/>
        </w:rPr>
        <w:t xml:space="preserve"> </w:t>
      </w:r>
      <w:r w:rsidRPr="00074C0F">
        <w:t>Na Slovensko směřovalo 77 % celkového vývozu v hodnotě 1,4 mld. Kč s převahou dodávek hlávkového zelí, cibule, mrkve a rajčat.</w:t>
      </w:r>
    </w:p>
    <w:p w:rsidR="00567C4A" w:rsidRPr="00074C0F" w:rsidRDefault="00567C4A" w:rsidP="000B7BEE">
      <w:r w:rsidRPr="00074C0F">
        <w:t>Celková množstevní záporná obchodní bilance s čerstvou zeleninou ve výši 482,6 tis. t se v roce 2014 meziročně zlepšila o 0,8 %, ve finančním vyjádření se naopak zhoršila o 0,3 % na 7,6 mld. Kč.</w:t>
      </w:r>
    </w:p>
    <w:p w:rsidR="00567C4A" w:rsidRPr="00074C0F" w:rsidRDefault="00567C4A" w:rsidP="000B7BEE">
      <w:r w:rsidRPr="00074C0F">
        <w:t>Spotřeba zeleniny vyjádřená v hodnotě zeleniny čerstvé, tj. včetně výrobků ze zeleniny, se v roce 2013 zvýšila proti předchozímu roku o </w:t>
      </w:r>
      <w:r w:rsidR="00F47583">
        <w:t>5,1 kg/obyv./rok a dosáhla 82,9 </w:t>
      </w:r>
      <w:r w:rsidRPr="00074C0F">
        <w:t>kg/obyv./rok.</w:t>
      </w:r>
      <w:r w:rsidRPr="00074C0F">
        <w:rPr>
          <w:i/>
        </w:rPr>
        <w:t xml:space="preserve"> </w:t>
      </w:r>
      <w:r w:rsidRPr="00074C0F">
        <w:t xml:space="preserve">Spotřeba vzrostla téměř u všech sledovaných druhů zeleniny </w:t>
      </w:r>
      <w:r w:rsidR="00BC2DA2">
        <w:t>–</w:t>
      </w:r>
      <w:r w:rsidRPr="00074C0F">
        <w:t xml:space="preserve"> cibule (+1,7 kg na 11 kg/obyv./rok), mrkve (+0,9 kg na 7 kg/obyv./rok), celeru (+0,7 kg na 2 kg/obyv./rok), rajčat (+0,7 kg na 11,4 kg/obyv./rok), h</w:t>
      </w:r>
      <w:r w:rsidR="00F47583">
        <w:t xml:space="preserve">rachových lusků (+0,3 kg na </w:t>
      </w:r>
      <w:r w:rsidR="00F47583">
        <w:lastRenderedPageBreak/>
        <w:t>0,8 </w:t>
      </w:r>
      <w:r w:rsidRPr="00074C0F">
        <w:t xml:space="preserve">kg/obyv./rok) a hlávkového salátu (+0,2 kg na 1,6 kg/obyv./rok). K poklesu spotřeby došlo u salátových </w:t>
      </w:r>
      <w:r w:rsidR="00CB7713">
        <w:t>okurek (-</w:t>
      </w:r>
      <w:r w:rsidRPr="00074C0F">
        <w:t>0,8 kg na 5,9 kg/obyv./rok), papriky (-0,2 kg na 5 kg/obyv./rok), kapusty (-0,1 kg na 0,2 kg/obyv./rok) a zelí (-0,1 kg na 8 kg/</w:t>
      </w:r>
      <w:r w:rsidR="00F47583">
        <w:t xml:space="preserve">obyv./rok). Podle odhadu ÚZEI </w:t>
      </w:r>
      <w:r w:rsidRPr="00074C0F">
        <w:t>se očekává zvýšení spotřeby v roce 2014 na 8</w:t>
      </w:r>
      <w:r w:rsidR="00ED0349">
        <w:t>8</w:t>
      </w:r>
      <w:r w:rsidRPr="00074C0F">
        <w:t>,5 kg/obyv./rok.</w:t>
      </w:r>
    </w:p>
    <w:p w:rsidR="00567C4A" w:rsidRPr="00074C0F" w:rsidRDefault="00567C4A" w:rsidP="000B7BEE">
      <w:r w:rsidRPr="00074C0F">
        <w:t>Soběstačnost tuzemské produkce zeleniny se v roce 2014 zvýšila na 42,3 % vzhledem k vyšší domácí produkci.</w:t>
      </w:r>
    </w:p>
    <w:p w:rsidR="00567C4A" w:rsidRPr="00074C0F" w:rsidRDefault="00567C4A" w:rsidP="000B7BEE">
      <w:r w:rsidRPr="00074C0F">
        <w:t>Průměrné roční CZV zeleniny se v roce 2014 v porovnání s rokem 2013 snížily</w:t>
      </w:r>
      <w:r w:rsidR="00A05D75">
        <w:t>, index CZV 2014/2013 činil 89</w:t>
      </w:r>
      <w:r w:rsidRPr="00074C0F">
        <w:t>.</w:t>
      </w:r>
      <w:r w:rsidR="00A05D75">
        <w:t xml:space="preserve"> </w:t>
      </w:r>
      <w:r w:rsidRPr="00074C0F">
        <w:t>Největší pokles ceny nastal u kapusty (o 31 % na 7 969 Kč/t), hlávkového zelí červeného (o 28 % na 5 538 Kč/t), hlávkového zelí bílého (o 27 % na 4 033 Kč/t), hlávkového salátu (o 16 % na 25 948 Kč/t)</w:t>
      </w:r>
      <w:r w:rsidRPr="00074C0F">
        <w:rPr>
          <w:i/>
        </w:rPr>
        <w:t xml:space="preserve">. </w:t>
      </w:r>
      <w:r w:rsidRPr="00074C0F">
        <w:t xml:space="preserve">Méně výrazně se snížila cena </w:t>
      </w:r>
      <w:r w:rsidR="00210546">
        <w:t>kedluben</w:t>
      </w:r>
      <w:r w:rsidR="00210546" w:rsidRPr="00074C0F">
        <w:t xml:space="preserve"> </w:t>
      </w:r>
      <w:r w:rsidRPr="00074C0F">
        <w:t>(o 10 % na 19 821 Kč/t), květáku (o 9 % na 13 174 Kč/t), salátových okurek (o 9 % na 15 820 Kč/t), cibule suché (o 9 % na 5 894 Kč/t) a česneku (o 9 % na 100 188 Kč/t). Meziročně se významně zvýšila CZV pouze u rajčat (o 12 % na 20 299 Kč/t).</w:t>
      </w:r>
    </w:p>
    <w:p w:rsidR="00567C4A" w:rsidRDefault="00567C4A" w:rsidP="000B7BEE">
      <w:r w:rsidRPr="00074C0F">
        <w:t>Následující grafy znázorňují snížení měsíčních CZV u zelí hlávkového bílého a cibule suché v roce 2014.</w:t>
      </w:r>
    </w:p>
    <w:p w:rsidR="00567C4A" w:rsidRDefault="00567C4A" w:rsidP="000B7BEE">
      <w:pPr>
        <w:pStyle w:val="mezera"/>
      </w:pPr>
    </w:p>
    <w:p w:rsidR="00567C4A" w:rsidRDefault="00567C4A" w:rsidP="000B7BEE">
      <w:pPr>
        <w:pStyle w:val="mezera-svzan"/>
        <w:rPr>
          <w:noProof/>
        </w:rPr>
      </w:pPr>
      <w:r w:rsidRPr="00053DD4">
        <w:rPr>
          <w:noProof/>
          <w:lang w:eastAsia="cs-CZ"/>
        </w:rPr>
        <w:drawing>
          <wp:inline distT="0" distB="0" distL="0" distR="0" wp14:anchorId="3454759C" wp14:editId="2730C255">
            <wp:extent cx="5760720" cy="3712123"/>
            <wp:effectExtent l="0" t="0" r="0" b="3175"/>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60720" cy="3712123"/>
                    </a:xfrm>
                    <a:prstGeom prst="rect">
                      <a:avLst/>
                    </a:prstGeom>
                    <a:noFill/>
                    <a:ln>
                      <a:noFill/>
                    </a:ln>
                  </pic:spPr>
                </pic:pic>
              </a:graphicData>
            </a:graphic>
          </wp:inline>
        </w:drawing>
      </w:r>
    </w:p>
    <w:p w:rsidR="00567C4A" w:rsidRPr="00053DD4" w:rsidRDefault="00567C4A" w:rsidP="000B7BEE">
      <w:pPr>
        <w:pStyle w:val="TabPoz"/>
      </w:pPr>
      <w:r w:rsidRPr="00053DD4">
        <w:t>1)</w:t>
      </w:r>
      <w:r w:rsidRPr="00053DD4">
        <w:tab/>
        <w:t>Údaje za duben až červenec 2013, březen a duben 2014 nejsou k dispozici.</w:t>
      </w:r>
    </w:p>
    <w:p w:rsidR="00567C4A" w:rsidRPr="00074C0F" w:rsidRDefault="00567C4A" w:rsidP="000B7BEE">
      <w:pPr>
        <w:pStyle w:val="TabPramZprac"/>
      </w:pPr>
      <w:r w:rsidRPr="00074C0F">
        <w:t>Pramen:</w:t>
      </w:r>
      <w:r w:rsidRPr="00074C0F">
        <w:tab/>
        <w:t>ČSÚ</w:t>
      </w:r>
    </w:p>
    <w:p w:rsidR="00567C4A" w:rsidRPr="00074C0F" w:rsidRDefault="00567C4A" w:rsidP="000B7BEE">
      <w:pPr>
        <w:pStyle w:val="TabPramZprac"/>
      </w:pPr>
      <w:r w:rsidRPr="00074C0F">
        <w:t>Zpracoval:</w:t>
      </w:r>
      <w:r w:rsidRPr="00074C0F">
        <w:tab/>
        <w:t>J. Menzlová (ÚZEI)</w:t>
      </w:r>
    </w:p>
    <w:p w:rsidR="00567C4A" w:rsidRDefault="00567C4A" w:rsidP="000B7BEE">
      <w:pPr>
        <w:pStyle w:val="mezera"/>
      </w:pPr>
    </w:p>
    <w:p w:rsidR="00567C4A" w:rsidRPr="00053DD4" w:rsidRDefault="00567C4A" w:rsidP="000B7BEE">
      <w:pPr>
        <w:pStyle w:val="mezera"/>
      </w:pPr>
    </w:p>
    <w:p w:rsidR="00567C4A" w:rsidRDefault="00567C4A" w:rsidP="000B7BEE">
      <w:pPr>
        <w:pStyle w:val="mezera-svzan"/>
      </w:pPr>
      <w:r w:rsidRPr="00053DD4">
        <w:rPr>
          <w:noProof/>
          <w:lang w:eastAsia="cs-CZ"/>
        </w:rPr>
        <w:lastRenderedPageBreak/>
        <w:drawing>
          <wp:inline distT="0" distB="0" distL="0" distR="0" wp14:anchorId="149BF67F" wp14:editId="3E4C21C8">
            <wp:extent cx="5760720" cy="3712123"/>
            <wp:effectExtent l="0" t="0" r="0" b="317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60720" cy="3712123"/>
                    </a:xfrm>
                    <a:prstGeom prst="rect">
                      <a:avLst/>
                    </a:prstGeom>
                    <a:noFill/>
                    <a:ln>
                      <a:noFill/>
                    </a:ln>
                  </pic:spPr>
                </pic:pic>
              </a:graphicData>
            </a:graphic>
          </wp:inline>
        </w:drawing>
      </w:r>
    </w:p>
    <w:p w:rsidR="00567C4A" w:rsidRPr="00F51151" w:rsidRDefault="00567C4A" w:rsidP="000B7BEE">
      <w:pPr>
        <w:pStyle w:val="TabPoz"/>
      </w:pPr>
      <w:r>
        <w:t>1)</w:t>
      </w:r>
      <w:r>
        <w:tab/>
      </w:r>
      <w:r w:rsidRPr="00F51151">
        <w:t>Údaje za leden, květen, srpen 2013 nejsou k dispozici.</w:t>
      </w:r>
    </w:p>
    <w:p w:rsidR="00567C4A" w:rsidRPr="00074C0F" w:rsidRDefault="00567C4A" w:rsidP="000B7BEE">
      <w:pPr>
        <w:pStyle w:val="TabPramZprac"/>
      </w:pPr>
      <w:r w:rsidRPr="00074C0F">
        <w:t>Pramen:</w:t>
      </w:r>
      <w:r w:rsidRPr="00074C0F">
        <w:tab/>
        <w:t>ČSÚ</w:t>
      </w:r>
    </w:p>
    <w:p w:rsidR="00567C4A" w:rsidRDefault="00567C4A" w:rsidP="000B7BEE">
      <w:pPr>
        <w:pStyle w:val="TabPramZprac"/>
      </w:pPr>
      <w:r w:rsidRPr="00074C0F">
        <w:t>Zpracoval:</w:t>
      </w:r>
      <w:r w:rsidRPr="00074C0F">
        <w:tab/>
        <w:t>J. Menzlová (ÚZEI)</w:t>
      </w:r>
    </w:p>
    <w:p w:rsidR="00567C4A" w:rsidRPr="00053DD4" w:rsidRDefault="00567C4A" w:rsidP="000B7BEE">
      <w:pPr>
        <w:pStyle w:val="mezera"/>
      </w:pPr>
    </w:p>
    <w:p w:rsidR="00567C4A" w:rsidRPr="00074C0F" w:rsidRDefault="00567C4A" w:rsidP="000B7BEE">
      <w:r w:rsidRPr="00074C0F">
        <w:t xml:space="preserve">Spotřebitelské ceny sledovaných druhů zeleniny v roce 2014 klesly, </w:t>
      </w:r>
      <w:r w:rsidR="00A05D75">
        <w:t>index SC 2014/2013 byl 96</w:t>
      </w:r>
      <w:r w:rsidRPr="00074C0F">
        <w:t>. Snížení cen nastalo u mrkve (o 13 % na 16,36 Kč/kg), česneku (o 7 % na 96,54 Kč/kg), hlávkového zelí bílého (o 6 % na 11,19 Kč/kg), salátových okurek (o 5 % na 36,41 Kč/kg), květáku (o 4 % na 33,55 Kč/kg) a brokolice (o 3 % na 23,93 Kč/kg). Zvýšení průměrné roční spotřebitelské ceny bylo vykázáno u melounu (o 32 % na 32,43 Kč/kg), celeru (o 14 % na 23,62 Kč/kg), rajčat (o 11 % na 41,16 Kč/kg) a cibule (o 6 % na 15,49 Kč/kg).</w:t>
      </w:r>
    </w:p>
    <w:p w:rsidR="00567C4A" w:rsidRPr="00074C0F" w:rsidRDefault="00567C4A" w:rsidP="000B7BEE">
      <w:r w:rsidRPr="00074C0F">
        <w:t>V roce 2014 čerpali zelináři podpory z národních prostředků i ze zdrojů EU. Jako ostatní zemědělci mohli čerpat jednotnou přímou platbu poskytovanou na hektar užívané zemědělské plochy (SAPS), která byla pro rok 2014 stanovena ve výši 5 997,23 Kč/ha zemědělské půdy. V rámci přechodné vnitrostátní podpory 2014 mohli zelináři požádat o platbu na zemědělskou půdu ve výši 185,06 Kč/ha.</w:t>
      </w:r>
      <w:r w:rsidRPr="00074C0F">
        <w:rPr>
          <w:i/>
        </w:rPr>
        <w:t xml:space="preserve"> </w:t>
      </w:r>
      <w:r w:rsidRPr="00074C0F">
        <w:t xml:space="preserve">Z národních dotací bylo zelinářům v roce 2014 vyplaceno na biologickou a fyzikální ochranu jako náhradu chemické ochrany rostlin 0,4 mil. Kč, na podporu tvorby rostlinných genotypů 11,0 mil. Kč a na podporu na testování množitelského materiálu 0,05 mil. Kč. Dotace ve </w:t>
      </w:r>
      <w:r w:rsidRPr="00210546">
        <w:t>výši 0,</w:t>
      </w:r>
      <w:r w:rsidR="00210546" w:rsidRPr="00210546">
        <w:t>9</w:t>
      </w:r>
      <w:r w:rsidRPr="00210546">
        <w:t xml:space="preserve"> mil. Kč byly</w:t>
      </w:r>
      <w:r w:rsidRPr="00074C0F">
        <w:t xml:space="preserve"> dále poskytnuty na pořádání seminářů, školení a výstav. Celková částka, kterou zelináři v roce 2014 v rámci národních dotací obdrželi, tak činila 12,4 mil. Kč.</w:t>
      </w:r>
    </w:p>
    <w:p w:rsidR="00567C4A" w:rsidRPr="00074C0F" w:rsidRDefault="00567C4A" w:rsidP="000B7BEE">
      <w:r w:rsidRPr="00074C0F">
        <w:t xml:space="preserve">V rámci Osy II – </w:t>
      </w:r>
      <w:proofErr w:type="spellStart"/>
      <w:r w:rsidRPr="00074C0F">
        <w:t>Agroenvironmentální</w:t>
      </w:r>
      <w:proofErr w:type="spellEnd"/>
      <w:r w:rsidRPr="00074C0F">
        <w:t xml:space="preserve"> opatření bylo v roce 2014 na integrovanou produkci zeleniny, jejíž sazba činí 440 €/ha</w:t>
      </w:r>
      <w:r w:rsidRPr="00074C0F">
        <w:rPr>
          <w:i/>
        </w:rPr>
        <w:t xml:space="preserve"> </w:t>
      </w:r>
      <w:r w:rsidRPr="00074C0F">
        <w:t xml:space="preserve">(tj. 12 092 Kč/ha pro rok 2014), podáno </w:t>
      </w:r>
      <w:r w:rsidRPr="00074C0F">
        <w:lastRenderedPageBreak/>
        <w:t>75 žádostí v celkové výši 69,0 mil. Kč na výměru 5 707,8 ha.</w:t>
      </w:r>
      <w:r w:rsidRPr="00074C0F">
        <w:rPr>
          <w:i/>
        </w:rPr>
        <w:t xml:space="preserve"> </w:t>
      </w:r>
      <w:r w:rsidRPr="00074C0F">
        <w:t>Celkově bylo v roce 2014 vyplaceno 78 žádostí pro 5 894,1 ha zelinářské plochy v částce 65,4 mil. Kč, z toho 80 % z prostředků EU a 20 % z prostředků ČR.</w:t>
      </w:r>
    </w:p>
    <w:p w:rsidR="00567C4A" w:rsidRPr="00074C0F" w:rsidRDefault="00567C4A" w:rsidP="000B7BEE">
      <w:r w:rsidRPr="00074C0F">
        <w:t>V rámci ekologického zemědělství požádalo v roce 2</w:t>
      </w:r>
      <w:r w:rsidR="00F47583">
        <w:t>014 o podporu v celkové výši 21 </w:t>
      </w:r>
      <w:r w:rsidRPr="00074C0F">
        <w:t>mil. Kč celkem 100 pěstitelů zeleniny na výměru 1 355 ha. V roce 2014 pak bylo proplaceno 97 žádostí na 1 815,6 ha ve výši 25,8 mil. Kč při sazbě 564 €/ha (15 499 Kč/ha na rok 2014).</w:t>
      </w:r>
    </w:p>
    <w:p w:rsidR="00567C4A" w:rsidRPr="00074C0F" w:rsidRDefault="00567C4A" w:rsidP="000B7BEE">
      <w:r w:rsidRPr="00074C0F">
        <w:t>U oddělené platby na rajčata určená na zpracování bylo v marketingovém roce 2013/14 předloženo 14 žádostí o vyplacení podpory na sjednané množství 11 930 t rajčat ve výši 10,1 mil. Kč z prostředků EU při sazbě 34,70 €/t (954,25 tis. Kč/t pro rok 2014).</w:t>
      </w:r>
    </w:p>
    <w:p w:rsidR="00567C4A" w:rsidRDefault="00567C4A" w:rsidP="000B7BEE">
      <w:r w:rsidRPr="00074C0F">
        <w:t>Zelináři rovněž čerpali finanční podpory v rámci SOT na organizace producentů ovoce a zeleniny a na předběžně uznaná seskupení producentů ovoce a zeleniny, které jsou uvedeny v kapitole 8.1.6.</w:t>
      </w:r>
    </w:p>
    <w:p w:rsidR="00567C4A" w:rsidRPr="009D1093" w:rsidRDefault="00567C4A" w:rsidP="000B7BEE">
      <w:pPr>
        <w:pStyle w:val="Nadpis3"/>
      </w:pPr>
      <w:bookmarkStart w:id="214" w:name="_Toc296443150"/>
      <w:bookmarkStart w:id="215" w:name="_Toc356811490"/>
      <w:bookmarkStart w:id="216" w:name="_Toc385946949"/>
      <w:bookmarkStart w:id="217" w:name="_Toc424307075"/>
      <w:r w:rsidRPr="009D1093">
        <w:t>8.1.8</w:t>
      </w:r>
      <w:r w:rsidRPr="009D1093">
        <w:tab/>
        <w:t>Réva vinná – víno</w:t>
      </w:r>
      <w:bookmarkEnd w:id="214"/>
      <w:bookmarkEnd w:id="215"/>
      <w:bookmarkEnd w:id="216"/>
      <w:bookmarkEnd w:id="217"/>
    </w:p>
    <w:p w:rsidR="00567C4A" w:rsidRDefault="00567C4A" w:rsidP="000B7BEE">
      <w:r w:rsidRPr="009D1093">
        <w:t xml:space="preserve">V roce 2014 zůstal podle Registru vinic ÚKZÚZ produkční potenciál vinic v ČR stejný jako v roce předchozím a činil 19 633 ha. </w:t>
      </w:r>
      <w:r>
        <w:t>O</w:t>
      </w:r>
      <w:r w:rsidRPr="009D1093">
        <w:t>sázených vinic bylo 17 611 ha</w:t>
      </w:r>
      <w:r>
        <w:t>,</w:t>
      </w:r>
      <w:r w:rsidRPr="009D1093">
        <w:t xml:space="preserve"> </w:t>
      </w:r>
      <w:r>
        <w:t>z</w:t>
      </w:r>
      <w:r w:rsidRPr="009D1093">
        <w:t>bývající plochu tvořily vinice vyklučené, s právem na opětovnou výsadbu vinic a stávající práva na</w:t>
      </w:r>
      <w:r>
        <w:t xml:space="preserve"> </w:t>
      </w:r>
      <w:r w:rsidR="00F47583">
        <w:t>výsadbu v </w:t>
      </w:r>
      <w:r w:rsidRPr="009D1093">
        <w:t>rezervě.</w:t>
      </w:r>
    </w:p>
    <w:p w:rsidR="00567C4A" w:rsidRPr="0065095B" w:rsidRDefault="00567C4A" w:rsidP="000B7BEE">
      <w:r w:rsidRPr="009D1093">
        <w:t>Zaregistrováno bylo v roce 2014, stejně jako v</w:t>
      </w:r>
      <w:r>
        <w:t> </w:t>
      </w:r>
      <w:r w:rsidRPr="009D1093">
        <w:t>roce</w:t>
      </w:r>
      <w:r>
        <w:t xml:space="preserve"> předchozím</w:t>
      </w:r>
      <w:r w:rsidRPr="009D1093">
        <w:t>, 384 vinařských obcí s 1 278 viničními tratěmi</w:t>
      </w:r>
      <w:r>
        <w:t>, počet pěstitelů činil 18 414.</w:t>
      </w:r>
      <w:r w:rsidRPr="009D1093">
        <w:rPr>
          <w:i/>
        </w:rPr>
        <w:t xml:space="preserve"> </w:t>
      </w:r>
      <w:r w:rsidRPr="0065095B">
        <w:t xml:space="preserve">S narůstající výměrou obhospodařovaných vinic </w:t>
      </w:r>
      <w:r>
        <w:t xml:space="preserve">jednotlivými pěstiteli </w:t>
      </w:r>
      <w:r w:rsidRPr="0065095B">
        <w:t xml:space="preserve">roste výrazně podíl plochy na celkové výměře vinic, ale podíl pěstitelů se prudce snižuje. </w:t>
      </w:r>
      <w:r w:rsidRPr="009D1093">
        <w:t>Výměru vinic do</w:t>
      </w:r>
      <w:r>
        <w:t> </w:t>
      </w:r>
      <w:r w:rsidRPr="009D1093">
        <w:t>0,2 ha mělo 7</w:t>
      </w:r>
      <w:r>
        <w:t>2</w:t>
      </w:r>
      <w:r w:rsidRPr="009D1093">
        <w:t xml:space="preserve"> % vinohradníků, kteří obhospodařovali </w:t>
      </w:r>
      <w:r>
        <w:t>11 </w:t>
      </w:r>
      <w:r w:rsidRPr="009D1093">
        <w:t>% osázené plochy vinic</w:t>
      </w:r>
      <w:r w:rsidRPr="00857590">
        <w:t xml:space="preserve">. </w:t>
      </w:r>
      <w:r>
        <w:t>Na v</w:t>
      </w:r>
      <w:r w:rsidRPr="00857590">
        <w:t>inic</w:t>
      </w:r>
      <w:r>
        <w:t>ích o výměře</w:t>
      </w:r>
      <w:r w:rsidRPr="00857590">
        <w:t xml:space="preserve"> od</w:t>
      </w:r>
      <w:r>
        <w:t> </w:t>
      </w:r>
      <w:r w:rsidRPr="00857590">
        <w:t>0,2 ha do</w:t>
      </w:r>
      <w:r>
        <w:t> </w:t>
      </w:r>
      <w:r w:rsidRPr="00857590">
        <w:t xml:space="preserve">1,0 ha </w:t>
      </w:r>
      <w:r>
        <w:t xml:space="preserve">pěstovalo moštové hrozny </w:t>
      </w:r>
      <w:r w:rsidRPr="00857590">
        <w:t>2</w:t>
      </w:r>
      <w:r>
        <w:t>3</w:t>
      </w:r>
      <w:r w:rsidRPr="00857590">
        <w:t> % pěstitelů s 18% podílem na celkové rozloze vinic.</w:t>
      </w:r>
      <w:r w:rsidRPr="009D1093">
        <w:rPr>
          <w:i/>
        </w:rPr>
        <w:t xml:space="preserve"> </w:t>
      </w:r>
      <w:r w:rsidRPr="0065095B">
        <w:t>Vinice s</w:t>
      </w:r>
      <w:r>
        <w:t> </w:t>
      </w:r>
      <w:r w:rsidRPr="0065095B">
        <w:t>rozlohou od</w:t>
      </w:r>
      <w:r>
        <w:t> </w:t>
      </w:r>
      <w:r w:rsidRPr="0065095B">
        <w:t>1 ha do 5 ha byly pouze u 4 % vinohradníků a jejich rozloha vinic činila 29 %</w:t>
      </w:r>
      <w:r>
        <w:t xml:space="preserve"> osázené plochy vinic</w:t>
      </w:r>
      <w:r w:rsidRPr="0065095B">
        <w:t>.</w:t>
      </w:r>
      <w:r w:rsidRPr="009D1093">
        <w:rPr>
          <w:i/>
        </w:rPr>
        <w:t xml:space="preserve"> </w:t>
      </w:r>
      <w:r w:rsidRPr="0065095B">
        <w:t>Největší podíl plochy vinic (4</w:t>
      </w:r>
      <w:r>
        <w:t>2</w:t>
      </w:r>
      <w:r w:rsidRPr="0065095B">
        <w:t> %) patřil vinohradníkům s výměrou větší než 5 ha, kterou obhospodařovalo pouze 1 % zaregistrovaných pěstitelů.</w:t>
      </w:r>
    </w:p>
    <w:p w:rsidR="00567C4A" w:rsidRPr="00D216D7" w:rsidRDefault="00567C4A" w:rsidP="000B7BEE">
      <w:pPr>
        <w:rPr>
          <w:i/>
        </w:rPr>
      </w:pPr>
      <w:r w:rsidRPr="00BF79E4">
        <w:t>V pr</w:t>
      </w:r>
      <w:r>
        <w:t>ůběhu roku 2014 bylo vysázeno 348</w:t>
      </w:r>
      <w:r w:rsidRPr="00BF79E4">
        <w:t> ha nových vinic</w:t>
      </w:r>
      <w:r>
        <w:t>, což byl proti předchozímu roku opět mírný pokles</w:t>
      </w:r>
      <w:r w:rsidRPr="00BF79E4">
        <w:t>.</w:t>
      </w:r>
      <w:r w:rsidRPr="00BF79E4">
        <w:rPr>
          <w:i/>
        </w:rPr>
        <w:t xml:space="preserve"> </w:t>
      </w:r>
      <w:r w:rsidRPr="00BF79E4">
        <w:t>Z</w:t>
      </w:r>
      <w:r>
        <w:t xml:space="preserve"> jednotlivých moštových odrůd převažuje v mladých výsadbách z bílých odrůd Pálava, Rulandské šedé, Veltlínské zelené, Chardonnay, </w:t>
      </w:r>
      <w:proofErr w:type="spellStart"/>
      <w:r>
        <w:t>Hibernal</w:t>
      </w:r>
      <w:proofErr w:type="spellEnd"/>
      <w:r>
        <w:t xml:space="preserve"> a Ryzlink vlašský, u modrých odrůd je to s velkou převahou Rulandské modré, následuje Modrý Portugal, </w:t>
      </w:r>
      <w:proofErr w:type="spellStart"/>
      <w:r>
        <w:t>Merlot</w:t>
      </w:r>
      <w:proofErr w:type="spellEnd"/>
      <w:r>
        <w:t xml:space="preserve"> a </w:t>
      </w:r>
      <w:proofErr w:type="spellStart"/>
      <w:r>
        <w:t>Dornfelder</w:t>
      </w:r>
      <w:proofErr w:type="spellEnd"/>
      <w:r>
        <w:t>.</w:t>
      </w:r>
    </w:p>
    <w:p w:rsidR="00567C4A" w:rsidRDefault="00567C4A" w:rsidP="000B7BEE">
      <w:r>
        <w:t>Z</w:t>
      </w:r>
      <w:r w:rsidRPr="00D216D7">
        <w:t xml:space="preserve"> hlediska věkové struktury byla struktura vinic </w:t>
      </w:r>
      <w:r>
        <w:t>k</w:t>
      </w:r>
      <w:r w:rsidRPr="00D216D7">
        <w:t>e konci roku 201</w:t>
      </w:r>
      <w:r>
        <w:t>4</w:t>
      </w:r>
      <w:r w:rsidRPr="00D216D7">
        <w:t xml:space="preserve"> tvořena z </w:t>
      </w:r>
      <w:r>
        <w:t>9</w:t>
      </w:r>
      <w:r w:rsidRPr="00D216D7">
        <w:t> % mladými neplodnými výsadbami ve stáří do 4 let</w:t>
      </w:r>
      <w:r>
        <w:t>,</w:t>
      </w:r>
      <w:r w:rsidRPr="00D216D7">
        <w:t xml:space="preserve"> z</w:t>
      </w:r>
      <w:r>
        <w:t>e</w:t>
      </w:r>
      <w:r w:rsidRPr="00D216D7">
        <w:t xml:space="preserve"> </w:t>
      </w:r>
      <w:r>
        <w:t>7</w:t>
      </w:r>
      <w:r w:rsidRPr="00D216D7">
        <w:t xml:space="preserve"> % mladými plodnými vinicemi ve věku od 4 do 10 let a z </w:t>
      </w:r>
      <w:r>
        <w:t>56</w:t>
      </w:r>
      <w:r w:rsidRPr="00D216D7">
        <w:t xml:space="preserve"> % vinicemi v plné plodnosti, tj. ve stáří do 30 let. </w:t>
      </w:r>
      <w:r>
        <w:t xml:space="preserve">U této poslední kategorie se meziročně zvýšil podíl vinic (o 8 %) na úkor mladých plodných vinic. </w:t>
      </w:r>
      <w:r>
        <w:lastRenderedPageBreak/>
        <w:t>Podíl starých vinic (30 až 50 let) se proti předchozímu roku nezměnil</w:t>
      </w:r>
      <w:r w:rsidRPr="00D216D7">
        <w:t xml:space="preserve"> </w:t>
      </w:r>
      <w:r>
        <w:t>a činil</w:t>
      </w:r>
      <w:r w:rsidRPr="00D216D7">
        <w:t xml:space="preserve"> 26 % celkové rozlohy vinic</w:t>
      </w:r>
      <w:r>
        <w:t>,</w:t>
      </w:r>
      <w:r w:rsidRPr="00D216D7">
        <w:t xml:space="preserve"> 2 % ploch vinic </w:t>
      </w:r>
      <w:r>
        <w:t xml:space="preserve">jsou </w:t>
      </w:r>
      <w:r w:rsidRPr="00D216D7">
        <w:t>vinice přestárlé, tj. nad 50 let.</w:t>
      </w:r>
    </w:p>
    <w:p w:rsidR="00567C4A" w:rsidRPr="00CF157D" w:rsidRDefault="00567C4A" w:rsidP="000B7BEE">
      <w:r>
        <w:t xml:space="preserve">Více než dvě třetiny </w:t>
      </w:r>
      <w:r w:rsidRPr="00CF157D">
        <w:t xml:space="preserve">ploch vinic byly </w:t>
      </w:r>
      <w:r>
        <w:t xml:space="preserve">v roce 2014 </w:t>
      </w:r>
      <w:r w:rsidRPr="00CF157D">
        <w:t xml:space="preserve">osázeny moštovými bílými odrůdami a </w:t>
      </w:r>
      <w:r>
        <w:t xml:space="preserve">necelá </w:t>
      </w:r>
      <w:r w:rsidRPr="00CF157D">
        <w:t>jedna třetina odrůdami moštovými modrými. Zanedbatelný podíl připadl na stolní podnožové odrůdy. Největší výměru zaujímalo v roce 201</w:t>
      </w:r>
      <w:r>
        <w:t>4</w:t>
      </w:r>
      <w:r w:rsidRPr="00CF157D">
        <w:t xml:space="preserve"> z bílý</w:t>
      </w:r>
      <w:r>
        <w:t>ch odrůd Veltlínské zelené (1 64</w:t>
      </w:r>
      <w:r w:rsidRPr="00CF157D">
        <w:t xml:space="preserve">6 ha), Müller </w:t>
      </w:r>
      <w:proofErr w:type="spellStart"/>
      <w:r w:rsidRPr="00CF157D">
        <w:t>Thurgau</w:t>
      </w:r>
      <w:proofErr w:type="spellEnd"/>
      <w:r w:rsidRPr="00CF157D">
        <w:t xml:space="preserve"> (1 54</w:t>
      </w:r>
      <w:r>
        <w:t>0</w:t>
      </w:r>
      <w:r w:rsidRPr="00CF157D">
        <w:t> ha), Ryzlink rýnský (1 2</w:t>
      </w:r>
      <w:r>
        <w:t>44</w:t>
      </w:r>
      <w:r w:rsidRPr="00CF157D">
        <w:t> ha) a</w:t>
      </w:r>
      <w:r>
        <w:t> </w:t>
      </w:r>
      <w:r w:rsidRPr="00CF157D">
        <w:t>Ryzlink vlašský (1 20</w:t>
      </w:r>
      <w:r>
        <w:t>8</w:t>
      </w:r>
      <w:r w:rsidRPr="00CF157D">
        <w:t> ha), z červených odrůd Svatovavřinecké (1 2</w:t>
      </w:r>
      <w:r>
        <w:t>29</w:t>
      </w:r>
      <w:r w:rsidRPr="00CF157D">
        <w:t> ha), Frankovka (1 1</w:t>
      </w:r>
      <w:r>
        <w:t>93</w:t>
      </w:r>
      <w:r w:rsidRPr="00CF157D">
        <w:t xml:space="preserve"> ha), </w:t>
      </w:r>
      <w:proofErr w:type="spellStart"/>
      <w:r w:rsidRPr="00CF157D">
        <w:t>Zweigeltrebe</w:t>
      </w:r>
      <w:proofErr w:type="spellEnd"/>
      <w:r w:rsidRPr="00CF157D">
        <w:t xml:space="preserve"> (7</w:t>
      </w:r>
      <w:r>
        <w:t>89</w:t>
      </w:r>
      <w:r w:rsidRPr="00CF157D">
        <w:t> ha) a Rulandské modré (7</w:t>
      </w:r>
      <w:r>
        <w:t>24</w:t>
      </w:r>
      <w:r w:rsidRPr="00CF157D">
        <w:t> ha).</w:t>
      </w:r>
    </w:p>
    <w:p w:rsidR="00567C4A" w:rsidRDefault="00567C4A" w:rsidP="000B7BEE">
      <w:r w:rsidRPr="005D1F28">
        <w:t>Podle údajů ČSÚ se v roce 201</w:t>
      </w:r>
      <w:r>
        <w:t>4</w:t>
      </w:r>
      <w:r w:rsidRPr="005D1F28">
        <w:t xml:space="preserve"> v ČR sklidilo z 15,</w:t>
      </w:r>
      <w:r>
        <w:t>8</w:t>
      </w:r>
      <w:r w:rsidRPr="005D1F28">
        <w:t xml:space="preserve"> tis. ha plodných vinic celkem </w:t>
      </w:r>
      <w:r>
        <w:t>63</w:t>
      </w:r>
      <w:r w:rsidRPr="005D1F28">
        <w:t>,</w:t>
      </w:r>
      <w:r>
        <w:t>5</w:t>
      </w:r>
      <w:r w:rsidRPr="005D1F28">
        <w:t> tis. t moštových hroznů při průměrném hektarovém výnosu 4,</w:t>
      </w:r>
      <w:r>
        <w:t>0</w:t>
      </w:r>
      <w:r w:rsidRPr="005D1F28">
        <w:t xml:space="preserve"> t/ha. Proti předchozímu roku byla </w:t>
      </w:r>
      <w:r>
        <w:t xml:space="preserve">tato </w:t>
      </w:r>
      <w:r w:rsidRPr="005D1F28">
        <w:t xml:space="preserve">úroda moštových hroznů o </w:t>
      </w:r>
      <w:r>
        <w:t>15 % nižší.</w:t>
      </w:r>
    </w:p>
    <w:p w:rsidR="00567C4A" w:rsidRDefault="00567C4A" w:rsidP="000B7BEE">
      <w:r>
        <w:t>Snížení výnosu hroznů v roce 2014 bylo způsobeno výrazným poškozením vinic housenkami osenice na jaře roku 2014. V průměru se to týkalo 10 % vinic, pouze 8 % vinic zůstalo nepoškozeno. V létě 2014 byly vinice ve velké míře poškozeny zhoubnou plísní šedou. Průměrné poškození se projevilo vysokou ztrátou výnosu, okolo 25 %. Pouze 2 % vinic zůstaly nepoškozeny.</w:t>
      </w:r>
    </w:p>
    <w:p w:rsidR="00567C4A" w:rsidRPr="005D1F28" w:rsidRDefault="00567C4A" w:rsidP="000B7BEE">
      <w:r>
        <w:t>V roce 2014 provedl Svaz</w:t>
      </w:r>
      <w:r w:rsidRPr="005D1F28">
        <w:t xml:space="preserve"> vinařů ČR (SVČR) šetření </w:t>
      </w:r>
      <w:r>
        <w:t xml:space="preserve">v 98 členských podnicích s celkovou plochou větší než 4,4 tis. ha plodných vinic, tj. přes 1/4 plochy vinic ČR. Tyto </w:t>
      </w:r>
      <w:r w:rsidRPr="005D1F28">
        <w:t>člensk</w:t>
      </w:r>
      <w:r>
        <w:t>é</w:t>
      </w:r>
      <w:r w:rsidRPr="005D1F28">
        <w:t xml:space="preserve"> podni</w:t>
      </w:r>
      <w:r>
        <w:t>ky</w:t>
      </w:r>
      <w:r w:rsidRPr="005D1F28">
        <w:t xml:space="preserve"> zahrnují všechny formy vlastnictví, všechny velikostní skupiny a</w:t>
      </w:r>
      <w:r>
        <w:t> </w:t>
      </w:r>
      <w:r w:rsidRPr="005D1F28">
        <w:t>jsou rozmístěny ve všech vinařských podoblastech ČR</w:t>
      </w:r>
      <w:r>
        <w:t>. V těchto podnicích se v roce 2014 sklidilo 19,2 tis. t</w:t>
      </w:r>
      <w:r w:rsidRPr="005D1F28">
        <w:t xml:space="preserve"> </w:t>
      </w:r>
      <w:r>
        <w:t>moštových hroznů, z toho bylo 11,1 tis. hroznů prodáno a 28,2 tis. t tuzemských hroznů bylo nakoupeno. Na základě provedeného šetření činil v roce 2014 průměrný hektarový</w:t>
      </w:r>
      <w:r w:rsidRPr="005D1F28">
        <w:t xml:space="preserve"> výnos moštových hroznů </w:t>
      </w:r>
      <w:r>
        <w:t>4</w:t>
      </w:r>
      <w:r w:rsidRPr="005D1F28">
        <w:t>,</w:t>
      </w:r>
      <w:r>
        <w:t>3</w:t>
      </w:r>
      <w:r w:rsidRPr="005D1F28">
        <w:t xml:space="preserve"> t/ha, což byl meziroční </w:t>
      </w:r>
      <w:r>
        <w:t xml:space="preserve">pokles </w:t>
      </w:r>
      <w:r w:rsidRPr="005D1F28">
        <w:t xml:space="preserve">o 1,2 t/ha. Průměrný hektarový výnos bílých hroznů dosáhl </w:t>
      </w:r>
      <w:r>
        <w:t>4</w:t>
      </w:r>
      <w:r w:rsidRPr="005D1F28">
        <w:t xml:space="preserve">,3 t/ha (meziroční </w:t>
      </w:r>
      <w:r>
        <w:t>sníže</w:t>
      </w:r>
      <w:r w:rsidRPr="005D1F28">
        <w:t>ní o 1,</w:t>
      </w:r>
      <w:r>
        <w:t>0</w:t>
      </w:r>
      <w:r w:rsidRPr="005D1F28">
        <w:t xml:space="preserve"> t/ha) a modrých </w:t>
      </w:r>
      <w:r>
        <w:t>4</w:t>
      </w:r>
      <w:r w:rsidRPr="005D1F28">
        <w:t>,</w:t>
      </w:r>
      <w:r>
        <w:t>6</w:t>
      </w:r>
      <w:r w:rsidRPr="005D1F28">
        <w:t> t/ha (o 1,</w:t>
      </w:r>
      <w:r>
        <w:t>3</w:t>
      </w:r>
      <w:r w:rsidRPr="005D1F28">
        <w:t xml:space="preserve"> t/ha </w:t>
      </w:r>
      <w:r>
        <w:t xml:space="preserve">méně </w:t>
      </w:r>
      <w:r w:rsidRPr="005D1F28">
        <w:t>než v roce 201</w:t>
      </w:r>
      <w:r>
        <w:t>3</w:t>
      </w:r>
      <w:r w:rsidRPr="005D1F28">
        <w:t>).</w:t>
      </w:r>
    </w:p>
    <w:p w:rsidR="00567C4A" w:rsidRPr="009D231B" w:rsidRDefault="00567C4A" w:rsidP="000B7BEE">
      <w:r w:rsidRPr="009D231B">
        <w:t>Podíl modrých moštových hroznů na celkové sklizni roku 201</w:t>
      </w:r>
      <w:r>
        <w:t>4</w:t>
      </w:r>
      <w:r w:rsidRPr="009D231B">
        <w:t xml:space="preserve"> v ČR tvořil 3</w:t>
      </w:r>
      <w:r>
        <w:t>3</w:t>
      </w:r>
      <w:r w:rsidRPr="009D231B">
        <w:t xml:space="preserve"> %. Přibližně </w:t>
      </w:r>
      <w:r>
        <w:t>80</w:t>
      </w:r>
      <w:r w:rsidRPr="009D231B">
        <w:t> % podniků produkujících víno připravuje z modrých hroznů také víno růžové. K tomuto účelu bylo využito 2</w:t>
      </w:r>
      <w:r>
        <w:t>1</w:t>
      </w:r>
      <w:r w:rsidRPr="009D231B">
        <w:t xml:space="preserve"> % produkce modrých hroznů, </w:t>
      </w:r>
      <w:r>
        <w:t>tj. 7</w:t>
      </w:r>
      <w:r w:rsidRPr="009D231B">
        <w:t xml:space="preserve"> % sklizně moštových hroznů. </w:t>
      </w:r>
      <w:r>
        <w:t>Již druhým rokem tak došlo p</w:t>
      </w:r>
      <w:r w:rsidRPr="009D231B">
        <w:t>o několika letech k mírnému poklesu užití modrých hroznů za účelem výroby růžového vína.</w:t>
      </w:r>
      <w:r>
        <w:t xml:space="preserve"> Podíl červeného vína se na celkové produkci pohyboval okolo 26 %.</w:t>
      </w:r>
    </w:p>
    <w:p w:rsidR="00567C4A" w:rsidRPr="00C6701E" w:rsidRDefault="00567C4A" w:rsidP="000B7BEE">
      <w:r w:rsidRPr="00C6701E">
        <w:t xml:space="preserve">Průměrná cukernatost </w:t>
      </w:r>
      <w:r>
        <w:t xml:space="preserve">moštových </w:t>
      </w:r>
      <w:r w:rsidRPr="00C6701E">
        <w:t xml:space="preserve">hroznů </w:t>
      </w:r>
      <w:r>
        <w:t xml:space="preserve">se </w:t>
      </w:r>
      <w:r w:rsidRPr="00C6701E">
        <w:t>v roce 201</w:t>
      </w:r>
      <w:r>
        <w:t>4 pohybovala okolo 18</w:t>
      </w:r>
      <w:r w:rsidRPr="00C6701E">
        <w:t>,</w:t>
      </w:r>
      <w:r>
        <w:t>6</w:t>
      </w:r>
      <w:r w:rsidRPr="00C6701E">
        <w:t>°NM což bylo o 1,</w:t>
      </w:r>
      <w:r>
        <w:t>5</w:t>
      </w:r>
      <w:r w:rsidRPr="00C6701E">
        <w:t>°NM méně než v předcházejícím roce</w:t>
      </w:r>
      <w:r>
        <w:t xml:space="preserve"> a než činí desetiletý průměr.</w:t>
      </w:r>
      <w:r w:rsidRPr="00C6701E">
        <w:t xml:space="preserve"> Ve</w:t>
      </w:r>
      <w:r>
        <w:t> sledovaných podnicích byla</w:t>
      </w:r>
      <w:r w:rsidRPr="00C6701E">
        <w:t xml:space="preserve"> v rozmezí 16,0 až 23,</w:t>
      </w:r>
      <w:r>
        <w:t>5</w:t>
      </w:r>
      <w:r w:rsidRPr="00C6701E">
        <w:t>°NM.</w:t>
      </w:r>
    </w:p>
    <w:p w:rsidR="00567C4A" w:rsidRPr="00C6701E" w:rsidRDefault="00567C4A" w:rsidP="000B7BEE">
      <w:r w:rsidRPr="00C6701E">
        <w:t xml:space="preserve">Výsledky za vinařskou oblast Morava jsou prakticky totožné s celorepublikovými údaji. Ve vinařské oblasti Čechy, která se podílí na celkové výměře vinic ČR pouze 4 %, činil podle údajů SVČR průměrný hektarový výnos moštových hroznů pouze </w:t>
      </w:r>
      <w:r>
        <w:t>2</w:t>
      </w:r>
      <w:r w:rsidRPr="00C6701E">
        <w:t>,</w:t>
      </w:r>
      <w:r>
        <w:t>8</w:t>
      </w:r>
      <w:r w:rsidRPr="00C6701E">
        <w:t xml:space="preserve"> t/ha. Cukernatost </w:t>
      </w:r>
      <w:r w:rsidRPr="00C6701E">
        <w:lastRenderedPageBreak/>
        <w:t xml:space="preserve">hroznů </w:t>
      </w:r>
      <w:r>
        <w:t xml:space="preserve">byla vyšší než v oblasti Morava a </w:t>
      </w:r>
      <w:r w:rsidRPr="00C6701E">
        <w:t>dosáhla v průměru 1</w:t>
      </w:r>
      <w:r>
        <w:t>9,5°NM</w:t>
      </w:r>
      <w:r w:rsidRPr="00C6701E">
        <w:t xml:space="preserve">. Modré moštové hrozny se na celkové sklizni podílely </w:t>
      </w:r>
      <w:r>
        <w:t>35</w:t>
      </w:r>
      <w:r w:rsidRPr="00C6701E">
        <w:t> %.</w:t>
      </w:r>
    </w:p>
    <w:p w:rsidR="00567C4A" w:rsidRPr="00C6701E" w:rsidRDefault="00567C4A" w:rsidP="000B7BEE">
      <w:r w:rsidRPr="00C6701E">
        <w:t xml:space="preserve">Průměrná CZV moštových hroznů byla </w:t>
      </w:r>
      <w:r>
        <w:t xml:space="preserve">i </w:t>
      </w:r>
      <w:r w:rsidRPr="00C6701E">
        <w:t>v roce 201</w:t>
      </w:r>
      <w:r>
        <w:t>4</w:t>
      </w:r>
      <w:r w:rsidRPr="00C6701E">
        <w:t xml:space="preserve"> na základě šetření SVČR meziročně nižší </w:t>
      </w:r>
      <w:r>
        <w:t>(</w:t>
      </w:r>
      <w:r w:rsidRPr="00C6701E">
        <w:t>o</w:t>
      </w:r>
      <w:r>
        <w:t> 5</w:t>
      </w:r>
      <w:r w:rsidRPr="00C6701E">
        <w:t> %</w:t>
      </w:r>
      <w:r>
        <w:t>)</w:t>
      </w:r>
      <w:r w:rsidRPr="00C6701E">
        <w:t xml:space="preserve"> a pohybovala se okolo 1</w:t>
      </w:r>
      <w:r>
        <w:t>5</w:t>
      </w:r>
      <w:r w:rsidRPr="00C6701E">
        <w:t>,</w:t>
      </w:r>
      <w:r>
        <w:t>7</w:t>
      </w:r>
      <w:r w:rsidRPr="00C6701E">
        <w:t>0 Kč/kg. Průměrná cena bílých hroznů činila 1</w:t>
      </w:r>
      <w:r>
        <w:t>6</w:t>
      </w:r>
      <w:r w:rsidRPr="00C6701E">
        <w:t>,</w:t>
      </w:r>
      <w:r>
        <w:t>2</w:t>
      </w:r>
      <w:r w:rsidRPr="00C6701E">
        <w:t>0 Kč/kg a</w:t>
      </w:r>
      <w:r>
        <w:t> </w:t>
      </w:r>
      <w:r w:rsidRPr="00C6701E">
        <w:t>hroznů modrých 14,</w:t>
      </w:r>
      <w:r>
        <w:t>6</w:t>
      </w:r>
      <w:r w:rsidRPr="00C6701E">
        <w:t xml:space="preserve">0 Kč/kg. </w:t>
      </w:r>
      <w:r>
        <w:t>V roce 2014 se c</w:t>
      </w:r>
      <w:r w:rsidRPr="00C6701E">
        <w:t xml:space="preserve">enový rozdíl mezi hrozny bílými a modrými </w:t>
      </w:r>
      <w:r>
        <w:t>poprvé od roku 2008 snížil na 1</w:t>
      </w:r>
      <w:r w:rsidRPr="00C6701E">
        <w:t>,</w:t>
      </w:r>
      <w:r>
        <w:t>6</w:t>
      </w:r>
      <w:r w:rsidRPr="00C6701E">
        <w:t>0 Kč/kg ve prospěch hroznů bílých.</w:t>
      </w:r>
    </w:p>
    <w:p w:rsidR="00567C4A" w:rsidRDefault="00567C4A" w:rsidP="000B7BEE">
      <w:r w:rsidRPr="005F07C4">
        <w:t xml:space="preserve">Hodnota sklizených moštových hroznů dosáhla </w:t>
      </w:r>
      <w:r>
        <w:t xml:space="preserve">téměř </w:t>
      </w:r>
      <w:r w:rsidRPr="005F07C4">
        <w:t>1,</w:t>
      </w:r>
      <w:r>
        <w:t>2</w:t>
      </w:r>
      <w:r w:rsidRPr="005F07C4">
        <w:t> mld. Kč (meziroční pokles o</w:t>
      </w:r>
      <w:r>
        <w:t> </w:t>
      </w:r>
      <w:r w:rsidRPr="005F07C4">
        <w:t>0,3 mld.</w:t>
      </w:r>
      <w:r>
        <w:t> </w:t>
      </w:r>
      <w:r w:rsidRPr="005F07C4">
        <w:t xml:space="preserve">Kč). Po započtení všech průměrných dotací </w:t>
      </w:r>
      <w:r>
        <w:t xml:space="preserve">vznikla </w:t>
      </w:r>
      <w:r w:rsidRPr="005F07C4">
        <w:t>podle SVČR</w:t>
      </w:r>
      <w:r>
        <w:t xml:space="preserve"> v roce 2014 </w:t>
      </w:r>
      <w:r w:rsidRPr="005F07C4">
        <w:t>ve</w:t>
      </w:r>
      <w:r>
        <w:t> </w:t>
      </w:r>
      <w:r w:rsidRPr="005F07C4">
        <w:t xml:space="preserve">vinohradnictví </w:t>
      </w:r>
      <w:r>
        <w:t>ztráta ve výši 5</w:t>
      </w:r>
      <w:r w:rsidRPr="005F07C4">
        <w:t>,</w:t>
      </w:r>
      <w:r>
        <w:t>7</w:t>
      </w:r>
      <w:r w:rsidRPr="005F07C4">
        <w:t>0 Kč/kg, tj. 2</w:t>
      </w:r>
      <w:r>
        <w:t>5</w:t>
      </w:r>
      <w:r w:rsidRPr="005F07C4">
        <w:t> tis. Kč/ha</w:t>
      </w:r>
      <w:r>
        <w:t>, průměrná</w:t>
      </w:r>
      <w:r w:rsidRPr="005F07C4">
        <w:t xml:space="preserve"> </w:t>
      </w:r>
      <w:r>
        <w:t>r</w:t>
      </w:r>
      <w:r w:rsidRPr="005F07C4">
        <w:t>entabilita</w:t>
      </w:r>
      <w:r>
        <w:t xml:space="preserve"> vinohradnictví pak vychází záporná, a to -5 %.</w:t>
      </w:r>
    </w:p>
    <w:p w:rsidR="00567C4A" w:rsidRPr="00B4789F" w:rsidRDefault="00567C4A" w:rsidP="000B7BEE">
      <w:r w:rsidRPr="00B4789F">
        <w:t>Ze sklizně moštových hroznů v roce 201</w:t>
      </w:r>
      <w:r>
        <w:t>4</w:t>
      </w:r>
      <w:r w:rsidRPr="00B4789F">
        <w:t xml:space="preserve"> </w:t>
      </w:r>
      <w:r>
        <w:t>bude</w:t>
      </w:r>
      <w:r w:rsidRPr="00B4789F">
        <w:t xml:space="preserve"> vyrob</w:t>
      </w:r>
      <w:r>
        <w:t>eno</w:t>
      </w:r>
      <w:r w:rsidRPr="00B4789F">
        <w:t xml:space="preserve"> cca </w:t>
      </w:r>
      <w:r>
        <w:t>500</w:t>
      </w:r>
      <w:r w:rsidRPr="00B4789F">
        <w:t> tis. hl vína (o </w:t>
      </w:r>
      <w:r>
        <w:t>21</w:t>
      </w:r>
      <w:r w:rsidRPr="00B4789F">
        <w:t xml:space="preserve"> % </w:t>
      </w:r>
      <w:r>
        <w:t xml:space="preserve">méně </w:t>
      </w:r>
      <w:r w:rsidRPr="00B4789F">
        <w:t xml:space="preserve">než v roce předchozím), což je přibližně jedna </w:t>
      </w:r>
      <w:r>
        <w:t xml:space="preserve">čtvrtina roční </w:t>
      </w:r>
      <w:r w:rsidRPr="00B4789F">
        <w:t>spotřeby vína v ČR.</w:t>
      </w:r>
    </w:p>
    <w:p w:rsidR="00567C4A" w:rsidRPr="00E701FB" w:rsidRDefault="00567C4A" w:rsidP="000B7BEE">
      <w:r w:rsidRPr="00E701FB">
        <w:t>Nedostatek domácí produkce vína je každoročně řešen poměrně vysokými dovozy.</w:t>
      </w:r>
      <w:r w:rsidRPr="009D1093">
        <w:rPr>
          <w:i/>
        </w:rPr>
        <w:t xml:space="preserve"> </w:t>
      </w:r>
      <w:r>
        <w:t>V roce 2014</w:t>
      </w:r>
      <w:r w:rsidRPr="00E701FB">
        <w:t xml:space="preserve"> se do ČR dovezlo 1 5</w:t>
      </w:r>
      <w:r>
        <w:t>83</w:t>
      </w:r>
      <w:r w:rsidRPr="00E701FB">
        <w:t xml:space="preserve"> tis. hl</w:t>
      </w:r>
      <w:r>
        <w:t xml:space="preserve"> vína</w:t>
      </w:r>
      <w:r w:rsidRPr="00E701FB">
        <w:t>, tj. téměř stejné množství jako v roce předchozím, v hodnotě 4,</w:t>
      </w:r>
      <w:r>
        <w:t>6</w:t>
      </w:r>
      <w:r w:rsidRPr="00E701FB">
        <w:t xml:space="preserve"> mld. Kč. Import bílého vína byl realizován ve výši </w:t>
      </w:r>
      <w:r>
        <w:t>93</w:t>
      </w:r>
      <w:r w:rsidRPr="00E701FB">
        <w:t>6 tis. hl, tj. 5</w:t>
      </w:r>
      <w:r>
        <w:t>9</w:t>
      </w:r>
      <w:r w:rsidRPr="00E701FB">
        <w:t xml:space="preserve"> % celkového dovozu, za 2,0 mld. Kč. Dodávky červeného vína </w:t>
      </w:r>
      <w:r>
        <w:t>se opět meziročně snížily na 550</w:t>
      </w:r>
      <w:r w:rsidRPr="00E701FB">
        <w:t> tis. hl, tj.</w:t>
      </w:r>
      <w:r>
        <w:t> 35</w:t>
      </w:r>
      <w:r w:rsidRPr="00E701FB">
        <w:t xml:space="preserve"> % realizovaného importu, v hodnotě 2,1 mil. Kč. </w:t>
      </w:r>
      <w:r>
        <w:t xml:space="preserve">Dvě třetiny dovezeného </w:t>
      </w:r>
      <w:r w:rsidRPr="00E701FB">
        <w:t xml:space="preserve">bílého vína </w:t>
      </w:r>
      <w:r>
        <w:t>bylo bílé víno sudové</w:t>
      </w:r>
      <w:r w:rsidRPr="00E701FB">
        <w:t>, u vína červeného</w:t>
      </w:r>
      <w:r>
        <w:t xml:space="preserve"> mírně převažoval</w:t>
      </w:r>
      <w:r w:rsidRPr="00E701FB">
        <w:t xml:space="preserve"> import vína lahvového (5</w:t>
      </w:r>
      <w:r>
        <w:t>5</w:t>
      </w:r>
      <w:r w:rsidRPr="00E701FB">
        <w:t xml:space="preserve"> %). </w:t>
      </w:r>
      <w:r>
        <w:t>V roce 2014 bylo n</w:t>
      </w:r>
      <w:r w:rsidRPr="00E701FB">
        <w:t xml:space="preserve">ejvětším dodavatelem vína do ČR </w:t>
      </w:r>
      <w:r>
        <w:t xml:space="preserve">Španělsko </w:t>
      </w:r>
      <w:r w:rsidRPr="00E701FB">
        <w:t xml:space="preserve">s objemem dodávek </w:t>
      </w:r>
      <w:r>
        <w:t>461</w:t>
      </w:r>
      <w:r w:rsidRPr="00E701FB">
        <w:t> tis. hl (2</w:t>
      </w:r>
      <w:r>
        <w:t>9</w:t>
      </w:r>
      <w:r w:rsidRPr="00E701FB">
        <w:t xml:space="preserve"> % celkového dovozu) za </w:t>
      </w:r>
      <w:r>
        <w:t>702</w:t>
      </w:r>
      <w:r w:rsidRPr="00E701FB">
        <w:t>,</w:t>
      </w:r>
      <w:r>
        <w:t>2</w:t>
      </w:r>
      <w:r w:rsidRPr="00E701FB">
        <w:t> mil. Kč. V</w:t>
      </w:r>
      <w:r>
        <w:t> </w:t>
      </w:r>
      <w:r w:rsidRPr="00E701FB">
        <w:t>porovnání s rokem 201</w:t>
      </w:r>
      <w:r>
        <w:t>3</w:t>
      </w:r>
      <w:r w:rsidRPr="00E701FB">
        <w:t xml:space="preserve"> množství dovezeného </w:t>
      </w:r>
      <w:r>
        <w:t xml:space="preserve">španělského </w:t>
      </w:r>
      <w:r w:rsidRPr="00E701FB">
        <w:t>vína meziročně</w:t>
      </w:r>
      <w:r>
        <w:t xml:space="preserve"> výrazně vzrostlo</w:t>
      </w:r>
      <w:r w:rsidRPr="00E701FB">
        <w:t>, a to o</w:t>
      </w:r>
      <w:r>
        <w:t> 55 %</w:t>
      </w:r>
      <w:r w:rsidRPr="00E701FB">
        <w:t xml:space="preserve">. </w:t>
      </w:r>
      <w:r>
        <w:t>Z Itálie bylo do ČR dodáno 365</w:t>
      </w:r>
      <w:r w:rsidRPr="00E701FB">
        <w:t> tis. hl</w:t>
      </w:r>
      <w:r>
        <w:t xml:space="preserve">, což bylo meziročně více o 10 %, </w:t>
      </w:r>
      <w:r w:rsidRPr="00E701FB">
        <w:t>za</w:t>
      </w:r>
      <w:r>
        <w:t> 1 077</w:t>
      </w:r>
      <w:r w:rsidRPr="00E701FB">
        <w:t>,</w:t>
      </w:r>
      <w:r>
        <w:t>4</w:t>
      </w:r>
      <w:r w:rsidRPr="00E701FB">
        <w:t> mil. Kč.</w:t>
      </w:r>
      <w:r>
        <w:t xml:space="preserve"> Další velké dovozy víny byly realizovány z Maďarska (202 tis. hl) a Slovenska (139 tis. hl).</w:t>
      </w:r>
    </w:p>
    <w:p w:rsidR="00567C4A" w:rsidRDefault="00567C4A" w:rsidP="000B7BEE">
      <w:r>
        <w:t xml:space="preserve">Vývoz a reexport vína z ČR se v roce 2014 významně snížil. Export činil 212 tis. hl (meziroční pokles o 27 %) za 877,3 mil. Kč. </w:t>
      </w:r>
      <w:r w:rsidRPr="00D469D3">
        <w:t xml:space="preserve">Bílého vína bylo </w:t>
      </w:r>
      <w:r>
        <w:t xml:space="preserve">vyvezeno </w:t>
      </w:r>
      <w:r w:rsidRPr="00D469D3">
        <w:t>1</w:t>
      </w:r>
      <w:r>
        <w:t>2</w:t>
      </w:r>
      <w:r w:rsidRPr="00D469D3">
        <w:t>6 tis. hl (5</w:t>
      </w:r>
      <w:r>
        <w:t>9</w:t>
      </w:r>
      <w:r w:rsidRPr="00D469D3">
        <w:t> % celkového vývozu) v hodnotě 4</w:t>
      </w:r>
      <w:r>
        <w:t>40</w:t>
      </w:r>
      <w:r w:rsidRPr="00D469D3">
        <w:t>,</w:t>
      </w:r>
      <w:r>
        <w:t>4</w:t>
      </w:r>
      <w:r w:rsidRPr="00D469D3">
        <w:t xml:space="preserve"> mil. Kč, červeného </w:t>
      </w:r>
      <w:r>
        <w:t>80</w:t>
      </w:r>
      <w:r w:rsidRPr="00D469D3">
        <w:t> tis. hl (</w:t>
      </w:r>
      <w:r>
        <w:t>38</w:t>
      </w:r>
      <w:r w:rsidRPr="00D469D3">
        <w:t> %) v hodnotě 3</w:t>
      </w:r>
      <w:r>
        <w:t>5</w:t>
      </w:r>
      <w:r w:rsidRPr="00D469D3">
        <w:t>7,</w:t>
      </w:r>
      <w:r>
        <w:t>9</w:t>
      </w:r>
      <w:r w:rsidRPr="00D469D3">
        <w:t> mil. Kč. V porovnání s</w:t>
      </w:r>
      <w:r>
        <w:t> předchozím rokem</w:t>
      </w:r>
      <w:r w:rsidRPr="00D469D3">
        <w:t xml:space="preserve"> se v roce 201</w:t>
      </w:r>
      <w:r>
        <w:t>4</w:t>
      </w:r>
      <w:r w:rsidRPr="00D469D3">
        <w:t xml:space="preserve"> vyvezlo o </w:t>
      </w:r>
      <w:r>
        <w:t>třetinu méně</w:t>
      </w:r>
      <w:r w:rsidRPr="00D469D3">
        <w:t xml:space="preserve"> bílého vína</w:t>
      </w:r>
      <w:r>
        <w:t>,</w:t>
      </w:r>
      <w:r w:rsidRPr="00D469D3">
        <w:t xml:space="preserve"> </w:t>
      </w:r>
      <w:r>
        <w:t>export vína červeného meziročně klesl</w:t>
      </w:r>
      <w:r w:rsidRPr="00D469D3">
        <w:t> o </w:t>
      </w:r>
      <w:r>
        <w:t>44</w:t>
      </w:r>
      <w:r w:rsidRPr="00D469D3">
        <w:t xml:space="preserve"> %. </w:t>
      </w:r>
      <w:r>
        <w:t xml:space="preserve">Podíl vyvezeného vína lahvového a sudového se v roce 2014 změnil. </w:t>
      </w:r>
      <w:r w:rsidRPr="00D469D3">
        <w:t xml:space="preserve">Z vyvezeného bílého vína tvořilo </w:t>
      </w:r>
      <w:r>
        <w:t>53</w:t>
      </w:r>
      <w:r w:rsidRPr="00D469D3">
        <w:t> % víno</w:t>
      </w:r>
      <w:r>
        <w:t xml:space="preserve"> sudové</w:t>
      </w:r>
      <w:r w:rsidRPr="00D469D3">
        <w:t>, u vína červeného vína</w:t>
      </w:r>
      <w:r>
        <w:t xml:space="preserve"> 60 % lahvové</w:t>
      </w:r>
      <w:r w:rsidRPr="00D469D3">
        <w:t xml:space="preserve">. Tradičně bylo největším odběratelem vína Slovensko, které nakoupilo </w:t>
      </w:r>
      <w:r>
        <w:t>178</w:t>
      </w:r>
      <w:r w:rsidRPr="00D469D3">
        <w:t> tis. hl (</w:t>
      </w:r>
      <w:r>
        <w:t>84</w:t>
      </w:r>
      <w:r w:rsidRPr="00D469D3">
        <w:t xml:space="preserve"> % celkového exportu vína) v hodnotě </w:t>
      </w:r>
      <w:r>
        <w:t>619</w:t>
      </w:r>
      <w:r w:rsidRPr="00D469D3">
        <w:t>,</w:t>
      </w:r>
      <w:r>
        <w:t>4</w:t>
      </w:r>
      <w:r w:rsidRPr="00D469D3">
        <w:t> mil. Kč</w:t>
      </w:r>
      <w:r>
        <w:t>, což bylo meziročně o 44 % méně.</w:t>
      </w:r>
    </w:p>
    <w:p w:rsidR="00567C4A" w:rsidRPr="00A20409" w:rsidRDefault="00567C4A" w:rsidP="000B7BEE">
      <w:r w:rsidRPr="00A20409">
        <w:t>Záporná obchodní bilance s vínem se v roce 201</w:t>
      </w:r>
      <w:r>
        <w:t>4</w:t>
      </w:r>
      <w:r w:rsidRPr="00A20409">
        <w:t xml:space="preserve"> meziročně v množstevním vyjádření o </w:t>
      </w:r>
      <w:r>
        <w:t xml:space="preserve">14 % zhoršila </w:t>
      </w:r>
      <w:r w:rsidRPr="00A20409">
        <w:t>a dosáhla 1 </w:t>
      </w:r>
      <w:r>
        <w:t>371</w:t>
      </w:r>
      <w:r w:rsidRPr="00A20409">
        <w:t xml:space="preserve"> tis. hl, zatímco ve finančním s částkou 3,7 mld. Kč</w:t>
      </w:r>
      <w:r>
        <w:t xml:space="preserve"> zůstala na stejné výši jako v roce 2013</w:t>
      </w:r>
      <w:r w:rsidRPr="00A20409">
        <w:t>.</w:t>
      </w:r>
    </w:p>
    <w:p w:rsidR="00567C4A" w:rsidRPr="00031A08" w:rsidRDefault="00567C4A" w:rsidP="000B7BEE">
      <w:r>
        <w:t>Na výrobu vína bylo v roce 2014</w:t>
      </w:r>
      <w:r w:rsidRPr="00031A08">
        <w:t xml:space="preserve"> </w:t>
      </w:r>
      <w:r>
        <w:t xml:space="preserve">proti předchozímu roku </w:t>
      </w:r>
      <w:r w:rsidRPr="00031A08">
        <w:t>dovezeno do ČR o třetinu více moštových hroznů v</w:t>
      </w:r>
      <w:r>
        <w:t xml:space="preserve"> </w:t>
      </w:r>
      <w:r w:rsidRPr="00031A08">
        <w:t xml:space="preserve">množství 9,8 tis. t za průměrnou cenu 20,45 Kč/kg. </w:t>
      </w:r>
      <w:r>
        <w:t xml:space="preserve">Jejich hlavním </w:t>
      </w:r>
      <w:r w:rsidRPr="00031A08">
        <w:lastRenderedPageBreak/>
        <w:t>dodavatelem bylo Slovensko (</w:t>
      </w:r>
      <w:r>
        <w:t>4,8</w:t>
      </w:r>
      <w:r w:rsidRPr="00031A08">
        <w:t> tis. t za 1</w:t>
      </w:r>
      <w:r>
        <w:t>0</w:t>
      </w:r>
      <w:r w:rsidRPr="00031A08">
        <w:t>,0</w:t>
      </w:r>
      <w:r>
        <w:t>8</w:t>
      </w:r>
      <w:r w:rsidRPr="00031A08">
        <w:t> Kč/kg)</w:t>
      </w:r>
      <w:r>
        <w:t xml:space="preserve">, následovalo </w:t>
      </w:r>
      <w:r w:rsidRPr="00031A08">
        <w:t>Maďarsko (</w:t>
      </w:r>
      <w:r>
        <w:t>2</w:t>
      </w:r>
      <w:r w:rsidRPr="00031A08">
        <w:t>,6 tis. t za</w:t>
      </w:r>
      <w:r>
        <w:t> </w:t>
      </w:r>
      <w:r w:rsidRPr="00031A08">
        <w:t>1</w:t>
      </w:r>
      <w:r>
        <w:t>0</w:t>
      </w:r>
      <w:r w:rsidRPr="00031A08">
        <w:t>,</w:t>
      </w:r>
      <w:r>
        <w:t>34</w:t>
      </w:r>
      <w:r w:rsidRPr="00031A08">
        <w:t> Kč/kg), a Itálie (1,</w:t>
      </w:r>
      <w:r>
        <w:t>0</w:t>
      </w:r>
      <w:r w:rsidRPr="00031A08">
        <w:t> tis. t za 32,</w:t>
      </w:r>
      <w:r>
        <w:t>13</w:t>
      </w:r>
      <w:r w:rsidRPr="00031A08">
        <w:t xml:space="preserve"> Kč/kg). Import moštových hroznů z těchto tří zemí činil </w:t>
      </w:r>
      <w:r>
        <w:t>8</w:t>
      </w:r>
      <w:r w:rsidRPr="00031A08">
        <w:t>6 % celkového dovozu moštových hroznů.</w:t>
      </w:r>
    </w:p>
    <w:p w:rsidR="00567C4A" w:rsidRDefault="00567C4A" w:rsidP="000B7BEE">
      <w:r w:rsidRPr="00751204">
        <w:t>Podle ČSÚ se průměrná spotřeba vína v roce 201</w:t>
      </w:r>
      <w:r>
        <w:t>3</w:t>
      </w:r>
      <w:r w:rsidRPr="00751204">
        <w:t xml:space="preserve"> proti předchozímu roku </w:t>
      </w:r>
      <w:r>
        <w:t xml:space="preserve">snížila </w:t>
      </w:r>
      <w:r w:rsidRPr="00751204">
        <w:t>o </w:t>
      </w:r>
      <w:r>
        <w:t>1</w:t>
      </w:r>
      <w:r w:rsidRPr="00751204">
        <w:t>,</w:t>
      </w:r>
      <w:r>
        <w:t>0</w:t>
      </w:r>
      <w:r w:rsidRPr="00751204">
        <w:t> l/obyv./rok na 1</w:t>
      </w:r>
      <w:r>
        <w:t>8</w:t>
      </w:r>
      <w:r w:rsidRPr="00751204">
        <w:t xml:space="preserve">,8 l/obyv./rok. Podle odhadu ÚZEI </w:t>
      </w:r>
      <w:r>
        <w:t xml:space="preserve">bude činit </w:t>
      </w:r>
      <w:r w:rsidRPr="00751204">
        <w:t>spotřeba vína v</w:t>
      </w:r>
      <w:r>
        <w:t> </w:t>
      </w:r>
      <w:r w:rsidRPr="00751204">
        <w:t>roce</w:t>
      </w:r>
      <w:r>
        <w:t> </w:t>
      </w:r>
      <w:r w:rsidRPr="00751204">
        <w:t>201</w:t>
      </w:r>
      <w:r>
        <w:t>4</w:t>
      </w:r>
      <w:r w:rsidRPr="00751204">
        <w:t xml:space="preserve"> cca </w:t>
      </w:r>
      <w:r>
        <w:t>19</w:t>
      </w:r>
      <w:r w:rsidRPr="00751204">
        <w:t>,</w:t>
      </w:r>
      <w:r>
        <w:t>5</w:t>
      </w:r>
      <w:r w:rsidRPr="00751204">
        <w:t> l</w:t>
      </w:r>
      <w:r w:rsidRPr="00751204">
        <w:rPr>
          <w:b/>
        </w:rPr>
        <w:t>/</w:t>
      </w:r>
      <w:r w:rsidRPr="00751204">
        <w:t>obyv./rok.</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09B8BF9D" wp14:editId="0F9BA83B">
            <wp:extent cx="5760720" cy="3592838"/>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60720" cy="3592838"/>
                    </a:xfrm>
                    <a:prstGeom prst="rect">
                      <a:avLst/>
                    </a:prstGeom>
                    <a:noFill/>
                    <a:ln>
                      <a:noFill/>
                    </a:ln>
                  </pic:spPr>
                </pic:pic>
              </a:graphicData>
            </a:graphic>
          </wp:inline>
        </w:drawing>
      </w:r>
    </w:p>
    <w:p w:rsidR="00567C4A" w:rsidRPr="002E47CA" w:rsidRDefault="00567C4A" w:rsidP="000B7BEE">
      <w:pPr>
        <w:pStyle w:val="mezera"/>
      </w:pPr>
    </w:p>
    <w:p w:rsidR="00567C4A" w:rsidRPr="00751204" w:rsidRDefault="00567C4A" w:rsidP="000B7BEE">
      <w:r w:rsidRPr="00751204">
        <w:t>Vinohradníci a vinaři čerpali v roce 201</w:t>
      </w:r>
      <w:r>
        <w:t>4</w:t>
      </w:r>
      <w:r w:rsidRPr="00751204">
        <w:t xml:space="preserve"> podpory jak z národních zdrojů, tak i z prostředků EU. Výše přímých plateb SAPS činila </w:t>
      </w:r>
      <w:r>
        <w:t>5</w:t>
      </w:r>
      <w:r w:rsidRPr="00751204">
        <w:t> </w:t>
      </w:r>
      <w:r>
        <w:t>997</w:t>
      </w:r>
      <w:r w:rsidRPr="00751204">
        <w:t>,</w:t>
      </w:r>
      <w:r>
        <w:t>23</w:t>
      </w:r>
      <w:r w:rsidRPr="00751204">
        <w:t> Kč na 1 ha užívané zemědělské půdy</w:t>
      </w:r>
      <w:r>
        <w:t>.</w:t>
      </w:r>
    </w:p>
    <w:p w:rsidR="00567C4A" w:rsidRDefault="00567C4A" w:rsidP="000B7BEE">
      <w:pPr>
        <w:rPr>
          <w:i/>
        </w:rPr>
      </w:pPr>
      <w:r>
        <w:t xml:space="preserve">V rámci SOT podali </w:t>
      </w:r>
      <w:r w:rsidRPr="008A06C5">
        <w:t xml:space="preserve">v roce 2014 </w:t>
      </w:r>
      <w:r>
        <w:t xml:space="preserve">vinohradníci </w:t>
      </w:r>
      <w:r w:rsidRPr="008A06C5">
        <w:t xml:space="preserve">na restrukturalizaci a přeměnu </w:t>
      </w:r>
      <w:r w:rsidRPr="00027340">
        <w:t xml:space="preserve">520 ha vinic </w:t>
      </w:r>
      <w:r>
        <w:t>120</w:t>
      </w:r>
      <w:r w:rsidRPr="00027340">
        <w:t> žádostí</w:t>
      </w:r>
      <w:r w:rsidRPr="008A06C5">
        <w:t xml:space="preserve"> </w:t>
      </w:r>
      <w:r>
        <w:t xml:space="preserve">na </w:t>
      </w:r>
      <w:r w:rsidRPr="008A06C5">
        <w:t>částk</w:t>
      </w:r>
      <w:r>
        <w:t>u</w:t>
      </w:r>
      <w:r w:rsidRPr="008A06C5">
        <w:t xml:space="preserve"> </w:t>
      </w:r>
      <w:r>
        <w:t>138</w:t>
      </w:r>
      <w:r w:rsidRPr="008A06C5">
        <w:t>,</w:t>
      </w:r>
      <w:r>
        <w:t>5 mil. Kč, z toho bylo 97 žádostí pro 463 ha vinic na částku 122,5 mil. Kč přijato.</w:t>
      </w:r>
      <w:r w:rsidRPr="008A06C5">
        <w:t xml:space="preserve"> </w:t>
      </w:r>
      <w:r>
        <w:t xml:space="preserve">Vyplaceno bylo v roce 2014 celkem 104 žádostí ve výši 106,2 mil. Kč pro 490 ha vinice. </w:t>
      </w:r>
      <w:r w:rsidRPr="008A06C5">
        <w:t>Veškeré finanční</w:t>
      </w:r>
      <w:r w:rsidRPr="0016223F">
        <w:rPr>
          <w:i/>
        </w:rPr>
        <w:t xml:space="preserve"> </w:t>
      </w:r>
      <w:r w:rsidRPr="008D26D3">
        <w:t>prostředky</w:t>
      </w:r>
      <w:r w:rsidRPr="0016223F">
        <w:rPr>
          <w:i/>
        </w:rPr>
        <w:t xml:space="preserve"> </w:t>
      </w:r>
      <w:r w:rsidRPr="008A06C5">
        <w:t>byly čerpány pouze ze zdrojů EU.</w:t>
      </w:r>
      <w:r w:rsidRPr="0016223F">
        <w:rPr>
          <w:i/>
        </w:rPr>
        <w:t xml:space="preserve"> </w:t>
      </w:r>
      <w:r>
        <w:t xml:space="preserve">Sazby pro jednotlivá </w:t>
      </w:r>
      <w:proofErr w:type="spellStart"/>
      <w:r>
        <w:t>podopatření</w:t>
      </w:r>
      <w:proofErr w:type="spellEnd"/>
      <w:r>
        <w:t xml:space="preserve"> byly stanoveny následovně: změna odrůdové skladby vinice 365 tis. Kč/ha (bez předchozího klučení vlastní vinice 290 tis. Kč/ha), přesun vinice do svahu 400 tis. Kč/ha (bez předchozího klučení vlastní vinice 325 tis. Kč/ha), snížení produkce révy vinné na jednom keři při současném zachování produkčního potenciálu zvýšením počtu keřů révy vinné 150 tis. Kč/ha (bez předchozího klučení vlastní vinice 75 tis. Kč/ha). </w:t>
      </w:r>
      <w:r w:rsidRPr="008A06C5">
        <w:t xml:space="preserve">V rámci SOT s vínem </w:t>
      </w:r>
      <w:r w:rsidR="008969A9">
        <w:t>„</w:t>
      </w:r>
      <w:r w:rsidRPr="008A06C5">
        <w:t>Investice</w:t>
      </w:r>
      <w:r w:rsidR="008969A9">
        <w:t>“</w:t>
      </w:r>
      <w:r w:rsidRPr="008A06C5">
        <w:t xml:space="preserve"> </w:t>
      </w:r>
      <w:r>
        <w:t>bylo v roce 2014 podáno 243 žádostí na částku 133,0 mil. Kč, z toho bylo 161 žádostí na 126,8 mil. Kč</w:t>
      </w:r>
      <w:r w:rsidRPr="00B90703">
        <w:t xml:space="preserve"> </w:t>
      </w:r>
      <w:r>
        <w:t>přijato. Z</w:t>
      </w:r>
      <w:r w:rsidRPr="008A06C5">
        <w:t xml:space="preserve">e zdrojů EU </w:t>
      </w:r>
      <w:r>
        <w:t xml:space="preserve">se v roce 2014 </w:t>
      </w:r>
      <w:r w:rsidRPr="008A06C5">
        <w:t>vypla</w:t>
      </w:r>
      <w:r>
        <w:t>tilo</w:t>
      </w:r>
      <w:r w:rsidRPr="0016223F">
        <w:rPr>
          <w:i/>
        </w:rPr>
        <w:t xml:space="preserve"> </w:t>
      </w:r>
      <w:r w:rsidRPr="00B90703">
        <w:t>162</w:t>
      </w:r>
      <w:r>
        <w:t xml:space="preserve"> žádostí </w:t>
      </w:r>
      <w:r w:rsidRPr="00590264">
        <w:t>ve</w:t>
      </w:r>
      <w:r>
        <w:t> </w:t>
      </w:r>
      <w:r w:rsidRPr="00590264">
        <w:t>výši</w:t>
      </w:r>
      <w:r w:rsidRPr="0016223F">
        <w:rPr>
          <w:i/>
        </w:rPr>
        <w:t xml:space="preserve"> </w:t>
      </w:r>
      <w:r w:rsidRPr="008A06C5">
        <w:t>28,3</w:t>
      </w:r>
      <w:r>
        <w:t> </w:t>
      </w:r>
      <w:r w:rsidRPr="008A06C5">
        <w:t>mil. Kč.</w:t>
      </w:r>
    </w:p>
    <w:p w:rsidR="00567C4A" w:rsidRDefault="00567C4A" w:rsidP="000B7BEE">
      <w:r>
        <w:lastRenderedPageBreak/>
        <w:t xml:space="preserve">V rámci Programu rozvoje venkova byla podporována </w:t>
      </w:r>
      <w:proofErr w:type="spellStart"/>
      <w:r w:rsidR="00142315">
        <w:t>agroenvironmentální</w:t>
      </w:r>
      <w:proofErr w:type="spellEnd"/>
      <w:r>
        <w:t xml:space="preserve"> opatření, která zahrnují i tituly ekologického zemědělství. Jedná se o podpory z prostředků EU </w:t>
      </w:r>
      <w:r w:rsidRPr="00590264">
        <w:t>(</w:t>
      </w:r>
      <w:r>
        <w:t>75</w:t>
      </w:r>
      <w:r w:rsidRPr="00590264">
        <w:t xml:space="preserve"> % </w:t>
      </w:r>
      <w:r>
        <w:t xml:space="preserve">nákladů) s kofinancováním ČR. </w:t>
      </w:r>
      <w:r w:rsidRPr="00557E52">
        <w:t xml:space="preserve">Pro osu II. Opatření II.1.3 </w:t>
      </w:r>
      <w:proofErr w:type="spellStart"/>
      <w:r>
        <w:t>A</w:t>
      </w:r>
      <w:r w:rsidRPr="00557E52">
        <w:t>groenvironmentální</w:t>
      </w:r>
      <w:proofErr w:type="spellEnd"/>
      <w:r w:rsidRPr="00557E52">
        <w:t xml:space="preserve"> opatření byla pro integrovanou produkci </w:t>
      </w:r>
      <w:r>
        <w:t xml:space="preserve">révy vinné </w:t>
      </w:r>
      <w:r w:rsidRPr="00C207D0">
        <w:t>pro rok 2014</w:t>
      </w:r>
      <w:r>
        <w:t xml:space="preserve"> </w:t>
      </w:r>
      <w:r w:rsidRPr="00C207D0">
        <w:t xml:space="preserve">stanovena </w:t>
      </w:r>
      <w:r w:rsidRPr="00557E52">
        <w:t xml:space="preserve">sazba </w:t>
      </w:r>
      <w:r>
        <w:t>507</w:t>
      </w:r>
      <w:r w:rsidRPr="00557E52">
        <w:t> €/ha, tj.</w:t>
      </w:r>
      <w:r>
        <w:t> </w:t>
      </w:r>
      <w:r w:rsidRPr="00C207D0">
        <w:t>1</w:t>
      </w:r>
      <w:r>
        <w:t>3</w:t>
      </w:r>
      <w:r w:rsidRPr="00C207D0">
        <w:t> 9</w:t>
      </w:r>
      <w:r>
        <w:t>33</w:t>
      </w:r>
      <w:r w:rsidRPr="00C207D0">
        <w:t> Kč/ha</w:t>
      </w:r>
      <w:r>
        <w:t xml:space="preserve"> (kurz 27,481 Kč/</w:t>
      </w:r>
      <w:r w:rsidRPr="00557E52">
        <w:t>€</w:t>
      </w:r>
      <w:r>
        <w:t>)</w:t>
      </w:r>
      <w:r w:rsidRPr="00C207D0">
        <w:t xml:space="preserve">. </w:t>
      </w:r>
      <w:r>
        <w:t>V</w:t>
      </w:r>
      <w:r w:rsidRPr="00D670E4">
        <w:t xml:space="preserve"> roce 2014 </w:t>
      </w:r>
      <w:r>
        <w:t xml:space="preserve">požádalo </w:t>
      </w:r>
      <w:r w:rsidRPr="00D670E4">
        <w:t>o</w:t>
      </w:r>
      <w:r>
        <w:t> </w:t>
      </w:r>
      <w:r w:rsidRPr="00D670E4">
        <w:t>podporu na integrovanou produkci révy vinné</w:t>
      </w:r>
      <w:r w:rsidRPr="008A06C5">
        <w:rPr>
          <w:i/>
        </w:rPr>
        <w:t xml:space="preserve"> </w:t>
      </w:r>
      <w:r w:rsidRPr="00D670E4">
        <w:t>591 vinohradníků pro 11 340 ha vinic</w:t>
      </w:r>
      <w:r w:rsidRPr="008A06C5">
        <w:rPr>
          <w:i/>
        </w:rPr>
        <w:t xml:space="preserve"> </w:t>
      </w:r>
      <w:r>
        <w:t>na částku 158,0 mil. Kč. Vyplaceno bylo na základě žádostí z předchozích let 144,5 mil. Kč.</w:t>
      </w:r>
    </w:p>
    <w:p w:rsidR="00567C4A" w:rsidRPr="00D462F7" w:rsidRDefault="00567C4A" w:rsidP="000B7BEE">
      <w:r w:rsidRPr="00446C5D">
        <w:t xml:space="preserve">Na ekologické pěstování révy vinné </w:t>
      </w:r>
      <w:r>
        <w:t xml:space="preserve">bylo podáno 70 žádostí </w:t>
      </w:r>
      <w:r w:rsidRPr="00446C5D">
        <w:t>(sazba 849 €/ha, tj. 2</w:t>
      </w:r>
      <w:r>
        <w:t>3</w:t>
      </w:r>
      <w:r w:rsidRPr="00446C5D">
        <w:t> </w:t>
      </w:r>
      <w:r>
        <w:t>331</w:t>
      </w:r>
      <w:r w:rsidRPr="00446C5D">
        <w:t> Kč/ha</w:t>
      </w:r>
      <w:r>
        <w:t>)</w:t>
      </w:r>
      <w:r w:rsidRPr="00446C5D">
        <w:t xml:space="preserve">. </w:t>
      </w:r>
      <w:r>
        <w:t>V</w:t>
      </w:r>
      <w:r w:rsidRPr="00446C5D">
        <w:t>ýše podpory</w:t>
      </w:r>
      <w:r>
        <w:t xml:space="preserve"> pro rok 2014 </w:t>
      </w:r>
      <w:r w:rsidRPr="00D462F7">
        <w:t xml:space="preserve">na </w:t>
      </w:r>
      <w:r>
        <w:t>855</w:t>
      </w:r>
      <w:r w:rsidRPr="00D462F7">
        <w:t xml:space="preserve"> ha vinic činí </w:t>
      </w:r>
      <w:r>
        <w:t>20</w:t>
      </w:r>
      <w:r w:rsidRPr="00D462F7">
        <w:t>,</w:t>
      </w:r>
      <w:r>
        <w:t>0</w:t>
      </w:r>
      <w:r w:rsidRPr="00D462F7">
        <w:t> mil. Kč.</w:t>
      </w:r>
    </w:p>
    <w:p w:rsidR="00567C4A" w:rsidRPr="003D20E1" w:rsidRDefault="00567C4A" w:rsidP="000B7BEE">
      <w:r w:rsidRPr="003D20E1">
        <w:t>Z národních dotací byl</w:t>
      </w:r>
      <w:r>
        <w:t>y</w:t>
      </w:r>
      <w:r w:rsidRPr="003D20E1">
        <w:t xml:space="preserve"> v roce 201</w:t>
      </w:r>
      <w:r>
        <w:t>4</w:t>
      </w:r>
      <w:r w:rsidRPr="003D20E1">
        <w:t xml:space="preserve"> vinohradníkům a vinařům vyplacen</w:t>
      </w:r>
      <w:r>
        <w:t>y</w:t>
      </w:r>
      <w:r w:rsidRPr="003D20E1">
        <w:t xml:space="preserve"> </w:t>
      </w:r>
      <w:r>
        <w:t>dotace</w:t>
      </w:r>
      <w:r w:rsidRPr="003D20E1">
        <w:t xml:space="preserve"> na</w:t>
      </w:r>
      <w:r>
        <w:t> </w:t>
      </w:r>
      <w:r w:rsidRPr="003D20E1">
        <w:t>zavlažování 4</w:t>
      </w:r>
      <w:r>
        <w:t>0</w:t>
      </w:r>
      <w:r w:rsidRPr="003D20E1">
        <w:t xml:space="preserve"> ha vinic na základě 5 schválených žádostí ve výši </w:t>
      </w:r>
      <w:r>
        <w:t>1,5</w:t>
      </w:r>
      <w:r w:rsidRPr="003D20E1">
        <w:t> </w:t>
      </w:r>
      <w:r>
        <w:t>mil</w:t>
      </w:r>
      <w:r w:rsidRPr="003D20E1">
        <w:t>. Kč.</w:t>
      </w:r>
      <w:r w:rsidRPr="009D1093">
        <w:rPr>
          <w:i/>
        </w:rPr>
        <w:t xml:space="preserve"> </w:t>
      </w:r>
      <w:r w:rsidRPr="003D20E1">
        <w:t>Na podporu budování prostorových izolátů množitelského materiálu révy vinné</w:t>
      </w:r>
      <w:r>
        <w:t xml:space="preserve"> se zaměřením na ochranu proti šíření hospodářsky závažných virových chorob </w:t>
      </w:r>
      <w:r w:rsidRPr="003D20E1">
        <w:t xml:space="preserve">byla </w:t>
      </w:r>
      <w:r>
        <w:t>5</w:t>
      </w:r>
      <w:r w:rsidRPr="003D20E1">
        <w:t xml:space="preserve"> žadatelům přiznána dotace </w:t>
      </w:r>
      <w:r>
        <w:t>780</w:t>
      </w:r>
      <w:r w:rsidRPr="003D20E1">
        <w:t>,</w:t>
      </w:r>
      <w:r>
        <w:t>6</w:t>
      </w:r>
      <w:r w:rsidRPr="003D20E1">
        <w:t xml:space="preserve"> tis. Kč, na 1 žádost testování množitelského materiálu révy vinné </w:t>
      </w:r>
      <w:r>
        <w:t>96,0 </w:t>
      </w:r>
      <w:r w:rsidRPr="003D20E1">
        <w:t>tis. Kč (včetně peckovin). Dále byly poskytnuty finanční prostředky 2 ž</w:t>
      </w:r>
      <w:r>
        <w:t>adatelům</w:t>
      </w:r>
      <w:r w:rsidRPr="003D20E1">
        <w:t xml:space="preserve"> pro podporu šlechtění révy vinné v částce </w:t>
      </w:r>
      <w:r>
        <w:t>3</w:t>
      </w:r>
      <w:r w:rsidRPr="003D20E1">
        <w:t>,</w:t>
      </w:r>
      <w:r>
        <w:t>3</w:t>
      </w:r>
      <w:r w:rsidRPr="003D20E1">
        <w:t xml:space="preserve"> mil. Kč, na podporu evropské integrace nevládních organizací (SVČR) </w:t>
      </w:r>
      <w:r>
        <w:t>byla čerpána částka 11</w:t>
      </w:r>
      <w:r w:rsidRPr="003D20E1">
        <w:t>6,</w:t>
      </w:r>
      <w:r>
        <w:t>9</w:t>
      </w:r>
      <w:r w:rsidRPr="003D20E1">
        <w:t xml:space="preserve"> tis. Kč a </w:t>
      </w:r>
      <w:r>
        <w:t xml:space="preserve">na </w:t>
      </w:r>
      <w:r w:rsidRPr="003D20E1">
        <w:t>1 projekt na </w:t>
      </w:r>
      <w:r>
        <w:t xml:space="preserve">podporu </w:t>
      </w:r>
      <w:r w:rsidRPr="003D20E1">
        <w:t>zpracování zemědělských produktů a</w:t>
      </w:r>
      <w:r>
        <w:t> </w:t>
      </w:r>
      <w:r w:rsidRPr="003D20E1">
        <w:t xml:space="preserve">zvyšování konkurenceschopnosti potravinářského průmyslu </w:t>
      </w:r>
      <w:r>
        <w:t xml:space="preserve">činila dotace </w:t>
      </w:r>
      <w:r w:rsidRPr="003D20E1">
        <w:t>2,</w:t>
      </w:r>
      <w:r>
        <w:t>2</w:t>
      </w:r>
      <w:r w:rsidRPr="003D20E1">
        <w:t> mil. Kč. Celkem obdrželi v roce 201</w:t>
      </w:r>
      <w:r>
        <w:t>4</w:t>
      </w:r>
      <w:r w:rsidRPr="003D20E1">
        <w:t xml:space="preserve"> vinohradníci a vinaři národní dotace ve výši 8,</w:t>
      </w:r>
      <w:r>
        <w:t>0</w:t>
      </w:r>
      <w:r w:rsidRPr="003D20E1">
        <w:t> mil. Kč.</w:t>
      </w:r>
    </w:p>
    <w:p w:rsidR="00567C4A" w:rsidRPr="00B4789F" w:rsidRDefault="00567C4A" w:rsidP="000B7BEE">
      <w:r w:rsidRPr="00B4789F">
        <w:t>Rozvoj vinohradnictví a vinařství v ČR podporuje Vinařský fond. Příjmy Vinařského fondu jsou tvořeny především odvody za víno poprvé uvedené do oběhu (0,50 Kč/l), odvody z plochy vinic (350 Kč/ha), příjmy z prodeje produktů, dotacemi z rozpočtu krajů, finanční podporou státu aj. V roce 201</w:t>
      </w:r>
      <w:r>
        <w:t>4</w:t>
      </w:r>
      <w:r w:rsidRPr="00B4789F">
        <w:t xml:space="preserve"> získal Vinařský fond finanční prostředky ve výši </w:t>
      </w:r>
      <w:r>
        <w:t>64</w:t>
      </w:r>
      <w:r w:rsidRPr="00B4789F">
        <w:t>,</w:t>
      </w:r>
      <w:r>
        <w:t>5</w:t>
      </w:r>
      <w:r w:rsidRPr="00B4789F">
        <w:t> mil. Kč, z toho činila podpora státu 5</w:t>
      </w:r>
      <w:r>
        <w:t>0</w:t>
      </w:r>
      <w:r w:rsidRPr="00B4789F">
        <w:t xml:space="preserve"> % a odvody za víno </w:t>
      </w:r>
      <w:r>
        <w:t>32</w:t>
      </w:r>
      <w:r w:rsidRPr="00B4789F">
        <w:t xml:space="preserve"> %. Výdaje Vinařského fondu v částce </w:t>
      </w:r>
      <w:r>
        <w:t>58</w:t>
      </w:r>
      <w:r w:rsidRPr="00B4789F">
        <w:t>,</w:t>
      </w:r>
      <w:r>
        <w:t>5</w:t>
      </w:r>
      <w:r w:rsidRPr="00B4789F">
        <w:t> mil. Kč byly určeny především na propagaci</w:t>
      </w:r>
      <w:r>
        <w:t xml:space="preserve"> vína</w:t>
      </w:r>
      <w:r w:rsidRPr="00B4789F">
        <w:t xml:space="preserve">, z toho </w:t>
      </w:r>
      <w:r>
        <w:t xml:space="preserve">57 % </w:t>
      </w:r>
      <w:r w:rsidRPr="00B4789F">
        <w:t xml:space="preserve">na komunikační kampaň značky </w:t>
      </w:r>
      <w:r w:rsidR="008969A9">
        <w:t>„</w:t>
      </w:r>
      <w:r w:rsidRPr="00B4789F">
        <w:t>Vína z Moravy, vína z Čech</w:t>
      </w:r>
      <w:r w:rsidR="008969A9">
        <w:t>“</w:t>
      </w:r>
      <w:r w:rsidRPr="00B4789F">
        <w:t xml:space="preserve"> (a značek </w:t>
      </w:r>
      <w:r w:rsidR="008969A9">
        <w:t>„</w:t>
      </w:r>
      <w:r w:rsidRPr="00B4789F">
        <w:t>Svatomartinské</w:t>
      </w:r>
      <w:r w:rsidR="008969A9">
        <w:t>“</w:t>
      </w:r>
      <w:r w:rsidRPr="00B4789F">
        <w:t xml:space="preserve"> a</w:t>
      </w:r>
      <w:r w:rsidR="00436EB7">
        <w:t xml:space="preserve"> </w:t>
      </w:r>
      <w:r w:rsidR="008969A9">
        <w:t>„</w:t>
      </w:r>
      <w:r w:rsidRPr="00B4789F">
        <w:t>Růžové CZ</w:t>
      </w:r>
      <w:r w:rsidR="008969A9">
        <w:t>“</w:t>
      </w:r>
      <w:r w:rsidRPr="00B4789F">
        <w:t>).</w:t>
      </w:r>
    </w:p>
    <w:p w:rsidR="00567C4A" w:rsidRPr="00074C0F" w:rsidRDefault="00567C4A" w:rsidP="000B7BEE">
      <w:pPr>
        <w:pStyle w:val="Nadpis3"/>
      </w:pPr>
      <w:bookmarkStart w:id="218" w:name="_Toc424307076"/>
      <w:r w:rsidRPr="00074C0F">
        <w:t>8.1.9</w:t>
      </w:r>
      <w:r w:rsidRPr="00074C0F">
        <w:tab/>
        <w:t>Okrasná produkce</w:t>
      </w:r>
      <w:bookmarkEnd w:id="218"/>
    </w:p>
    <w:p w:rsidR="00567C4A" w:rsidRPr="00074C0F" w:rsidRDefault="00567C4A" w:rsidP="000B7BEE">
      <w:r w:rsidRPr="00074C0F">
        <w:t>V ČR okrasné zahradnictví zahrnuje květinářství, okrasné a ovocné školkařství. V roce 2014 se podle ČSÚ podílel tento sektor 4,8 % na tuzemské rostlinné produkci a 2,7 % na celkové zemědělské produkci. Produkce v roce 2014 byla 3,8 mld. Kč.</w:t>
      </w:r>
    </w:p>
    <w:p w:rsidR="00567C4A" w:rsidRPr="00074C0F" w:rsidRDefault="00567C4A" w:rsidP="00341CED">
      <w:r w:rsidRPr="008467D5">
        <w:t>V roce 2014 vzrostla produkce květin oproti roku 2013 o 5,3 % na hodnotu 2 mld. Kč. V české květinářské produkci dochází v posledních letech k růstu produkce zejména v pěstování záhonových a hrnkových rostlin. K poklesu produkce dochází u čerstvých řezaných květin a zeleně. V roce 2014 dosáhla záhonová produkce podílu 50,5% na celkovém objemu tuzemské květinářské produkce a činila cca 1 mld. Kč. U hrnkových rostlin činil podíl 36,4 % na</w:t>
      </w:r>
      <w:r w:rsidRPr="00074C0F">
        <w:t xml:space="preserve"> celkové produkci a ve finančním vyjádření dosáhl 730 mil. Kč. Produkce čerstvě </w:t>
      </w:r>
      <w:r w:rsidRPr="00074C0F">
        <w:lastRenderedPageBreak/>
        <w:t>řezaných květin se podílela 4,6 % na celkové květinářské produkci a dosáhla 92 mil. Kč. Produkce sušených květin, cibulovin a osiva květin více méně stagnuje.</w:t>
      </w:r>
    </w:p>
    <w:p w:rsidR="00341CED" w:rsidRPr="00341CED" w:rsidRDefault="00341CED" w:rsidP="00341CED">
      <w:r w:rsidRPr="00341CED">
        <w:t xml:space="preserve">Plochy květin, okrasných rostlin a školek v meziročním srovnání vzrostly na </w:t>
      </w:r>
      <w:r w:rsidR="00F423CC">
        <w:t>2 233</w:t>
      </w:r>
      <w:r w:rsidRPr="00341CED">
        <w:t xml:space="preserve"> ha, tj. o 10 %, a to především díky nárůstu ploch školek ovocných i okrasných druhů (o 13 %). Květinářství je úzce spojeno s pěstováním květin na krytých plochách, především ve sklenících. Výměra plochy ve sklenících prakticky stagnuje, plochy nebyly od roku 2006 šetřeny ČSÚ, dle odhadu odborných svazů jsou květiny pěstovány na 117 ha skleníků a 13 ha fóliovníků. Průměrné stáří skleníků přesahuje 30 let.</w:t>
      </w:r>
    </w:p>
    <w:p w:rsidR="00567C4A" w:rsidRPr="00074C0F" w:rsidRDefault="00567C4A" w:rsidP="00341CED">
      <w:r w:rsidRPr="00074C0F">
        <w:t xml:space="preserve">Prodej květin v meziročním srovnání v roce 2014 vzrostl o 10 % na 936 Kč/os./rok. Čeští producenti květin podporují marketingovou akci </w:t>
      </w:r>
      <w:r w:rsidR="008969A9">
        <w:t>„</w:t>
      </w:r>
      <w:r w:rsidRPr="00074C0F">
        <w:t>Česká květina</w:t>
      </w:r>
      <w:r w:rsidR="008969A9">
        <w:t>“</w:t>
      </w:r>
      <w:r w:rsidRPr="00074C0F">
        <w:t>, která se pomalu dostává do povědomí koncových zákazníků. Prodej přes obchodní řetězce hraje významnou roli, tzv. odborný prodej přes prodejny a zahradní centra nadále stagnuje. I v roce 2014 pokračovala rostoucí poptávka po hrnkových a záhonových rostlinách, pokles poptávky byl zaznamenán zejména po řezaných květinách, doplňkové zeleni, sušených a upravovaných květinách. V roce 2014 oproti roku 2013 spotřeba květin, sadby a osiv vyjádřená ve spotřebitelských cenách vzrostla o 10 % na 9,4 mld. Kč, z toho spotřeba řezaných květin posílila o 36 % na 3,0 mld. Kč, záhonových rostlin o 4 % na 2,6 mld. Kč a hrnkových rostlin oslabila o 6 % na 3,0 mld. Kč.</w:t>
      </w:r>
    </w:p>
    <w:p w:rsidR="00567C4A" w:rsidRPr="00074C0F" w:rsidRDefault="00567C4A" w:rsidP="000B7BEE">
      <w:r w:rsidRPr="00074C0F">
        <w:t>Spotřebitelské ceny květin se v ČR meziročně neustále zvyšují. V roce 2014 meziročně vzrostla průměrná roční spotřebitelská cena africké fialky o 5 % na 60,22 </w:t>
      </w:r>
      <w:r w:rsidR="00775832">
        <w:t xml:space="preserve">Kč/ks, růže velkokvěté řezané o více než </w:t>
      </w:r>
      <w:r w:rsidRPr="00074C0F">
        <w:t xml:space="preserve">4 % na 52,32 Kč/ks, řezaného karafiátu velkokvětého </w:t>
      </w:r>
      <w:r>
        <w:t>o 4 % </w:t>
      </w:r>
      <w:r w:rsidRPr="00074C0F">
        <w:t>na 19,92 Kč/ks, řezané gerbery o 2 % na 36,28 Kč/ks a řezané chryzantémy o 3 % na 39,94 Kč/ks.</w:t>
      </w:r>
    </w:p>
    <w:p w:rsidR="00567C4A" w:rsidRDefault="00567C4A" w:rsidP="000B7BEE">
      <w:r w:rsidRPr="00074C0F">
        <w:t>Zahraniční obchod s květinami v ČR je vysoce pasivní. Podle předběžných údajů se v roce 2014 dovezly do ČR květiny za 3</w:t>
      </w:r>
      <w:r w:rsidR="00775832">
        <w:t xml:space="preserve"> </w:t>
      </w:r>
      <w:r w:rsidRPr="00074C0F">
        <w:t>mld. Kč.</w:t>
      </w:r>
      <w:r w:rsidRPr="00074C0F">
        <w:rPr>
          <w:i/>
        </w:rPr>
        <w:t xml:space="preserve"> </w:t>
      </w:r>
      <w:r w:rsidRPr="00074C0F">
        <w:t>Největším dodavatelem květin do ČR bylo Nizozemsko, následovalo Německo, Dánsko, Itálie a Polsko. Hlavní dováženou komoditou byly i v roce 2014 čerstvé řezané květiny.</w:t>
      </w:r>
    </w:p>
    <w:p w:rsidR="00567C4A" w:rsidRDefault="00567C4A" w:rsidP="000B7BEE">
      <w:r w:rsidRPr="00074C0F">
        <w:t>Vývoz a reexport květinářských produktů z ČR, který v roce 2013 významně vzrostl, v roce 2014 opět poklesl o 13 % na 0,7 mld. Kč. Nejvíce se na exportu podílely venkovní rostliny, v roce 2014 došlo k poklesu podílu řezaných rostlin. Hlavním odběratelem bylo Nizozemsko, Německo, Rakousko a Slovensko. Osiva</w:t>
      </w:r>
      <w:r>
        <w:t xml:space="preserve"> se nejvíce dovážela do Ruska a </w:t>
      </w:r>
      <w:r w:rsidRPr="00074C0F">
        <w:t>na Slovensko. Záporné saldo zahraničního obchodu se meziročně zhoršilo o 9 % a dosáhlo 2,3 mld. Kč.</w:t>
      </w:r>
    </w:p>
    <w:p w:rsidR="00567C4A" w:rsidRPr="002E47CA" w:rsidRDefault="00567C4A" w:rsidP="000B7BEE">
      <w:pPr>
        <w:pStyle w:val="mezera"/>
      </w:pPr>
    </w:p>
    <w:p w:rsidR="00567C4A" w:rsidRPr="002E47CA" w:rsidRDefault="00567C4A" w:rsidP="000B7BEE">
      <w:pPr>
        <w:pStyle w:val="mezera"/>
      </w:pPr>
      <w:r w:rsidRPr="002E47CA">
        <w:rPr>
          <w:noProof/>
          <w:lang w:eastAsia="cs-CZ"/>
        </w:rPr>
        <w:lastRenderedPageBreak/>
        <w:drawing>
          <wp:inline distT="0" distB="0" distL="0" distR="0" wp14:anchorId="619189C4" wp14:editId="275F1619">
            <wp:extent cx="5760720" cy="1374218"/>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720" cy="1374218"/>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Okrasné školkařství</w:t>
      </w:r>
      <w:r w:rsidRPr="00074C0F">
        <w:rPr>
          <w:b/>
        </w:rPr>
        <w:t xml:space="preserve"> </w:t>
      </w:r>
      <w:r w:rsidRPr="00074C0F">
        <w:t xml:space="preserve">není ve světovém i evropském měřítku předmětem pravidelných statistických šetření. Evropské školkařství lze charakterizovat rozvojem ploch, produkce i obchodu. Produkce školkařských výpěstků okrasných v ČR roste. V roce 2013 vzrostla jak výměra školek o 8 % na 1 485 ha, tak i </w:t>
      </w:r>
      <w:proofErr w:type="spellStart"/>
      <w:r w:rsidRPr="00074C0F">
        <w:t>kontejneroven</w:t>
      </w:r>
      <w:proofErr w:type="spellEnd"/>
      <w:r w:rsidRPr="00074C0F">
        <w:t xml:space="preserve"> o 33 % na 262 ha.</w:t>
      </w:r>
    </w:p>
    <w:p w:rsidR="00567C4A" w:rsidRPr="00074C0F" w:rsidRDefault="00567C4A" w:rsidP="000B7BEE">
      <w:r w:rsidRPr="00074C0F">
        <w:t>Dovoz školkařských výpěstků do ČR v posledních dvou letech významně posílil. V roce 2014 vzrostl dovoz školkařských výpěstků okrasných druhů o 7 % na 729 mil. Kč. K nejvýznamnějším dodavatelům patřilo tradičně Nizozemsko, Německo, Itálie, Maďarsko a Rakousko. Vývoz a reexport školkařských výpěstků v meziročním srovnání v roce 2014 vzrostl o 15 % na 210 mil. Kč. K hlavním vývozním destinacím patřilo Slovensko, Německo, Polsko a Nizozemsko. Bilance zahraničního obchodu se školkařskými výpěstky je dlouhodobě pasivní. Záporné saldo zahraničního obchodu se zhoršilo o 4 % a dosáhlo 519 mil. Kč.</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05DF7429" wp14:editId="6877E969">
            <wp:extent cx="5760720" cy="1314888"/>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1314888"/>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074C0F">
        <w:t xml:space="preserve">V roce 2014 čerpali producenti </w:t>
      </w:r>
      <w:r>
        <w:t xml:space="preserve">okrasné produkce </w:t>
      </w:r>
      <w:r w:rsidRPr="00074C0F">
        <w:t>podpory z národních prostředků i ze zdrojů EU. V roce 2014 mohli čerpat jednotnou přímou platbu poskytovanou na hektar užívané zemědělské plochy (SAPS), která byla pro rok 2014 stanovena ve výši 5 997,</w:t>
      </w:r>
      <w:r>
        <w:t>23 </w:t>
      </w:r>
      <w:r w:rsidRPr="00074C0F">
        <w:t>Kč/ha zemědělské půdy. V rámci přechodné vnitrostátní podpory mohli požádat o platbu na zemědělskou půdu ve výši 185,06 Kč/ha.</w:t>
      </w:r>
      <w:r w:rsidRPr="00074C0F">
        <w:rPr>
          <w:i/>
        </w:rPr>
        <w:t xml:space="preserve"> </w:t>
      </w:r>
      <w:r w:rsidRPr="00074C0F">
        <w:t>Z národních dotací bylo pěstitelům v roce 2014 vyplaceno na pořádání výstav 1,4 mil. Kč a na pořá</w:t>
      </w:r>
      <w:r w:rsidR="00775832">
        <w:t>dání seminářů 0,05 mil. Kč.</w:t>
      </w:r>
    </w:p>
    <w:p w:rsidR="00567C4A" w:rsidRPr="00F51151" w:rsidRDefault="00567C4A" w:rsidP="000B7BEE">
      <w:pPr>
        <w:pStyle w:val="Nadpis3"/>
      </w:pPr>
      <w:bookmarkStart w:id="219" w:name="_Toc424307077"/>
      <w:r>
        <w:t>8.1.10</w:t>
      </w:r>
      <w:r>
        <w:tab/>
      </w:r>
      <w:r w:rsidRPr="00F51151">
        <w:t>Léčivé, aromatické a kořeninové rostliny (LAKR)</w:t>
      </w:r>
      <w:bookmarkEnd w:id="219"/>
    </w:p>
    <w:p w:rsidR="00567C4A" w:rsidRDefault="00567C4A" w:rsidP="000B7BEE">
      <w:r>
        <w:t xml:space="preserve">Plochy, na kterých se pěstují LAKR, se od roku 2011 snižují. V ČR byly v roce 2014 pěstovány léčivé, aromatické a kořeninové </w:t>
      </w:r>
      <w:r w:rsidR="00F941C5">
        <w:t xml:space="preserve">rostliny </w:t>
      </w:r>
      <w:r>
        <w:t xml:space="preserve">na ploše 5,6 tis. ha (další meziroční pokles o 2 %). Produkce dosáhla 5,1 tis. t (meziroční nárůst o 34 %) a průměrný hektarový výnos byl ve výši 0,91 t/ha. Léčivé rostliny se pěstovaly na výměře 3,3 tis. ha, kořeninové na 2,3 tis. ha, z toho 96 % plochy bylo určeno kmínu kořennému. Dále patří mezi významné komodity </w:t>
      </w:r>
      <w:r>
        <w:lastRenderedPageBreak/>
        <w:t>ostropestřec mariánský s plochou v roce 2014 ve výši 4,5 tis. ha. Z LAKR pěstovanými na malé rozloze patří mezi nejdůležitější koriandr setý, fenykl obecný a heřmánek lékařský.</w:t>
      </w:r>
    </w:p>
    <w:p w:rsidR="00567C4A" w:rsidRDefault="00567C4A" w:rsidP="000B7BEE">
      <w:r>
        <w:t>Použití a obliba zeleného koření, tj. čerstvě řezaných natí některých druhů LAKR, v ČR stále stoupá. Tyto druhy jsou pak současně také pěstovány jako hrnkové či kontejnerové živé rostliny, především v podnicích okrasného zahradnictví.</w:t>
      </w:r>
    </w:p>
    <w:p w:rsidR="00567C4A" w:rsidRDefault="00567C4A" w:rsidP="000B7BEE">
      <w:r>
        <w:t xml:space="preserve">Podíl ekologického pěstování LAKR se podle šetření ÚZEI v ČR stále zvyšuje. V roce 2013 byly pěstovány na 1,9 tis. ha s výnosem 0,57 t/ha a nabývají stále většího významu. Převážná většina vypěstovaných LAKR (80 % v roce 2013) byla </w:t>
      </w:r>
      <w:proofErr w:type="spellStart"/>
      <w:r>
        <w:t>odbytována</w:t>
      </w:r>
      <w:proofErr w:type="spellEnd"/>
      <w:r>
        <w:t xml:space="preserve"> jako BIO produkt. Více než dvě třetiny ekologické produkce j</w:t>
      </w:r>
      <w:r w:rsidR="00C81DD3">
        <w:t>sou</w:t>
      </w:r>
      <w:r>
        <w:t xml:space="preserve"> určen</w:t>
      </w:r>
      <w:r w:rsidR="00C81DD3">
        <w:t>y</w:t>
      </w:r>
      <w:r>
        <w:t xml:space="preserve"> pro export.</w:t>
      </w:r>
    </w:p>
    <w:p w:rsidR="00567C4A" w:rsidRDefault="00567C4A" w:rsidP="000B7BEE">
      <w:r>
        <w:t>Vyvezeno bylo v roce 2014 z ČR 3,4 tis. t koření, tj. meziročně o 6 % více. Nejsilnější exportní položkou byl kmín, který se na realizovaném vývozu podílel 45 %. Třetina exportu byla dodána na Slovensko, pětina do Německa a 13 % odebralo Polsko.</w:t>
      </w:r>
    </w:p>
    <w:p w:rsidR="00567C4A" w:rsidRDefault="00567C4A" w:rsidP="000B7BEE">
      <w:pPr>
        <w:rPr>
          <w:szCs w:val="24"/>
        </w:rPr>
      </w:pPr>
      <w:r>
        <w:t xml:space="preserve">Dovoz koření do ČR v roce 2014 byl ve výši 8,4 tis. t (meziroční pokles o 3 %). Dovážena byla především paprika, zázvor, pepř a také kmín. Tradičním dodavateli </w:t>
      </w:r>
      <w:r w:rsidR="00C81DD3">
        <w:t>byla</w:t>
      </w:r>
      <w:r>
        <w:t xml:space="preserve"> Čína (18% podíl na celkovém dovozu koření), Španělsko (16 % realizovaného importu), Polsko (12 %) a Vietnam </w:t>
      </w:r>
      <w:r w:rsidRPr="00987A97">
        <w:rPr>
          <w:szCs w:val="24"/>
        </w:rPr>
        <w:t>(9 %). Tyto čtyři země se tak na celkových dodávkách koření podílely 55 %.</w:t>
      </w:r>
    </w:p>
    <w:p w:rsidR="00567C4A" w:rsidRDefault="00567C4A" w:rsidP="000B7BEE">
      <w:r>
        <w:t>Bilance zahraničního obchodu s kořením byla v roce 2014, stejně jako v letech předchozích, záporná a v množstevním vyjádření byla ve výši 5,4 tis. t, ve finančním 601,4 mil. Kč (meziroční zhoršení o 18 %).</w:t>
      </w:r>
    </w:p>
    <w:p w:rsidR="00567C4A" w:rsidRDefault="00567C4A" w:rsidP="000B7BEE">
      <w:r>
        <w:t>V zahraničním obchodu ČR s léčivými rostlinami pro voňavkářství a farmacii převažuje dovoz. Důvodem je odklon od pěstování makoviny, jejímž výhradním odběratelem a zpracovatelem bylo Slovensko. Dovoz léčivých rostlin pro farmaceutické a kosmetické zpracování činil 3,8 tis. t. Dodavateli léčivých rostlin již bylo tradičně Polsko, Bulharsko, Kanada a Německo. Vyvezeno bylo 2,0 tis. t léčivých rostlin. Bilance zahraničního obchodu byla v roce 2014, stejně jako v letech předchozích, záporná a dosáhla v množstevním vyjádření 1,8 tis. t, ve finančním 221,7 mil. Kč.</w:t>
      </w:r>
    </w:p>
    <w:p w:rsidR="00567C4A" w:rsidRDefault="00567C4A" w:rsidP="000B7BEE">
      <w:r>
        <w:t>Významnou českou exportní komoditou je kmín. Z ČR je každoročně vyvezeno v průměru 50 % tuzemské produkce kmínu. V roce 2014 bylo z ČR vyvezeno 1,5 tis. t kmínu v hodnotě téměř 63,0 mil. Kč, především na Slovensko, do Polska, Maďarska a Rakouska. Dovoz kmínu do ČR se v roce 2014 zvýšil na 830 t (22 % nárůst), jeho dovozní hodnota činila 38,3 mil. Kč. Hlavními dodavateli bylo Polsko, Slovensko a Finsko.</w:t>
      </w:r>
    </w:p>
    <w:p w:rsidR="00567C4A" w:rsidRDefault="00567C4A" w:rsidP="000B7BEE">
      <w:r>
        <w:t>Průměrná spotřebitelská cena kmínu v roce 2014 činila 36,15 Kč/kg a byla ve srovnání s rokem předchozím mírně vyšší.</w:t>
      </w:r>
    </w:p>
    <w:p w:rsidR="007A7DB7" w:rsidRPr="00074C0F" w:rsidRDefault="007A7DB7" w:rsidP="007A7DB7">
      <w:pPr>
        <w:pStyle w:val="Nadpis2"/>
      </w:pPr>
      <w:bookmarkStart w:id="220" w:name="_Toc424307078"/>
      <w:r w:rsidRPr="00074C0F">
        <w:lastRenderedPageBreak/>
        <w:t>8.</w:t>
      </w:r>
      <w:r>
        <w:t>2</w:t>
      </w:r>
      <w:r w:rsidRPr="00074C0F">
        <w:tab/>
      </w:r>
      <w:r>
        <w:t>Živočišná</w:t>
      </w:r>
      <w:r w:rsidRPr="00074C0F">
        <w:t xml:space="preserve"> produkce celkem a podle rozhodujících komodit</w:t>
      </w:r>
      <w:bookmarkEnd w:id="220"/>
    </w:p>
    <w:p w:rsidR="00567C4A" w:rsidRDefault="00567C4A" w:rsidP="000B7BEE">
      <w:pPr>
        <w:pStyle w:val="Nadpis3"/>
      </w:pPr>
      <w:bookmarkStart w:id="221" w:name="_Toc424307079"/>
      <w:r w:rsidRPr="003D7899">
        <w:t>8.2.1</w:t>
      </w:r>
      <w:r w:rsidRPr="003D7899">
        <w:tab/>
        <w:t>Skot – mléko, hovězí maso</w:t>
      </w:r>
      <w:bookmarkEnd w:id="221"/>
    </w:p>
    <w:p w:rsidR="00567C4A" w:rsidRPr="003D7899" w:rsidRDefault="00567C4A" w:rsidP="000B7BEE">
      <w:pPr>
        <w:pStyle w:val="Norm-Bold"/>
      </w:pPr>
      <w:r w:rsidRPr="003D7899">
        <w:t>Mléko</w:t>
      </w:r>
    </w:p>
    <w:p w:rsidR="00567C4A" w:rsidRDefault="00567C4A" w:rsidP="000B7BEE">
      <w:r w:rsidRPr="003D7899">
        <w:t>Na světovém trhu s mlékem panovala v roce 201</w:t>
      </w:r>
      <w:r>
        <w:t>4</w:t>
      </w:r>
      <w:r w:rsidRPr="003D7899">
        <w:t xml:space="preserve"> </w:t>
      </w:r>
      <w:r>
        <w:t xml:space="preserve">střídmá </w:t>
      </w:r>
      <w:r w:rsidRPr="003D7899">
        <w:t>poptávka</w:t>
      </w:r>
      <w:r>
        <w:t>, exportní země však poměrně značně zvýšily svou nabídku a c</w:t>
      </w:r>
      <w:r w:rsidRPr="003D7899">
        <w:t>eny komoditních výrobků</w:t>
      </w:r>
      <w:r>
        <w:t xml:space="preserve"> tak v průběhu roku výrazně klesly</w:t>
      </w:r>
      <w:r w:rsidRPr="00D30315">
        <w:t>.</w:t>
      </w:r>
      <w:r>
        <w:t xml:space="preserve"> Objem světové výroby kravského a b</w:t>
      </w:r>
      <w:r w:rsidR="001C7B3A">
        <w:t>u</w:t>
      </w:r>
      <w:r>
        <w:t xml:space="preserve">volího mléka v roce 2014 odhaduje </w:t>
      </w:r>
      <w:r w:rsidRPr="00D30315">
        <w:t>Světov</w:t>
      </w:r>
      <w:r>
        <w:t>á</w:t>
      </w:r>
      <w:r w:rsidRPr="00D30315">
        <w:t xml:space="preserve"> mlékařsk</w:t>
      </w:r>
      <w:r>
        <w:t>á</w:t>
      </w:r>
      <w:r w:rsidRPr="00D30315">
        <w:t xml:space="preserve"> federace </w:t>
      </w:r>
      <w:r w:rsidRPr="008520EA">
        <w:t xml:space="preserve">International </w:t>
      </w:r>
      <w:proofErr w:type="spellStart"/>
      <w:r w:rsidRPr="008520EA">
        <w:t>Dairy</w:t>
      </w:r>
      <w:proofErr w:type="spellEnd"/>
      <w:r w:rsidRPr="008520EA">
        <w:t xml:space="preserve"> </w:t>
      </w:r>
      <w:proofErr w:type="spellStart"/>
      <w:r w:rsidRPr="008520EA">
        <w:t>Federation</w:t>
      </w:r>
      <w:proofErr w:type="spellEnd"/>
      <w:r w:rsidRPr="00D30315">
        <w:t xml:space="preserve"> (IDF)</w:t>
      </w:r>
      <w:r>
        <w:t xml:space="preserve"> na 805 mil. t, což je o 3 % více než v předchozím roce.</w:t>
      </w:r>
      <w:r w:rsidRPr="00D30315">
        <w:t xml:space="preserve"> </w:t>
      </w:r>
      <w:r>
        <w:t>V</w:t>
      </w:r>
      <w:r w:rsidRPr="00D30315">
        <w:t xml:space="preserve"> roce 2013 dosáhla </w:t>
      </w:r>
      <w:r>
        <w:t xml:space="preserve">světová produkce mléka podle IDF </w:t>
      </w:r>
      <w:r w:rsidRPr="00D30315">
        <w:t xml:space="preserve">celkem 782 mil. t, z toho 679 mil. t mléka kravského. Meziroční přírůstek kravského mléka činil </w:t>
      </w:r>
      <w:r>
        <w:t xml:space="preserve">v roce 2013 podle IDF jen 0,9 %, zato výroba </w:t>
      </w:r>
      <w:r w:rsidRPr="00D30315">
        <w:t>b</w:t>
      </w:r>
      <w:r w:rsidR="001C7B3A">
        <w:t>u</w:t>
      </w:r>
      <w:r w:rsidRPr="00D30315">
        <w:t xml:space="preserve">volího mléka vzrostla o 3,3 %. </w:t>
      </w:r>
      <w:r>
        <w:t xml:space="preserve">Vysoká úroveň cen komoditních výrobků na světovém trhu v roce 2013 podpořila produkci a hlavní exportéři v roce 2014 výrazně zvýšili výrobu. Na Novém Zélandu vzrostla podle zdroje AMI výroba mléka o 1,7 mil. t (8,4 %), </w:t>
      </w:r>
      <w:r w:rsidRPr="0040367B">
        <w:t>v</w:t>
      </w:r>
      <w:r>
        <w:t xml:space="preserve"> USA o 2,2 mil. t (2,4 %) a přírůstek v EU činil dokonce 6,5 mil. t (4,6 %). Podle EK vzrostla produkce mléka ve všech klíčových regionech světa vyjma Argentiny a Uruguaye. Naproti tomu poptávka z hlavních dovozních zemí byla umírněná. Dovozy mlékárenských výrobků v přepočtu na mléčný ekvivalent do Číny vzrostly v roce 2014 jen o 0,8 mil. t oproti 2,4 mil. t v předchozím roce. Rusko zvýšilo domácí výrobu a poptávka po dovozech byla též nižší než v předchozím roce. Růst světové produkce byl podle EK vyšší než odhadovaný 2% růst světové poptávky. Ačkoliv USA i EU vstřebaly část přírůstku produkce na vnitřním trhu, nabídka pro světové trhy byla vysoká a ceny mlékárenských výrobků od března do konce roku klesaly, z toho v prvním pololetí velmi prudce. Ceny sušených mlék však klesaly z předchozích velmi vysokých hodnot blížícím se historickým maximům. Až před koncem roku se pád cen zpomalil. </w:t>
      </w:r>
      <w:r w:rsidRPr="003D7899">
        <w:t>Průměrná cena</w:t>
      </w:r>
      <w:r>
        <w:t xml:space="preserve"> </w:t>
      </w:r>
      <w:r w:rsidRPr="003D7899">
        <w:t xml:space="preserve">sušeného plnotučného mléka (SPM) FOB západoevropské přístavy dosáhla </w:t>
      </w:r>
      <w:r>
        <w:t>3</w:t>
      </w:r>
      <w:r w:rsidRPr="003D7899">
        <w:t> </w:t>
      </w:r>
      <w:r>
        <w:t>821</w:t>
      </w:r>
      <w:r w:rsidRPr="003D7899">
        <w:t xml:space="preserve"> USD/t </w:t>
      </w:r>
      <w:r w:rsidRPr="00926355">
        <w:t>(79,27 Kč/kg), což je o 19 % méně než v</w:t>
      </w:r>
      <w:r>
        <w:t xml:space="preserve"> předchozím </w:t>
      </w:r>
      <w:r w:rsidRPr="00926355">
        <w:t>roce a průměrná cena sušeného odstředěného mléka (SOM) dosáhla 3 588 USD/t (74,4</w:t>
      </w:r>
      <w:r>
        <w:t>0</w:t>
      </w:r>
      <w:r w:rsidRPr="00926355">
        <w:t> Kč/kg), tj. meziročně o 12 % méně. Průměrná cena másla klesla</w:t>
      </w:r>
      <w:r>
        <w:t xml:space="preserve"> ze tří jmenovaných výrobků nejméně (o 7 %) a dosáhla </w:t>
      </w:r>
      <w:r w:rsidRPr="003D7899">
        <w:t>4 </w:t>
      </w:r>
      <w:r>
        <w:t>026</w:t>
      </w:r>
      <w:r w:rsidRPr="003D7899">
        <w:t> USD/t (8</w:t>
      </w:r>
      <w:r>
        <w:t>3</w:t>
      </w:r>
      <w:r w:rsidRPr="003D7899">
        <w:t>,</w:t>
      </w:r>
      <w:r>
        <w:t>25</w:t>
      </w:r>
      <w:r w:rsidRPr="003D7899">
        <w:t> Kč/kg)</w:t>
      </w:r>
      <w:r>
        <w:t>.</w:t>
      </w:r>
    </w:p>
    <w:p w:rsidR="00567C4A" w:rsidRPr="00F51151" w:rsidRDefault="00567C4A" w:rsidP="000B7BEE">
      <w:r>
        <w:t>Výroba mléka v EU byla stimulována vysokou úrovní cen mléka i mlékárenských výrobků v předchozím roce a blížícím se ukončením výrobních kvót.</w:t>
      </w:r>
      <w:r w:rsidRPr="003D7899">
        <w:t xml:space="preserve"> </w:t>
      </w:r>
      <w:r>
        <w:t>Zejména v první polovině roku produkce výrazně vzrůstala, před koncem roku však byla expanze utlumena poklesem cen a v řadě zemí též vlivem rýsujícího se překročení národních kvót. Přesto nákup mléka v EU dosáhl historicky rekordní výše 148,4 mil. t, tj. o 4,6 % více než v předchozím roce, což je i historicky nejvyšší meziroční zvýšení. Ve všech zemích vyjma Řecka nákup mléka ke zpracování meziročně vzrostl. Největší přírůstek objemu vznikl ve Francii (1,4 mil. t), ve Spojeném království a v Německu (v obou shodně 1,1 mil. t) a též v Polsku (0,7 mil. t). Procentní růst byl největší v Rumunsku (13,5 %, tj. 0,1 mil. t), v Pobaltských zemích (7,5 %, tj. 0,2 mil. t) a v </w:t>
      </w:r>
      <w:r w:rsidRPr="00C50DAD">
        <w:t>Polsku (7,1 %). Výroba</w:t>
      </w:r>
      <w:r>
        <w:t xml:space="preserve"> všech komoditních </w:t>
      </w:r>
      <w:r>
        <w:lastRenderedPageBreak/>
        <w:t xml:space="preserve">výrobků v EU vzrostla, z toho výroba SOM podle vyjádření EK přímo explodovala. Vývoz EU byl od srpna poznamenán ruským embargem na dovoz mlékárenských výrobků z EU a členské země byly nuceny hledat pro část své produkce mléka odbyt v náhradních destinacích a jimi žádaných výrobcích. Mimořádně velké množství mléka bylo konvertováno zejména do SOM. Jeho výroba vzrostla meziročně </w:t>
      </w:r>
      <w:r w:rsidRPr="00E75FA0">
        <w:t>o</w:t>
      </w:r>
      <w:r>
        <w:t> </w:t>
      </w:r>
      <w:r w:rsidRPr="00E75FA0">
        <w:t>25</w:t>
      </w:r>
      <w:r>
        <w:t xml:space="preserve"> %, růst výroby SPM, másla, sýrů a syrovátky dosahoval 1,6 % až 7,2 %. Ačkoliv meziročně vzrostly vývozy SOM (o 59 % na 657 tis. t), SPM (o 4 % na 393 tis. t) i másla (o 18 % na 150 tis. t), celý přírůstek produkce se nepodařilo vyvézt a zásoby těchto výrobků v průběhu roku výrazně vzrostly. Sýrů bylo vyvezeno meziročně dokonce méně (o 8 %, tj. celkem 727 tis. t) a jejich zásoba byla rovněž v průběhu roku vysoká. Mírně klesl i vývoz syrovátky. Koncem roku již výrobky nacházely svá odbytiště a zásoby sušených mlék, másla i sýrů se koncem roku snížily. </w:t>
      </w:r>
      <w:r w:rsidRPr="00BB111D">
        <w:t>Dovozy komoditních výrobků zůstaly několikanásobně nižší než jejich vývozy a na trh EU neměly významný vliv.</w:t>
      </w:r>
      <w:r>
        <w:t xml:space="preserve"> Konkurenceschopnost EU na světovém trhu podporoval slabý kurz eura vůči americkému dolaru a veškeré vývozy byly uskutečněny bez vývozních dotací. EK zhodnotila výsledky vývozu EU v roce 2014 jako dobré a nepovažovala celkovou výši zásob ke konci roku za znepokojivou. CZV mléka však v průběhu roku klesla ve všech zemích EU, z toho zejména výrazně v Pobaltí (o 33 % až 37 %), v severozápadním pásu EU (v Nizozemsku o 30 %, v Belgii o 28 %, a ve Švédsku o 25 %) </w:t>
      </w:r>
      <w:r w:rsidRPr="00BB111D">
        <w:t>a</w:t>
      </w:r>
      <w:r>
        <w:t> </w:t>
      </w:r>
      <w:r w:rsidRPr="00BB111D">
        <w:t>též</w:t>
      </w:r>
      <w:r>
        <w:t xml:space="preserve"> v Německu (o 24 %). Vážený průměr EU klesl podle EK ze 40,00 € /100 kg mléka na počátku roku na 33,02 € /100 kg mléka na konci roku. Vzhledem k vysoké úrovni počátkem roku však průměrné roční CZV mnohde zůstaly nad úrovní roku 2013. </w:t>
      </w:r>
      <w:r w:rsidRPr="0023657F">
        <w:t>Průměrná CZV mléka s obsahem 3,7 % tuku dosáhla ve Francii 3</w:t>
      </w:r>
      <w:r>
        <w:t>5</w:t>
      </w:r>
      <w:r w:rsidRPr="0023657F">
        <w:t>,</w:t>
      </w:r>
      <w:r>
        <w:t>39</w:t>
      </w:r>
      <w:r w:rsidRPr="0023657F">
        <w:t> €/</w:t>
      </w:r>
      <w:r w:rsidRPr="00AE27A6">
        <w:t xml:space="preserve">100 kg (10,00 Kč/l), což je růst </w:t>
      </w:r>
      <w:r w:rsidRPr="001B1F10">
        <w:t>o </w:t>
      </w:r>
      <w:r>
        <w:t>7</w:t>
      </w:r>
      <w:r w:rsidRPr="001B1F10">
        <w:t xml:space="preserve">,0 %, </w:t>
      </w:r>
      <w:r w:rsidRPr="003969CD">
        <w:t>v Nizozemsku se cena meziročně zvýšila o</w:t>
      </w:r>
      <w:r>
        <w:t> </w:t>
      </w:r>
      <w:r w:rsidRPr="003969CD">
        <w:t xml:space="preserve">1,2 %, </w:t>
      </w:r>
      <w:r w:rsidRPr="0016656A">
        <w:t xml:space="preserve">ve Velké Británii o 4,9 % a v Irsku o 0,4 %. </w:t>
      </w:r>
      <w:r w:rsidRPr="00DE187A">
        <w:t xml:space="preserve">V Polsku byla CZV mléka s obsahem 3,7 % tuku meziročně o 1,1 % vyšší a dosáhla v přepočtu 31,70 €/100 kg </w:t>
      </w:r>
      <w:r w:rsidRPr="00AE27A6">
        <w:t xml:space="preserve">(8,97 Kč/l). </w:t>
      </w:r>
      <w:r w:rsidRPr="0067038B">
        <w:t>Průměrná roční CZV mléka s</w:t>
      </w:r>
      <w:r>
        <w:t xml:space="preserve"> </w:t>
      </w:r>
      <w:r w:rsidRPr="0067038B">
        <w:t>obsahem tuku 4 % činila v Německu podle AMI 37,03 €/100</w:t>
      </w:r>
      <w:r>
        <w:t> </w:t>
      </w:r>
      <w:r w:rsidRPr="0067038B">
        <w:t xml:space="preserve">kg </w:t>
      </w:r>
      <w:r w:rsidRPr="00AE27A6">
        <w:t>(tj. 10,47 Kč/l), což je meziroční pokles o 1,3 %.</w:t>
      </w:r>
    </w:p>
    <w:p w:rsidR="003E1F70" w:rsidRDefault="00567C4A" w:rsidP="000B7BEE">
      <w:r w:rsidRPr="003D7899">
        <w:t xml:space="preserve">V ČR </w:t>
      </w:r>
      <w:r>
        <w:t xml:space="preserve">byla dosažena velmi dobrá ekonomika výroby mléka a jeho výroba vzrostla více než v předchozích letech. Stavy dojnic sice nepatrně klesly, ale výrazně se zvýšila mléčná užitkovost </w:t>
      </w:r>
      <w:r w:rsidRPr="003D7899">
        <w:t xml:space="preserve">dojnic. Domácí zpracovatelé však měli ze zvýšení výroby </w:t>
      </w:r>
      <w:r>
        <w:t xml:space="preserve">jen částečný </w:t>
      </w:r>
      <w:r w:rsidRPr="003D7899">
        <w:t>užitek</w:t>
      </w:r>
      <w:r>
        <w:t>, neboť</w:t>
      </w:r>
      <w:r w:rsidRPr="003D7899">
        <w:t xml:space="preserve"> nakoupili </w:t>
      </w:r>
      <w:r>
        <w:t xml:space="preserve">jen mírně větší objem mléka </w:t>
      </w:r>
      <w:r w:rsidRPr="003D7899">
        <w:t xml:space="preserve">než v předchozím roce. Celková výroba mléka </w:t>
      </w:r>
      <w:r>
        <w:t xml:space="preserve">se meziročně zvýšila </w:t>
      </w:r>
      <w:r w:rsidRPr="003D7899">
        <w:t>o </w:t>
      </w:r>
      <w:r>
        <w:t>2</w:t>
      </w:r>
      <w:r w:rsidRPr="003D7899">
        <w:t>,</w:t>
      </w:r>
      <w:r>
        <w:t>9</w:t>
      </w:r>
      <w:r w:rsidRPr="003D7899">
        <w:t> % na 2 </w:t>
      </w:r>
      <w:r>
        <w:t>856</w:t>
      </w:r>
      <w:r w:rsidRPr="003D7899">
        <w:t>,</w:t>
      </w:r>
      <w:r>
        <w:t>3</w:t>
      </w:r>
      <w:r w:rsidRPr="003D7899">
        <w:t> mil. l</w:t>
      </w:r>
      <w:r>
        <w:t>. Průměrná roční mléčná užitkovost se zvýšila o 3,5 % (261,4 l) na 7 704,8 l / dojnici, ale průměrné stavy dojnic klesly o 0,5 % na 370,7 tis. ks.</w:t>
      </w:r>
    </w:p>
    <w:p w:rsidR="00567C4A" w:rsidRDefault="00567C4A" w:rsidP="000B7BEE">
      <w:r w:rsidRPr="003D7899">
        <w:t>V plemenné struktuře stáda dojených krav pokračoval pozvolný posun směrem k holštýnskému plemeni na úkor populace českých strakatých krav. V kontrole užitkovosti, prováděné Českomoravskou společností chovatelů, a. s., bylo v kontrolním roce 201</w:t>
      </w:r>
      <w:r>
        <w:t>3</w:t>
      </w:r>
      <w:r w:rsidRPr="003D7899">
        <w:t>/1</w:t>
      </w:r>
      <w:r>
        <w:t>4</w:t>
      </w:r>
      <w:r w:rsidRPr="003D7899">
        <w:t xml:space="preserve"> (říjen</w:t>
      </w:r>
      <w:r w:rsidRPr="003D7899">
        <w:noBreakHyphen/>
        <w:t xml:space="preserve">září) sledováno </w:t>
      </w:r>
      <w:r w:rsidRPr="003E1F70">
        <w:t xml:space="preserve">celkem </w:t>
      </w:r>
      <w:r w:rsidR="003E1F70">
        <w:t>95,7</w:t>
      </w:r>
      <w:r w:rsidRPr="003E1F70">
        <w:t> % stavu</w:t>
      </w:r>
      <w:r w:rsidRPr="00A96B6C">
        <w:t xml:space="preserve"> </w:t>
      </w:r>
      <w:r w:rsidRPr="003D7899">
        <w:t>dojených krav. Z celkového počtu 28</w:t>
      </w:r>
      <w:r>
        <w:t>8</w:t>
      </w:r>
      <w:r w:rsidRPr="003D7899">
        <w:t> tis. krav s ukončenou normovanou laktací bylo 55,</w:t>
      </w:r>
      <w:r>
        <w:t>4</w:t>
      </w:r>
      <w:r w:rsidRPr="003D7899">
        <w:t xml:space="preserve"> % krav holštýnského plemene (včetně kříženek </w:t>
      </w:r>
      <w:r w:rsidRPr="003D7899">
        <w:lastRenderedPageBreak/>
        <w:t>z </w:t>
      </w:r>
      <w:proofErr w:type="spellStart"/>
      <w:r w:rsidRPr="003D7899">
        <w:t>převodného</w:t>
      </w:r>
      <w:proofErr w:type="spellEnd"/>
      <w:r w:rsidRPr="003D7899">
        <w:t xml:space="preserve"> křížení s podílem krve H 50 % a více) a 37,</w:t>
      </w:r>
      <w:r>
        <w:t>5</w:t>
      </w:r>
      <w:r w:rsidRPr="003D7899">
        <w:t> % krav českého strakatého plemene. Podíl krav ostatních plemen a kříženek s nižším podílem krve dojných plemen činil 7,</w:t>
      </w:r>
      <w:r>
        <w:t>2</w:t>
      </w:r>
      <w:r w:rsidRPr="003D7899">
        <w:t> %. Dominantní část v této kategorii tvořily kříženky s nízkým podílem krve dojných plemen (zhruba 93,</w:t>
      </w:r>
      <w:r>
        <w:t>2</w:t>
      </w:r>
      <w:r w:rsidRPr="003D7899">
        <w:t xml:space="preserve"> %), z dojných plemen bylo nejpočetněji zastoupeno plemeno </w:t>
      </w:r>
      <w:proofErr w:type="spellStart"/>
      <w:r w:rsidRPr="003D7899">
        <w:t>Montbeliard</w:t>
      </w:r>
      <w:proofErr w:type="spellEnd"/>
      <w:r w:rsidRPr="003D7899">
        <w:t xml:space="preserve"> v počtu 1 0</w:t>
      </w:r>
      <w:r>
        <w:t>18</w:t>
      </w:r>
      <w:r w:rsidRPr="003D7899">
        <w:t> ks.</w:t>
      </w:r>
    </w:p>
    <w:p w:rsidR="00567C4A" w:rsidRPr="002E47CA" w:rsidRDefault="00567C4A" w:rsidP="000B7BEE">
      <w:pPr>
        <w:pStyle w:val="mezera"/>
      </w:pPr>
    </w:p>
    <w:p w:rsidR="00567C4A" w:rsidRPr="002E47CA" w:rsidRDefault="00DA3AE6" w:rsidP="000B7BEE">
      <w:pPr>
        <w:pStyle w:val="mezera"/>
      </w:pPr>
      <w:r w:rsidRPr="00DA3AE6">
        <w:rPr>
          <w:noProof/>
          <w:lang w:eastAsia="cs-CZ"/>
        </w:rPr>
        <w:drawing>
          <wp:inline distT="0" distB="0" distL="0" distR="0" wp14:anchorId="5B425AE7" wp14:editId="1BA63021">
            <wp:extent cx="5760720" cy="5664416"/>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5664416"/>
                    </a:xfrm>
                    <a:prstGeom prst="rect">
                      <a:avLst/>
                    </a:prstGeom>
                    <a:noFill/>
                    <a:ln>
                      <a:noFill/>
                    </a:ln>
                  </pic:spPr>
                </pic:pic>
              </a:graphicData>
            </a:graphic>
          </wp:inline>
        </w:drawing>
      </w:r>
    </w:p>
    <w:p w:rsidR="00567C4A" w:rsidRPr="002E47CA" w:rsidRDefault="00567C4A" w:rsidP="000B7BEE">
      <w:pPr>
        <w:pStyle w:val="mezera"/>
      </w:pPr>
    </w:p>
    <w:p w:rsidR="00D87656" w:rsidRPr="00BF6C3C" w:rsidRDefault="00567C4A" w:rsidP="000B7BEE">
      <w:r w:rsidRPr="003D7899">
        <w:t xml:space="preserve">S ohledem na </w:t>
      </w:r>
      <w:r>
        <w:t xml:space="preserve">blížící se ukončení kvótového systému v nadcházejícím roce a v souladu se </w:t>
      </w:r>
      <w:r w:rsidRPr="003D7899">
        <w:t>strategi</w:t>
      </w:r>
      <w:r>
        <w:t>í</w:t>
      </w:r>
      <w:r w:rsidRPr="003D7899">
        <w:t xml:space="preserve"> podpory živočišné výroby byla zachována přímá podpora producentům mléka. V souladu s článkem 68 nařízení Rady (ES) č. 73/2009, který umožňuje směřovat část přímých plateb na ohrožené sektory, byla na základě nařízení vlády č. 87/2010 Sb. ve znění pozdějších předpisů stanovena pro rok 201</w:t>
      </w:r>
      <w:r>
        <w:t>4</w:t>
      </w:r>
      <w:r w:rsidRPr="003D7899">
        <w:t xml:space="preserve"> platba ve výši </w:t>
      </w:r>
      <w:r>
        <w:t>2</w:t>
      </w:r>
      <w:r w:rsidR="00DA3AE6">
        <w:t> 750,62</w:t>
      </w:r>
      <w:r w:rsidRPr="003D7899">
        <w:t> Kč/krávu s tržní produkcí mléka. V roce 201</w:t>
      </w:r>
      <w:r>
        <w:t>4</w:t>
      </w:r>
      <w:r w:rsidRPr="003D7899">
        <w:t xml:space="preserve"> bylo podáno celkem 1 </w:t>
      </w:r>
      <w:r>
        <w:t>765</w:t>
      </w:r>
      <w:r w:rsidRPr="003D7899">
        <w:t> žádostí, s celkovým nárokem 36</w:t>
      </w:r>
      <w:r>
        <w:t>3</w:t>
      </w:r>
      <w:r w:rsidRPr="003D7899">
        <w:t> </w:t>
      </w:r>
      <w:r>
        <w:t>398</w:t>
      </w:r>
      <w:r w:rsidRPr="003D7899">
        <w:t> VDJ. Do konce roku 201</w:t>
      </w:r>
      <w:r>
        <w:t>4</w:t>
      </w:r>
      <w:r w:rsidRPr="003D7899">
        <w:t xml:space="preserve"> </w:t>
      </w:r>
      <w:r>
        <w:t xml:space="preserve">nebyly </w:t>
      </w:r>
      <w:r w:rsidRPr="003D7899">
        <w:t>platby z nároku za rok 201</w:t>
      </w:r>
      <w:r>
        <w:t>4</w:t>
      </w:r>
      <w:r w:rsidRPr="003D7899">
        <w:t xml:space="preserve"> uhrazeny</w:t>
      </w:r>
      <w:r>
        <w:t>, avšak</w:t>
      </w:r>
      <w:r w:rsidRPr="003D7899">
        <w:t xml:space="preserve"> bylo </w:t>
      </w:r>
      <w:r>
        <w:t xml:space="preserve">vyplaceno </w:t>
      </w:r>
      <w:r w:rsidRPr="003D7899">
        <w:lastRenderedPageBreak/>
        <w:t>46</w:t>
      </w:r>
      <w:r>
        <w:t>0 515</w:t>
      </w:r>
      <w:r w:rsidRPr="003D7899">
        <w:t> tis. Kč z nároku za rok 201</w:t>
      </w:r>
      <w:r>
        <w:t>3</w:t>
      </w:r>
      <w:r w:rsidRPr="003D7899">
        <w:t>. Platba byla diferencována podle podílu příjmů za mléko na celkových příjmech podniku v plné, poloviční či nulové sazbě. Další podpora výrobců mléka pokračovala v rámci systému SAPS na plochu obhospodařované půdy, prostřednictvím přechodných vnitrostátních podpor na chov přežvýkavců a v podobě přechodných vnitrostátních podpor na zemědělskou půdu. Sazba přechodné vnitrostátní podpory na chov přežvýkavců na rok 201</w:t>
      </w:r>
      <w:r>
        <w:t>4</w:t>
      </w:r>
      <w:r w:rsidRPr="003D7899">
        <w:t xml:space="preserve"> činila </w:t>
      </w:r>
      <w:r>
        <w:t>96,64</w:t>
      </w:r>
      <w:r w:rsidRPr="003D7899">
        <w:t> Kč/VDJ. V roce 201</w:t>
      </w:r>
      <w:r>
        <w:t>4</w:t>
      </w:r>
      <w:r w:rsidRPr="003D7899">
        <w:t xml:space="preserve"> bylo podáno celkem 9 </w:t>
      </w:r>
      <w:r>
        <w:t>696</w:t>
      </w:r>
      <w:r w:rsidRPr="003D7899">
        <w:t xml:space="preserve"> žádostí (včetně žádostí na ostatní přežvýkavce), s celkovým nárokem </w:t>
      </w:r>
      <w:r>
        <w:t>1 004</w:t>
      </w:r>
      <w:r w:rsidRPr="003D7899">
        <w:t> </w:t>
      </w:r>
      <w:r>
        <w:t>281</w:t>
      </w:r>
      <w:r w:rsidRPr="003D7899">
        <w:t> VDJ. Do konce roku 201</w:t>
      </w:r>
      <w:r>
        <w:t>4</w:t>
      </w:r>
      <w:r w:rsidRPr="003D7899">
        <w:t xml:space="preserve"> nebyly platby z nároku za rok 201</w:t>
      </w:r>
      <w:r>
        <w:t>4</w:t>
      </w:r>
      <w:r w:rsidRPr="003D7899">
        <w:t xml:space="preserve"> uhrazeny, vyplaceno však bylo </w:t>
      </w:r>
      <w:r>
        <w:t>4 607</w:t>
      </w:r>
      <w:r w:rsidRPr="003D7899">
        <w:t> tis. Kč z nároku za rok 201</w:t>
      </w:r>
      <w:r>
        <w:t>3</w:t>
      </w:r>
      <w:r w:rsidRPr="00F359EA">
        <w:t xml:space="preserve">. Současně byly vypláceny i další podpory z národních zdrojů v rámci </w:t>
      </w:r>
      <w:r w:rsidR="008969A9">
        <w:t>„</w:t>
      </w:r>
      <w:r w:rsidRPr="00F359EA">
        <w:t>Zásad</w:t>
      </w:r>
      <w:r w:rsidR="008969A9">
        <w:t>“</w:t>
      </w:r>
      <w:r w:rsidRPr="00F359EA">
        <w:t xml:space="preserve"> a dalších nepřímých podpor.</w:t>
      </w:r>
      <w:r>
        <w:t xml:space="preserve"> </w:t>
      </w:r>
      <w:r w:rsidRPr="003D7899">
        <w:t xml:space="preserve">V rámci mechanismů SOT k podpoře stability a odbytu mlékárenských výrobků nebyly vyplaceny finanční náhrady s výjimkou </w:t>
      </w:r>
      <w:r w:rsidR="008969A9" w:rsidRPr="00D87656">
        <w:t>„</w:t>
      </w:r>
      <w:r w:rsidRPr="00D87656">
        <w:t>Programu zvýšení spotřeby mléka a vybraných mléčných výrobků žáky</w:t>
      </w:r>
      <w:r w:rsidR="008969A9" w:rsidRPr="00D87656">
        <w:t>“</w:t>
      </w:r>
      <w:r w:rsidRPr="00D87656">
        <w:t xml:space="preserve">. </w:t>
      </w:r>
      <w:r w:rsidR="00D87656" w:rsidRPr="00D87656">
        <w:t>Programu se ve školním roce 2013/14 zúčastnilo 6 schválených subjektů a ve školním roce 2014/15 je do programu zapojeno celkem 7 subjektů. V roce 2014 bylo dodavatelům podporovaných mléčných výrobků do škol vyplaceno 57,9 mil</w:t>
      </w:r>
      <w:r w:rsidR="00D87656" w:rsidRPr="00BF6C3C">
        <w:t>. Kč, z toho 47,3 mil. z národních zdrojů.</w:t>
      </w:r>
    </w:p>
    <w:p w:rsidR="00567C4A" w:rsidRPr="00D03448" w:rsidRDefault="00567C4A" w:rsidP="000B7BEE">
      <w:r w:rsidRPr="00BF6C3C">
        <w:t xml:space="preserve">Tržní produkce mléka dosáhla podle </w:t>
      </w:r>
      <w:proofErr w:type="spellStart"/>
      <w:r w:rsidRPr="00BF6C3C">
        <w:t>dopočtových</w:t>
      </w:r>
      <w:proofErr w:type="spellEnd"/>
      <w:r>
        <w:t xml:space="preserve"> údajů </w:t>
      </w:r>
      <w:r w:rsidRPr="003D7899">
        <w:t>ČSÚ celkem 2 </w:t>
      </w:r>
      <w:r>
        <w:t>753</w:t>
      </w:r>
      <w:r w:rsidRPr="003D7899">
        <w:t>,</w:t>
      </w:r>
      <w:r>
        <w:t>2</w:t>
      </w:r>
      <w:r w:rsidRPr="003D7899">
        <w:t> mil. l, což je meziročně o </w:t>
      </w:r>
      <w:r>
        <w:t>3</w:t>
      </w:r>
      <w:r w:rsidRPr="003D7899">
        <w:t>,</w:t>
      </w:r>
      <w:r>
        <w:t>3</w:t>
      </w:r>
      <w:r w:rsidRPr="003D7899">
        <w:t> % více.</w:t>
      </w:r>
      <w:r>
        <w:t xml:space="preserve"> </w:t>
      </w:r>
      <w:r w:rsidRPr="003D7899">
        <w:t>Z celkové výroby mléka dosáhla tržní produkce 96,</w:t>
      </w:r>
      <w:r>
        <w:t>4</w:t>
      </w:r>
      <w:r w:rsidRPr="003D7899">
        <w:t xml:space="preserve"> %. </w:t>
      </w:r>
      <w:r w:rsidRPr="00D03448">
        <w:t>Podle údajů SZIF dodali producenti ke zpracování v ČR i v zahraničí celkem 2 845,311 tis. t a přímý prodej činil v přepočtu 11,6 tis. t.</w:t>
      </w:r>
    </w:p>
    <w:p w:rsidR="00567C4A" w:rsidRDefault="00567C4A" w:rsidP="000B7BEE">
      <w:r>
        <w:t>V kvótovém roce 2013/</w:t>
      </w:r>
      <w:r w:rsidRPr="00814A01">
        <w:t>14 (od 1. dubna do 31. března)</w:t>
      </w:r>
      <w:r>
        <w:t xml:space="preserve"> </w:t>
      </w:r>
      <w:r w:rsidRPr="00814A01">
        <w:t>byla</w:t>
      </w:r>
      <w:r w:rsidRPr="00916696">
        <w:t xml:space="preserve"> </w:t>
      </w:r>
      <w:r w:rsidRPr="003D7899">
        <w:t>od 1. 4. 201</w:t>
      </w:r>
      <w:r>
        <w:t>3</w:t>
      </w:r>
      <w:r w:rsidRPr="003D7899">
        <w:t xml:space="preserve"> </w:t>
      </w:r>
      <w:r>
        <w:t xml:space="preserve">navýšena </w:t>
      </w:r>
      <w:r w:rsidRPr="003D7899">
        <w:t xml:space="preserve">České republice vnitrostátní kvóta o 1 %, což </w:t>
      </w:r>
      <w:r w:rsidRPr="006050C6">
        <w:t>představuje 29</w:t>
      </w:r>
      <w:r>
        <w:t> </w:t>
      </w:r>
      <w:r w:rsidRPr="006050C6">
        <w:t>060</w:t>
      </w:r>
      <w:r>
        <w:t>,</w:t>
      </w:r>
      <w:r w:rsidRPr="006050C6">
        <w:t>840 </w:t>
      </w:r>
      <w:r>
        <w:t>t</w:t>
      </w:r>
      <w:r w:rsidRPr="006050C6">
        <w:t>.</w:t>
      </w:r>
      <w:r>
        <w:t xml:space="preserve"> Zvýšení proběhlo n</w:t>
      </w:r>
      <w:r w:rsidRPr="003D7899">
        <w:t>a základě ustanovení nařízení Rady (ES) č. 1234/2007,</w:t>
      </w:r>
      <w:r>
        <w:t xml:space="preserve"> </w:t>
      </w:r>
      <w:r w:rsidRPr="003D7899">
        <w:t xml:space="preserve">ve znění nařízení Rady (ES) č.72/2009, které upravuje postupné navyšování vnitrostátních </w:t>
      </w:r>
      <w:r w:rsidRPr="00D44AE6">
        <w:t>kvót. Vnitrostátní kvóta mléka pro ČR</w:t>
      </w:r>
      <w:r>
        <w:t xml:space="preserve"> </w:t>
      </w:r>
      <w:r w:rsidRPr="00D44AE6">
        <w:t>na období 2013/14 činila 2</w:t>
      </w:r>
      <w:r>
        <w:t> </w:t>
      </w:r>
      <w:r w:rsidRPr="00D44AE6">
        <w:t>935</w:t>
      </w:r>
      <w:r>
        <w:t> </w:t>
      </w:r>
      <w:r w:rsidRPr="00D44AE6">
        <w:t>144</w:t>
      </w:r>
      <w:r>
        <w:t>,</w:t>
      </w:r>
      <w:r w:rsidRPr="00D44AE6">
        <w:t>857 t v členění 2</w:t>
      </w:r>
      <w:r>
        <w:t> </w:t>
      </w:r>
      <w:r w:rsidRPr="00D44AE6">
        <w:t>906</w:t>
      </w:r>
      <w:r>
        <w:t> </w:t>
      </w:r>
      <w:r w:rsidRPr="00D44AE6">
        <w:t>440</w:t>
      </w:r>
      <w:r>
        <w:t>,</w:t>
      </w:r>
      <w:r w:rsidRPr="00D44AE6">
        <w:t>166 t pro dodávky k dalšímu zpracování a </w:t>
      </w:r>
      <w:r w:rsidRPr="00854C44">
        <w:t>28</w:t>
      </w:r>
      <w:r w:rsidR="00DA3AE6">
        <w:t> </w:t>
      </w:r>
      <w:r w:rsidRPr="00854C44">
        <w:t>704</w:t>
      </w:r>
      <w:r>
        <w:t>,</w:t>
      </w:r>
      <w:r w:rsidRPr="00D44AE6">
        <w:t xml:space="preserve">691 t pro přímý prodej. Z uvedených množství bylo k 28. 2. 2014 ponecháno 72,1 tis. t v rezervě pro dodávky </w:t>
      </w:r>
      <w:r w:rsidRPr="000C2B71">
        <w:t>a 14,8 tis. t v rezervě pro přímý prodej. K 31. 3. 2014 byly rezervy sníženy na 27,5 tis. t</w:t>
      </w:r>
      <w:r w:rsidR="00DA3AE6">
        <w:t xml:space="preserve">, </w:t>
      </w:r>
      <w:r w:rsidRPr="000C2B71">
        <w:t>resp. 1,8 tis. t.</w:t>
      </w:r>
    </w:p>
    <w:p w:rsidR="00567C4A" w:rsidRPr="003D7899" w:rsidRDefault="00567C4A" w:rsidP="000B7BEE">
      <w:r w:rsidRPr="000C2B71">
        <w:t xml:space="preserve">Přestože výroba mléka byla v kvótovém roce 2013/14 </w:t>
      </w:r>
      <w:r>
        <w:t xml:space="preserve">výrazně </w:t>
      </w:r>
      <w:r w:rsidRPr="000C2B71">
        <w:t>vyšší než v předchozím kvótovém roce, vnitrostátní kvóta pro dodávky ke zpracování byla naplněna jen nepatrně více než v předchozím roce a zůstala nevyčerpána. Odběratelům bylo dodáno 2 747,3 tis. t, tj. 94,5 % vnitrostátní kvóty pro dodávky. V rámci přímého</w:t>
      </w:r>
      <w:r w:rsidRPr="003D7899">
        <w:t xml:space="preserve"> prodeje bylo prodáno </w:t>
      </w:r>
      <w:r>
        <w:t>10</w:t>
      </w:r>
      <w:r w:rsidRPr="003D7899">
        <w:t>,</w:t>
      </w:r>
      <w:r>
        <w:t>0</w:t>
      </w:r>
      <w:r w:rsidRPr="003D7899">
        <w:t> tis. t mléka a mlékárenských výrobků</w:t>
      </w:r>
      <w:r>
        <w:t>,</w:t>
      </w:r>
      <w:r w:rsidRPr="003D7899">
        <w:t xml:space="preserve"> a tím byla kvóta přímého prodeje splněna </w:t>
      </w:r>
      <w:r>
        <w:t xml:space="preserve">pouze </w:t>
      </w:r>
      <w:r w:rsidRPr="003D7899">
        <w:t>na 3</w:t>
      </w:r>
      <w:r>
        <w:t>0</w:t>
      </w:r>
      <w:r w:rsidRPr="003D7899">
        <w:t>,</w:t>
      </w:r>
      <w:r>
        <w:t>3</w:t>
      </w:r>
      <w:r w:rsidRPr="003D7899">
        <w:t> %. Dále pokračoval pokles počtu držitelů individuálních kvót (IK) mléka pro dodávky, ovšem tempo se dále zpomalilo. K 31. 3. 201</w:t>
      </w:r>
      <w:r>
        <w:t>4</w:t>
      </w:r>
      <w:r w:rsidRPr="003D7899">
        <w:t xml:space="preserve"> bylo evidováno celkem </w:t>
      </w:r>
      <w:r w:rsidRPr="005A0060">
        <w:rPr>
          <w:color w:val="365F91" w:themeColor="accent1" w:themeShade="BF"/>
        </w:rPr>
        <w:t>1 </w:t>
      </w:r>
      <w:r w:rsidRPr="00716B8E">
        <w:t>898 držitelů IK mléka pro dodávky, z toho 1 862 aktivních, což je</w:t>
      </w:r>
      <w:r w:rsidRPr="003D7899">
        <w:t xml:space="preserve"> </w:t>
      </w:r>
      <w:r w:rsidRPr="00716B8E">
        <w:t xml:space="preserve">o 0,3 % aktivních </w:t>
      </w:r>
      <w:r w:rsidRPr="00D03448">
        <w:t xml:space="preserve">držitelů </w:t>
      </w:r>
      <w:r>
        <w:t>více</w:t>
      </w:r>
      <w:r w:rsidRPr="00D03448">
        <w:t xml:space="preserve"> než v předchozím kvótovém roce. </w:t>
      </w:r>
      <w:r w:rsidRPr="003D7899">
        <w:t xml:space="preserve">Ke stejnému datu bylo </w:t>
      </w:r>
      <w:r w:rsidRPr="00716B8E">
        <w:t xml:space="preserve">registrováno 333 držitelů IK pro přímý prodej, </w:t>
      </w:r>
      <w:r w:rsidRPr="00D03448">
        <w:t xml:space="preserve">z toho bylo </w:t>
      </w:r>
      <w:r>
        <w:t>318</w:t>
      </w:r>
      <w:r w:rsidRPr="005A0060">
        <w:rPr>
          <w:color w:val="365F91" w:themeColor="accent1" w:themeShade="BF"/>
        </w:rPr>
        <w:t> </w:t>
      </w:r>
      <w:r w:rsidRPr="00D03448">
        <w:t>držitelů aktivních</w:t>
      </w:r>
      <w:r>
        <w:t xml:space="preserve">, </w:t>
      </w:r>
      <w:r w:rsidRPr="00716B8E">
        <w:t>což je meziročně o 7,</w:t>
      </w:r>
      <w:r>
        <w:t>8</w:t>
      </w:r>
      <w:r w:rsidRPr="00716B8E">
        <w:t xml:space="preserve"> % </w:t>
      </w:r>
      <w:r>
        <w:t xml:space="preserve">aktivních držitelů </w:t>
      </w:r>
      <w:r w:rsidRPr="00716B8E">
        <w:t>více</w:t>
      </w:r>
      <w:r w:rsidRPr="00D03448">
        <w:t>.</w:t>
      </w:r>
    </w:p>
    <w:p w:rsidR="00567C4A" w:rsidRDefault="00567C4A" w:rsidP="000B7BEE">
      <w:pPr>
        <w:rPr>
          <w:color w:val="000000"/>
        </w:rPr>
      </w:pPr>
      <w:r w:rsidRPr="003D7899">
        <w:lastRenderedPageBreak/>
        <w:t>Vnitrostátní kvóta pro období 201</w:t>
      </w:r>
      <w:r>
        <w:t>4</w:t>
      </w:r>
      <w:r w:rsidRPr="003D7899">
        <w:t>/1</w:t>
      </w:r>
      <w:r>
        <w:t>5 již zůstala na úrovni předchozího kvótového roku a její čerpání se vlivem růstu výroby mléka znatelně zvýšilo.</w:t>
      </w:r>
      <w:r w:rsidRPr="003D7899">
        <w:t xml:space="preserve"> V období od 1. 4. do 31. 12. 201</w:t>
      </w:r>
      <w:r>
        <w:t>4</w:t>
      </w:r>
      <w:r w:rsidRPr="003D7899">
        <w:t xml:space="preserve"> bylo v rámci vnitrostátní kvóty pro dodávky prodáno ke zpracování 2 </w:t>
      </w:r>
      <w:r>
        <w:t>147</w:t>
      </w:r>
      <w:r w:rsidRPr="003D7899">
        <w:t>,8 tis. t mléka, což je 7</w:t>
      </w:r>
      <w:r>
        <w:t>3</w:t>
      </w:r>
      <w:r w:rsidRPr="003D7899">
        <w:t>,</w:t>
      </w:r>
      <w:r>
        <w:t>9</w:t>
      </w:r>
      <w:r w:rsidRPr="003D7899">
        <w:t xml:space="preserve"> % </w:t>
      </w:r>
      <w:r w:rsidRPr="003D7899">
        <w:rPr>
          <w:color w:val="000000"/>
        </w:rPr>
        <w:t xml:space="preserve">vnitrostátní kvóty pro dodávky. </w:t>
      </w:r>
      <w:r>
        <w:rPr>
          <w:color w:val="000000"/>
        </w:rPr>
        <w:t xml:space="preserve">Tím se dodávky pohybovaly okolo alikvótní hranice kvóty. </w:t>
      </w:r>
      <w:r w:rsidRPr="003D7899">
        <w:rPr>
          <w:color w:val="000000"/>
        </w:rPr>
        <w:t>Ve stejném období předchozího roku byla kvóta pro dodávky čerpána ve výši 70,</w:t>
      </w:r>
      <w:r>
        <w:rPr>
          <w:color w:val="000000"/>
        </w:rPr>
        <w:t>5</w:t>
      </w:r>
      <w:r w:rsidRPr="003D7899">
        <w:rPr>
          <w:color w:val="000000"/>
        </w:rPr>
        <w:t xml:space="preserve"> %. Přímý prodej se zvýšil na </w:t>
      </w:r>
      <w:r>
        <w:rPr>
          <w:color w:val="000000"/>
        </w:rPr>
        <w:t>8</w:t>
      </w:r>
      <w:r w:rsidRPr="003D7899">
        <w:rPr>
          <w:color w:val="000000"/>
        </w:rPr>
        <w:t>,</w:t>
      </w:r>
      <w:r>
        <w:rPr>
          <w:color w:val="000000"/>
        </w:rPr>
        <w:t>7</w:t>
      </w:r>
      <w:r w:rsidRPr="003D7899">
        <w:rPr>
          <w:color w:val="000000"/>
        </w:rPr>
        <w:t> tis. t mléka. K 31. 12. 201</w:t>
      </w:r>
      <w:r>
        <w:rPr>
          <w:color w:val="000000"/>
        </w:rPr>
        <w:t>4</w:t>
      </w:r>
      <w:r w:rsidRPr="003D7899">
        <w:rPr>
          <w:color w:val="000000"/>
        </w:rPr>
        <w:t xml:space="preserve"> bylo evidováno 1 8</w:t>
      </w:r>
      <w:r>
        <w:rPr>
          <w:color w:val="000000"/>
        </w:rPr>
        <w:t>14</w:t>
      </w:r>
      <w:r w:rsidRPr="003D7899">
        <w:rPr>
          <w:color w:val="000000"/>
        </w:rPr>
        <w:t xml:space="preserve"> držitelů IK pro dodávky, z toho 1 </w:t>
      </w:r>
      <w:r>
        <w:rPr>
          <w:color w:val="000000"/>
        </w:rPr>
        <w:t>795 aktivních a </w:t>
      </w:r>
      <w:r w:rsidRPr="003D7899">
        <w:rPr>
          <w:color w:val="000000"/>
        </w:rPr>
        <w:t>3</w:t>
      </w:r>
      <w:r>
        <w:rPr>
          <w:color w:val="000000"/>
        </w:rPr>
        <w:t>33</w:t>
      </w:r>
      <w:r w:rsidRPr="003D7899">
        <w:rPr>
          <w:color w:val="000000"/>
        </w:rPr>
        <w:t> držitelů IK pro přímý prodej, z toho 3</w:t>
      </w:r>
      <w:r>
        <w:rPr>
          <w:color w:val="000000"/>
        </w:rPr>
        <w:t>25</w:t>
      </w:r>
      <w:r w:rsidRPr="003D7899">
        <w:rPr>
          <w:color w:val="000000"/>
        </w:rPr>
        <w:t> aktivních.</w:t>
      </w:r>
    </w:p>
    <w:p w:rsidR="00567C4A" w:rsidRDefault="00567C4A" w:rsidP="000B7BEE">
      <w:r w:rsidRPr="003D7899">
        <w:t>V kalendářním roce 201</w:t>
      </w:r>
      <w:r>
        <w:t>4</w:t>
      </w:r>
      <w:r w:rsidRPr="003D7899">
        <w:t xml:space="preserve"> </w:t>
      </w:r>
      <w:r>
        <w:t xml:space="preserve">vzrostla produkce </w:t>
      </w:r>
      <w:r w:rsidRPr="003D7899">
        <w:t>mléka</w:t>
      </w:r>
      <w:r>
        <w:t xml:space="preserve"> ke zpracování znatelně, ale </w:t>
      </w:r>
      <w:r w:rsidRPr="003D7899">
        <w:t>dodávky mléka ke zpracování na území ČR</w:t>
      </w:r>
      <w:r>
        <w:t xml:space="preserve"> se zvýšily jen mírně.</w:t>
      </w:r>
      <w:r w:rsidRPr="003D7899">
        <w:t xml:space="preserve"> </w:t>
      </w:r>
      <w:r>
        <w:t>C</w:t>
      </w:r>
      <w:r w:rsidRPr="003D7899">
        <w:t>elkov</w:t>
      </w:r>
      <w:r>
        <w:t xml:space="preserve">ý objem mléka, který dodali výrobci </w:t>
      </w:r>
      <w:r w:rsidRPr="003D7899">
        <w:t>ke zpracování v rámci dodávkové kvóty</w:t>
      </w:r>
      <w:r>
        <w:t>, dosáhl podle SZIF v přepočtu</w:t>
      </w:r>
      <w:r w:rsidRPr="003D7899">
        <w:t xml:space="preserve"> 2 </w:t>
      </w:r>
      <w:r>
        <w:t>770</w:t>
      </w:r>
      <w:r w:rsidRPr="003D7899">
        <w:t>,</w:t>
      </w:r>
      <w:r>
        <w:t>5</w:t>
      </w:r>
      <w:r w:rsidRPr="003D7899">
        <w:t> mil. l</w:t>
      </w:r>
      <w:r>
        <w:t xml:space="preserve">, ale </w:t>
      </w:r>
      <w:r w:rsidRPr="003D7899">
        <w:t>tuzemské mlékárny</w:t>
      </w:r>
      <w:r>
        <w:t xml:space="preserve"> </w:t>
      </w:r>
      <w:r w:rsidRPr="003D7899">
        <w:t xml:space="preserve">nakoupily </w:t>
      </w:r>
      <w:r>
        <w:t xml:space="preserve">podle ČSÚ jen </w:t>
      </w:r>
      <w:r w:rsidRPr="003D7899">
        <w:t>2 3</w:t>
      </w:r>
      <w:r>
        <w:t>50</w:t>
      </w:r>
      <w:r w:rsidRPr="003D7899">
        <w:t>,</w:t>
      </w:r>
      <w:r>
        <w:t>7</w:t>
      </w:r>
      <w:r w:rsidRPr="003D7899">
        <w:t> mil. l</w:t>
      </w:r>
      <w:r>
        <w:t>, neboť</w:t>
      </w:r>
      <w:r w:rsidRPr="003D7899">
        <w:t xml:space="preserve"> zbývající množství prodali výrobci mléka ke zpracování v zahraničí. </w:t>
      </w:r>
      <w:r>
        <w:t>Zatímco ke zpracování bylo dodáno meziročně o 4,4 % mléka více, n</w:t>
      </w:r>
      <w:r w:rsidRPr="003D7899">
        <w:t xml:space="preserve">ákup mléka tuzemskými mlékárnami od domácích výrobců </w:t>
      </w:r>
      <w:r>
        <w:t xml:space="preserve">se zvýšil jen o 1,3 %. </w:t>
      </w:r>
      <w:r w:rsidRPr="003D7899">
        <w:t xml:space="preserve">Z nakoupeného mléka </w:t>
      </w:r>
      <w:r>
        <w:t xml:space="preserve">však </w:t>
      </w:r>
      <w:r w:rsidRPr="003D7899">
        <w:t xml:space="preserve">zpracovatelé </w:t>
      </w:r>
      <w:r>
        <w:t xml:space="preserve">ještě </w:t>
      </w:r>
      <w:r w:rsidRPr="003D7899">
        <w:t xml:space="preserve">část objemu </w:t>
      </w:r>
      <w:r>
        <w:t xml:space="preserve">přesunuli </w:t>
      </w:r>
      <w:r w:rsidRPr="003D7899">
        <w:t>ke zpracování v</w:t>
      </w:r>
      <w:r>
        <w:t> </w:t>
      </w:r>
      <w:r w:rsidRPr="003D7899">
        <w:t>zahraničí</w:t>
      </w:r>
      <w:r>
        <w:t>.</w:t>
      </w:r>
      <w:r w:rsidRPr="003D7899">
        <w:t xml:space="preserve"> </w:t>
      </w:r>
      <w:r>
        <w:t>C</w:t>
      </w:r>
      <w:r w:rsidRPr="003D7899">
        <w:t xml:space="preserve">elkový objem mléčné suroviny vyvezené výrobci a zpracovateli dosáhl </w:t>
      </w:r>
      <w:r>
        <w:t>20</w:t>
      </w:r>
      <w:r w:rsidRPr="003D7899">
        <w:t>,</w:t>
      </w:r>
      <w:r>
        <w:t>6</w:t>
      </w:r>
      <w:r w:rsidRPr="003D7899">
        <w:t> % domácí tržní produkce. Oproti roku 201</w:t>
      </w:r>
      <w:r>
        <w:t>3</w:t>
      </w:r>
      <w:r w:rsidRPr="003D7899">
        <w:t xml:space="preserve"> byl vývoz suroviny o </w:t>
      </w:r>
      <w:r>
        <w:t>5</w:t>
      </w:r>
      <w:r w:rsidRPr="003D7899">
        <w:t>7,</w:t>
      </w:r>
      <w:r>
        <w:t>5</w:t>
      </w:r>
      <w:r w:rsidRPr="003D7899">
        <w:t> mil. l (tj. o </w:t>
      </w:r>
      <w:r>
        <w:t>11</w:t>
      </w:r>
      <w:r w:rsidRPr="003D7899">
        <w:t>,</w:t>
      </w:r>
      <w:r>
        <w:t>1</w:t>
      </w:r>
      <w:r w:rsidRPr="003D7899">
        <w:t xml:space="preserve"> %) </w:t>
      </w:r>
      <w:r>
        <w:t>vyš</w:t>
      </w:r>
      <w:r w:rsidRPr="003D7899">
        <w:t>ší.</w:t>
      </w:r>
    </w:p>
    <w:p w:rsidR="00567C4A" w:rsidRDefault="00567C4A" w:rsidP="000B7BEE">
      <w:r w:rsidRPr="003D7899">
        <w:t>V organizaci prodeje syrového mléka bylo v kvótovém roce 201</w:t>
      </w:r>
      <w:r>
        <w:t>3</w:t>
      </w:r>
      <w:r w:rsidRPr="003D7899">
        <w:t>/1</w:t>
      </w:r>
      <w:r>
        <w:t>4</w:t>
      </w:r>
      <w:r w:rsidRPr="003D7899">
        <w:t xml:space="preserve"> registrováno celkem 7</w:t>
      </w:r>
      <w:r>
        <w:t>5</w:t>
      </w:r>
      <w:r w:rsidRPr="003D7899">
        <w:t> odběratelů mléka (v předchozím kvótovém roce </w:t>
      </w:r>
      <w:r>
        <w:t>78</w:t>
      </w:r>
      <w:r w:rsidRPr="003D7899">
        <w:t>). Z registrovaného počtu odběratelů bylo 3</w:t>
      </w:r>
      <w:r>
        <w:t>1</w:t>
      </w:r>
      <w:r w:rsidRPr="003D7899">
        <w:t> odbytových organizací, jejichž prostřednictvím bylo prodáno v uvedeném období 1 </w:t>
      </w:r>
      <w:r>
        <w:t>815</w:t>
      </w:r>
      <w:r w:rsidRPr="003D7899">
        <w:t>,</w:t>
      </w:r>
      <w:r>
        <w:t>7</w:t>
      </w:r>
      <w:r w:rsidRPr="003D7899">
        <w:t> tis. t mléka, tj. 6</w:t>
      </w:r>
      <w:r>
        <w:t>6</w:t>
      </w:r>
      <w:r w:rsidRPr="003D7899">
        <w:t>,</w:t>
      </w:r>
      <w:r>
        <w:t>1</w:t>
      </w:r>
      <w:r w:rsidRPr="003D7899">
        <w:t xml:space="preserve"> % množství dodaného k dalšímu zpracování. </w:t>
      </w:r>
      <w:r w:rsidRPr="00D02952">
        <w:t xml:space="preserve">Největší objem prodeje zprostředkovala družstva Mlékařské hospodářské družstvo JIH, Mlékařské hospodářské družstvo Střední Čechy a dále Morava, mlékařské odbytové družstvo v celkové výši 881,6 tis. t mléka, tj. 32,1 % objemu ke zpracování. </w:t>
      </w:r>
      <w:r w:rsidRPr="003D7899">
        <w:t>V kvótovém roce 201</w:t>
      </w:r>
      <w:r>
        <w:t>4</w:t>
      </w:r>
      <w:r w:rsidRPr="003D7899">
        <w:t>/1</w:t>
      </w:r>
      <w:r>
        <w:t>5</w:t>
      </w:r>
      <w:r w:rsidRPr="003D7899">
        <w:t xml:space="preserve"> se k 31. 12. 201</w:t>
      </w:r>
      <w:r>
        <w:t>4</w:t>
      </w:r>
      <w:r w:rsidRPr="003D7899">
        <w:t xml:space="preserve"> snížil počet registrovaných odběratelů na 7</w:t>
      </w:r>
      <w:r>
        <w:t>4</w:t>
      </w:r>
      <w:r w:rsidRPr="003D7899">
        <w:t xml:space="preserve"> a registrovaných odbytových organizací </w:t>
      </w:r>
      <w:r>
        <w:t xml:space="preserve">zůstalo </w:t>
      </w:r>
      <w:r w:rsidRPr="003D7899">
        <w:t>3</w:t>
      </w:r>
      <w:r>
        <w:t xml:space="preserve">1. </w:t>
      </w:r>
      <w:r w:rsidRPr="003D7899">
        <w:t>V souladu s </w:t>
      </w:r>
      <w:r>
        <w:t>n</w:t>
      </w:r>
      <w:r w:rsidRPr="003D7899">
        <w:t xml:space="preserve">ařízením Evropského parlamentu a Rady (EU) č. 261/2012 ze dne 14. března 2012 </w:t>
      </w:r>
      <w:r>
        <w:t xml:space="preserve">bylo </w:t>
      </w:r>
      <w:r w:rsidRPr="003D7899">
        <w:t>k 31. </w:t>
      </w:r>
      <w:r>
        <w:t>12</w:t>
      </w:r>
      <w:r w:rsidRPr="003D7899">
        <w:t>. 201</w:t>
      </w:r>
      <w:r>
        <w:t>4 registrováno celkem 8 </w:t>
      </w:r>
      <w:r w:rsidRPr="003D7899">
        <w:t>organizací</w:t>
      </w:r>
      <w:r>
        <w:t xml:space="preserve"> producentů mléka.</w:t>
      </w:r>
    </w:p>
    <w:p w:rsidR="00567C4A" w:rsidRPr="0037412A" w:rsidRDefault="00567C4A" w:rsidP="000B7BEE">
      <w:r>
        <w:t>V</w:t>
      </w:r>
      <w:r w:rsidRPr="003D7899">
        <w:t xml:space="preserve">e zpracovatelském průmyslu </w:t>
      </w:r>
      <w:r>
        <w:t xml:space="preserve">bylo vyrobeno výrazně větší množství SOM. Částečně se jednalo o využití vývozních příležitostí, ovšem částečně šlo o nutnou konverzi do trvanlivé komodity, jejíž uplatnění na trhu nebylo úplné. Celkem bylo vyrobeno 26,1 tis. t SOM, tj. meziročně o 8,1 tis. t (45 %) více. Vývoz této komodity se zvýšil o 4,1 tis. t, avšak skladem jí zůstalo 3,5 tis. t, tj. čtyřikrát více než v předchozím roce. Dodatečný tuk byl konvertován do mírně vyšší výroby másla a vyšší výroby smetan. Máslo se podařilo dobře uplatnit na trhu a jeho zásoby koncem roku zůstaly nízké. Sýrů, </w:t>
      </w:r>
      <w:r w:rsidRPr="003D7899">
        <w:t xml:space="preserve">včetně tavených sýrů a tvarohů, </w:t>
      </w:r>
      <w:r>
        <w:t xml:space="preserve">však bylo meziročně vyrobeno o 1,6 % méně (132,6 tis. t) a zásoby zůstaly na standardní až mírně vyšší </w:t>
      </w:r>
      <w:r w:rsidRPr="00F039CE">
        <w:t xml:space="preserve">úrovni. Klesla i výroba zakysaných výrobků a jogurtů. Výroba konzumních mlék zůstala na </w:t>
      </w:r>
      <w:r w:rsidRPr="00F039CE">
        <w:lastRenderedPageBreak/>
        <w:t xml:space="preserve">úrovni předchozího roku. CPV trvanlivých mlékárenských výrobků, které nacházejí uplatnění zejména ve třetích zemích, v souladu s trendem na světovém trhu výrazně v průběhu roku klesly, ale jejich průměrné hodnoty se blížily předchozímu roku. Podle tržního informačního systému SZIF dosáhla průměrná roční CPV másla v blocích 95,0 Kč/kg, což je meziroční pokles o 5,0 %. Ovšem CPV SOM a SPM se zvýšily (o 2,7 %, resp. o 3,5 %) a dosáhly 75,5 Kč/kg, resp. 90,6 Kč/kg. </w:t>
      </w:r>
      <w:r>
        <w:t>Z</w:t>
      </w:r>
      <w:r w:rsidRPr="0037412A">
        <w:t> výrobků, které nacházejí uplatnění zejména na domácím trhu,</w:t>
      </w:r>
      <w:r w:rsidRPr="00F33700">
        <w:t xml:space="preserve"> </w:t>
      </w:r>
      <w:r w:rsidRPr="0037412A">
        <w:t xml:space="preserve">se projevilo </w:t>
      </w:r>
      <w:r>
        <w:t xml:space="preserve">meziroční </w:t>
      </w:r>
      <w:r w:rsidRPr="0037412A">
        <w:t>zvýšení </w:t>
      </w:r>
      <w:r>
        <w:t>CPV konzumního mléka o </w:t>
      </w:r>
      <w:r w:rsidRPr="0037412A">
        <w:t>1,9 %</w:t>
      </w:r>
      <w:r>
        <w:t xml:space="preserve"> a </w:t>
      </w:r>
      <w:r w:rsidRPr="0037412A">
        <w:t>meziroční pokles </w:t>
      </w:r>
      <w:r>
        <w:t>CPV bílého jogurtu o </w:t>
      </w:r>
      <w:r w:rsidRPr="0037412A">
        <w:t>8,8 %</w:t>
      </w:r>
      <w:r>
        <w:t>.</w:t>
      </w:r>
    </w:p>
    <w:p w:rsidR="00567C4A" w:rsidRPr="003D7899" w:rsidRDefault="00567C4A" w:rsidP="000B7BEE">
      <w:r w:rsidRPr="003D7899">
        <w:t xml:space="preserve">Pozitivní saldo zahraničního obchodu v přepočtu na ekvivalent mléka se </w:t>
      </w:r>
      <w:r>
        <w:t>znateln</w:t>
      </w:r>
      <w:r w:rsidRPr="003D7899">
        <w:t>ě snížilo</w:t>
      </w:r>
      <w:r>
        <w:t>.</w:t>
      </w:r>
      <w:r w:rsidRPr="003D7899">
        <w:t xml:space="preserve"> Kladné saldo ve výši 1</w:t>
      </w:r>
      <w:r>
        <w:t>34</w:t>
      </w:r>
      <w:r w:rsidRPr="003D7899">
        <w:t>,</w:t>
      </w:r>
      <w:r>
        <w:t>2</w:t>
      </w:r>
      <w:r w:rsidRPr="003D7899">
        <w:t> mil. l bylo o 2</w:t>
      </w:r>
      <w:r>
        <w:t>8</w:t>
      </w:r>
      <w:r w:rsidRPr="003D7899">
        <w:t>,</w:t>
      </w:r>
      <w:r>
        <w:t>0</w:t>
      </w:r>
      <w:r w:rsidRPr="003D7899">
        <w:t> mil. l nižší než v roce 201</w:t>
      </w:r>
      <w:r>
        <w:t>3. Vzrůst vývozu sušených mlék a mléčné suroviny nestačily kompenzovat další růst dovozu sýrů, který vzrostl meziročně o 10 % a výrazněji vzrostl i dovoz kondenzovaných mlék. Hodnotové saldo se však meziročně zvýšilo o 0,8 mld. Kč a dosáhlo 5,8 mld. Kč.</w:t>
      </w:r>
      <w:r w:rsidRPr="003D7899">
        <w:t xml:space="preserve"> Celková domácí spotřeba mléka a mlékárenských výrobků bez másla v hodnotě mléka mírně </w:t>
      </w:r>
      <w:r>
        <w:t>vzrost</w:t>
      </w:r>
      <w:r w:rsidRPr="003D7899">
        <w:t>la</w:t>
      </w:r>
      <w:r>
        <w:t xml:space="preserve">. </w:t>
      </w:r>
      <w:r w:rsidRPr="003D7899">
        <w:t>Podíl dovozu mléka a mlékárenských výrobků na spotřebě v přepočtu na ekvivalent mléka dosáhl 4</w:t>
      </w:r>
      <w:r>
        <w:t>2</w:t>
      </w:r>
      <w:r w:rsidRPr="003D7899">
        <w:t>,</w:t>
      </w:r>
      <w:r>
        <w:t>9</w:t>
      </w:r>
      <w:r w:rsidRPr="003D7899">
        <w:t> %.</w:t>
      </w:r>
    </w:p>
    <w:p w:rsidR="00567C4A" w:rsidRDefault="00567C4A" w:rsidP="000B7BEE">
      <w:r w:rsidRPr="003D7899">
        <w:t xml:space="preserve">Průměrná </w:t>
      </w:r>
      <w:r>
        <w:t>roční CZV mléka dosáhla výrazně nejvyšší historické hodnoty. M</w:t>
      </w:r>
      <w:r w:rsidRPr="003D7899">
        <w:t xml:space="preserve">ěsíční CZV mléka </w:t>
      </w:r>
      <w:r>
        <w:t xml:space="preserve">od druhého čtvrtletí do konce roku sice mírně klesala, avšak i na konci roku byla na dobré úrovni. </w:t>
      </w:r>
      <w:r w:rsidRPr="003D7899">
        <w:t xml:space="preserve">Podle rezortní statistiky MZe </w:t>
      </w:r>
      <w:r>
        <w:t xml:space="preserve">dosáhla </w:t>
      </w:r>
      <w:r w:rsidRPr="003D7899">
        <w:t xml:space="preserve">v prosinci </w:t>
      </w:r>
      <w:r>
        <w:t xml:space="preserve">8,84 Kč/l, t. j. </w:t>
      </w:r>
      <w:r w:rsidRPr="003D7899">
        <w:t>o </w:t>
      </w:r>
      <w:r>
        <w:t>0</w:t>
      </w:r>
      <w:r w:rsidRPr="003D7899">
        <w:t>,</w:t>
      </w:r>
      <w:r>
        <w:t>82</w:t>
      </w:r>
      <w:r w:rsidRPr="003D7899">
        <w:t xml:space="preserve"> Kč/l </w:t>
      </w:r>
      <w:r>
        <w:t xml:space="preserve">méně </w:t>
      </w:r>
      <w:r w:rsidRPr="003D7899">
        <w:t>než v</w:t>
      </w:r>
      <w:r>
        <w:t> </w:t>
      </w:r>
      <w:r w:rsidRPr="003D7899">
        <w:t>lednu</w:t>
      </w:r>
      <w:r>
        <w:t>. Je</w:t>
      </w:r>
      <w:r w:rsidRPr="003D7899">
        <w:t xml:space="preserve">jí průměrná roční hodnota </w:t>
      </w:r>
      <w:r>
        <w:t>9,37</w:t>
      </w:r>
      <w:r w:rsidRPr="003D7899">
        <w:t> Kč/l byla o 10,</w:t>
      </w:r>
      <w:r>
        <w:t>1</w:t>
      </w:r>
      <w:r w:rsidRPr="003D7899">
        <w:t> % vyšší než v roce 201</w:t>
      </w:r>
      <w:r>
        <w:t>3 a výrazně nejvyšší v historii sledování CZV</w:t>
      </w:r>
      <w:r w:rsidRPr="003D7899">
        <w:t xml:space="preserve">. </w:t>
      </w:r>
      <w:r>
        <w:t xml:space="preserve">Naopak náklady na výrobu mléka podle odhadu meziročně klesly, zejména vlivem poklesu nákladů na nakupovaná i vlastní krmiva. </w:t>
      </w:r>
      <w:r w:rsidRPr="003D7899">
        <w:t xml:space="preserve">Podíl </w:t>
      </w:r>
      <w:r>
        <w:t xml:space="preserve">vlastních a nakupovaných </w:t>
      </w:r>
      <w:r w:rsidRPr="003D7899">
        <w:t>krmiv na celkových nákladech na výrobu mléka se odhaduje ve výši 3</w:t>
      </w:r>
      <w:r>
        <w:t>5</w:t>
      </w:r>
      <w:r w:rsidRPr="003D7899">
        <w:t>,</w:t>
      </w:r>
      <w:r>
        <w:t>1</w:t>
      </w:r>
      <w:r w:rsidRPr="003D7899">
        <w:t> %.</w:t>
      </w:r>
      <w:r>
        <w:t xml:space="preserve"> Velmi dobrá </w:t>
      </w:r>
      <w:r w:rsidRPr="003D7899">
        <w:t>CZV mléka</w:t>
      </w:r>
      <w:r>
        <w:t>, odhadovaný pokles nákladů a růst přímých plateb</w:t>
      </w:r>
      <w:r w:rsidRPr="003D7899">
        <w:t xml:space="preserve"> podpořil</w:t>
      </w:r>
      <w:r>
        <w:t>y</w:t>
      </w:r>
      <w:r w:rsidRPr="003D7899">
        <w:t xml:space="preserve"> </w:t>
      </w:r>
      <w:r>
        <w:t xml:space="preserve">výrazné </w:t>
      </w:r>
      <w:r w:rsidRPr="003D7899">
        <w:t xml:space="preserve">zlepšení ekonomiky výroby mléka. </w:t>
      </w:r>
      <w:r>
        <w:t>Výroba mléka byla rentabilní i b</w:t>
      </w:r>
      <w:r w:rsidRPr="00033E0A">
        <w:t xml:space="preserve">ez započtení přímých podpor </w:t>
      </w:r>
      <w:r>
        <w:t>a její průměrná hodnota podle výběrového šetření ÚZEI dosáhla 14,41 %, což je nejvíce od vstupu ČR do EU. Přímé a nepřímé podpory na plochy krmiv dosáhly v přepočtu 1,41 Kč/l mléka a zvýšily průměrnou souhrnnou rentabilitu na 31,62 %. Rovněž souhrnná rentabilita byla nejvyšší od vstupu ČR do EU.</w:t>
      </w:r>
    </w:p>
    <w:p w:rsidR="00567C4A" w:rsidRDefault="00567C4A" w:rsidP="000B7BEE">
      <w:pPr>
        <w:pStyle w:val="mezera"/>
      </w:pPr>
    </w:p>
    <w:p w:rsidR="00567C4A" w:rsidRDefault="00567C4A" w:rsidP="000B7BEE">
      <w:pPr>
        <w:pStyle w:val="mezera-svzan"/>
      </w:pPr>
      <w:r w:rsidRPr="009948C0">
        <w:rPr>
          <w:noProof/>
          <w:lang w:eastAsia="cs-CZ"/>
        </w:rPr>
        <w:lastRenderedPageBreak/>
        <w:drawing>
          <wp:inline distT="0" distB="0" distL="0" distR="0" wp14:anchorId="51911E28" wp14:editId="473EB8E7">
            <wp:extent cx="5760720" cy="3714662"/>
            <wp:effectExtent l="0" t="0" r="0" b="63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60720" cy="3714662"/>
                    </a:xfrm>
                    <a:prstGeom prst="rect">
                      <a:avLst/>
                    </a:prstGeom>
                    <a:noFill/>
                    <a:ln>
                      <a:noFill/>
                    </a:ln>
                  </pic:spPr>
                </pic:pic>
              </a:graphicData>
            </a:graphic>
          </wp:inline>
        </w:drawing>
      </w:r>
    </w:p>
    <w:p w:rsidR="00567C4A" w:rsidRPr="003D7899" w:rsidRDefault="00567C4A" w:rsidP="000B7BEE">
      <w:pPr>
        <w:pStyle w:val="TabPramZprac"/>
      </w:pPr>
      <w:r>
        <w:t>Pramen:</w:t>
      </w:r>
      <w:r>
        <w:tab/>
      </w:r>
      <w:r w:rsidRPr="003D7899">
        <w:t>Mlék (MZe) 6-12</w:t>
      </w:r>
    </w:p>
    <w:p w:rsidR="00567C4A" w:rsidRDefault="00567C4A" w:rsidP="000B7BEE">
      <w:pPr>
        <w:pStyle w:val="TabPramZprac"/>
      </w:pPr>
      <w:r>
        <w:t>Zpracoval:</w:t>
      </w:r>
      <w:r>
        <w:tab/>
        <w:t>I. Bošková (ÚZEI)</w:t>
      </w:r>
    </w:p>
    <w:p w:rsidR="00567C4A" w:rsidRPr="009948C0" w:rsidRDefault="00567C4A" w:rsidP="000B7BEE">
      <w:pPr>
        <w:pStyle w:val="mezera"/>
      </w:pPr>
    </w:p>
    <w:p w:rsidR="00567C4A" w:rsidRPr="002574E3" w:rsidRDefault="00567C4A" w:rsidP="000B7BEE">
      <w:pPr>
        <w:pStyle w:val="Norm-Bold"/>
      </w:pPr>
      <w:r w:rsidRPr="002574E3">
        <w:t>Hovězí maso</w:t>
      </w:r>
    </w:p>
    <w:p w:rsidR="00567C4A" w:rsidRDefault="00567C4A" w:rsidP="000B7BEE">
      <w:pPr>
        <w:rPr>
          <w:szCs w:val="20"/>
        </w:rPr>
      </w:pPr>
      <w:r>
        <w:rPr>
          <w:szCs w:val="20"/>
        </w:rPr>
        <w:t>V EU byl trh s hovězím a telecím masem v</w:t>
      </w:r>
      <w:r w:rsidRPr="002574E3">
        <w:rPr>
          <w:szCs w:val="20"/>
        </w:rPr>
        <w:t xml:space="preserve"> roce </w:t>
      </w:r>
      <w:r>
        <w:rPr>
          <w:szCs w:val="20"/>
        </w:rPr>
        <w:t xml:space="preserve">2014 </w:t>
      </w:r>
      <w:r w:rsidRPr="002574E3">
        <w:rPr>
          <w:szCs w:val="20"/>
        </w:rPr>
        <w:t xml:space="preserve">ovlivněn </w:t>
      </w:r>
      <w:r>
        <w:rPr>
          <w:szCs w:val="20"/>
        </w:rPr>
        <w:t xml:space="preserve">vysokými cenami </w:t>
      </w:r>
      <w:r w:rsidRPr="002574E3">
        <w:rPr>
          <w:szCs w:val="20"/>
        </w:rPr>
        <w:t>na světovém trhu, které se již druhým rokem po sobě udržely na poměrně vysoké úrovni. Na</w:t>
      </w:r>
      <w:r>
        <w:rPr>
          <w:szCs w:val="20"/>
        </w:rPr>
        <w:t>proti tomu pokles cen všech kategorií jatečného skotu a </w:t>
      </w:r>
      <w:r w:rsidRPr="00307BFF">
        <w:t>přízniv</w:t>
      </w:r>
      <w:r>
        <w:t>ý</w:t>
      </w:r>
      <w:r w:rsidRPr="00307BFF">
        <w:t xml:space="preserve"> vývoj kurzu</w:t>
      </w:r>
      <w:r w:rsidRPr="00307BFF">
        <w:rPr>
          <w:b/>
        </w:rPr>
        <w:t xml:space="preserve"> </w:t>
      </w:r>
      <w:r w:rsidRPr="00307BFF">
        <w:rPr>
          <w:szCs w:val="20"/>
        </w:rPr>
        <w:t>eura vůči americkému dolaru</w:t>
      </w:r>
      <w:r>
        <w:rPr>
          <w:szCs w:val="20"/>
        </w:rPr>
        <w:t xml:space="preserve"> pomohl posílit unijní pozici na globálním trhu</w:t>
      </w:r>
      <w:r w:rsidRPr="002574E3">
        <w:rPr>
          <w:szCs w:val="20"/>
        </w:rPr>
        <w:t xml:space="preserve">, což se projevilo </w:t>
      </w:r>
      <w:r>
        <w:rPr>
          <w:szCs w:val="20"/>
        </w:rPr>
        <w:t>poměrně výrazným nárůstem e</w:t>
      </w:r>
      <w:r w:rsidRPr="002574E3">
        <w:rPr>
          <w:szCs w:val="20"/>
        </w:rPr>
        <w:t xml:space="preserve">xportu, </w:t>
      </w:r>
      <w:r>
        <w:rPr>
          <w:szCs w:val="20"/>
        </w:rPr>
        <w:t xml:space="preserve">stagnací </w:t>
      </w:r>
      <w:r w:rsidRPr="002574E3">
        <w:rPr>
          <w:szCs w:val="20"/>
        </w:rPr>
        <w:t>importu a </w:t>
      </w:r>
      <w:r>
        <w:rPr>
          <w:szCs w:val="20"/>
        </w:rPr>
        <w:t>zlepšením aktivního salda</w:t>
      </w:r>
      <w:r w:rsidRPr="002574E3">
        <w:rPr>
          <w:szCs w:val="20"/>
        </w:rPr>
        <w:t xml:space="preserve"> obchodní bilance. </w:t>
      </w:r>
      <w:r>
        <w:rPr>
          <w:szCs w:val="20"/>
        </w:rPr>
        <w:t>V EU byl rok 2014 p</w:t>
      </w:r>
      <w:r w:rsidRPr="002574E3">
        <w:rPr>
          <w:szCs w:val="20"/>
        </w:rPr>
        <w:t>odle pře</w:t>
      </w:r>
      <w:r>
        <w:rPr>
          <w:szCs w:val="20"/>
        </w:rPr>
        <w:t>dběžných údajů Evropské komise v sektoru hovězího a telecího masa poměrně příznivý a byl</w:t>
      </w:r>
      <w:r w:rsidRPr="002574E3">
        <w:rPr>
          <w:szCs w:val="20"/>
        </w:rPr>
        <w:t xml:space="preserve"> charakterizován </w:t>
      </w:r>
      <w:r>
        <w:rPr>
          <w:szCs w:val="20"/>
        </w:rPr>
        <w:t>mírným oživením</w:t>
      </w:r>
      <w:r w:rsidRPr="002574E3">
        <w:rPr>
          <w:szCs w:val="20"/>
        </w:rPr>
        <w:t xml:space="preserve"> stavů</w:t>
      </w:r>
      <w:r>
        <w:rPr>
          <w:szCs w:val="20"/>
        </w:rPr>
        <w:t xml:space="preserve"> skotu provázený</w:t>
      </w:r>
      <w:r w:rsidRPr="002574E3">
        <w:rPr>
          <w:szCs w:val="20"/>
        </w:rPr>
        <w:t xml:space="preserve"> </w:t>
      </w:r>
      <w:r>
        <w:rPr>
          <w:szCs w:val="20"/>
        </w:rPr>
        <w:t>slabým</w:t>
      </w:r>
      <w:r w:rsidRPr="002574E3">
        <w:rPr>
          <w:szCs w:val="20"/>
        </w:rPr>
        <w:t xml:space="preserve"> </w:t>
      </w:r>
      <w:r>
        <w:rPr>
          <w:szCs w:val="20"/>
        </w:rPr>
        <w:t>nárůstem</w:t>
      </w:r>
      <w:r w:rsidRPr="002574E3">
        <w:rPr>
          <w:szCs w:val="20"/>
        </w:rPr>
        <w:t xml:space="preserve"> produkce hovězího a</w:t>
      </w:r>
      <w:r>
        <w:rPr>
          <w:szCs w:val="20"/>
        </w:rPr>
        <w:t> </w:t>
      </w:r>
      <w:r w:rsidRPr="002574E3">
        <w:rPr>
          <w:szCs w:val="20"/>
        </w:rPr>
        <w:t>telecího masa</w:t>
      </w:r>
      <w:r>
        <w:rPr>
          <w:szCs w:val="20"/>
        </w:rPr>
        <w:t xml:space="preserve"> při oživení </w:t>
      </w:r>
      <w:r w:rsidRPr="002574E3">
        <w:rPr>
          <w:szCs w:val="20"/>
        </w:rPr>
        <w:t xml:space="preserve">jeho </w:t>
      </w:r>
      <w:r>
        <w:rPr>
          <w:szCs w:val="20"/>
        </w:rPr>
        <w:t>s</w:t>
      </w:r>
      <w:r w:rsidRPr="002574E3">
        <w:rPr>
          <w:szCs w:val="20"/>
        </w:rPr>
        <w:t>potřeby</w:t>
      </w:r>
      <w:r>
        <w:rPr>
          <w:szCs w:val="20"/>
        </w:rPr>
        <w:t xml:space="preserve"> jako reakce na oslabení cen hovězího masa.</w:t>
      </w:r>
    </w:p>
    <w:p w:rsidR="00567C4A" w:rsidRDefault="00567C4A" w:rsidP="000B7BEE">
      <w:pPr>
        <w:rPr>
          <w:color w:val="000000"/>
          <w:szCs w:val="20"/>
        </w:rPr>
      </w:pPr>
      <w:r>
        <w:rPr>
          <w:szCs w:val="20"/>
        </w:rPr>
        <w:t xml:space="preserve">Po mírném oživení stavů skotu celkem v EU v roce 2013 pokračoval trend jejich růstu také v roce 2014. </w:t>
      </w:r>
      <w:r w:rsidRPr="002574E3">
        <w:rPr>
          <w:szCs w:val="20"/>
        </w:rPr>
        <w:t>Podle předběžných údajů Eurostatu bylo k prosinci roku 201</w:t>
      </w:r>
      <w:r>
        <w:rPr>
          <w:szCs w:val="20"/>
        </w:rPr>
        <w:t>4</w:t>
      </w:r>
      <w:r w:rsidRPr="002574E3">
        <w:rPr>
          <w:szCs w:val="20"/>
        </w:rPr>
        <w:t xml:space="preserve"> v EU chováno celkem 8</w:t>
      </w:r>
      <w:r>
        <w:rPr>
          <w:szCs w:val="20"/>
        </w:rPr>
        <w:t>8,3</w:t>
      </w:r>
      <w:r w:rsidRPr="002574E3">
        <w:rPr>
          <w:color w:val="000000"/>
          <w:szCs w:val="20"/>
        </w:rPr>
        <w:t> mil. ks skotu, což představovalo meziroční přírůstek 0,</w:t>
      </w:r>
      <w:r>
        <w:rPr>
          <w:color w:val="000000"/>
          <w:szCs w:val="20"/>
        </w:rPr>
        <w:t>8</w:t>
      </w:r>
      <w:r w:rsidRPr="002574E3">
        <w:rPr>
          <w:color w:val="000000"/>
          <w:szCs w:val="20"/>
        </w:rPr>
        <w:t> % (tj. 0,</w:t>
      </w:r>
      <w:r>
        <w:rPr>
          <w:color w:val="000000"/>
          <w:szCs w:val="20"/>
        </w:rPr>
        <w:t>7</w:t>
      </w:r>
      <w:r w:rsidRPr="002574E3">
        <w:rPr>
          <w:color w:val="000000"/>
          <w:szCs w:val="20"/>
        </w:rPr>
        <w:t xml:space="preserve"> mil. ks). </w:t>
      </w:r>
      <w:r>
        <w:rPr>
          <w:color w:val="000000"/>
          <w:szCs w:val="20"/>
        </w:rPr>
        <w:t>Hlavním důvodem navyšování stavů téměř všech kategorií skotu včetně základního stáda krav byly jak příznivé ceny hovězího masa, tak i mléka na trhu Unie v předchozích dvou letech (2012</w:t>
      </w:r>
      <w:r>
        <w:rPr>
          <w:color w:val="000000"/>
          <w:szCs w:val="20"/>
        </w:rPr>
        <w:noBreakHyphen/>
        <w:t>2013), což ovlivnilo pozitivně i ekonomiku výroby obou komodit. V roce 2014 došlo v meziročním srovnání k </w:t>
      </w:r>
      <w:r w:rsidRPr="002574E3">
        <w:rPr>
          <w:color w:val="000000"/>
          <w:szCs w:val="20"/>
        </w:rPr>
        <w:t>nárůstu stavů skotu celkem v</w:t>
      </w:r>
      <w:r>
        <w:rPr>
          <w:color w:val="000000"/>
          <w:szCs w:val="20"/>
        </w:rPr>
        <w:t> </w:t>
      </w:r>
      <w:r w:rsidRPr="002574E3">
        <w:rPr>
          <w:color w:val="000000"/>
          <w:szCs w:val="20"/>
        </w:rPr>
        <w:t>1</w:t>
      </w:r>
      <w:r>
        <w:rPr>
          <w:color w:val="000000"/>
          <w:szCs w:val="20"/>
        </w:rPr>
        <w:t>7</w:t>
      </w:r>
      <w:r w:rsidR="00F47583">
        <w:rPr>
          <w:color w:val="000000"/>
          <w:szCs w:val="20"/>
        </w:rPr>
        <w:t> </w:t>
      </w:r>
      <w:r w:rsidRPr="002574E3">
        <w:rPr>
          <w:color w:val="000000"/>
          <w:szCs w:val="20"/>
        </w:rPr>
        <w:t>členských zemích, z toho nejvýrazněji stouply poč</w:t>
      </w:r>
      <w:r w:rsidRPr="002574E3">
        <w:rPr>
          <w:szCs w:val="20"/>
        </w:rPr>
        <w:t>ty chovaných zvířat v</w:t>
      </w:r>
      <w:r>
        <w:rPr>
          <w:szCs w:val="20"/>
        </w:rPr>
        <w:t>e Španělsku (6,5 %), Portugalsku</w:t>
      </w:r>
      <w:r w:rsidRPr="002574E3">
        <w:rPr>
          <w:szCs w:val="20"/>
        </w:rPr>
        <w:t xml:space="preserve"> (</w:t>
      </w:r>
      <w:r>
        <w:rPr>
          <w:szCs w:val="20"/>
        </w:rPr>
        <w:t>4</w:t>
      </w:r>
      <w:r w:rsidRPr="002574E3">
        <w:rPr>
          <w:szCs w:val="20"/>
        </w:rPr>
        <w:t xml:space="preserve">,9 %), </w:t>
      </w:r>
      <w:r>
        <w:rPr>
          <w:szCs w:val="20"/>
        </w:rPr>
        <w:t xml:space="preserve">Litvě </w:t>
      </w:r>
      <w:r w:rsidRPr="002574E3">
        <w:rPr>
          <w:szCs w:val="20"/>
        </w:rPr>
        <w:t>(</w:t>
      </w:r>
      <w:r>
        <w:rPr>
          <w:szCs w:val="20"/>
        </w:rPr>
        <w:t>3,8</w:t>
      </w:r>
      <w:r w:rsidRPr="002574E3">
        <w:rPr>
          <w:szCs w:val="20"/>
        </w:rPr>
        <w:t xml:space="preserve"> %), </w:t>
      </w:r>
      <w:r>
        <w:rPr>
          <w:szCs w:val="20"/>
        </w:rPr>
        <w:t>Lotyšsku</w:t>
      </w:r>
      <w:r w:rsidRPr="002574E3">
        <w:rPr>
          <w:szCs w:val="20"/>
        </w:rPr>
        <w:t xml:space="preserve"> (</w:t>
      </w:r>
      <w:r>
        <w:rPr>
          <w:szCs w:val="20"/>
        </w:rPr>
        <w:t>3,3 %), ČR</w:t>
      </w:r>
      <w:r w:rsidRPr="002574E3">
        <w:rPr>
          <w:szCs w:val="20"/>
        </w:rPr>
        <w:t xml:space="preserve"> (</w:t>
      </w:r>
      <w:r>
        <w:rPr>
          <w:szCs w:val="20"/>
        </w:rPr>
        <w:t>3,1</w:t>
      </w:r>
      <w:r w:rsidRPr="002574E3">
        <w:rPr>
          <w:szCs w:val="20"/>
        </w:rPr>
        <w:t xml:space="preserve"> %), Maďarsku </w:t>
      </w:r>
      <w:r w:rsidRPr="002574E3">
        <w:rPr>
          <w:szCs w:val="20"/>
        </w:rPr>
        <w:lastRenderedPageBreak/>
        <w:t>(</w:t>
      </w:r>
      <w:r>
        <w:rPr>
          <w:szCs w:val="20"/>
        </w:rPr>
        <w:t>2</w:t>
      </w:r>
      <w:r w:rsidRPr="002574E3">
        <w:rPr>
          <w:szCs w:val="20"/>
        </w:rPr>
        <w:t xml:space="preserve">,6 %), </w:t>
      </w:r>
      <w:r>
        <w:rPr>
          <w:szCs w:val="20"/>
        </w:rPr>
        <w:t>Rumunsku</w:t>
      </w:r>
      <w:r w:rsidRPr="002574E3">
        <w:rPr>
          <w:szCs w:val="20"/>
        </w:rPr>
        <w:t xml:space="preserve"> (</w:t>
      </w:r>
      <w:r>
        <w:rPr>
          <w:szCs w:val="20"/>
        </w:rPr>
        <w:t>2,0</w:t>
      </w:r>
      <w:r w:rsidRPr="002574E3">
        <w:rPr>
          <w:szCs w:val="20"/>
        </w:rPr>
        <w:t> %) a </w:t>
      </w:r>
      <w:r>
        <w:rPr>
          <w:szCs w:val="20"/>
        </w:rPr>
        <w:t xml:space="preserve">Nizozemsku </w:t>
      </w:r>
      <w:r w:rsidRPr="002574E3">
        <w:rPr>
          <w:szCs w:val="20"/>
        </w:rPr>
        <w:t>(1,</w:t>
      </w:r>
      <w:r>
        <w:rPr>
          <w:szCs w:val="20"/>
        </w:rPr>
        <w:t>9</w:t>
      </w:r>
      <w:r w:rsidRPr="002574E3">
        <w:rPr>
          <w:szCs w:val="20"/>
        </w:rPr>
        <w:t xml:space="preserve"> %). </w:t>
      </w:r>
      <w:r>
        <w:rPr>
          <w:szCs w:val="20"/>
        </w:rPr>
        <w:t>Jejich s</w:t>
      </w:r>
      <w:r w:rsidRPr="002574E3">
        <w:rPr>
          <w:szCs w:val="20"/>
        </w:rPr>
        <w:t>tagnace byla evidována v</w:t>
      </w:r>
      <w:r>
        <w:rPr>
          <w:szCs w:val="20"/>
        </w:rPr>
        <w:t>e třech</w:t>
      </w:r>
      <w:r w:rsidRPr="002574E3">
        <w:rPr>
          <w:szCs w:val="20"/>
        </w:rPr>
        <w:t xml:space="preserve"> členských státech</w:t>
      </w:r>
      <w:r>
        <w:rPr>
          <w:szCs w:val="20"/>
        </w:rPr>
        <w:t xml:space="preserve"> (</w:t>
      </w:r>
      <w:r w:rsidRPr="002574E3">
        <w:rPr>
          <w:szCs w:val="20"/>
        </w:rPr>
        <w:t>Velké Británii</w:t>
      </w:r>
      <w:r>
        <w:rPr>
          <w:szCs w:val="20"/>
        </w:rPr>
        <w:t>, Rakousku a Řecku).</w:t>
      </w:r>
      <w:r w:rsidRPr="002574E3">
        <w:rPr>
          <w:szCs w:val="20"/>
        </w:rPr>
        <w:t xml:space="preserve"> </w:t>
      </w:r>
      <w:r>
        <w:rPr>
          <w:szCs w:val="20"/>
        </w:rPr>
        <w:t>Snižování</w:t>
      </w:r>
      <w:r w:rsidRPr="002574E3">
        <w:rPr>
          <w:szCs w:val="20"/>
        </w:rPr>
        <w:t xml:space="preserve"> počtu chovaného skotu </w:t>
      </w:r>
      <w:r>
        <w:rPr>
          <w:szCs w:val="20"/>
        </w:rPr>
        <w:t>bylo evidováno meziročně</w:t>
      </w:r>
      <w:r w:rsidRPr="002574E3">
        <w:rPr>
          <w:szCs w:val="20"/>
        </w:rPr>
        <w:t xml:space="preserve"> celkem v </w:t>
      </w:r>
      <w:r>
        <w:rPr>
          <w:szCs w:val="20"/>
        </w:rPr>
        <w:t>osmi</w:t>
      </w:r>
      <w:r w:rsidRPr="002574E3">
        <w:rPr>
          <w:szCs w:val="20"/>
        </w:rPr>
        <w:t xml:space="preserve"> regionech</w:t>
      </w:r>
      <w:r>
        <w:rPr>
          <w:szCs w:val="20"/>
        </w:rPr>
        <w:t xml:space="preserve"> Unie</w:t>
      </w:r>
      <w:r w:rsidRPr="002574E3">
        <w:rPr>
          <w:szCs w:val="20"/>
        </w:rPr>
        <w:t xml:space="preserve">, a to </w:t>
      </w:r>
      <w:r>
        <w:rPr>
          <w:szCs w:val="20"/>
        </w:rPr>
        <w:t>zejména</w:t>
      </w:r>
      <w:r w:rsidRPr="002574E3">
        <w:rPr>
          <w:szCs w:val="20"/>
        </w:rPr>
        <w:t xml:space="preserve"> v Chorvatsku (</w:t>
      </w:r>
      <w:r w:rsidRPr="002574E3">
        <w:rPr>
          <w:szCs w:val="20"/>
        </w:rPr>
        <w:noBreakHyphen/>
        <w:t xml:space="preserve">8,6 %), </w:t>
      </w:r>
      <w:r>
        <w:rPr>
          <w:szCs w:val="20"/>
        </w:rPr>
        <w:t>Bulharsku</w:t>
      </w:r>
      <w:r w:rsidRPr="002574E3">
        <w:rPr>
          <w:szCs w:val="20"/>
        </w:rPr>
        <w:t xml:space="preserve"> (</w:t>
      </w:r>
      <w:r w:rsidRPr="002574E3">
        <w:rPr>
          <w:szCs w:val="20"/>
        </w:rPr>
        <w:noBreakHyphen/>
      </w:r>
      <w:r>
        <w:rPr>
          <w:szCs w:val="20"/>
        </w:rPr>
        <w:t>4,0</w:t>
      </w:r>
      <w:r w:rsidRPr="002574E3">
        <w:rPr>
          <w:szCs w:val="20"/>
        </w:rPr>
        <w:t xml:space="preserve"> %), </w:t>
      </w:r>
      <w:r>
        <w:rPr>
          <w:szCs w:val="20"/>
        </w:rPr>
        <w:t>Itálii (</w:t>
      </w:r>
      <w:r>
        <w:rPr>
          <w:szCs w:val="20"/>
        </w:rPr>
        <w:noBreakHyphen/>
        <w:t xml:space="preserve">2,0 %), </w:t>
      </w:r>
      <w:r w:rsidRPr="002574E3">
        <w:rPr>
          <w:szCs w:val="20"/>
        </w:rPr>
        <w:t>Dánsku (</w:t>
      </w:r>
      <w:r w:rsidRPr="002574E3">
        <w:rPr>
          <w:szCs w:val="20"/>
        </w:rPr>
        <w:noBreakHyphen/>
        <w:t>1,</w:t>
      </w:r>
      <w:r>
        <w:rPr>
          <w:szCs w:val="20"/>
        </w:rPr>
        <w:t>9 </w:t>
      </w:r>
      <w:r w:rsidRPr="002574E3">
        <w:rPr>
          <w:szCs w:val="20"/>
        </w:rPr>
        <w:t>%) a </w:t>
      </w:r>
      <w:r>
        <w:rPr>
          <w:szCs w:val="20"/>
        </w:rPr>
        <w:t>Irsku</w:t>
      </w:r>
      <w:r w:rsidRPr="002574E3">
        <w:rPr>
          <w:szCs w:val="20"/>
        </w:rPr>
        <w:t xml:space="preserve"> (</w:t>
      </w:r>
      <w:r w:rsidRPr="002574E3">
        <w:rPr>
          <w:szCs w:val="20"/>
        </w:rPr>
        <w:noBreakHyphen/>
        <w:t>1,</w:t>
      </w:r>
      <w:r>
        <w:rPr>
          <w:szCs w:val="20"/>
        </w:rPr>
        <w:t>0</w:t>
      </w:r>
      <w:r w:rsidRPr="002574E3">
        <w:rPr>
          <w:szCs w:val="20"/>
        </w:rPr>
        <w:t xml:space="preserve"> %). </w:t>
      </w:r>
      <w:r w:rsidRPr="002574E3">
        <w:rPr>
          <w:color w:val="000000"/>
          <w:szCs w:val="20"/>
        </w:rPr>
        <w:t>Stavy krav celkem se v EU</w:t>
      </w:r>
      <w:r>
        <w:rPr>
          <w:color w:val="000000"/>
          <w:szCs w:val="20"/>
        </w:rPr>
        <w:t xml:space="preserve"> </w:t>
      </w:r>
      <w:r w:rsidRPr="002574E3">
        <w:rPr>
          <w:color w:val="000000"/>
          <w:szCs w:val="20"/>
        </w:rPr>
        <w:t>v roce 201</w:t>
      </w:r>
      <w:r>
        <w:rPr>
          <w:color w:val="000000"/>
          <w:szCs w:val="20"/>
        </w:rPr>
        <w:t>4 proti předchozímu roku</w:t>
      </w:r>
      <w:r w:rsidRPr="002574E3">
        <w:rPr>
          <w:color w:val="000000"/>
          <w:szCs w:val="20"/>
        </w:rPr>
        <w:t xml:space="preserve"> mírně zvýšily o 0,</w:t>
      </w:r>
      <w:r>
        <w:rPr>
          <w:color w:val="000000"/>
          <w:szCs w:val="20"/>
        </w:rPr>
        <w:t>8</w:t>
      </w:r>
      <w:r w:rsidRPr="002574E3">
        <w:rPr>
          <w:color w:val="000000"/>
          <w:szCs w:val="20"/>
        </w:rPr>
        <w:t> % (o 0,</w:t>
      </w:r>
      <w:r>
        <w:rPr>
          <w:color w:val="000000"/>
          <w:szCs w:val="20"/>
        </w:rPr>
        <w:t>3</w:t>
      </w:r>
      <w:r w:rsidRPr="002574E3">
        <w:rPr>
          <w:color w:val="000000"/>
          <w:szCs w:val="20"/>
        </w:rPr>
        <w:t> mil.</w:t>
      </w:r>
      <w:r>
        <w:rPr>
          <w:color w:val="000000"/>
          <w:szCs w:val="20"/>
        </w:rPr>
        <w:t> </w:t>
      </w:r>
      <w:r w:rsidRPr="002574E3">
        <w:rPr>
          <w:color w:val="000000"/>
          <w:szCs w:val="20"/>
        </w:rPr>
        <w:t>ks) na 35,</w:t>
      </w:r>
      <w:r>
        <w:rPr>
          <w:color w:val="000000"/>
          <w:szCs w:val="20"/>
        </w:rPr>
        <w:t>7 </w:t>
      </w:r>
      <w:r w:rsidRPr="002574E3">
        <w:rPr>
          <w:color w:val="000000"/>
          <w:szCs w:val="20"/>
        </w:rPr>
        <w:t>mil. ks</w:t>
      </w:r>
      <w:r>
        <w:rPr>
          <w:color w:val="000000"/>
          <w:szCs w:val="20"/>
        </w:rPr>
        <w:t>. Hlavní podíl na tomto vývoji měly krávy BTPM. Jejich počty se po mírném úbytku v roce 2013 zvýšily dynamičtěji než v případě populace krav mléčných plemen, kterých bylo v EU chováno 23,6 mil. ks (meziročně nárůst o 0,4 %). Celková populace krav BTPM v Unii v roce 2014 dosáhla 12,1 mil. ks, což představovalo meziroční přírůstek o 1,5 % (tj. 0,2 mil. ks).</w:t>
      </w:r>
      <w:r w:rsidRPr="002574E3">
        <w:rPr>
          <w:color w:val="000000"/>
          <w:szCs w:val="20"/>
        </w:rPr>
        <w:t xml:space="preserve"> </w:t>
      </w:r>
      <w:r>
        <w:rPr>
          <w:color w:val="000000"/>
          <w:szCs w:val="20"/>
        </w:rPr>
        <w:t>Progresivní růst byl zaznamenán především v některých nových členských zemích, jako jsou Chorvatsko (53,8 %), Lotyšsko (24,6 %), Bulharsko (23,8 %) a Litva (17,3 %). Z chovatelsky významných zemí se zvýšily stavy ve Španělsku (6,4 %) a mírně ve Francii (0,8 %), ke stagnaci došlo v Německu. Naopak k omezení počtu krav BTPM proti roku 2013 došlo zejména v Irsku (</w:t>
      </w:r>
      <w:r>
        <w:rPr>
          <w:color w:val="000000"/>
          <w:szCs w:val="20"/>
        </w:rPr>
        <w:noBreakHyphen/>
        <w:t>4,0 %), Rakou</w:t>
      </w:r>
      <w:r w:rsidR="00F47583">
        <w:rPr>
          <w:color w:val="000000"/>
          <w:szCs w:val="20"/>
        </w:rPr>
        <w:t>sku (</w:t>
      </w:r>
      <w:r w:rsidR="00F47583">
        <w:rPr>
          <w:color w:val="000000"/>
          <w:szCs w:val="20"/>
        </w:rPr>
        <w:noBreakHyphen/>
        <w:t>2,8 %), Itálii (</w:t>
      </w:r>
      <w:r w:rsidR="00F47583">
        <w:rPr>
          <w:color w:val="000000"/>
          <w:szCs w:val="20"/>
        </w:rPr>
        <w:noBreakHyphen/>
        <w:t>1,9 %) a </w:t>
      </w:r>
      <w:r>
        <w:rPr>
          <w:color w:val="000000"/>
          <w:szCs w:val="20"/>
        </w:rPr>
        <w:t>Velké Británii (</w:t>
      </w:r>
      <w:r>
        <w:rPr>
          <w:color w:val="000000"/>
          <w:szCs w:val="20"/>
        </w:rPr>
        <w:noBreakHyphen/>
        <w:t>1,2 %)</w:t>
      </w:r>
      <w:r w:rsidR="00AD5080">
        <w:rPr>
          <w:color w:val="000000"/>
          <w:szCs w:val="20"/>
        </w:rPr>
        <w:t>.</w:t>
      </w:r>
    </w:p>
    <w:p w:rsidR="00567C4A" w:rsidRDefault="00567C4A" w:rsidP="000B7BEE">
      <w:pPr>
        <w:rPr>
          <w:szCs w:val="20"/>
        </w:rPr>
      </w:pPr>
      <w:r>
        <w:rPr>
          <w:szCs w:val="20"/>
        </w:rPr>
        <w:t>V EU p</w:t>
      </w:r>
      <w:r w:rsidRPr="002574E3">
        <w:rPr>
          <w:szCs w:val="20"/>
        </w:rPr>
        <w:t xml:space="preserve">rodukce hovězího masa včetně telecího </w:t>
      </w:r>
      <w:r>
        <w:rPr>
          <w:szCs w:val="20"/>
        </w:rPr>
        <w:t>v</w:t>
      </w:r>
      <w:r w:rsidRPr="002574E3">
        <w:rPr>
          <w:szCs w:val="20"/>
        </w:rPr>
        <w:t xml:space="preserve"> roce </w:t>
      </w:r>
      <w:r w:rsidRPr="00A96B6C">
        <w:rPr>
          <w:szCs w:val="20"/>
        </w:rPr>
        <w:t>201</w:t>
      </w:r>
      <w:r>
        <w:rPr>
          <w:szCs w:val="20"/>
        </w:rPr>
        <w:t>4</w:t>
      </w:r>
      <w:r w:rsidRPr="00A96B6C">
        <w:rPr>
          <w:szCs w:val="20"/>
        </w:rPr>
        <w:t xml:space="preserve"> podle předběžných údajů Evropské komise meziročně </w:t>
      </w:r>
      <w:r>
        <w:rPr>
          <w:szCs w:val="20"/>
        </w:rPr>
        <w:t>mírně vzrostla</w:t>
      </w:r>
      <w:r w:rsidRPr="00A96B6C">
        <w:rPr>
          <w:szCs w:val="20"/>
        </w:rPr>
        <w:t xml:space="preserve"> o </w:t>
      </w:r>
      <w:r>
        <w:rPr>
          <w:szCs w:val="20"/>
        </w:rPr>
        <w:t>0,7</w:t>
      </w:r>
      <w:r w:rsidRPr="00A96B6C">
        <w:rPr>
          <w:szCs w:val="20"/>
        </w:rPr>
        <w:t> % na 7,5 mil. t, tj. o</w:t>
      </w:r>
      <w:r>
        <w:rPr>
          <w:szCs w:val="20"/>
        </w:rPr>
        <w:t xml:space="preserve"> 0,36 mil. t. Hlavním důvodem byl jednak příznivý vývoj cen jatečného skotu v předchozích dvou letech (2012 a 2013), ale i meziročně vyšší export hovězího masa do třetích zemí a nárůst spotřebitelské poptávky podnícený poklesem cen v roce 2014. </w:t>
      </w:r>
      <w:r w:rsidRPr="002574E3">
        <w:t xml:space="preserve">V jednotlivých </w:t>
      </w:r>
      <w:r>
        <w:t>regionech Unie</w:t>
      </w:r>
      <w:r w:rsidRPr="002574E3">
        <w:t xml:space="preserve"> byl</w:t>
      </w:r>
      <w:r>
        <w:t>,</w:t>
      </w:r>
      <w:r w:rsidRPr="002574E3">
        <w:t xml:space="preserve"> podle předběžných údajů</w:t>
      </w:r>
      <w:r>
        <w:t xml:space="preserve"> EK,</w:t>
      </w:r>
      <w:r w:rsidRPr="002574E3">
        <w:t xml:space="preserve"> vývoj produkce </w:t>
      </w:r>
      <w:r>
        <w:t>hovězího a telecího masa rozličný</w:t>
      </w:r>
      <w:r w:rsidRPr="002574E3">
        <w:t>. V</w:t>
      </w:r>
      <w:r>
        <w:t>íce než polovina</w:t>
      </w:r>
      <w:r w:rsidRPr="002574E3">
        <w:t xml:space="preserve"> členských zemí (celkem 1</w:t>
      </w:r>
      <w:r>
        <w:t>5</w:t>
      </w:r>
      <w:r w:rsidRPr="002574E3">
        <w:t>) vykazovala v roce 201</w:t>
      </w:r>
      <w:r>
        <w:t>4</w:t>
      </w:r>
      <w:r w:rsidRPr="002574E3">
        <w:t xml:space="preserve"> ve srovnání s rokem 201</w:t>
      </w:r>
      <w:r>
        <w:t>3</w:t>
      </w:r>
      <w:r w:rsidRPr="002574E3">
        <w:t xml:space="preserve"> </w:t>
      </w:r>
      <w:r>
        <w:t>vyšší</w:t>
      </w:r>
      <w:r w:rsidRPr="002574E3">
        <w:t xml:space="preserve"> produkc</w:t>
      </w:r>
      <w:r>
        <w:t>i,</w:t>
      </w:r>
      <w:r w:rsidRPr="0088620A">
        <w:t xml:space="preserve"> </w:t>
      </w:r>
      <w:r>
        <w:t>ve třech zemích došlo ke stagnaci</w:t>
      </w:r>
      <w:r w:rsidRPr="002574E3">
        <w:t xml:space="preserve"> a</w:t>
      </w:r>
      <w:r>
        <w:t> </w:t>
      </w:r>
      <w:r w:rsidRPr="002574E3">
        <w:t>v</w:t>
      </w:r>
      <w:r>
        <w:t> 10</w:t>
      </w:r>
      <w:r w:rsidRPr="002574E3">
        <w:t xml:space="preserve"> regionech byl </w:t>
      </w:r>
      <w:r>
        <w:t xml:space="preserve">naopak </w:t>
      </w:r>
      <w:r w:rsidRPr="002574E3">
        <w:t>evidován</w:t>
      </w:r>
      <w:r>
        <w:t xml:space="preserve"> její pokles</w:t>
      </w:r>
      <w:r w:rsidRPr="002574E3">
        <w:t xml:space="preserve">. </w:t>
      </w:r>
      <w:r>
        <w:t>Meziroční nárůst</w:t>
      </w:r>
      <w:r w:rsidRPr="002574E3">
        <w:t xml:space="preserve"> výroby </w:t>
      </w:r>
      <w:r>
        <w:t xml:space="preserve">hovězího a telecího masa </w:t>
      </w:r>
      <w:r w:rsidRPr="002574E3">
        <w:t>byl</w:t>
      </w:r>
      <w:r>
        <w:t xml:space="preserve"> zaznamenán </w:t>
      </w:r>
      <w:r w:rsidRPr="002574E3">
        <w:t xml:space="preserve">v rámci produkčně významných zemí především </w:t>
      </w:r>
      <w:r>
        <w:t xml:space="preserve">v Polsku </w:t>
      </w:r>
      <w:r w:rsidRPr="00442653">
        <w:t xml:space="preserve">(21,7 %), Irsku (12,4 %), </w:t>
      </w:r>
      <w:r>
        <w:t xml:space="preserve">Švédsku (3,6 %), ve </w:t>
      </w:r>
      <w:r w:rsidRPr="00442653">
        <w:t>Velké Británii (3,5 %),</w:t>
      </w:r>
      <w:r>
        <w:t xml:space="preserve"> v </w:t>
      </w:r>
      <w:r w:rsidRPr="00442653">
        <w:t>Belgii (3,1 %)</w:t>
      </w:r>
      <w:r>
        <w:t xml:space="preserve"> a </w:t>
      </w:r>
      <w:r w:rsidRPr="00442653">
        <w:t>Německu (2,0 %)</w:t>
      </w:r>
      <w:r>
        <w:t>.</w:t>
      </w:r>
      <w:r w:rsidRPr="0088620A">
        <w:rPr>
          <w:color w:val="FF6600"/>
        </w:rPr>
        <w:t xml:space="preserve"> </w:t>
      </w:r>
      <w:r w:rsidRPr="00921E6F">
        <w:t>Ke stagnaci došlo v</w:t>
      </w:r>
      <w:r>
        <w:t>e Francii a v </w:t>
      </w:r>
      <w:r w:rsidRPr="00921E6F">
        <w:t xml:space="preserve">Nizozemsku, zatímco k nejvýraznějšímu úbytku </w:t>
      </w:r>
      <w:r>
        <w:t>produkce</w:t>
      </w:r>
      <w:r w:rsidRPr="00921E6F">
        <w:t xml:space="preserve"> došlo v roce 2014 v Itálii (</w:t>
      </w:r>
      <w:r w:rsidRPr="00921E6F">
        <w:noBreakHyphen/>
        <w:t>15,5 %)</w:t>
      </w:r>
      <w:r>
        <w:t xml:space="preserve"> a Bulharsku</w:t>
      </w:r>
      <w:r w:rsidRPr="00921E6F">
        <w:t xml:space="preserve"> (</w:t>
      </w:r>
      <w:r>
        <w:noBreakHyphen/>
        <w:t>10,7</w:t>
      </w:r>
      <w:r w:rsidRPr="00921E6F">
        <w:t> %),</w:t>
      </w:r>
      <w:r>
        <w:t xml:space="preserve"> mírněji se snížila výroba v Rakousku (</w:t>
      </w:r>
      <w:r>
        <w:noBreakHyphen/>
        <w:t>2,4 %),</w:t>
      </w:r>
      <w:r w:rsidRPr="00921E6F">
        <w:t> Rumunsku (</w:t>
      </w:r>
      <w:r>
        <w:noBreakHyphen/>
        <w:t>2,2</w:t>
      </w:r>
      <w:r w:rsidRPr="00921E6F">
        <w:t> %)</w:t>
      </w:r>
      <w:r>
        <w:t xml:space="preserve"> a Španělsku (</w:t>
      </w:r>
      <w:r>
        <w:noBreakHyphen/>
        <w:t>1,9 %)</w:t>
      </w:r>
      <w:r w:rsidRPr="00921E6F">
        <w:t>.</w:t>
      </w:r>
    </w:p>
    <w:p w:rsidR="00567C4A" w:rsidRDefault="00567C4A" w:rsidP="000B7BEE">
      <w:pPr>
        <w:rPr>
          <w:szCs w:val="20"/>
        </w:rPr>
      </w:pPr>
      <w:r w:rsidRPr="002574E3">
        <w:rPr>
          <w:szCs w:val="20"/>
        </w:rPr>
        <w:t xml:space="preserve">Počty poraženého jatečného skotu </w:t>
      </w:r>
      <w:r>
        <w:rPr>
          <w:szCs w:val="20"/>
        </w:rPr>
        <w:t>se však meziročně příliš nezměnily a zůstaly na úrovni roku 2013. V jednotlivých kategoriích však byl vývoj odlišný, kdy meziročně nejvíce vzrostly porážky mladých jatečných býků o 8,7 %, mírněji se zvýšily porážky jatečných krav a jalovic (o 2,5 %, resp. 1,4 %). Naproti tomu byla v meziročním srovnání nižší nabídka mladého jatečného skotu (</w:t>
      </w:r>
      <w:r>
        <w:rPr>
          <w:szCs w:val="20"/>
        </w:rPr>
        <w:noBreakHyphen/>
        <w:t>8,7 %) a jatečných telat (</w:t>
      </w:r>
      <w:r>
        <w:rPr>
          <w:szCs w:val="20"/>
        </w:rPr>
        <w:noBreakHyphen/>
        <w:t>2,0 %).</w:t>
      </w:r>
    </w:p>
    <w:p w:rsidR="00567C4A" w:rsidRPr="00531955" w:rsidRDefault="00567C4A" w:rsidP="000B7BEE">
      <w:r w:rsidRPr="00531955">
        <w:t xml:space="preserve">Spotřeba hovězího masa včetně telecího se v EU v roce 2014 podle odhadu EK proti roku 2013 mírně zvýšila (o 1,5 %) v důsledku oslabení jeho ceny. Tradičně nejvyšší byla </w:t>
      </w:r>
      <w:r>
        <w:t>v</w:t>
      </w:r>
      <w:r w:rsidRPr="00531955">
        <w:t> Dánsku, Francii, Irsku a Švédsku</w:t>
      </w:r>
      <w:r>
        <w:t>,</w:t>
      </w:r>
      <w:r w:rsidRPr="00531955">
        <w:t xml:space="preserve"> kde převyšuje dlouhodobě 24 kg/obyv./rok</w:t>
      </w:r>
      <w:r>
        <w:t>, naopak nejnižší je v Maďarsku a Bulharsku, kde nepřevyšuje 3 kg/obyv./rok</w:t>
      </w:r>
      <w:r w:rsidRPr="00531955">
        <w:t xml:space="preserve">. Míra soběstačnosti </w:t>
      </w:r>
      <w:r>
        <w:lastRenderedPageBreak/>
        <w:t xml:space="preserve">v průměru EU se </w:t>
      </w:r>
      <w:r w:rsidRPr="00531955">
        <w:t xml:space="preserve">v hovězím mase v roce 2014 meziročně </w:t>
      </w:r>
      <w:r>
        <w:t>zlepšila o 0,7 p. b.</w:t>
      </w:r>
      <w:r w:rsidRPr="00531955">
        <w:t xml:space="preserve"> na odhadovaných 100,2 % (v roce 2013 byla 99,5 %).</w:t>
      </w:r>
    </w:p>
    <w:p w:rsidR="00567C4A" w:rsidRDefault="00567C4A" w:rsidP="000B7BEE">
      <w:r>
        <w:rPr>
          <w:color w:val="000000"/>
        </w:rPr>
        <w:t xml:space="preserve">Na světovém trhu se </w:t>
      </w:r>
      <w:r w:rsidRPr="002574E3">
        <w:rPr>
          <w:color w:val="000000"/>
        </w:rPr>
        <w:t xml:space="preserve">EU se řadí v komoditě hovězí </w:t>
      </w:r>
      <w:r>
        <w:rPr>
          <w:color w:val="000000"/>
        </w:rPr>
        <w:t>a telecí m</w:t>
      </w:r>
      <w:r w:rsidRPr="002574E3">
        <w:rPr>
          <w:color w:val="000000"/>
        </w:rPr>
        <w:t xml:space="preserve">aso k regionům, jejichž </w:t>
      </w:r>
      <w:r>
        <w:rPr>
          <w:color w:val="000000"/>
        </w:rPr>
        <w:t>pozice</w:t>
      </w:r>
      <w:r w:rsidRPr="002574E3">
        <w:rPr>
          <w:color w:val="000000"/>
        </w:rPr>
        <w:t xml:space="preserve"> je</w:t>
      </w:r>
      <w:r w:rsidRPr="002574E3">
        <w:t xml:space="preserve"> </w:t>
      </w:r>
      <w:r>
        <w:t>vůči hlavním konkurentům slabší</w:t>
      </w:r>
      <w:r w:rsidRPr="002574E3">
        <w:t xml:space="preserve">, neboť ceny hovězího masa jsou </w:t>
      </w:r>
      <w:r>
        <w:t xml:space="preserve">zde </w:t>
      </w:r>
      <w:r w:rsidRPr="002574E3">
        <w:t>ve srovnání s ostatními významnými exportními zeměmi (Brazílie, Austrálie</w:t>
      </w:r>
      <w:r>
        <w:t>, USA</w:t>
      </w:r>
      <w:r w:rsidRPr="002574E3">
        <w:t xml:space="preserve">) poměrně vysoké. </w:t>
      </w:r>
      <w:r>
        <w:t xml:space="preserve">V roce 2014 však díky oslabení kurzu eura vůči dolaru hovězí maso z EU vůči USA zlevnilo. </w:t>
      </w:r>
      <w:r w:rsidRPr="002574E3">
        <w:t>To se projevilo v</w:t>
      </w:r>
      <w:r>
        <w:t> meziročním nárůstu unijního vývozu hovězího masa včetně živého skotu do třetích zemí.</w:t>
      </w:r>
    </w:p>
    <w:p w:rsidR="00567C4A" w:rsidRDefault="00567C4A" w:rsidP="000B7BEE">
      <w:r>
        <w:t xml:space="preserve">V roce 2014 vyvezla EU v </w:t>
      </w:r>
      <w:r w:rsidRPr="002574E3">
        <w:t>přepočtu na jatečnou hmotnost</w:t>
      </w:r>
      <w:r>
        <w:t xml:space="preserve"> 562,2 tis</w:t>
      </w:r>
      <w:r w:rsidRPr="002574E3">
        <w:t>.</w:t>
      </w:r>
      <w:r>
        <w:t> </w:t>
      </w:r>
      <w:r w:rsidRPr="002574E3">
        <w:t>t</w:t>
      </w:r>
      <w:r>
        <w:t xml:space="preserve"> </w:t>
      </w:r>
      <w:r w:rsidRPr="002574E3">
        <w:t>živého skotu včetně hovězího masa</w:t>
      </w:r>
      <w:r>
        <w:t>. V meziročním srovnání vzrostl export do třetích zemí o více než 23</w:t>
      </w:r>
      <w:r w:rsidRPr="002574E3">
        <w:t> % (tj. o </w:t>
      </w:r>
      <w:r>
        <w:t>106 </w:t>
      </w:r>
      <w:r w:rsidRPr="002574E3">
        <w:t xml:space="preserve">tis. t). </w:t>
      </w:r>
      <w:r>
        <w:t>Ruské omezení dovozu hovězího masa vyhlášené pro EU v srpnu 2014 se na unijním vývoji zahraničního obchodu neprojevilo. Naopak ruský trh představoval pro EU opět nejvýznamnější obchodní destinaci, kam bylo prodáno meziročně o 44 % více hovězího masa a o 159 % více živého skotu. Podíl Ruska na celkovém exportu hovězího masa včetně živého skotu EU dosáhl 18 % a proti roku 2013 zvýšil o 2 %. Dalším významným obchodním partnerem z hlediska unijního vývozu byl Hongkong, kam meziročně vzrostl vývoz o 128 % na 65 tis. t, následovaný Libanonem. Významnými odběrateli byly pro EU rovněž africké země, z nichž do šesti nejvýznamnějších bylo vyvezeno téměř 22 % objemu exportovaného hovězí masa a živého skotu. Hlavními</w:t>
      </w:r>
      <w:r w:rsidRPr="002574E3">
        <w:t xml:space="preserve"> </w:t>
      </w:r>
      <w:r>
        <w:t xml:space="preserve">vývozci </w:t>
      </w:r>
      <w:r w:rsidRPr="002574E3">
        <w:t xml:space="preserve">byly </w:t>
      </w:r>
      <w:r>
        <w:t>čtyři členské země (Německo, Francie, Irsko a Španělsko</w:t>
      </w:r>
      <w:r w:rsidRPr="002574E3">
        <w:t>), které se v roce 201</w:t>
      </w:r>
      <w:r>
        <w:t>4</w:t>
      </w:r>
      <w:r w:rsidRPr="002574E3">
        <w:t xml:space="preserve"> na celkovém </w:t>
      </w:r>
      <w:r>
        <w:t>exportu Unie u této komodity</w:t>
      </w:r>
      <w:r w:rsidRPr="002574E3">
        <w:t xml:space="preserve"> </w:t>
      </w:r>
      <w:r>
        <w:t>podílely</w:t>
      </w:r>
      <w:r w:rsidRPr="002574E3">
        <w:t xml:space="preserve"> </w:t>
      </w:r>
      <w:r>
        <w:t>46</w:t>
      </w:r>
      <w:r w:rsidRPr="002574E3">
        <w:t xml:space="preserve"> %. </w:t>
      </w:r>
      <w:r>
        <w:t xml:space="preserve">V roce 2014 se </w:t>
      </w:r>
      <w:r w:rsidRPr="002574E3">
        <w:t>objemové saldo zahraničního obchodu s hovězím masem a živým skotem v</w:t>
      </w:r>
      <w:r>
        <w:t> EU</w:t>
      </w:r>
      <w:r w:rsidRPr="002574E3">
        <w:t xml:space="preserve"> </w:t>
      </w:r>
      <w:r>
        <w:t>proti roku 2013</w:t>
      </w:r>
      <w:r w:rsidRPr="002574E3">
        <w:t xml:space="preserve"> </w:t>
      </w:r>
      <w:r>
        <w:t>zlepšilo</w:t>
      </w:r>
      <w:r w:rsidRPr="002574E3">
        <w:t xml:space="preserve"> o</w:t>
      </w:r>
      <w:r>
        <w:t> </w:t>
      </w:r>
      <w:r w:rsidRPr="002574E3">
        <w:t>více než</w:t>
      </w:r>
      <w:r>
        <w:t xml:space="preserve"> </w:t>
      </w:r>
      <w:r w:rsidRPr="002574E3">
        <w:t xml:space="preserve">40 % </w:t>
      </w:r>
      <w:r>
        <w:t>a dosáhlo</w:t>
      </w:r>
      <w:r w:rsidRPr="002574E3">
        <w:t xml:space="preserve"> 119,3 tis. t. K tomuto vývoji přispělo kromě </w:t>
      </w:r>
      <w:r>
        <w:t>růstu</w:t>
      </w:r>
      <w:r w:rsidRPr="002574E3">
        <w:t xml:space="preserve"> vývozu i</w:t>
      </w:r>
      <w:r>
        <w:t> mírné snížení</w:t>
      </w:r>
      <w:r w:rsidRPr="002574E3">
        <w:t xml:space="preserve"> importu </w:t>
      </w:r>
      <w:r>
        <w:t>(</w:t>
      </w:r>
      <w:r w:rsidRPr="002574E3">
        <w:t>o </w:t>
      </w:r>
      <w:r>
        <w:t>1,0 </w:t>
      </w:r>
      <w:r w:rsidRPr="002574E3">
        <w:t>%</w:t>
      </w:r>
      <w:r>
        <w:t>)</w:t>
      </w:r>
      <w:r w:rsidRPr="002574E3">
        <w:t xml:space="preserve"> na 33</w:t>
      </w:r>
      <w:r>
        <w:t>1</w:t>
      </w:r>
      <w:r w:rsidRPr="002574E3">
        <w:t>,</w:t>
      </w:r>
      <w:r>
        <w:t>6</w:t>
      </w:r>
      <w:r w:rsidRPr="002574E3">
        <w:t xml:space="preserve"> tis. t vlivem </w:t>
      </w:r>
      <w:r>
        <w:t>omezení</w:t>
      </w:r>
      <w:r w:rsidRPr="002574E3">
        <w:t xml:space="preserve"> dovozů hovězího masa především z</w:t>
      </w:r>
      <w:r>
        <w:t>e </w:t>
      </w:r>
      <w:r w:rsidRPr="002574E3">
        <w:t>tř</w:t>
      </w:r>
      <w:r>
        <w:t>ech</w:t>
      </w:r>
      <w:r w:rsidRPr="002574E3">
        <w:t xml:space="preserve"> latinskoamerick</w:t>
      </w:r>
      <w:r>
        <w:t>ých zemí, které představují pro EU tradičně hlavní</w:t>
      </w:r>
      <w:r w:rsidRPr="002574E3">
        <w:t xml:space="preserve"> dodavatel</w:t>
      </w:r>
      <w:r>
        <w:t>e</w:t>
      </w:r>
      <w:r w:rsidRPr="002574E3">
        <w:t xml:space="preserve"> (Brazílie, Uruguay Argentina)</w:t>
      </w:r>
      <w:r>
        <w:t>. V</w:t>
      </w:r>
      <w:r w:rsidRPr="002574E3">
        <w:t> roce 201</w:t>
      </w:r>
      <w:r>
        <w:t>4 se</w:t>
      </w:r>
      <w:r w:rsidRPr="002574E3">
        <w:t xml:space="preserve"> podílely </w:t>
      </w:r>
      <w:r>
        <w:t xml:space="preserve">tyto země </w:t>
      </w:r>
      <w:r w:rsidRPr="002574E3">
        <w:t xml:space="preserve">na celkovém unijním dovozu hovězího a telecího masa </w:t>
      </w:r>
      <w:r>
        <w:t>71</w:t>
      </w:r>
      <w:r w:rsidRPr="002574E3">
        <w:t> %.</w:t>
      </w:r>
    </w:p>
    <w:p w:rsidR="00567C4A" w:rsidRDefault="00567C4A" w:rsidP="000B7BEE">
      <w:pPr>
        <w:rPr>
          <w:szCs w:val="20"/>
        </w:rPr>
      </w:pPr>
      <w:r w:rsidRPr="002574E3">
        <w:rPr>
          <w:szCs w:val="20"/>
        </w:rPr>
        <w:t>Ceny jatečného skotu na reprezentativních trzích EU</w:t>
      </w:r>
      <w:r>
        <w:rPr>
          <w:szCs w:val="20"/>
        </w:rPr>
        <w:t xml:space="preserve"> v roce 2014 meziročně oslabily ve všech kategoriích.</w:t>
      </w:r>
      <w:r w:rsidRPr="00257706">
        <w:rPr>
          <w:szCs w:val="20"/>
        </w:rPr>
        <w:t xml:space="preserve"> </w:t>
      </w:r>
      <w:r w:rsidRPr="002574E3">
        <w:rPr>
          <w:szCs w:val="20"/>
        </w:rPr>
        <w:t>Hlavním důvodem byl</w:t>
      </w:r>
      <w:r>
        <w:rPr>
          <w:szCs w:val="20"/>
        </w:rPr>
        <w:t>a</w:t>
      </w:r>
      <w:r w:rsidRPr="002574E3">
        <w:rPr>
          <w:szCs w:val="20"/>
        </w:rPr>
        <w:t xml:space="preserve"> jednak </w:t>
      </w:r>
      <w:r>
        <w:rPr>
          <w:szCs w:val="20"/>
        </w:rPr>
        <w:t xml:space="preserve">mírně rostoucí produkce na </w:t>
      </w:r>
      <w:r w:rsidRPr="002574E3">
        <w:rPr>
          <w:szCs w:val="20"/>
        </w:rPr>
        <w:t>vnitřním trhu Unie</w:t>
      </w:r>
      <w:r>
        <w:rPr>
          <w:szCs w:val="20"/>
        </w:rPr>
        <w:t xml:space="preserve"> a jednak klesající spotřebitelská poptávka během roku 2013.</w:t>
      </w:r>
      <w:r w:rsidRPr="002574E3">
        <w:rPr>
          <w:szCs w:val="20"/>
        </w:rPr>
        <w:t xml:space="preserve"> Podle údajů Evropské komise </w:t>
      </w:r>
      <w:r>
        <w:rPr>
          <w:szCs w:val="20"/>
        </w:rPr>
        <w:t>klesla</w:t>
      </w:r>
      <w:r w:rsidRPr="00E94FBF">
        <w:rPr>
          <w:szCs w:val="20"/>
        </w:rPr>
        <w:t xml:space="preserve"> </w:t>
      </w:r>
      <w:r w:rsidRPr="002574E3">
        <w:rPr>
          <w:szCs w:val="20"/>
        </w:rPr>
        <w:t>v roce 201</w:t>
      </w:r>
      <w:r>
        <w:rPr>
          <w:szCs w:val="20"/>
        </w:rPr>
        <w:t>4</w:t>
      </w:r>
      <w:r w:rsidRPr="002574E3">
        <w:rPr>
          <w:szCs w:val="20"/>
        </w:rPr>
        <w:t xml:space="preserve"> průměrná cena jatečných býků R3</w:t>
      </w:r>
      <w:r w:rsidRPr="00950504">
        <w:rPr>
          <w:rStyle w:val="Znakapoznpodarou"/>
        </w:rPr>
        <w:footnoteReference w:id="137"/>
      </w:r>
      <w:r w:rsidRPr="002574E3">
        <w:rPr>
          <w:szCs w:val="20"/>
        </w:rPr>
        <w:t xml:space="preserve"> ve srovnání s rokem 201</w:t>
      </w:r>
      <w:r>
        <w:rPr>
          <w:szCs w:val="20"/>
        </w:rPr>
        <w:t>3</w:t>
      </w:r>
      <w:r w:rsidRPr="002574E3">
        <w:rPr>
          <w:szCs w:val="20"/>
        </w:rPr>
        <w:t xml:space="preserve"> o 0,6 % (tj. 2,47 €/100 kg) a dosáhla 3</w:t>
      </w:r>
      <w:r>
        <w:rPr>
          <w:szCs w:val="20"/>
        </w:rPr>
        <w:t>67,60</w:t>
      </w:r>
      <w:r w:rsidRPr="002574E3">
        <w:rPr>
          <w:szCs w:val="20"/>
        </w:rPr>
        <w:t xml:space="preserve"> €/100 kg j. hm. </w:t>
      </w:r>
      <w:r>
        <w:rPr>
          <w:szCs w:val="20"/>
        </w:rPr>
        <w:t xml:space="preserve">Cena jatečných krav </w:t>
      </w:r>
      <w:r w:rsidRPr="002574E3">
        <w:rPr>
          <w:szCs w:val="20"/>
        </w:rPr>
        <w:t>O3</w:t>
      </w:r>
      <w:r>
        <w:rPr>
          <w:rStyle w:val="Znakapoznpodarou"/>
        </w:rPr>
        <w:footnoteReference w:id="138"/>
      </w:r>
      <w:r w:rsidRPr="002574E3">
        <w:rPr>
          <w:szCs w:val="20"/>
        </w:rPr>
        <w:t xml:space="preserve"> </w:t>
      </w:r>
      <w:r>
        <w:rPr>
          <w:szCs w:val="20"/>
        </w:rPr>
        <w:t>se snížila meziročně ještě nejvýrazněji</w:t>
      </w:r>
      <w:r w:rsidR="00D2688C">
        <w:rPr>
          <w:szCs w:val="20"/>
        </w:rPr>
        <w:t xml:space="preserve">, a to </w:t>
      </w:r>
      <w:r>
        <w:rPr>
          <w:szCs w:val="20"/>
        </w:rPr>
        <w:t>o 8,13 % na 285,7 </w:t>
      </w:r>
      <w:r w:rsidRPr="002574E3">
        <w:rPr>
          <w:szCs w:val="20"/>
        </w:rPr>
        <w:t>€/100 kg j. hm.</w:t>
      </w:r>
      <w:r>
        <w:rPr>
          <w:szCs w:val="20"/>
        </w:rPr>
        <w:t xml:space="preserve"> a oslabila i CZV jatečných jalovic R3</w:t>
      </w:r>
      <w:r>
        <w:rPr>
          <w:rStyle w:val="Znakapoznpodarou"/>
        </w:rPr>
        <w:footnoteReference w:id="139"/>
      </w:r>
      <w:r>
        <w:rPr>
          <w:szCs w:val="20"/>
        </w:rPr>
        <w:t xml:space="preserve"> (o 4,4 % na 393,4 </w:t>
      </w:r>
      <w:r w:rsidRPr="002574E3">
        <w:rPr>
          <w:szCs w:val="20"/>
        </w:rPr>
        <w:t>€/100 kg j. hm</w:t>
      </w:r>
      <w:r>
        <w:rPr>
          <w:szCs w:val="20"/>
        </w:rPr>
        <w:t>.).</w:t>
      </w:r>
      <w:r w:rsidRPr="002574E3">
        <w:rPr>
          <w:szCs w:val="20"/>
        </w:rPr>
        <w:t xml:space="preserve"> </w:t>
      </w:r>
      <w:r>
        <w:rPr>
          <w:szCs w:val="20"/>
        </w:rPr>
        <w:t>Snížení</w:t>
      </w:r>
      <w:r w:rsidRPr="002574E3">
        <w:rPr>
          <w:szCs w:val="20"/>
        </w:rPr>
        <w:t xml:space="preserve"> ceny jatečných býků </w:t>
      </w:r>
      <w:r>
        <w:rPr>
          <w:szCs w:val="20"/>
        </w:rPr>
        <w:t xml:space="preserve">bylo </w:t>
      </w:r>
      <w:r w:rsidRPr="002574E3">
        <w:rPr>
          <w:szCs w:val="20"/>
        </w:rPr>
        <w:lastRenderedPageBreak/>
        <w:t>v meziročním srovnání evidován</w:t>
      </w:r>
      <w:r>
        <w:rPr>
          <w:szCs w:val="20"/>
        </w:rPr>
        <w:t>o</w:t>
      </w:r>
      <w:r w:rsidRPr="002574E3">
        <w:rPr>
          <w:szCs w:val="20"/>
        </w:rPr>
        <w:t xml:space="preserve"> </w:t>
      </w:r>
      <w:r>
        <w:rPr>
          <w:szCs w:val="20"/>
        </w:rPr>
        <w:t>téměř ve všech členských zemích kromě Portugalska. K jejímu nejvýraznějšímu oslabení došlo především</w:t>
      </w:r>
      <w:r w:rsidRPr="002574E3">
        <w:rPr>
          <w:szCs w:val="20"/>
        </w:rPr>
        <w:t xml:space="preserve"> </w:t>
      </w:r>
      <w:r>
        <w:rPr>
          <w:szCs w:val="20"/>
        </w:rPr>
        <w:t>v Belgii</w:t>
      </w:r>
      <w:r w:rsidRPr="002574E3">
        <w:rPr>
          <w:szCs w:val="20"/>
        </w:rPr>
        <w:t xml:space="preserve"> (</w:t>
      </w:r>
      <w:r>
        <w:rPr>
          <w:szCs w:val="20"/>
        </w:rPr>
        <w:noBreakHyphen/>
        <w:t>7,9</w:t>
      </w:r>
      <w:r w:rsidRPr="002574E3">
        <w:rPr>
          <w:szCs w:val="20"/>
        </w:rPr>
        <w:t> %), v</w:t>
      </w:r>
      <w:r>
        <w:rPr>
          <w:szCs w:val="20"/>
        </w:rPr>
        <w:t>e Švédsku</w:t>
      </w:r>
      <w:r w:rsidRPr="002574E3">
        <w:rPr>
          <w:szCs w:val="20"/>
        </w:rPr>
        <w:t xml:space="preserve"> (</w:t>
      </w:r>
      <w:r>
        <w:rPr>
          <w:szCs w:val="20"/>
        </w:rPr>
        <w:noBreakHyphen/>
        <w:t>7,8</w:t>
      </w:r>
      <w:r w:rsidRPr="002574E3">
        <w:rPr>
          <w:szCs w:val="20"/>
        </w:rPr>
        <w:t xml:space="preserve"> %), </w:t>
      </w:r>
      <w:r>
        <w:rPr>
          <w:szCs w:val="20"/>
        </w:rPr>
        <w:t>ve Velké Británii</w:t>
      </w:r>
      <w:r w:rsidRPr="002574E3">
        <w:rPr>
          <w:szCs w:val="20"/>
        </w:rPr>
        <w:t xml:space="preserve"> (</w:t>
      </w:r>
      <w:r>
        <w:rPr>
          <w:szCs w:val="20"/>
        </w:rPr>
        <w:noBreakHyphen/>
        <w:t>6,1</w:t>
      </w:r>
      <w:r w:rsidRPr="002574E3">
        <w:rPr>
          <w:szCs w:val="20"/>
        </w:rPr>
        <w:t xml:space="preserve"> %), </w:t>
      </w:r>
      <w:r>
        <w:rPr>
          <w:szCs w:val="20"/>
        </w:rPr>
        <w:t xml:space="preserve">v </w:t>
      </w:r>
      <w:r w:rsidRPr="002574E3">
        <w:rPr>
          <w:szCs w:val="20"/>
        </w:rPr>
        <w:t xml:space="preserve">Nizozemsku </w:t>
      </w:r>
      <w:r>
        <w:rPr>
          <w:szCs w:val="20"/>
        </w:rPr>
        <w:t>(</w:t>
      </w:r>
      <w:r>
        <w:rPr>
          <w:szCs w:val="20"/>
        </w:rPr>
        <w:noBreakHyphen/>
        <w:t xml:space="preserve">6,1 %) </w:t>
      </w:r>
      <w:r w:rsidRPr="002574E3">
        <w:rPr>
          <w:szCs w:val="20"/>
        </w:rPr>
        <w:t xml:space="preserve">a </w:t>
      </w:r>
      <w:r>
        <w:rPr>
          <w:szCs w:val="20"/>
        </w:rPr>
        <w:t>v Německu</w:t>
      </w:r>
      <w:r w:rsidRPr="002574E3">
        <w:rPr>
          <w:szCs w:val="20"/>
        </w:rPr>
        <w:t xml:space="preserve"> (</w:t>
      </w:r>
      <w:r>
        <w:rPr>
          <w:szCs w:val="20"/>
        </w:rPr>
        <w:noBreakHyphen/>
        <w:t>4,6 %).</w:t>
      </w:r>
    </w:p>
    <w:p w:rsidR="00567C4A" w:rsidRDefault="00567C4A" w:rsidP="000B7BEE">
      <w:pPr>
        <w:rPr>
          <w:iCs/>
          <w:szCs w:val="20"/>
        </w:rPr>
      </w:pPr>
      <w:r w:rsidRPr="002574E3">
        <w:rPr>
          <w:iCs/>
          <w:szCs w:val="20"/>
        </w:rPr>
        <w:t>V ČR b</w:t>
      </w:r>
      <w:r>
        <w:rPr>
          <w:iCs/>
          <w:szCs w:val="20"/>
        </w:rPr>
        <w:t>yl v roce 2014</w:t>
      </w:r>
      <w:r w:rsidRPr="002574E3">
        <w:rPr>
          <w:iCs/>
          <w:szCs w:val="20"/>
        </w:rPr>
        <w:t xml:space="preserve"> trh s hovězím a telecím masem ovlivněn opět zejména vývojem této komodity na trhu EU</w:t>
      </w:r>
      <w:r>
        <w:rPr>
          <w:iCs/>
          <w:szCs w:val="20"/>
        </w:rPr>
        <w:t>. Vývoj cen hovězího masa v Unii ovlivnil úroveň cen zejména samičí populace jatečných zvířat v ČR, zatímco cena samčího jatečného skotu ještě rostla. Odvětví</w:t>
      </w:r>
      <w:r w:rsidRPr="002574E3">
        <w:rPr>
          <w:iCs/>
          <w:szCs w:val="20"/>
        </w:rPr>
        <w:t xml:space="preserve"> chovu skotu v ČR byl</w:t>
      </w:r>
      <w:r>
        <w:rPr>
          <w:iCs/>
          <w:szCs w:val="20"/>
        </w:rPr>
        <w:t>o</w:t>
      </w:r>
      <w:r w:rsidRPr="002574E3">
        <w:rPr>
          <w:iCs/>
          <w:szCs w:val="20"/>
        </w:rPr>
        <w:t xml:space="preserve"> v roce 201</w:t>
      </w:r>
      <w:r>
        <w:rPr>
          <w:iCs/>
          <w:szCs w:val="20"/>
        </w:rPr>
        <w:t>4</w:t>
      </w:r>
      <w:r w:rsidRPr="002574E3">
        <w:rPr>
          <w:iCs/>
          <w:szCs w:val="20"/>
        </w:rPr>
        <w:t xml:space="preserve"> charakterizován</w:t>
      </w:r>
      <w:r>
        <w:rPr>
          <w:iCs/>
          <w:szCs w:val="20"/>
        </w:rPr>
        <w:t>o</w:t>
      </w:r>
      <w:r w:rsidRPr="002574E3">
        <w:rPr>
          <w:iCs/>
          <w:szCs w:val="20"/>
        </w:rPr>
        <w:t xml:space="preserve"> </w:t>
      </w:r>
      <w:r>
        <w:rPr>
          <w:iCs/>
          <w:szCs w:val="20"/>
        </w:rPr>
        <w:t>mírným růstem</w:t>
      </w:r>
      <w:r w:rsidRPr="002574E3">
        <w:rPr>
          <w:iCs/>
          <w:szCs w:val="20"/>
        </w:rPr>
        <w:t xml:space="preserve"> stavů</w:t>
      </w:r>
      <w:r>
        <w:rPr>
          <w:iCs/>
          <w:szCs w:val="20"/>
        </w:rPr>
        <w:t xml:space="preserve">, zvýšením </w:t>
      </w:r>
      <w:r w:rsidRPr="002574E3">
        <w:rPr>
          <w:iCs/>
          <w:szCs w:val="20"/>
        </w:rPr>
        <w:t xml:space="preserve">celkové produkce hovězího a telecího masa, </w:t>
      </w:r>
      <w:r>
        <w:rPr>
          <w:iCs/>
          <w:szCs w:val="20"/>
        </w:rPr>
        <w:t>růstem</w:t>
      </w:r>
      <w:r w:rsidRPr="002574E3">
        <w:rPr>
          <w:iCs/>
          <w:szCs w:val="20"/>
        </w:rPr>
        <w:t xml:space="preserve"> porážek</w:t>
      </w:r>
      <w:r>
        <w:rPr>
          <w:iCs/>
          <w:szCs w:val="20"/>
        </w:rPr>
        <w:t xml:space="preserve"> a</w:t>
      </w:r>
      <w:r w:rsidRPr="002574E3">
        <w:rPr>
          <w:iCs/>
          <w:szCs w:val="20"/>
        </w:rPr>
        <w:t xml:space="preserve"> </w:t>
      </w:r>
      <w:r>
        <w:rPr>
          <w:iCs/>
          <w:szCs w:val="20"/>
        </w:rPr>
        <w:t>růstem</w:t>
      </w:r>
      <w:r w:rsidRPr="002574E3">
        <w:rPr>
          <w:iCs/>
          <w:szCs w:val="20"/>
        </w:rPr>
        <w:t xml:space="preserve"> spotřeby. Zároveň došlo k mírnému zhoršení </w:t>
      </w:r>
      <w:r>
        <w:rPr>
          <w:iCs/>
          <w:szCs w:val="20"/>
        </w:rPr>
        <w:t xml:space="preserve">aktivní </w:t>
      </w:r>
      <w:r w:rsidRPr="002574E3">
        <w:rPr>
          <w:iCs/>
          <w:szCs w:val="20"/>
        </w:rPr>
        <w:t>bilance zahraničního obchodu vlivem výraznějšího nárůstu dovozu.</w:t>
      </w:r>
    </w:p>
    <w:p w:rsidR="00567C4A" w:rsidRPr="002574E3" w:rsidRDefault="00567C4A" w:rsidP="000B7BEE">
      <w:r w:rsidRPr="002574E3">
        <w:t xml:space="preserve">V České republice je chov skotu </w:t>
      </w:r>
      <w:r>
        <w:t xml:space="preserve">spojený s produkcí masa </w:t>
      </w:r>
      <w:r w:rsidRPr="002574E3">
        <w:t xml:space="preserve">podporován </w:t>
      </w:r>
      <w:r>
        <w:t xml:space="preserve">jednak ze zdrojů EU </w:t>
      </w:r>
      <w:r w:rsidRPr="002574E3">
        <w:t>prostřednictvím přímých plateb</w:t>
      </w:r>
      <w:r>
        <w:t xml:space="preserve"> zaměřených na citlivé komodity a jednak z národních zdrojů </w:t>
      </w:r>
      <w:r w:rsidRPr="002574E3">
        <w:t>formou národních doplňkových plateb</w:t>
      </w:r>
      <w:r>
        <w:t>.</w:t>
      </w:r>
      <w:r w:rsidRPr="002574E3">
        <w:t xml:space="preserve"> </w:t>
      </w:r>
      <w:r>
        <w:t>Z</w:t>
      </w:r>
      <w:r w:rsidRPr="002574E3">
        <w:t>vláštní podpory na citlivé komodity podle čl.</w:t>
      </w:r>
      <w:r>
        <w:t> </w:t>
      </w:r>
      <w:r w:rsidRPr="002574E3">
        <w:t>68</w:t>
      </w:r>
      <w:r>
        <w:t>,</w:t>
      </w:r>
      <w:r w:rsidRPr="002574E3">
        <w:t xml:space="preserve"> hrazené ze zdrojů EU</w:t>
      </w:r>
      <w:r>
        <w:t>,</w:t>
      </w:r>
      <w:r w:rsidRPr="002574E3">
        <w:t xml:space="preserve"> jsou poskytovány chovatelům skotu </w:t>
      </w:r>
      <w:r>
        <w:t>o</w:t>
      </w:r>
      <w:r w:rsidRPr="002574E3">
        <w:t>d roku 2012</w:t>
      </w:r>
      <w:r>
        <w:t>.</w:t>
      </w:r>
      <w:r w:rsidRPr="002574E3">
        <w:t xml:space="preserve"> Jedná se o</w:t>
      </w:r>
      <w:r>
        <w:t> </w:t>
      </w:r>
      <w:r w:rsidRPr="002574E3">
        <w:t>platbu na VDJ telat masného typu narozených v období 1. 4. 201</w:t>
      </w:r>
      <w:r>
        <w:t>3</w:t>
      </w:r>
      <w:r w:rsidRPr="002574E3">
        <w:t xml:space="preserve"> do 31. 3. 201</w:t>
      </w:r>
      <w:r>
        <w:t>4</w:t>
      </w:r>
      <w:r w:rsidRPr="002574E3">
        <w:t>, jejichž matkou je kráva chovaná v systému BTPM a otcem býk masného plemene evidovaný v</w:t>
      </w:r>
      <w:r>
        <w:t> </w:t>
      </w:r>
      <w:r w:rsidRPr="002574E3">
        <w:t>registru plemeníků. Částka pro rok 201</w:t>
      </w:r>
      <w:r>
        <w:t>4</w:t>
      </w:r>
      <w:r w:rsidRPr="002574E3">
        <w:t xml:space="preserve"> na 1</w:t>
      </w:r>
      <w:r>
        <w:t> </w:t>
      </w:r>
      <w:r w:rsidRPr="002574E3">
        <w:t>VDJ telete masného typu</w:t>
      </w:r>
      <w:r>
        <w:rPr>
          <w:rStyle w:val="Znakapoznpodarou"/>
        </w:rPr>
        <w:footnoteReference w:id="140"/>
      </w:r>
      <w:r w:rsidRPr="002574E3">
        <w:t xml:space="preserve"> byla učena ve výši 1</w:t>
      </w:r>
      <w:r>
        <w:t>5 214,35</w:t>
      </w:r>
      <w:r w:rsidRPr="002574E3">
        <w:t> Kč</w:t>
      </w:r>
      <w:r>
        <w:t>, což je o 3,6 tis. více než v roce 2013</w:t>
      </w:r>
      <w:r w:rsidRPr="002574E3">
        <w:t xml:space="preserve">. </w:t>
      </w:r>
      <w:r>
        <w:t>N</w:t>
      </w:r>
      <w:r w:rsidRPr="002574E3">
        <w:t xml:space="preserve">a SZIF </w:t>
      </w:r>
      <w:r>
        <w:t xml:space="preserve">bylo v roce 2014 </w:t>
      </w:r>
      <w:r w:rsidRPr="002574E3">
        <w:t>doručeno celkem 4,</w:t>
      </w:r>
      <w:r>
        <w:t>9</w:t>
      </w:r>
      <w:r w:rsidRPr="002574E3">
        <w:t xml:space="preserve"> tis. žádostí na </w:t>
      </w:r>
      <w:r>
        <w:t>28,6</w:t>
      </w:r>
      <w:r w:rsidRPr="002574E3">
        <w:t> tis. VDJ telat (viz kap. 2.2).</w:t>
      </w:r>
    </w:p>
    <w:p w:rsidR="00567C4A" w:rsidRPr="002574E3" w:rsidRDefault="00567C4A" w:rsidP="000B7BEE">
      <w:pPr>
        <w:rPr>
          <w:color w:val="000000"/>
        </w:rPr>
      </w:pPr>
      <w:r w:rsidRPr="002574E3">
        <w:rPr>
          <w:color w:val="000000"/>
        </w:rPr>
        <w:t>V roce 201</w:t>
      </w:r>
      <w:r>
        <w:rPr>
          <w:color w:val="000000"/>
        </w:rPr>
        <w:t>4</w:t>
      </w:r>
      <w:r w:rsidRPr="002574E3">
        <w:rPr>
          <w:color w:val="000000"/>
        </w:rPr>
        <w:t xml:space="preserve"> byly na podporu chovu skotu, obdobně jako v</w:t>
      </w:r>
      <w:r>
        <w:rPr>
          <w:color w:val="000000"/>
        </w:rPr>
        <w:t> roce předchozím</w:t>
      </w:r>
      <w:r w:rsidRPr="002574E3">
        <w:rPr>
          <w:color w:val="000000"/>
        </w:rPr>
        <w:t>, vyjednány dva typy přechodné vnitrostátní podpory</w:t>
      </w:r>
      <w:r>
        <w:rPr>
          <w:color w:val="000000"/>
        </w:rPr>
        <w:t xml:space="preserve"> (PVP)</w:t>
      </w:r>
      <w:r w:rsidRPr="002574E3">
        <w:rPr>
          <w:color w:val="000000"/>
        </w:rPr>
        <w:t xml:space="preserve">. První subvence </w:t>
      </w:r>
      <w:r>
        <w:rPr>
          <w:color w:val="000000"/>
        </w:rPr>
        <w:t xml:space="preserve">byla </w:t>
      </w:r>
      <w:r w:rsidRPr="002574E3">
        <w:rPr>
          <w:color w:val="000000"/>
        </w:rPr>
        <w:t>cílena v rámci tzv. plateb oddělených od produkce (</w:t>
      </w:r>
      <w:proofErr w:type="spellStart"/>
      <w:r w:rsidRPr="002574E3">
        <w:rPr>
          <w:color w:val="000000"/>
        </w:rPr>
        <w:t>decoupling</w:t>
      </w:r>
      <w:proofErr w:type="spellEnd"/>
      <w:r w:rsidRPr="002574E3">
        <w:rPr>
          <w:color w:val="000000"/>
        </w:rPr>
        <w:t>) na chov přežvýkavců (tj. skotu, ovcí a koz). Tato dotace se každoročně snižuje v souladu s růstem platby SAPS a pro rok 201</w:t>
      </w:r>
      <w:r>
        <w:rPr>
          <w:color w:val="000000"/>
        </w:rPr>
        <w:t>4</w:t>
      </w:r>
      <w:r w:rsidRPr="002574E3">
        <w:rPr>
          <w:color w:val="000000"/>
        </w:rPr>
        <w:t xml:space="preserve"> byla stanovena v částce </w:t>
      </w:r>
      <w:r>
        <w:rPr>
          <w:color w:val="000000"/>
        </w:rPr>
        <w:t>96,64</w:t>
      </w:r>
      <w:r w:rsidRPr="002574E3">
        <w:rPr>
          <w:color w:val="000000"/>
        </w:rPr>
        <w:t xml:space="preserve"> Kč/VDJ. Na SZIF byly v rámci této podpory podány žádosti o výplatu na </w:t>
      </w:r>
      <w:r>
        <w:rPr>
          <w:color w:val="000000"/>
        </w:rPr>
        <w:t>1 004</w:t>
      </w:r>
      <w:r w:rsidRPr="002574E3">
        <w:rPr>
          <w:color w:val="000000"/>
        </w:rPr>
        <w:t> tis. VDJ přežvýkavců. D</w:t>
      </w:r>
      <w:r w:rsidRPr="002574E3">
        <w:t>ruhá forma PVP je směrována v rámci subvencí vázaných na produkci (</w:t>
      </w:r>
      <w:proofErr w:type="spellStart"/>
      <w:r w:rsidRPr="002574E3">
        <w:t>coupling</w:t>
      </w:r>
      <w:proofErr w:type="spellEnd"/>
      <w:r w:rsidRPr="002574E3">
        <w:t xml:space="preserve">) na chov krav bez tržní produkce mléka. Tato platba byla </w:t>
      </w:r>
      <w:r>
        <w:t>pro rok</w:t>
      </w:r>
      <w:r w:rsidRPr="002574E3">
        <w:t xml:space="preserve"> 201</w:t>
      </w:r>
      <w:r>
        <w:t>4</w:t>
      </w:r>
      <w:r w:rsidRPr="002574E3">
        <w:t xml:space="preserve"> stanovena na 1 VDJ krávy BTPM v částce </w:t>
      </w:r>
      <w:r>
        <w:t>131,95</w:t>
      </w:r>
      <w:r w:rsidRPr="002574E3">
        <w:t> Kč. Ve srovnání s rokem 201</w:t>
      </w:r>
      <w:r>
        <w:t>3</w:t>
      </w:r>
      <w:r w:rsidRPr="002574E3">
        <w:t xml:space="preserve"> došlo k jejímu snížení o </w:t>
      </w:r>
      <w:r>
        <w:t>58,97</w:t>
      </w:r>
      <w:r w:rsidRPr="002574E3">
        <w:t> Kč/VDJ. Na rok 201</w:t>
      </w:r>
      <w:r>
        <w:t>4</w:t>
      </w:r>
      <w:r w:rsidRPr="002574E3">
        <w:t xml:space="preserve"> bylo na SZIF podáno </w:t>
      </w:r>
      <w:r>
        <w:t xml:space="preserve">o tuto platbu celkem </w:t>
      </w:r>
      <w:r w:rsidRPr="002574E3">
        <w:t>6</w:t>
      </w:r>
      <w:r>
        <w:t>,6 tis.</w:t>
      </w:r>
      <w:r w:rsidRPr="002574E3">
        <w:t xml:space="preserve"> žádostí </w:t>
      </w:r>
      <w:r>
        <w:t>na 192,6 tis. VDJ krav BTPM</w:t>
      </w:r>
      <w:r w:rsidRPr="002574E3">
        <w:rPr>
          <w:color w:val="000000"/>
        </w:rPr>
        <w:t>.</w:t>
      </w:r>
    </w:p>
    <w:p w:rsidR="00567C4A" w:rsidRDefault="00567C4A" w:rsidP="000B7BEE">
      <w:pPr>
        <w:rPr>
          <w:szCs w:val="20"/>
        </w:rPr>
      </w:pPr>
      <w:r w:rsidRPr="002574E3">
        <w:rPr>
          <w:szCs w:val="20"/>
        </w:rPr>
        <w:t xml:space="preserve">Produkce </w:t>
      </w:r>
      <w:r>
        <w:rPr>
          <w:szCs w:val="20"/>
        </w:rPr>
        <w:t xml:space="preserve">hovězího a telecího masa </w:t>
      </w:r>
      <w:r w:rsidRPr="002574E3">
        <w:rPr>
          <w:szCs w:val="20"/>
        </w:rPr>
        <w:t xml:space="preserve">v ČR určená pro vnitřní trh je dlouhodobě zajišťována převážně jedinci dojených a kombinovaných plemen </w:t>
      </w:r>
      <w:r>
        <w:rPr>
          <w:szCs w:val="20"/>
        </w:rPr>
        <w:t>event.</w:t>
      </w:r>
      <w:r w:rsidRPr="002574E3">
        <w:rPr>
          <w:szCs w:val="20"/>
        </w:rPr>
        <w:t xml:space="preserve"> jejich kříženci. </w:t>
      </w:r>
      <w:r>
        <w:rPr>
          <w:szCs w:val="20"/>
        </w:rPr>
        <w:t>Trvale</w:t>
      </w:r>
      <w:r w:rsidRPr="002574E3">
        <w:rPr>
          <w:szCs w:val="20"/>
        </w:rPr>
        <w:t xml:space="preserve"> </w:t>
      </w:r>
      <w:r>
        <w:rPr>
          <w:szCs w:val="20"/>
        </w:rPr>
        <w:t>rostoucí stavy</w:t>
      </w:r>
      <w:r w:rsidRPr="002574E3">
        <w:rPr>
          <w:szCs w:val="20"/>
        </w:rPr>
        <w:t xml:space="preserve"> specializovaných masných plemen skotu</w:t>
      </w:r>
      <w:r>
        <w:rPr>
          <w:szCs w:val="20"/>
        </w:rPr>
        <w:t xml:space="preserve"> však</w:t>
      </w:r>
      <w:r w:rsidRPr="002574E3">
        <w:rPr>
          <w:szCs w:val="20"/>
        </w:rPr>
        <w:t xml:space="preserve"> jejich podíl na tuzemské produkci hovězího a telecího masa výrazně nezvyšuj</w:t>
      </w:r>
      <w:r>
        <w:rPr>
          <w:szCs w:val="20"/>
        </w:rPr>
        <w:t>í</w:t>
      </w:r>
      <w:r w:rsidRPr="002574E3">
        <w:rPr>
          <w:szCs w:val="20"/>
        </w:rPr>
        <w:t>, neboť většina těchto zvířat je úspěšně exportována do ostatních evropských zemí za účelem dalšího chovu, výkrmu nebo porážky.</w:t>
      </w:r>
    </w:p>
    <w:p w:rsidR="00567C4A" w:rsidRPr="00B30C10" w:rsidRDefault="00567C4A" w:rsidP="000B7BEE">
      <w:pPr>
        <w:rPr>
          <w:color w:val="000000" w:themeColor="text1"/>
        </w:rPr>
      </w:pPr>
      <w:r w:rsidRPr="002574E3">
        <w:lastRenderedPageBreak/>
        <w:t>V</w:t>
      </w:r>
      <w:r>
        <w:t> </w:t>
      </w:r>
      <w:r w:rsidRPr="002574E3">
        <w:t>Č</w:t>
      </w:r>
      <w:r>
        <w:t>eské republice</w:t>
      </w:r>
      <w:r w:rsidRPr="002574E3">
        <w:t xml:space="preserve"> je chov skotu tradičně soustředěn především do větších zemědělských podniků, přesto se však počty malých chovatelů nesnižují, naopak v roce 201</w:t>
      </w:r>
      <w:r>
        <w:t>4</w:t>
      </w:r>
      <w:r w:rsidRPr="002574E3">
        <w:t xml:space="preserve"> došlo k jejich </w:t>
      </w:r>
      <w:r>
        <w:t>na</w:t>
      </w:r>
      <w:r w:rsidRPr="002574E3">
        <w:t xml:space="preserve">výšení. </w:t>
      </w:r>
      <w:r w:rsidRPr="009C3D40">
        <w:t xml:space="preserve">Podle údajů </w:t>
      </w:r>
      <w:r>
        <w:t>MZe z </w:t>
      </w:r>
      <w:r w:rsidRPr="009C3D40">
        <w:t>Ústřední evidence hospodářských zvířat</w:t>
      </w:r>
      <w:r>
        <w:t xml:space="preserve"> se </w:t>
      </w:r>
      <w:r w:rsidRPr="002574E3">
        <w:t>k 31. 12. 201</w:t>
      </w:r>
      <w:r>
        <w:t>4</w:t>
      </w:r>
      <w:r w:rsidRPr="002574E3">
        <w:t xml:space="preserve"> zabývalo v ČR celkem 1</w:t>
      </w:r>
      <w:r>
        <w:t>8,2</w:t>
      </w:r>
      <w:r w:rsidRPr="002574E3">
        <w:t xml:space="preserve"> tis. podniků chovem skotu, což pře</w:t>
      </w:r>
      <w:r>
        <w:t>dstavovalo meziroční nárůst o 841</w:t>
      </w:r>
      <w:r w:rsidRPr="002574E3">
        <w:t> podniků, tj. o </w:t>
      </w:r>
      <w:r>
        <w:t>4,8</w:t>
      </w:r>
      <w:r w:rsidRPr="002574E3">
        <w:t> %.</w:t>
      </w:r>
      <w:r>
        <w:t xml:space="preserve"> </w:t>
      </w:r>
      <w:r w:rsidRPr="002574E3">
        <w:t xml:space="preserve">Z toho nejvýrazněji vzrostl počet </w:t>
      </w:r>
      <w:r>
        <w:t>malých</w:t>
      </w:r>
      <w:r w:rsidRPr="002574E3">
        <w:t xml:space="preserve"> chovatelů </w:t>
      </w:r>
      <w:r>
        <w:t xml:space="preserve">s počtem </w:t>
      </w:r>
      <w:r w:rsidRPr="002574E3">
        <w:t>skotu do 50 ks</w:t>
      </w:r>
      <w:r>
        <w:t xml:space="preserve"> (o 5,3 %, tj. o 532)</w:t>
      </w:r>
      <w:r w:rsidRPr="002574E3">
        <w:t>, naopak</w:t>
      </w:r>
      <w:r>
        <w:t xml:space="preserve"> nejvíce</w:t>
      </w:r>
      <w:r w:rsidRPr="002574E3">
        <w:t xml:space="preserve"> </w:t>
      </w:r>
      <w:r>
        <w:t>ubylo</w:t>
      </w:r>
      <w:r w:rsidRPr="002574E3">
        <w:t xml:space="preserve"> </w:t>
      </w:r>
      <w:r>
        <w:t xml:space="preserve">velkých </w:t>
      </w:r>
      <w:r w:rsidRPr="002574E3">
        <w:t xml:space="preserve">podniků s chovem skotu </w:t>
      </w:r>
      <w:r>
        <w:t>nad</w:t>
      </w:r>
      <w:r w:rsidRPr="002574E3">
        <w:t xml:space="preserve"> </w:t>
      </w:r>
      <w:r>
        <w:t>1000</w:t>
      </w:r>
      <w:r w:rsidRPr="002574E3">
        <w:t> ks</w:t>
      </w:r>
      <w:r>
        <w:t xml:space="preserve"> </w:t>
      </w:r>
      <w:r w:rsidRPr="002574E3">
        <w:t>(</w:t>
      </w:r>
      <w:r>
        <w:t>o 28,6 %, tj. o 168</w:t>
      </w:r>
      <w:r w:rsidRPr="002574E3">
        <w:t>)</w:t>
      </w:r>
      <w:r>
        <w:t xml:space="preserve"> </w:t>
      </w:r>
      <w:r w:rsidRPr="002574E3">
        <w:t xml:space="preserve">a jejich počet </w:t>
      </w:r>
      <w:r>
        <w:t>klesl na 419</w:t>
      </w:r>
      <w:r w:rsidRPr="002574E3">
        <w:t xml:space="preserve">. </w:t>
      </w:r>
      <w:r>
        <w:t>Největší podíl (tj. 66 %) z celkové populace skotu v ČR byl v roce 2014 chován celkem v 800 podnicích</w:t>
      </w:r>
      <w:r w:rsidRPr="002574E3">
        <w:t xml:space="preserve"> </w:t>
      </w:r>
      <w:r>
        <w:t>s počtem zvířat na</w:t>
      </w:r>
      <w:r w:rsidRPr="002574E3">
        <w:t>d 500 ks</w:t>
      </w:r>
      <w:r>
        <w:t xml:space="preserve">. </w:t>
      </w:r>
      <w:r w:rsidRPr="002574E3">
        <w:rPr>
          <w:color w:val="000000"/>
        </w:rPr>
        <w:t>V rámci jednotlivých krajů ČR je více než 47 % zemědělských podniků</w:t>
      </w:r>
      <w:r>
        <w:rPr>
          <w:color w:val="000000"/>
        </w:rPr>
        <w:t xml:space="preserve"> chovajících skot</w:t>
      </w:r>
      <w:r w:rsidRPr="002574E3">
        <w:rPr>
          <w:color w:val="000000"/>
        </w:rPr>
        <w:t xml:space="preserve"> soustředěno v krajích Jihočeském, Vysočina, Středočeském a Moravskoslezském.</w:t>
      </w:r>
      <w:r>
        <w:rPr>
          <w:color w:val="000000"/>
        </w:rPr>
        <w:t xml:space="preserve"> </w:t>
      </w:r>
      <w:r w:rsidRPr="007F4AF5">
        <w:rPr>
          <w:color w:val="000000" w:themeColor="text1"/>
        </w:rPr>
        <w:t xml:space="preserve">Průměrný počet skotu připadajícího na </w:t>
      </w:r>
      <w:r>
        <w:rPr>
          <w:color w:val="000000" w:themeColor="text1"/>
        </w:rPr>
        <w:t>podnik se meziročně snížil z 88 </w:t>
      </w:r>
      <w:r w:rsidRPr="007F4AF5">
        <w:rPr>
          <w:color w:val="000000" w:themeColor="text1"/>
        </w:rPr>
        <w:t xml:space="preserve">ks v roce 2013 na 85 ks v roce 2014. </w:t>
      </w:r>
      <w:r w:rsidRPr="00B30C10">
        <w:rPr>
          <w:color w:val="000000" w:themeColor="text1"/>
        </w:rPr>
        <w:t>Podniků zabývajících se výkrmem býků bylo v roce 2014 evidováno 11,1 tis. a proti roku 2013 nedošlo k jejich změně. Více než polovina (58 %) chovaných býků byla vykrmována v 886 podnicích s koncentrací zvířat v rozmezí 51</w:t>
      </w:r>
      <w:r w:rsidRPr="00B30C10">
        <w:rPr>
          <w:color w:val="000000" w:themeColor="text1"/>
        </w:rPr>
        <w:noBreakHyphen/>
        <w:t xml:space="preserve">500 ks. </w:t>
      </w:r>
      <w:r>
        <w:rPr>
          <w:color w:val="000000" w:themeColor="text1"/>
        </w:rPr>
        <w:t>Chovatelů krav BTPM b</w:t>
      </w:r>
      <w:r w:rsidRPr="00B30C10">
        <w:rPr>
          <w:color w:val="000000" w:themeColor="text1"/>
        </w:rPr>
        <w:t>ylo v roce 2014 evidováno 7,8 tis, z toho téměř 64 % chovalo méně než 4 krávy.</w:t>
      </w:r>
    </w:p>
    <w:p w:rsidR="00567C4A" w:rsidRDefault="00567C4A" w:rsidP="000B7BEE">
      <w:pPr>
        <w:rPr>
          <w:szCs w:val="20"/>
        </w:rPr>
      </w:pPr>
      <w:r w:rsidRPr="002574E3">
        <w:rPr>
          <w:iCs/>
          <w:szCs w:val="20"/>
        </w:rPr>
        <w:t>Stavy skotu celkem v</w:t>
      </w:r>
      <w:r>
        <w:rPr>
          <w:iCs/>
          <w:szCs w:val="20"/>
        </w:rPr>
        <w:t> </w:t>
      </w:r>
      <w:r w:rsidRPr="002574E3">
        <w:rPr>
          <w:iCs/>
          <w:szCs w:val="20"/>
        </w:rPr>
        <w:t>Č</w:t>
      </w:r>
      <w:r>
        <w:rPr>
          <w:iCs/>
          <w:szCs w:val="20"/>
        </w:rPr>
        <w:t>eské republice</w:t>
      </w:r>
      <w:r w:rsidRPr="002574E3">
        <w:rPr>
          <w:iCs/>
          <w:szCs w:val="20"/>
        </w:rPr>
        <w:t xml:space="preserve"> podle </w:t>
      </w:r>
      <w:r>
        <w:rPr>
          <w:iCs/>
          <w:szCs w:val="20"/>
        </w:rPr>
        <w:t xml:space="preserve">ČSÚ </w:t>
      </w:r>
      <w:r w:rsidRPr="002574E3">
        <w:rPr>
          <w:iCs/>
          <w:szCs w:val="20"/>
        </w:rPr>
        <w:t>Soupisu hospodářských zvířat k 1. 4. 201</w:t>
      </w:r>
      <w:r>
        <w:rPr>
          <w:iCs/>
          <w:szCs w:val="20"/>
        </w:rPr>
        <w:t>4</w:t>
      </w:r>
      <w:r w:rsidRPr="002574E3">
        <w:rPr>
          <w:iCs/>
          <w:szCs w:val="20"/>
        </w:rPr>
        <w:t xml:space="preserve"> v meziročním srovnání </w:t>
      </w:r>
      <w:r>
        <w:rPr>
          <w:iCs/>
          <w:szCs w:val="20"/>
        </w:rPr>
        <w:t>mírně vzrostly</w:t>
      </w:r>
      <w:r w:rsidRPr="002574E3">
        <w:rPr>
          <w:iCs/>
          <w:szCs w:val="20"/>
        </w:rPr>
        <w:t xml:space="preserve"> </w:t>
      </w:r>
      <w:r>
        <w:rPr>
          <w:iCs/>
          <w:szCs w:val="20"/>
        </w:rPr>
        <w:t>o 1,5 % (tj. o 20,7 tis.)</w:t>
      </w:r>
      <w:r w:rsidRPr="002574E3">
        <w:rPr>
          <w:iCs/>
          <w:szCs w:val="20"/>
        </w:rPr>
        <w:t xml:space="preserve"> a dosáhly 1</w:t>
      </w:r>
      <w:r>
        <w:rPr>
          <w:iCs/>
          <w:szCs w:val="20"/>
        </w:rPr>
        <w:t> </w:t>
      </w:r>
      <w:r w:rsidRPr="002574E3">
        <w:rPr>
          <w:iCs/>
          <w:szCs w:val="20"/>
        </w:rPr>
        <w:t>3</w:t>
      </w:r>
      <w:r>
        <w:rPr>
          <w:iCs/>
          <w:szCs w:val="20"/>
        </w:rPr>
        <w:t>73,6</w:t>
      </w:r>
      <w:r w:rsidRPr="002574E3">
        <w:rPr>
          <w:iCs/>
          <w:szCs w:val="20"/>
        </w:rPr>
        <w:t> tis. ks</w:t>
      </w:r>
      <w:r>
        <w:rPr>
          <w:iCs/>
          <w:szCs w:val="20"/>
        </w:rPr>
        <w:t>, z toho stavy krav</w:t>
      </w:r>
      <w:r w:rsidRPr="007F5DF4">
        <w:rPr>
          <w:iCs/>
          <w:szCs w:val="20"/>
        </w:rPr>
        <w:t xml:space="preserve"> </w:t>
      </w:r>
      <w:r w:rsidRPr="002574E3">
        <w:rPr>
          <w:iCs/>
          <w:szCs w:val="20"/>
        </w:rPr>
        <w:t>celkem</w:t>
      </w:r>
      <w:r>
        <w:rPr>
          <w:iCs/>
          <w:szCs w:val="20"/>
        </w:rPr>
        <w:t xml:space="preserve"> se zvýšily o 2,2 % (tj. o 12 tis. ks).</w:t>
      </w:r>
      <w:r w:rsidRPr="002574E3">
        <w:rPr>
          <w:iCs/>
          <w:szCs w:val="20"/>
        </w:rPr>
        <w:t xml:space="preserve"> </w:t>
      </w:r>
      <w:r>
        <w:rPr>
          <w:iCs/>
          <w:szCs w:val="20"/>
        </w:rPr>
        <w:t>Téměř ve všech</w:t>
      </w:r>
      <w:r w:rsidRPr="002574E3">
        <w:rPr>
          <w:iCs/>
          <w:szCs w:val="20"/>
        </w:rPr>
        <w:t> </w:t>
      </w:r>
      <w:r>
        <w:rPr>
          <w:iCs/>
          <w:szCs w:val="20"/>
        </w:rPr>
        <w:t xml:space="preserve">ostatních </w:t>
      </w:r>
      <w:r w:rsidRPr="002574E3">
        <w:rPr>
          <w:iCs/>
          <w:szCs w:val="20"/>
        </w:rPr>
        <w:t xml:space="preserve">kategoriích </w:t>
      </w:r>
      <w:r>
        <w:rPr>
          <w:iCs/>
          <w:szCs w:val="20"/>
        </w:rPr>
        <w:t>došlo k mírnému nárůstu počtu chovaných zvířat, kromě skotu ve věku od 1 do 2 let (snížení o 1,6 %)</w:t>
      </w:r>
      <w:r w:rsidRPr="002574E3">
        <w:rPr>
          <w:iCs/>
          <w:szCs w:val="20"/>
        </w:rPr>
        <w:t xml:space="preserve">. </w:t>
      </w:r>
      <w:r>
        <w:rPr>
          <w:iCs/>
          <w:szCs w:val="20"/>
        </w:rPr>
        <w:t xml:space="preserve">Nárůst stavů skotu byl v roce 2014 evidován ve všech krajích ČR, kromě Středočeského, a to v rozmezí od 0,6 do 6,9 %. </w:t>
      </w:r>
      <w:r w:rsidRPr="002574E3">
        <w:rPr>
          <w:szCs w:val="20"/>
        </w:rPr>
        <w:t xml:space="preserve">Podstatný vliv na </w:t>
      </w:r>
      <w:r>
        <w:rPr>
          <w:szCs w:val="20"/>
        </w:rPr>
        <w:t xml:space="preserve">stabilizaci </w:t>
      </w:r>
      <w:r w:rsidRPr="002574E3">
        <w:rPr>
          <w:szCs w:val="20"/>
        </w:rPr>
        <w:t>stavů skotu v ČR, a zejména krav BTPM, má vyplácení přímých a nepřímých podpor směrovaných do tohoto odvětví, které pozitivně ovlivňují rentabilitu chovu</w:t>
      </w:r>
      <w:r>
        <w:rPr>
          <w:szCs w:val="20"/>
        </w:rPr>
        <w:t xml:space="preserve"> a dále dlouhodobě dobrá poptávka po českém skotu masných plemen a jejich kříženců v ostatních zemích Unie.</w:t>
      </w:r>
    </w:p>
    <w:p w:rsidR="00567C4A" w:rsidRDefault="00567C4A" w:rsidP="000B7BEE">
      <w:pPr>
        <w:rPr>
          <w:szCs w:val="20"/>
        </w:rPr>
      </w:pPr>
      <w:r w:rsidRPr="002574E3">
        <w:rPr>
          <w:iCs/>
          <w:szCs w:val="20"/>
        </w:rPr>
        <w:t>Průměrné stavy krav celkem v roce 201</w:t>
      </w:r>
      <w:r>
        <w:rPr>
          <w:iCs/>
          <w:szCs w:val="20"/>
        </w:rPr>
        <w:t>4 se proti roku 2013 zvýšily o 2,6 % (o 14,2 tis. ks) na 566,9 tis. ks.</w:t>
      </w:r>
      <w:r w:rsidRPr="003F68C8">
        <w:rPr>
          <w:szCs w:val="20"/>
        </w:rPr>
        <w:t xml:space="preserve"> </w:t>
      </w:r>
      <w:r>
        <w:rPr>
          <w:szCs w:val="20"/>
        </w:rPr>
        <w:t xml:space="preserve">Na tomto rozšíření základního stáda mělo vliv meziroční zvýšení </w:t>
      </w:r>
      <w:r w:rsidRPr="002574E3">
        <w:rPr>
          <w:szCs w:val="20"/>
        </w:rPr>
        <w:t xml:space="preserve">průměrných stavů </w:t>
      </w:r>
      <w:r>
        <w:rPr>
          <w:szCs w:val="20"/>
        </w:rPr>
        <w:t>krav BTPM o 9,0 % (o 16,2 tis. ks) na 196,2 tis. ks, zatímco počty krav</w:t>
      </w:r>
      <w:r w:rsidRPr="002574E3">
        <w:rPr>
          <w:szCs w:val="20"/>
        </w:rPr>
        <w:t xml:space="preserve"> </w:t>
      </w:r>
      <w:r>
        <w:rPr>
          <w:szCs w:val="20"/>
        </w:rPr>
        <w:t>dojných</w:t>
      </w:r>
      <w:r w:rsidRPr="002574E3">
        <w:rPr>
          <w:szCs w:val="20"/>
        </w:rPr>
        <w:t xml:space="preserve"> plemen </w:t>
      </w:r>
      <w:r>
        <w:rPr>
          <w:szCs w:val="20"/>
        </w:rPr>
        <w:t xml:space="preserve">mírně oslabily </w:t>
      </w:r>
      <w:r w:rsidRPr="002574E3">
        <w:rPr>
          <w:szCs w:val="20"/>
        </w:rPr>
        <w:t>o </w:t>
      </w:r>
      <w:r>
        <w:rPr>
          <w:szCs w:val="20"/>
        </w:rPr>
        <w:t>0,5</w:t>
      </w:r>
      <w:r w:rsidRPr="002574E3">
        <w:rPr>
          <w:szCs w:val="20"/>
        </w:rPr>
        <w:t> % (</w:t>
      </w:r>
      <w:r>
        <w:rPr>
          <w:szCs w:val="20"/>
        </w:rPr>
        <w:t>2,0</w:t>
      </w:r>
      <w:r w:rsidRPr="002574E3">
        <w:rPr>
          <w:szCs w:val="20"/>
        </w:rPr>
        <w:t> tis. ks) na 37</w:t>
      </w:r>
      <w:r>
        <w:rPr>
          <w:szCs w:val="20"/>
        </w:rPr>
        <w:t>0</w:t>
      </w:r>
      <w:r w:rsidRPr="002574E3">
        <w:rPr>
          <w:szCs w:val="20"/>
        </w:rPr>
        <w:t>,</w:t>
      </w:r>
      <w:r>
        <w:rPr>
          <w:szCs w:val="20"/>
        </w:rPr>
        <w:t>7 tis. ks. Více než 46 % z celkového počtu krav BTPM je soustředěno v krajích Jihočeském, Vysočina a Plzeňském, kde se v roce 2014 meziročně zvýšil jejich počet celkem o 10,3 % na 90,8 tis. ks.</w:t>
      </w:r>
    </w:p>
    <w:p w:rsidR="00567C4A" w:rsidRDefault="00567C4A" w:rsidP="000B7BEE">
      <w:pPr>
        <w:rPr>
          <w:szCs w:val="20"/>
        </w:rPr>
      </w:pPr>
      <w:r w:rsidRPr="002574E3">
        <w:rPr>
          <w:szCs w:val="20"/>
        </w:rPr>
        <w:t>Podíl krav celkem chovaných v ČR z celkových stavů krav EU se již několik le</w:t>
      </w:r>
      <w:r>
        <w:rPr>
          <w:szCs w:val="20"/>
        </w:rPr>
        <w:t>t nemění a </w:t>
      </w:r>
      <w:r w:rsidRPr="002574E3">
        <w:rPr>
          <w:szCs w:val="20"/>
        </w:rPr>
        <w:t>představuje 1,6 %</w:t>
      </w:r>
      <w:r>
        <w:rPr>
          <w:szCs w:val="20"/>
        </w:rPr>
        <w:t xml:space="preserve">. Rovněž je již několik let konstantní podíl krav </w:t>
      </w:r>
      <w:r w:rsidRPr="002574E3">
        <w:rPr>
          <w:szCs w:val="20"/>
        </w:rPr>
        <w:t xml:space="preserve">chovaných v systému bez tržní produkce na stavech krav této kategorie </w:t>
      </w:r>
      <w:r>
        <w:rPr>
          <w:szCs w:val="20"/>
        </w:rPr>
        <w:t>v Unii</w:t>
      </w:r>
      <w:r w:rsidRPr="002574E3">
        <w:rPr>
          <w:szCs w:val="20"/>
        </w:rPr>
        <w:t xml:space="preserve"> </w:t>
      </w:r>
      <w:r>
        <w:rPr>
          <w:szCs w:val="20"/>
        </w:rPr>
        <w:t>(</w:t>
      </w:r>
      <w:r w:rsidRPr="002574E3">
        <w:rPr>
          <w:szCs w:val="20"/>
        </w:rPr>
        <w:t>1,</w:t>
      </w:r>
      <w:r>
        <w:rPr>
          <w:szCs w:val="20"/>
        </w:rPr>
        <w:t>6</w:t>
      </w:r>
      <w:r w:rsidRPr="002574E3">
        <w:rPr>
          <w:szCs w:val="20"/>
        </w:rPr>
        <w:t xml:space="preserve"> %</w:t>
      </w:r>
      <w:r>
        <w:rPr>
          <w:szCs w:val="20"/>
        </w:rPr>
        <w:t>)</w:t>
      </w:r>
      <w:r w:rsidRPr="002574E3">
        <w:rPr>
          <w:szCs w:val="20"/>
        </w:rPr>
        <w:t>.</w:t>
      </w:r>
      <w:r>
        <w:rPr>
          <w:szCs w:val="20"/>
        </w:rPr>
        <w:t xml:space="preserve"> V rámci NČZ 13 je v ČR chováno největší stádo těchto krav s podílem dosahujícím v roce 2014 téměř 26 % (meziročně pokles o 0,6 p. b.). Z ostatních zemí následují Polsko a Maďarsko, kde stavy krav BTPM v posledních letech dynamicky rostou.</w:t>
      </w:r>
    </w:p>
    <w:p w:rsidR="00567C4A" w:rsidRPr="002574E3" w:rsidRDefault="00567C4A" w:rsidP="000B7BEE">
      <w:pPr>
        <w:rPr>
          <w:color w:val="000000"/>
          <w:szCs w:val="20"/>
        </w:rPr>
      </w:pPr>
      <w:r w:rsidRPr="002574E3">
        <w:rPr>
          <w:szCs w:val="20"/>
        </w:rPr>
        <w:lastRenderedPageBreak/>
        <w:t xml:space="preserve">Produkce hovězího masa včetně telecího v ČR je ovlivněna </w:t>
      </w:r>
      <w:r>
        <w:rPr>
          <w:szCs w:val="20"/>
        </w:rPr>
        <w:t>vývojem</w:t>
      </w:r>
      <w:r w:rsidRPr="002574E3">
        <w:rPr>
          <w:szCs w:val="20"/>
        </w:rPr>
        <w:t xml:space="preserve"> nabídky a poptávky na domácím trhu, ale </w:t>
      </w:r>
      <w:r>
        <w:rPr>
          <w:szCs w:val="20"/>
        </w:rPr>
        <w:t xml:space="preserve">podstatný </w:t>
      </w:r>
      <w:r w:rsidRPr="002574E3">
        <w:rPr>
          <w:szCs w:val="20"/>
        </w:rPr>
        <w:t xml:space="preserve">význam pro její udržení mají </w:t>
      </w:r>
      <w:r>
        <w:rPr>
          <w:szCs w:val="20"/>
        </w:rPr>
        <w:t>rovněž vývozy</w:t>
      </w:r>
      <w:r w:rsidRPr="002574E3">
        <w:rPr>
          <w:szCs w:val="20"/>
        </w:rPr>
        <w:t xml:space="preserve"> živého skotu do ostatních zemí. </w:t>
      </w:r>
      <w:r>
        <w:rPr>
          <w:szCs w:val="20"/>
        </w:rPr>
        <w:t xml:space="preserve">Vysoké ceny jatečného skotu na evropském trhu dosažené v letech 2012 a 2013 ovlivnily příznivě nejen vývoj stavů skotu v ČR, ale následně v roce 2014 úroveň celkové tuzemské produkce hovězího a telecího masa </w:t>
      </w:r>
      <w:r w:rsidRPr="002574E3">
        <w:rPr>
          <w:szCs w:val="20"/>
        </w:rPr>
        <w:t>(tzn. prodej skotu ze zemědělských podniků včetně exportu)</w:t>
      </w:r>
      <w:r>
        <w:rPr>
          <w:szCs w:val="20"/>
        </w:rPr>
        <w:t>. Výroba se meziročně zvýšila o 3,4</w:t>
      </w:r>
      <w:r w:rsidRPr="002574E3">
        <w:rPr>
          <w:szCs w:val="20"/>
        </w:rPr>
        <w:t> % (tj. o 3,</w:t>
      </w:r>
      <w:r>
        <w:rPr>
          <w:szCs w:val="20"/>
        </w:rPr>
        <w:t>0</w:t>
      </w:r>
      <w:r w:rsidRPr="002574E3">
        <w:rPr>
          <w:szCs w:val="20"/>
        </w:rPr>
        <w:t> tis.</w:t>
      </w:r>
      <w:r>
        <w:rPr>
          <w:szCs w:val="20"/>
        </w:rPr>
        <w:t> </w:t>
      </w:r>
      <w:r w:rsidRPr="002574E3">
        <w:rPr>
          <w:szCs w:val="20"/>
        </w:rPr>
        <w:t>t j.</w:t>
      </w:r>
      <w:r>
        <w:rPr>
          <w:szCs w:val="20"/>
        </w:rPr>
        <w:t> </w:t>
      </w:r>
      <w:r w:rsidRPr="002574E3">
        <w:rPr>
          <w:szCs w:val="20"/>
        </w:rPr>
        <w:t xml:space="preserve">hm.) na </w:t>
      </w:r>
      <w:r>
        <w:rPr>
          <w:szCs w:val="20"/>
        </w:rPr>
        <w:t>91,6</w:t>
      </w:r>
      <w:r w:rsidRPr="002574E3">
        <w:rPr>
          <w:szCs w:val="20"/>
        </w:rPr>
        <w:t> tis. t j. hm. (tj. 16</w:t>
      </w:r>
      <w:r>
        <w:rPr>
          <w:szCs w:val="20"/>
        </w:rPr>
        <w:t>9,6</w:t>
      </w:r>
      <w:r w:rsidRPr="002574E3">
        <w:rPr>
          <w:szCs w:val="20"/>
        </w:rPr>
        <w:t> tis. t ž. hm.). Průměrná roční produkce jatečného skotu na krávu v roce 201</w:t>
      </w:r>
      <w:r>
        <w:rPr>
          <w:szCs w:val="20"/>
        </w:rPr>
        <w:t>4</w:t>
      </w:r>
      <w:r w:rsidRPr="002574E3">
        <w:rPr>
          <w:szCs w:val="20"/>
        </w:rPr>
        <w:t xml:space="preserve"> </w:t>
      </w:r>
      <w:r>
        <w:rPr>
          <w:szCs w:val="20"/>
        </w:rPr>
        <w:t>v meziročním srovnání vzrostla</w:t>
      </w:r>
      <w:r w:rsidRPr="002574E3">
        <w:rPr>
          <w:szCs w:val="20"/>
        </w:rPr>
        <w:t xml:space="preserve"> o </w:t>
      </w:r>
      <w:r>
        <w:rPr>
          <w:szCs w:val="20"/>
        </w:rPr>
        <w:t>0,8</w:t>
      </w:r>
      <w:r w:rsidRPr="002574E3">
        <w:rPr>
          <w:szCs w:val="20"/>
        </w:rPr>
        <w:t> % (tj. o </w:t>
      </w:r>
      <w:r>
        <w:rPr>
          <w:szCs w:val="20"/>
        </w:rPr>
        <w:t>2,0</w:t>
      </w:r>
      <w:r w:rsidRPr="002574E3">
        <w:rPr>
          <w:szCs w:val="20"/>
        </w:rPr>
        <w:t> kg) na 29</w:t>
      </w:r>
      <w:r>
        <w:rPr>
          <w:szCs w:val="20"/>
        </w:rPr>
        <w:t>9</w:t>
      </w:r>
      <w:r w:rsidRPr="002574E3">
        <w:rPr>
          <w:szCs w:val="20"/>
        </w:rPr>
        <w:t xml:space="preserve"> kg ž. hm. právě v důsledku zmíněného </w:t>
      </w:r>
      <w:r>
        <w:rPr>
          <w:szCs w:val="20"/>
        </w:rPr>
        <w:t xml:space="preserve">nárůstu výroby. Je však dlouhodobě negativně ovlivněna velkým </w:t>
      </w:r>
      <w:r w:rsidRPr="002574E3">
        <w:rPr>
          <w:szCs w:val="20"/>
        </w:rPr>
        <w:t>objem</w:t>
      </w:r>
      <w:r>
        <w:rPr>
          <w:szCs w:val="20"/>
        </w:rPr>
        <w:t>em</w:t>
      </w:r>
      <w:r w:rsidRPr="002574E3">
        <w:rPr>
          <w:szCs w:val="20"/>
        </w:rPr>
        <w:t xml:space="preserve"> vývozu telat a mladého skotu</w:t>
      </w:r>
      <w:r>
        <w:rPr>
          <w:szCs w:val="20"/>
        </w:rPr>
        <w:t>.</w:t>
      </w:r>
      <w:r w:rsidRPr="002574E3">
        <w:rPr>
          <w:szCs w:val="20"/>
        </w:rPr>
        <w:t xml:space="preserve"> Podíl produkce hovězího masa včetně telecího ČR z celkové produkce EU</w:t>
      </w:r>
      <w:r>
        <w:rPr>
          <w:szCs w:val="20"/>
        </w:rPr>
        <w:t xml:space="preserve"> v roce 2014</w:t>
      </w:r>
      <w:r w:rsidRPr="002574E3">
        <w:rPr>
          <w:szCs w:val="20"/>
        </w:rPr>
        <w:t xml:space="preserve"> </w:t>
      </w:r>
      <w:r>
        <w:rPr>
          <w:szCs w:val="20"/>
        </w:rPr>
        <w:t>dosahoval</w:t>
      </w:r>
      <w:r w:rsidRPr="002574E3">
        <w:rPr>
          <w:szCs w:val="20"/>
        </w:rPr>
        <w:t xml:space="preserve"> 1,</w:t>
      </w:r>
      <w:r>
        <w:rPr>
          <w:szCs w:val="20"/>
        </w:rPr>
        <w:t>2</w:t>
      </w:r>
      <w:r w:rsidRPr="002574E3">
        <w:rPr>
          <w:szCs w:val="20"/>
        </w:rPr>
        <w:t> %</w:t>
      </w:r>
      <w:r>
        <w:rPr>
          <w:szCs w:val="20"/>
        </w:rPr>
        <w:t xml:space="preserve"> a je již několik let konstantní.</w:t>
      </w:r>
    </w:p>
    <w:p w:rsidR="00260791" w:rsidRDefault="00567C4A" w:rsidP="000B7BEE">
      <w:pPr>
        <w:rPr>
          <w:color w:val="000000"/>
          <w:szCs w:val="20"/>
        </w:rPr>
      </w:pPr>
      <w:r w:rsidRPr="002574E3">
        <w:rPr>
          <w:color w:val="000000"/>
          <w:szCs w:val="20"/>
        </w:rPr>
        <w:t>Masný zpracovatelský průmysl vyrobil v roce 201</w:t>
      </w:r>
      <w:r>
        <w:rPr>
          <w:color w:val="000000"/>
          <w:szCs w:val="20"/>
        </w:rPr>
        <w:t>4</w:t>
      </w:r>
      <w:r w:rsidRPr="002574E3">
        <w:rPr>
          <w:color w:val="000000"/>
          <w:szCs w:val="20"/>
        </w:rPr>
        <w:t xml:space="preserve"> na základě </w:t>
      </w:r>
      <w:r>
        <w:rPr>
          <w:color w:val="000000"/>
          <w:szCs w:val="20"/>
        </w:rPr>
        <w:t>poraženého</w:t>
      </w:r>
      <w:r w:rsidRPr="002574E3">
        <w:rPr>
          <w:color w:val="000000"/>
          <w:szCs w:val="20"/>
        </w:rPr>
        <w:t xml:space="preserve"> jatečného skotu</w:t>
      </w:r>
      <w:r>
        <w:rPr>
          <w:color w:val="000000"/>
          <w:szCs w:val="20"/>
        </w:rPr>
        <w:t xml:space="preserve"> 65,5 </w:t>
      </w:r>
      <w:r w:rsidRPr="002574E3">
        <w:rPr>
          <w:color w:val="000000"/>
          <w:szCs w:val="20"/>
        </w:rPr>
        <w:t>tis. t j. hm. hovězího a telecího masa, což představovalo ve srovnání s rokem 201</w:t>
      </w:r>
      <w:r>
        <w:rPr>
          <w:color w:val="000000"/>
          <w:szCs w:val="20"/>
        </w:rPr>
        <w:t>3</w:t>
      </w:r>
      <w:r w:rsidRPr="002574E3">
        <w:rPr>
          <w:color w:val="000000"/>
          <w:szCs w:val="20"/>
        </w:rPr>
        <w:t xml:space="preserve"> </w:t>
      </w:r>
      <w:r>
        <w:rPr>
          <w:color w:val="000000"/>
          <w:szCs w:val="20"/>
        </w:rPr>
        <w:t xml:space="preserve">vyšší produkci </w:t>
      </w:r>
      <w:r w:rsidRPr="002574E3">
        <w:rPr>
          <w:color w:val="000000"/>
          <w:szCs w:val="20"/>
        </w:rPr>
        <w:t>o 1,</w:t>
      </w:r>
      <w:r>
        <w:rPr>
          <w:color w:val="000000"/>
          <w:szCs w:val="20"/>
        </w:rPr>
        <w:t>1</w:t>
      </w:r>
      <w:r w:rsidRPr="002574E3">
        <w:rPr>
          <w:color w:val="000000"/>
          <w:szCs w:val="20"/>
        </w:rPr>
        <w:t> % (0,</w:t>
      </w:r>
      <w:r>
        <w:rPr>
          <w:color w:val="000000"/>
          <w:szCs w:val="20"/>
        </w:rPr>
        <w:t>7</w:t>
      </w:r>
      <w:r w:rsidRPr="002574E3">
        <w:rPr>
          <w:color w:val="000000"/>
          <w:szCs w:val="20"/>
        </w:rPr>
        <w:t xml:space="preserve"> tis. t). </w:t>
      </w:r>
      <w:r>
        <w:rPr>
          <w:color w:val="000000"/>
          <w:szCs w:val="20"/>
        </w:rPr>
        <w:t>Výroba však meziročně klesla ve většině krajů ČR, kromě Pardubického, Vysočiny a Olomouckého, kde došlo k jejímu zvýšení celkem o </w:t>
      </w:r>
      <w:r w:rsidR="00157A63">
        <w:rPr>
          <w:color w:val="000000"/>
          <w:szCs w:val="20"/>
        </w:rPr>
        <w:t>6,2</w:t>
      </w:r>
      <w:r>
        <w:rPr>
          <w:color w:val="000000"/>
          <w:szCs w:val="20"/>
        </w:rPr>
        <w:t xml:space="preserve"> %.</w:t>
      </w:r>
    </w:p>
    <w:p w:rsidR="00157A63" w:rsidRDefault="00260791" w:rsidP="000B7BEE">
      <w:pPr>
        <w:rPr>
          <w:szCs w:val="20"/>
        </w:rPr>
      </w:pPr>
      <w:r>
        <w:rPr>
          <w:color w:val="000000"/>
          <w:szCs w:val="20"/>
        </w:rPr>
        <w:t>Podle údajů SVS v</w:t>
      </w:r>
      <w:r w:rsidR="00567C4A">
        <w:rPr>
          <w:color w:val="000000"/>
          <w:szCs w:val="20"/>
        </w:rPr>
        <w:t> roce 2014 vzrostly v meziročním srovnání p</w:t>
      </w:r>
      <w:r w:rsidR="00567C4A" w:rsidRPr="002574E3">
        <w:rPr>
          <w:szCs w:val="20"/>
        </w:rPr>
        <w:t>orážky jatečného skotu celkem o </w:t>
      </w:r>
      <w:r w:rsidR="00567C4A">
        <w:rPr>
          <w:szCs w:val="20"/>
        </w:rPr>
        <w:t>1,3 % (tj. o 3,1</w:t>
      </w:r>
      <w:r w:rsidR="00567C4A" w:rsidRPr="002574E3">
        <w:rPr>
          <w:szCs w:val="20"/>
        </w:rPr>
        <w:t> tis. ks) na 2</w:t>
      </w:r>
      <w:r w:rsidR="00567C4A">
        <w:rPr>
          <w:szCs w:val="20"/>
        </w:rPr>
        <w:t>42,8</w:t>
      </w:r>
      <w:r w:rsidR="00567C4A" w:rsidRPr="002574E3">
        <w:rPr>
          <w:szCs w:val="20"/>
        </w:rPr>
        <w:t xml:space="preserve"> tis. ks. To se promítlo do </w:t>
      </w:r>
      <w:r w:rsidR="00567C4A">
        <w:rPr>
          <w:szCs w:val="20"/>
        </w:rPr>
        <w:t>vyšší</w:t>
      </w:r>
      <w:r w:rsidR="00567C4A" w:rsidRPr="002574E3">
        <w:rPr>
          <w:szCs w:val="20"/>
        </w:rPr>
        <w:t xml:space="preserve"> nabídky hovězího masa na domácím trhu</w:t>
      </w:r>
      <w:r w:rsidR="00567C4A">
        <w:rPr>
          <w:szCs w:val="20"/>
        </w:rPr>
        <w:t>. I přes nárůst produkce bylo nutno díky vyšší tuzemské poptávce, podpořené stagnací spotřebitelských cen, doplnit</w:t>
      </w:r>
      <w:r w:rsidR="00567C4A" w:rsidRPr="002574E3">
        <w:rPr>
          <w:szCs w:val="20"/>
        </w:rPr>
        <w:t xml:space="preserve"> </w:t>
      </w:r>
      <w:r w:rsidR="00567C4A">
        <w:rPr>
          <w:szCs w:val="20"/>
        </w:rPr>
        <w:t xml:space="preserve">tuzemskou nabídku </w:t>
      </w:r>
      <w:r w:rsidR="00567C4A" w:rsidRPr="002574E3">
        <w:rPr>
          <w:szCs w:val="20"/>
        </w:rPr>
        <w:t xml:space="preserve">zvýšenými dovozy hovězího masa. Meziročně se </w:t>
      </w:r>
      <w:r w:rsidR="00567C4A">
        <w:rPr>
          <w:szCs w:val="20"/>
        </w:rPr>
        <w:t xml:space="preserve">v ČR </w:t>
      </w:r>
      <w:r w:rsidR="00567C4A" w:rsidRPr="002574E3">
        <w:rPr>
          <w:szCs w:val="20"/>
        </w:rPr>
        <w:t>zvýšily</w:t>
      </w:r>
      <w:r w:rsidR="00157A63">
        <w:rPr>
          <w:szCs w:val="20"/>
        </w:rPr>
        <w:t xml:space="preserve"> </w:t>
      </w:r>
      <w:r w:rsidR="00567C4A">
        <w:rPr>
          <w:szCs w:val="20"/>
        </w:rPr>
        <w:t xml:space="preserve">především </w:t>
      </w:r>
      <w:r w:rsidR="00567C4A" w:rsidRPr="002574E3">
        <w:rPr>
          <w:szCs w:val="20"/>
        </w:rPr>
        <w:t>porážky jatečných býků o </w:t>
      </w:r>
      <w:r w:rsidR="00567C4A">
        <w:rPr>
          <w:szCs w:val="20"/>
        </w:rPr>
        <w:t>8,7</w:t>
      </w:r>
      <w:r w:rsidR="00567C4A" w:rsidRPr="002574E3">
        <w:rPr>
          <w:szCs w:val="20"/>
        </w:rPr>
        <w:t> % (</w:t>
      </w:r>
      <w:r w:rsidR="00567C4A">
        <w:rPr>
          <w:szCs w:val="20"/>
        </w:rPr>
        <w:t>8,4</w:t>
      </w:r>
      <w:r w:rsidR="00567C4A" w:rsidRPr="002574E3">
        <w:rPr>
          <w:szCs w:val="20"/>
        </w:rPr>
        <w:t xml:space="preserve"> tis. ks) na </w:t>
      </w:r>
      <w:r w:rsidR="00567C4A">
        <w:rPr>
          <w:szCs w:val="20"/>
        </w:rPr>
        <w:t>105,3</w:t>
      </w:r>
      <w:r w:rsidR="00567C4A" w:rsidRPr="002574E3">
        <w:rPr>
          <w:szCs w:val="20"/>
        </w:rPr>
        <w:t> tis. ks a</w:t>
      </w:r>
      <w:r w:rsidR="00567C4A">
        <w:rPr>
          <w:szCs w:val="20"/>
        </w:rPr>
        <w:t xml:space="preserve"> mírně i</w:t>
      </w:r>
      <w:r w:rsidR="00567C4A" w:rsidRPr="002574E3">
        <w:rPr>
          <w:szCs w:val="20"/>
        </w:rPr>
        <w:t xml:space="preserve"> </w:t>
      </w:r>
      <w:r w:rsidR="00567C4A">
        <w:rPr>
          <w:szCs w:val="20"/>
        </w:rPr>
        <w:t>jatečných</w:t>
      </w:r>
      <w:r w:rsidR="00567C4A" w:rsidRPr="002574E3">
        <w:rPr>
          <w:szCs w:val="20"/>
        </w:rPr>
        <w:t xml:space="preserve"> telat</w:t>
      </w:r>
      <w:r w:rsidR="00567C4A">
        <w:rPr>
          <w:szCs w:val="20"/>
        </w:rPr>
        <w:t xml:space="preserve"> o 7,5 % (o 0,8 tis. ks)</w:t>
      </w:r>
      <w:r w:rsidR="00567C4A" w:rsidRPr="002574E3">
        <w:rPr>
          <w:szCs w:val="20"/>
        </w:rPr>
        <w:t>. Na</w:t>
      </w:r>
      <w:r w:rsidR="00567C4A">
        <w:rPr>
          <w:szCs w:val="20"/>
        </w:rPr>
        <w:t>proti tomu klesla</w:t>
      </w:r>
      <w:r w:rsidR="00567C4A" w:rsidRPr="002574E3">
        <w:rPr>
          <w:szCs w:val="20"/>
        </w:rPr>
        <w:t xml:space="preserve"> nabídka jatečných krav o </w:t>
      </w:r>
      <w:r w:rsidR="00567C4A">
        <w:rPr>
          <w:szCs w:val="20"/>
        </w:rPr>
        <w:t>4,1</w:t>
      </w:r>
      <w:r w:rsidR="00567C4A" w:rsidRPr="002574E3">
        <w:rPr>
          <w:szCs w:val="20"/>
        </w:rPr>
        <w:t> % na 10</w:t>
      </w:r>
      <w:r w:rsidR="00567C4A">
        <w:rPr>
          <w:szCs w:val="20"/>
        </w:rPr>
        <w:t>4,4</w:t>
      </w:r>
      <w:r w:rsidR="00567C4A" w:rsidRPr="002574E3">
        <w:rPr>
          <w:szCs w:val="20"/>
        </w:rPr>
        <w:t xml:space="preserve"> tis. ks </w:t>
      </w:r>
      <w:r w:rsidR="00567C4A">
        <w:rPr>
          <w:szCs w:val="20"/>
        </w:rPr>
        <w:t>i</w:t>
      </w:r>
      <w:r w:rsidR="00567C4A" w:rsidRPr="002574E3">
        <w:rPr>
          <w:szCs w:val="20"/>
        </w:rPr>
        <w:t> jatečných jalovic o 7,</w:t>
      </w:r>
      <w:r w:rsidR="00567C4A">
        <w:rPr>
          <w:szCs w:val="20"/>
        </w:rPr>
        <w:t>0</w:t>
      </w:r>
      <w:r w:rsidR="00567C4A" w:rsidRPr="002574E3">
        <w:rPr>
          <w:szCs w:val="20"/>
        </w:rPr>
        <w:t> % na 2</w:t>
      </w:r>
      <w:r w:rsidR="00567C4A">
        <w:rPr>
          <w:szCs w:val="20"/>
        </w:rPr>
        <w:t>2,0 </w:t>
      </w:r>
      <w:r w:rsidR="00567C4A" w:rsidRPr="002574E3">
        <w:rPr>
          <w:szCs w:val="20"/>
        </w:rPr>
        <w:t>tis. ks. K nižší</w:t>
      </w:r>
      <w:r w:rsidR="00567C4A">
        <w:rPr>
          <w:szCs w:val="20"/>
        </w:rPr>
        <w:t>m</w:t>
      </w:r>
      <w:r w:rsidR="00567C4A" w:rsidRPr="002574E3">
        <w:rPr>
          <w:szCs w:val="20"/>
        </w:rPr>
        <w:t xml:space="preserve"> </w:t>
      </w:r>
      <w:r w:rsidR="00567C4A">
        <w:rPr>
          <w:szCs w:val="20"/>
        </w:rPr>
        <w:t xml:space="preserve">porážkám </w:t>
      </w:r>
      <w:r w:rsidR="00567C4A" w:rsidRPr="002574E3">
        <w:rPr>
          <w:szCs w:val="20"/>
        </w:rPr>
        <w:t xml:space="preserve">jatečných krav došlo důsledkem </w:t>
      </w:r>
      <w:r w:rsidR="00567C4A">
        <w:rPr>
          <w:szCs w:val="20"/>
        </w:rPr>
        <w:t xml:space="preserve">blížícího se ukončení systému kvót na mléko a díky výrazně dobré </w:t>
      </w:r>
      <w:r w:rsidR="00567C4A" w:rsidRPr="002574E3">
        <w:rPr>
          <w:szCs w:val="20"/>
        </w:rPr>
        <w:t>rentabilit</w:t>
      </w:r>
      <w:r w:rsidR="00567C4A">
        <w:rPr>
          <w:szCs w:val="20"/>
        </w:rPr>
        <w:t>ě</w:t>
      </w:r>
      <w:r w:rsidR="00567C4A" w:rsidRPr="002574E3">
        <w:rPr>
          <w:szCs w:val="20"/>
        </w:rPr>
        <w:t xml:space="preserve"> produkce mléka</w:t>
      </w:r>
      <w:r w:rsidR="00567C4A">
        <w:rPr>
          <w:szCs w:val="20"/>
        </w:rPr>
        <w:t>.</w:t>
      </w:r>
      <w:r w:rsidR="00567C4A" w:rsidRPr="002574E3">
        <w:rPr>
          <w:szCs w:val="20"/>
        </w:rPr>
        <w:t xml:space="preserve"> Na celkových porážkách skotu v ČR </w:t>
      </w:r>
      <w:r w:rsidR="00567C4A">
        <w:rPr>
          <w:szCs w:val="20"/>
        </w:rPr>
        <w:t xml:space="preserve">se </w:t>
      </w:r>
      <w:r w:rsidR="00567C4A" w:rsidRPr="002574E3">
        <w:rPr>
          <w:szCs w:val="20"/>
        </w:rPr>
        <w:t>podílel</w:t>
      </w:r>
      <w:r w:rsidR="00567C4A">
        <w:rPr>
          <w:szCs w:val="20"/>
        </w:rPr>
        <w:t>i</w:t>
      </w:r>
      <w:r w:rsidR="00567C4A" w:rsidRPr="002574E3">
        <w:rPr>
          <w:szCs w:val="20"/>
        </w:rPr>
        <w:t xml:space="preserve"> nejvýznamněji jatečn</w:t>
      </w:r>
      <w:r w:rsidR="00567C4A">
        <w:rPr>
          <w:szCs w:val="20"/>
        </w:rPr>
        <w:t>í</w:t>
      </w:r>
      <w:r w:rsidR="00567C4A" w:rsidRPr="002574E3">
        <w:rPr>
          <w:szCs w:val="20"/>
        </w:rPr>
        <w:t xml:space="preserve"> </w:t>
      </w:r>
      <w:r w:rsidR="00567C4A">
        <w:rPr>
          <w:szCs w:val="20"/>
        </w:rPr>
        <w:t>býci</w:t>
      </w:r>
      <w:r w:rsidR="00567C4A" w:rsidRPr="002574E3">
        <w:rPr>
          <w:szCs w:val="20"/>
        </w:rPr>
        <w:t xml:space="preserve"> (4</w:t>
      </w:r>
      <w:r w:rsidR="00567C4A">
        <w:rPr>
          <w:szCs w:val="20"/>
        </w:rPr>
        <w:t>3</w:t>
      </w:r>
      <w:r w:rsidR="00567C4A" w:rsidRPr="002574E3">
        <w:rPr>
          <w:szCs w:val="20"/>
        </w:rPr>
        <w:t>,</w:t>
      </w:r>
      <w:r w:rsidR="00567C4A">
        <w:rPr>
          <w:szCs w:val="20"/>
        </w:rPr>
        <w:t>4</w:t>
      </w:r>
      <w:r w:rsidR="00567C4A" w:rsidRPr="002574E3">
        <w:rPr>
          <w:szCs w:val="20"/>
        </w:rPr>
        <w:t> %)</w:t>
      </w:r>
      <w:r w:rsidR="00567C4A">
        <w:rPr>
          <w:szCs w:val="20"/>
        </w:rPr>
        <w:t>, těsně následovaní jatečnými kravami</w:t>
      </w:r>
      <w:r w:rsidR="00567C4A" w:rsidRPr="002574E3">
        <w:rPr>
          <w:szCs w:val="20"/>
        </w:rPr>
        <w:t xml:space="preserve"> (4</w:t>
      </w:r>
      <w:r w:rsidR="00567C4A">
        <w:rPr>
          <w:szCs w:val="20"/>
        </w:rPr>
        <w:t>3,0</w:t>
      </w:r>
      <w:r w:rsidR="00567C4A" w:rsidRPr="002574E3">
        <w:rPr>
          <w:szCs w:val="20"/>
        </w:rPr>
        <w:t> %), zatímco podíl jalovic a telat byl tradičně nižší a</w:t>
      </w:r>
      <w:r w:rsidR="00567C4A">
        <w:rPr>
          <w:szCs w:val="20"/>
        </w:rPr>
        <w:t> </w:t>
      </w:r>
      <w:r w:rsidR="00567C4A" w:rsidRPr="002574E3">
        <w:rPr>
          <w:szCs w:val="20"/>
        </w:rPr>
        <w:t>představoval 9,</w:t>
      </w:r>
      <w:r w:rsidR="00567C4A">
        <w:rPr>
          <w:szCs w:val="20"/>
        </w:rPr>
        <w:t>1 %, resp. 4,6</w:t>
      </w:r>
      <w:r w:rsidR="00567C4A" w:rsidRPr="002574E3">
        <w:rPr>
          <w:szCs w:val="20"/>
        </w:rPr>
        <w:t> %.</w:t>
      </w:r>
    </w:p>
    <w:p w:rsidR="00567C4A" w:rsidRPr="002574E3" w:rsidRDefault="00567C4A" w:rsidP="000B7BEE">
      <w:pPr>
        <w:rPr>
          <w:color w:val="000000"/>
          <w:szCs w:val="20"/>
        </w:rPr>
      </w:pPr>
      <w:r w:rsidRPr="002574E3">
        <w:rPr>
          <w:color w:val="000000"/>
          <w:szCs w:val="20"/>
        </w:rPr>
        <w:t>V roce 201</w:t>
      </w:r>
      <w:r>
        <w:rPr>
          <w:color w:val="000000"/>
          <w:szCs w:val="20"/>
        </w:rPr>
        <w:t>4</w:t>
      </w:r>
      <w:r w:rsidRPr="002574E3">
        <w:rPr>
          <w:color w:val="000000"/>
          <w:szCs w:val="20"/>
        </w:rPr>
        <w:t xml:space="preserve"> se průměrná porážková hmotnost skotu podle </w:t>
      </w:r>
      <w:r>
        <w:rPr>
          <w:color w:val="000000"/>
          <w:szCs w:val="20"/>
        </w:rPr>
        <w:t xml:space="preserve">údajů </w:t>
      </w:r>
      <w:r w:rsidRPr="002574E3">
        <w:rPr>
          <w:color w:val="000000"/>
          <w:szCs w:val="20"/>
        </w:rPr>
        <w:t xml:space="preserve">ČSÚ meziročně </w:t>
      </w:r>
      <w:r>
        <w:rPr>
          <w:color w:val="000000"/>
          <w:szCs w:val="20"/>
        </w:rPr>
        <w:t>nezměnila</w:t>
      </w:r>
      <w:r w:rsidRPr="002574E3">
        <w:rPr>
          <w:color w:val="000000"/>
          <w:szCs w:val="20"/>
        </w:rPr>
        <w:t xml:space="preserve"> a </w:t>
      </w:r>
      <w:r>
        <w:rPr>
          <w:color w:val="000000"/>
          <w:szCs w:val="20"/>
        </w:rPr>
        <w:t>zůstala na</w:t>
      </w:r>
      <w:r w:rsidRPr="002574E3">
        <w:rPr>
          <w:color w:val="000000"/>
          <w:szCs w:val="20"/>
        </w:rPr>
        <w:t xml:space="preserve"> 5</w:t>
      </w:r>
      <w:r>
        <w:rPr>
          <w:color w:val="000000"/>
          <w:szCs w:val="20"/>
        </w:rPr>
        <w:t>50</w:t>
      </w:r>
      <w:r w:rsidRPr="002574E3">
        <w:rPr>
          <w:color w:val="000000"/>
          <w:szCs w:val="20"/>
        </w:rPr>
        <w:t> kg ž. hm</w:t>
      </w:r>
      <w:r>
        <w:rPr>
          <w:color w:val="000000"/>
          <w:szCs w:val="20"/>
        </w:rPr>
        <w:t xml:space="preserve">., z toho u jatečných býků </w:t>
      </w:r>
      <w:r w:rsidR="00260791">
        <w:rPr>
          <w:color w:val="000000"/>
          <w:szCs w:val="20"/>
        </w:rPr>
        <w:t xml:space="preserve">mírně </w:t>
      </w:r>
      <w:r>
        <w:rPr>
          <w:color w:val="000000"/>
          <w:szCs w:val="20"/>
        </w:rPr>
        <w:t xml:space="preserve">vzrostla o </w:t>
      </w:r>
      <w:r w:rsidR="00260791">
        <w:rPr>
          <w:color w:val="000000"/>
          <w:szCs w:val="20"/>
        </w:rPr>
        <w:t>0,4</w:t>
      </w:r>
      <w:r w:rsidRPr="002574E3">
        <w:rPr>
          <w:color w:val="000000"/>
          <w:szCs w:val="20"/>
        </w:rPr>
        <w:t xml:space="preserve"> % na </w:t>
      </w:r>
      <w:r w:rsidR="00260791">
        <w:rPr>
          <w:color w:val="000000"/>
          <w:szCs w:val="20"/>
        </w:rPr>
        <w:t>640 </w:t>
      </w:r>
      <w:r w:rsidRPr="002574E3">
        <w:rPr>
          <w:color w:val="000000"/>
          <w:szCs w:val="20"/>
        </w:rPr>
        <w:t>kg ž. hm.</w:t>
      </w:r>
    </w:p>
    <w:p w:rsidR="00567C4A" w:rsidRPr="002574E3" w:rsidRDefault="00567C4A" w:rsidP="000B7BEE">
      <w:pPr>
        <w:rPr>
          <w:color w:val="000000"/>
          <w:szCs w:val="20"/>
        </w:rPr>
      </w:pPr>
      <w:r>
        <w:rPr>
          <w:color w:val="000000"/>
          <w:szCs w:val="20"/>
        </w:rPr>
        <w:t>Tuzemská</w:t>
      </w:r>
      <w:r w:rsidRPr="002574E3">
        <w:rPr>
          <w:color w:val="000000"/>
          <w:szCs w:val="20"/>
        </w:rPr>
        <w:t xml:space="preserve"> spotřeb</w:t>
      </w:r>
      <w:r>
        <w:rPr>
          <w:color w:val="000000"/>
          <w:szCs w:val="20"/>
        </w:rPr>
        <w:t>a</w:t>
      </w:r>
      <w:r w:rsidRPr="002574E3">
        <w:rPr>
          <w:color w:val="000000"/>
          <w:szCs w:val="20"/>
        </w:rPr>
        <w:t xml:space="preserve"> hovězího a telecího masa v roce 201</w:t>
      </w:r>
      <w:r>
        <w:rPr>
          <w:color w:val="000000"/>
          <w:szCs w:val="20"/>
        </w:rPr>
        <w:t>4</w:t>
      </w:r>
      <w:r w:rsidRPr="002574E3">
        <w:rPr>
          <w:color w:val="000000"/>
          <w:szCs w:val="20"/>
        </w:rPr>
        <w:t xml:space="preserve"> proti roku 201</w:t>
      </w:r>
      <w:r>
        <w:rPr>
          <w:color w:val="000000"/>
          <w:szCs w:val="20"/>
        </w:rPr>
        <w:t xml:space="preserve">3 vzrostla o 7,4 % (o 4,5 tis. t) </w:t>
      </w:r>
      <w:r w:rsidRPr="002574E3">
        <w:rPr>
          <w:color w:val="000000"/>
          <w:szCs w:val="20"/>
        </w:rPr>
        <w:t>na 6</w:t>
      </w:r>
      <w:r>
        <w:rPr>
          <w:color w:val="000000"/>
          <w:szCs w:val="20"/>
        </w:rPr>
        <w:t>5,0</w:t>
      </w:r>
      <w:r w:rsidRPr="002574E3">
        <w:rPr>
          <w:color w:val="000000"/>
          <w:szCs w:val="20"/>
        </w:rPr>
        <w:t xml:space="preserve"> tis. t j. hm. </w:t>
      </w:r>
      <w:r>
        <w:rPr>
          <w:color w:val="000000"/>
          <w:szCs w:val="20"/>
        </w:rPr>
        <w:t>Snižování</w:t>
      </w:r>
      <w:r w:rsidRPr="002574E3">
        <w:rPr>
          <w:color w:val="000000"/>
          <w:szCs w:val="20"/>
        </w:rPr>
        <w:t xml:space="preserve"> </w:t>
      </w:r>
      <w:r>
        <w:rPr>
          <w:color w:val="000000"/>
          <w:szCs w:val="20"/>
        </w:rPr>
        <w:t>spotřebitelské poptávky</w:t>
      </w:r>
      <w:r w:rsidRPr="002574E3">
        <w:rPr>
          <w:color w:val="000000"/>
          <w:szCs w:val="20"/>
        </w:rPr>
        <w:t xml:space="preserve">, ke které </w:t>
      </w:r>
      <w:r>
        <w:rPr>
          <w:color w:val="000000"/>
          <w:szCs w:val="20"/>
        </w:rPr>
        <w:t xml:space="preserve">docházelo </w:t>
      </w:r>
      <w:r w:rsidRPr="002574E3">
        <w:rPr>
          <w:color w:val="000000"/>
          <w:szCs w:val="20"/>
        </w:rPr>
        <w:t>v letech 2012 a 2013</w:t>
      </w:r>
      <w:r>
        <w:rPr>
          <w:color w:val="000000"/>
          <w:szCs w:val="20"/>
        </w:rPr>
        <w:t xml:space="preserve"> vlivem vysokých cen hovězího masa</w:t>
      </w:r>
      <w:r w:rsidRPr="002574E3">
        <w:rPr>
          <w:color w:val="000000"/>
          <w:szCs w:val="20"/>
        </w:rPr>
        <w:t xml:space="preserve">, </w:t>
      </w:r>
      <w:r>
        <w:rPr>
          <w:color w:val="000000"/>
          <w:szCs w:val="20"/>
        </w:rPr>
        <w:t xml:space="preserve">se v roce 2014 v důsledku stagnace spotřebitelských cen zastavilo. </w:t>
      </w:r>
      <w:r w:rsidRPr="002574E3">
        <w:rPr>
          <w:color w:val="000000"/>
          <w:szCs w:val="20"/>
        </w:rPr>
        <w:t>V roce 201</w:t>
      </w:r>
      <w:r>
        <w:rPr>
          <w:color w:val="000000"/>
          <w:szCs w:val="20"/>
        </w:rPr>
        <w:t>4</w:t>
      </w:r>
      <w:r w:rsidRPr="002574E3">
        <w:rPr>
          <w:color w:val="000000"/>
          <w:szCs w:val="20"/>
        </w:rPr>
        <w:t xml:space="preserve"> zaznamenala spotřeba hovězí</w:t>
      </w:r>
      <w:r>
        <w:rPr>
          <w:color w:val="000000"/>
          <w:szCs w:val="20"/>
        </w:rPr>
        <w:t>ho</w:t>
      </w:r>
      <w:r w:rsidRPr="002574E3">
        <w:rPr>
          <w:color w:val="000000"/>
          <w:szCs w:val="20"/>
        </w:rPr>
        <w:t xml:space="preserve"> a</w:t>
      </w:r>
      <w:r>
        <w:rPr>
          <w:color w:val="000000"/>
          <w:szCs w:val="20"/>
        </w:rPr>
        <w:t> </w:t>
      </w:r>
      <w:r w:rsidRPr="002574E3">
        <w:rPr>
          <w:color w:val="000000"/>
          <w:szCs w:val="20"/>
        </w:rPr>
        <w:t>telecího masa na obyvatele v ČR ve srovnání s rokem 201</w:t>
      </w:r>
      <w:r>
        <w:rPr>
          <w:color w:val="000000"/>
          <w:szCs w:val="20"/>
        </w:rPr>
        <w:t xml:space="preserve">3 slabé </w:t>
      </w:r>
      <w:r w:rsidRPr="00C420F5">
        <w:rPr>
          <w:color w:val="000000" w:themeColor="text1"/>
          <w:szCs w:val="20"/>
        </w:rPr>
        <w:t>zvýšení o 3,9 % (o 0,3 kg/rok) a dosáhla odhadovaných 7,9 kg/rok. Ve srovnání se Německem a R</w:t>
      </w:r>
      <w:r>
        <w:rPr>
          <w:color w:val="000000"/>
          <w:szCs w:val="20"/>
        </w:rPr>
        <w:t xml:space="preserve">akouskem byla nižší zhruba o polovinu, naopak proti Polsku a Maďarsku je přibližně 2,5x vyšší. </w:t>
      </w:r>
      <w:r w:rsidRPr="002574E3">
        <w:rPr>
          <w:color w:val="000000"/>
          <w:szCs w:val="20"/>
        </w:rPr>
        <w:t>Hovězí maso se</w:t>
      </w:r>
      <w:r>
        <w:rPr>
          <w:color w:val="000000"/>
          <w:szCs w:val="20"/>
        </w:rPr>
        <w:t xml:space="preserve"> v ČR</w:t>
      </w:r>
      <w:r w:rsidRPr="002574E3">
        <w:rPr>
          <w:color w:val="000000"/>
          <w:szCs w:val="20"/>
        </w:rPr>
        <w:t xml:space="preserve"> dlouhodobě řadí spolu s mlék</w:t>
      </w:r>
      <w:r>
        <w:rPr>
          <w:color w:val="000000"/>
          <w:szCs w:val="20"/>
        </w:rPr>
        <w:t>em</w:t>
      </w:r>
      <w:r w:rsidRPr="002574E3">
        <w:rPr>
          <w:color w:val="000000"/>
          <w:szCs w:val="20"/>
        </w:rPr>
        <w:t xml:space="preserve"> k těm komoditám živočišné produkce, </w:t>
      </w:r>
      <w:r>
        <w:rPr>
          <w:color w:val="000000"/>
          <w:szCs w:val="20"/>
        </w:rPr>
        <w:t>kde</w:t>
      </w:r>
      <w:r w:rsidRPr="002574E3">
        <w:rPr>
          <w:color w:val="000000"/>
          <w:szCs w:val="20"/>
        </w:rPr>
        <w:t xml:space="preserve"> </w:t>
      </w:r>
      <w:r w:rsidRPr="002574E3">
        <w:rPr>
          <w:color w:val="000000"/>
          <w:szCs w:val="20"/>
        </w:rPr>
        <w:lastRenderedPageBreak/>
        <w:t>celkov</w:t>
      </w:r>
      <w:r>
        <w:rPr>
          <w:color w:val="000000"/>
          <w:szCs w:val="20"/>
        </w:rPr>
        <w:t>á produkce pře</w:t>
      </w:r>
      <w:r w:rsidRPr="002574E3">
        <w:rPr>
          <w:color w:val="000000"/>
          <w:szCs w:val="20"/>
        </w:rPr>
        <w:t>vyš</w:t>
      </w:r>
      <w:r>
        <w:rPr>
          <w:color w:val="000000"/>
          <w:szCs w:val="20"/>
        </w:rPr>
        <w:t>uje</w:t>
      </w:r>
      <w:r w:rsidRPr="002574E3">
        <w:rPr>
          <w:color w:val="000000"/>
          <w:szCs w:val="20"/>
        </w:rPr>
        <w:t xml:space="preserve"> domácí spotřeb</w:t>
      </w:r>
      <w:r>
        <w:rPr>
          <w:color w:val="000000"/>
          <w:szCs w:val="20"/>
        </w:rPr>
        <w:t>u a</w:t>
      </w:r>
      <w:r w:rsidRPr="002574E3">
        <w:rPr>
          <w:color w:val="000000"/>
          <w:szCs w:val="20"/>
        </w:rPr>
        <w:t xml:space="preserve"> míra soběstačnosti </w:t>
      </w:r>
      <w:r>
        <w:rPr>
          <w:color w:val="000000"/>
          <w:szCs w:val="20"/>
        </w:rPr>
        <w:t xml:space="preserve">se nachází nad </w:t>
      </w:r>
      <w:r w:rsidRPr="002574E3">
        <w:rPr>
          <w:color w:val="000000"/>
          <w:szCs w:val="20"/>
        </w:rPr>
        <w:t>hranic</w:t>
      </w:r>
      <w:r>
        <w:rPr>
          <w:color w:val="000000"/>
          <w:szCs w:val="20"/>
        </w:rPr>
        <w:t>í</w:t>
      </w:r>
      <w:r w:rsidRPr="002574E3">
        <w:rPr>
          <w:color w:val="000000"/>
          <w:szCs w:val="20"/>
        </w:rPr>
        <w:t xml:space="preserve"> 100 %</w:t>
      </w:r>
      <w:r>
        <w:rPr>
          <w:color w:val="000000"/>
          <w:szCs w:val="20"/>
        </w:rPr>
        <w:t>. Bilanční přebytek je nutno pro udržení rovnováhy na tuzemském trhu exportovat</w:t>
      </w:r>
      <w:r w:rsidRPr="002574E3">
        <w:rPr>
          <w:color w:val="000000"/>
          <w:szCs w:val="20"/>
        </w:rPr>
        <w:t>. V roce 201</w:t>
      </w:r>
      <w:r>
        <w:rPr>
          <w:color w:val="000000"/>
          <w:szCs w:val="20"/>
        </w:rPr>
        <w:t>4</w:t>
      </w:r>
      <w:r w:rsidRPr="002574E3">
        <w:rPr>
          <w:color w:val="000000"/>
          <w:szCs w:val="20"/>
        </w:rPr>
        <w:t xml:space="preserve"> se míra soběstačnosti v tomto odvětví</w:t>
      </w:r>
      <w:r>
        <w:rPr>
          <w:color w:val="000000"/>
          <w:szCs w:val="20"/>
        </w:rPr>
        <w:t xml:space="preserve"> masa</w:t>
      </w:r>
      <w:r w:rsidRPr="002574E3">
        <w:rPr>
          <w:color w:val="000000"/>
          <w:szCs w:val="20"/>
        </w:rPr>
        <w:t xml:space="preserve"> meziročně </w:t>
      </w:r>
      <w:r>
        <w:rPr>
          <w:color w:val="000000"/>
          <w:szCs w:val="20"/>
        </w:rPr>
        <w:t>nepatrně snížila</w:t>
      </w:r>
      <w:r w:rsidRPr="002574E3">
        <w:rPr>
          <w:color w:val="000000"/>
          <w:szCs w:val="20"/>
        </w:rPr>
        <w:t xml:space="preserve"> o </w:t>
      </w:r>
      <w:r>
        <w:rPr>
          <w:color w:val="000000"/>
          <w:szCs w:val="20"/>
        </w:rPr>
        <w:t>5,5</w:t>
      </w:r>
      <w:r w:rsidRPr="002574E3">
        <w:rPr>
          <w:color w:val="000000"/>
          <w:szCs w:val="20"/>
        </w:rPr>
        <w:t xml:space="preserve"> p. b. </w:t>
      </w:r>
      <w:r>
        <w:rPr>
          <w:color w:val="000000"/>
          <w:szCs w:val="20"/>
        </w:rPr>
        <w:t xml:space="preserve">na </w:t>
      </w:r>
      <w:r w:rsidRPr="002574E3">
        <w:rPr>
          <w:color w:val="000000"/>
          <w:szCs w:val="20"/>
        </w:rPr>
        <w:t>140,</w:t>
      </w:r>
      <w:r>
        <w:rPr>
          <w:color w:val="000000"/>
          <w:szCs w:val="20"/>
        </w:rPr>
        <w:t>9</w:t>
      </w:r>
      <w:r w:rsidRPr="002574E3">
        <w:rPr>
          <w:color w:val="000000"/>
          <w:szCs w:val="20"/>
        </w:rPr>
        <w:t xml:space="preserve"> %. Hlavním důvodem byl fakt, že spotřeba </w:t>
      </w:r>
      <w:r>
        <w:rPr>
          <w:color w:val="000000"/>
          <w:szCs w:val="20"/>
        </w:rPr>
        <w:t>rostla rychleji než</w:t>
      </w:r>
      <w:r w:rsidRPr="002574E3">
        <w:rPr>
          <w:color w:val="000000"/>
          <w:szCs w:val="20"/>
        </w:rPr>
        <w:t xml:space="preserve"> produkce.</w:t>
      </w:r>
    </w:p>
    <w:p w:rsidR="00567C4A" w:rsidRPr="002E47CA" w:rsidRDefault="00567C4A" w:rsidP="000B7BEE">
      <w:pPr>
        <w:pStyle w:val="mezera"/>
      </w:pPr>
    </w:p>
    <w:p w:rsidR="00567C4A" w:rsidRDefault="00AE6317" w:rsidP="000B7BEE">
      <w:pPr>
        <w:pStyle w:val="mezera"/>
      </w:pPr>
      <w:r w:rsidRPr="00AE6317">
        <w:rPr>
          <w:noProof/>
          <w:lang w:eastAsia="cs-CZ"/>
        </w:rPr>
        <w:drawing>
          <wp:inline distT="0" distB="0" distL="0" distR="0" wp14:anchorId="4C483DA0" wp14:editId="0A70F673">
            <wp:extent cx="5760720" cy="5457060"/>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720" cy="5457060"/>
                    </a:xfrm>
                    <a:prstGeom prst="rect">
                      <a:avLst/>
                    </a:prstGeom>
                    <a:noFill/>
                    <a:ln>
                      <a:noFill/>
                    </a:ln>
                  </pic:spPr>
                </pic:pic>
              </a:graphicData>
            </a:graphic>
          </wp:inline>
        </w:drawing>
      </w:r>
    </w:p>
    <w:p w:rsidR="00AE6317" w:rsidRPr="002E47CA" w:rsidRDefault="00AE6317" w:rsidP="000B7BEE">
      <w:pPr>
        <w:pStyle w:val="mezera"/>
      </w:pPr>
    </w:p>
    <w:p w:rsidR="00567C4A" w:rsidRPr="002574E3" w:rsidRDefault="00567C4A" w:rsidP="000B7BEE">
      <w:pPr>
        <w:rPr>
          <w:szCs w:val="20"/>
        </w:rPr>
      </w:pPr>
      <w:r>
        <w:rPr>
          <w:szCs w:val="20"/>
        </w:rPr>
        <w:t>V zahraničním obchodě pokračoval v roce 2014 obdobný vývoj jako v předchozích letech. S</w:t>
      </w:r>
      <w:r w:rsidRPr="002574E3">
        <w:rPr>
          <w:szCs w:val="20"/>
        </w:rPr>
        <w:t xml:space="preserve">aldo zahraničního obchodu s živým skotem </w:t>
      </w:r>
      <w:r>
        <w:rPr>
          <w:szCs w:val="20"/>
        </w:rPr>
        <w:t>po započtení</w:t>
      </w:r>
      <w:r w:rsidRPr="002574E3">
        <w:rPr>
          <w:szCs w:val="20"/>
        </w:rPr>
        <w:t xml:space="preserve"> hovězího masa bylo opět aktivní</w:t>
      </w:r>
      <w:r>
        <w:rPr>
          <w:szCs w:val="20"/>
        </w:rPr>
        <w:t>. V</w:t>
      </w:r>
      <w:r w:rsidRPr="002574E3">
        <w:rPr>
          <w:szCs w:val="20"/>
        </w:rPr>
        <w:t>e srovnání s rokem 201</w:t>
      </w:r>
      <w:r>
        <w:rPr>
          <w:szCs w:val="20"/>
        </w:rPr>
        <w:t>3</w:t>
      </w:r>
      <w:r w:rsidRPr="002574E3">
        <w:rPr>
          <w:szCs w:val="20"/>
        </w:rPr>
        <w:t xml:space="preserve"> se</w:t>
      </w:r>
      <w:r>
        <w:rPr>
          <w:szCs w:val="20"/>
        </w:rPr>
        <w:t xml:space="preserve"> v objemovém vyjádření</w:t>
      </w:r>
      <w:r w:rsidRPr="002507D8">
        <w:rPr>
          <w:szCs w:val="20"/>
        </w:rPr>
        <w:t xml:space="preserve"> </w:t>
      </w:r>
      <w:r w:rsidRPr="002574E3">
        <w:rPr>
          <w:szCs w:val="20"/>
        </w:rPr>
        <w:t>mírně zhoršilo</w:t>
      </w:r>
      <w:r>
        <w:rPr>
          <w:szCs w:val="20"/>
        </w:rPr>
        <w:t xml:space="preserve"> </w:t>
      </w:r>
      <w:r w:rsidRPr="002574E3">
        <w:rPr>
          <w:szCs w:val="20"/>
        </w:rPr>
        <w:t>o 0,</w:t>
      </w:r>
      <w:r>
        <w:rPr>
          <w:szCs w:val="20"/>
        </w:rPr>
        <w:t>6</w:t>
      </w:r>
      <w:r w:rsidRPr="002574E3">
        <w:rPr>
          <w:szCs w:val="20"/>
        </w:rPr>
        <w:t> tis. t a dosáhlo 24,</w:t>
      </w:r>
      <w:r>
        <w:rPr>
          <w:szCs w:val="20"/>
        </w:rPr>
        <w:t>5</w:t>
      </w:r>
      <w:r w:rsidRPr="002574E3">
        <w:rPr>
          <w:szCs w:val="20"/>
        </w:rPr>
        <w:t> tis. j. hm. (tj. 45,</w:t>
      </w:r>
      <w:r>
        <w:rPr>
          <w:szCs w:val="20"/>
        </w:rPr>
        <w:t>3</w:t>
      </w:r>
      <w:r w:rsidRPr="002574E3">
        <w:rPr>
          <w:szCs w:val="20"/>
        </w:rPr>
        <w:t> tis. t ž. hm.)</w:t>
      </w:r>
      <w:r>
        <w:rPr>
          <w:szCs w:val="20"/>
        </w:rPr>
        <w:t>, zatímco v</w:t>
      </w:r>
      <w:r w:rsidRPr="002574E3">
        <w:rPr>
          <w:szCs w:val="20"/>
        </w:rPr>
        <w:t xml:space="preserve">e finančním vyjádření zaznamenalo mírné </w:t>
      </w:r>
      <w:r>
        <w:rPr>
          <w:szCs w:val="20"/>
        </w:rPr>
        <w:t>zlepšení</w:t>
      </w:r>
      <w:r w:rsidRPr="002574E3">
        <w:rPr>
          <w:szCs w:val="20"/>
        </w:rPr>
        <w:t xml:space="preserve"> o </w:t>
      </w:r>
      <w:r>
        <w:rPr>
          <w:szCs w:val="20"/>
        </w:rPr>
        <w:t>90,9</w:t>
      </w:r>
      <w:r w:rsidRPr="002574E3">
        <w:rPr>
          <w:szCs w:val="20"/>
        </w:rPr>
        <w:t> mil.</w:t>
      </w:r>
      <w:r>
        <w:rPr>
          <w:szCs w:val="20"/>
        </w:rPr>
        <w:t> </w:t>
      </w:r>
      <w:r w:rsidRPr="002574E3">
        <w:rPr>
          <w:szCs w:val="20"/>
        </w:rPr>
        <w:t>Kč na 2 </w:t>
      </w:r>
      <w:r>
        <w:rPr>
          <w:szCs w:val="20"/>
        </w:rPr>
        <w:t>242</w:t>
      </w:r>
      <w:r w:rsidRPr="002574E3">
        <w:rPr>
          <w:szCs w:val="20"/>
        </w:rPr>
        <w:t> mil</w:t>
      </w:r>
      <w:r>
        <w:rPr>
          <w:szCs w:val="20"/>
        </w:rPr>
        <w:t>.</w:t>
      </w:r>
      <w:r w:rsidRPr="002574E3">
        <w:rPr>
          <w:szCs w:val="20"/>
        </w:rPr>
        <w:t> Kč. ČR zvýšila meziročně dovoz jatečného skotu včetně hovězího masa o </w:t>
      </w:r>
      <w:r>
        <w:rPr>
          <w:szCs w:val="20"/>
        </w:rPr>
        <w:t>1,1 tis. t j. hm.</w:t>
      </w:r>
      <w:r w:rsidRPr="002574E3">
        <w:rPr>
          <w:szCs w:val="20"/>
        </w:rPr>
        <w:t xml:space="preserve"> Podíl dovozu na domácí spotřebě se </w:t>
      </w:r>
      <w:r>
        <w:rPr>
          <w:szCs w:val="20"/>
        </w:rPr>
        <w:t xml:space="preserve">nepatrně </w:t>
      </w:r>
      <w:r w:rsidRPr="002574E3">
        <w:rPr>
          <w:szCs w:val="20"/>
        </w:rPr>
        <w:t>zvýšil z</w:t>
      </w:r>
      <w:r>
        <w:rPr>
          <w:szCs w:val="20"/>
        </w:rPr>
        <w:t> 36,3</w:t>
      </w:r>
      <w:r w:rsidRPr="002574E3">
        <w:rPr>
          <w:szCs w:val="20"/>
        </w:rPr>
        <w:t> % v roce 201</w:t>
      </w:r>
      <w:r>
        <w:rPr>
          <w:szCs w:val="20"/>
        </w:rPr>
        <w:t>3</w:t>
      </w:r>
      <w:r w:rsidRPr="002574E3">
        <w:rPr>
          <w:szCs w:val="20"/>
        </w:rPr>
        <w:t xml:space="preserve"> na 3</w:t>
      </w:r>
      <w:r>
        <w:rPr>
          <w:szCs w:val="20"/>
        </w:rPr>
        <w:t>6,7 %</w:t>
      </w:r>
      <w:r w:rsidRPr="002574E3">
        <w:rPr>
          <w:szCs w:val="20"/>
        </w:rPr>
        <w:t xml:space="preserve"> v roce 201</w:t>
      </w:r>
      <w:r>
        <w:rPr>
          <w:szCs w:val="20"/>
        </w:rPr>
        <w:t>4, neboť import rostl o něco rychleji než spotřeba</w:t>
      </w:r>
      <w:r w:rsidRPr="002574E3">
        <w:rPr>
          <w:szCs w:val="20"/>
        </w:rPr>
        <w:t xml:space="preserve">. </w:t>
      </w:r>
      <w:r>
        <w:rPr>
          <w:szCs w:val="20"/>
        </w:rPr>
        <w:t>Do ČR se tradičně dováželo</w:t>
      </w:r>
      <w:r w:rsidRPr="002574E3">
        <w:rPr>
          <w:szCs w:val="20"/>
        </w:rPr>
        <w:t xml:space="preserve"> z</w:t>
      </w:r>
      <w:r>
        <w:rPr>
          <w:szCs w:val="20"/>
        </w:rPr>
        <w:t> 97,0</w:t>
      </w:r>
      <w:r w:rsidRPr="002574E3">
        <w:rPr>
          <w:szCs w:val="20"/>
        </w:rPr>
        <w:t xml:space="preserve"> % hovězí maso převážně chlazené, které pocházelo </w:t>
      </w:r>
      <w:r>
        <w:rPr>
          <w:szCs w:val="20"/>
        </w:rPr>
        <w:t xml:space="preserve">především </w:t>
      </w:r>
      <w:r w:rsidRPr="002574E3">
        <w:rPr>
          <w:szCs w:val="20"/>
        </w:rPr>
        <w:t>z ostatních členských zemí. Téměř 8</w:t>
      </w:r>
      <w:r>
        <w:rPr>
          <w:szCs w:val="20"/>
        </w:rPr>
        <w:t>1</w:t>
      </w:r>
      <w:r w:rsidRPr="002574E3">
        <w:rPr>
          <w:szCs w:val="20"/>
        </w:rPr>
        <w:t xml:space="preserve"> % </w:t>
      </w:r>
      <w:r>
        <w:rPr>
          <w:szCs w:val="20"/>
        </w:rPr>
        <w:t xml:space="preserve">bylo nakoupeno, obdobně jako v roce </w:t>
      </w:r>
      <w:r>
        <w:rPr>
          <w:szCs w:val="20"/>
        </w:rPr>
        <w:lastRenderedPageBreak/>
        <w:t xml:space="preserve">2013, hlavně </w:t>
      </w:r>
      <w:r w:rsidRPr="002574E3">
        <w:rPr>
          <w:szCs w:val="20"/>
        </w:rPr>
        <w:t>v Polsku (8,</w:t>
      </w:r>
      <w:r>
        <w:rPr>
          <w:szCs w:val="20"/>
        </w:rPr>
        <w:t>1</w:t>
      </w:r>
      <w:r w:rsidRPr="002574E3">
        <w:rPr>
          <w:szCs w:val="20"/>
        </w:rPr>
        <w:t> tis. t), Nizozemsku (</w:t>
      </w:r>
      <w:r>
        <w:rPr>
          <w:szCs w:val="20"/>
        </w:rPr>
        <w:t>3,7</w:t>
      </w:r>
      <w:r w:rsidRPr="002574E3">
        <w:rPr>
          <w:szCs w:val="20"/>
        </w:rPr>
        <w:t> tis. t), Německu (2,</w:t>
      </w:r>
      <w:r>
        <w:rPr>
          <w:szCs w:val="20"/>
        </w:rPr>
        <w:t>7</w:t>
      </w:r>
      <w:r w:rsidRPr="002574E3">
        <w:rPr>
          <w:szCs w:val="20"/>
        </w:rPr>
        <w:t> tis. t), Rakousku (2,</w:t>
      </w:r>
      <w:r>
        <w:rPr>
          <w:szCs w:val="20"/>
        </w:rPr>
        <w:t>2</w:t>
      </w:r>
      <w:r w:rsidRPr="002574E3">
        <w:rPr>
          <w:szCs w:val="20"/>
        </w:rPr>
        <w:t> tis. t) a Irsku (</w:t>
      </w:r>
      <w:r>
        <w:rPr>
          <w:szCs w:val="20"/>
        </w:rPr>
        <w:t>2,2</w:t>
      </w:r>
      <w:r w:rsidRPr="002574E3">
        <w:rPr>
          <w:szCs w:val="20"/>
        </w:rPr>
        <w:t xml:space="preserve"> tis. t). Dovozy ze </w:t>
      </w:r>
      <w:r>
        <w:rPr>
          <w:szCs w:val="20"/>
        </w:rPr>
        <w:t>třetích zemí</w:t>
      </w:r>
      <w:r w:rsidRPr="002574E3">
        <w:rPr>
          <w:szCs w:val="20"/>
        </w:rPr>
        <w:t xml:space="preserve"> </w:t>
      </w:r>
      <w:r>
        <w:rPr>
          <w:szCs w:val="20"/>
        </w:rPr>
        <w:t>nebyly</w:t>
      </w:r>
      <w:r w:rsidRPr="002574E3">
        <w:rPr>
          <w:szCs w:val="20"/>
        </w:rPr>
        <w:t xml:space="preserve"> pro ČR</w:t>
      </w:r>
      <w:r>
        <w:rPr>
          <w:szCs w:val="20"/>
        </w:rPr>
        <w:t xml:space="preserve"> opět </w:t>
      </w:r>
      <w:r w:rsidRPr="002574E3">
        <w:rPr>
          <w:szCs w:val="20"/>
        </w:rPr>
        <w:t>nijak významné</w:t>
      </w:r>
      <w:r>
        <w:rPr>
          <w:szCs w:val="20"/>
        </w:rPr>
        <w:t>, neboť dosáhly 7,2 % (1,7 tis. t), avšak několik let po sobě se mírně zvyšují. V roce 2014 pocházely především z Namibie, méně z USA a Austrálie. Počet d</w:t>
      </w:r>
      <w:r w:rsidRPr="002574E3">
        <w:rPr>
          <w:szCs w:val="20"/>
        </w:rPr>
        <w:t>ovoz</w:t>
      </w:r>
      <w:r>
        <w:rPr>
          <w:szCs w:val="20"/>
        </w:rPr>
        <w:t>eného</w:t>
      </w:r>
      <w:r w:rsidRPr="002574E3">
        <w:rPr>
          <w:szCs w:val="20"/>
        </w:rPr>
        <w:t xml:space="preserve"> živého skotu do ČR se v roce 201</w:t>
      </w:r>
      <w:r>
        <w:rPr>
          <w:szCs w:val="20"/>
        </w:rPr>
        <w:t>4</w:t>
      </w:r>
      <w:r w:rsidRPr="002574E3">
        <w:rPr>
          <w:szCs w:val="20"/>
        </w:rPr>
        <w:t xml:space="preserve"> meziročně </w:t>
      </w:r>
      <w:r>
        <w:rPr>
          <w:szCs w:val="20"/>
        </w:rPr>
        <w:t>snížil o 12,1</w:t>
      </w:r>
      <w:r w:rsidRPr="002574E3">
        <w:rPr>
          <w:szCs w:val="20"/>
        </w:rPr>
        <w:t> % (tj. o </w:t>
      </w:r>
      <w:r>
        <w:rPr>
          <w:szCs w:val="20"/>
        </w:rPr>
        <w:t>0,3</w:t>
      </w:r>
      <w:r w:rsidRPr="002574E3">
        <w:rPr>
          <w:szCs w:val="20"/>
        </w:rPr>
        <w:t xml:space="preserve"> tis. ks) a byl realizován </w:t>
      </w:r>
      <w:r>
        <w:rPr>
          <w:szCs w:val="20"/>
        </w:rPr>
        <w:t xml:space="preserve">v převážně </w:t>
      </w:r>
      <w:r w:rsidRPr="002574E3">
        <w:rPr>
          <w:szCs w:val="20"/>
        </w:rPr>
        <w:t>v</w:t>
      </w:r>
      <w:r>
        <w:rPr>
          <w:szCs w:val="20"/>
        </w:rPr>
        <w:t xml:space="preserve"> jatečných </w:t>
      </w:r>
      <w:r w:rsidRPr="002574E3">
        <w:rPr>
          <w:szCs w:val="20"/>
        </w:rPr>
        <w:t>zvířatech. Největší počet pocházel z</w:t>
      </w:r>
      <w:r>
        <w:rPr>
          <w:szCs w:val="20"/>
        </w:rPr>
        <w:t>e</w:t>
      </w:r>
      <w:r w:rsidRPr="002574E3">
        <w:rPr>
          <w:szCs w:val="20"/>
        </w:rPr>
        <w:t> </w:t>
      </w:r>
      <w:r>
        <w:rPr>
          <w:szCs w:val="20"/>
        </w:rPr>
        <w:t>Slovenska</w:t>
      </w:r>
      <w:r w:rsidRPr="002574E3">
        <w:rPr>
          <w:szCs w:val="20"/>
        </w:rPr>
        <w:t xml:space="preserve"> (</w:t>
      </w:r>
      <w:r>
        <w:rPr>
          <w:szCs w:val="20"/>
        </w:rPr>
        <w:t>80,1</w:t>
      </w:r>
      <w:r w:rsidRPr="002574E3">
        <w:rPr>
          <w:szCs w:val="20"/>
        </w:rPr>
        <w:t> %)</w:t>
      </w:r>
      <w:r>
        <w:rPr>
          <w:szCs w:val="20"/>
        </w:rPr>
        <w:t>.</w:t>
      </w:r>
    </w:p>
    <w:p w:rsidR="00567C4A" w:rsidRPr="002574E3" w:rsidRDefault="00567C4A" w:rsidP="000B7BEE">
      <w:pPr>
        <w:rPr>
          <w:szCs w:val="20"/>
        </w:rPr>
      </w:pPr>
      <w:r w:rsidRPr="002574E3">
        <w:rPr>
          <w:szCs w:val="20"/>
        </w:rPr>
        <w:t>V roce 201</w:t>
      </w:r>
      <w:r>
        <w:rPr>
          <w:szCs w:val="20"/>
        </w:rPr>
        <w:t>4</w:t>
      </w:r>
      <w:r w:rsidRPr="002574E3">
        <w:rPr>
          <w:szCs w:val="20"/>
        </w:rPr>
        <w:t xml:space="preserve"> došlo k</w:t>
      </w:r>
      <w:r>
        <w:rPr>
          <w:szCs w:val="20"/>
        </w:rPr>
        <w:t xml:space="preserve"> slabému </w:t>
      </w:r>
      <w:r w:rsidRPr="002574E3">
        <w:rPr>
          <w:szCs w:val="20"/>
        </w:rPr>
        <w:t>meziročnímu nárůstu celkového exportu (živý skot včetně hovězího masa) o </w:t>
      </w:r>
      <w:r>
        <w:rPr>
          <w:szCs w:val="20"/>
        </w:rPr>
        <w:t>0,4</w:t>
      </w:r>
      <w:r w:rsidRPr="002574E3">
        <w:rPr>
          <w:szCs w:val="20"/>
        </w:rPr>
        <w:t xml:space="preserve"> tis. t v přepočtu na j. hm. V hodnotovém vyjádření </w:t>
      </w:r>
      <w:r>
        <w:rPr>
          <w:szCs w:val="20"/>
        </w:rPr>
        <w:t>se</w:t>
      </w:r>
      <w:r w:rsidRPr="002574E3">
        <w:rPr>
          <w:szCs w:val="20"/>
        </w:rPr>
        <w:t xml:space="preserve"> příjm</w:t>
      </w:r>
      <w:r>
        <w:rPr>
          <w:szCs w:val="20"/>
        </w:rPr>
        <w:t>y</w:t>
      </w:r>
      <w:r w:rsidRPr="002574E3">
        <w:rPr>
          <w:szCs w:val="20"/>
        </w:rPr>
        <w:t xml:space="preserve"> z</w:t>
      </w:r>
      <w:r>
        <w:rPr>
          <w:szCs w:val="20"/>
        </w:rPr>
        <w:t> exportu meziročně zvýšily o 3,6 %, tj. </w:t>
      </w:r>
      <w:r w:rsidRPr="002574E3">
        <w:rPr>
          <w:szCs w:val="20"/>
        </w:rPr>
        <w:t>o </w:t>
      </w:r>
      <w:r>
        <w:rPr>
          <w:szCs w:val="20"/>
        </w:rPr>
        <w:t>0,2</w:t>
      </w:r>
      <w:r w:rsidRPr="002574E3">
        <w:rPr>
          <w:szCs w:val="20"/>
        </w:rPr>
        <w:t> m</w:t>
      </w:r>
      <w:r>
        <w:rPr>
          <w:szCs w:val="20"/>
        </w:rPr>
        <w:t>ld. </w:t>
      </w:r>
      <w:r w:rsidRPr="002574E3">
        <w:rPr>
          <w:szCs w:val="20"/>
        </w:rPr>
        <w:t>Kč</w:t>
      </w:r>
      <w:r>
        <w:rPr>
          <w:szCs w:val="20"/>
        </w:rPr>
        <w:t xml:space="preserve"> a dosáhly 4,9 mld. Kč</w:t>
      </w:r>
      <w:r w:rsidRPr="002574E3">
        <w:rPr>
          <w:szCs w:val="20"/>
        </w:rPr>
        <w:t xml:space="preserve">. Tradičně převažoval vývoz živých zvířat, jehož podíl z celkového </w:t>
      </w:r>
      <w:r>
        <w:rPr>
          <w:szCs w:val="20"/>
        </w:rPr>
        <w:t>vývozu</w:t>
      </w:r>
      <w:r w:rsidRPr="002574E3">
        <w:rPr>
          <w:szCs w:val="20"/>
        </w:rPr>
        <w:t xml:space="preserve"> dosahoval téměř </w:t>
      </w:r>
      <w:r>
        <w:rPr>
          <w:szCs w:val="20"/>
        </w:rPr>
        <w:t>85</w:t>
      </w:r>
      <w:r w:rsidRPr="002574E3">
        <w:rPr>
          <w:szCs w:val="20"/>
        </w:rPr>
        <w:t> %. V</w:t>
      </w:r>
      <w:r>
        <w:rPr>
          <w:szCs w:val="20"/>
        </w:rPr>
        <w:t> roce 2014 exportovala ČR celkem 216 tis. ks živého skotu, což představovalo proti předchozímu roku nárůst o 7,6</w:t>
      </w:r>
      <w:r w:rsidRPr="002574E3">
        <w:rPr>
          <w:szCs w:val="20"/>
        </w:rPr>
        <w:t> %, tj. o </w:t>
      </w:r>
      <w:r>
        <w:rPr>
          <w:szCs w:val="20"/>
        </w:rPr>
        <w:t>15</w:t>
      </w:r>
      <w:r w:rsidRPr="002574E3">
        <w:rPr>
          <w:szCs w:val="20"/>
        </w:rPr>
        <w:t>,2 tis. ks</w:t>
      </w:r>
      <w:r>
        <w:rPr>
          <w:szCs w:val="20"/>
        </w:rPr>
        <w:t>.</w:t>
      </w:r>
      <w:r w:rsidRPr="002574E3">
        <w:rPr>
          <w:szCs w:val="20"/>
        </w:rPr>
        <w:t xml:space="preserve"> Trvalá poptávka po všech kategoriích </w:t>
      </w:r>
      <w:r>
        <w:rPr>
          <w:szCs w:val="20"/>
        </w:rPr>
        <w:t>zvířat</w:t>
      </w:r>
      <w:r w:rsidRPr="002574E3">
        <w:rPr>
          <w:szCs w:val="20"/>
        </w:rPr>
        <w:t xml:space="preserve"> v ostatních členských zemí</w:t>
      </w:r>
      <w:r>
        <w:rPr>
          <w:szCs w:val="20"/>
        </w:rPr>
        <w:t>ch</w:t>
      </w:r>
      <w:r w:rsidRPr="002574E3">
        <w:rPr>
          <w:szCs w:val="20"/>
        </w:rPr>
        <w:t xml:space="preserve"> a jejich vyšší cena ve srovnání s domácím trhem je hlavním důvodem </w:t>
      </w:r>
      <w:r>
        <w:rPr>
          <w:szCs w:val="20"/>
        </w:rPr>
        <w:t>rostoucího</w:t>
      </w:r>
      <w:r w:rsidRPr="002574E3">
        <w:rPr>
          <w:szCs w:val="20"/>
        </w:rPr>
        <w:t xml:space="preserve"> počtu exportovaného skotu z ČR. V roce 201</w:t>
      </w:r>
      <w:r>
        <w:rPr>
          <w:szCs w:val="20"/>
        </w:rPr>
        <w:t>4</w:t>
      </w:r>
      <w:r w:rsidRPr="002574E3">
        <w:rPr>
          <w:szCs w:val="20"/>
        </w:rPr>
        <w:t xml:space="preserve"> byl vyvážen především jatečný skot (87</w:t>
      </w:r>
      <w:r>
        <w:rPr>
          <w:szCs w:val="20"/>
        </w:rPr>
        <w:t>,4</w:t>
      </w:r>
      <w:r w:rsidRPr="002574E3">
        <w:rPr>
          <w:szCs w:val="20"/>
        </w:rPr>
        <w:t xml:space="preserve"> tis. ks) </w:t>
      </w:r>
      <w:r>
        <w:rPr>
          <w:szCs w:val="20"/>
        </w:rPr>
        <w:t xml:space="preserve">a dále </w:t>
      </w:r>
      <w:r w:rsidRPr="002574E3">
        <w:rPr>
          <w:szCs w:val="20"/>
        </w:rPr>
        <w:t>telata (</w:t>
      </w:r>
      <w:r>
        <w:rPr>
          <w:szCs w:val="20"/>
        </w:rPr>
        <w:t>6</w:t>
      </w:r>
      <w:r w:rsidRPr="002574E3">
        <w:rPr>
          <w:szCs w:val="20"/>
        </w:rPr>
        <w:t>5,1 tis. ks)</w:t>
      </w:r>
      <w:r>
        <w:rPr>
          <w:szCs w:val="20"/>
        </w:rPr>
        <w:t>,</w:t>
      </w:r>
      <w:r w:rsidRPr="002574E3">
        <w:rPr>
          <w:szCs w:val="20"/>
        </w:rPr>
        <w:t xml:space="preserve"> zástavový a užitkový skot (</w:t>
      </w:r>
      <w:r>
        <w:rPr>
          <w:szCs w:val="20"/>
        </w:rPr>
        <w:t>47,8</w:t>
      </w:r>
      <w:r w:rsidRPr="002574E3">
        <w:rPr>
          <w:szCs w:val="20"/>
        </w:rPr>
        <w:t> tis. ks). Nejvýznamnějšími odběrateli byly především členské státy EU s</w:t>
      </w:r>
      <w:r w:rsidR="00142315">
        <w:rPr>
          <w:szCs w:val="20"/>
        </w:rPr>
        <w:t xml:space="preserve">e </w:t>
      </w:r>
      <w:r>
        <w:rPr>
          <w:szCs w:val="20"/>
        </w:rPr>
        <w:t>73</w:t>
      </w:r>
      <w:r w:rsidRPr="002574E3">
        <w:rPr>
          <w:szCs w:val="20"/>
        </w:rPr>
        <w:t xml:space="preserve">% podílem na celkovém vývozu skotu. Tradičně směřoval </w:t>
      </w:r>
      <w:r>
        <w:rPr>
          <w:szCs w:val="20"/>
        </w:rPr>
        <w:t>export</w:t>
      </w:r>
      <w:r w:rsidRPr="002574E3">
        <w:rPr>
          <w:szCs w:val="20"/>
        </w:rPr>
        <w:t xml:space="preserve"> především do Rakouska, Německa, Nizozemska, </w:t>
      </w:r>
      <w:r>
        <w:rPr>
          <w:szCs w:val="20"/>
        </w:rPr>
        <w:t xml:space="preserve">Chorvatska a </w:t>
      </w:r>
      <w:r w:rsidRPr="002574E3">
        <w:rPr>
          <w:szCs w:val="20"/>
        </w:rPr>
        <w:t>Belgie, z nečlenských zemí bylo významným obchodním partnerem Turecko, Libanon</w:t>
      </w:r>
      <w:r>
        <w:rPr>
          <w:szCs w:val="20"/>
        </w:rPr>
        <w:t>,</w:t>
      </w:r>
      <w:r w:rsidRPr="002574E3">
        <w:rPr>
          <w:szCs w:val="20"/>
        </w:rPr>
        <w:t xml:space="preserve"> </w:t>
      </w:r>
      <w:r>
        <w:rPr>
          <w:szCs w:val="20"/>
        </w:rPr>
        <w:t>Bosna a Hercegovina</w:t>
      </w:r>
      <w:r w:rsidRPr="002574E3">
        <w:rPr>
          <w:szCs w:val="20"/>
        </w:rPr>
        <w:t xml:space="preserve"> s</w:t>
      </w:r>
      <w:r>
        <w:rPr>
          <w:szCs w:val="20"/>
        </w:rPr>
        <w:t> </w:t>
      </w:r>
      <w:r w:rsidRPr="002574E3">
        <w:rPr>
          <w:szCs w:val="20"/>
        </w:rPr>
        <w:t>podílem</w:t>
      </w:r>
      <w:r w:rsidRPr="00586EEB">
        <w:rPr>
          <w:szCs w:val="20"/>
        </w:rPr>
        <w:t>3,6</w:t>
      </w:r>
      <w:r>
        <w:rPr>
          <w:szCs w:val="20"/>
        </w:rPr>
        <w:t>%</w:t>
      </w:r>
      <w:r w:rsidRPr="002574E3">
        <w:rPr>
          <w:szCs w:val="20"/>
        </w:rPr>
        <w:t xml:space="preserve">. </w:t>
      </w:r>
      <w:r>
        <w:rPr>
          <w:szCs w:val="20"/>
        </w:rPr>
        <w:t>Hovězí maso, jehož export se v roce 2014 meziročně snížil o 5,9 % na 7,8</w:t>
      </w:r>
      <w:r w:rsidRPr="002574E3">
        <w:rPr>
          <w:szCs w:val="20"/>
        </w:rPr>
        <w:t xml:space="preserve"> tis. t j. hm., </w:t>
      </w:r>
      <w:r>
        <w:rPr>
          <w:szCs w:val="20"/>
        </w:rPr>
        <w:t>směřovalo ze</w:t>
      </w:r>
      <w:r w:rsidRPr="002574E3">
        <w:rPr>
          <w:szCs w:val="20"/>
        </w:rPr>
        <w:t xml:space="preserve"> 7</w:t>
      </w:r>
      <w:r>
        <w:rPr>
          <w:szCs w:val="20"/>
        </w:rPr>
        <w:t>0</w:t>
      </w:r>
      <w:r w:rsidRPr="002574E3">
        <w:rPr>
          <w:szCs w:val="20"/>
        </w:rPr>
        <w:t xml:space="preserve"> % </w:t>
      </w:r>
      <w:r>
        <w:rPr>
          <w:szCs w:val="20"/>
        </w:rPr>
        <w:t xml:space="preserve">do třech zemí (na </w:t>
      </w:r>
      <w:r w:rsidRPr="002574E3">
        <w:rPr>
          <w:szCs w:val="20"/>
        </w:rPr>
        <w:t xml:space="preserve">Slovensko, </w:t>
      </w:r>
      <w:r>
        <w:rPr>
          <w:szCs w:val="20"/>
        </w:rPr>
        <w:t>do Nizozemska a </w:t>
      </w:r>
      <w:r w:rsidRPr="002574E3">
        <w:rPr>
          <w:szCs w:val="20"/>
        </w:rPr>
        <w:t>Německ</w:t>
      </w:r>
      <w:r>
        <w:rPr>
          <w:szCs w:val="20"/>
        </w:rPr>
        <w:t>a)</w:t>
      </w:r>
      <w:r w:rsidRPr="002574E3">
        <w:rPr>
          <w:szCs w:val="20"/>
        </w:rPr>
        <w:t xml:space="preserve">. Podíl vývozu živého skotu včetně hovězího </w:t>
      </w:r>
      <w:r>
        <w:rPr>
          <w:szCs w:val="20"/>
        </w:rPr>
        <w:t xml:space="preserve">a </w:t>
      </w:r>
      <w:r w:rsidRPr="002574E3">
        <w:rPr>
          <w:szCs w:val="20"/>
        </w:rPr>
        <w:t>telecího masa na domácí produkci v roce 201</w:t>
      </w:r>
      <w:r>
        <w:rPr>
          <w:szCs w:val="20"/>
        </w:rPr>
        <w:t>4</w:t>
      </w:r>
      <w:r w:rsidRPr="002574E3">
        <w:rPr>
          <w:szCs w:val="20"/>
        </w:rPr>
        <w:t xml:space="preserve"> meziročně </w:t>
      </w:r>
      <w:r>
        <w:rPr>
          <w:szCs w:val="20"/>
        </w:rPr>
        <w:t>klesl</w:t>
      </w:r>
      <w:r w:rsidRPr="002574E3">
        <w:rPr>
          <w:szCs w:val="20"/>
        </w:rPr>
        <w:t xml:space="preserve"> o </w:t>
      </w:r>
      <w:r>
        <w:rPr>
          <w:szCs w:val="20"/>
        </w:rPr>
        <w:t>1,4</w:t>
      </w:r>
      <w:r w:rsidRPr="002574E3">
        <w:rPr>
          <w:szCs w:val="20"/>
        </w:rPr>
        <w:t xml:space="preserve"> p. b. na 5</w:t>
      </w:r>
      <w:r>
        <w:rPr>
          <w:szCs w:val="20"/>
        </w:rPr>
        <w:t>5,0</w:t>
      </w:r>
      <w:r w:rsidRPr="002574E3">
        <w:rPr>
          <w:szCs w:val="20"/>
        </w:rPr>
        <w:t> %.</w:t>
      </w:r>
    </w:p>
    <w:p w:rsidR="00567C4A" w:rsidRDefault="00567C4A" w:rsidP="000B7BEE">
      <w:pPr>
        <w:rPr>
          <w:color w:val="000000"/>
        </w:rPr>
      </w:pPr>
      <w:r w:rsidRPr="002574E3">
        <w:rPr>
          <w:color w:val="000000"/>
        </w:rPr>
        <w:t>C</w:t>
      </w:r>
      <w:r>
        <w:rPr>
          <w:color w:val="000000"/>
        </w:rPr>
        <w:t>eny</w:t>
      </w:r>
      <w:r w:rsidRPr="002574E3">
        <w:rPr>
          <w:color w:val="000000"/>
        </w:rPr>
        <w:t xml:space="preserve"> jatečného skotu</w:t>
      </w:r>
      <w:r>
        <w:rPr>
          <w:color w:val="000000"/>
        </w:rPr>
        <w:t xml:space="preserve"> v roce 2014 ani po předchozí dvouleté kulminaci na tuzemském trhu neklesly, ale jejich vývoj byl v případě jatečného samčího a samičího skotu</w:t>
      </w:r>
      <w:r w:rsidRPr="001D5F76">
        <w:rPr>
          <w:color w:val="000000"/>
        </w:rPr>
        <w:t xml:space="preserve"> </w:t>
      </w:r>
      <w:r>
        <w:rPr>
          <w:color w:val="000000"/>
        </w:rPr>
        <w:t>odlišný.</w:t>
      </w:r>
      <w:r w:rsidRPr="00C34823">
        <w:rPr>
          <w:color w:val="000000"/>
        </w:rPr>
        <w:t xml:space="preserve"> </w:t>
      </w:r>
      <w:r w:rsidRPr="002574E3">
        <w:rPr>
          <w:color w:val="000000"/>
        </w:rPr>
        <w:t xml:space="preserve">Poptávka po jatečných </w:t>
      </w:r>
      <w:r>
        <w:rPr>
          <w:color w:val="000000"/>
        </w:rPr>
        <w:t>býcích u</w:t>
      </w:r>
      <w:r w:rsidRPr="002574E3">
        <w:rPr>
          <w:color w:val="000000"/>
        </w:rPr>
        <w:t xml:space="preserve">držela </w:t>
      </w:r>
      <w:r>
        <w:rPr>
          <w:color w:val="000000"/>
        </w:rPr>
        <w:t xml:space="preserve">jejich </w:t>
      </w:r>
      <w:r w:rsidRPr="002574E3">
        <w:rPr>
          <w:color w:val="000000"/>
        </w:rPr>
        <w:t>ceny</w:t>
      </w:r>
      <w:r>
        <w:rPr>
          <w:color w:val="000000"/>
        </w:rPr>
        <w:t xml:space="preserve"> v ČR</w:t>
      </w:r>
      <w:r w:rsidRPr="002574E3">
        <w:rPr>
          <w:color w:val="000000"/>
        </w:rPr>
        <w:t xml:space="preserve"> nad úrovní roku 201</w:t>
      </w:r>
      <w:r>
        <w:rPr>
          <w:color w:val="000000"/>
        </w:rPr>
        <w:t>3</w:t>
      </w:r>
      <w:r w:rsidRPr="002574E3">
        <w:rPr>
          <w:color w:val="000000"/>
        </w:rPr>
        <w:t xml:space="preserve">, </w:t>
      </w:r>
      <w:r>
        <w:rPr>
          <w:color w:val="000000"/>
        </w:rPr>
        <w:t>zatímco</w:t>
      </w:r>
      <w:r w:rsidRPr="002574E3">
        <w:rPr>
          <w:color w:val="000000"/>
        </w:rPr>
        <w:t xml:space="preserve"> v ostatních členských zemích EU</w:t>
      </w:r>
      <w:r>
        <w:rPr>
          <w:color w:val="000000"/>
        </w:rPr>
        <w:t xml:space="preserve"> již klesaly</w:t>
      </w:r>
      <w:r>
        <w:rPr>
          <w:rStyle w:val="Znakapoznpodarou"/>
          <w:color w:val="000000"/>
        </w:rPr>
        <w:footnoteReference w:id="141"/>
      </w:r>
      <w:r w:rsidRPr="002574E3">
        <w:rPr>
          <w:color w:val="000000"/>
        </w:rPr>
        <w:t>.</w:t>
      </w:r>
      <w:r>
        <w:rPr>
          <w:color w:val="000000"/>
        </w:rPr>
        <w:t xml:space="preserve"> </w:t>
      </w:r>
      <w:r w:rsidRPr="00DA627A">
        <w:rPr>
          <w:color w:val="000000"/>
        </w:rPr>
        <w:t xml:space="preserve">CZV jatečného skotu celkem se meziročně </w:t>
      </w:r>
      <w:r>
        <w:rPr>
          <w:color w:val="000000"/>
        </w:rPr>
        <w:t>zvýšila o 2,6</w:t>
      </w:r>
      <w:r w:rsidRPr="00DA627A">
        <w:rPr>
          <w:color w:val="000000"/>
        </w:rPr>
        <w:t xml:space="preserve"> %</w:t>
      </w:r>
      <w:r>
        <w:rPr>
          <w:color w:val="000000"/>
        </w:rPr>
        <w:t xml:space="preserve"> na</w:t>
      </w:r>
      <w:r w:rsidRPr="00DA627A">
        <w:rPr>
          <w:color w:val="000000"/>
        </w:rPr>
        <w:t xml:space="preserve"> 3</w:t>
      </w:r>
      <w:r>
        <w:rPr>
          <w:color w:val="000000"/>
        </w:rPr>
        <w:t>8,95</w:t>
      </w:r>
      <w:r w:rsidRPr="00DA627A">
        <w:rPr>
          <w:color w:val="000000"/>
        </w:rPr>
        <w:t xml:space="preserve"> </w:t>
      </w:r>
      <w:r w:rsidRPr="004E4DCA">
        <w:rPr>
          <w:color w:val="000000"/>
        </w:rPr>
        <w:t>Kč/kg ž. hm.</w:t>
      </w:r>
      <w:r>
        <w:rPr>
          <w:color w:val="000000"/>
        </w:rPr>
        <w:t>, kdy hlavní podíl na jejím růstu měla cena zemědělských výrobců jatečných býků</w:t>
      </w:r>
      <w:r w:rsidRPr="00404174">
        <w:rPr>
          <w:color w:val="000000"/>
        </w:rPr>
        <w:t xml:space="preserve"> </w:t>
      </w:r>
      <w:r w:rsidRPr="002574E3">
        <w:rPr>
          <w:color w:val="000000"/>
        </w:rPr>
        <w:t>tř. SEUR</w:t>
      </w:r>
      <w:r>
        <w:rPr>
          <w:color w:val="000000"/>
        </w:rPr>
        <w:t>, která posílila o 3,4 % (o 1,55 Kč/kg) na 47,54 </w:t>
      </w:r>
      <w:r w:rsidRPr="002574E3">
        <w:rPr>
          <w:color w:val="000000"/>
        </w:rPr>
        <w:t xml:space="preserve">Kč/kg ž. hm. </w:t>
      </w:r>
      <w:r>
        <w:rPr>
          <w:color w:val="000000"/>
        </w:rPr>
        <w:t>Naproti tomu</w:t>
      </w:r>
      <w:r w:rsidRPr="002574E3">
        <w:rPr>
          <w:color w:val="000000"/>
        </w:rPr>
        <w:t xml:space="preserve"> ceny samičí populace </w:t>
      </w:r>
      <w:r>
        <w:rPr>
          <w:color w:val="000000"/>
        </w:rPr>
        <w:t>zaznamenaly obdobný vývoj jako v ostatních členských zemích a meziročně klesly.</w:t>
      </w:r>
      <w:r w:rsidRPr="002574E3">
        <w:rPr>
          <w:color w:val="000000"/>
        </w:rPr>
        <w:t xml:space="preserve"> CZV jatečných </w:t>
      </w:r>
      <w:r>
        <w:rPr>
          <w:color w:val="000000"/>
        </w:rPr>
        <w:t>krav</w:t>
      </w:r>
      <w:r w:rsidRPr="002574E3">
        <w:rPr>
          <w:color w:val="000000"/>
        </w:rPr>
        <w:t xml:space="preserve"> tř. EUR zaznamenala </w:t>
      </w:r>
      <w:r>
        <w:rPr>
          <w:color w:val="000000"/>
        </w:rPr>
        <w:t xml:space="preserve">v roce 2014 </w:t>
      </w:r>
      <w:r w:rsidRPr="002574E3">
        <w:rPr>
          <w:color w:val="000000"/>
        </w:rPr>
        <w:t>snížení o </w:t>
      </w:r>
      <w:r>
        <w:rPr>
          <w:color w:val="000000"/>
        </w:rPr>
        <w:t>3,8</w:t>
      </w:r>
      <w:r w:rsidRPr="002574E3">
        <w:rPr>
          <w:color w:val="000000"/>
        </w:rPr>
        <w:t xml:space="preserve"> % </w:t>
      </w:r>
      <w:r>
        <w:rPr>
          <w:color w:val="000000"/>
        </w:rPr>
        <w:t>(o 1,37 Kč/kg) na 35,14 </w:t>
      </w:r>
      <w:r w:rsidRPr="002574E3">
        <w:rPr>
          <w:color w:val="000000"/>
        </w:rPr>
        <w:t>Kč/kg ž. hm</w:t>
      </w:r>
      <w:r>
        <w:rPr>
          <w:color w:val="000000"/>
        </w:rPr>
        <w:t xml:space="preserve">., cena jatečných jalovic tř. SEUR se snížila mírněji o 1,7 % </w:t>
      </w:r>
      <w:r w:rsidRPr="002574E3">
        <w:rPr>
          <w:color w:val="000000"/>
        </w:rPr>
        <w:t>(tj. o 0,6</w:t>
      </w:r>
      <w:r>
        <w:rPr>
          <w:color w:val="000000"/>
        </w:rPr>
        <w:t>7</w:t>
      </w:r>
      <w:r w:rsidRPr="002574E3">
        <w:rPr>
          <w:color w:val="000000"/>
        </w:rPr>
        <w:t xml:space="preserve"> Kč/kg) </w:t>
      </w:r>
      <w:r>
        <w:rPr>
          <w:color w:val="000000"/>
        </w:rPr>
        <w:t>na 37,75 </w:t>
      </w:r>
      <w:r w:rsidRPr="002574E3">
        <w:rPr>
          <w:color w:val="000000"/>
        </w:rPr>
        <w:t>Kč/kg ž. hm</w:t>
      </w:r>
      <w:r>
        <w:rPr>
          <w:color w:val="000000"/>
        </w:rPr>
        <w:t>.</w:t>
      </w:r>
    </w:p>
    <w:p w:rsidR="00567C4A" w:rsidRPr="002574E3" w:rsidRDefault="00567C4A" w:rsidP="000B7BEE">
      <w:pPr>
        <w:rPr>
          <w:color w:val="000000"/>
        </w:rPr>
      </w:pPr>
      <w:r w:rsidRPr="002574E3">
        <w:rPr>
          <w:color w:val="000000"/>
        </w:rPr>
        <w:t xml:space="preserve">Cena průmyslových výrobců výsekového hovězího </w:t>
      </w:r>
      <w:r>
        <w:rPr>
          <w:color w:val="000000"/>
        </w:rPr>
        <w:t>masa meziročně posílila velmi mírně</w:t>
      </w:r>
      <w:r w:rsidRPr="002574E3">
        <w:rPr>
          <w:color w:val="000000"/>
        </w:rPr>
        <w:t xml:space="preserve"> o </w:t>
      </w:r>
      <w:r>
        <w:rPr>
          <w:color w:val="000000"/>
        </w:rPr>
        <w:t>1,0</w:t>
      </w:r>
      <w:r w:rsidRPr="002574E3">
        <w:rPr>
          <w:color w:val="000000"/>
        </w:rPr>
        <w:t> % na 12</w:t>
      </w:r>
      <w:r>
        <w:rPr>
          <w:color w:val="000000"/>
        </w:rPr>
        <w:t>4</w:t>
      </w:r>
      <w:r w:rsidRPr="002574E3">
        <w:rPr>
          <w:color w:val="000000"/>
        </w:rPr>
        <w:t>,4</w:t>
      </w:r>
      <w:r>
        <w:rPr>
          <w:color w:val="000000"/>
        </w:rPr>
        <w:t>7 Kč/kg, zatímco spotřebitelská cena hovězího masa stagnovala na úrovni roku 2013.</w:t>
      </w:r>
    </w:p>
    <w:p w:rsidR="00567C4A" w:rsidRDefault="00567C4A" w:rsidP="000B7BEE">
      <w:pPr>
        <w:pStyle w:val="mezera"/>
      </w:pPr>
    </w:p>
    <w:p w:rsidR="00567C4A" w:rsidRDefault="00567C4A" w:rsidP="000B7BEE">
      <w:pPr>
        <w:pStyle w:val="mezera-svzan"/>
      </w:pPr>
      <w:r w:rsidRPr="009948C0">
        <w:rPr>
          <w:noProof/>
          <w:lang w:eastAsia="cs-CZ"/>
        </w:rPr>
        <w:drawing>
          <wp:inline distT="0" distB="0" distL="0" distR="0" wp14:anchorId="2AAB4CA8" wp14:editId="08A88953">
            <wp:extent cx="5760720" cy="3713662"/>
            <wp:effectExtent l="0" t="0" r="0" b="127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567C4A" w:rsidRPr="002574E3" w:rsidRDefault="00567C4A" w:rsidP="000B7BEE">
      <w:pPr>
        <w:pStyle w:val="TabPramZprac"/>
      </w:pPr>
      <w:r>
        <w:t>Pramen:</w:t>
      </w:r>
      <w:r>
        <w:tab/>
      </w:r>
      <w:r w:rsidRPr="002574E3">
        <w:t>TIS</w:t>
      </w:r>
      <w:r w:rsidRPr="0063518F">
        <w:rPr>
          <w:vertAlign w:val="superscript"/>
        </w:rPr>
        <w:t>ČR</w:t>
      </w:r>
      <w:r w:rsidRPr="002574E3">
        <w:t xml:space="preserve"> SZIF</w:t>
      </w:r>
    </w:p>
    <w:p w:rsidR="00567C4A" w:rsidRPr="002574E3" w:rsidRDefault="00567C4A" w:rsidP="000B7BEE">
      <w:pPr>
        <w:pStyle w:val="TabPramZprac"/>
      </w:pPr>
      <w:r>
        <w:t>Zpracoval:</w:t>
      </w:r>
      <w:r>
        <w:tab/>
      </w:r>
      <w:r w:rsidRPr="002574E3">
        <w:t>M. Abrahamová (ÚZEI)</w:t>
      </w:r>
    </w:p>
    <w:p w:rsidR="00567C4A" w:rsidRPr="002574E3" w:rsidRDefault="00567C4A" w:rsidP="000B7BEE">
      <w:pPr>
        <w:pStyle w:val="mezera"/>
      </w:pPr>
    </w:p>
    <w:p w:rsidR="00567C4A" w:rsidRPr="002574E3" w:rsidRDefault="00567C4A" w:rsidP="000B7BEE">
      <w:pPr>
        <w:rPr>
          <w:color w:val="000000"/>
          <w:szCs w:val="20"/>
        </w:rPr>
      </w:pPr>
      <w:r>
        <w:rPr>
          <w:color w:val="000000"/>
          <w:szCs w:val="20"/>
        </w:rPr>
        <w:t>V</w:t>
      </w:r>
      <w:r w:rsidRPr="002574E3">
        <w:rPr>
          <w:color w:val="000000"/>
          <w:szCs w:val="20"/>
        </w:rPr>
        <w:t>ýkrm skotu v ČR vykazuje dlouhodobě ztrátu</w:t>
      </w:r>
      <w:r>
        <w:rPr>
          <w:color w:val="000000"/>
          <w:szCs w:val="20"/>
        </w:rPr>
        <w:t>. V</w:t>
      </w:r>
      <w:r w:rsidRPr="002574E3">
        <w:rPr>
          <w:color w:val="000000"/>
          <w:szCs w:val="20"/>
        </w:rPr>
        <w:t> důsledku toho nákladová rentabilita (tj. bez započtení přímých plateb) dosahuje dlouhodobě záporné hodnoty.</w:t>
      </w:r>
      <w:r>
        <w:rPr>
          <w:color w:val="000000"/>
          <w:szCs w:val="20"/>
        </w:rPr>
        <w:t xml:space="preserve"> Podpory, které jsou do chovu skotu směrovány, výrazně zlepšují souhrnnou rentabilitu. </w:t>
      </w:r>
      <w:r w:rsidRPr="002574E3">
        <w:rPr>
          <w:color w:val="000000"/>
          <w:szCs w:val="20"/>
        </w:rPr>
        <w:t>V roce 201</w:t>
      </w:r>
      <w:r>
        <w:rPr>
          <w:color w:val="000000"/>
          <w:szCs w:val="20"/>
        </w:rPr>
        <w:t>4</w:t>
      </w:r>
      <w:r w:rsidRPr="002574E3">
        <w:rPr>
          <w:color w:val="000000"/>
          <w:szCs w:val="20"/>
        </w:rPr>
        <w:t xml:space="preserve"> došlo podle předběžných údajů ÚZEI k mírnému meziročnímu </w:t>
      </w:r>
      <w:r>
        <w:rPr>
          <w:color w:val="000000"/>
          <w:szCs w:val="20"/>
        </w:rPr>
        <w:t xml:space="preserve">zlepšení nákladové rentability </w:t>
      </w:r>
      <w:r w:rsidRPr="002574E3">
        <w:rPr>
          <w:color w:val="000000"/>
          <w:szCs w:val="20"/>
        </w:rPr>
        <w:t xml:space="preserve">jednak v důsledku </w:t>
      </w:r>
      <w:r>
        <w:rPr>
          <w:color w:val="000000"/>
          <w:szCs w:val="20"/>
        </w:rPr>
        <w:t>dalšího meziročního růstu</w:t>
      </w:r>
      <w:r w:rsidRPr="002574E3">
        <w:rPr>
          <w:color w:val="000000"/>
          <w:szCs w:val="20"/>
        </w:rPr>
        <w:t xml:space="preserve"> CZV jatečných býků, ale také v důsledku předpokládaného </w:t>
      </w:r>
      <w:r>
        <w:rPr>
          <w:color w:val="000000"/>
          <w:szCs w:val="20"/>
        </w:rPr>
        <w:t>poklesu</w:t>
      </w:r>
      <w:r w:rsidRPr="002574E3">
        <w:rPr>
          <w:color w:val="000000"/>
          <w:szCs w:val="20"/>
        </w:rPr>
        <w:t xml:space="preserve"> cen </w:t>
      </w:r>
      <w:r>
        <w:rPr>
          <w:color w:val="000000"/>
          <w:szCs w:val="20"/>
        </w:rPr>
        <w:t xml:space="preserve">některých </w:t>
      </w:r>
      <w:r w:rsidRPr="002574E3">
        <w:rPr>
          <w:color w:val="000000"/>
          <w:szCs w:val="20"/>
        </w:rPr>
        <w:t>vstupů. Odhadované náklady na výkrm jatečných býků při průměrném přírůstku 0,9</w:t>
      </w:r>
      <w:r>
        <w:rPr>
          <w:color w:val="000000"/>
          <w:szCs w:val="20"/>
        </w:rPr>
        <w:t>46</w:t>
      </w:r>
      <w:r w:rsidRPr="002574E3">
        <w:rPr>
          <w:color w:val="000000"/>
          <w:szCs w:val="20"/>
        </w:rPr>
        <w:t> kg/KD v roce 201</w:t>
      </w:r>
      <w:r>
        <w:rPr>
          <w:color w:val="000000"/>
          <w:szCs w:val="20"/>
        </w:rPr>
        <w:t>4</w:t>
      </w:r>
      <w:r w:rsidRPr="002574E3">
        <w:rPr>
          <w:color w:val="000000"/>
          <w:szCs w:val="20"/>
        </w:rPr>
        <w:t xml:space="preserve"> dosahovaly 5</w:t>
      </w:r>
      <w:r>
        <w:rPr>
          <w:color w:val="000000"/>
          <w:szCs w:val="20"/>
        </w:rPr>
        <w:t>6,78</w:t>
      </w:r>
      <w:r w:rsidRPr="002574E3">
        <w:rPr>
          <w:color w:val="000000"/>
          <w:szCs w:val="20"/>
        </w:rPr>
        <w:t> Kč/kg ž. hm., což představovalo ve srovnání s rokem 201</w:t>
      </w:r>
      <w:r>
        <w:rPr>
          <w:color w:val="000000"/>
          <w:szCs w:val="20"/>
        </w:rPr>
        <w:t>3</w:t>
      </w:r>
      <w:r w:rsidRPr="002574E3">
        <w:rPr>
          <w:color w:val="000000"/>
          <w:szCs w:val="20"/>
        </w:rPr>
        <w:t xml:space="preserve"> </w:t>
      </w:r>
      <w:r>
        <w:rPr>
          <w:color w:val="000000"/>
          <w:szCs w:val="20"/>
        </w:rPr>
        <w:t>jejich snížení</w:t>
      </w:r>
      <w:r w:rsidRPr="002574E3">
        <w:rPr>
          <w:color w:val="000000"/>
          <w:szCs w:val="20"/>
        </w:rPr>
        <w:t xml:space="preserve"> o 3,</w:t>
      </w:r>
      <w:r>
        <w:rPr>
          <w:color w:val="000000"/>
          <w:szCs w:val="20"/>
        </w:rPr>
        <w:t>4</w:t>
      </w:r>
      <w:r w:rsidRPr="002574E3">
        <w:rPr>
          <w:color w:val="000000"/>
          <w:szCs w:val="20"/>
        </w:rPr>
        <w:t> % (tj. o 2,0</w:t>
      </w:r>
      <w:r>
        <w:rPr>
          <w:color w:val="000000"/>
          <w:szCs w:val="20"/>
        </w:rPr>
        <w:t>1</w:t>
      </w:r>
      <w:r w:rsidRPr="002574E3">
        <w:rPr>
          <w:color w:val="000000"/>
          <w:szCs w:val="20"/>
        </w:rPr>
        <w:t> Kč/kg ž. hm.). K </w:t>
      </w:r>
      <w:r>
        <w:rPr>
          <w:color w:val="000000"/>
          <w:szCs w:val="20"/>
        </w:rPr>
        <w:t>poklesu</w:t>
      </w:r>
      <w:r w:rsidRPr="002574E3">
        <w:rPr>
          <w:color w:val="000000"/>
          <w:szCs w:val="20"/>
        </w:rPr>
        <w:t xml:space="preserve"> došlo především vlivem </w:t>
      </w:r>
      <w:r>
        <w:rPr>
          <w:color w:val="000000"/>
          <w:szCs w:val="20"/>
        </w:rPr>
        <w:t>výrazného oslabení</w:t>
      </w:r>
      <w:r w:rsidRPr="002574E3">
        <w:rPr>
          <w:color w:val="000000"/>
          <w:szCs w:val="20"/>
        </w:rPr>
        <w:t xml:space="preserve"> cen krmiv o </w:t>
      </w:r>
      <w:r>
        <w:rPr>
          <w:color w:val="000000"/>
          <w:szCs w:val="20"/>
        </w:rPr>
        <w:t>9,2</w:t>
      </w:r>
      <w:r w:rsidRPr="002574E3">
        <w:rPr>
          <w:color w:val="000000"/>
          <w:szCs w:val="20"/>
        </w:rPr>
        <w:t xml:space="preserve"> %, </w:t>
      </w:r>
      <w:r>
        <w:rPr>
          <w:color w:val="000000"/>
          <w:szCs w:val="20"/>
        </w:rPr>
        <w:t xml:space="preserve">ačkoli </w:t>
      </w:r>
      <w:r w:rsidRPr="002574E3">
        <w:rPr>
          <w:color w:val="000000"/>
          <w:szCs w:val="20"/>
        </w:rPr>
        <w:t>pracovní náklad</w:t>
      </w:r>
      <w:r>
        <w:rPr>
          <w:color w:val="000000"/>
          <w:szCs w:val="20"/>
        </w:rPr>
        <w:t xml:space="preserve">y </w:t>
      </w:r>
      <w:r w:rsidRPr="002574E3">
        <w:rPr>
          <w:color w:val="000000"/>
          <w:szCs w:val="20"/>
        </w:rPr>
        <w:t>a ostatních přím</w:t>
      </w:r>
      <w:r>
        <w:rPr>
          <w:color w:val="000000"/>
          <w:szCs w:val="20"/>
        </w:rPr>
        <w:t>é</w:t>
      </w:r>
      <w:r w:rsidRPr="002574E3">
        <w:rPr>
          <w:color w:val="000000"/>
          <w:szCs w:val="20"/>
        </w:rPr>
        <w:t xml:space="preserve"> náklad</w:t>
      </w:r>
      <w:r>
        <w:rPr>
          <w:color w:val="000000"/>
          <w:szCs w:val="20"/>
        </w:rPr>
        <w:t>y</w:t>
      </w:r>
      <w:r w:rsidRPr="002574E3">
        <w:rPr>
          <w:color w:val="000000"/>
          <w:szCs w:val="20"/>
        </w:rPr>
        <w:t xml:space="preserve"> </w:t>
      </w:r>
      <w:r>
        <w:rPr>
          <w:color w:val="000000"/>
          <w:szCs w:val="20"/>
        </w:rPr>
        <w:t xml:space="preserve">se naproti tomu zvýšily </w:t>
      </w:r>
      <w:r w:rsidRPr="002574E3">
        <w:rPr>
          <w:color w:val="000000"/>
          <w:szCs w:val="20"/>
        </w:rPr>
        <w:t>o </w:t>
      </w:r>
      <w:r>
        <w:rPr>
          <w:color w:val="000000"/>
          <w:szCs w:val="20"/>
        </w:rPr>
        <w:t>2,9</w:t>
      </w:r>
      <w:r w:rsidR="008A72D1">
        <w:rPr>
          <w:color w:val="000000"/>
          <w:szCs w:val="20"/>
        </w:rPr>
        <w:t xml:space="preserve"> %</w:t>
      </w:r>
      <w:r>
        <w:rPr>
          <w:color w:val="000000"/>
          <w:szCs w:val="20"/>
        </w:rPr>
        <w:t>, resp. 2,0 %</w:t>
      </w:r>
      <w:r w:rsidRPr="002574E3">
        <w:rPr>
          <w:color w:val="000000"/>
          <w:szCs w:val="20"/>
        </w:rPr>
        <w:t xml:space="preserve">. Také náklady na kilogram přírůstku skotu ve výkrmu podle odhadu meziročně </w:t>
      </w:r>
      <w:r>
        <w:rPr>
          <w:color w:val="000000"/>
          <w:szCs w:val="20"/>
        </w:rPr>
        <w:t>klesly</w:t>
      </w:r>
      <w:r w:rsidRPr="002574E3">
        <w:rPr>
          <w:color w:val="000000"/>
          <w:szCs w:val="20"/>
        </w:rPr>
        <w:t xml:space="preserve"> o </w:t>
      </w:r>
      <w:r>
        <w:rPr>
          <w:color w:val="000000"/>
          <w:szCs w:val="20"/>
        </w:rPr>
        <w:t>4,0</w:t>
      </w:r>
      <w:r w:rsidRPr="002574E3">
        <w:rPr>
          <w:color w:val="000000"/>
          <w:szCs w:val="20"/>
        </w:rPr>
        <w:t> % a v roce 201</w:t>
      </w:r>
      <w:r>
        <w:rPr>
          <w:color w:val="000000"/>
          <w:szCs w:val="20"/>
        </w:rPr>
        <w:t>4</w:t>
      </w:r>
      <w:r w:rsidRPr="002574E3">
        <w:rPr>
          <w:color w:val="000000"/>
          <w:szCs w:val="20"/>
        </w:rPr>
        <w:t xml:space="preserve"> dosáhly </w:t>
      </w:r>
      <w:r>
        <w:rPr>
          <w:color w:val="000000"/>
          <w:szCs w:val="20"/>
        </w:rPr>
        <w:t>48,78</w:t>
      </w:r>
      <w:r w:rsidRPr="002574E3">
        <w:rPr>
          <w:color w:val="000000"/>
          <w:szCs w:val="20"/>
        </w:rPr>
        <w:t> Kč/kg.</w:t>
      </w:r>
    </w:p>
    <w:p w:rsidR="00567C4A" w:rsidRDefault="00567C4A" w:rsidP="000B7BEE">
      <w:r w:rsidRPr="002574E3">
        <w:t>Úroveň nákladů vykázaných na kilogram živé hmotnosti vykrmovaného zvířete převyšovala v roce 201</w:t>
      </w:r>
      <w:r>
        <w:t>4</w:t>
      </w:r>
      <w:r w:rsidRPr="002574E3">
        <w:t xml:space="preserve"> průměrnou cenu</w:t>
      </w:r>
      <w:r>
        <w:t xml:space="preserve"> zemědělských výrobců</w:t>
      </w:r>
      <w:r w:rsidRPr="002574E3">
        <w:t xml:space="preserve"> za jatečného býka o 1</w:t>
      </w:r>
      <w:r>
        <w:t>0,51</w:t>
      </w:r>
      <w:r w:rsidRPr="002574E3">
        <w:t> Kč/kg ž. hm.</w:t>
      </w:r>
      <w:r>
        <w:t>, (</w:t>
      </w:r>
      <w:r w:rsidRPr="002574E3">
        <w:t>proti roku 201</w:t>
      </w:r>
      <w:r>
        <w:t>3 zlepšení</w:t>
      </w:r>
      <w:r w:rsidRPr="002574E3">
        <w:t xml:space="preserve"> o 3,</w:t>
      </w:r>
      <w:r>
        <w:t>46</w:t>
      </w:r>
      <w:r w:rsidRPr="002574E3">
        <w:t> Kč/kg</w:t>
      </w:r>
      <w:r>
        <w:t>)</w:t>
      </w:r>
      <w:r w:rsidRPr="002574E3">
        <w:t>.</w:t>
      </w:r>
    </w:p>
    <w:p w:rsidR="00567C4A" w:rsidRDefault="00567C4A" w:rsidP="000B7BEE">
      <w:r>
        <w:t>Nákladová rentabilita (</w:t>
      </w:r>
      <w:r w:rsidRPr="002574E3">
        <w:t>bez započtení podpor) se v roce 201</w:t>
      </w:r>
      <w:r>
        <w:t>4</w:t>
      </w:r>
      <w:r w:rsidRPr="002574E3">
        <w:t xml:space="preserve"> meziročně </w:t>
      </w:r>
      <w:r>
        <w:t>rovněž zlepšila</w:t>
      </w:r>
      <w:r w:rsidR="00D2688C">
        <w:t xml:space="preserve">, a to </w:t>
      </w:r>
      <w:r w:rsidRPr="002574E3">
        <w:t>o </w:t>
      </w:r>
      <w:r>
        <w:t>5,3</w:t>
      </w:r>
      <w:r w:rsidRPr="002574E3">
        <w:t> p. b.</w:t>
      </w:r>
      <w:r w:rsidR="008A72D1">
        <w:t>,</w:t>
      </w:r>
      <w:r w:rsidRPr="002574E3">
        <w:t xml:space="preserve"> a dosáhla</w:t>
      </w:r>
      <w:r>
        <w:t xml:space="preserve"> </w:t>
      </w:r>
      <w:r>
        <w:noBreakHyphen/>
        <w:t>18,51 %</w:t>
      </w:r>
      <w:r w:rsidRPr="002574E3">
        <w:t xml:space="preserve">. Při započtení podpor vyplácených do chovu skotu (tj. národní podpory a podpory na plochu krmiv) </w:t>
      </w:r>
      <w:r>
        <w:t xml:space="preserve">se </w:t>
      </w:r>
      <w:r w:rsidRPr="002574E3">
        <w:t>pak souhrnná rentabili</w:t>
      </w:r>
      <w:r>
        <w:t xml:space="preserve">ta výkrmu býků </w:t>
      </w:r>
      <w:r>
        <w:lastRenderedPageBreak/>
        <w:t>meziročně rovněž zlepšila (</w:t>
      </w:r>
      <w:r w:rsidRPr="002574E3">
        <w:t>o </w:t>
      </w:r>
      <w:r>
        <w:t>5,1</w:t>
      </w:r>
      <w:r w:rsidRPr="002574E3">
        <w:t> p. b.</w:t>
      </w:r>
      <w:r>
        <w:t>)</w:t>
      </w:r>
      <w:r w:rsidRPr="002574E3">
        <w:t xml:space="preserve"> a </w:t>
      </w:r>
      <w:r>
        <w:t xml:space="preserve">vrátila se </w:t>
      </w:r>
      <w:r w:rsidRPr="002574E3">
        <w:t xml:space="preserve">opět do </w:t>
      </w:r>
      <w:r>
        <w:t>kladných</w:t>
      </w:r>
      <w:r w:rsidRPr="002574E3">
        <w:t xml:space="preserve"> čísel</w:t>
      </w:r>
      <w:r>
        <w:t xml:space="preserve"> (+ 1,9</w:t>
      </w:r>
      <w:r w:rsidR="008A72D1">
        <w:t>7</w:t>
      </w:r>
      <w:r>
        <w:t xml:space="preserve"> %), kterých dosáhla v roce 2012</w:t>
      </w:r>
      <w:r w:rsidRPr="002574E3">
        <w:t>.</w:t>
      </w:r>
    </w:p>
    <w:p w:rsidR="00567C4A" w:rsidRDefault="00567C4A" w:rsidP="000B7BEE">
      <w:r w:rsidRPr="002574E3">
        <w:t>Chov skotu spojený s produkcí masa je v ČR jedním z mála odvětví živočišné výroby, které vykazuje již několik let stabilitu zejména vlivem subvencí, které jsou do tohoto sektoru směrovány. Soběstačnost v produkci hovězího masa v ČR je trvale vysoká a v roce 201</w:t>
      </w:r>
      <w:r>
        <w:t>4</w:t>
      </w:r>
      <w:r w:rsidRPr="002574E3">
        <w:t xml:space="preserve"> došlo k</w:t>
      </w:r>
      <w:r>
        <w:t> </w:t>
      </w:r>
      <w:r w:rsidRPr="002574E3">
        <w:t>její</w:t>
      </w:r>
      <w:r>
        <w:t xml:space="preserve"> stagnaci</w:t>
      </w:r>
      <w:r w:rsidRPr="002574E3">
        <w:t xml:space="preserve">. Pro udržení stávající úrovně produkce a stavů skotu při </w:t>
      </w:r>
      <w:r>
        <w:t>nízké</w:t>
      </w:r>
      <w:r w:rsidRPr="002574E3">
        <w:t xml:space="preserve"> domácí spotřebě hovězího masa je však nezbytné tento značný přebytek výroby exportovat.</w:t>
      </w:r>
    </w:p>
    <w:p w:rsidR="00567C4A" w:rsidRPr="00CF3468" w:rsidRDefault="00567C4A" w:rsidP="000B7BEE">
      <w:pPr>
        <w:pStyle w:val="Nadpis3"/>
      </w:pPr>
      <w:bookmarkStart w:id="222" w:name="_Toc233533984"/>
      <w:bookmarkStart w:id="223" w:name="_Toc359920577"/>
      <w:bookmarkStart w:id="224" w:name="_Toc391991523"/>
      <w:bookmarkStart w:id="225" w:name="_Toc424307080"/>
      <w:r w:rsidRPr="00CF3468">
        <w:t>8.2.2</w:t>
      </w:r>
      <w:r w:rsidRPr="00CF3468">
        <w:tab/>
        <w:t>Prasata – vepřové maso</w:t>
      </w:r>
      <w:bookmarkEnd w:id="222"/>
      <w:bookmarkEnd w:id="223"/>
      <w:bookmarkEnd w:id="224"/>
      <w:bookmarkEnd w:id="225"/>
    </w:p>
    <w:p w:rsidR="00567C4A" w:rsidRDefault="00567C4A" w:rsidP="000B7BEE">
      <w:pPr>
        <w:rPr>
          <w:color w:val="000000"/>
        </w:rPr>
      </w:pPr>
      <w:r w:rsidRPr="00CF3468">
        <w:t xml:space="preserve">EU </w:t>
      </w:r>
      <w:r>
        <w:t xml:space="preserve">představuje na globálním trhu jednoho z nejvýznamnějších </w:t>
      </w:r>
      <w:r w:rsidRPr="00CF3468">
        <w:t>chovatel</w:t>
      </w:r>
      <w:r>
        <w:t>ů</w:t>
      </w:r>
      <w:r w:rsidRPr="00CF3468">
        <w:t xml:space="preserve"> prasat a</w:t>
      </w:r>
      <w:r>
        <w:t> </w:t>
      </w:r>
      <w:r w:rsidRPr="00CF3468">
        <w:t>producenta vepřového masa</w:t>
      </w:r>
      <w:r>
        <w:t xml:space="preserve"> hned za Čínou</w:t>
      </w:r>
      <w:r w:rsidRPr="00CF3468">
        <w:t xml:space="preserve"> a </w:t>
      </w:r>
      <w:r>
        <w:t xml:space="preserve">druhého </w:t>
      </w:r>
      <w:r w:rsidRPr="00CF3468">
        <w:t>nejvýznamnějšího exportéra této komodity</w:t>
      </w:r>
      <w:r>
        <w:t xml:space="preserve"> těsně za USA</w:t>
      </w:r>
      <w:r w:rsidRPr="00CF3468">
        <w:t xml:space="preserve">. </w:t>
      </w:r>
      <w:r>
        <w:t>Unijní</w:t>
      </w:r>
      <w:r w:rsidRPr="00CF3468">
        <w:t xml:space="preserve"> trh </w:t>
      </w:r>
      <w:r>
        <w:t xml:space="preserve">je proto </w:t>
      </w:r>
      <w:r w:rsidRPr="00CF3468">
        <w:t xml:space="preserve">bezprostředně ovlivněn vývojem </w:t>
      </w:r>
      <w:r>
        <w:t xml:space="preserve">poptávky a nabídky </w:t>
      </w:r>
      <w:r w:rsidRPr="00CF3468">
        <w:t xml:space="preserve">této komodity na světovém trhu, ale </w:t>
      </w:r>
      <w:r>
        <w:t xml:space="preserve">současně i ona sama </w:t>
      </w:r>
      <w:r w:rsidRPr="00CF3468">
        <w:t>tento trh</w:t>
      </w:r>
      <w:r>
        <w:t xml:space="preserve"> významně</w:t>
      </w:r>
      <w:r w:rsidRPr="00CF3468">
        <w:t xml:space="preserve"> ovlivňuje. </w:t>
      </w:r>
      <w:r w:rsidRPr="00CF3468">
        <w:rPr>
          <w:color w:val="000000"/>
        </w:rPr>
        <w:t xml:space="preserve">Na základě těchto souvislostí </w:t>
      </w:r>
      <w:r>
        <w:rPr>
          <w:color w:val="000000"/>
        </w:rPr>
        <w:t xml:space="preserve">se změny na globálním trhu s vepřovým masem většinou v rychlém sledu promítají do vnitřního trhu členských zemí EU, tedy i </w:t>
      </w:r>
      <w:r w:rsidRPr="00CF3468">
        <w:rPr>
          <w:color w:val="000000"/>
        </w:rPr>
        <w:t>do ČR.</w:t>
      </w:r>
    </w:p>
    <w:p w:rsidR="00567C4A" w:rsidRDefault="00567C4A" w:rsidP="000B7BEE">
      <w:r w:rsidRPr="00CF3468">
        <w:t>V roce 201</w:t>
      </w:r>
      <w:r>
        <w:t>4</w:t>
      </w:r>
      <w:r w:rsidRPr="00CF3468">
        <w:t xml:space="preserve"> byl trh s vepřovým masem v</w:t>
      </w:r>
      <w:r>
        <w:t> </w:t>
      </w:r>
      <w:r w:rsidRPr="00CF3468">
        <w:t>EU</w:t>
      </w:r>
      <w:r>
        <w:t xml:space="preserve"> podle předběžných údajů EK</w:t>
      </w:r>
      <w:r w:rsidRPr="00CF3468">
        <w:t xml:space="preserve"> charakterizován mírným meziročním </w:t>
      </w:r>
      <w:r>
        <w:t>zvýšením</w:t>
      </w:r>
      <w:r w:rsidRPr="00CF3468">
        <w:t xml:space="preserve"> stavů prasat</w:t>
      </w:r>
      <w:r>
        <w:t xml:space="preserve"> a </w:t>
      </w:r>
      <w:r w:rsidRPr="00CF3468">
        <w:t xml:space="preserve">produkce při mírném </w:t>
      </w:r>
      <w:r>
        <w:t>poklesu</w:t>
      </w:r>
      <w:r w:rsidRPr="00CF3468">
        <w:t xml:space="preserve"> spotřeby, </w:t>
      </w:r>
      <w:r>
        <w:t xml:space="preserve">slabým snížením </w:t>
      </w:r>
      <w:r w:rsidRPr="00CF3468">
        <w:t>vývoz</w:t>
      </w:r>
      <w:r>
        <w:t>ů v důsledku restriktivních obchodních opatření Ruska vůči EU</w:t>
      </w:r>
      <w:r w:rsidRPr="00CF3468">
        <w:t xml:space="preserve">, </w:t>
      </w:r>
      <w:r>
        <w:t>nárůstem</w:t>
      </w:r>
      <w:r w:rsidRPr="00CF3468">
        <w:t xml:space="preserve"> dovozů a </w:t>
      </w:r>
      <w:r>
        <w:t>oslabením</w:t>
      </w:r>
      <w:r w:rsidRPr="00CF3468">
        <w:t xml:space="preserve"> cen jatečných prasat. Stálá poptávka po vepřovém mase na světovém trhu zejména díky </w:t>
      </w:r>
      <w:r>
        <w:t>Číně a ostatním zemím jihovýchodní Asie spolu s oslabením kurzu eura pomohly, přes ztrátu nejvýznamnějšího obchodního partnera, udržet unijní trh na poměrně stabilní úrovni.</w:t>
      </w:r>
    </w:p>
    <w:p w:rsidR="00567C4A" w:rsidRDefault="00567C4A" w:rsidP="000B7BEE">
      <w:pPr>
        <w:rPr>
          <w:color w:val="000000"/>
          <w:shd w:val="clear" w:color="auto" w:fill="FFFFFF"/>
        </w:rPr>
      </w:pPr>
      <w:r>
        <w:rPr>
          <w:color w:val="000000"/>
          <w:shd w:val="clear" w:color="auto" w:fill="FFFFFF"/>
        </w:rPr>
        <w:t>V</w:t>
      </w:r>
      <w:r w:rsidRPr="00CF3468">
        <w:rPr>
          <w:color w:val="000000"/>
          <w:shd w:val="clear" w:color="auto" w:fill="FFFFFF"/>
        </w:rPr>
        <w:t xml:space="preserve"> předchozích letech </w:t>
      </w:r>
      <w:r>
        <w:rPr>
          <w:color w:val="000000"/>
          <w:shd w:val="clear" w:color="auto" w:fill="FFFFFF"/>
        </w:rPr>
        <w:t>(2009</w:t>
      </w:r>
      <w:r>
        <w:rPr>
          <w:color w:val="000000"/>
          <w:shd w:val="clear" w:color="auto" w:fill="FFFFFF"/>
        </w:rPr>
        <w:noBreakHyphen/>
        <w:t xml:space="preserve">2013) </w:t>
      </w:r>
      <w:r w:rsidRPr="00CF3468">
        <w:rPr>
          <w:color w:val="000000"/>
          <w:shd w:val="clear" w:color="auto" w:fill="FFFFFF"/>
        </w:rPr>
        <w:t xml:space="preserve">docházelo v mnoha členských zemích </w:t>
      </w:r>
      <w:r>
        <w:rPr>
          <w:color w:val="000000"/>
          <w:shd w:val="clear" w:color="auto" w:fill="FFFFFF"/>
        </w:rPr>
        <w:t xml:space="preserve">Unie </w:t>
      </w:r>
      <w:r w:rsidRPr="00CF3468">
        <w:rPr>
          <w:color w:val="000000"/>
          <w:shd w:val="clear" w:color="auto" w:fill="FFFFFF"/>
        </w:rPr>
        <w:t>k</w:t>
      </w:r>
      <w:r>
        <w:rPr>
          <w:color w:val="000000"/>
          <w:shd w:val="clear" w:color="auto" w:fill="FFFFFF"/>
        </w:rPr>
        <w:t> </w:t>
      </w:r>
      <w:r w:rsidRPr="00CF3468">
        <w:rPr>
          <w:color w:val="000000"/>
          <w:shd w:val="clear" w:color="auto" w:fill="FFFFFF"/>
        </w:rPr>
        <w:t>poklesu stavů základního stáda prasnic,</w:t>
      </w:r>
      <w:r>
        <w:rPr>
          <w:color w:val="000000"/>
          <w:shd w:val="clear" w:color="auto" w:fill="FFFFFF"/>
        </w:rPr>
        <w:t xml:space="preserve"> přesto se</w:t>
      </w:r>
      <w:r w:rsidRPr="00CF3468">
        <w:rPr>
          <w:color w:val="000000"/>
          <w:shd w:val="clear" w:color="auto" w:fill="FFFFFF"/>
        </w:rPr>
        <w:t xml:space="preserve"> produkce ani porážky v </w:t>
      </w:r>
      <w:r>
        <w:rPr>
          <w:color w:val="000000"/>
          <w:shd w:val="clear" w:color="auto" w:fill="FFFFFF"/>
        </w:rPr>
        <w:t>průměru</w:t>
      </w:r>
      <w:r w:rsidRPr="00CF3468">
        <w:rPr>
          <w:color w:val="000000"/>
          <w:shd w:val="clear" w:color="auto" w:fill="FFFFFF"/>
        </w:rPr>
        <w:t xml:space="preserve"> EU</w:t>
      </w:r>
      <w:r>
        <w:rPr>
          <w:color w:val="000000"/>
          <w:shd w:val="clear" w:color="auto" w:fill="FFFFFF"/>
        </w:rPr>
        <w:t xml:space="preserve"> v roce 2014 </w:t>
      </w:r>
      <w:r w:rsidRPr="00CF3468">
        <w:rPr>
          <w:color w:val="000000"/>
          <w:shd w:val="clear" w:color="auto" w:fill="FFFFFF"/>
        </w:rPr>
        <w:t>meziročn</w:t>
      </w:r>
      <w:r>
        <w:rPr>
          <w:color w:val="000000"/>
          <w:shd w:val="clear" w:color="auto" w:fill="FFFFFF"/>
        </w:rPr>
        <w:t>ě</w:t>
      </w:r>
      <w:r w:rsidRPr="00CF3468">
        <w:rPr>
          <w:color w:val="000000"/>
          <w:shd w:val="clear" w:color="auto" w:fill="FFFFFF"/>
        </w:rPr>
        <w:t xml:space="preserve"> významně nezměnily. </w:t>
      </w:r>
      <w:r>
        <w:rPr>
          <w:color w:val="000000"/>
          <w:shd w:val="clear" w:color="auto" w:fill="FFFFFF"/>
        </w:rPr>
        <w:t>P</w:t>
      </w:r>
      <w:r w:rsidRPr="00CF3468">
        <w:rPr>
          <w:color w:val="000000"/>
          <w:shd w:val="clear" w:color="auto" w:fill="FFFFFF"/>
        </w:rPr>
        <w:t>odle předběžných údajů E</w:t>
      </w:r>
      <w:r>
        <w:rPr>
          <w:color w:val="000000"/>
          <w:shd w:val="clear" w:color="auto" w:fill="FFFFFF"/>
        </w:rPr>
        <w:t>urostatu</w:t>
      </w:r>
      <w:r w:rsidRPr="00CF3468">
        <w:rPr>
          <w:color w:val="000000"/>
          <w:shd w:val="clear" w:color="auto" w:fill="FFFFFF"/>
        </w:rPr>
        <w:t xml:space="preserve"> celková produkce vepřového masa v </w:t>
      </w:r>
      <w:r>
        <w:rPr>
          <w:color w:val="000000"/>
          <w:shd w:val="clear" w:color="auto" w:fill="FFFFFF"/>
        </w:rPr>
        <w:t>EU</w:t>
      </w:r>
      <w:r w:rsidRPr="00CF3468">
        <w:rPr>
          <w:color w:val="000000"/>
          <w:shd w:val="clear" w:color="auto" w:fill="FFFFFF"/>
        </w:rPr>
        <w:t xml:space="preserve"> proti roku 201</w:t>
      </w:r>
      <w:r>
        <w:rPr>
          <w:color w:val="000000"/>
          <w:shd w:val="clear" w:color="auto" w:fill="FFFFFF"/>
        </w:rPr>
        <w:t>3</w:t>
      </w:r>
      <w:r w:rsidRPr="00CF3468">
        <w:rPr>
          <w:color w:val="000000"/>
          <w:shd w:val="clear" w:color="auto" w:fill="FFFFFF"/>
        </w:rPr>
        <w:t xml:space="preserve"> </w:t>
      </w:r>
      <w:r>
        <w:rPr>
          <w:color w:val="000000"/>
          <w:shd w:val="clear" w:color="auto" w:fill="FFFFFF"/>
        </w:rPr>
        <w:t>mírně vzrostla o 0,7 % n</w:t>
      </w:r>
      <w:r w:rsidRPr="00CF3468">
        <w:rPr>
          <w:color w:val="000000"/>
          <w:shd w:val="clear" w:color="auto" w:fill="FFFFFF"/>
        </w:rPr>
        <w:t>a 2</w:t>
      </w:r>
      <w:r>
        <w:rPr>
          <w:color w:val="000000"/>
          <w:shd w:val="clear" w:color="auto" w:fill="FFFFFF"/>
        </w:rPr>
        <w:t>2</w:t>
      </w:r>
      <w:r w:rsidRPr="00CF3468">
        <w:rPr>
          <w:color w:val="000000"/>
          <w:shd w:val="clear" w:color="auto" w:fill="FFFFFF"/>
        </w:rPr>
        <w:t>,</w:t>
      </w:r>
      <w:r>
        <w:rPr>
          <w:color w:val="000000"/>
          <w:shd w:val="clear" w:color="auto" w:fill="FFFFFF"/>
        </w:rPr>
        <w:t>1</w:t>
      </w:r>
      <w:r w:rsidRPr="00CF3468">
        <w:rPr>
          <w:color w:val="000000"/>
          <w:shd w:val="clear" w:color="auto" w:fill="FFFFFF"/>
        </w:rPr>
        <w:t> mil. t. V EU 15, která se podílela na celkové výrobě vepřového masa Unie 8</w:t>
      </w:r>
      <w:r>
        <w:rPr>
          <w:color w:val="000000"/>
          <w:shd w:val="clear" w:color="auto" w:fill="FFFFFF"/>
        </w:rPr>
        <w:t>6</w:t>
      </w:r>
      <w:r w:rsidRPr="00CF3468">
        <w:rPr>
          <w:color w:val="000000"/>
          <w:shd w:val="clear" w:color="auto" w:fill="FFFFFF"/>
        </w:rPr>
        <w:t xml:space="preserve"> %, </w:t>
      </w:r>
      <w:r>
        <w:rPr>
          <w:color w:val="000000"/>
          <w:shd w:val="clear" w:color="auto" w:fill="FFFFFF"/>
        </w:rPr>
        <w:t>se produkce</w:t>
      </w:r>
      <w:r w:rsidRPr="00CF3468">
        <w:rPr>
          <w:color w:val="000000"/>
          <w:shd w:val="clear" w:color="auto" w:fill="FFFFFF"/>
        </w:rPr>
        <w:t xml:space="preserve"> meziročně </w:t>
      </w:r>
      <w:r>
        <w:rPr>
          <w:color w:val="000000"/>
          <w:shd w:val="clear" w:color="auto" w:fill="FFFFFF"/>
        </w:rPr>
        <w:t>nezměnila a stagnovala</w:t>
      </w:r>
      <w:r w:rsidRPr="00CF3468">
        <w:rPr>
          <w:color w:val="000000"/>
          <w:shd w:val="clear" w:color="auto" w:fill="FFFFFF"/>
        </w:rPr>
        <w:t xml:space="preserve"> na 19,0 mil. t, kdežto v</w:t>
      </w:r>
      <w:r>
        <w:rPr>
          <w:color w:val="000000"/>
          <w:shd w:val="clear" w:color="auto" w:fill="FFFFFF"/>
        </w:rPr>
        <w:t> </w:t>
      </w:r>
      <w:r w:rsidRPr="00CF3468">
        <w:rPr>
          <w:color w:val="000000"/>
          <w:shd w:val="clear" w:color="auto" w:fill="FFFFFF"/>
        </w:rPr>
        <w:t>NČZ</w:t>
      </w:r>
      <w:r>
        <w:rPr>
          <w:color w:val="000000"/>
          <w:shd w:val="clear" w:color="auto" w:fill="FFFFFF"/>
        </w:rPr>
        <w:t> 13 byl</w:t>
      </w:r>
      <w:r w:rsidRPr="00CF3468">
        <w:rPr>
          <w:color w:val="000000"/>
          <w:shd w:val="clear" w:color="auto" w:fill="FFFFFF"/>
        </w:rPr>
        <w:t xml:space="preserve"> evidován její </w:t>
      </w:r>
      <w:r>
        <w:rPr>
          <w:color w:val="000000"/>
          <w:shd w:val="clear" w:color="auto" w:fill="FFFFFF"/>
        </w:rPr>
        <w:t>nárůst o 6,3 % na téměř 3,1</w:t>
      </w:r>
      <w:r w:rsidRPr="00CF3468">
        <w:rPr>
          <w:color w:val="000000"/>
          <w:shd w:val="clear" w:color="auto" w:fill="FFFFFF"/>
        </w:rPr>
        <w:t> mil. t.</w:t>
      </w:r>
      <w:r w:rsidRPr="00CF3468">
        <w:rPr>
          <w:color w:val="000000"/>
        </w:rPr>
        <w:t xml:space="preserve"> V jednotlivých </w:t>
      </w:r>
      <w:r>
        <w:rPr>
          <w:color w:val="000000"/>
        </w:rPr>
        <w:t>regionech</w:t>
      </w:r>
      <w:r w:rsidRPr="00CF3468">
        <w:rPr>
          <w:color w:val="000000"/>
        </w:rPr>
        <w:t xml:space="preserve"> </w:t>
      </w:r>
      <w:r>
        <w:rPr>
          <w:color w:val="000000"/>
        </w:rPr>
        <w:t>ne</w:t>
      </w:r>
      <w:r w:rsidRPr="00CF3468">
        <w:rPr>
          <w:color w:val="000000"/>
        </w:rPr>
        <w:t>byl</w:t>
      </w:r>
      <w:r>
        <w:rPr>
          <w:color w:val="000000"/>
        </w:rPr>
        <w:t xml:space="preserve"> </w:t>
      </w:r>
      <w:r w:rsidRPr="00CF3468">
        <w:rPr>
          <w:color w:val="000000"/>
          <w:shd w:val="clear" w:color="auto" w:fill="FFFFFF"/>
        </w:rPr>
        <w:t xml:space="preserve">vývoj </w:t>
      </w:r>
      <w:r>
        <w:rPr>
          <w:color w:val="000000"/>
          <w:shd w:val="clear" w:color="auto" w:fill="FFFFFF"/>
        </w:rPr>
        <w:t>příliš odlišný, neboť v převážné většině zemí EU byl evidován její mírný nárůst, event. stagnace. Meziročně se zvýšila výroba z </w:t>
      </w:r>
      <w:proofErr w:type="spellStart"/>
      <w:r>
        <w:rPr>
          <w:color w:val="000000"/>
          <w:shd w:val="clear" w:color="auto" w:fill="FFFFFF"/>
        </w:rPr>
        <w:t>producentsky</w:t>
      </w:r>
      <w:proofErr w:type="spellEnd"/>
      <w:r>
        <w:rPr>
          <w:color w:val="000000"/>
          <w:shd w:val="clear" w:color="auto" w:fill="FFFFFF"/>
        </w:rPr>
        <w:t xml:space="preserve"> významných zemí např. v Nizozemsku (4,9 %), Španělsku (4,1 %) ve Velké Británii (3,5 %) a v Německu (0,6 %), v rámci NČZ 13 stoupla v Polsku (9,2 %), Maďarsku (9,2 %) a ČR (3,4 %). Její stagnace byla zaznamenána ve Francii a Dánsku, zatímco ke snížení došlo zejména na Slovensku (</w:t>
      </w:r>
      <w:r>
        <w:rPr>
          <w:color w:val="000000"/>
          <w:shd w:val="clear" w:color="auto" w:fill="FFFFFF"/>
        </w:rPr>
        <w:noBreakHyphen/>
        <w:t>35,6 %), v Itálii (</w:t>
      </w:r>
      <w:r>
        <w:rPr>
          <w:color w:val="000000"/>
          <w:shd w:val="clear" w:color="auto" w:fill="FFFFFF"/>
        </w:rPr>
        <w:noBreakHyphen/>
        <w:t>13,8 %), Finsku (</w:t>
      </w:r>
      <w:r>
        <w:rPr>
          <w:color w:val="000000"/>
          <w:shd w:val="clear" w:color="auto" w:fill="FFFFFF"/>
        </w:rPr>
        <w:noBreakHyphen/>
        <w:t>4,3 %) a Rakousku (</w:t>
      </w:r>
      <w:r>
        <w:rPr>
          <w:color w:val="000000"/>
          <w:shd w:val="clear" w:color="auto" w:fill="FFFFFF"/>
        </w:rPr>
        <w:noBreakHyphen/>
        <w:t xml:space="preserve">0,5 %). </w:t>
      </w:r>
      <w:r w:rsidRPr="00CF3468">
        <w:rPr>
          <w:color w:val="000000"/>
          <w:shd w:val="clear" w:color="auto" w:fill="FFFFFF"/>
        </w:rPr>
        <w:t xml:space="preserve">Porážky </w:t>
      </w:r>
      <w:r>
        <w:rPr>
          <w:color w:val="000000"/>
          <w:shd w:val="clear" w:color="auto" w:fill="FFFFFF"/>
        </w:rPr>
        <w:t xml:space="preserve">jatečných </w:t>
      </w:r>
      <w:r w:rsidRPr="00CF3468">
        <w:rPr>
          <w:color w:val="000000"/>
          <w:shd w:val="clear" w:color="auto" w:fill="FFFFFF"/>
        </w:rPr>
        <w:t>prasat</w:t>
      </w:r>
      <w:r>
        <w:rPr>
          <w:color w:val="000000"/>
          <w:shd w:val="clear" w:color="auto" w:fill="FFFFFF"/>
        </w:rPr>
        <w:t xml:space="preserve"> v Unii</w:t>
      </w:r>
      <w:r w:rsidRPr="00CF3468">
        <w:rPr>
          <w:color w:val="000000"/>
          <w:shd w:val="clear" w:color="auto" w:fill="FFFFFF"/>
        </w:rPr>
        <w:t xml:space="preserve"> meziročně </w:t>
      </w:r>
      <w:r>
        <w:rPr>
          <w:color w:val="000000"/>
          <w:shd w:val="clear" w:color="auto" w:fill="FFFFFF"/>
        </w:rPr>
        <w:t>vzrostly</w:t>
      </w:r>
      <w:r w:rsidRPr="00CF3468">
        <w:rPr>
          <w:color w:val="000000"/>
          <w:shd w:val="clear" w:color="auto" w:fill="FFFFFF"/>
        </w:rPr>
        <w:t xml:space="preserve"> </w:t>
      </w:r>
      <w:r>
        <w:rPr>
          <w:color w:val="000000"/>
          <w:shd w:val="clear" w:color="auto" w:fill="FFFFFF"/>
        </w:rPr>
        <w:t>velmi mírně</w:t>
      </w:r>
      <w:r w:rsidRPr="00CF3468">
        <w:rPr>
          <w:color w:val="000000"/>
          <w:shd w:val="clear" w:color="auto" w:fill="FFFFFF"/>
        </w:rPr>
        <w:t xml:space="preserve"> o 0,</w:t>
      </w:r>
      <w:r>
        <w:rPr>
          <w:color w:val="000000"/>
          <w:shd w:val="clear" w:color="auto" w:fill="FFFFFF"/>
        </w:rPr>
        <w:t>9</w:t>
      </w:r>
      <w:r w:rsidRPr="00CF3468">
        <w:rPr>
          <w:color w:val="000000"/>
          <w:shd w:val="clear" w:color="auto" w:fill="FFFFFF"/>
        </w:rPr>
        <w:t> % (o</w:t>
      </w:r>
      <w:r>
        <w:rPr>
          <w:color w:val="000000"/>
          <w:shd w:val="clear" w:color="auto" w:fill="FFFFFF"/>
        </w:rPr>
        <w:t> 2,1 mil. ks</w:t>
      </w:r>
      <w:r w:rsidRPr="00CF3468">
        <w:rPr>
          <w:color w:val="000000"/>
          <w:shd w:val="clear" w:color="auto" w:fill="FFFFFF"/>
        </w:rPr>
        <w:t>) na 24</w:t>
      </w:r>
      <w:r>
        <w:rPr>
          <w:color w:val="000000"/>
          <w:shd w:val="clear" w:color="auto" w:fill="FFFFFF"/>
        </w:rPr>
        <w:t>9,1</w:t>
      </w:r>
      <w:r w:rsidRPr="00CF3468">
        <w:rPr>
          <w:color w:val="000000"/>
          <w:shd w:val="clear" w:color="auto" w:fill="FFFFFF"/>
        </w:rPr>
        <w:t> mil. ks.</w:t>
      </w:r>
    </w:p>
    <w:p w:rsidR="00567C4A" w:rsidRPr="00CF3468" w:rsidRDefault="00567C4A" w:rsidP="000B7BEE">
      <w:pPr>
        <w:rPr>
          <w:color w:val="000000"/>
        </w:rPr>
      </w:pPr>
      <w:r>
        <w:rPr>
          <w:color w:val="000000"/>
          <w:shd w:val="clear" w:color="auto" w:fill="FFFFFF"/>
        </w:rPr>
        <w:t>T</w:t>
      </w:r>
      <w:r w:rsidRPr="00CF3468">
        <w:rPr>
          <w:color w:val="000000"/>
        </w:rPr>
        <w:t>rend snižování stavů prasat, který byl v EU nastartován od roku 2006, v roce 2013 zpomalil</w:t>
      </w:r>
      <w:r>
        <w:rPr>
          <w:color w:val="000000"/>
        </w:rPr>
        <w:t xml:space="preserve"> a následně v roce 2014 již došlo k jejich mírnému růstu.</w:t>
      </w:r>
      <w:r w:rsidRPr="00CF3468">
        <w:rPr>
          <w:color w:val="000000"/>
        </w:rPr>
        <w:t xml:space="preserve"> Stavy prasat celkem v EU </w:t>
      </w:r>
      <w:r w:rsidRPr="00245574">
        <w:rPr>
          <w:color w:val="000000" w:themeColor="text1"/>
        </w:rPr>
        <w:lastRenderedPageBreak/>
        <w:t>k prosinci roku 2014</w:t>
      </w:r>
      <w:r w:rsidRPr="000A3FE7">
        <w:rPr>
          <w:color w:val="000000"/>
        </w:rPr>
        <w:t xml:space="preserve"> </w:t>
      </w:r>
      <w:r w:rsidRPr="00CF3468">
        <w:rPr>
          <w:color w:val="000000"/>
        </w:rPr>
        <w:t xml:space="preserve">podle </w:t>
      </w:r>
      <w:r w:rsidRPr="00245574">
        <w:rPr>
          <w:color w:val="000000" w:themeColor="text1"/>
        </w:rPr>
        <w:t>Eurostatu meziročně oživily o 1,1 % (0,2 mil. ks) na 147,8 mil. ks. V EU 15 se zvýšily o</w:t>
      </w:r>
      <w:r>
        <w:rPr>
          <w:color w:val="000000" w:themeColor="text1"/>
        </w:rPr>
        <w:t> </w:t>
      </w:r>
      <w:r w:rsidRPr="00245574">
        <w:rPr>
          <w:color w:val="000000" w:themeColor="text1"/>
        </w:rPr>
        <w:t>1,2 % na 122,5 mil. ks, naproti tomu v NČZ 13 měl jejich vzestup mírnější trend (nárůst o 0,6</w:t>
      </w:r>
      <w:r>
        <w:rPr>
          <w:color w:val="000000" w:themeColor="text1"/>
        </w:rPr>
        <w:t> </w:t>
      </w:r>
      <w:r w:rsidRPr="00245574">
        <w:rPr>
          <w:color w:val="000000" w:themeColor="text1"/>
        </w:rPr>
        <w:t xml:space="preserve">% na 25,4 mil. ks). V jednotlivých členských zemích byl vývoj </w:t>
      </w:r>
      <w:r w:rsidRPr="00CF3468">
        <w:rPr>
          <w:color w:val="000000"/>
        </w:rPr>
        <w:t xml:space="preserve">rozdílný. Meziročně </w:t>
      </w:r>
      <w:r>
        <w:rPr>
          <w:color w:val="000000"/>
        </w:rPr>
        <w:t>vzrostly</w:t>
      </w:r>
      <w:r w:rsidRPr="00CF3468">
        <w:rPr>
          <w:color w:val="000000"/>
        </w:rPr>
        <w:t xml:space="preserve"> stavy prasat především v</w:t>
      </w:r>
      <w:r>
        <w:rPr>
          <w:color w:val="000000"/>
        </w:rPr>
        <w:t xml:space="preserve">e Španělsku </w:t>
      </w:r>
      <w:r w:rsidRPr="00CF3468">
        <w:rPr>
          <w:color w:val="000000"/>
        </w:rPr>
        <w:t>(</w:t>
      </w:r>
      <w:r>
        <w:rPr>
          <w:color w:val="000000"/>
        </w:rPr>
        <w:t>4,1</w:t>
      </w:r>
      <w:r w:rsidRPr="00CF3468">
        <w:rPr>
          <w:color w:val="000000"/>
        </w:rPr>
        <w:t xml:space="preserve"> %), </w:t>
      </w:r>
      <w:r>
        <w:rPr>
          <w:color w:val="000000"/>
        </w:rPr>
        <w:t>Velké Británii</w:t>
      </w:r>
      <w:r w:rsidRPr="00CF3468">
        <w:rPr>
          <w:color w:val="000000"/>
        </w:rPr>
        <w:t xml:space="preserve"> (2,</w:t>
      </w:r>
      <w:r>
        <w:rPr>
          <w:color w:val="000000"/>
        </w:rPr>
        <w:t>3</w:t>
      </w:r>
      <w:r w:rsidRPr="00CF3468">
        <w:rPr>
          <w:color w:val="000000"/>
        </w:rPr>
        <w:t xml:space="preserve"> %), </w:t>
      </w:r>
      <w:r>
        <w:rPr>
          <w:color w:val="000000"/>
        </w:rPr>
        <w:t>v Dánsku (2,5 %), Itálii (1,3 %), Německu (0,7 %) a z NČZ 13 v </w:t>
      </w:r>
      <w:r w:rsidRPr="00CF3468">
        <w:rPr>
          <w:color w:val="000000"/>
        </w:rPr>
        <w:t>Maďarsku (</w:t>
      </w:r>
      <w:r>
        <w:rPr>
          <w:color w:val="000000"/>
        </w:rPr>
        <w:t>4,4</w:t>
      </w:r>
      <w:r w:rsidRPr="00CF3468">
        <w:rPr>
          <w:color w:val="000000"/>
        </w:rPr>
        <w:t xml:space="preserve"> %), </w:t>
      </w:r>
      <w:r>
        <w:rPr>
          <w:color w:val="000000"/>
        </w:rPr>
        <w:t>v ČR (3,8 %) a</w:t>
      </w:r>
      <w:r w:rsidRPr="00CF3468">
        <w:rPr>
          <w:color w:val="000000"/>
        </w:rPr>
        <w:t xml:space="preserve"> </w:t>
      </w:r>
      <w:r>
        <w:rPr>
          <w:color w:val="000000"/>
        </w:rPr>
        <w:t xml:space="preserve">v </w:t>
      </w:r>
      <w:r w:rsidRPr="00CF3468">
        <w:rPr>
          <w:color w:val="000000"/>
        </w:rPr>
        <w:t>Polsku (</w:t>
      </w:r>
      <w:r>
        <w:rPr>
          <w:color w:val="000000"/>
        </w:rPr>
        <w:t>2,5</w:t>
      </w:r>
      <w:r w:rsidRPr="00CF3468">
        <w:rPr>
          <w:color w:val="000000"/>
        </w:rPr>
        <w:t> %)</w:t>
      </w:r>
      <w:r>
        <w:rPr>
          <w:color w:val="000000"/>
        </w:rPr>
        <w:t>.</w:t>
      </w:r>
      <w:r w:rsidRPr="00CF3468">
        <w:rPr>
          <w:color w:val="000000"/>
        </w:rPr>
        <w:t xml:space="preserve"> Ke stagnaci došlo v </w:t>
      </w:r>
      <w:r>
        <w:rPr>
          <w:color w:val="000000"/>
        </w:rPr>
        <w:t>Nizozemsku</w:t>
      </w:r>
      <w:r w:rsidRPr="00CF3468">
        <w:rPr>
          <w:color w:val="000000"/>
        </w:rPr>
        <w:t xml:space="preserve">, naopak </w:t>
      </w:r>
      <w:r>
        <w:rPr>
          <w:color w:val="000000"/>
        </w:rPr>
        <w:t>redukce</w:t>
      </w:r>
      <w:r w:rsidRPr="00CF3468">
        <w:rPr>
          <w:color w:val="000000"/>
        </w:rPr>
        <w:t xml:space="preserve"> </w:t>
      </w:r>
      <w:r>
        <w:rPr>
          <w:color w:val="000000"/>
        </w:rPr>
        <w:t>stavů</w:t>
      </w:r>
      <w:r w:rsidRPr="00CF3468">
        <w:rPr>
          <w:color w:val="000000"/>
        </w:rPr>
        <w:t xml:space="preserve"> prasat proti roku 201</w:t>
      </w:r>
      <w:r>
        <w:rPr>
          <w:color w:val="000000"/>
        </w:rPr>
        <w:t>3</w:t>
      </w:r>
      <w:r w:rsidRPr="00CF3468">
        <w:rPr>
          <w:color w:val="000000"/>
        </w:rPr>
        <w:t xml:space="preserve"> byl</w:t>
      </w:r>
      <w:r>
        <w:rPr>
          <w:color w:val="000000"/>
        </w:rPr>
        <w:t>a</w:t>
      </w:r>
      <w:r w:rsidRPr="00CF3468">
        <w:rPr>
          <w:color w:val="000000"/>
        </w:rPr>
        <w:t xml:space="preserve"> v roce 201</w:t>
      </w:r>
      <w:r>
        <w:rPr>
          <w:color w:val="000000"/>
        </w:rPr>
        <w:t>4</w:t>
      </w:r>
      <w:r w:rsidRPr="00CF3468">
        <w:rPr>
          <w:color w:val="000000"/>
        </w:rPr>
        <w:t xml:space="preserve"> evidován</w:t>
      </w:r>
      <w:r>
        <w:rPr>
          <w:color w:val="000000"/>
        </w:rPr>
        <w:t>a zejména</w:t>
      </w:r>
      <w:r w:rsidRPr="00CF3468">
        <w:rPr>
          <w:color w:val="000000"/>
        </w:rPr>
        <w:t xml:space="preserve"> v</w:t>
      </w:r>
      <w:r>
        <w:rPr>
          <w:color w:val="000000"/>
        </w:rPr>
        <w:t> Rumunsku (</w:t>
      </w:r>
      <w:r>
        <w:rPr>
          <w:color w:val="000000"/>
        </w:rPr>
        <w:noBreakHyphen/>
        <w:t xml:space="preserve">4,8 %), Francii </w:t>
      </w:r>
      <w:r w:rsidRPr="00CF3468">
        <w:rPr>
          <w:color w:val="000000"/>
        </w:rPr>
        <w:t>(</w:t>
      </w:r>
      <w:r>
        <w:rPr>
          <w:color w:val="000000"/>
        </w:rPr>
        <w:noBreakHyphen/>
        <w:t>1,0</w:t>
      </w:r>
      <w:r w:rsidRPr="00CF3468">
        <w:rPr>
          <w:color w:val="000000"/>
        </w:rPr>
        <w:t> %)</w:t>
      </w:r>
      <w:r>
        <w:rPr>
          <w:color w:val="000000"/>
        </w:rPr>
        <w:t xml:space="preserve"> a Rakousku (</w:t>
      </w:r>
      <w:r>
        <w:rPr>
          <w:color w:val="000000"/>
        </w:rPr>
        <w:noBreakHyphen/>
        <w:t>1,0 %)</w:t>
      </w:r>
      <w:r w:rsidRPr="00CF3468">
        <w:rPr>
          <w:color w:val="000000"/>
        </w:rPr>
        <w:t>.</w:t>
      </w:r>
    </w:p>
    <w:p w:rsidR="00567C4A" w:rsidRDefault="00567C4A" w:rsidP="000B7BEE">
      <w:r>
        <w:t>V roce 2014 došlo v Unii poprvé od roku 2008 k oživení stavů prasnic. V meziroční srovnání se zvýšil počet jejich populace o 0,4 % (tj. o 53 tis. ks) na 12,6 mil. ks.</w:t>
      </w:r>
      <w:r w:rsidRPr="00CF3468">
        <w:t xml:space="preserve"> </w:t>
      </w:r>
      <w:r>
        <w:t>Největší zásluhu na tomto růstu měly především Španělsko (4,7 %) a Nizozemsko (1,0 %), a z NČZ</w:t>
      </w:r>
      <w:r w:rsidR="007F5DF8">
        <w:t> 13</w:t>
      </w:r>
      <w:r>
        <w:t xml:space="preserve"> pak Maďarsko (4,4 %). Stagnace stavů prasnic byla evidována v Polsku a Německu, naproti tomu nižší stavy byly vykázány v meziročním srovnání v Rumunsku (</w:t>
      </w:r>
      <w:r>
        <w:noBreakHyphen/>
        <w:t>5,0 %), Rakousku (</w:t>
      </w:r>
      <w:r>
        <w:noBreakHyphen/>
        <w:t>3,0 %), ČR (</w:t>
      </w:r>
      <w:r>
        <w:noBreakHyphen/>
        <w:t>2,8 %), Dánsku (</w:t>
      </w:r>
      <w:r>
        <w:noBreakHyphen/>
        <w:t>1,0 %), Francii (</w:t>
      </w:r>
      <w:r>
        <w:noBreakHyphen/>
        <w:t>0,9 %) a Itálii (</w:t>
      </w:r>
      <w:r>
        <w:noBreakHyphen/>
        <w:t>0,8 %).</w:t>
      </w:r>
    </w:p>
    <w:p w:rsidR="00567C4A" w:rsidRPr="00CF3468" w:rsidRDefault="00567C4A" w:rsidP="000B7BEE">
      <w:r>
        <w:t>Klesající trend ve s</w:t>
      </w:r>
      <w:r w:rsidRPr="00CF3468">
        <w:t>potřeb</w:t>
      </w:r>
      <w:r>
        <w:t>ě</w:t>
      </w:r>
      <w:r w:rsidRPr="00CF3468">
        <w:t xml:space="preserve"> vepřového masa</w:t>
      </w:r>
      <w:r>
        <w:t xml:space="preserve">, který začal </w:t>
      </w:r>
      <w:r w:rsidRPr="00CF3468">
        <w:t>v</w:t>
      </w:r>
      <w:r>
        <w:t> </w:t>
      </w:r>
      <w:r w:rsidRPr="00CF3468">
        <w:t>EU</w:t>
      </w:r>
      <w:r>
        <w:t xml:space="preserve"> </w:t>
      </w:r>
      <w:r w:rsidRPr="00CF3468">
        <w:t>od roku 2010</w:t>
      </w:r>
      <w:r>
        <w:t>, se v roce 2014 zastavil</w:t>
      </w:r>
      <w:r w:rsidRPr="00CF3468">
        <w:t>.</w:t>
      </w:r>
      <w:r>
        <w:t xml:space="preserve"> Hlavní podíl na této změně měl především pokles cen vepřového masa, ke kterému došlo v celé EU. </w:t>
      </w:r>
      <w:r w:rsidRPr="00CF3468">
        <w:t>Celková spotřeba v</w:t>
      </w:r>
      <w:r>
        <w:t xml:space="preserve"> průměru </w:t>
      </w:r>
      <w:r w:rsidRPr="00CF3468">
        <w:t>EU</w:t>
      </w:r>
      <w:r>
        <w:t xml:space="preserve"> se</w:t>
      </w:r>
      <w:r w:rsidRPr="00CF3468">
        <w:t xml:space="preserve"> meziročně </w:t>
      </w:r>
      <w:r>
        <w:t>slabě zvýšila</w:t>
      </w:r>
      <w:r w:rsidRPr="00CF3468">
        <w:t xml:space="preserve"> o </w:t>
      </w:r>
      <w:r>
        <w:t>0,2</w:t>
      </w:r>
      <w:r w:rsidRPr="00CF3468">
        <w:t> % na 20,2 mil. t. Roční spotřeba vepřového masa na obyvatele v roce 201</w:t>
      </w:r>
      <w:r>
        <w:t>4</w:t>
      </w:r>
      <w:r w:rsidRPr="00CF3468">
        <w:t xml:space="preserve"> podle odhadu EK </w:t>
      </w:r>
      <w:r>
        <w:t>stagnovala na</w:t>
      </w:r>
      <w:r w:rsidRPr="00CF3468">
        <w:t xml:space="preserve"> 39,5 kg,</w:t>
      </w:r>
      <w:r>
        <w:t xml:space="preserve"> nejvyšší</w:t>
      </w:r>
      <w:r w:rsidRPr="00CF3468">
        <w:t xml:space="preserve"> </w:t>
      </w:r>
      <w:r>
        <w:t>byla tradičně v Německu a Rakousku, kde převyšuje 53 kg/obyv./rok, zatímco tradičně nejnižší (kolem 24 kg/obyv./rok) byla v Bulharsku a Velké Británii.</w:t>
      </w:r>
      <w:r w:rsidRPr="00CF3468">
        <w:t xml:space="preserve"> Na celkové spotřebě masa ve Společenství se vepřové maso podílelo téměř polovinou (4</w:t>
      </w:r>
      <w:r>
        <w:t>8,8</w:t>
      </w:r>
      <w:r w:rsidRPr="00CF3468">
        <w:t xml:space="preserve"> %), což </w:t>
      </w:r>
      <w:r>
        <w:t>je dlouhodobě</w:t>
      </w:r>
      <w:r w:rsidRPr="00CF3468">
        <w:t xml:space="preserve"> nejvíce ze všech druhů masa. Míra soběstačnosti v roce 201</w:t>
      </w:r>
      <w:r>
        <w:t>4</w:t>
      </w:r>
      <w:r w:rsidRPr="00CF3468">
        <w:t xml:space="preserve"> podle odhadu EK dosáhla 10</w:t>
      </w:r>
      <w:r>
        <w:t>8,8</w:t>
      </w:r>
      <w:r w:rsidRPr="00CF3468">
        <w:t xml:space="preserve"> % a byla o </w:t>
      </w:r>
      <w:r>
        <w:t>2,0</w:t>
      </w:r>
      <w:r w:rsidRPr="00CF3468">
        <w:t xml:space="preserve"> p. b. nižší než v roce 201</w:t>
      </w:r>
      <w:r>
        <w:t>3</w:t>
      </w:r>
      <w:r w:rsidRPr="00CF3468">
        <w:t>.</w:t>
      </w:r>
    </w:p>
    <w:p w:rsidR="00567C4A" w:rsidRPr="00CF3468" w:rsidRDefault="00567C4A" w:rsidP="000B7BEE">
      <w:pPr>
        <w:rPr>
          <w:color w:val="000000"/>
        </w:rPr>
      </w:pPr>
      <w:r>
        <w:t xml:space="preserve">Zahraniční obchod s vepřovým masem byl negativně ovlivněn ruským embargem pro dovoz vepřového masa a živých prasat z EU, které bylo vyhlášeno v únoru 2014 a pokračovalo od srpna. Naopak oslabení kurzu eura vůči dolaru posílilo unijní exporty na světovém trhu vůči USA, které jsou jejím největším konkurentem. </w:t>
      </w:r>
      <w:r w:rsidRPr="00CF3468">
        <w:t>Bilance zahraničního obchodu s vepřovým masem včetně živých prasat v EU se v roce 201</w:t>
      </w:r>
      <w:r>
        <w:t>4</w:t>
      </w:r>
      <w:r w:rsidRPr="00CF3468">
        <w:t xml:space="preserve"> meziročně </w:t>
      </w:r>
      <w:r>
        <w:t>zhoršila o 5,3</w:t>
      </w:r>
      <w:r w:rsidRPr="00CF3468">
        <w:rPr>
          <w:color w:val="000000"/>
        </w:rPr>
        <w:t> % (o</w:t>
      </w:r>
      <w:r>
        <w:rPr>
          <w:color w:val="000000"/>
        </w:rPr>
        <w:t> 162,5</w:t>
      </w:r>
      <w:r w:rsidRPr="00CF3468">
        <w:rPr>
          <w:color w:val="000000"/>
        </w:rPr>
        <w:t> tis. t)</w:t>
      </w:r>
      <w:r w:rsidRPr="00CF3468">
        <w:t>,</w:t>
      </w:r>
      <w:r>
        <w:t xml:space="preserve"> přesto však</w:t>
      </w:r>
      <w:r w:rsidRPr="00CF3468">
        <w:t xml:space="preserve"> byl</w:t>
      </w:r>
      <w:r>
        <w:t xml:space="preserve">a vysoce aktivní a dosáhla </w:t>
      </w:r>
      <w:r w:rsidR="0041692F">
        <w:t>2,90</w:t>
      </w:r>
      <w:r w:rsidRPr="00592075">
        <w:t xml:space="preserve"> </w:t>
      </w:r>
      <w:r>
        <w:t>mil.</w:t>
      </w:r>
      <w:r w:rsidRPr="00CF3468">
        <w:t> tis. t</w:t>
      </w:r>
      <w:r w:rsidRPr="00CF3468">
        <w:rPr>
          <w:color w:val="000000"/>
        </w:rPr>
        <w:t xml:space="preserve">. </w:t>
      </w:r>
      <w:r>
        <w:rPr>
          <w:color w:val="000000"/>
        </w:rPr>
        <w:t>Hlavním důvodem byly nižší vývozy, které se v důsledku omezení vývozů do Ruska, představujícího nejvýznamnější trh EU, meziročně snížily o 5,2 % (o 0,2 mil. t) na 2,9</w:t>
      </w:r>
      <w:r w:rsidR="0041692F">
        <w:rPr>
          <w:color w:val="000000"/>
        </w:rPr>
        <w:t>4</w:t>
      </w:r>
      <w:r>
        <w:rPr>
          <w:color w:val="000000"/>
        </w:rPr>
        <w:t> mil. t.</w:t>
      </w:r>
    </w:p>
    <w:p w:rsidR="00567C4A" w:rsidRPr="00CF3468" w:rsidRDefault="00567C4A" w:rsidP="000B7BEE">
      <w:pPr>
        <w:rPr>
          <w:color w:val="000000"/>
        </w:rPr>
      </w:pPr>
      <w:r w:rsidRPr="00CF3468">
        <w:rPr>
          <w:color w:val="000000"/>
        </w:rPr>
        <w:t xml:space="preserve">Podíl vývozu z celkové produkce </w:t>
      </w:r>
      <w:r>
        <w:rPr>
          <w:color w:val="000000"/>
        </w:rPr>
        <w:t>vepřového masa EU v roce 2014 dosahoval 13,2</w:t>
      </w:r>
      <w:r w:rsidRPr="00CF3468">
        <w:rPr>
          <w:color w:val="000000"/>
        </w:rPr>
        <w:t xml:space="preserve"> % a byl </w:t>
      </w:r>
      <w:r>
        <w:rPr>
          <w:color w:val="000000"/>
        </w:rPr>
        <w:t>mírně nižší (o 0,5 %) než v roce 2013</w:t>
      </w:r>
      <w:r w:rsidRPr="00CF3468">
        <w:rPr>
          <w:color w:val="000000"/>
        </w:rPr>
        <w:t xml:space="preserve">. </w:t>
      </w:r>
      <w:r w:rsidRPr="00CF3468">
        <w:t xml:space="preserve">Nejvýznamnějším trhem </w:t>
      </w:r>
      <w:r>
        <w:t xml:space="preserve">se z důvodu výpadku Ruska (meziroční pokles o 96 %) stala Čína, kam v roce 2014 vzrostl vývoz o 6,8 % na 711 tis. t. Aby vyrovnala výpadek ruského trhu, zaměřila EU své exporty směrem do jihovýchodní Asie (zejména Jižní Korea, Hongkong) a do Japonska. Do těchto zemí meziročně prodala o 28,0 % více vepřového masa než v roce 2013. Také do USA a Austrálie byl navýšen unijní vývoz meziročně o 41 %. </w:t>
      </w:r>
      <w:r w:rsidRPr="00CF3468">
        <w:rPr>
          <w:color w:val="000000"/>
        </w:rPr>
        <w:t xml:space="preserve">V rámci členských zemí dominovalo ve vývozu </w:t>
      </w:r>
      <w:r w:rsidRPr="00CF3468">
        <w:rPr>
          <w:color w:val="000000"/>
        </w:rPr>
        <w:lastRenderedPageBreak/>
        <w:t xml:space="preserve">vepřového masa do třetích zemí </w:t>
      </w:r>
      <w:r>
        <w:rPr>
          <w:color w:val="000000"/>
        </w:rPr>
        <w:t xml:space="preserve">opět </w:t>
      </w:r>
      <w:r w:rsidRPr="00CF3468">
        <w:rPr>
          <w:color w:val="000000"/>
        </w:rPr>
        <w:t>Německo s 24% podílem na celkovém exportu U</w:t>
      </w:r>
      <w:r>
        <w:rPr>
          <w:color w:val="000000"/>
        </w:rPr>
        <w:t>nie, následováno Dánskem</w:t>
      </w:r>
      <w:r w:rsidRPr="00CF3468">
        <w:rPr>
          <w:color w:val="000000"/>
        </w:rPr>
        <w:t xml:space="preserve"> (podíl 1</w:t>
      </w:r>
      <w:r>
        <w:rPr>
          <w:color w:val="000000"/>
        </w:rPr>
        <w:t>8</w:t>
      </w:r>
      <w:r w:rsidRPr="00CF3468">
        <w:rPr>
          <w:color w:val="000000"/>
        </w:rPr>
        <w:t> %)</w:t>
      </w:r>
      <w:r>
        <w:rPr>
          <w:color w:val="000000"/>
        </w:rPr>
        <w:t>. Obě tyto země však snížily meziročně vývoz do třetích zemí o 5,0 %, resp. 8,3 %. Polsko meziročně výrazně (o 46 %) omezilo vývozy do třetích zemí a jeho podíl na exportu EU klesl na 6,3 %.</w:t>
      </w:r>
      <w:r w:rsidRPr="00CF3468">
        <w:rPr>
          <w:color w:val="000000"/>
        </w:rPr>
        <w:t xml:space="preserve"> </w:t>
      </w:r>
      <w:r>
        <w:rPr>
          <w:color w:val="000000"/>
        </w:rPr>
        <w:t xml:space="preserve">Třetím největším vývozcem se stalo v roce 2014 Španělsko, které naopak posílilo prodeje na globální trhy o 32 %. </w:t>
      </w:r>
      <w:r w:rsidRPr="00CF3468">
        <w:rPr>
          <w:color w:val="000000"/>
        </w:rPr>
        <w:t xml:space="preserve">Dalšími významnými exportéry byly </w:t>
      </w:r>
      <w:r>
        <w:rPr>
          <w:color w:val="000000"/>
        </w:rPr>
        <w:t>Francie</w:t>
      </w:r>
      <w:r w:rsidRPr="00CF3468">
        <w:rPr>
          <w:color w:val="000000"/>
        </w:rPr>
        <w:t xml:space="preserve"> a Nizozemsko.</w:t>
      </w:r>
    </w:p>
    <w:p w:rsidR="00567C4A" w:rsidRPr="00CF3468" w:rsidRDefault="00567C4A" w:rsidP="000B7BEE">
      <w:pPr>
        <w:rPr>
          <w:color w:val="000000"/>
        </w:rPr>
      </w:pPr>
      <w:r w:rsidRPr="00CF3468">
        <w:rPr>
          <w:color w:val="000000"/>
        </w:rPr>
        <w:t xml:space="preserve">Dovoz vepřového masa do EU </w:t>
      </w:r>
      <w:r>
        <w:rPr>
          <w:color w:val="000000"/>
        </w:rPr>
        <w:t>byl</w:t>
      </w:r>
      <w:r w:rsidRPr="00CF3468">
        <w:rPr>
          <w:color w:val="000000"/>
        </w:rPr>
        <w:t xml:space="preserve"> ve srovnání s vývozem </w:t>
      </w:r>
      <w:r>
        <w:rPr>
          <w:color w:val="000000"/>
        </w:rPr>
        <w:t xml:space="preserve">tradičně </w:t>
      </w:r>
      <w:r w:rsidRPr="00CF3468">
        <w:rPr>
          <w:color w:val="000000"/>
        </w:rPr>
        <w:t>zanedbatelný</w:t>
      </w:r>
      <w:r>
        <w:rPr>
          <w:color w:val="000000"/>
        </w:rPr>
        <w:t>, m</w:t>
      </w:r>
      <w:r w:rsidRPr="00CF3468">
        <w:rPr>
          <w:color w:val="000000"/>
        </w:rPr>
        <w:t xml:space="preserve">eziročně </w:t>
      </w:r>
      <w:r>
        <w:rPr>
          <w:color w:val="000000"/>
        </w:rPr>
        <w:t>však mírně vzrostl o</w:t>
      </w:r>
      <w:r w:rsidRPr="00CF3468">
        <w:rPr>
          <w:color w:val="000000"/>
        </w:rPr>
        <w:t> </w:t>
      </w:r>
      <w:r>
        <w:rPr>
          <w:color w:val="000000"/>
        </w:rPr>
        <w:t>4,4</w:t>
      </w:r>
      <w:r w:rsidRPr="00CF3468">
        <w:rPr>
          <w:color w:val="000000"/>
        </w:rPr>
        <w:t xml:space="preserve"> % na 3</w:t>
      </w:r>
      <w:r>
        <w:rPr>
          <w:color w:val="000000"/>
        </w:rPr>
        <w:t>5,3</w:t>
      </w:r>
      <w:r w:rsidRPr="00CF3468">
        <w:rPr>
          <w:color w:val="000000"/>
        </w:rPr>
        <w:t xml:space="preserve"> tis. t. Hlavním důvodem byl především </w:t>
      </w:r>
      <w:r>
        <w:rPr>
          <w:color w:val="000000"/>
        </w:rPr>
        <w:t xml:space="preserve">nárůst nákupu vepřového masa ze </w:t>
      </w:r>
      <w:r w:rsidRPr="00CF3468">
        <w:rPr>
          <w:color w:val="000000"/>
        </w:rPr>
        <w:t xml:space="preserve">Švýcarska a </w:t>
      </w:r>
      <w:r>
        <w:rPr>
          <w:color w:val="000000"/>
        </w:rPr>
        <w:t>Srbska</w:t>
      </w:r>
      <w:r w:rsidRPr="00CF3468">
        <w:rPr>
          <w:color w:val="000000"/>
        </w:rPr>
        <w:t xml:space="preserve"> (celkem o </w:t>
      </w:r>
      <w:r>
        <w:rPr>
          <w:color w:val="000000"/>
        </w:rPr>
        <w:t>6,</w:t>
      </w:r>
      <w:r w:rsidRPr="00CF3468">
        <w:rPr>
          <w:color w:val="000000"/>
        </w:rPr>
        <w:t>1 %). Nejvýznamnějším importérem vepřového masa do EU zůstalo Švýcarsko, jehož podíl z celkového dovozu v roce 201</w:t>
      </w:r>
      <w:r>
        <w:rPr>
          <w:color w:val="000000"/>
        </w:rPr>
        <w:t>4</w:t>
      </w:r>
      <w:r w:rsidRPr="00CF3468">
        <w:rPr>
          <w:color w:val="000000"/>
        </w:rPr>
        <w:t xml:space="preserve"> dosahoval 5</w:t>
      </w:r>
      <w:r>
        <w:rPr>
          <w:color w:val="000000"/>
        </w:rPr>
        <w:t>1</w:t>
      </w:r>
      <w:r w:rsidRPr="00CF3468">
        <w:rPr>
          <w:color w:val="000000"/>
        </w:rPr>
        <w:t> %.</w:t>
      </w:r>
    </w:p>
    <w:p w:rsidR="00567C4A" w:rsidRPr="00CF3468" w:rsidRDefault="00567C4A" w:rsidP="000B7BEE">
      <w:pPr>
        <w:rPr>
          <w:color w:val="000000"/>
        </w:rPr>
      </w:pPr>
      <w:r>
        <w:t>Vysoké ceny vepřového masa, které kulminovaly v Evropě v letech 2012 a 2013, se již nepodařilo v roce 2014 udržet.</w:t>
      </w:r>
      <w:r w:rsidRPr="00CF3468">
        <w:t xml:space="preserve"> </w:t>
      </w:r>
      <w:r w:rsidRPr="001E01EE">
        <w:t>V EU se průměrná CZV jatečných prasat tř. E na reprezentativních trzích meziročně snížila o 10,8 % (tj. o 18,9 €/100 kg) na 156,6 €/100 kg j. hm. K jejímu snížení došlo téměř ve všech členských zemích vyjma Velké Británie (nárůst o 0,9 %). Z jednotlivých členských zemí více než desetiprocentní pokles ceny byl evidován především v Rumunsku (</w:t>
      </w:r>
      <w:r w:rsidRPr="001E01EE">
        <w:noBreakHyphen/>
        <w:t>13,2 %), ve Španělsku (</w:t>
      </w:r>
      <w:r w:rsidRPr="001E01EE">
        <w:noBreakHyphen/>
        <w:t>12,4 %), Nizozemsku (</w:t>
      </w:r>
      <w:r w:rsidRPr="001E01EE">
        <w:noBreakHyphen/>
        <w:t>12,0 %), Belgii (</w:t>
      </w:r>
      <w:r w:rsidRPr="001E01EE">
        <w:noBreakHyphen/>
        <w:t>11,6 %), Polsku (</w:t>
      </w:r>
      <w:r w:rsidRPr="001E01EE">
        <w:noBreakHyphen/>
        <w:t>10,9 %) a Francii (</w:t>
      </w:r>
      <w:r>
        <w:noBreakHyphen/>
      </w:r>
      <w:r w:rsidRPr="001E01EE">
        <w:t xml:space="preserve">10,3 %). Nejnižší cena jatečných prasat </w:t>
      </w:r>
      <w:r>
        <w:t xml:space="preserve">tř. E </w:t>
      </w:r>
      <w:r w:rsidRPr="001E01EE">
        <w:t xml:space="preserve">byla </w:t>
      </w:r>
      <w:r>
        <w:t xml:space="preserve">v rámci EU </w:t>
      </w:r>
      <w:r w:rsidRPr="001E01EE">
        <w:t>vykázána v Nizozemsku (138,21 €/100 kg j. hm.</w:t>
      </w:r>
      <w:r>
        <w:t>)</w:t>
      </w:r>
      <w:r w:rsidRPr="001E01EE">
        <w:t xml:space="preserve">, naproti tomu nejvyšší </w:t>
      </w:r>
      <w:r>
        <w:t>byla na Maltě (237,0/</w:t>
      </w:r>
      <w:r w:rsidRPr="001E01EE">
        <w:t>100 kg j. hm</w:t>
      </w:r>
      <w:r>
        <w:t>.). Také u zástavových selat došlo v roce 2014 k</w:t>
      </w:r>
      <w:r w:rsidRPr="00CF3468">
        <w:rPr>
          <w:color w:val="000000"/>
        </w:rPr>
        <w:t xml:space="preserve"> obdobnému trendu </w:t>
      </w:r>
      <w:r>
        <w:rPr>
          <w:color w:val="000000"/>
        </w:rPr>
        <w:t>ve vývoji CZV.</w:t>
      </w:r>
      <w:r w:rsidRPr="00CF3468">
        <w:rPr>
          <w:color w:val="000000"/>
        </w:rPr>
        <w:t xml:space="preserve"> Ty meziročně v průměru EU </w:t>
      </w:r>
      <w:r>
        <w:rPr>
          <w:color w:val="000000"/>
        </w:rPr>
        <w:t xml:space="preserve">oslabily, i když mírněji než u jatečných prasat, </w:t>
      </w:r>
      <w:r w:rsidRPr="00CF3468">
        <w:rPr>
          <w:color w:val="000000"/>
        </w:rPr>
        <w:t>o </w:t>
      </w:r>
      <w:r>
        <w:rPr>
          <w:color w:val="000000"/>
        </w:rPr>
        <w:t>5,3</w:t>
      </w:r>
      <w:r w:rsidRPr="00CF3468">
        <w:rPr>
          <w:color w:val="000000"/>
        </w:rPr>
        <w:t> % na 4</w:t>
      </w:r>
      <w:r>
        <w:rPr>
          <w:color w:val="000000"/>
        </w:rPr>
        <w:t>5,58</w:t>
      </w:r>
      <w:r w:rsidRPr="00CF3468">
        <w:rPr>
          <w:color w:val="000000"/>
        </w:rPr>
        <w:t> € za sele</w:t>
      </w:r>
      <w:r>
        <w:rPr>
          <w:color w:val="000000"/>
        </w:rPr>
        <w:t>. N</w:t>
      </w:r>
      <w:r w:rsidRPr="00CF3468">
        <w:rPr>
          <w:color w:val="000000"/>
        </w:rPr>
        <w:t xml:space="preserve">ejvýrazněji </w:t>
      </w:r>
      <w:r>
        <w:rPr>
          <w:color w:val="000000"/>
        </w:rPr>
        <w:t xml:space="preserve">klesly ceny selat </w:t>
      </w:r>
      <w:r w:rsidRPr="00CF3468">
        <w:rPr>
          <w:color w:val="000000"/>
        </w:rPr>
        <w:t>v</w:t>
      </w:r>
      <w:r>
        <w:rPr>
          <w:color w:val="000000"/>
        </w:rPr>
        <w:t> Belgii, Německu a Španělsku, naopak se zvýšily především v Chorvatsku, Velké Británii a Francii</w:t>
      </w:r>
      <w:r w:rsidRPr="00CF3468">
        <w:rPr>
          <w:color w:val="000000"/>
        </w:rPr>
        <w:t>.</w:t>
      </w:r>
    </w:p>
    <w:p w:rsidR="00567C4A" w:rsidRDefault="00567C4A" w:rsidP="000B7BEE">
      <w:r w:rsidRPr="00CF3468">
        <w:rPr>
          <w:color w:val="000000"/>
        </w:rPr>
        <w:t>V</w:t>
      </w:r>
      <w:r>
        <w:rPr>
          <w:color w:val="000000"/>
        </w:rPr>
        <w:t> </w:t>
      </w:r>
      <w:r w:rsidRPr="00CF3468">
        <w:rPr>
          <w:color w:val="000000"/>
        </w:rPr>
        <w:t>Č</w:t>
      </w:r>
      <w:r>
        <w:rPr>
          <w:color w:val="000000"/>
        </w:rPr>
        <w:t>eské republice</w:t>
      </w:r>
      <w:r w:rsidRPr="00CF3468">
        <w:rPr>
          <w:color w:val="000000"/>
        </w:rPr>
        <w:t xml:space="preserve"> byl v roce 201</w:t>
      </w:r>
      <w:r>
        <w:rPr>
          <w:color w:val="000000"/>
        </w:rPr>
        <w:t>4</w:t>
      </w:r>
      <w:r w:rsidRPr="00CF3468">
        <w:rPr>
          <w:color w:val="000000"/>
        </w:rPr>
        <w:t xml:space="preserve"> vývoj v komoditě</w:t>
      </w:r>
      <w:r w:rsidRPr="00CF3468">
        <w:t xml:space="preserve"> vepřové maso charakterizován</w:t>
      </w:r>
      <w:r>
        <w:t xml:space="preserve"> </w:t>
      </w:r>
      <w:r w:rsidRPr="00CF3468">
        <w:t>oživením</w:t>
      </w:r>
      <w:r w:rsidRPr="007E66F8">
        <w:t xml:space="preserve"> </w:t>
      </w:r>
      <w:r w:rsidRPr="00CF3468">
        <w:t>odvětví</w:t>
      </w:r>
      <w:r>
        <w:t>, ke kterému došlo po dlouhodobém útlumu. To</w:t>
      </w:r>
      <w:r w:rsidRPr="00CF3468">
        <w:t xml:space="preserve"> se projevilo mírným růstem stavů prasat i prasnic, mírným zvýšením celkové výroby, nárůstem vývozů a mírným zlepšením </w:t>
      </w:r>
      <w:r>
        <w:t>bilance</w:t>
      </w:r>
      <w:r w:rsidRPr="00CF3468">
        <w:t xml:space="preserve"> zahraničního obchodu.</w:t>
      </w:r>
      <w:r>
        <w:t xml:space="preserve"> </w:t>
      </w:r>
      <w:r w:rsidRPr="00CF3468">
        <w:t xml:space="preserve">Obdobně jako v celé EU došlo také v ČR ke </w:t>
      </w:r>
      <w:r>
        <w:t>snížení</w:t>
      </w:r>
      <w:r w:rsidRPr="00CF3468">
        <w:t xml:space="preserve"> </w:t>
      </w:r>
      <w:r>
        <w:t>cen</w:t>
      </w:r>
      <w:r w:rsidRPr="00CF3468">
        <w:t xml:space="preserve"> jatečných prasat a</w:t>
      </w:r>
      <w:r>
        <w:t> </w:t>
      </w:r>
      <w:r w:rsidRPr="00CF3468">
        <w:t>vepřového masa</w:t>
      </w:r>
      <w:r>
        <w:t>, které bylo</w:t>
      </w:r>
      <w:r w:rsidRPr="00CF3468">
        <w:t xml:space="preserve"> provázeno </w:t>
      </w:r>
      <w:r>
        <w:t xml:space="preserve">stagnací </w:t>
      </w:r>
      <w:r w:rsidRPr="00CF3468">
        <w:t>spotřeby</w:t>
      </w:r>
      <w:r>
        <w:t>.</w:t>
      </w:r>
    </w:p>
    <w:p w:rsidR="00567C4A" w:rsidRPr="00CF3468" w:rsidRDefault="00567C4A" w:rsidP="000B7BEE">
      <w:pPr>
        <w:rPr>
          <w:color w:val="000000"/>
        </w:rPr>
      </w:pPr>
      <w:r w:rsidRPr="00CF3468">
        <w:t>V roce 201</w:t>
      </w:r>
      <w:r>
        <w:t>4</w:t>
      </w:r>
      <w:r w:rsidRPr="00CF3468">
        <w:t xml:space="preserve"> </w:t>
      </w:r>
      <w:r>
        <w:t xml:space="preserve">byly do odvětví chovu prasat cíleny opět </w:t>
      </w:r>
      <w:r w:rsidRPr="00CF3468">
        <w:t>podpory z národních zdrojů</w:t>
      </w:r>
      <w:r>
        <w:rPr>
          <w:rStyle w:val="Znakapoznpodarou"/>
        </w:rPr>
        <w:footnoteReference w:id="142"/>
      </w:r>
      <w:r w:rsidRPr="00CF3468">
        <w:t xml:space="preserve"> (např. udržování a zlepšování genetického fondu, kontrola užitkovosti, speciální poradenství, nákazový fond aj.) – viz kap. 2.3. </w:t>
      </w:r>
      <w:r>
        <w:t>V rámci nich byla, obdobně jako v předchozích letech,</w:t>
      </w:r>
      <w:r w:rsidRPr="00CF3468">
        <w:t xml:space="preserve"> v rámci Nákazového fondu vyplacena žadatelům podpora na ozdrav</w:t>
      </w:r>
      <w:r>
        <w:t>ová</w:t>
      </w:r>
      <w:r w:rsidRPr="00CF3468">
        <w:t>ní chovů</w:t>
      </w:r>
      <w:r w:rsidRPr="00950504">
        <w:rPr>
          <w:rStyle w:val="Znakapoznpodarou"/>
        </w:rPr>
        <w:footnoteReference w:id="143"/>
      </w:r>
      <w:r w:rsidRPr="00CF3468">
        <w:t xml:space="preserve">, která </w:t>
      </w:r>
      <w:r w:rsidRPr="00CF3468">
        <w:lastRenderedPageBreak/>
        <w:t>v roce 201</w:t>
      </w:r>
      <w:r>
        <w:t>4</w:t>
      </w:r>
      <w:r w:rsidRPr="00CF3468">
        <w:t xml:space="preserve"> představovala celkovou částku </w:t>
      </w:r>
      <w:r>
        <w:t>577</w:t>
      </w:r>
      <w:r w:rsidRPr="00CF3468">
        <w:t xml:space="preserve"> mil. Kč. Pro selata z toho bylo </w:t>
      </w:r>
      <w:r>
        <w:t>čerpáno</w:t>
      </w:r>
      <w:r w:rsidRPr="00CF3468">
        <w:t xml:space="preserve"> </w:t>
      </w:r>
      <w:r>
        <w:t>427,2</w:t>
      </w:r>
      <w:r w:rsidRPr="00CF3468">
        <w:rPr>
          <w:color w:val="000000"/>
        </w:rPr>
        <w:t xml:space="preserve"> mil. Kč a ostatní suma </w:t>
      </w:r>
      <w:r>
        <w:rPr>
          <w:color w:val="000000"/>
        </w:rPr>
        <w:t>připadla</w:t>
      </w:r>
      <w:r w:rsidRPr="00CF3468">
        <w:rPr>
          <w:color w:val="000000"/>
        </w:rPr>
        <w:t xml:space="preserve"> pro chovy prasnic, prasniček a kanečků.</w:t>
      </w:r>
    </w:p>
    <w:p w:rsidR="00567C4A" w:rsidRPr="00CF3468" w:rsidRDefault="00567C4A" w:rsidP="000B7BEE">
      <w:r w:rsidRPr="00CF3468">
        <w:t>Česká republika se řadila v rámci EU k těm zemím, kde v roce 201</w:t>
      </w:r>
      <w:r>
        <w:t>4</w:t>
      </w:r>
      <w:r w:rsidRPr="00CF3468">
        <w:t xml:space="preserve"> došlo k </w:t>
      </w:r>
      <w:r>
        <w:t>rozšíření</w:t>
      </w:r>
      <w:r w:rsidRPr="00CF3468">
        <w:t xml:space="preserve"> chovů prasat. Podle Soupisu hospodářských zvířat k 1. 4. 201</w:t>
      </w:r>
      <w:r>
        <w:t>4</w:t>
      </w:r>
      <w:r w:rsidRPr="00CF3468">
        <w:t xml:space="preserve"> se stavy prasat celkem meziročně zvýšily o </w:t>
      </w:r>
      <w:r>
        <w:t>necel</w:t>
      </w:r>
      <w:r w:rsidR="00AE7AC1">
        <w:t>á</w:t>
      </w:r>
      <w:r>
        <w:t xml:space="preserve"> 2 </w:t>
      </w:r>
      <w:r w:rsidRPr="00CF3468">
        <w:t>% (tj. o </w:t>
      </w:r>
      <w:r>
        <w:t>30,4</w:t>
      </w:r>
      <w:r w:rsidRPr="00CF3468">
        <w:t xml:space="preserve"> tis. ks). </w:t>
      </w:r>
      <w:r>
        <w:t>Zejména došlo k navýšení počtu selat</w:t>
      </w:r>
      <w:r w:rsidRPr="00CF3468">
        <w:t xml:space="preserve"> (o 1</w:t>
      </w:r>
      <w:r>
        <w:t>0,9</w:t>
      </w:r>
      <w:r w:rsidRPr="00CF3468">
        <w:t> %)</w:t>
      </w:r>
      <w:r>
        <w:t xml:space="preserve"> a prasniček (o 6,8 %) a velmi mírné oživení</w:t>
      </w:r>
      <w:r w:rsidRPr="00CF3468">
        <w:t xml:space="preserve"> bylo zaznamenáno také</w:t>
      </w:r>
      <w:r>
        <w:t xml:space="preserve"> u prasat</w:t>
      </w:r>
      <w:r w:rsidRPr="00CF3468">
        <w:t xml:space="preserve"> ve výkrmu</w:t>
      </w:r>
      <w:r>
        <w:t xml:space="preserve"> a u prasnic (shodně o 0,6 %)</w:t>
      </w:r>
      <w:r w:rsidRPr="00CF3468">
        <w:t>.</w:t>
      </w:r>
      <w:r>
        <w:t xml:space="preserve"> V rámci jednotlivých krajů byly v</w:t>
      </w:r>
      <w:r w:rsidRPr="00CF3468">
        <w:t>yšší stavy prasat celkem k počátku dubna 201</w:t>
      </w:r>
      <w:r>
        <w:t>4</w:t>
      </w:r>
      <w:r w:rsidRPr="00CF3468">
        <w:t xml:space="preserve"> </w:t>
      </w:r>
      <w:r>
        <w:t>meziročně</w:t>
      </w:r>
      <w:r w:rsidRPr="00CF3468">
        <w:t xml:space="preserve"> zaznamenány především v kraji </w:t>
      </w:r>
      <w:r>
        <w:t>Olomouckém (o 9,4 %), Středočeském</w:t>
      </w:r>
      <w:r w:rsidRPr="00CF3468">
        <w:t xml:space="preserve"> (o </w:t>
      </w:r>
      <w:r>
        <w:t>5,5 </w:t>
      </w:r>
      <w:r w:rsidRPr="00CF3468">
        <w:t xml:space="preserve">%) a </w:t>
      </w:r>
      <w:r>
        <w:t>Moravskoslezském (</w:t>
      </w:r>
      <w:r w:rsidRPr="00745B8A">
        <w:t>o</w:t>
      </w:r>
      <w:r>
        <w:t xml:space="preserve"> 7,6 %), naopak úbytek jejich počtu byl evidován především v kraji Plzeňském (</w:t>
      </w:r>
      <w:r>
        <w:noBreakHyphen/>
        <w:t>4,4 %), Jihomoravském (</w:t>
      </w:r>
      <w:r>
        <w:noBreakHyphen/>
        <w:t>3,6 %) a Zlínském (</w:t>
      </w:r>
      <w:r>
        <w:noBreakHyphen/>
        <w:t xml:space="preserve">2,9 %). </w:t>
      </w:r>
      <w:r w:rsidRPr="00CF3468">
        <w:t xml:space="preserve">Pozitivní vývoj </w:t>
      </w:r>
      <w:r>
        <w:t>je patrný</w:t>
      </w:r>
      <w:r w:rsidRPr="00CF3468">
        <w:t xml:space="preserve"> </w:t>
      </w:r>
      <w:r>
        <w:t>rovněž</w:t>
      </w:r>
      <w:r w:rsidRPr="00CF3468">
        <w:t xml:space="preserve"> v chovech prasnic, kde došlo k 1.</w:t>
      </w:r>
      <w:r>
        <w:t> </w:t>
      </w:r>
      <w:r w:rsidRPr="00CF3468">
        <w:t xml:space="preserve">4. </w:t>
      </w:r>
      <w:r>
        <w:t xml:space="preserve">již druhým rokem po sobě </w:t>
      </w:r>
      <w:r w:rsidRPr="00CF3468">
        <w:t>k </w:t>
      </w:r>
      <w:r>
        <w:t>rozšíření</w:t>
      </w:r>
      <w:r w:rsidRPr="00CF3468">
        <w:t xml:space="preserve"> základního stáda</w:t>
      </w:r>
      <w:r>
        <w:t xml:space="preserve"> v meziroční srovnání </w:t>
      </w:r>
      <w:r w:rsidRPr="00CF3468">
        <w:t>o </w:t>
      </w:r>
      <w:r>
        <w:t>0,6 % na 103,0</w:t>
      </w:r>
      <w:r w:rsidRPr="00CF3468">
        <w:t xml:space="preserve"> tis. ks. </w:t>
      </w:r>
      <w:r>
        <w:t>O něco výrazněji se proti roku 2013 zvýšily p</w:t>
      </w:r>
      <w:r w:rsidRPr="00CF3468">
        <w:t xml:space="preserve">růměrné roční </w:t>
      </w:r>
      <w:r>
        <w:t>stavy</w:t>
      </w:r>
      <w:r w:rsidRPr="00CF3468">
        <w:t xml:space="preserve"> prasnic</w:t>
      </w:r>
      <w:r>
        <w:t>, které dosáhly 109,7 tis. ks (nárůst o 1,3 %, o 1,4</w:t>
      </w:r>
      <w:r w:rsidRPr="00CF3468">
        <w:t> tis. ks</w:t>
      </w:r>
      <w:r>
        <w:t>). Jejich počty vzrostly p</w:t>
      </w:r>
      <w:r w:rsidRPr="00CF3468">
        <w:t>ředevším v kraj</w:t>
      </w:r>
      <w:r>
        <w:t>ích</w:t>
      </w:r>
      <w:r w:rsidRPr="00CF3468">
        <w:t xml:space="preserve"> </w:t>
      </w:r>
      <w:r>
        <w:t>Ústeckém</w:t>
      </w:r>
      <w:r w:rsidRPr="00CF3468">
        <w:t xml:space="preserve"> (</w:t>
      </w:r>
      <w:r>
        <w:t>16,7</w:t>
      </w:r>
      <w:r w:rsidRPr="00CF3468">
        <w:t> %)</w:t>
      </w:r>
      <w:r>
        <w:t xml:space="preserve"> a Moravskoslezském</w:t>
      </w:r>
      <w:r w:rsidRPr="00CF3468">
        <w:t xml:space="preserve"> (</w:t>
      </w:r>
      <w:r>
        <w:t>10,6</w:t>
      </w:r>
      <w:r w:rsidRPr="00CF3468">
        <w:t> %),</w:t>
      </w:r>
      <w:r>
        <w:t xml:space="preserve"> naopak k dalšímu úbytku došlo v kraji Jihomoravském (</w:t>
      </w:r>
      <w:r>
        <w:noBreakHyphen/>
        <w:t xml:space="preserve">6,9 %), Zlínském a Karlovarském (shodně </w:t>
      </w:r>
      <w:r>
        <w:noBreakHyphen/>
        <w:t>6,7 %).</w:t>
      </w:r>
    </w:p>
    <w:p w:rsidR="00567C4A" w:rsidRPr="00CF3468" w:rsidRDefault="00567C4A" w:rsidP="000B7BEE">
      <w:pPr>
        <w:rPr>
          <w:color w:val="000000"/>
        </w:rPr>
      </w:pPr>
      <w:r>
        <w:rPr>
          <w:color w:val="000000"/>
        </w:rPr>
        <w:t>V</w:t>
      </w:r>
      <w:r w:rsidRPr="00CF3468">
        <w:rPr>
          <w:color w:val="000000"/>
        </w:rPr>
        <w:t> roce 201</w:t>
      </w:r>
      <w:r>
        <w:rPr>
          <w:color w:val="000000"/>
        </w:rPr>
        <w:t>4 se v ČR</w:t>
      </w:r>
      <w:r w:rsidRPr="00CF3468">
        <w:rPr>
          <w:color w:val="000000"/>
        </w:rPr>
        <w:t xml:space="preserve"> počet podniků zabývajících se chovem prasat celkem i chovem prasnic meziročně </w:t>
      </w:r>
      <w:r>
        <w:rPr>
          <w:color w:val="000000"/>
        </w:rPr>
        <w:t>mírně zvýšil</w:t>
      </w:r>
      <w:r w:rsidRPr="00CF3468">
        <w:rPr>
          <w:color w:val="000000"/>
        </w:rPr>
        <w:t>. Podle údajů ČMSCH bylo k 31. 12. 201</w:t>
      </w:r>
      <w:r>
        <w:rPr>
          <w:color w:val="000000"/>
        </w:rPr>
        <w:t>4</w:t>
      </w:r>
      <w:r w:rsidRPr="00CF3468">
        <w:rPr>
          <w:color w:val="000000"/>
        </w:rPr>
        <w:t xml:space="preserve"> na našem území evidováno celkem 2 </w:t>
      </w:r>
      <w:r>
        <w:rPr>
          <w:color w:val="000000"/>
        </w:rPr>
        <w:t>642</w:t>
      </w:r>
      <w:r w:rsidRPr="00CF3468">
        <w:rPr>
          <w:color w:val="000000"/>
        </w:rPr>
        <w:t xml:space="preserve"> podniků zabývajících se chovem prasat s průměrným počtem 6</w:t>
      </w:r>
      <w:r>
        <w:rPr>
          <w:color w:val="000000"/>
        </w:rPr>
        <w:t>53</w:t>
      </w:r>
      <w:r w:rsidRPr="00CF3468">
        <w:rPr>
          <w:color w:val="000000"/>
        </w:rPr>
        <w:t xml:space="preserve"> zvířat na podnik. </w:t>
      </w:r>
      <w:r>
        <w:rPr>
          <w:color w:val="000000"/>
        </w:rPr>
        <w:t>Meziročně tak přibylo celkem 100 podniků, a to zejména v kategorii malých chovatelů s počty zvířat do 100 ks (zvýšení o 5,8 %).</w:t>
      </w:r>
      <w:r w:rsidRPr="00CF3468">
        <w:rPr>
          <w:color w:val="000000"/>
        </w:rPr>
        <w:t xml:space="preserve"> </w:t>
      </w:r>
      <w:r>
        <w:rPr>
          <w:color w:val="000000"/>
        </w:rPr>
        <w:t>Naproti tomu u</w:t>
      </w:r>
      <w:r w:rsidRPr="00CF3468">
        <w:rPr>
          <w:color w:val="000000"/>
        </w:rPr>
        <w:t>byl</w:t>
      </w:r>
      <w:r>
        <w:rPr>
          <w:color w:val="000000"/>
        </w:rPr>
        <w:t>y</w:t>
      </w:r>
      <w:r w:rsidRPr="00CF3468">
        <w:rPr>
          <w:color w:val="000000"/>
        </w:rPr>
        <w:t xml:space="preserve"> </w:t>
      </w:r>
      <w:r>
        <w:rPr>
          <w:color w:val="000000"/>
        </w:rPr>
        <w:t>4 velké podniky s chovy</w:t>
      </w:r>
      <w:r w:rsidRPr="00CF3468">
        <w:rPr>
          <w:color w:val="000000"/>
        </w:rPr>
        <w:t xml:space="preserve"> </w:t>
      </w:r>
      <w:r>
        <w:rPr>
          <w:color w:val="000000"/>
        </w:rPr>
        <w:t xml:space="preserve">nad 10 tis. ks, kterých zůstalo 34. </w:t>
      </w:r>
      <w:r w:rsidRPr="00CF3468">
        <w:rPr>
          <w:color w:val="000000"/>
        </w:rPr>
        <w:t>Rozhodující počet prasat celkem byl chován v</w:t>
      </w:r>
      <w:r>
        <w:rPr>
          <w:color w:val="000000"/>
        </w:rPr>
        <w:t xml:space="preserve">e větších </w:t>
      </w:r>
      <w:r w:rsidRPr="00CF3468">
        <w:rPr>
          <w:color w:val="000000"/>
        </w:rPr>
        <w:t xml:space="preserve">podnicích s koncentrací </w:t>
      </w:r>
      <w:r>
        <w:rPr>
          <w:color w:val="000000"/>
        </w:rPr>
        <w:t xml:space="preserve">zvířat </w:t>
      </w:r>
      <w:r w:rsidRPr="00CF3468">
        <w:rPr>
          <w:color w:val="000000"/>
        </w:rPr>
        <w:t>nad 2 tis. ks. V roce 201</w:t>
      </w:r>
      <w:r>
        <w:rPr>
          <w:color w:val="000000"/>
        </w:rPr>
        <w:t>4</w:t>
      </w:r>
      <w:r w:rsidRPr="00CF3468">
        <w:rPr>
          <w:color w:val="000000"/>
        </w:rPr>
        <w:t xml:space="preserve"> bylo evidováno</w:t>
      </w:r>
      <w:r>
        <w:rPr>
          <w:color w:val="000000"/>
        </w:rPr>
        <w:t xml:space="preserve"> celkem</w:t>
      </w:r>
      <w:r w:rsidRPr="00CF3468">
        <w:rPr>
          <w:color w:val="000000"/>
        </w:rPr>
        <w:t xml:space="preserve"> 17</w:t>
      </w:r>
      <w:r>
        <w:rPr>
          <w:color w:val="000000"/>
        </w:rPr>
        <w:t>6</w:t>
      </w:r>
      <w:r w:rsidRPr="00CF3468">
        <w:rPr>
          <w:color w:val="000000"/>
        </w:rPr>
        <w:t xml:space="preserve"> těchto podniků, tj. o </w:t>
      </w:r>
      <w:r>
        <w:rPr>
          <w:color w:val="000000"/>
        </w:rPr>
        <w:t>2</w:t>
      </w:r>
      <w:r w:rsidRPr="00CF3468">
        <w:rPr>
          <w:color w:val="000000"/>
        </w:rPr>
        <w:t> % více než v roce 201</w:t>
      </w:r>
      <w:r>
        <w:rPr>
          <w:color w:val="000000"/>
        </w:rPr>
        <w:t>3</w:t>
      </w:r>
      <w:r w:rsidRPr="00CF3468">
        <w:rPr>
          <w:color w:val="000000"/>
        </w:rPr>
        <w:t xml:space="preserve">. Na celkových stavech prasat v ČR se </w:t>
      </w:r>
      <w:r>
        <w:rPr>
          <w:color w:val="000000"/>
        </w:rPr>
        <w:t xml:space="preserve">však </w:t>
      </w:r>
      <w:r w:rsidRPr="00CF3468">
        <w:rPr>
          <w:color w:val="000000"/>
        </w:rPr>
        <w:t>podílely téměř 82 %. V</w:t>
      </w:r>
      <w:r>
        <w:rPr>
          <w:color w:val="000000"/>
        </w:rPr>
        <w:t> </w:t>
      </w:r>
      <w:r w:rsidRPr="00CF3468">
        <w:rPr>
          <w:color w:val="000000"/>
        </w:rPr>
        <w:t>chovu prasnic přibyl</w:t>
      </w:r>
      <w:r>
        <w:rPr>
          <w:color w:val="000000"/>
        </w:rPr>
        <w:t>i pouze</w:t>
      </w:r>
      <w:r w:rsidRPr="00CF3468">
        <w:rPr>
          <w:color w:val="000000"/>
        </w:rPr>
        <w:t xml:space="preserve"> mal</w:t>
      </w:r>
      <w:r>
        <w:rPr>
          <w:color w:val="000000"/>
        </w:rPr>
        <w:t>í chovatelé</w:t>
      </w:r>
      <w:r w:rsidRPr="00CF3468">
        <w:rPr>
          <w:color w:val="000000"/>
        </w:rPr>
        <w:t xml:space="preserve"> (</w:t>
      </w:r>
      <w:r>
        <w:rPr>
          <w:color w:val="000000"/>
        </w:rPr>
        <w:t>nárůst o 63 podniků</w:t>
      </w:r>
      <w:r w:rsidRPr="00CF3468">
        <w:rPr>
          <w:color w:val="000000"/>
        </w:rPr>
        <w:t>)</w:t>
      </w:r>
      <w:r>
        <w:rPr>
          <w:color w:val="000000"/>
        </w:rPr>
        <w:t xml:space="preserve"> s chovy do</w:t>
      </w:r>
      <w:r w:rsidRPr="00CF3468">
        <w:rPr>
          <w:color w:val="000000"/>
        </w:rPr>
        <w:t xml:space="preserve"> 100 ks</w:t>
      </w:r>
      <w:r>
        <w:rPr>
          <w:color w:val="000000"/>
        </w:rPr>
        <w:t xml:space="preserve">, u větších podniků došlo k redukci chovů. </w:t>
      </w:r>
      <w:r w:rsidRPr="00CF3468">
        <w:rPr>
          <w:color w:val="000000"/>
        </w:rPr>
        <w:t xml:space="preserve">Celkem bylo v ČR </w:t>
      </w:r>
      <w:r>
        <w:rPr>
          <w:color w:val="000000"/>
        </w:rPr>
        <w:t xml:space="preserve">v roce 2014 </w:t>
      </w:r>
      <w:r w:rsidRPr="00CF3468">
        <w:rPr>
          <w:color w:val="000000"/>
        </w:rPr>
        <w:t>evidováno 1 7</w:t>
      </w:r>
      <w:r>
        <w:rPr>
          <w:color w:val="000000"/>
        </w:rPr>
        <w:t>68</w:t>
      </w:r>
      <w:r w:rsidRPr="00CF3468">
        <w:rPr>
          <w:color w:val="000000"/>
        </w:rPr>
        <w:t xml:space="preserve"> podniků chovajících prasnice s průměrným počtem </w:t>
      </w:r>
      <w:r>
        <w:rPr>
          <w:color w:val="000000"/>
        </w:rPr>
        <w:t xml:space="preserve">61 </w:t>
      </w:r>
      <w:r w:rsidRPr="00CF3468">
        <w:rPr>
          <w:color w:val="000000"/>
        </w:rPr>
        <w:t>ks jedinců na podnik</w:t>
      </w:r>
      <w:r>
        <w:rPr>
          <w:color w:val="000000"/>
        </w:rPr>
        <w:t xml:space="preserve"> (v roce 2013 to bylo 65 ks)</w:t>
      </w:r>
      <w:r w:rsidRPr="00CF3468">
        <w:rPr>
          <w:color w:val="000000"/>
        </w:rPr>
        <w:t>.</w:t>
      </w:r>
    </w:p>
    <w:p w:rsidR="00567C4A" w:rsidRPr="00CF3468" w:rsidRDefault="00567C4A" w:rsidP="000B7BEE">
      <w:r>
        <w:rPr>
          <w:color w:val="000000"/>
        </w:rPr>
        <w:t>Trvalé zlepšování ukazatelů reprodukce prasnic lze považovat za velmi pozitivní výsledek</w:t>
      </w:r>
      <w:r w:rsidRPr="001C2AAC">
        <w:rPr>
          <w:color w:val="000000"/>
        </w:rPr>
        <w:t xml:space="preserve"> </w:t>
      </w:r>
      <w:r>
        <w:rPr>
          <w:color w:val="000000"/>
        </w:rPr>
        <w:t xml:space="preserve">v chovatelské práci. </w:t>
      </w:r>
      <w:r w:rsidRPr="00CF3468">
        <w:rPr>
          <w:color w:val="000000"/>
        </w:rPr>
        <w:t>V roce 201</w:t>
      </w:r>
      <w:r>
        <w:rPr>
          <w:color w:val="000000"/>
        </w:rPr>
        <w:t>4</w:t>
      </w:r>
      <w:r w:rsidRPr="00CF3468">
        <w:t xml:space="preserve"> dosáhl počet narozených selat na prasnici 2</w:t>
      </w:r>
      <w:r>
        <w:t>9,0</w:t>
      </w:r>
      <w:r w:rsidRPr="00CF3468">
        <w:t xml:space="preserve"> ks</w:t>
      </w:r>
      <w:r>
        <w:t xml:space="preserve"> za rok</w:t>
      </w:r>
      <w:r w:rsidRPr="00CF3468">
        <w:t>, což představovalo proti roku 201</w:t>
      </w:r>
      <w:r>
        <w:t>3</w:t>
      </w:r>
      <w:r w:rsidRPr="00CF3468">
        <w:t xml:space="preserve"> nárůst o </w:t>
      </w:r>
      <w:r>
        <w:t>3,8</w:t>
      </w:r>
      <w:r w:rsidRPr="00CF3468">
        <w:t> % (o 1,</w:t>
      </w:r>
      <w:r>
        <w:t>1</w:t>
      </w:r>
      <w:r w:rsidRPr="00CF3468">
        <w:t xml:space="preserve"> selete) a počet odchovaných selat se zvýšil </w:t>
      </w:r>
      <w:r>
        <w:t xml:space="preserve">dokonce </w:t>
      </w:r>
      <w:r w:rsidRPr="00CF3468">
        <w:t>výrazněji o 4,</w:t>
      </w:r>
      <w:r>
        <w:t>1</w:t>
      </w:r>
      <w:r w:rsidRPr="00CF3468">
        <w:t> % na 2</w:t>
      </w:r>
      <w:r>
        <w:t>6</w:t>
      </w:r>
      <w:r w:rsidRPr="00CF3468">
        <w:t xml:space="preserve">,0 ks/rok. </w:t>
      </w:r>
      <w:r>
        <w:t>Vykázány byly rovněž meziročně nižší</w:t>
      </w:r>
      <w:r w:rsidRPr="00CF3468">
        <w:t xml:space="preserve"> úhyn</w:t>
      </w:r>
      <w:r>
        <w:t>y</w:t>
      </w:r>
      <w:r w:rsidRPr="00CF3468">
        <w:t xml:space="preserve"> selat o 0,</w:t>
      </w:r>
      <w:r>
        <w:t>2</w:t>
      </w:r>
      <w:r w:rsidRPr="00CF3468">
        <w:t> p.</w:t>
      </w:r>
      <w:r>
        <w:t xml:space="preserve"> </w:t>
      </w:r>
      <w:r w:rsidRPr="00CF3468">
        <w:t>b.</w:t>
      </w:r>
      <w:r>
        <w:t>, kdy z počtu narozených</w:t>
      </w:r>
      <w:r w:rsidRPr="00CF3468">
        <w:t xml:space="preserve"> </w:t>
      </w:r>
      <w:r>
        <w:t xml:space="preserve">dosáhly </w:t>
      </w:r>
      <w:r w:rsidRPr="00CF3468">
        <w:t>10,</w:t>
      </w:r>
      <w:r>
        <w:t>4</w:t>
      </w:r>
      <w:r w:rsidRPr="00CF3468">
        <w:t> %.</w:t>
      </w:r>
    </w:p>
    <w:p w:rsidR="00567C4A" w:rsidRDefault="00567C4A" w:rsidP="000B7BEE">
      <w:r>
        <w:t>Postupné z</w:t>
      </w:r>
      <w:r w:rsidRPr="00CF3468">
        <w:t>vyšování</w:t>
      </w:r>
      <w:r>
        <w:t xml:space="preserve"> stavů základního stáda prasnic včetně zlepšení reprodukčních ukazatelů mělo </w:t>
      </w:r>
      <w:r w:rsidRPr="00CF3468">
        <w:t xml:space="preserve">pozitivní dopad </w:t>
      </w:r>
      <w:r>
        <w:t xml:space="preserve">především </w:t>
      </w:r>
      <w:r w:rsidRPr="00CF3468">
        <w:t xml:space="preserve">na celkový počet narozených selat v ČR. </w:t>
      </w:r>
      <w:r>
        <w:t>V roce 2014 byl v ČR evidován jeho meziroční nárůst</w:t>
      </w:r>
      <w:r w:rsidRPr="00CF3468">
        <w:t xml:space="preserve"> o </w:t>
      </w:r>
      <w:r>
        <w:t>5,1</w:t>
      </w:r>
      <w:r w:rsidRPr="00CF3468">
        <w:t> %, (o 1</w:t>
      </w:r>
      <w:r>
        <w:t>55,2</w:t>
      </w:r>
      <w:r w:rsidRPr="00CF3468">
        <w:t xml:space="preserve"> tis. ks) </w:t>
      </w:r>
      <w:r>
        <w:t>na</w:t>
      </w:r>
      <w:r w:rsidRPr="00CF3468">
        <w:t xml:space="preserve"> 3,</w:t>
      </w:r>
      <w:r>
        <w:t>2</w:t>
      </w:r>
      <w:r w:rsidRPr="00CF3468">
        <w:t> mil. ks. Obdobně se zvýšil počet odchovaných selat celkem (o </w:t>
      </w:r>
      <w:r>
        <w:t>5,4</w:t>
      </w:r>
      <w:r w:rsidRPr="00CF3468">
        <w:t> %, tj. o 1</w:t>
      </w:r>
      <w:r>
        <w:t>46,0</w:t>
      </w:r>
      <w:r w:rsidRPr="00CF3468">
        <w:t> tis. ks) na 2,</w:t>
      </w:r>
      <w:r>
        <w:t>9</w:t>
      </w:r>
      <w:r w:rsidRPr="00CF3468">
        <w:t> mil. ks.</w:t>
      </w:r>
    </w:p>
    <w:p w:rsidR="00567C4A" w:rsidRPr="00CF3468" w:rsidRDefault="00567C4A" w:rsidP="000B7BEE">
      <w:r w:rsidRPr="00CF3468">
        <w:lastRenderedPageBreak/>
        <w:t xml:space="preserve">V roce 2013 byla celková produkce vepřového masa (tj. prodej prasat ze zemědělského podniku včetně exportu a samozásobení) v ČR pozitivně ovlivněna oživením stavů </w:t>
      </w:r>
      <w:r>
        <w:t xml:space="preserve">prasat, ale </w:t>
      </w:r>
      <w:r w:rsidR="007F5DF8">
        <w:t>i </w:t>
      </w:r>
      <w:r>
        <w:t xml:space="preserve">zlepšením ekonomiky a prodeje živých prasat na evropský trh. </w:t>
      </w:r>
      <w:r w:rsidRPr="00CF3468">
        <w:t xml:space="preserve">Celková </w:t>
      </w:r>
      <w:r>
        <w:t>výroba</w:t>
      </w:r>
      <w:r w:rsidRPr="00CF3468">
        <w:t xml:space="preserve"> vepřového masa se v roce 201</w:t>
      </w:r>
      <w:r>
        <w:t>4</w:t>
      </w:r>
      <w:r w:rsidRPr="00CF3468">
        <w:t xml:space="preserve"> proti roku 201</w:t>
      </w:r>
      <w:r>
        <w:t>3</w:t>
      </w:r>
      <w:r w:rsidRPr="00CF3468">
        <w:t xml:space="preserve"> </w:t>
      </w:r>
      <w:r>
        <w:t>mírně vzrostla</w:t>
      </w:r>
      <w:r w:rsidRPr="00CF3468">
        <w:t xml:space="preserve"> o </w:t>
      </w:r>
      <w:r>
        <w:t>0,7</w:t>
      </w:r>
      <w:r w:rsidRPr="00CF3468">
        <w:t> % na 24</w:t>
      </w:r>
      <w:r>
        <w:t>3,1</w:t>
      </w:r>
      <w:r w:rsidRPr="00CF3468">
        <w:t> tis. t j. hm. (3</w:t>
      </w:r>
      <w:r>
        <w:t>12,5</w:t>
      </w:r>
      <w:r w:rsidRPr="00CF3468">
        <w:t xml:space="preserve"> tis. t ž. hm.). Její podíl z celkové </w:t>
      </w:r>
      <w:r w:rsidR="00BD4D26">
        <w:t xml:space="preserve">hrubé </w:t>
      </w:r>
      <w:r w:rsidRPr="00CF3468">
        <w:t xml:space="preserve">produkce vepřového masa v EU 28 se meziročně </w:t>
      </w:r>
      <w:r>
        <w:t>téměř nezměnil a mírně převyšoval 1</w:t>
      </w:r>
      <w:r w:rsidRPr="00CF3468">
        <w:t> %.</w:t>
      </w:r>
    </w:p>
    <w:p w:rsidR="00BD4D26" w:rsidRDefault="00567C4A" w:rsidP="000B7BEE">
      <w:r>
        <w:rPr>
          <w:color w:val="000000"/>
        </w:rPr>
        <w:t>Český m</w:t>
      </w:r>
      <w:r w:rsidRPr="00CF3468">
        <w:rPr>
          <w:color w:val="000000"/>
        </w:rPr>
        <w:t xml:space="preserve">asný průmysl </w:t>
      </w:r>
      <w:r>
        <w:rPr>
          <w:color w:val="000000"/>
        </w:rPr>
        <w:t xml:space="preserve">v roce 2014 </w:t>
      </w:r>
      <w:r w:rsidRPr="00CF3468">
        <w:rPr>
          <w:color w:val="000000"/>
        </w:rPr>
        <w:t xml:space="preserve">zpracoval </w:t>
      </w:r>
      <w:r>
        <w:rPr>
          <w:color w:val="000000"/>
        </w:rPr>
        <w:t xml:space="preserve">celkem </w:t>
      </w:r>
      <w:r w:rsidRPr="00CF3468">
        <w:rPr>
          <w:color w:val="000000"/>
        </w:rPr>
        <w:t>23</w:t>
      </w:r>
      <w:r>
        <w:rPr>
          <w:color w:val="000000"/>
        </w:rPr>
        <w:t>6,0</w:t>
      </w:r>
      <w:r w:rsidRPr="00CF3468">
        <w:rPr>
          <w:color w:val="000000"/>
        </w:rPr>
        <w:t> tis. t j. hm. jatečných prasat</w:t>
      </w:r>
      <w:r>
        <w:rPr>
          <w:color w:val="000000"/>
        </w:rPr>
        <w:t xml:space="preserve"> (včetně dovezených)</w:t>
      </w:r>
      <w:r w:rsidRPr="00CF3468">
        <w:rPr>
          <w:color w:val="000000"/>
        </w:rPr>
        <w:t>, což představovalo proti roku 201</w:t>
      </w:r>
      <w:r>
        <w:rPr>
          <w:color w:val="000000"/>
        </w:rPr>
        <w:t>3</w:t>
      </w:r>
      <w:r w:rsidRPr="00CF3468">
        <w:rPr>
          <w:color w:val="000000"/>
        </w:rPr>
        <w:t xml:space="preserve"> </w:t>
      </w:r>
      <w:r>
        <w:rPr>
          <w:color w:val="000000"/>
        </w:rPr>
        <w:t>nárůst</w:t>
      </w:r>
      <w:r w:rsidRPr="00CF3468">
        <w:rPr>
          <w:color w:val="000000"/>
        </w:rPr>
        <w:t xml:space="preserve"> o </w:t>
      </w:r>
      <w:r>
        <w:rPr>
          <w:color w:val="000000"/>
        </w:rPr>
        <w:t>0,7</w:t>
      </w:r>
      <w:r w:rsidRPr="00CF3468">
        <w:rPr>
          <w:color w:val="000000"/>
        </w:rPr>
        <w:t> % (tj. o </w:t>
      </w:r>
      <w:r>
        <w:rPr>
          <w:color w:val="000000"/>
        </w:rPr>
        <w:t>1,7</w:t>
      </w:r>
      <w:r w:rsidRPr="00CF3468">
        <w:rPr>
          <w:color w:val="000000"/>
        </w:rPr>
        <w:t xml:space="preserve"> tis. t j. hm.). Podle údajů Státní veterinární správy </w:t>
      </w:r>
      <w:r>
        <w:rPr>
          <w:color w:val="000000"/>
        </w:rPr>
        <w:t>se</w:t>
      </w:r>
      <w:r w:rsidRPr="00CF3468">
        <w:t xml:space="preserve"> v roce 201</w:t>
      </w:r>
      <w:r>
        <w:t>4</w:t>
      </w:r>
      <w:r w:rsidRPr="00CF3468">
        <w:t xml:space="preserve"> </w:t>
      </w:r>
      <w:r>
        <w:t>v meziročním srovnání snížil celkový počet poražených</w:t>
      </w:r>
      <w:r w:rsidRPr="00CF3468">
        <w:t xml:space="preserve"> prasat o </w:t>
      </w:r>
      <w:r>
        <w:t>1,2</w:t>
      </w:r>
      <w:r w:rsidRPr="00CF3468">
        <w:t> % (tj. o </w:t>
      </w:r>
      <w:r>
        <w:t>30,1</w:t>
      </w:r>
      <w:r w:rsidRPr="00CF3468">
        <w:t xml:space="preserve"> tis. ks) na 2,7 mil. ks. Z toho porážky jatečných prasat </w:t>
      </w:r>
      <w:r>
        <w:t>klesly</w:t>
      </w:r>
      <w:r w:rsidRPr="00CF3468">
        <w:t xml:space="preserve"> o </w:t>
      </w:r>
      <w:r>
        <w:t>1,3</w:t>
      </w:r>
      <w:r w:rsidRPr="00CF3468">
        <w:t> % (o </w:t>
      </w:r>
      <w:r>
        <w:t xml:space="preserve">35,1 tis. ks), naopak se zvýšily </w:t>
      </w:r>
      <w:r w:rsidRPr="00CF3468">
        <w:t>porážky prasnic (o </w:t>
      </w:r>
      <w:r>
        <w:t>8,5</w:t>
      </w:r>
      <w:r w:rsidRPr="00CF3468">
        <w:t xml:space="preserve"> %). Hlavním důvodem </w:t>
      </w:r>
      <w:r>
        <w:t>nižších</w:t>
      </w:r>
      <w:r w:rsidRPr="00CF3468">
        <w:t xml:space="preserve"> porážek byl především </w:t>
      </w:r>
      <w:r>
        <w:t>značný nárůst exportu živých prasat (meziročně o 28 %)</w:t>
      </w:r>
      <w:r w:rsidRPr="00CF3468">
        <w:t>, který odčerpal z trhu domácí surovinu.</w:t>
      </w:r>
    </w:p>
    <w:p w:rsidR="00567C4A" w:rsidRPr="00CF3468" w:rsidRDefault="00BD4D26" w:rsidP="000B7BEE">
      <w:r>
        <w:t>P</w:t>
      </w:r>
      <w:r w:rsidRPr="00CF3468">
        <w:t xml:space="preserve">odle ČSÚ </w:t>
      </w:r>
      <w:r>
        <w:t>p</w:t>
      </w:r>
      <w:r w:rsidR="00567C4A" w:rsidRPr="00CF3468">
        <w:t xml:space="preserve">růměrná porážková hmotnost jatečného prasete meziročně </w:t>
      </w:r>
      <w:r w:rsidR="00567C4A">
        <w:t>vzrostla o</w:t>
      </w:r>
      <w:r>
        <w:t> </w:t>
      </w:r>
      <w:r w:rsidR="00567C4A">
        <w:t xml:space="preserve">necelé 1 % </w:t>
      </w:r>
      <w:r w:rsidR="00567C4A" w:rsidRPr="00CF3468">
        <w:t>a dosáhla 11</w:t>
      </w:r>
      <w:r w:rsidR="00567C4A">
        <w:t>2,5</w:t>
      </w:r>
      <w:r w:rsidR="00567C4A" w:rsidRPr="00CF3468">
        <w:t> kg/ž. hm.</w:t>
      </w:r>
    </w:p>
    <w:p w:rsidR="00567C4A" w:rsidRPr="00592075" w:rsidRDefault="00567C4A" w:rsidP="000B7BEE">
      <w:r w:rsidRPr="00CF3468">
        <w:t xml:space="preserve">Celková spotřeba vepřového masa, která </w:t>
      </w:r>
      <w:r>
        <w:t>od roku 2012 reagovala na růst cen snížením konzumace, v roce 2014 meziročně stagnovala na 423,1 tis. j. hm. Oslabování cen, které nastalo od září, se na ní do konce roku nestačilo projevit.</w:t>
      </w:r>
      <w:r w:rsidRPr="00CF3468">
        <w:t xml:space="preserve"> ČR nebyla ve výrobě vepřového masa, obdobně jako v předchozích letech, soběstačná. Celková tuzemská spotřeba byla o 1</w:t>
      </w:r>
      <w:r>
        <w:t>80,0</w:t>
      </w:r>
      <w:r w:rsidRPr="00CF3468">
        <w:t xml:space="preserve"> tis. t j. hm. vyšší než celková </w:t>
      </w:r>
      <w:r>
        <w:t>produkce,</w:t>
      </w:r>
      <w:r w:rsidRPr="00CF3468">
        <w:t xml:space="preserve"> přesto však došlo k zlepšení míry soběstačnosti</w:t>
      </w:r>
      <w:r>
        <w:t>. Ta</w:t>
      </w:r>
      <w:r w:rsidRPr="00CF3468">
        <w:t xml:space="preserve"> se díky </w:t>
      </w:r>
      <w:r>
        <w:t>oslabení</w:t>
      </w:r>
      <w:r w:rsidRPr="00CF3468">
        <w:t xml:space="preserve"> spotřeby při mírném růstu produkce meziročně zlepšila o </w:t>
      </w:r>
      <w:r>
        <w:t>0,5 p. b. na 57,5</w:t>
      </w:r>
      <w:r w:rsidRPr="00CF3468">
        <w:t> %</w:t>
      </w:r>
      <w:r>
        <w:t>, ale s</w:t>
      </w:r>
      <w:r w:rsidRPr="00CF3468">
        <w:t xml:space="preserve">tále se nacházela hluboko pod úrovní průměru </w:t>
      </w:r>
      <w:r w:rsidRPr="00592075">
        <w:t>EU.</w:t>
      </w:r>
    </w:p>
    <w:p w:rsidR="00567C4A" w:rsidRPr="00CF3468" w:rsidRDefault="00567C4A" w:rsidP="000B7BEE">
      <w:pPr>
        <w:rPr>
          <w:color w:val="000000"/>
        </w:rPr>
      </w:pPr>
      <w:r w:rsidRPr="00CF3468">
        <w:rPr>
          <w:color w:val="000000"/>
        </w:rPr>
        <w:t>Spotřeba vepřového masa na obyvatele v roce 201</w:t>
      </w:r>
      <w:r>
        <w:rPr>
          <w:color w:val="000000"/>
        </w:rPr>
        <w:t>4</w:t>
      </w:r>
      <w:r w:rsidRPr="00CF3468">
        <w:rPr>
          <w:color w:val="000000"/>
        </w:rPr>
        <w:t>, podle odhadu ÚZEI, dosáhla 40,</w:t>
      </w:r>
      <w:r w:rsidR="007F5DF8">
        <w:rPr>
          <w:color w:val="000000"/>
        </w:rPr>
        <w:t>2</w:t>
      </w:r>
      <w:r w:rsidRPr="00CF3468">
        <w:rPr>
          <w:color w:val="000000"/>
        </w:rPr>
        <w:t xml:space="preserve"> kg/rok a byla </w:t>
      </w:r>
      <w:r>
        <w:rPr>
          <w:color w:val="000000"/>
        </w:rPr>
        <w:t>téměř stejná jako v roce 2013.</w:t>
      </w:r>
    </w:p>
    <w:p w:rsidR="00567C4A" w:rsidRDefault="00567C4A" w:rsidP="000B7BEE">
      <w:pPr>
        <w:pStyle w:val="mezera"/>
      </w:pPr>
    </w:p>
    <w:p w:rsidR="00AE6317" w:rsidRPr="002E47CA" w:rsidRDefault="00AE6317" w:rsidP="000B7BEE">
      <w:pPr>
        <w:pStyle w:val="mezera"/>
      </w:pPr>
      <w:r w:rsidRPr="00AE6317">
        <w:rPr>
          <w:noProof/>
          <w:lang w:eastAsia="cs-CZ"/>
        </w:rPr>
        <w:lastRenderedPageBreak/>
        <w:drawing>
          <wp:inline distT="0" distB="0" distL="0" distR="0" wp14:anchorId="44A8E2C9" wp14:editId="1E110440">
            <wp:extent cx="5760720" cy="4106944"/>
            <wp:effectExtent l="0" t="0" r="0" b="825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0720" cy="4106944"/>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t>N</w:t>
      </w:r>
      <w:r w:rsidRPr="00CF3468">
        <w:t xml:space="preserve">ízká konkurenceschopnost </w:t>
      </w:r>
      <w:r>
        <w:t>výrobkové</w:t>
      </w:r>
      <w:r w:rsidR="00974FBF">
        <w:t>ho</w:t>
      </w:r>
      <w:r>
        <w:t xml:space="preserve"> </w:t>
      </w:r>
      <w:r w:rsidRPr="00CF3468">
        <w:t>odvětví</w:t>
      </w:r>
      <w:r>
        <w:t xml:space="preserve"> vepřového masa</w:t>
      </w:r>
      <w:r w:rsidRPr="00CF3468">
        <w:t xml:space="preserve"> se </w:t>
      </w:r>
      <w:r>
        <w:t>promítá</w:t>
      </w:r>
      <w:r w:rsidRPr="00CF3468">
        <w:t xml:space="preserve"> především </w:t>
      </w:r>
      <w:r>
        <w:t>do</w:t>
      </w:r>
      <w:r w:rsidRPr="00CF3468">
        <w:t> pasivní bilanc</w:t>
      </w:r>
      <w:r>
        <w:t>e</w:t>
      </w:r>
      <w:r w:rsidRPr="00CF3468">
        <w:t xml:space="preserve"> zahraničního obchodu. Celkové saldo ve vepřovém mase včetně živých prasat vykazovalo v roce 201</w:t>
      </w:r>
      <w:r>
        <w:t>4</w:t>
      </w:r>
      <w:r w:rsidRPr="00CF3468">
        <w:t xml:space="preserve"> </w:t>
      </w:r>
      <w:r>
        <w:t>mírné</w:t>
      </w:r>
      <w:r w:rsidRPr="00CF3468">
        <w:t xml:space="preserve"> zlepšení</w:t>
      </w:r>
      <w:r>
        <w:t xml:space="preserve"> (o</w:t>
      </w:r>
      <w:r w:rsidR="00974FBF">
        <w:t xml:space="preserve"> </w:t>
      </w:r>
      <w:r>
        <w:t>4,0 tis. t j. hm. a 340 mil. Kč), př</w:t>
      </w:r>
      <w:r w:rsidRPr="00CF3468">
        <w:t>e</w:t>
      </w:r>
      <w:r>
        <w:t>sto je již několik let v rámci zemědělských komodit nejnižší.</w:t>
      </w:r>
      <w:r w:rsidRPr="00CF3468">
        <w:t xml:space="preserve"> Ve finančním vyjádření dosáhlo saldo </w:t>
      </w:r>
      <w:r w:rsidRPr="00CF3468">
        <w:noBreakHyphen/>
        <w:t>10</w:t>
      </w:r>
      <w:r>
        <w:t>,</w:t>
      </w:r>
      <w:r w:rsidRPr="00CF3468">
        <w:t> </w:t>
      </w:r>
      <w:r>
        <w:t>8 m</w:t>
      </w:r>
      <w:r w:rsidRPr="00CF3468">
        <w:t>l</w:t>
      </w:r>
      <w:r>
        <w:t>d</w:t>
      </w:r>
      <w:r w:rsidRPr="00CF3468">
        <w:t xml:space="preserve">. Kč a v objemovém vyjádření </w:t>
      </w:r>
      <w:r w:rsidRPr="00CF3468">
        <w:noBreakHyphen/>
        <w:t>1</w:t>
      </w:r>
      <w:r>
        <w:t>7</w:t>
      </w:r>
      <w:r w:rsidRPr="00CF3468">
        <w:t>8</w:t>
      </w:r>
      <w:r>
        <w:t>,7</w:t>
      </w:r>
      <w:r w:rsidRPr="00CF3468">
        <w:t> tis. t j. hm. Objemové saldo zahraničního obchodu v živých prasatech se proti roku 201</w:t>
      </w:r>
      <w:r>
        <w:t>3</w:t>
      </w:r>
      <w:r w:rsidRPr="00CF3468">
        <w:t xml:space="preserve"> zlepšilo a vykázalo již kladnou hodnotu (</w:t>
      </w:r>
      <w:r>
        <w:t>13,4</w:t>
      </w:r>
      <w:r w:rsidRPr="00CF3468">
        <w:t> tis. t ž. hm.)</w:t>
      </w:r>
      <w:r>
        <w:t xml:space="preserve"> a</w:t>
      </w:r>
      <w:r w:rsidRPr="00CF3468">
        <w:t xml:space="preserve"> </w:t>
      </w:r>
      <w:r>
        <w:t>rovněž ve</w:t>
      </w:r>
      <w:r w:rsidRPr="00CF3468">
        <w:t xml:space="preserve"> finančním vyjádření</w:t>
      </w:r>
      <w:r>
        <w:t xml:space="preserve"> se dostalo do kladných čísel </w:t>
      </w:r>
      <w:r w:rsidRPr="00CF3468">
        <w:t>(</w:t>
      </w:r>
      <w:r>
        <w:t>222</w:t>
      </w:r>
      <w:r w:rsidRPr="00CF3468">
        <w:t> mil. Kč). Bilance zahraničního obchodu s vepřovým masem se</w:t>
      </w:r>
      <w:r>
        <w:t xml:space="preserve"> naopak</w:t>
      </w:r>
      <w:r w:rsidRPr="00CF3468">
        <w:t xml:space="preserve"> meziročně mírně </w:t>
      </w:r>
      <w:r>
        <w:t>zhoršila (</w:t>
      </w:r>
      <w:r>
        <w:noBreakHyphen/>
        <w:t xml:space="preserve">2,3 tis. t) </w:t>
      </w:r>
      <w:r w:rsidRPr="001E0AF1">
        <w:t>na</w:t>
      </w:r>
      <w:r>
        <w:t xml:space="preserve"> </w:t>
      </w:r>
      <w:r>
        <w:noBreakHyphen/>
        <w:t>189,2</w:t>
      </w:r>
      <w:r w:rsidRPr="00CF3468">
        <w:t xml:space="preserve"> tis. t j. hm., ve finančním vyjádření došlo </w:t>
      </w:r>
      <w:r>
        <w:t xml:space="preserve">naopak </w:t>
      </w:r>
      <w:r w:rsidRPr="00CF3468">
        <w:t xml:space="preserve">vlivem </w:t>
      </w:r>
      <w:r>
        <w:t>oslabení</w:t>
      </w:r>
      <w:r w:rsidRPr="00CF3468">
        <w:t xml:space="preserve"> cen v Evropě k jejímu mírnému </w:t>
      </w:r>
      <w:r>
        <w:t>o 71 mil. Kč zlepšení</w:t>
      </w:r>
      <w:r w:rsidRPr="00CF3468">
        <w:t xml:space="preserve"> na </w:t>
      </w:r>
      <w:r w:rsidRPr="00CF3468">
        <w:noBreakHyphen/>
        <w:t>10</w:t>
      </w:r>
      <w:r>
        <w:t>,</w:t>
      </w:r>
      <w:r w:rsidRPr="00CF3468">
        <w:t> 9</w:t>
      </w:r>
      <w:r>
        <w:t> mld</w:t>
      </w:r>
      <w:r w:rsidRPr="00CF3468">
        <w:t>. Kč.</w:t>
      </w:r>
    </w:p>
    <w:p w:rsidR="00567C4A" w:rsidRPr="00CF3468" w:rsidRDefault="00567C4A" w:rsidP="000B7BEE">
      <w:r>
        <w:t xml:space="preserve">V roce 2014 bylo do </w:t>
      </w:r>
      <w:r w:rsidRPr="00CF3468">
        <w:t>ČR dovez</w:t>
      </w:r>
      <w:r>
        <w:t>eno</w:t>
      </w:r>
      <w:r w:rsidRPr="00CF3468">
        <w:t xml:space="preserve"> celkem 4</w:t>
      </w:r>
      <w:r>
        <w:t>76</w:t>
      </w:r>
      <w:r w:rsidRPr="00CF3468">
        <w:t xml:space="preserve"> tis. ks (2</w:t>
      </w:r>
      <w:r>
        <w:t>3,3</w:t>
      </w:r>
      <w:r w:rsidRPr="00CF3468">
        <w:t xml:space="preserve"> tis. t ž. hm.) živých prasat, což představovalo proti předchozímu roku </w:t>
      </w:r>
      <w:r>
        <w:t>méně</w:t>
      </w:r>
      <w:r w:rsidRPr="00CF3468">
        <w:t xml:space="preserve"> o </w:t>
      </w:r>
      <w:r>
        <w:t>1,8</w:t>
      </w:r>
      <w:r w:rsidRPr="00CF3468">
        <w:t> % (o </w:t>
      </w:r>
      <w:r>
        <w:t>8,4</w:t>
      </w:r>
      <w:r w:rsidRPr="00CF3468">
        <w:t> tis. ks). Hlavním důvodem byl především meziročně nižší nákup selat v zahraničí (o </w:t>
      </w:r>
      <w:r>
        <w:t>15,9 tis. ks</w:t>
      </w:r>
      <w:r w:rsidRPr="00CF3468">
        <w:t>)</w:t>
      </w:r>
      <w:r>
        <w:t xml:space="preserve"> i chovných prasat a prasnic, zatímco počet jatečných zvířat meziročně stoupl o 11,8 tis. ks. </w:t>
      </w:r>
      <w:r w:rsidRPr="00CF3468">
        <w:t xml:space="preserve">Živá prasata byla tradičně </w:t>
      </w:r>
      <w:r>
        <w:t>nakupována v</w:t>
      </w:r>
      <w:r w:rsidRPr="00CF3468">
        <w:t> člens</w:t>
      </w:r>
      <w:r>
        <w:t>kých zemích EU. Největší podíl (75,2</w:t>
      </w:r>
      <w:r w:rsidRPr="00CF3468">
        <w:t> %) z importu měla opět selata, kterých bylo v loňském roce dovezeno 3</w:t>
      </w:r>
      <w:r>
        <w:t>5</w:t>
      </w:r>
      <w:r w:rsidRPr="00CF3468">
        <w:t>8 tis. ks</w:t>
      </w:r>
      <w:r>
        <w:t>, tj. o15,9 tis. ks méně než v roce 2013</w:t>
      </w:r>
      <w:r w:rsidRPr="00CF3468">
        <w:t>. Pocházela převážně ze třech zemí Unie (Dánska, Německa</w:t>
      </w:r>
      <w:r>
        <w:t xml:space="preserve"> a </w:t>
      </w:r>
      <w:r w:rsidRPr="00CF3468">
        <w:t>Nizozemska). Další kategorií, která se v roce 201</w:t>
      </w:r>
      <w:r>
        <w:t>4</w:t>
      </w:r>
      <w:r w:rsidRPr="00CF3468">
        <w:t xml:space="preserve"> významněji podílela na importu živých prasat do ČR, byla jatečná prasata. Jejich nákup se meziročně </w:t>
      </w:r>
      <w:r>
        <w:rPr>
          <w:color w:val="000000"/>
        </w:rPr>
        <w:t>zvýšil</w:t>
      </w:r>
      <w:r w:rsidRPr="00CF3468">
        <w:rPr>
          <w:color w:val="000000"/>
        </w:rPr>
        <w:t xml:space="preserve"> o </w:t>
      </w:r>
      <w:r>
        <w:rPr>
          <w:color w:val="000000"/>
        </w:rPr>
        <w:t>11,2</w:t>
      </w:r>
      <w:r w:rsidRPr="00CF3468">
        <w:rPr>
          <w:color w:val="000000"/>
        </w:rPr>
        <w:t xml:space="preserve"> tis. ks a dosáhl </w:t>
      </w:r>
      <w:r>
        <w:rPr>
          <w:color w:val="000000"/>
        </w:rPr>
        <w:t>115</w:t>
      </w:r>
      <w:r w:rsidRPr="00CF3468">
        <w:rPr>
          <w:color w:val="000000"/>
        </w:rPr>
        <w:t> tis. ks (tj. 1</w:t>
      </w:r>
      <w:r>
        <w:rPr>
          <w:color w:val="000000"/>
        </w:rPr>
        <w:t>3,4</w:t>
      </w:r>
      <w:r w:rsidRPr="00CF3468">
        <w:rPr>
          <w:color w:val="000000"/>
        </w:rPr>
        <w:t> tis. t ž. hm.). Předními dodavateli bylo Německo, </w:t>
      </w:r>
      <w:r>
        <w:rPr>
          <w:color w:val="000000"/>
        </w:rPr>
        <w:t xml:space="preserve">Polsko a </w:t>
      </w:r>
      <w:r w:rsidRPr="00CF3468">
        <w:rPr>
          <w:color w:val="000000"/>
        </w:rPr>
        <w:t>Nizozemsko, odkud pocházelo 9</w:t>
      </w:r>
      <w:r>
        <w:rPr>
          <w:color w:val="000000"/>
        </w:rPr>
        <w:t>0</w:t>
      </w:r>
      <w:r w:rsidRPr="00CF3468">
        <w:rPr>
          <w:color w:val="000000"/>
        </w:rPr>
        <w:t xml:space="preserve"> % </w:t>
      </w:r>
      <w:r w:rsidRPr="00CF3468">
        <w:rPr>
          <w:color w:val="000000"/>
        </w:rPr>
        <w:lastRenderedPageBreak/>
        <w:t xml:space="preserve">zvířat. Na celkových porážkách prasat v ČR se import jatečných zvířat </w:t>
      </w:r>
      <w:r w:rsidRPr="00CF3468">
        <w:t>podílel necelými 4</w:t>
      </w:r>
      <w:r>
        <w:t>,3</w:t>
      </w:r>
      <w:r w:rsidRPr="00CF3468">
        <w:t> % (v roce 201</w:t>
      </w:r>
      <w:r>
        <w:t>3</w:t>
      </w:r>
      <w:r w:rsidRPr="00CF3468">
        <w:t xml:space="preserve"> to bylo </w:t>
      </w:r>
      <w:r>
        <w:t>4,0</w:t>
      </w:r>
      <w:r w:rsidRPr="00CF3468">
        <w:t xml:space="preserve"> %). Ostatní prasata (čistokrevná, chovná, reprodukční aj.) se na dovozu podílela </w:t>
      </w:r>
      <w:r>
        <w:t>méně než</w:t>
      </w:r>
      <w:r w:rsidRPr="00CF3468">
        <w:t xml:space="preserve"> </w:t>
      </w:r>
      <w:r>
        <w:t>1</w:t>
      </w:r>
      <w:r w:rsidRPr="00CF3468">
        <w:t xml:space="preserve"> % a pocházela především z Dánska.</w:t>
      </w:r>
    </w:p>
    <w:p w:rsidR="00567C4A" w:rsidRPr="00CF3468" w:rsidRDefault="00567C4A" w:rsidP="000B7BEE">
      <w:r w:rsidRPr="00CF3468">
        <w:t>V roce 201</w:t>
      </w:r>
      <w:r>
        <w:t>4</w:t>
      </w:r>
      <w:r w:rsidRPr="00CF3468">
        <w:t xml:space="preserve"> se meziročně objem vepřového masa nakoupený v</w:t>
      </w:r>
      <w:r>
        <w:t> </w:t>
      </w:r>
      <w:r w:rsidRPr="00CF3468">
        <w:t>zahraničí</w:t>
      </w:r>
      <w:r>
        <w:t xml:space="preserve"> nezměnil a zůstal na 232,6</w:t>
      </w:r>
      <w:r w:rsidRPr="00CF3468">
        <w:t> tis. t v celkové hodnotě 13,</w:t>
      </w:r>
      <w:r>
        <w:t>5</w:t>
      </w:r>
      <w:r w:rsidRPr="00CF3468">
        <w:t xml:space="preserve"> mld. Kč. Nejvýznamnějším dodavatelem bylo </w:t>
      </w:r>
      <w:r>
        <w:t xml:space="preserve">tradičně </w:t>
      </w:r>
      <w:r w:rsidRPr="00CF3468">
        <w:t xml:space="preserve">Německo, odkud pocházelo více </w:t>
      </w:r>
      <w:r>
        <w:t>téměř</w:t>
      </w:r>
      <w:r w:rsidRPr="00CF3468">
        <w:t xml:space="preserve"> 4</w:t>
      </w:r>
      <w:r>
        <w:t>7</w:t>
      </w:r>
      <w:r w:rsidRPr="00CF3468">
        <w:t> % dovezeného vepřového masa v hodnotě 6,</w:t>
      </w:r>
      <w:r>
        <w:t xml:space="preserve">2 mld. Kč. Dále se na importu, obdobně jako v roce 2013, </w:t>
      </w:r>
      <w:r w:rsidRPr="00CF3468">
        <w:t>významněji podílely čtyři členské země Belgie, Španělsko,</w:t>
      </w:r>
      <w:r>
        <w:t xml:space="preserve"> Polsko a </w:t>
      </w:r>
      <w:r w:rsidRPr="00CF3468">
        <w:t xml:space="preserve">Rakousko (37 % nákupu). Dovoz vepřového masa ze třetích zemí </w:t>
      </w:r>
      <w:r>
        <w:t xml:space="preserve">byl nevýznamný, neboť nedosahoval ani 1 % a </w:t>
      </w:r>
      <w:r w:rsidRPr="00CF3468">
        <w:t>pocházel především z</w:t>
      </w:r>
      <w:r>
        <w:t> Egypta a </w:t>
      </w:r>
      <w:r w:rsidRPr="00CF3468">
        <w:t>Chile.</w:t>
      </w:r>
    </w:p>
    <w:p w:rsidR="00567C4A" w:rsidRPr="00CF3468" w:rsidRDefault="00567C4A" w:rsidP="000B7BEE">
      <w:r w:rsidRPr="00CF3468">
        <w:t>Vývoz živých prasat v roce 201</w:t>
      </w:r>
      <w:r>
        <w:t>4</w:t>
      </w:r>
      <w:r w:rsidRPr="00CF3468">
        <w:t xml:space="preserve"> meziročně vzrostl o </w:t>
      </w:r>
      <w:r>
        <w:t>28,4</w:t>
      </w:r>
      <w:r w:rsidRPr="00CF3468">
        <w:rPr>
          <w:color w:val="000000"/>
        </w:rPr>
        <w:t> %</w:t>
      </w:r>
      <w:r w:rsidRPr="00CF3468">
        <w:t xml:space="preserve"> (</w:t>
      </w:r>
      <w:r>
        <w:t>80,4</w:t>
      </w:r>
      <w:r w:rsidRPr="00CF3468">
        <w:t xml:space="preserve"> tis. ks) na </w:t>
      </w:r>
      <w:r>
        <w:t>363,2</w:t>
      </w:r>
      <w:r w:rsidRPr="00CF3468">
        <w:t> tis. ks</w:t>
      </w:r>
      <w:r>
        <w:t xml:space="preserve"> v hodnotě 1,3 mld. Kč</w:t>
      </w:r>
      <w:r w:rsidRPr="00CF3468">
        <w:t xml:space="preserve">. </w:t>
      </w:r>
      <w:r>
        <w:t>Nejvýznamněji se na něm podílela</w:t>
      </w:r>
      <w:r w:rsidRPr="00CF3468">
        <w:t> jatečn</w:t>
      </w:r>
      <w:r>
        <w:t>á</w:t>
      </w:r>
      <w:r w:rsidRPr="00CF3468">
        <w:t xml:space="preserve"> </w:t>
      </w:r>
      <w:r>
        <w:t>zvířata (téměř 81 %), méně pak</w:t>
      </w:r>
      <w:r w:rsidRPr="00CF3468">
        <w:t xml:space="preserve"> selat</w:t>
      </w:r>
      <w:r>
        <w:t>a</w:t>
      </w:r>
      <w:r w:rsidRPr="00CF3468">
        <w:t xml:space="preserve"> (podíl 1</w:t>
      </w:r>
      <w:r>
        <w:t>6</w:t>
      </w:r>
      <w:r w:rsidRPr="00CF3468">
        <w:t> %) a čistokrevn</w:t>
      </w:r>
      <w:r>
        <w:t>á</w:t>
      </w:r>
      <w:r w:rsidRPr="00CF3468">
        <w:t xml:space="preserve"> prasat</w:t>
      </w:r>
      <w:r>
        <w:t>a</w:t>
      </w:r>
      <w:r w:rsidRPr="00CF3468">
        <w:t xml:space="preserve"> (podíl </w:t>
      </w:r>
      <w:r>
        <w:t>necelé 4</w:t>
      </w:r>
      <w:r w:rsidRPr="00CF3468">
        <w:t xml:space="preserve"> %). </w:t>
      </w:r>
      <w:r>
        <w:t>Předními</w:t>
      </w:r>
      <w:r w:rsidRPr="00CF3468">
        <w:t xml:space="preserve"> odběrateli bylo</w:t>
      </w:r>
      <w:r>
        <w:t xml:space="preserve"> opět</w:t>
      </w:r>
      <w:r w:rsidRPr="00CF3468">
        <w:t xml:space="preserve"> Slovensko, kam směřovalo téměř </w:t>
      </w:r>
      <w:r>
        <w:t>83</w:t>
      </w:r>
      <w:r w:rsidRPr="00CF3468">
        <w:t> % z celkového počtu vyvezených prasat</w:t>
      </w:r>
      <w:r>
        <w:t xml:space="preserve">, dále </w:t>
      </w:r>
      <w:r w:rsidRPr="00CF3468">
        <w:t>Maďarsko a Německo.</w:t>
      </w:r>
    </w:p>
    <w:p w:rsidR="00567C4A" w:rsidRDefault="00567C4A" w:rsidP="000B7BEE">
      <w:r w:rsidRPr="00CF3468">
        <w:t>Vývoz vepřového masa se v roce 201</w:t>
      </w:r>
      <w:r>
        <w:t>4</w:t>
      </w:r>
      <w:r w:rsidRPr="00CF3468">
        <w:t xml:space="preserve"> v objemovém vyjádření meziročně mírně snížil o </w:t>
      </w:r>
      <w:r>
        <w:t>4,2</w:t>
      </w:r>
      <w:r w:rsidRPr="00CF3468">
        <w:t> % (o </w:t>
      </w:r>
      <w:r>
        <w:t>1,9</w:t>
      </w:r>
      <w:r w:rsidRPr="00CF3468">
        <w:t> tis. t) na 4</w:t>
      </w:r>
      <w:r>
        <w:t>3,5</w:t>
      </w:r>
      <w:r w:rsidRPr="00CF3468">
        <w:t> tis. t</w:t>
      </w:r>
      <w:r>
        <w:t>. V</w:t>
      </w:r>
      <w:r w:rsidRPr="00CF3468">
        <w:t xml:space="preserve">e finančním vyjádření došlo </w:t>
      </w:r>
      <w:r>
        <w:t xml:space="preserve">rovněž </w:t>
      </w:r>
      <w:r w:rsidRPr="00CF3468">
        <w:t xml:space="preserve">k jeho </w:t>
      </w:r>
      <w:r>
        <w:t>poklesu</w:t>
      </w:r>
      <w:r w:rsidRPr="00CF3468">
        <w:t xml:space="preserve"> o </w:t>
      </w:r>
      <w:r>
        <w:t>74</w:t>
      </w:r>
      <w:r w:rsidRPr="00CF3468">
        <w:t> m</w:t>
      </w:r>
      <w:r>
        <w:t>il</w:t>
      </w:r>
      <w:r w:rsidRPr="00CF3468">
        <w:t>. Kč na 2,</w:t>
      </w:r>
      <w:r>
        <w:t>6</w:t>
      </w:r>
      <w:r w:rsidRPr="00CF3468">
        <w:t> mld. Kč.</w:t>
      </w:r>
      <w:r w:rsidRPr="00CF3468">
        <w:rPr>
          <w:color w:val="000000"/>
        </w:rPr>
        <w:t xml:space="preserve"> Exportováno bylo</w:t>
      </w:r>
      <w:r w:rsidRPr="00CF3468">
        <w:t xml:space="preserve"> především chlazené maso (podíl 9</w:t>
      </w:r>
      <w:r>
        <w:t>8</w:t>
      </w:r>
      <w:r w:rsidRPr="00CF3468">
        <w:t xml:space="preserve"> %). Nejvýznamnějším odběratelem pro ČR bylo tradičně Slovensko, kam bylo prodáno </w:t>
      </w:r>
      <w:r>
        <w:t>téměř</w:t>
      </w:r>
      <w:r w:rsidRPr="00CF3468">
        <w:t xml:space="preserve"> </w:t>
      </w:r>
      <w:r>
        <w:t>75</w:t>
      </w:r>
      <w:r w:rsidRPr="00CF3468">
        <w:t> % vepřového masa a dále Maďarsko</w:t>
      </w:r>
      <w:r>
        <w:t xml:space="preserve"> </w:t>
      </w:r>
      <w:r w:rsidRPr="00CF3468">
        <w:t>a Polsko (1</w:t>
      </w:r>
      <w:r>
        <w:t>5</w:t>
      </w:r>
      <w:r w:rsidRPr="00CF3468">
        <w:t> %).</w:t>
      </w:r>
    </w:p>
    <w:p w:rsidR="00567C4A" w:rsidRPr="00CF3468" w:rsidRDefault="00567C4A" w:rsidP="000B7BEE">
      <w:r>
        <w:t xml:space="preserve">Ceny </w:t>
      </w:r>
      <w:r w:rsidRPr="00CF3468">
        <w:t>zemědělských výrobců jatečných prasat v</w:t>
      </w:r>
      <w:r>
        <w:t> </w:t>
      </w:r>
      <w:r w:rsidRPr="00CF3468">
        <w:t>ČR</w:t>
      </w:r>
      <w:r>
        <w:t xml:space="preserve"> byly v roce 2014 bezprostředně</w:t>
      </w:r>
      <w:r w:rsidRPr="00CF3468">
        <w:t xml:space="preserve"> ovlivněn</w:t>
      </w:r>
      <w:r>
        <w:t>y</w:t>
      </w:r>
      <w:r w:rsidRPr="00CF3468">
        <w:t xml:space="preserve"> vývojem cen vepřového masa na trhu Unie</w:t>
      </w:r>
      <w:r>
        <w:t xml:space="preserve">. Po předchozím dvouletém růstu, se od srpna 2014 začaly výrazně propadat a tím se průměrná CZV jatečných prasat </w:t>
      </w:r>
      <w:r w:rsidRPr="00CF3468">
        <w:t>tř. SEU</w:t>
      </w:r>
      <w:r w:rsidRPr="00950504">
        <w:rPr>
          <w:rStyle w:val="Znakapoznpodarou"/>
        </w:rPr>
        <w:footnoteReference w:id="144"/>
      </w:r>
      <w:r w:rsidRPr="00CF3468">
        <w:t>, podle údajů TIS</w:t>
      </w:r>
      <w:r w:rsidRPr="00CF3468">
        <w:rPr>
          <w:vertAlign w:val="superscript"/>
        </w:rPr>
        <w:t>ČR</w:t>
      </w:r>
      <w:r w:rsidRPr="00CF3468">
        <w:t xml:space="preserve">SZIF, meziročně </w:t>
      </w:r>
      <w:r>
        <w:t>snížila</w:t>
      </w:r>
      <w:r w:rsidRPr="00CF3468">
        <w:t xml:space="preserve"> o </w:t>
      </w:r>
      <w:r>
        <w:t>2,7</w:t>
      </w:r>
      <w:r w:rsidRPr="00CF3468">
        <w:t> %, tj. o 0,</w:t>
      </w:r>
      <w:r>
        <w:t>93</w:t>
      </w:r>
      <w:r w:rsidRPr="00CF3468">
        <w:t> Kč a dosáhla 3</w:t>
      </w:r>
      <w:r>
        <w:t>3,50</w:t>
      </w:r>
      <w:r w:rsidRPr="00CF3468">
        <w:t> Kč/kg ž. hm. (4</w:t>
      </w:r>
      <w:r>
        <w:t>3,04</w:t>
      </w:r>
      <w:r w:rsidRPr="00CF3468">
        <w:t xml:space="preserve"> Kč/kg j. hm.). CZV jatečných prasat celkem meziročně </w:t>
      </w:r>
      <w:r>
        <w:t>klesla</w:t>
      </w:r>
      <w:r w:rsidRPr="00CF3468">
        <w:t xml:space="preserve"> o </w:t>
      </w:r>
      <w:r>
        <w:t>2,9 % na 32,73 Kč/kg ž. hm. (tj. </w:t>
      </w:r>
      <w:r w:rsidRPr="00CF3468">
        <w:t>na 4</w:t>
      </w:r>
      <w:r>
        <w:t>2,05</w:t>
      </w:r>
      <w:r w:rsidRPr="00CF3468">
        <w:t xml:space="preserve"> Kč/kg j. hm.). </w:t>
      </w:r>
      <w:r>
        <w:t>Hlavními faktory spolupůsobícími na jejich prudký pokles, ke kterému došlo od srpna i v ostatních zemích EU, byly jednak rekordně vysoké ceny v předchozích dvou letech (2012</w:t>
      </w:r>
      <w:r w:rsidR="00402A49">
        <w:t xml:space="preserve"> </w:t>
      </w:r>
      <w:r>
        <w:t xml:space="preserve">a 2013), které oslabily poptávku, </w:t>
      </w:r>
      <w:r w:rsidR="00402A49">
        <w:t>jednak</w:t>
      </w:r>
      <w:r>
        <w:t xml:space="preserve"> obvyklý sez</w:t>
      </w:r>
      <w:r w:rsidR="005227F9">
        <w:t>o</w:t>
      </w:r>
      <w:r>
        <w:t>nní útlum ceny provázený dalším omezením vývozu vepřového masa na ruský trh. Ve srovnání s </w:t>
      </w:r>
      <w:r w:rsidRPr="00CF3468">
        <w:t>pětiletým průměrem (20</w:t>
      </w:r>
      <w:r>
        <w:t>10</w:t>
      </w:r>
      <w:r>
        <w:noBreakHyphen/>
      </w:r>
      <w:r w:rsidRPr="00CF3468">
        <w:t>201</w:t>
      </w:r>
      <w:r>
        <w:t>4</w:t>
      </w:r>
      <w:r w:rsidRPr="00CF3468">
        <w:t xml:space="preserve">) byly </w:t>
      </w:r>
      <w:r>
        <w:t xml:space="preserve">v roce 2014 CZV jatečných prasat tř. SEU v ČR </w:t>
      </w:r>
      <w:r w:rsidRPr="00CF3468">
        <w:t xml:space="preserve">vyšší </w:t>
      </w:r>
      <w:r w:rsidRPr="00CF3468">
        <w:rPr>
          <w:color w:val="000000"/>
        </w:rPr>
        <w:t>o </w:t>
      </w:r>
      <w:r>
        <w:rPr>
          <w:color w:val="000000"/>
        </w:rPr>
        <w:t>5,4</w:t>
      </w:r>
      <w:r w:rsidRPr="00CF3468">
        <w:rPr>
          <w:color w:val="000000"/>
        </w:rPr>
        <w:t> % (tj. o </w:t>
      </w:r>
      <w:r>
        <w:rPr>
          <w:color w:val="000000"/>
        </w:rPr>
        <w:t>1,73</w:t>
      </w:r>
      <w:r w:rsidRPr="00CF3468">
        <w:rPr>
          <w:color w:val="000000"/>
        </w:rPr>
        <w:t> Kč/kg ž. hm.).</w:t>
      </w:r>
    </w:p>
    <w:p w:rsidR="00567C4A" w:rsidRDefault="00567C4A" w:rsidP="000B7BEE">
      <w:r w:rsidRPr="00CF3468">
        <w:t>Ceny průmyslových výrobců vepřového výsekového masa v roce 201</w:t>
      </w:r>
      <w:r>
        <w:t>4</w:t>
      </w:r>
      <w:r w:rsidRPr="00CF3468">
        <w:t xml:space="preserve"> reagovaly na </w:t>
      </w:r>
      <w:r>
        <w:t>vývoj</w:t>
      </w:r>
      <w:r w:rsidRPr="00CF3468">
        <w:t xml:space="preserve"> CZV jatečných prasat a meziročně </w:t>
      </w:r>
      <w:r>
        <w:t xml:space="preserve">klesly </w:t>
      </w:r>
      <w:r w:rsidRPr="00CF3468">
        <w:t>u </w:t>
      </w:r>
      <w:r>
        <w:t xml:space="preserve">většiny </w:t>
      </w:r>
      <w:r w:rsidRPr="00CF3468">
        <w:t>jeho sledovaných druhů. Průměrná CPV vepřového výsekového masa</w:t>
      </w:r>
      <w:r>
        <w:rPr>
          <w:rStyle w:val="Znakapoznpodarou"/>
        </w:rPr>
        <w:footnoteReference w:id="145"/>
      </w:r>
      <w:r w:rsidRPr="00CF3468">
        <w:t>, podle TIS</w:t>
      </w:r>
      <w:r w:rsidRPr="00CF3468">
        <w:rPr>
          <w:vertAlign w:val="superscript"/>
        </w:rPr>
        <w:t>ČR</w:t>
      </w:r>
      <w:r w:rsidRPr="00CF3468">
        <w:t> SZIF, v roce 201</w:t>
      </w:r>
      <w:r>
        <w:t>4</w:t>
      </w:r>
      <w:r w:rsidRPr="00CF3468">
        <w:t xml:space="preserve"> dosáhla 6</w:t>
      </w:r>
      <w:r>
        <w:t>1,01</w:t>
      </w:r>
      <w:r w:rsidRPr="00CF3468">
        <w:t xml:space="preserve"> Kč/kg, </w:t>
      </w:r>
      <w:r w:rsidRPr="00CF3468">
        <w:lastRenderedPageBreak/>
        <w:t xml:space="preserve">což představovalo meziroční </w:t>
      </w:r>
      <w:r>
        <w:t>snížení</w:t>
      </w:r>
      <w:r w:rsidRPr="00CF3468">
        <w:t xml:space="preserve"> </w:t>
      </w:r>
      <w:r w:rsidRPr="00DA627A">
        <w:t>o 1,</w:t>
      </w:r>
      <w:r>
        <w:t>6</w:t>
      </w:r>
      <w:r w:rsidRPr="00DA627A">
        <w:t> % (o 1,</w:t>
      </w:r>
      <w:r>
        <w:t>02</w:t>
      </w:r>
      <w:r w:rsidRPr="00DA627A">
        <w:t> Kč/kg)</w:t>
      </w:r>
      <w:r w:rsidRPr="00702516">
        <w:t>.</w:t>
      </w:r>
      <w:r>
        <w:t xml:space="preserve"> Spotřebitelské ceny vepřového masa podle ČSÚ meziročně ještě naproti tomu mírně stouply (index 101,6).</w:t>
      </w:r>
    </w:p>
    <w:p w:rsidR="00567C4A" w:rsidRPr="00CF3468" w:rsidRDefault="00567C4A" w:rsidP="000B7BEE">
      <w:pPr>
        <w:pStyle w:val="mezera"/>
      </w:pPr>
    </w:p>
    <w:p w:rsidR="00567C4A" w:rsidRDefault="00567C4A" w:rsidP="000B7BEE">
      <w:pPr>
        <w:pStyle w:val="mezera-svzan"/>
      </w:pPr>
      <w:r w:rsidRPr="00514A08">
        <w:rPr>
          <w:noProof/>
          <w:lang w:eastAsia="cs-CZ"/>
        </w:rPr>
        <w:drawing>
          <wp:inline distT="0" distB="0" distL="0" distR="0" wp14:anchorId="0DDCCCD1" wp14:editId="6AAA1EED">
            <wp:extent cx="5760720" cy="3712123"/>
            <wp:effectExtent l="0" t="0" r="0" b="317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60720" cy="3712123"/>
                    </a:xfrm>
                    <a:prstGeom prst="rect">
                      <a:avLst/>
                    </a:prstGeom>
                    <a:noFill/>
                    <a:ln>
                      <a:noFill/>
                    </a:ln>
                  </pic:spPr>
                </pic:pic>
              </a:graphicData>
            </a:graphic>
          </wp:inline>
        </w:drawing>
      </w:r>
    </w:p>
    <w:p w:rsidR="00567C4A" w:rsidRDefault="00567C4A" w:rsidP="000B7BEE">
      <w:pPr>
        <w:pStyle w:val="TabPramZprac"/>
      </w:pPr>
      <w:r>
        <w:t>Pramen:</w:t>
      </w:r>
      <w:r>
        <w:tab/>
        <w:t>TIS</w:t>
      </w:r>
      <w:r w:rsidRPr="004F723B">
        <w:rPr>
          <w:vertAlign w:val="superscript"/>
        </w:rPr>
        <w:t>ČR</w:t>
      </w:r>
      <w:r>
        <w:t xml:space="preserve"> SZIF</w:t>
      </w:r>
    </w:p>
    <w:p w:rsidR="00567C4A" w:rsidRDefault="00567C4A" w:rsidP="000B7BEE">
      <w:pPr>
        <w:pStyle w:val="TabPramZprac"/>
      </w:pPr>
      <w:r>
        <w:t>Zpracoval:</w:t>
      </w:r>
      <w:r>
        <w:tab/>
        <w:t>M. Abrahamová (ÚZEI)</w:t>
      </w:r>
    </w:p>
    <w:p w:rsidR="00567C4A" w:rsidRDefault="00567C4A" w:rsidP="000B7BEE">
      <w:pPr>
        <w:pStyle w:val="mezera"/>
      </w:pPr>
    </w:p>
    <w:p w:rsidR="00567C4A" w:rsidRPr="00CF3468" w:rsidRDefault="00567C4A" w:rsidP="000B7BEE">
      <w:pPr>
        <w:rPr>
          <w:color w:val="000000"/>
        </w:rPr>
      </w:pPr>
      <w:r w:rsidRPr="00CF3468">
        <w:t>Ekonomika chovu prasat se v</w:t>
      </w:r>
      <w:r>
        <w:t xml:space="preserve"> </w:t>
      </w:r>
      <w:r w:rsidRPr="00CF3468">
        <w:t xml:space="preserve">ČR nachází </w:t>
      </w:r>
      <w:r>
        <w:t>dlouhodobě</w:t>
      </w:r>
      <w:r w:rsidRPr="00CF3468">
        <w:t xml:space="preserve"> v červených číslech. Ani rok 201</w:t>
      </w:r>
      <w:r>
        <w:t>4</w:t>
      </w:r>
      <w:r w:rsidRPr="00CF3468">
        <w:t xml:space="preserve"> nebyl v tomto ohledu výjim</w:t>
      </w:r>
      <w:r>
        <w:t>kou</w:t>
      </w:r>
      <w:r w:rsidRPr="00CF3468">
        <w:t xml:space="preserve">, </w:t>
      </w:r>
      <w:r>
        <w:t>avšak</w:t>
      </w:r>
      <w:r w:rsidRPr="00CF3468">
        <w:t xml:space="preserve"> podle předběžných údajů </w:t>
      </w:r>
      <w:r>
        <w:t xml:space="preserve">ÚZEI se </w:t>
      </w:r>
      <w:r w:rsidRPr="00CF3468">
        <w:t xml:space="preserve">meziročně </w:t>
      </w:r>
      <w:r>
        <w:t>zlepšila</w:t>
      </w:r>
      <w:r w:rsidRPr="00CF3468">
        <w:t xml:space="preserve"> rentabilita výkrmu, neboť ceny vstupů ve srovnání s cenami jatečných prasat </w:t>
      </w:r>
      <w:r>
        <w:t>klesly</w:t>
      </w:r>
      <w:r w:rsidRPr="00CF3468">
        <w:t xml:space="preserve"> </w:t>
      </w:r>
      <w:r>
        <w:t>významněji</w:t>
      </w:r>
      <w:r w:rsidRPr="00CF3468">
        <w:t xml:space="preserve">. </w:t>
      </w:r>
      <w:r>
        <w:t>Přesto v roce 2014 d</w:t>
      </w:r>
      <w:r w:rsidRPr="00CF3468">
        <w:t>osahované realizační ceny nestačily pokrýt</w:t>
      </w:r>
      <w:r>
        <w:t xml:space="preserve"> v plné výši</w:t>
      </w:r>
      <w:r w:rsidRPr="00CF3468">
        <w:t xml:space="preserve"> náklady a výkrm prasat byl opět ztrátový. </w:t>
      </w:r>
      <w:r>
        <w:t>Pokles</w:t>
      </w:r>
      <w:r w:rsidRPr="00CF3468">
        <w:t xml:space="preserve"> CZV krmných obilovin, který v roce 201</w:t>
      </w:r>
      <w:r>
        <w:t>4</w:t>
      </w:r>
      <w:r w:rsidRPr="00CF3468">
        <w:t xml:space="preserve"> v meziročním srovnání představoval 1</w:t>
      </w:r>
      <w:r>
        <w:t>2</w:t>
      </w:r>
      <w:r w:rsidRPr="00CF3468">
        <w:noBreakHyphen/>
      </w:r>
      <w:r>
        <w:t>16</w:t>
      </w:r>
      <w:r w:rsidRPr="00CF3468">
        <w:t xml:space="preserve"> %, se promítl do </w:t>
      </w:r>
      <w:r>
        <w:t>nižších</w:t>
      </w:r>
      <w:r w:rsidRPr="00CF3468">
        <w:t xml:space="preserve"> CPV</w:t>
      </w:r>
      <w:r w:rsidRPr="00CF3468">
        <w:rPr>
          <w:color w:val="000000"/>
        </w:rPr>
        <w:t xml:space="preserve"> krmných směsí pro prasata. Ty podle šetření ČSÚ ve srovnání s rokem 201</w:t>
      </w:r>
      <w:r>
        <w:rPr>
          <w:color w:val="000000"/>
        </w:rPr>
        <w:t>3</w:t>
      </w:r>
      <w:r w:rsidRPr="00CF3468">
        <w:rPr>
          <w:color w:val="000000"/>
        </w:rPr>
        <w:t xml:space="preserve"> </w:t>
      </w:r>
      <w:r>
        <w:rPr>
          <w:color w:val="000000"/>
        </w:rPr>
        <w:t>oslabily</w:t>
      </w:r>
      <w:r w:rsidRPr="00CF3468">
        <w:rPr>
          <w:color w:val="000000"/>
        </w:rPr>
        <w:t xml:space="preserve"> v rozmezí </w:t>
      </w:r>
      <w:r>
        <w:rPr>
          <w:color w:val="000000"/>
        </w:rPr>
        <w:t>7</w:t>
      </w:r>
      <w:r>
        <w:rPr>
          <w:color w:val="000000"/>
        </w:rPr>
        <w:noBreakHyphen/>
        <w:t>10</w:t>
      </w:r>
      <w:r w:rsidRPr="00CF3468">
        <w:rPr>
          <w:color w:val="000000"/>
        </w:rPr>
        <w:t> %.</w:t>
      </w:r>
    </w:p>
    <w:p w:rsidR="00567C4A" w:rsidRPr="00CF3468" w:rsidRDefault="00567C4A" w:rsidP="000B7BEE">
      <w:r w:rsidRPr="00CF3468">
        <w:t>Podle odhadu ÚZEI vykázaly v roce 201</w:t>
      </w:r>
      <w:r>
        <w:t>4</w:t>
      </w:r>
      <w:r w:rsidRPr="00CF3468">
        <w:t xml:space="preserve"> podniky s podvojným účetnictvím náklady na výkrm prasat ve výši 3</w:t>
      </w:r>
      <w:r>
        <w:t>4,25</w:t>
      </w:r>
      <w:r w:rsidRPr="00CF3468">
        <w:t> Kč/kg ž. hm. Meziročně došlo k jejich zvýšení</w:t>
      </w:r>
      <w:r>
        <w:t xml:space="preserve"> </w:t>
      </w:r>
      <w:r w:rsidRPr="00CF3468">
        <w:t>o </w:t>
      </w:r>
      <w:r>
        <w:t>2,08</w:t>
      </w:r>
      <w:r w:rsidRPr="00CF3468">
        <w:t> Kč/kg ž. hm. Odhadované náklady na krmiva se v roce 201</w:t>
      </w:r>
      <w:r>
        <w:t>4</w:t>
      </w:r>
      <w:r w:rsidRPr="00CF3468">
        <w:t xml:space="preserve"> podílely na celkových nákladech výkrmu prasat 6</w:t>
      </w:r>
      <w:r>
        <w:t>7</w:t>
      </w:r>
      <w:r w:rsidRPr="00CF3468">
        <w:t> %, zatímco v roce 201</w:t>
      </w:r>
      <w:r>
        <w:t>3</w:t>
      </w:r>
      <w:r w:rsidRPr="00CF3468">
        <w:t xml:space="preserve"> to bylo </w:t>
      </w:r>
      <w:r>
        <w:t>téměř 70 %</w:t>
      </w:r>
      <w:r w:rsidRPr="00CF3468">
        <w:t xml:space="preserve">. V meziročním srovnání došlo k jejich </w:t>
      </w:r>
      <w:r>
        <w:t xml:space="preserve">poklesu </w:t>
      </w:r>
      <w:r w:rsidRPr="00CF3468">
        <w:t>o 1</w:t>
      </w:r>
      <w:r>
        <w:t>,48 Kč/KD</w:t>
      </w:r>
      <w:r w:rsidRPr="00CF3468">
        <w:t xml:space="preserve">. </w:t>
      </w:r>
      <w:r>
        <w:t>U</w:t>
      </w:r>
      <w:r w:rsidRPr="00CF3468">
        <w:t> většiny ostatních nákladů</w:t>
      </w:r>
      <w:r>
        <w:t xml:space="preserve"> došlo v roce 2014 ke zvýšení</w:t>
      </w:r>
      <w:r w:rsidRPr="00CF3468">
        <w:t>, z </w:t>
      </w:r>
      <w:r>
        <w:t>toho</w:t>
      </w:r>
      <w:r w:rsidRPr="00CF3468">
        <w:t xml:space="preserve"> nejvýrazněj</w:t>
      </w:r>
      <w:r>
        <w:t>i</w:t>
      </w:r>
      <w:r w:rsidRPr="00CF3468">
        <w:t xml:space="preserve"> </w:t>
      </w:r>
      <w:r>
        <w:t xml:space="preserve">u </w:t>
      </w:r>
      <w:r w:rsidRPr="00CF3468">
        <w:t>režijní</w:t>
      </w:r>
      <w:r>
        <w:t>ch</w:t>
      </w:r>
      <w:r w:rsidRPr="00CF3468">
        <w:t xml:space="preserve"> náklad</w:t>
      </w:r>
      <w:r>
        <w:t>ů</w:t>
      </w:r>
      <w:r w:rsidRPr="00CF3468">
        <w:t xml:space="preserve"> (o 3,1 %)</w:t>
      </w:r>
      <w:r>
        <w:t xml:space="preserve">, </w:t>
      </w:r>
      <w:r w:rsidRPr="00CF3468">
        <w:t>pracovní</w:t>
      </w:r>
      <w:r>
        <w:t>ch</w:t>
      </w:r>
      <w:r w:rsidRPr="00CF3468">
        <w:t xml:space="preserve"> náklad</w:t>
      </w:r>
      <w:r>
        <w:t>ů</w:t>
      </w:r>
      <w:r w:rsidRPr="00CF3468">
        <w:t xml:space="preserve"> (o 2,9 %)</w:t>
      </w:r>
      <w:r>
        <w:t xml:space="preserve"> a</w:t>
      </w:r>
      <w:r w:rsidRPr="00CF3468">
        <w:t xml:space="preserve"> ostatní</w:t>
      </w:r>
      <w:r>
        <w:t>ch</w:t>
      </w:r>
      <w:r w:rsidRPr="00CF3468">
        <w:t xml:space="preserve"> přím</w:t>
      </w:r>
      <w:r>
        <w:t>ých</w:t>
      </w:r>
      <w:r w:rsidRPr="00CF3468">
        <w:t xml:space="preserve"> náklad</w:t>
      </w:r>
      <w:r>
        <w:t>ů</w:t>
      </w:r>
      <w:r w:rsidRPr="00CF3468">
        <w:t xml:space="preserve"> a služ</w:t>
      </w:r>
      <w:r>
        <w:t>e</w:t>
      </w:r>
      <w:r w:rsidRPr="00CF3468">
        <w:t>b (o </w:t>
      </w:r>
      <w:r>
        <w:t>2,0</w:t>
      </w:r>
      <w:r w:rsidRPr="00CF3468">
        <w:t> %). Proti roku 201</w:t>
      </w:r>
      <w:r>
        <w:t>3</w:t>
      </w:r>
      <w:r w:rsidRPr="00CF3468">
        <w:t xml:space="preserve"> však došlo ke </w:t>
      </w:r>
      <w:r>
        <w:t>zlepšení</w:t>
      </w:r>
      <w:r w:rsidRPr="00CF3468">
        <w:t xml:space="preserve"> souhrnné rentability ve výrobě vepřového masa o </w:t>
      </w:r>
      <w:r>
        <w:t>2,8</w:t>
      </w:r>
      <w:r w:rsidRPr="00CF3468">
        <w:t> p. b.</w:t>
      </w:r>
    </w:p>
    <w:p w:rsidR="00567C4A" w:rsidRPr="00CF3468" w:rsidRDefault="00567C4A" w:rsidP="000B7BEE">
      <w:r>
        <w:rPr>
          <w:color w:val="000000"/>
        </w:rPr>
        <w:t>Pokles</w:t>
      </w:r>
      <w:r w:rsidRPr="00CF3468">
        <w:rPr>
          <w:color w:val="000000"/>
        </w:rPr>
        <w:t xml:space="preserve"> CZV </w:t>
      </w:r>
      <w:r>
        <w:rPr>
          <w:color w:val="000000"/>
        </w:rPr>
        <w:t xml:space="preserve">zástavových </w:t>
      </w:r>
      <w:r w:rsidRPr="00CF3468">
        <w:rPr>
          <w:color w:val="000000"/>
        </w:rPr>
        <w:t>selat na trhu EU</w:t>
      </w:r>
      <w:r>
        <w:rPr>
          <w:color w:val="000000"/>
        </w:rPr>
        <w:t xml:space="preserve"> se do českého trhu nestačil plně promítnout a jejich cena stagnovala na úrovni roku 2013, tj. na</w:t>
      </w:r>
      <w:r w:rsidRPr="00CF3468">
        <w:rPr>
          <w:color w:val="000000"/>
        </w:rPr>
        <w:t xml:space="preserve"> 59,</w:t>
      </w:r>
      <w:r>
        <w:rPr>
          <w:color w:val="000000"/>
        </w:rPr>
        <w:t>10</w:t>
      </w:r>
      <w:r w:rsidRPr="00CF3468">
        <w:rPr>
          <w:color w:val="000000"/>
        </w:rPr>
        <w:t> Kč/kg ž. hm.</w:t>
      </w:r>
      <w:r w:rsidRPr="00CF3468">
        <w:t xml:space="preserve"> Podle odhadu ÚZEI se </w:t>
      </w:r>
      <w:r w:rsidRPr="00CF3468">
        <w:lastRenderedPageBreak/>
        <w:t>průměrný denní přírůstek prasat ve výkrmu v roce 201</w:t>
      </w:r>
      <w:r>
        <w:t>4 meziročně nezměnil a zůstal na</w:t>
      </w:r>
      <w:r w:rsidRPr="00CF3468">
        <w:t xml:space="preserve"> 0,</w:t>
      </w:r>
      <w:r>
        <w:t>824</w:t>
      </w:r>
      <w:r w:rsidRPr="00CF3468">
        <w:t> kg/ks/KD.</w:t>
      </w:r>
    </w:p>
    <w:p w:rsidR="00567C4A" w:rsidRPr="005A5DEE" w:rsidRDefault="00567C4A" w:rsidP="000B7BEE">
      <w:r w:rsidRPr="00CF3468">
        <w:t xml:space="preserve">Na základě vývoje </w:t>
      </w:r>
      <w:r>
        <w:t>cen jatečných prasat</w:t>
      </w:r>
      <w:r w:rsidRPr="00CF3468">
        <w:t xml:space="preserve"> a předpokládaných nákladů ve výkrmu lze konstatovat, že za rok 201</w:t>
      </w:r>
      <w:r>
        <w:t>4</w:t>
      </w:r>
      <w:r w:rsidRPr="00CF3468">
        <w:t xml:space="preserve"> podniky </w:t>
      </w:r>
      <w:r>
        <w:t xml:space="preserve">zaměřené na produkci vepřového masa </w:t>
      </w:r>
      <w:r w:rsidRPr="00CF3468">
        <w:t>vykazovaly v průměru ztrátu</w:t>
      </w:r>
      <w:r>
        <w:t xml:space="preserve"> 1,52</w:t>
      </w:r>
      <w:r w:rsidRPr="00CF3468">
        <w:t> Kč/kg ž. hm.</w:t>
      </w:r>
      <w:r>
        <w:t xml:space="preserve"> (v roce 2013 to bylo 2,63 Kč/kg ž. hm.)</w:t>
      </w:r>
      <w:r w:rsidRPr="00CF3468">
        <w:t xml:space="preserve"> To představovalo celkovou ztrátu na jedno vykrmené prase při průměrné porážkové hmotnosti 111,5 kg ž. hm. cca </w:t>
      </w:r>
      <w:r>
        <w:t>169</w:t>
      </w:r>
      <w:r w:rsidRPr="00CF3468">
        <w:t> Kč.</w:t>
      </w:r>
    </w:p>
    <w:p w:rsidR="00567C4A" w:rsidRPr="009B061E" w:rsidRDefault="00567C4A" w:rsidP="000B7BEE">
      <w:pPr>
        <w:pStyle w:val="Nadpis3"/>
      </w:pPr>
      <w:bookmarkStart w:id="226" w:name="_Toc388267722"/>
      <w:bookmarkStart w:id="227" w:name="_Toc424307081"/>
      <w:r w:rsidRPr="00074C0F">
        <w:t>8.2.3</w:t>
      </w:r>
      <w:r w:rsidRPr="00074C0F">
        <w:tab/>
        <w:t>Drůbež – drůbeží maso, vejce</w:t>
      </w:r>
      <w:bookmarkEnd w:id="226"/>
      <w:bookmarkEnd w:id="227"/>
    </w:p>
    <w:p w:rsidR="00567C4A" w:rsidRPr="00074C0F" w:rsidRDefault="00567C4A" w:rsidP="000B7BEE">
      <w:pPr>
        <w:pStyle w:val="Norm-Bold"/>
      </w:pPr>
      <w:r w:rsidRPr="00074C0F">
        <w:t>Drůbež</w:t>
      </w:r>
    </w:p>
    <w:p w:rsidR="00567C4A" w:rsidRDefault="00567C4A" w:rsidP="000B7BEE">
      <w:r w:rsidRPr="00074C0F">
        <w:t>Světová produkce kuřecího masa v roce 2014 vykázala zvýšení o 1,8 % na 86,1 mil. t podle předběžných údajů USDA. Zvýšení produkce zaznamenaly hlavní producentské země (Brazílie, Čína a EU)</w:t>
      </w:r>
      <w:r w:rsidR="00B416F5">
        <w:t>, a</w:t>
      </w:r>
      <w:r w:rsidRPr="00074C0F">
        <w:t>le i Argentina, která v posledních čtyřech letech zvyšuje svoji produkci kuřecího masa, a to zejména vzhledem k rostoucí domácí i světové poptávce. USDA očekává růst významu produkce kuřecího masa v Argentině.</w:t>
      </w:r>
    </w:p>
    <w:p w:rsidR="00567C4A" w:rsidRPr="00074C0F" w:rsidRDefault="00567C4A" w:rsidP="000B7BEE">
      <w:r w:rsidRPr="00074C0F">
        <w:t>Ve světovém obchodu s kuřecím masem nedošlo v roce 2014 k výrazným změnám. Jeho dovoz se nepatrně snížil o 0,8 % na 8,6 mil. t. Oslabení dovozu se týkalo zejména EU, Ruska a Saudské Arábie. K navýšení dovozů došlo u Japonska, Iráku a Jižní Afriky. Vývoz kuřecího masa vzrostl o 2,3 % na 10,5 mil. t. Vývoz kuřecího masa se zvýšil v Brazílii o 3,4 % na 3,6 mil. t, v EU o 1,6 % na 1,1 mil. t., v Thajsku o 3 % na 540 tis. t a v Argentině o 4,9 % na 340 tis. t.</w:t>
      </w:r>
    </w:p>
    <w:p w:rsidR="00567C4A" w:rsidRPr="00074C0F" w:rsidRDefault="00567C4A" w:rsidP="000B7BEE">
      <w:r w:rsidRPr="00074C0F">
        <w:t>Ve světovém obchodu s kuřecím masem nedošlo v roce 2014 k výrazným změnám. Jeho dovoz se nepatrně snížil o 0,8 % na 8,6 mil. t. Oslabení dovozu se týkalo zejména EU, Ruska a Saudské Arábie. K navýšení dovozů došlo u Japonska, Iráku a Jižní Afriky. Vývoz kuřecího masa vzrostl o 2,3 % na 10,5 mil. t. Vývoz kuřecího masa se zvýšil v Brazílii o 3,4 % na 3,6 mil. t, v EU o 1,6 % na 1,1 mil. t., v Thajsku o 3 % na 540 tis. t a v Argentině o 4,9 % na 340 tis. t.</w:t>
      </w:r>
    </w:p>
    <w:p w:rsidR="00567C4A" w:rsidRPr="00074C0F" w:rsidRDefault="00567C4A" w:rsidP="000B7BEE">
      <w:r w:rsidRPr="00074C0F">
        <w:t>Světová spotřeba drůbežího masa dosáhla v roce 2014 podle odhadu hodnoty 84,1 mil. t a meziročně se zvýšila o 1,4 %.</w:t>
      </w:r>
    </w:p>
    <w:p w:rsidR="00567C4A" w:rsidRPr="00074C0F" w:rsidRDefault="00567C4A" w:rsidP="000B7BEE">
      <w:pPr>
        <w:rPr>
          <w:i/>
        </w:rPr>
      </w:pPr>
      <w:r w:rsidRPr="00074C0F">
        <w:t>V zemích EU se v roce 2014 produkce drůbežího masa podle odhadu EK zvýšila v porovnání s rokem 2013 o 3,2 % a činila 13,2 mil. t. Spotřeba drůbežího masa v zemích EU meziročně vzrostla o 2,4 % na hodnotu 13,6 mil. t.</w:t>
      </w:r>
      <w:r w:rsidRPr="00074C0F">
        <w:rPr>
          <w:i/>
        </w:rPr>
        <w:t xml:space="preserve"> </w:t>
      </w:r>
      <w:r w:rsidRPr="00074C0F">
        <w:t>Průměrná spotřeba drůbežího masa na obyvatele v EU 28 se v porovnání s rokem 2013 zvýšila a dosahovala podle odhadu 26,8 kg/obyv./rok.</w:t>
      </w:r>
    </w:p>
    <w:p w:rsidR="00567C4A" w:rsidRDefault="00567C4A" w:rsidP="000B7BEE">
      <w:r w:rsidRPr="00074C0F">
        <w:t xml:space="preserve">Situace v zahraničním obchodu EU 28 v sektoru drůbežího masa byla v roce 2014 charakterizována zvýšením dovozu i vývozu do třetích zemí. V roce 2014 se podle předběžných údajů EK dovoz drůbežího masa do zemí EU 28 v objemovém vyjádření </w:t>
      </w:r>
      <w:r w:rsidRPr="00074C0F">
        <w:lastRenderedPageBreak/>
        <w:t>v porovnání s rokem 2013 zvýšil o 2,4 % na 832,9 tis. t.</w:t>
      </w:r>
      <w:r w:rsidRPr="00074C0F">
        <w:rPr>
          <w:i/>
        </w:rPr>
        <w:t xml:space="preserve"> </w:t>
      </w:r>
      <w:r w:rsidRPr="00074C0F">
        <w:t xml:space="preserve">Import z Brazílie pokračoval v meziročním snížení o 3 %, naopak opět výrazněji posílily dovozy z Thajska (o 10 %). Přestože se podíl Brazílie (59,6 %) na celkovém dovozu meziročně snižuje, zůstává tato země nadále jednoznačně dominantním dovozcem drůbežího masa na evropský trh. Thajsko se na importu do zemí EU 28 podílelo 29,9 % a jeho podíl se ve srovnání </w:t>
      </w:r>
      <w:r>
        <w:t>s rokem 2013 zvýšil o 1,0 p. b.</w:t>
      </w:r>
    </w:p>
    <w:p w:rsidR="00567C4A" w:rsidRDefault="00567C4A" w:rsidP="000B7BEE">
      <w:r w:rsidRPr="00074C0F">
        <w:t>Vývoz drůbežího masa ze zemí EU 28 se meziročně zvýšil podle odhadu o 5,5 % na 1 504,6 tis. t.</w:t>
      </w:r>
      <w:r w:rsidRPr="00074C0F">
        <w:rPr>
          <w:i/>
        </w:rPr>
        <w:t xml:space="preserve"> </w:t>
      </w:r>
      <w:r w:rsidRPr="00074C0F">
        <w:t>V klesající tendenci pokračoval vývoz do Ruska, kdy se snížil o 28 %. Oproti roku 2013 poklesly také dodávky drůbežího masa do Saudské Arábie o 20 %. Vývoz drůbežího masa posílil opětovně do JAR (28 %), dále pak do Beninu (18 %). Významnou událostí roku 2014 týkající se zahraničního obchodu bylo vyhlášení zákazu dovozu některých produktů do Ruska (zahrnující i zákaz dovozu drůbežího masa) ze zemí EU, USA, Austrálie, Kanady a Norska na začátku srpna 2014.</w:t>
      </w:r>
    </w:p>
    <w:p w:rsidR="00567C4A" w:rsidRPr="00074C0F" w:rsidRDefault="00567C4A" w:rsidP="000B7BEE">
      <w:r w:rsidRPr="00074C0F">
        <w:t>V roce 2014 se podle odhadu EK průměrná cena průmyslových výrobců jatečných kuřat v EU 28 snížila ve srovnání s rokem 2013 o 2,0 % na 191,05 €/100 kg (tj. 53,70 Kč/kg, meziroční pokles o 6,0 %). K poklesu ceny došlo ve většině zemí, přičemž největší pokles nastal na Slovensku (</w:t>
      </w:r>
      <w:r>
        <w:t xml:space="preserve">o </w:t>
      </w:r>
      <w:r w:rsidRPr="00074C0F">
        <w:t xml:space="preserve">10,0 %) a v několika dalších zemích </w:t>
      </w:r>
      <w:r>
        <w:t>v rozmezí 4-</w:t>
      </w:r>
      <w:r w:rsidRPr="00074C0F">
        <w:t xml:space="preserve">5 % (ČR, Chorvatsko, Rumunsko a Litva). K výraznějšímu nárůstu ceny v porovnání s rokem 2013 došlo ve Velké Británii </w:t>
      </w:r>
      <w:r>
        <w:rPr>
          <w:sz w:val="26"/>
        </w:rPr>
        <w:t>(</w:t>
      </w:r>
      <w:r w:rsidRPr="00074C0F">
        <w:t>o 6,7 %</w:t>
      </w:r>
      <w:r>
        <w:t xml:space="preserve">); k mírnějšímu nárůstu </w:t>
      </w:r>
      <w:r w:rsidRPr="00074C0F">
        <w:t xml:space="preserve">pak v Nizozemsku </w:t>
      </w:r>
      <w:r>
        <w:t xml:space="preserve">(o 2,2 %) </w:t>
      </w:r>
      <w:r w:rsidRPr="00074C0F">
        <w:t xml:space="preserve">a v Německu </w:t>
      </w:r>
      <w:r>
        <w:t>(</w:t>
      </w:r>
      <w:r w:rsidRPr="00074C0F">
        <w:t>o 1,5 %</w:t>
      </w:r>
      <w:r>
        <w:t>)</w:t>
      </w:r>
      <w:r w:rsidRPr="00074C0F">
        <w:t>.</w:t>
      </w:r>
    </w:p>
    <w:p w:rsidR="00567C4A" w:rsidRDefault="00567C4A" w:rsidP="000B7BEE">
      <w:r w:rsidRPr="00074C0F">
        <w:t>V ČR byl v roce 2014 trh s drůbežím masem charakterizován meziročním poklesem stavů drůbeže celkem, zvýšením pro</w:t>
      </w:r>
      <w:r>
        <w:t>dukce i spotřeby drůbežího masa a</w:t>
      </w:r>
      <w:r w:rsidRPr="00074C0F">
        <w:t> nárůstem dovozu a vývozu.</w:t>
      </w:r>
    </w:p>
    <w:p w:rsidR="00567C4A" w:rsidRDefault="00567C4A" w:rsidP="000B7BEE">
      <w:r w:rsidRPr="00074C0F">
        <w:t>V roce 2014 byla v rámci Nákazového fondu vyplacena žadatelům podpora na ozdravení chovů</w:t>
      </w:r>
      <w:r w:rsidRPr="009B5FB9">
        <w:rPr>
          <w:rStyle w:val="Znakapoznpodarou"/>
        </w:rPr>
        <w:footnoteReference w:id="146"/>
      </w:r>
      <w:r w:rsidRPr="00074C0F">
        <w:t>, která činila celkem 357,3 mil. Kč.</w:t>
      </w:r>
    </w:p>
    <w:p w:rsidR="00567C4A" w:rsidRPr="00074C0F" w:rsidRDefault="00567C4A" w:rsidP="000B7BEE">
      <w:r w:rsidRPr="00074C0F">
        <w:t>Podle Soupisu hospodářských zvířat k 1. 4. 2014 se stavy drůbeže celkem v meziročním srovnání snížily o 7,7 % na 21,5 mil. ks. Stavy kuřat na výkrm pokračovaly v poklesu, snížily se o 1,6 % na 11,5 mil. ks, také stavy kuřat na chov výrazně poklesly o 35,9 % na 2,2 mil. ks.</w:t>
      </w:r>
      <w:r w:rsidRPr="00074C0F">
        <w:rPr>
          <w:i/>
        </w:rPr>
        <w:t xml:space="preserve"> </w:t>
      </w:r>
      <w:r w:rsidRPr="00074C0F">
        <w:t>Stavy slepic se snížily o 6,7 % na 6,8 mil.</w:t>
      </w:r>
      <w:r>
        <w:t>,</w:t>
      </w:r>
      <w:r w:rsidR="00F423CC">
        <w:t xml:space="preserve"> </w:t>
      </w:r>
      <w:r>
        <w:t>stavy krůt</w:t>
      </w:r>
      <w:r w:rsidRPr="00074C0F">
        <w:t xml:space="preserve"> o 9,9 % na 396,5 tis. ks</w:t>
      </w:r>
      <w:r w:rsidRPr="00A943B3">
        <w:t xml:space="preserve"> </w:t>
      </w:r>
      <w:r>
        <w:t>a stavy</w:t>
      </w:r>
      <w:r w:rsidRPr="00A943B3">
        <w:t xml:space="preserve"> hus o 6,2 % na 18,4 tis. ks</w:t>
      </w:r>
      <w:r w:rsidR="00B416F5">
        <w:t>.</w:t>
      </w:r>
      <w:r w:rsidR="00F423CC">
        <w:t xml:space="preserve"> </w:t>
      </w:r>
      <w:r w:rsidR="00F423CC" w:rsidRPr="00074C0F">
        <w:t>Stavy kachen</w:t>
      </w:r>
      <w:r w:rsidR="00F423CC">
        <w:t xml:space="preserve"> vzrostly o </w:t>
      </w:r>
      <w:r w:rsidR="00F423CC" w:rsidRPr="00074C0F">
        <w:t>44,6 % na 393,2 tis</w:t>
      </w:r>
      <w:r w:rsidR="00F423CC">
        <w:t>.</w:t>
      </w:r>
      <w:r w:rsidR="00F423CC" w:rsidRPr="00074C0F">
        <w:t> ks.</w:t>
      </w:r>
    </w:p>
    <w:p w:rsidR="00567C4A" w:rsidRPr="00074C0F" w:rsidRDefault="00567C4A" w:rsidP="000B7BEE">
      <w:r w:rsidRPr="00074C0F">
        <w:t xml:space="preserve">Podle ČSÚ produkce jatečné drůbeže v roce 2014 v porovnání s rokem 2013 vzrostla o 6,7 % na 182,8 tis. t j. hm. (243,8 tis. t ž. hm.), </w:t>
      </w:r>
      <w:r>
        <w:t>což odpovídá přibližně 2</w:t>
      </w:r>
      <w:r w:rsidRPr="00074C0F">
        <w:t> % produkce zemí EU</w:t>
      </w:r>
      <w:r w:rsidRPr="00074C0F">
        <w:rPr>
          <w:i/>
        </w:rPr>
        <w:t xml:space="preserve">. </w:t>
      </w:r>
      <w:r w:rsidRPr="00074C0F">
        <w:t>Samozásobení a drobný prodej se meziročně nezměnil a dosáhl podle odhadu 5,3 tis. t j. hm. (7,0 tis. t ž. hm.).</w:t>
      </w:r>
    </w:p>
    <w:p w:rsidR="00567C4A" w:rsidRPr="00074C0F" w:rsidRDefault="00567C4A" w:rsidP="000B7BEE">
      <w:r w:rsidRPr="00074C0F">
        <w:lastRenderedPageBreak/>
        <w:t>V roce 2014 došlo meziročně k nárůstu celkového dovozu živé drůbeže a drůbežího masa. V porovnání s rokem 2013 celkový dovoz drůbežího masa včetně živé drůbeže vzrostl předběžně o 2,7 % na 117,3 tis. t j. hm. (156,4 tis. t ž. hm.),</w:t>
      </w:r>
      <w:r w:rsidRPr="00074C0F">
        <w:rPr>
          <w:i/>
        </w:rPr>
        <w:t xml:space="preserve"> </w:t>
      </w:r>
      <w:r w:rsidRPr="00074C0F">
        <w:t>z toho import samotného drůbežího masa činil 112,0 tis. t j. hm.</w:t>
      </w:r>
      <w:r w:rsidRPr="000A758D">
        <w:t xml:space="preserve"> (</w:t>
      </w:r>
      <w:r>
        <w:t>149,3</w:t>
      </w:r>
      <w:r w:rsidRPr="000A758D">
        <w:t> tis. t ž. hm.)</w:t>
      </w:r>
      <w:r>
        <w:t>.</w:t>
      </w:r>
    </w:p>
    <w:p w:rsidR="00567C4A" w:rsidRPr="00074C0F" w:rsidRDefault="00567C4A" w:rsidP="000B7BEE">
      <w:r w:rsidRPr="00074C0F">
        <w:t xml:space="preserve">Hlavním dovozcem drůbežího masa zůstalo v roce 2014 Polsko </w:t>
      </w:r>
      <w:r>
        <w:t xml:space="preserve">61,2 tis. t j. hm (81,6 tis. t ž. hm.), </w:t>
      </w:r>
      <w:r w:rsidRPr="00074C0F">
        <w:t>Brazílie</w:t>
      </w:r>
      <w:r>
        <w:t xml:space="preserve"> si nadále udržela druhé místo 12,9 tis. t j. hm.</w:t>
      </w:r>
      <w:r w:rsidRPr="000A758D">
        <w:t xml:space="preserve"> (</w:t>
      </w:r>
      <w:r>
        <w:t>17,2</w:t>
      </w:r>
      <w:r w:rsidRPr="000A758D">
        <w:t> tis. t ž. hm.)</w:t>
      </w:r>
      <w:r w:rsidRPr="00074C0F">
        <w:t>, dalším významným dovozcem bylo Něme</w:t>
      </w:r>
      <w:r>
        <w:t>cko 10,2 tis. t j. hm</w:t>
      </w:r>
      <w:r w:rsidRPr="000A758D">
        <w:t xml:space="preserve"> (</w:t>
      </w:r>
      <w:r>
        <w:t>13,6</w:t>
      </w:r>
      <w:r w:rsidRPr="000A758D">
        <w:t> tis. t ž. hm.)</w:t>
      </w:r>
      <w:r w:rsidRPr="00074C0F">
        <w:t xml:space="preserve"> a také Maďarsko </w:t>
      </w:r>
      <w:r>
        <w:t>8,3 tis. t j. hm.</w:t>
      </w:r>
      <w:r w:rsidRPr="000A758D">
        <w:t xml:space="preserve"> (</w:t>
      </w:r>
      <w:r>
        <w:t>11,1</w:t>
      </w:r>
      <w:r w:rsidRPr="000A758D">
        <w:t> tis. t ž. hm.)</w:t>
      </w:r>
      <w:r w:rsidRPr="00074C0F">
        <w:t xml:space="preserve">. Uvedené země se na celkovém importu drůbežího masa do ČR v roce 2014 podílely 83 %. V roce 2014 se nejvíce dováželo zmrazené vykostěné kuřecí maso dělené (podíl 19,7 %), </w:t>
      </w:r>
      <w:r>
        <w:t xml:space="preserve">dále </w:t>
      </w:r>
      <w:r w:rsidRPr="00074C0F">
        <w:t>tzv. 65% kuřata</w:t>
      </w:r>
      <w:r w:rsidRPr="009B5FB9">
        <w:rPr>
          <w:rStyle w:val="Znakapoznpodarou"/>
        </w:rPr>
        <w:footnoteReference w:id="147"/>
      </w:r>
      <w:r w:rsidRPr="00074C0F">
        <w:t xml:space="preserve"> (10,6 %), čerstvé/chlazené vykostěné kuřecí maso dělené (7,3 %), zmrazená vykostěná kuřecí stehna a jejich části (6,0 %) a zmrazená vykostěná kuřecí prsa (5,7 %). Podíl těchto položek na celkovém dovozu drůbežího masa byl 49,2 %. V roce 2014 došlo meziročně ke snížení dovozu živé drůbeže o 15 % na </w:t>
      </w:r>
      <w:r>
        <w:t>úroveň 5,3 tis. t j. hm. (</w:t>
      </w:r>
      <w:r w:rsidRPr="00074C0F">
        <w:t>7,0 tis. t ž. hm.). Živé drůbeže bylo do ČR importováno celkem 24,6 mil. ks, z toho živých kuřat do 185 g určených pro výkrm bylo dovezeno 20,6 mil. ks.</w:t>
      </w:r>
      <w:r w:rsidRPr="00074C0F">
        <w:rPr>
          <w:i/>
        </w:rPr>
        <w:t xml:space="preserve"> </w:t>
      </w:r>
      <w:r w:rsidRPr="00074C0F">
        <w:t>Jejich podíl na celkovém dovozu živé drůbeže činil</w:t>
      </w:r>
      <w:r>
        <w:t xml:space="preserve"> </w:t>
      </w:r>
      <w:r w:rsidRPr="00074C0F">
        <w:t>83,8</w:t>
      </w:r>
      <w:r>
        <w:t xml:space="preserve"> </w:t>
      </w:r>
      <w:r w:rsidRPr="00074C0F">
        <w:t xml:space="preserve">%. Do ČR bylo importováno nejvíce živé drůbeže z Německa (13,9 mil. ks) a ze Slovenska (4,8 mil. ks). Podíl dovozu drůbežího masa včetně živé drůbeže na domácí spotřebě se velmi mírně snížil na </w:t>
      </w:r>
      <w:r w:rsidR="00B416F5">
        <w:t>50,0</w:t>
      </w:r>
      <w:r w:rsidRPr="00074C0F">
        <w:t> % (tj. meziroční pokles o 1,</w:t>
      </w:r>
      <w:r w:rsidR="00B416F5">
        <w:t>1</w:t>
      </w:r>
      <w:r w:rsidRPr="00074C0F">
        <w:t> p. b.).</w:t>
      </w:r>
    </w:p>
    <w:p w:rsidR="00567C4A" w:rsidRDefault="00567C4A" w:rsidP="000B7BEE">
      <w:r w:rsidRPr="00074C0F">
        <w:t>V roce 2014 zaznamenal celkový vývoz živé drůbeže a drůbežího masa z ČR nárůst a proti roku 2013 se zvýšil předběžně o 5,2 % na 71,0 tis. t j. hm. (94,6 tis. t ž. hm.). Z toho export samotného drůbežího masa se meziročně zvýšil o 1,8 % na 33,9 tis. t. Nejvýznamnější vývozní destinací pro drůbeží maso zůstalo Slovensko, kam se v roce 2014 vyvezlo 21,0 tis. t</w:t>
      </w:r>
      <w:r>
        <w:t xml:space="preserve"> j. hm. </w:t>
      </w:r>
      <w:r w:rsidRPr="00745A70">
        <w:t>(</w:t>
      </w:r>
      <w:r>
        <w:t>28,0</w:t>
      </w:r>
      <w:r w:rsidRPr="00745A70">
        <w:t> tis. t ž. hm.)</w:t>
      </w:r>
      <w:r>
        <w:t>, dále pak Nizozemsko 3,9 tis. t</w:t>
      </w:r>
      <w:r w:rsidRPr="00745A70">
        <w:t xml:space="preserve"> </w:t>
      </w:r>
      <w:r>
        <w:t xml:space="preserve">j. hm. </w:t>
      </w:r>
      <w:r w:rsidRPr="00745A70">
        <w:t>(</w:t>
      </w:r>
      <w:r>
        <w:t>5,2</w:t>
      </w:r>
      <w:r w:rsidRPr="00745A70">
        <w:t> tis. t ž. hm.)</w:t>
      </w:r>
      <w:r>
        <w:t xml:space="preserve"> a Německo 3,2 tis. t j. hm. </w:t>
      </w:r>
      <w:r w:rsidRPr="00745A70">
        <w:t>(</w:t>
      </w:r>
      <w:r>
        <w:t>4,3</w:t>
      </w:r>
      <w:r w:rsidRPr="00745A70">
        <w:t> tis. t ž. hm.)</w:t>
      </w:r>
      <w:r w:rsidRPr="00074C0F">
        <w:t>. Sortiment vyváženého masa zahrnoval převáž</w:t>
      </w:r>
      <w:r>
        <w:t>ně dělené kuřecí maso vykostěné a</w:t>
      </w:r>
      <w:r w:rsidRPr="00074C0F">
        <w:t xml:space="preserve"> zmrazené (podíl 25,8 %), </w:t>
      </w:r>
      <w:r>
        <w:t xml:space="preserve">dále </w:t>
      </w:r>
      <w:r w:rsidRPr="00074C0F">
        <w:t>65% kuřata (12,2 %), kuřecí prsa a jejich části čerstvé nebo chlazené (10,4 %) a kuřecí prsa a jejich části vykostěné a zmrazené (9,3 %). Uvedené položky se na exportu drůbežího masa podílely 57,7 %.</w:t>
      </w:r>
    </w:p>
    <w:p w:rsidR="00567C4A" w:rsidRPr="00074C0F" w:rsidRDefault="00567C4A" w:rsidP="000B7BEE">
      <w:r w:rsidRPr="00074C0F">
        <w:t>Export živé drůbeže se v porovnání s rokem 2013 zvýšil o 8</w:t>
      </w:r>
      <w:r>
        <w:t>,4 % na 37,1 tis. t j. hm. (</w:t>
      </w:r>
      <w:r w:rsidRPr="00074C0F">
        <w:t>49,4 tis. t ž. hm.).</w:t>
      </w:r>
      <w:r w:rsidRPr="00074C0F">
        <w:rPr>
          <w:i/>
        </w:rPr>
        <w:t xml:space="preserve"> </w:t>
      </w:r>
      <w:r w:rsidRPr="00074C0F">
        <w:t xml:space="preserve">Živé drůbeže bylo z ČR exportováno celkem 134,3 mil. ks, z toho živých kuřat do 185 g určených pro výkrm bylo </w:t>
      </w:r>
      <w:r w:rsidRPr="00AE7AC1">
        <w:t xml:space="preserve">vyvezeno </w:t>
      </w:r>
      <w:r w:rsidR="00AE7AC1" w:rsidRPr="00AE7AC1">
        <w:t>100,8</w:t>
      </w:r>
      <w:r w:rsidRPr="00AE7AC1">
        <w:t> mil. ks</w:t>
      </w:r>
      <w:r w:rsidRPr="00AE7AC1">
        <w:rPr>
          <w:i/>
        </w:rPr>
        <w:t xml:space="preserve"> </w:t>
      </w:r>
      <w:r w:rsidRPr="00AE7AC1">
        <w:t>a jejich</w:t>
      </w:r>
      <w:r w:rsidRPr="00074C0F">
        <w:t xml:space="preserve"> podíl na celkovém vývozu živé drůbeže činil 80,8 %. Z ČR byla živá drůbež nejvíce vyvážena na Slovensko (59,0 mil. ks), do Polska (27,2 mil. ks), do Rumunska (23,7 mil. ks) a na Ukrajinu (12,5 mil. ks). V roce 2014 nebyl v rámci vývozních subvencí podpořen export živé drůbeže.</w:t>
      </w:r>
      <w:r w:rsidRPr="00074C0F">
        <w:rPr>
          <w:i/>
        </w:rPr>
        <w:t xml:space="preserve"> </w:t>
      </w:r>
      <w:r w:rsidRPr="00074C0F">
        <w:t>Podíl vývozu na domácí produkci se snížil na 37,</w:t>
      </w:r>
      <w:r w:rsidR="00FB2DBA">
        <w:t>7</w:t>
      </w:r>
      <w:r w:rsidRPr="00074C0F">
        <w:t xml:space="preserve"> % (ve srovnání s rokem 2013 pokles </w:t>
      </w:r>
      <w:r w:rsidRPr="00074C0F">
        <w:lastRenderedPageBreak/>
        <w:t>o 0,</w:t>
      </w:r>
      <w:r w:rsidR="00FB2DBA">
        <w:t>5</w:t>
      </w:r>
      <w:r w:rsidRPr="00074C0F">
        <w:t> p. b.). Celkové záporné saldo zahraničního obchodu s drůbežím masem a živou drůbeží se v roce 2014 meziročně nepatrně zlepšilo a dosáhlo hodnoty 46,3 tis. t j. hm. (ve finančním vyjádření 2 123,2 mil. Kč).</w:t>
      </w:r>
    </w:p>
    <w:p w:rsidR="00567C4A" w:rsidRPr="00074C0F" w:rsidRDefault="00567C4A" w:rsidP="000B7BEE">
      <w:r w:rsidRPr="00074C0F">
        <w:t>Na vývoj spotřeby drůbežího masa v ČR má vliv úroveň spotřebitelské ceny, která je v porovnání s dalšími druhy masa nižší.</w:t>
      </w:r>
      <w:r w:rsidRPr="00074C0F">
        <w:rPr>
          <w:i/>
        </w:rPr>
        <w:t xml:space="preserve"> </w:t>
      </w:r>
      <w:r w:rsidRPr="00074C0F">
        <w:t>Přesto</w:t>
      </w:r>
      <w:r>
        <w:t>že došlo k meziročnímu zvýšení SC drůbeže</w:t>
      </w:r>
      <w:r w:rsidRPr="00074C0F">
        <w:t>, domácí spotřeba se v roce 2014 meziročně zvýšila o 5,8 % na 236,5 tis. t j. hm. (315,3 tis. t ž. hm.). Spotřeba drůbežího masa</w:t>
      </w:r>
      <w:r w:rsidR="00FB2DBA">
        <w:t xml:space="preserve"> podle odhadu ÚZEI</w:t>
      </w:r>
      <w:r w:rsidRPr="00074C0F">
        <w:t xml:space="preserve"> na obyvatele činila předběžně 2</w:t>
      </w:r>
      <w:r w:rsidR="00FB2DBA">
        <w:t>5,5</w:t>
      </w:r>
      <w:r w:rsidRPr="00074C0F">
        <w:t> kg/obyv./rok. Míra soběstačnosti v sektoru drůbežího masa se ve srovnání s rokem 2013 zvýšila o 1,3 p. b. a dosáhla hodnoty 80,3 % (míra soběstačnosti v zemích EU 28 v roce 2014 meziročně stagnovala a činila 103,9 %).</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1B71625C" wp14:editId="67D72B5A">
            <wp:extent cx="5760720" cy="4260919"/>
            <wp:effectExtent l="0" t="0" r="0" b="635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0720" cy="4260919"/>
                    </a:xfrm>
                    <a:prstGeom prst="rect">
                      <a:avLst/>
                    </a:prstGeom>
                    <a:noFill/>
                    <a:ln>
                      <a:noFill/>
                    </a:ln>
                  </pic:spPr>
                </pic:pic>
              </a:graphicData>
            </a:graphic>
          </wp:inline>
        </w:drawing>
      </w:r>
    </w:p>
    <w:p w:rsidR="00567C4A" w:rsidRPr="002E47CA" w:rsidRDefault="00567C4A" w:rsidP="000B7BEE">
      <w:pPr>
        <w:pStyle w:val="mezera"/>
      </w:pPr>
    </w:p>
    <w:p w:rsidR="00567C4A" w:rsidRPr="00074C0F" w:rsidRDefault="00567C4A" w:rsidP="000B7BEE">
      <w:r w:rsidRPr="00074C0F">
        <w:t>CZV jatečných kuřat tř. I v roce 2014 klesla o 3,6 % na 23,86 Kč/kg ž. hm., tj. ve srovnání s rokem 2013 pokles o 0,88 Kč/kg ž. hm.</w:t>
      </w:r>
    </w:p>
    <w:p w:rsidR="00567C4A" w:rsidRPr="00074C0F" w:rsidRDefault="00567C4A" w:rsidP="000B7BEE">
      <w:r w:rsidRPr="00074C0F">
        <w:t>Průměrná CZV jatečných kachen se ve srovnání s rokem 2013 nepatrně zvýšila o 0,18 % na 29,49 Kč/kg ž. hm.</w:t>
      </w:r>
      <w:r>
        <w:rPr>
          <w:i/>
        </w:rPr>
        <w:t xml:space="preserve"> </w:t>
      </w:r>
      <w:r w:rsidRPr="00745A70">
        <w:t>a</w:t>
      </w:r>
      <w:r>
        <w:rPr>
          <w:i/>
        </w:rPr>
        <w:t xml:space="preserve"> </w:t>
      </w:r>
      <w:r w:rsidRPr="00074C0F">
        <w:t>CZV brojlerových krůt vzrostla o 4,8 % na 38,80 Kč/kg ž. hm.</w:t>
      </w:r>
    </w:p>
    <w:p w:rsidR="00567C4A" w:rsidRPr="00074C0F" w:rsidRDefault="00567C4A" w:rsidP="000B7BEE">
      <w:r w:rsidRPr="00074C0F">
        <w:t>Ceny průmyslových výrobců a spotřebitelské ceny kuchaných kuřat dosahovaly</w:t>
      </w:r>
      <w:r>
        <w:t xml:space="preserve"> v roce 2014</w:t>
      </w:r>
      <w:r w:rsidRPr="00074C0F">
        <w:t xml:space="preserve"> vyšší úrovně než v roce 2013.</w:t>
      </w:r>
      <w:r w:rsidRPr="00074C0F">
        <w:rPr>
          <w:i/>
        </w:rPr>
        <w:t xml:space="preserve"> </w:t>
      </w:r>
      <w:r w:rsidRPr="00074C0F">
        <w:t>Průměrná CPV kuchaných kuřat tř. I vzrostla o 0,6 % na 43,82 Kč/kg a průměrná SC se zvýšila o 3,6 % na 71,61 Kč/kg.</w:t>
      </w:r>
    </w:p>
    <w:p w:rsidR="00567C4A" w:rsidRPr="00074C0F" w:rsidRDefault="00567C4A" w:rsidP="000B7BEE">
      <w:r w:rsidRPr="00074C0F">
        <w:lastRenderedPageBreak/>
        <w:t>V roce 2014 došlo meziročně k mírnému zlepšení záporné rentabi</w:t>
      </w:r>
      <w:r>
        <w:t>lity výroby drůbežího masa v ČR (o 0,6 p.</w:t>
      </w:r>
      <w:r w:rsidR="00142315">
        <w:t> </w:t>
      </w:r>
      <w:r>
        <w:t>b.).</w:t>
      </w:r>
      <w:r w:rsidRPr="00074C0F">
        <w:rPr>
          <w:i/>
        </w:rPr>
        <w:t xml:space="preserve"> </w:t>
      </w:r>
      <w:r w:rsidRPr="00074C0F">
        <w:t>Meziročně byl zaznamenán pokles CZV jatečných kuřat a také jednotkové náklady na jejich výkrm se podle odhadu ÚZEI u podniků s podvojným účetnictvím v roce 2014 meziročně snížily o 4,2 % na 25,85 Kč/kg ž. hm.</w:t>
      </w:r>
      <w:r w:rsidRPr="00074C0F">
        <w:rPr>
          <w:i/>
        </w:rPr>
        <w:t xml:space="preserve"> </w:t>
      </w:r>
      <w:r w:rsidRPr="00074C0F">
        <w:t>Snížení nákladů bylo dáno zejména poklesem cen krmných obilovin a tedy i krmných směsí ve srovnání s rokem 2013. Náklady na krmiva se podílely v roce 2014 na celkových nákladech 66,5 % (proti roku 2013 došlo k poklesu o 2,3 p. b.).</w:t>
      </w:r>
      <w:r w:rsidRPr="00074C0F">
        <w:rPr>
          <w:i/>
        </w:rPr>
        <w:t xml:space="preserve"> </w:t>
      </w:r>
      <w:r w:rsidRPr="00074C0F">
        <w:t>V meziročním srovnání výrazně poklesly v roce 2014 podle ČSÚ ceny krmných směsí pro brojlery o 6,0 %. Podniky s výkrmem jatečných kuřat vykazovaly v roce 2014 ztrátu 1,99 Kč/kg. Ve srovnání s rokem 2013 tak došlo k</w:t>
      </w:r>
      <w:r>
        <w:t> </w:t>
      </w:r>
      <w:r w:rsidRPr="00074C0F">
        <w:t>mírnému zlepšení ekonomiky výkrmu jatečných kuřat o 0,24 Kč/kg.</w:t>
      </w:r>
    </w:p>
    <w:p w:rsidR="00567C4A" w:rsidRPr="00074C0F" w:rsidRDefault="00567C4A" w:rsidP="000B7BEE">
      <w:pPr>
        <w:pStyle w:val="mezera"/>
      </w:pPr>
    </w:p>
    <w:p w:rsidR="00567C4A" w:rsidRDefault="00567C4A" w:rsidP="000B7BEE">
      <w:pPr>
        <w:pStyle w:val="mezera-svzan"/>
      </w:pPr>
      <w:r w:rsidRPr="003D0055">
        <w:rPr>
          <w:noProof/>
          <w:lang w:eastAsia="cs-CZ"/>
        </w:rPr>
        <w:drawing>
          <wp:inline distT="0" distB="0" distL="0" distR="0" wp14:anchorId="44A703EC" wp14:editId="564E419C">
            <wp:extent cx="5760720" cy="3713662"/>
            <wp:effectExtent l="0" t="0" r="0" b="127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60720" cy="3713662"/>
                    </a:xfrm>
                    <a:prstGeom prst="rect">
                      <a:avLst/>
                    </a:prstGeom>
                    <a:noFill/>
                    <a:ln>
                      <a:noFill/>
                    </a:ln>
                  </pic:spPr>
                </pic:pic>
              </a:graphicData>
            </a:graphic>
          </wp:inline>
        </w:drawing>
      </w:r>
    </w:p>
    <w:p w:rsidR="00567C4A" w:rsidRPr="00074C0F" w:rsidRDefault="00567C4A" w:rsidP="000B7BEE">
      <w:pPr>
        <w:pStyle w:val="TabPramZprac"/>
      </w:pPr>
      <w:r w:rsidRPr="00074C0F">
        <w:t>Pramen:</w:t>
      </w:r>
      <w:r>
        <w:tab/>
      </w:r>
      <w:r w:rsidRPr="00074C0F">
        <w:t>ČSÚ</w:t>
      </w:r>
    </w:p>
    <w:p w:rsidR="00567C4A" w:rsidRDefault="00567C4A" w:rsidP="000B7BEE">
      <w:pPr>
        <w:pStyle w:val="TabPramZprac"/>
      </w:pPr>
      <w:r>
        <w:t>Zpracoval:</w:t>
      </w:r>
      <w:r>
        <w:tab/>
      </w:r>
      <w:r w:rsidRPr="00074C0F">
        <w:t>J. Menzlová (</w:t>
      </w:r>
      <w:r>
        <w:t>Ú</w:t>
      </w:r>
      <w:r w:rsidRPr="00074C0F">
        <w:t>ZEI)</w:t>
      </w:r>
    </w:p>
    <w:p w:rsidR="00567C4A" w:rsidRPr="003D0055" w:rsidRDefault="00567C4A" w:rsidP="000B7BEE">
      <w:pPr>
        <w:pStyle w:val="mezera"/>
      </w:pPr>
    </w:p>
    <w:p w:rsidR="00567C4A" w:rsidRPr="009165AF" w:rsidRDefault="00567C4A" w:rsidP="000B7BEE">
      <w:pPr>
        <w:pStyle w:val="Norm-Bold"/>
      </w:pPr>
      <w:bookmarkStart w:id="228" w:name="_Toc133977659"/>
      <w:r w:rsidRPr="009165AF">
        <w:t>Vejce</w:t>
      </w:r>
    </w:p>
    <w:p w:rsidR="00567C4A" w:rsidRPr="00935AB4" w:rsidRDefault="00567C4A" w:rsidP="000B7BEE">
      <w:r w:rsidRPr="00935AB4">
        <w:t>Podle předběžného odhadu EK se celková produkce vajec v zemích EU zvýšila o 0,1 mil. t na 7,4 mil. t. Domácí celková spotřeba vajec se zvýšila o něco méně (o 0,08 mil. t) a EU tak nepatrně posílila svou domácí soběstačnost. Ta dosáhla 103,0 %, což je o 0,3 p. b. více než v předchozím roce. Na růstu domácí spotřeby se podílela zejména násadová vejce. Spotřeba konzumních vajec se meziročně zvýšila jen o 0,02 mil. t a jejich celková spotřeba v roce 2014 dosáhla 6,3 mil. t. Spotřeba konzumních vajec na obyvatele byla odhadnuta stejně jako v předchozím roce na 12,3 kg/rok (tj. 214,0 ks/rok).</w:t>
      </w:r>
    </w:p>
    <w:p w:rsidR="00567C4A" w:rsidRPr="00935AB4" w:rsidRDefault="00567C4A" w:rsidP="000B7BEE">
      <w:r w:rsidRPr="00935AB4">
        <w:lastRenderedPageBreak/>
        <w:t xml:space="preserve">Nadále pokračovalo oslabování významu dovozu a zvyšování vývozu do třetích zemí. Příznivý vývoj </w:t>
      </w:r>
      <w:r>
        <w:t xml:space="preserve">nastal v důsledku </w:t>
      </w:r>
      <w:r w:rsidRPr="00935AB4">
        <w:t>zvýšení domácí produkce, zejména vlivem zmodernizovaných technologií, které byly v členských zemích zaváděny v důsledku směrnice Rady 1999/74/ES 1999, zakazující ve všech členských zemích chov nosnic v konvenčních klecích. V roce 2014 bylo podle předběžných údajů EK dov</w:t>
      </w:r>
      <w:r>
        <w:t>e</w:t>
      </w:r>
      <w:r w:rsidRPr="00935AB4">
        <w:t>zeno již jen 0,013 mil. t vajec v přepočtu na váhový ekvivalent. Meziročně tak dovoz klesl o 36 % a dostal se z hlediska množství do málo významných hodnot. Největším dodavatelem se stala Indie, odkud pocházelo 43 % dovezeného množství. USA, které dominovaly dovozům v předchozích letech, se na dovozech podílely</w:t>
      </w:r>
      <w:r>
        <w:t xml:space="preserve"> pouze</w:t>
      </w:r>
      <w:r w:rsidRPr="00935AB4">
        <w:t xml:space="preserve"> 30 %. Výrazně klesly i dodávky z Argentiny. Vývoz vajec se v porovnání s rokem 2013 naopak podle předběžných údajů zvýšil o 6,6 % a dosáhl 0,229 mil. t. Posílil význam hlavních destinací, Japonska a Švýcarska, do kterých bylo vyvezeno 34 %</w:t>
      </w:r>
      <w:r>
        <w:t>,</w:t>
      </w:r>
      <w:r w:rsidRPr="00935AB4">
        <w:t xml:space="preserve"> resp. 17 % vyvezeného množství. Z dal</w:t>
      </w:r>
      <w:r>
        <w:t>ších destinací vynikla Angola, kam bylo vyvezeno 7 % celkového množství.</w:t>
      </w:r>
    </w:p>
    <w:p w:rsidR="00567C4A" w:rsidRPr="00935AB4" w:rsidRDefault="00567C4A" w:rsidP="000B7BEE">
      <w:pPr>
        <w:tabs>
          <w:tab w:val="left" w:pos="4140"/>
        </w:tabs>
      </w:pPr>
      <w:r w:rsidRPr="00935AB4">
        <w:t>Průměrná tržní cena vajec na reprezentativních trzích EU podle předběžných údajů EK meziročně klesla o 1,0 % a dosáhla 127,61 €/100 kg</w:t>
      </w:r>
      <w:r>
        <w:t xml:space="preserve"> (tj. 2,02 Kč/ks)</w:t>
      </w:r>
      <w:r w:rsidRPr="00935AB4">
        <w:t>. Ve většině zemí tržní cena meziročně klesla nebo stagnovala, výraznější cenový růst vykázalo jen 5 zemí, z toho nejvíce Belgie (o 7 %) a Rakousko (o 5 %). Největší pokles tržní ceny vykázalo Finsko (o 17 %), avšak nejčastěj</w:t>
      </w:r>
      <w:r>
        <w:t>ší</w:t>
      </w:r>
      <w:r w:rsidRPr="00935AB4">
        <w:t xml:space="preserve"> pokles ceny </w:t>
      </w:r>
      <w:r>
        <w:t xml:space="preserve">nepřekročil </w:t>
      </w:r>
      <w:r w:rsidRPr="00935AB4">
        <w:t>5 %.</w:t>
      </w:r>
      <w:r>
        <w:t xml:space="preserve"> </w:t>
      </w:r>
      <w:r w:rsidRPr="00935AB4">
        <w:t>V rámci sledovaných zemí byla zaznamenána nejvyšší cena v Itálii (208,08 €/100 kg</w:t>
      </w:r>
      <w:r>
        <w:t>, tj. 3,29 Kč/ks</w:t>
      </w:r>
      <w:r w:rsidRPr="00935AB4">
        <w:t>) a nejnižší cena v Belgii (99,21 €/100 kg</w:t>
      </w:r>
      <w:r>
        <w:t>, tj. 1,57 Kč/ks</w:t>
      </w:r>
      <w:r w:rsidRPr="00935AB4">
        <w:t>). Cena v ČR vykázaná ve stejném přehledu EK dosáhla 104,37 €/100 kg</w:t>
      </w:r>
      <w:r>
        <w:t xml:space="preserve"> (tj. 1,65 Kč/ks)</w:t>
      </w:r>
      <w:r w:rsidRPr="00935AB4">
        <w:t>. Ačkoliv v korunách cena meziročně vzrostla, v přepočtu na evropskou měnu byla vykázaná tržní cena o 0,6 % nižší než v předchozím roce.</w:t>
      </w:r>
    </w:p>
    <w:p w:rsidR="00567C4A" w:rsidRPr="00935AB4" w:rsidRDefault="00567C4A" w:rsidP="000B7BEE">
      <w:r w:rsidRPr="00935AB4">
        <w:t xml:space="preserve">V ČR znatelně vzrostly stavy nosnic v zemědělském sektoru, ale vlivem poklesu jejich užitkovosti vzrostla výroba vajec méně než stavy. Zvýšení výroby nestačilo pokrýt </w:t>
      </w:r>
      <w:r>
        <w:t>znatel</w:t>
      </w:r>
      <w:r w:rsidRPr="00935AB4">
        <w:t>ný růst domácí poptávky</w:t>
      </w:r>
      <w:r>
        <w:t>, což</w:t>
      </w:r>
      <w:r w:rsidRPr="00935AB4">
        <w:t xml:space="preserve"> vedlo k poklesu domácí soběstačnosti a růstu dovozů. </w:t>
      </w:r>
      <w:r>
        <w:t xml:space="preserve">Průměrná </w:t>
      </w:r>
      <w:r w:rsidRPr="00935AB4">
        <w:t>CZV vajec</w:t>
      </w:r>
      <w:r>
        <w:t xml:space="preserve"> se zvýšila jen mírně a jejich průměrná spotřebitelská cena jen zcela nepatrně.</w:t>
      </w:r>
    </w:p>
    <w:p w:rsidR="00567C4A" w:rsidRPr="00935AB4" w:rsidRDefault="00567C4A" w:rsidP="000B7BEE">
      <w:r w:rsidRPr="00935AB4">
        <w:t>Průměrný stav nosnic v užitkových chovech dosáhl podle ČSÚ 9,2 mil. ks, tj. o 408 tis. ks (4,7 %) více než v předchozím roce. Výrazný růst stavů nastal v zemědělském sektoru, kde se meziročně zvýšily stavy o 321 tis. ks (8,0 %) na 4,3 mil. ks</w:t>
      </w:r>
      <w:r>
        <w:t xml:space="preserve"> </w:t>
      </w:r>
      <w:r w:rsidRPr="00935AB4">
        <w:t>a jejich podíl na celkových stavech se tak zvýšil na 47,2 %.</w:t>
      </w:r>
      <w:r>
        <w:t xml:space="preserve"> </w:t>
      </w:r>
      <w:r w:rsidRPr="00935AB4">
        <w:t xml:space="preserve">V domácích hospodářstvích bylo </w:t>
      </w:r>
      <w:r w:rsidR="005578A7">
        <w:t>odhadováno</w:t>
      </w:r>
      <w:r w:rsidR="005578A7" w:rsidRPr="00935AB4">
        <w:t xml:space="preserve"> </w:t>
      </w:r>
      <w:r w:rsidRPr="00935AB4">
        <w:t>4,8 mil. ks slepic.</w:t>
      </w:r>
    </w:p>
    <w:p w:rsidR="00567C4A" w:rsidRPr="00935AB4" w:rsidRDefault="00567C4A" w:rsidP="000B7BEE">
      <w:r w:rsidRPr="00935AB4">
        <w:t xml:space="preserve">Celková snáška konzumních vajec, včetně domácích hospodářství, dosáhla podle ČSÚ 2 237,4 mil. ks (v přepočtu 128,6 tis. t), tj. přibližně 1,7 % produkce zemí EU. Výroba konzumních vajec v zemědělském sektoru meziročně vzrostla o 61,0 mil. ks (4,9 %) na 1 294,5 mil. ks (74,4 tis. t), v domácích hospodářstvích dosáhla 943,0 mil. ks (54,2 tis. t), což je meziročně o 16,9 mil. ks (1,8 %) více. Násadových vajec bylo podle odhadu ÚZEI vyrobeno přibližně 18,6 tis. t (323,6 mil. ks). Celková výroba vajec v roce 2014 meziročně vzrostla o 5,3 tis. t. Průměrná roční snáška vajec na slepici v užitkových chovech dosáhla </w:t>
      </w:r>
      <w:r w:rsidRPr="00935AB4">
        <w:lastRenderedPageBreak/>
        <w:t>299,3 ks, v domácích hospodářstvích podle odhadu ČSÚ zůstala na stejné úrovni jako v roce 2013, a to 195 ks vajec.</w:t>
      </w:r>
    </w:p>
    <w:p w:rsidR="00567C4A" w:rsidRDefault="00567C4A" w:rsidP="000B7BEE">
      <w:r w:rsidRPr="00935AB4">
        <w:t xml:space="preserve">Dovoz vajec a vaječných hmot celkem do ČR byl v roce 2014 o 13,9 % vyšší než v předchozím roce a dosáhl 38,4 tis. t (738,2 mil. ks v ekvivalentu skořápkových vajec). Dovoz skořápkových vajec celkem dosáhl 26,1 tis. t (453,7 mil. ks), z toho </w:t>
      </w:r>
      <w:r>
        <w:t xml:space="preserve">konzumních vajec </w:t>
      </w:r>
      <w:r w:rsidRPr="00935AB4">
        <w:t>22,7 tis. t (395,5 mil. ks), tj. meziročně o 25,8 mil. ks (7 %) více. Dovoz násadových vajec činil 3,3 tis. t (58,2 mil. ks), což je téměř dvojnásobek množství dovezeného v předchozím roce. Dovoz vaječných hmot sušených se meziročně zvýšil o 8,8 %.</w:t>
      </w:r>
    </w:p>
    <w:p w:rsidR="00567C4A" w:rsidRPr="00935AB4" w:rsidRDefault="00567C4A" w:rsidP="000B7BEE">
      <w:r w:rsidRPr="00935AB4">
        <w:t xml:space="preserve">Nejvýznamnějším dodavatelem konzumních vajec do ČR zůstalo Polsko a svou </w:t>
      </w:r>
      <w:r w:rsidR="00142315" w:rsidRPr="00935AB4">
        <w:t>pozici</w:t>
      </w:r>
      <w:r w:rsidRPr="00935AB4">
        <w:t xml:space="preserve"> ještě upevnilo. Z uvedené destinace bylo dovezeno 214,5 mil. ks, tj. </w:t>
      </w:r>
      <w:r>
        <w:t>meziročně o 86,1 mil. ks více a</w:t>
      </w:r>
      <w:r w:rsidRPr="00935AB4">
        <w:t xml:space="preserve"> podíl</w:t>
      </w:r>
      <w:r>
        <w:t xml:space="preserve"> Polska</w:t>
      </w:r>
      <w:r w:rsidRPr="00935AB4">
        <w:t xml:space="preserve"> na celkovém dovozu konzumních vajec</w:t>
      </w:r>
      <w:r>
        <w:t xml:space="preserve"> tak</w:t>
      </w:r>
      <w:r w:rsidRPr="00935AB4">
        <w:t xml:space="preserve"> dosáhl 53,6 %. Dovozy z Německa byly potlačeny a dosáhly pouze 69,0 mil. ks, tj. 10,0 % dovozů konzumních vajec. Dalšími dovozními zeměmi bylo Lotyšsko (9,7 %), Litva (5,2 %), Francie (4,9 %) a další země. Dovoz vaječných hmot celkem, tj. sušených a tekutých, se v objemovém vyjádření v roce 2014 meziročně zvýšil o 7,8 % na 12,3 tis. t, což je v ekvivalentu skořápkových vajec 284,4 mil</w:t>
      </w:r>
      <w:r w:rsidR="00436EB7">
        <w:t>.</w:t>
      </w:r>
      <w:r w:rsidRPr="00935AB4">
        <w:t> ks. Z toho sušené hmoty činily 0,7 tis. t. Nejvíce dovezených vaječných hmot pocházelo z Polska (zhruba 63,7 %), s velkým odstupem z Německa</w:t>
      </w:r>
      <w:r>
        <w:t xml:space="preserve"> (10,5 %)</w:t>
      </w:r>
      <w:r w:rsidRPr="00935AB4">
        <w:t xml:space="preserve"> a z dalších zemí. Dovoz vajec a vaječných hmot se na domácí spotřebě </w:t>
      </w:r>
      <w:r w:rsidRPr="00935AB4">
        <w:rPr>
          <w:color w:val="000000"/>
        </w:rPr>
        <w:t>podílel 22,9 %, což bylo ve srovnání s rokem 2013 o 0,9</w:t>
      </w:r>
      <w:r w:rsidRPr="00935AB4">
        <w:t> p. b. více.</w:t>
      </w:r>
    </w:p>
    <w:p w:rsidR="00567C4A" w:rsidRPr="00935AB4" w:rsidRDefault="00567C4A" w:rsidP="000B7BEE">
      <w:r w:rsidRPr="00935AB4">
        <w:t>Vývoz vajec a vaječných hmot meziročně klesl o 19,6 % a dosáhl 18,0 tis.</w:t>
      </w:r>
      <w:r>
        <w:t> </w:t>
      </w:r>
      <w:r w:rsidRPr="00935AB4">
        <w:t>t, tj. 330,5 mil. ks v ekvivalentu skořápkových vajec. Na poklesu množství se podílela skořápková vejce zhruba dvěma třetinami a vaječné hmoty přibližně třetinou. Vajec ve skořápce bylo vyvezeno 17,2 tis. t (299,4 mil. ks), z toho vajec konzumních bylo 7,8 tis. t (135,0 mil. ks). Vývoz vaječných hmot dosáhl jen 0,8 tis. t, z toho sušené hmoty tvořily zhruba třetinu množství.</w:t>
      </w:r>
    </w:p>
    <w:p w:rsidR="00567C4A" w:rsidRDefault="00567C4A" w:rsidP="000B7BEE">
      <w:r w:rsidRPr="00935AB4">
        <w:t>Nejvýznamnější vývozní destinací pro konzumní vejce bylo Slovensko (50,4 mil. ks) a Německo (40,1 mil. ks)</w:t>
      </w:r>
      <w:r>
        <w:t xml:space="preserve">. Do obou jmenovaných destinací bylo celkem </w:t>
      </w:r>
      <w:r w:rsidRPr="00935AB4">
        <w:t xml:space="preserve">vyvezeno 67,7 % </w:t>
      </w:r>
      <w:r>
        <w:t xml:space="preserve">celkového vývozu </w:t>
      </w:r>
      <w:r w:rsidRPr="00935AB4">
        <w:t>konzumních vajec</w:t>
      </w:r>
      <w:r>
        <w:t xml:space="preserve">. Dalšími vývozními zeměmi byly </w:t>
      </w:r>
      <w:r w:rsidRPr="00935AB4">
        <w:t xml:space="preserve">s odstupem Polsko, Maďarsko a další země. Téměř polovina násadových vajec směřovala do Ruska a další destinace (Polsko, Maďarsko, </w:t>
      </w:r>
      <w:r w:rsidR="00464790" w:rsidRPr="00935AB4">
        <w:t>Irák</w:t>
      </w:r>
      <w:r w:rsidRPr="00935AB4">
        <w:t xml:space="preserve"> a řada dalších) měly výrazný odstup. Vývoz vajec nebyl podpořen. Vaječné hmoty se vyvážely nejvíce na Slovensko a do Rakouska.</w:t>
      </w:r>
    </w:p>
    <w:p w:rsidR="00567C4A" w:rsidRDefault="00567C4A" w:rsidP="000B7BEE">
      <w:r w:rsidRPr="00935AB4">
        <w:t xml:space="preserve">Podíl vývozu vajec včetně vaječných hmot na domácí produkci dosáhl 12,2 %, tj. o 3,6 p. b. méně než v předchozím roce. Celkové saldo zahraničního obchodu s vejci se meziročně znatelně zhoršilo a jeho hodnota </w:t>
      </w:r>
      <w:r>
        <w:noBreakHyphen/>
      </w:r>
      <w:r w:rsidRPr="00935AB4">
        <w:t xml:space="preserve">20,4 tis. t byla téměř dvojnásobná než v předchozím roce. Ačkoliv průměrná vývozní cena za kilogram vajec a vaječných hmot byla podle celní statistiky 1,7krát vyšší než srovnatelná dovozní cena, výsledné saldo ve finančním vyjádření dosáhlo </w:t>
      </w:r>
      <w:r>
        <w:noBreakHyphen/>
      </w:r>
      <w:r w:rsidRPr="00935AB4">
        <w:t>297,0 mil. Kč.</w:t>
      </w:r>
    </w:p>
    <w:p w:rsidR="00567C4A" w:rsidRPr="002E47CA" w:rsidRDefault="00567C4A" w:rsidP="000B7BEE">
      <w:pPr>
        <w:pStyle w:val="mezera"/>
      </w:pPr>
    </w:p>
    <w:p w:rsidR="00567C4A" w:rsidRPr="002E47CA" w:rsidRDefault="0017612E" w:rsidP="000B7BEE">
      <w:pPr>
        <w:pStyle w:val="mezera"/>
      </w:pPr>
      <w:r w:rsidRPr="0017612E">
        <w:rPr>
          <w:noProof/>
          <w:lang w:eastAsia="cs-CZ"/>
        </w:rPr>
        <w:lastRenderedPageBreak/>
        <w:drawing>
          <wp:inline distT="0" distB="0" distL="0" distR="0" wp14:anchorId="1337E573" wp14:editId="626A3635">
            <wp:extent cx="5760720" cy="4992919"/>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60720" cy="4992919"/>
                    </a:xfrm>
                    <a:prstGeom prst="rect">
                      <a:avLst/>
                    </a:prstGeom>
                    <a:noFill/>
                    <a:ln>
                      <a:noFill/>
                    </a:ln>
                  </pic:spPr>
                </pic:pic>
              </a:graphicData>
            </a:graphic>
          </wp:inline>
        </w:drawing>
      </w:r>
    </w:p>
    <w:p w:rsidR="00567C4A" w:rsidRPr="002E47CA" w:rsidRDefault="00567C4A" w:rsidP="000B7BEE">
      <w:pPr>
        <w:pStyle w:val="mezera"/>
      </w:pPr>
    </w:p>
    <w:p w:rsidR="00567C4A" w:rsidRPr="00935AB4" w:rsidRDefault="00567C4A" w:rsidP="000B7BEE">
      <w:r>
        <w:t>D</w:t>
      </w:r>
      <w:r w:rsidRPr="00935AB4">
        <w:t xml:space="preserve">omácí spotřeba vajec určených ke konzumaci </w:t>
      </w:r>
      <w:r>
        <w:t xml:space="preserve">dosáhla </w:t>
      </w:r>
      <w:r w:rsidRPr="00935AB4">
        <w:t xml:space="preserve">149,0 tis. t (2 237,4 mil. ks). Spotřeba konzumních vajec na obyvatele se proti </w:t>
      </w:r>
      <w:r>
        <w:t xml:space="preserve">předchozímu </w:t>
      </w:r>
      <w:r w:rsidRPr="00935AB4">
        <w:t>roku mírně zvýšila a dosáhla hodnoty 14,1 kg/obyv./rok (tj. 245,3 ks/obyv./rok). Míra soběstačnosti meziročně klesla o </w:t>
      </w:r>
      <w:r w:rsidR="0017612E">
        <w:t>4,8</w:t>
      </w:r>
      <w:r w:rsidRPr="00935AB4">
        <w:t xml:space="preserve"> p. b. na </w:t>
      </w:r>
      <w:r w:rsidR="006C7D77">
        <w:t>87,8</w:t>
      </w:r>
      <w:r w:rsidRPr="00935AB4">
        <w:t> %, zatímco v průměru EU 27 dosahovala 102,8 %.</w:t>
      </w:r>
    </w:p>
    <w:p w:rsidR="00567C4A" w:rsidRPr="00935AB4" w:rsidRDefault="00567C4A" w:rsidP="000B7BEE">
      <w:r w:rsidRPr="00935AB4">
        <w:t xml:space="preserve">Průměrná roční CZV tříděných vajec dosáhla 1,84 Kč/ks, což je meziroční nárůst o 0,07 Kč/ks (4,0 %). Spotřebitelské ceny </w:t>
      </w:r>
      <w:r>
        <w:t xml:space="preserve">vajec slepičích čerstvých se zvýšily jen velmi mírně </w:t>
      </w:r>
      <w:r w:rsidRPr="00935AB4">
        <w:t>a jejich průměrná roční hodnota</w:t>
      </w:r>
      <w:r>
        <w:t xml:space="preserve"> </w:t>
      </w:r>
      <w:r w:rsidRPr="00935AB4">
        <w:t>3,08 Kč/ks</w:t>
      </w:r>
      <w:r>
        <w:t xml:space="preserve"> byla jen o 0,05 Kč/ks (1,5 %) vyšší než v předchozím roce.</w:t>
      </w:r>
    </w:p>
    <w:p w:rsidR="00567C4A" w:rsidRDefault="00567C4A" w:rsidP="00E406EF">
      <w:r>
        <w:t xml:space="preserve">Umírněný cenový vývoj </w:t>
      </w:r>
      <w:r w:rsidRPr="00935AB4">
        <w:t>komodity byl podpořen meziroční stagnací cen krmných směsí pro nosnice. Jejich průměrná roční cena činila 6 877 Kč/t, což je o 0,1 % více než v předchozím roce. Celkové náklady</w:t>
      </w:r>
      <w:r>
        <w:t xml:space="preserve"> na výrobu vajec v roce 2014 se odhadují dokonce ve výši 2,07 Kč/ks, tj. nepatrně nižší než v předchozím roce. Rentabilita výroby se vlivem mírného růstu CZV vajec mírně zlepšila, ale zůstala o 11,11 p. b. pod prahem rentability.</w:t>
      </w:r>
    </w:p>
    <w:p w:rsidR="00567C4A" w:rsidRDefault="00567C4A" w:rsidP="000B7BEE">
      <w:pPr>
        <w:pStyle w:val="mezera"/>
      </w:pPr>
    </w:p>
    <w:p w:rsidR="00567C4A" w:rsidRDefault="00567C4A" w:rsidP="000B7BEE">
      <w:pPr>
        <w:pStyle w:val="mezera-svzan"/>
      </w:pPr>
      <w:r w:rsidRPr="003D0055">
        <w:rPr>
          <w:noProof/>
          <w:lang w:eastAsia="cs-CZ"/>
        </w:rPr>
        <w:lastRenderedPageBreak/>
        <w:drawing>
          <wp:inline distT="0" distB="0" distL="0" distR="0" wp14:anchorId="1FAE6965" wp14:editId="010E0EE1">
            <wp:extent cx="5760720" cy="3716454"/>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60720" cy="3716454"/>
                    </a:xfrm>
                    <a:prstGeom prst="rect">
                      <a:avLst/>
                    </a:prstGeom>
                    <a:noFill/>
                    <a:ln>
                      <a:noFill/>
                    </a:ln>
                  </pic:spPr>
                </pic:pic>
              </a:graphicData>
            </a:graphic>
          </wp:inline>
        </w:drawing>
      </w:r>
    </w:p>
    <w:p w:rsidR="00567C4A" w:rsidRDefault="00567C4A" w:rsidP="000B7BEE">
      <w:pPr>
        <w:pStyle w:val="TabPramZprac"/>
      </w:pPr>
      <w:r>
        <w:t>Pramen:</w:t>
      </w:r>
      <w:r>
        <w:tab/>
        <w:t>ČSÚ</w:t>
      </w:r>
    </w:p>
    <w:p w:rsidR="00567C4A" w:rsidRDefault="00567C4A" w:rsidP="000B7BEE">
      <w:pPr>
        <w:pStyle w:val="TabPramZprac"/>
      </w:pPr>
      <w:r>
        <w:t>Zpracoval:</w:t>
      </w:r>
      <w:r>
        <w:tab/>
        <w:t>I. Bošková (ÚZEI)</w:t>
      </w:r>
    </w:p>
    <w:p w:rsidR="00567C4A" w:rsidRPr="00BA24C5" w:rsidRDefault="00567C4A" w:rsidP="000B7BEE">
      <w:pPr>
        <w:pStyle w:val="mezera"/>
      </w:pPr>
    </w:p>
    <w:p w:rsidR="00567C4A" w:rsidRPr="009D6481" w:rsidRDefault="00567C4A" w:rsidP="00C5753C">
      <w:pPr>
        <w:pStyle w:val="Nadpis3"/>
      </w:pPr>
      <w:bookmarkStart w:id="229" w:name="_Toc424307082"/>
      <w:r w:rsidRPr="006E2E61">
        <w:t>8.2.4</w:t>
      </w:r>
      <w:r w:rsidR="00C5753C">
        <w:tab/>
      </w:r>
      <w:r w:rsidRPr="006E2E61">
        <w:t>Ovce, kozy – skopové maso</w:t>
      </w:r>
      <w:bookmarkEnd w:id="229"/>
    </w:p>
    <w:p w:rsidR="00567C4A" w:rsidRPr="009D6481" w:rsidRDefault="00567C4A" w:rsidP="000B7BEE">
      <w:r w:rsidRPr="00CA795C">
        <w:t xml:space="preserve">Stavy ovcí v převažující části zemí EU </w:t>
      </w:r>
      <w:r>
        <w:t xml:space="preserve">meziročně </w:t>
      </w:r>
      <w:r w:rsidRPr="00CA795C">
        <w:t xml:space="preserve">klesly a jen v menší části zemí vzrostly. </w:t>
      </w:r>
      <w:r>
        <w:t xml:space="preserve">Zatímco poklesy se však pohybovaly v relativně mírných hodnotách, přírůstky dosahovaly vyšších hodnot. </w:t>
      </w:r>
      <w:r w:rsidRPr="00CA795C">
        <w:t>Podle Eurostatu klesly meziročně nejvíce stavy ovcí ve Španělsku a v Řecku (v každé ze zemí o 0,1 mil. ks, tj. o 0,9 %</w:t>
      </w:r>
      <w:r w:rsidR="0014785D">
        <w:t>,</w:t>
      </w:r>
      <w:r w:rsidRPr="00CA795C">
        <w:t xml:space="preserve"> resp. o 1,1 %). Pokles stavů byl zaznamenán i v Portugalsku a v Bulharsku (shodně o zhruba 0,04 mil. ks) a v dalších zemích (v Maďarsku, ve Francii, v Chorvatsku, Itálii a na Slovensku), ale změny </w:t>
      </w:r>
      <w:r w:rsidRPr="00CB0EEB">
        <w:t>v</w:t>
      </w:r>
      <w:r>
        <w:t xml:space="preserve"> těchto zemích </w:t>
      </w:r>
      <w:r w:rsidRPr="00CB0EEB">
        <w:t>byly</w:t>
      </w:r>
      <w:r w:rsidRPr="00CA795C">
        <w:t xml:space="preserve"> z hlediska EU méně významné. Naopak nejvíce meziročně vzrostly stavy ve Spojeném království (o 1,0 mil. ks, tj. o 4,5 %) a v Rumunsku (o 0,3 mil. ks, tj. o 3,1</w:t>
      </w:r>
      <w:r>
        <w:t> </w:t>
      </w:r>
      <w:r w:rsidRPr="00CA795C">
        <w:t xml:space="preserve">%), mírně též v Německu (o 0,03 mil. ks), v Litvě (o 0,02 mil. ks) a v některých dalších zemích, u nichž však </w:t>
      </w:r>
      <w:r>
        <w:t>ne</w:t>
      </w:r>
      <w:r w:rsidRPr="00CA795C">
        <w:t xml:space="preserve">byl pokles z hlediska EU </w:t>
      </w:r>
      <w:r>
        <w:t>závaž</w:t>
      </w:r>
      <w:r w:rsidRPr="00CA795C">
        <w:t>ný.</w:t>
      </w:r>
      <w:r>
        <w:t xml:space="preserve"> H</w:t>
      </w:r>
      <w:r w:rsidRPr="009D6481">
        <w:t xml:space="preserve">rubá domácí produkce skopového a kozího masa </w:t>
      </w:r>
      <w:r>
        <w:t>v EU se podle bilančního odhadu EK snížila o 9</w:t>
      </w:r>
      <w:r w:rsidRPr="009D6481">
        <w:t>,</w:t>
      </w:r>
      <w:r>
        <w:t>0</w:t>
      </w:r>
      <w:r w:rsidRPr="009D6481">
        <w:t> </w:t>
      </w:r>
      <w:r>
        <w:t>tis.</w:t>
      </w:r>
      <w:r w:rsidRPr="009D6481">
        <w:t> t (</w:t>
      </w:r>
      <w:r>
        <w:t>1</w:t>
      </w:r>
      <w:r w:rsidRPr="009D6481">
        <w:t>,</w:t>
      </w:r>
      <w:r>
        <w:t>0</w:t>
      </w:r>
      <w:r w:rsidRPr="009D6481">
        <w:t> %) a dosáhla 9</w:t>
      </w:r>
      <w:r>
        <w:t>34</w:t>
      </w:r>
      <w:r w:rsidRPr="009D6481">
        <w:t>,</w:t>
      </w:r>
      <w:r>
        <w:t>0</w:t>
      </w:r>
      <w:r w:rsidRPr="009D6481">
        <w:t> </w:t>
      </w:r>
      <w:r>
        <w:t>tis</w:t>
      </w:r>
      <w:r w:rsidRPr="009D6481">
        <w:t>. </w:t>
      </w:r>
      <w:r w:rsidRPr="00E059EF">
        <w:t>t. Z toho</w:t>
      </w:r>
      <w:r>
        <w:t xml:space="preserve"> porážky meziročně klesly </w:t>
      </w:r>
      <w:r w:rsidRPr="009D6481">
        <w:t>o </w:t>
      </w:r>
      <w:r>
        <w:t>12</w:t>
      </w:r>
      <w:r w:rsidRPr="009D6481">
        <w:t>,</w:t>
      </w:r>
      <w:r>
        <w:t>0</w:t>
      </w:r>
      <w:r w:rsidRPr="009D6481">
        <w:t> </w:t>
      </w:r>
      <w:r>
        <w:t>tis</w:t>
      </w:r>
      <w:r w:rsidRPr="009D6481">
        <w:t>. t</w:t>
      </w:r>
      <w:r>
        <w:t xml:space="preserve"> a dosáhly 898 tis. t, </w:t>
      </w:r>
      <w:r w:rsidRPr="00600DDE">
        <w:t>a</w:t>
      </w:r>
      <w:r>
        <w:t>le</w:t>
      </w:r>
      <w:r w:rsidRPr="00600DDE">
        <w:t> vývoz zvířat v přepočtu na jatečnou hmotnost se zvýšil o 2,0 tis. t.</w:t>
      </w:r>
      <w:r>
        <w:t xml:space="preserve"> </w:t>
      </w:r>
      <w:r w:rsidRPr="009D6481">
        <w:t xml:space="preserve">Vývoz skopového </w:t>
      </w:r>
      <w:r>
        <w:t>masa meziročně klesl o 4 tis. t a podle bilance EK dosáhl 32 tis. t. Spolu s živými zvířaty bylo vyvezeno v přepočtu 68</w:t>
      </w:r>
      <w:r w:rsidRPr="009D6481">
        <w:t>,</w:t>
      </w:r>
      <w:r>
        <w:t>0</w:t>
      </w:r>
      <w:r w:rsidRPr="009D6481">
        <w:t xml:space="preserve"> tis. t j. hm., což představuje </w:t>
      </w:r>
      <w:r>
        <w:t>7</w:t>
      </w:r>
      <w:r w:rsidRPr="009D6481">
        <w:t>,</w:t>
      </w:r>
      <w:r>
        <w:t>3</w:t>
      </w:r>
      <w:r w:rsidRPr="009D6481">
        <w:t> %</w:t>
      </w:r>
      <w:r>
        <w:t xml:space="preserve"> hrubé produkce.</w:t>
      </w:r>
      <w:r w:rsidRPr="009D6481">
        <w:t xml:space="preserve"> Nejvýznamnějšími destinacemi byl</w:t>
      </w:r>
      <w:r>
        <w:t>a</w:t>
      </w:r>
      <w:r w:rsidRPr="009D6481">
        <w:t xml:space="preserve"> Libye</w:t>
      </w:r>
      <w:r>
        <w:t>,</w:t>
      </w:r>
      <w:r w:rsidRPr="009D6481">
        <w:t xml:space="preserve"> Hongkong</w:t>
      </w:r>
      <w:r>
        <w:t xml:space="preserve"> a Jordánsko</w:t>
      </w:r>
      <w:r w:rsidRPr="009D6481">
        <w:t xml:space="preserve">, kam </w:t>
      </w:r>
      <w:r>
        <w:t xml:space="preserve">podle DG Agri </w:t>
      </w:r>
      <w:r w:rsidRPr="009D6481">
        <w:t xml:space="preserve">směřovalo </w:t>
      </w:r>
      <w:r>
        <w:t>78</w:t>
      </w:r>
      <w:r w:rsidRPr="009D6481">
        <w:t>,</w:t>
      </w:r>
      <w:r>
        <w:t>0</w:t>
      </w:r>
      <w:r w:rsidRPr="009D6481">
        <w:t> % vývozu</w:t>
      </w:r>
      <w:r>
        <w:t>, a významnou destinací byl i Libanon.</w:t>
      </w:r>
      <w:r w:rsidRPr="009D6481">
        <w:t> Dovoz skopového a kozího masa</w:t>
      </w:r>
      <w:r>
        <w:t xml:space="preserve"> </w:t>
      </w:r>
      <w:r w:rsidRPr="009D6481">
        <w:t xml:space="preserve">do EU odhaduje </w:t>
      </w:r>
      <w:r>
        <w:t xml:space="preserve">EK </w:t>
      </w:r>
      <w:r w:rsidRPr="009D6481">
        <w:t xml:space="preserve">na </w:t>
      </w:r>
      <w:r>
        <w:t>188</w:t>
      </w:r>
      <w:r w:rsidRPr="009D6481">
        <w:t>,</w:t>
      </w:r>
      <w:r>
        <w:t>0</w:t>
      </w:r>
      <w:r w:rsidRPr="009D6481">
        <w:t> tis. t j. hm., což je o </w:t>
      </w:r>
      <w:r>
        <w:t>6</w:t>
      </w:r>
      <w:r w:rsidRPr="009D6481">
        <w:t>,</w:t>
      </w:r>
      <w:r>
        <w:t>0</w:t>
      </w:r>
      <w:r w:rsidRPr="009D6481">
        <w:t xml:space="preserve"> % </w:t>
      </w:r>
      <w:r>
        <w:t>méně</w:t>
      </w:r>
      <w:r w:rsidRPr="009D6481">
        <w:t xml:space="preserve"> než v roce 201</w:t>
      </w:r>
      <w:r>
        <w:t>3</w:t>
      </w:r>
      <w:r w:rsidRPr="009D6481">
        <w:t xml:space="preserve">. </w:t>
      </w:r>
      <w:r>
        <w:t xml:space="preserve">Dominantním dovozcem byl Nový </w:t>
      </w:r>
      <w:r>
        <w:lastRenderedPageBreak/>
        <w:t xml:space="preserve">Zéland, odkud pocházelo </w:t>
      </w:r>
      <w:r w:rsidRPr="009D6481">
        <w:t xml:space="preserve">82,5 % </w:t>
      </w:r>
      <w:r>
        <w:t>dovezeného množství. Další dovozy pocházely z Austrálie,</w:t>
      </w:r>
      <w:r w:rsidRPr="009D6481">
        <w:t xml:space="preserve"> z jižní Ameriky a z dalších destinací. Dovoz živých zvířat nebyl realizován. Spotřeba skopového a kozího masa v EU celkem se </w:t>
      </w:r>
      <w:r>
        <w:t>sníž</w:t>
      </w:r>
      <w:r w:rsidRPr="009D6481">
        <w:t xml:space="preserve">ila podle odhadu </w:t>
      </w:r>
      <w:r>
        <w:t xml:space="preserve">EK </w:t>
      </w:r>
      <w:r w:rsidRPr="009D6481">
        <w:t>o 1,</w:t>
      </w:r>
      <w:r>
        <w:t>9</w:t>
      </w:r>
      <w:r w:rsidRPr="009D6481">
        <w:t> % na 1</w:t>
      </w:r>
      <w:r>
        <w:t> </w:t>
      </w:r>
      <w:r w:rsidRPr="009D6481">
        <w:t>0</w:t>
      </w:r>
      <w:r>
        <w:t>5</w:t>
      </w:r>
      <w:r w:rsidRPr="009D6481">
        <w:t>3</w:t>
      </w:r>
      <w:r>
        <w:t xml:space="preserve"> tis.</w:t>
      </w:r>
      <w:r w:rsidRPr="009D6481">
        <w:t> t j. hm.</w:t>
      </w:r>
      <w:r>
        <w:t>,</w:t>
      </w:r>
      <w:r w:rsidRPr="009D6481">
        <w:t xml:space="preserve"> a</w:t>
      </w:r>
      <w:r>
        <w:t> proto</w:t>
      </w:r>
      <w:r w:rsidRPr="009D6481">
        <w:t> </w:t>
      </w:r>
      <w:r>
        <w:t xml:space="preserve">se mírně zvýšila </w:t>
      </w:r>
      <w:r w:rsidRPr="009D6481">
        <w:t xml:space="preserve">soběstačnost EU </w:t>
      </w:r>
      <w:r>
        <w:t>(</w:t>
      </w:r>
      <w:r w:rsidRPr="009D6481">
        <w:t>o 0,</w:t>
      </w:r>
      <w:r>
        <w:t>8 p. b.) n</w:t>
      </w:r>
      <w:r w:rsidRPr="009D6481">
        <w:t>a 8</w:t>
      </w:r>
      <w:r>
        <w:t>8</w:t>
      </w:r>
      <w:r w:rsidRPr="009D6481">
        <w:t>,</w:t>
      </w:r>
      <w:r>
        <w:t>7</w:t>
      </w:r>
      <w:r w:rsidRPr="009D6481">
        <w:t> %. Průměrná spotřeba skopového a kozího masa na osobu</w:t>
      </w:r>
      <w:r>
        <w:t xml:space="preserve"> v přepočtu na spotřebitelskou váhu</w:t>
      </w:r>
      <w:r w:rsidRPr="009D6481">
        <w:t xml:space="preserve"> dosáhla v EU </w:t>
      </w:r>
      <w:r>
        <w:t>1</w:t>
      </w:r>
      <w:r w:rsidRPr="009D6481">
        <w:t>,</w:t>
      </w:r>
      <w:r>
        <w:t>8</w:t>
      </w:r>
      <w:r w:rsidRPr="009D6481">
        <w:t> kg.</w:t>
      </w:r>
    </w:p>
    <w:p w:rsidR="00567C4A" w:rsidRDefault="00567C4A" w:rsidP="000B7BEE">
      <w:r w:rsidRPr="005523F5">
        <w:t xml:space="preserve">Ceny těžkých jatečných jehňat ve většině </w:t>
      </w:r>
      <w:proofErr w:type="spellStart"/>
      <w:r w:rsidRPr="005523F5">
        <w:t>pr</w:t>
      </w:r>
      <w:r>
        <w:t>od</w:t>
      </w:r>
      <w:r w:rsidRPr="005523F5">
        <w:t>ucentsky</w:t>
      </w:r>
      <w:proofErr w:type="spellEnd"/>
      <w:r w:rsidRPr="005523F5">
        <w:t xml:space="preserve"> významných zemí vzrostly, lehká jehňata se však zhruba v polovině zemí prodávala levněji než v předchozím roce. Průměrná CZV těžkých jehňat za sledované země EU</w:t>
      </w:r>
      <w:r>
        <w:t xml:space="preserve"> </w:t>
      </w:r>
      <w:r w:rsidRPr="005523F5">
        <w:t xml:space="preserve">se podle </w:t>
      </w:r>
      <w:proofErr w:type="spellStart"/>
      <w:r w:rsidRPr="005523F5">
        <w:t>Agrarmarkt</w:t>
      </w:r>
      <w:proofErr w:type="spellEnd"/>
      <w:r w:rsidRPr="005523F5">
        <w:t xml:space="preserve"> </w:t>
      </w:r>
      <w:proofErr w:type="spellStart"/>
      <w:r w:rsidRPr="005523F5">
        <w:t>Austria</w:t>
      </w:r>
      <w:proofErr w:type="spellEnd"/>
      <w:r w:rsidRPr="005523F5">
        <w:t xml:space="preserve"> (AMA) zvýšila o 4,3 % na 5,10 €/kg</w:t>
      </w:r>
      <w:r>
        <w:t xml:space="preserve"> (140,40 Kč/kg)</w:t>
      </w:r>
      <w:r w:rsidRPr="005523F5">
        <w:t>,</w:t>
      </w:r>
      <w:r>
        <w:t xml:space="preserve"> </w:t>
      </w:r>
      <w:r w:rsidRPr="005523F5">
        <w:t>avšak průměrná CZV lehkých jehňat zůstala stejná jako v předchozím roce a činila 5,89 €/kg</w:t>
      </w:r>
      <w:r>
        <w:t xml:space="preserve"> (162,20 Kč/kg)</w:t>
      </w:r>
      <w:r w:rsidRPr="005523F5">
        <w:t>. Nejvyšší průměrná CZV těžkých jehňat ze sledovaných zemí byla vykázána v </w:t>
      </w:r>
      <w:r>
        <w:t>Nizozem</w:t>
      </w:r>
      <w:r w:rsidRPr="005523F5">
        <w:t>sku (5,</w:t>
      </w:r>
      <w:r>
        <w:t>21</w:t>
      </w:r>
      <w:r w:rsidRPr="005523F5">
        <w:t> €/kg</w:t>
      </w:r>
      <w:r>
        <w:t>, tj. 143,40 Kč/kg</w:t>
      </w:r>
      <w:r w:rsidRPr="005523F5">
        <w:t>) a nejnižší v Rumunsku (2,47 €/kg</w:t>
      </w:r>
      <w:r>
        <w:t>, tj. 68,00 Kč/kg</w:t>
      </w:r>
      <w:r w:rsidRPr="005523F5">
        <w:t>). U lehkých jehňat byla ve sledovaných zemích dosažena nejvyšší průměrná CZV ve Španělsku (6,78 €/kg, tj.</w:t>
      </w:r>
      <w:r>
        <w:t> 186,70 Kč/kg</w:t>
      </w:r>
      <w:r w:rsidRPr="005523F5">
        <w:t>) a nejnižší na Slovensku (4,38 €/kg, tj.</w:t>
      </w:r>
      <w:r>
        <w:t> 120,60 Kč/kg</w:t>
      </w:r>
      <w:r w:rsidRPr="005523F5">
        <w:t xml:space="preserve">). V Bulharsku byl zaznamenán 19% růst CZV lehkých jehňat, což byl největší cenový vzestup </w:t>
      </w:r>
      <w:r>
        <w:t>z</w:t>
      </w:r>
      <w:r w:rsidRPr="005523F5">
        <w:t>e všech sledovaných zemí v obou váhových kategoriích.</w:t>
      </w:r>
    </w:p>
    <w:p w:rsidR="00567C4A" w:rsidRDefault="00567C4A" w:rsidP="00E406EF">
      <w:r w:rsidRPr="009D6481">
        <w:t xml:space="preserve">V České republice </w:t>
      </w:r>
      <w:r>
        <w:t xml:space="preserve">se </w:t>
      </w:r>
      <w:r w:rsidRPr="009D6481">
        <w:t>dlouholetý růst základního stáda ovcí</w:t>
      </w:r>
      <w:r>
        <w:t xml:space="preserve"> ještě urychlil.</w:t>
      </w:r>
      <w:r w:rsidRPr="009D6481">
        <w:t xml:space="preserve"> </w:t>
      </w:r>
      <w:r>
        <w:t>Vzrostlo i základní stádo koz a rovněž celkové stavy obou jmenovaných druhů přežvýkavců</w:t>
      </w:r>
      <w:r w:rsidRPr="009D6481">
        <w:t>. K 1. 4. 201</w:t>
      </w:r>
      <w:r>
        <w:t>4</w:t>
      </w:r>
      <w:r w:rsidRPr="009D6481">
        <w:t xml:space="preserve"> bylo v ČR evidováno </w:t>
      </w:r>
      <w:r>
        <w:t xml:space="preserve">129,0 tis. ks bahnic, což je meziroční nárůst základního stáda o 3,1 %. Celkové stavy ovcí a beranů ke stejnému datu dosáhly 225,4 tis. ks, tj. o 2,2 % více než v předchozím roce. </w:t>
      </w:r>
      <w:r w:rsidRPr="009D6481">
        <w:t>V kategorii koz a kozlů bylo k 1. 4. 201</w:t>
      </w:r>
      <w:r>
        <w:t>4</w:t>
      </w:r>
      <w:r w:rsidRPr="009D6481">
        <w:t xml:space="preserve"> evidováno 24,</w:t>
      </w:r>
      <w:r>
        <w:t>3</w:t>
      </w:r>
      <w:r w:rsidRPr="009D6481">
        <w:t> tis. ks, což je o 1,</w:t>
      </w:r>
      <w:r>
        <w:t>3</w:t>
      </w:r>
      <w:r w:rsidRPr="009D6481">
        <w:t> % více než v předchozím roce. Pozitivní vývoj stavů ovcí a koz byl pravděpodobně stimulován rostoucí spotřebitelskou oblibou produktů chovu a podporou dotačních titulů.</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135D7049" wp14:editId="02A949E3">
            <wp:extent cx="5760720" cy="2736599"/>
            <wp:effectExtent l="0" t="0" r="0" b="6985"/>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720" cy="2736599"/>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9D6481">
        <w:lastRenderedPageBreak/>
        <w:t>Počet poražených ovcí celkem meziročně</w:t>
      </w:r>
      <w:r>
        <w:t xml:space="preserve"> stagnoval</w:t>
      </w:r>
      <w:r w:rsidRPr="009D6481">
        <w:t>,</w:t>
      </w:r>
      <w:r>
        <w:t xml:space="preserve"> ale </w:t>
      </w:r>
      <w:r w:rsidRPr="009D6481">
        <w:t>na jatkách se porážky</w:t>
      </w:r>
      <w:r>
        <w:t xml:space="preserve"> </w:t>
      </w:r>
      <w:r w:rsidRPr="009D6481">
        <w:t>zvýšily o 9,</w:t>
      </w:r>
      <w:r>
        <w:t>5</w:t>
      </w:r>
      <w:r w:rsidRPr="009D6481">
        <w:t> %.</w:t>
      </w:r>
      <w:r>
        <w:t xml:space="preserve"> </w:t>
      </w:r>
      <w:r w:rsidRPr="009D6481">
        <w:t>Celkové porážky ovcí včetně domácích porážek dosáhly podle ČSÚ</w:t>
      </w:r>
      <w:r w:rsidR="005578A7">
        <w:t xml:space="preserve"> a</w:t>
      </w:r>
      <w:r w:rsidR="005578A7" w:rsidRPr="005578A7">
        <w:t xml:space="preserve"> </w:t>
      </w:r>
      <w:r w:rsidR="005578A7" w:rsidRPr="009D6481">
        <w:t>odhadu</w:t>
      </w:r>
      <w:r w:rsidR="005578A7">
        <w:t xml:space="preserve"> MZe</w:t>
      </w:r>
      <w:r w:rsidRPr="009D6481">
        <w:t xml:space="preserve"> 144,</w:t>
      </w:r>
      <w:r>
        <w:t>4</w:t>
      </w:r>
      <w:r w:rsidRPr="009D6481">
        <w:t> tis. ks, z toho 12</w:t>
      </w:r>
      <w:r>
        <w:t>0</w:t>
      </w:r>
      <w:r w:rsidRPr="009D6481">
        <w:t>,</w:t>
      </w:r>
      <w:r>
        <w:t>4</w:t>
      </w:r>
      <w:r w:rsidRPr="009D6481">
        <w:t> tis. ks jehňat. Z uvedených počtů bylo podle údajů ČSÚ na jatkách poraženo 1</w:t>
      </w:r>
      <w:r>
        <w:t>2</w:t>
      </w:r>
      <w:r w:rsidRPr="009D6481">
        <w:t>,</w:t>
      </w:r>
      <w:r>
        <w:t>4</w:t>
      </w:r>
      <w:r w:rsidRPr="009D6481">
        <w:t xml:space="preserve"> tis. ks ovcí (včetně </w:t>
      </w:r>
      <w:r>
        <w:t>10</w:t>
      </w:r>
      <w:r w:rsidRPr="009D6481">
        <w:t>,</w:t>
      </w:r>
      <w:r>
        <w:t>4</w:t>
      </w:r>
      <w:r w:rsidRPr="009D6481">
        <w:t xml:space="preserve"> tis. ks jehňat), tzn. </w:t>
      </w:r>
      <w:r>
        <w:t>8</w:t>
      </w:r>
      <w:r w:rsidRPr="009D6481">
        <w:t>,</w:t>
      </w:r>
      <w:r>
        <w:t>6</w:t>
      </w:r>
      <w:r w:rsidRPr="009D6481">
        <w:t> % celkově poražených kusů ovcí. Průměrná porážková hmotnost</w:t>
      </w:r>
      <w:r>
        <w:t xml:space="preserve"> </w:t>
      </w:r>
      <w:r w:rsidRPr="009D6481">
        <w:t xml:space="preserve">jehňat na jatkách </w:t>
      </w:r>
      <w:r>
        <w:t xml:space="preserve">se </w:t>
      </w:r>
      <w:r w:rsidRPr="009D6481">
        <w:t xml:space="preserve">meziročně </w:t>
      </w:r>
      <w:r>
        <w:t>zvýšila na </w:t>
      </w:r>
      <w:r w:rsidRPr="009D6481">
        <w:t>3</w:t>
      </w:r>
      <w:r w:rsidR="00F90097">
        <w:t>2</w:t>
      </w:r>
      <w:r w:rsidRPr="009D6481">
        <w:t>,</w:t>
      </w:r>
      <w:r w:rsidR="00F90097">
        <w:t>8</w:t>
      </w:r>
      <w:r w:rsidRPr="009D6481">
        <w:t> kg ž. hm./ks</w:t>
      </w:r>
      <w:r>
        <w:t>, tj. o </w:t>
      </w:r>
      <w:r w:rsidR="00F90097">
        <w:t>0,2</w:t>
      </w:r>
      <w:r>
        <w:t> kg</w:t>
      </w:r>
      <w:r w:rsidRPr="009D6481">
        <w:t xml:space="preserve">. </w:t>
      </w:r>
      <w:r w:rsidR="00F90097">
        <w:t>Vypočtená p</w:t>
      </w:r>
      <w:r w:rsidRPr="009D6481">
        <w:t xml:space="preserve">růměrná porážková hmotnost jehňat při zohlednění </w:t>
      </w:r>
      <w:r w:rsidR="00F90097" w:rsidRPr="009D6481">
        <w:t xml:space="preserve">odhadu </w:t>
      </w:r>
      <w:r w:rsidRPr="009D6481">
        <w:t>domácích porážek však</w:t>
      </w:r>
      <w:r w:rsidR="00F90097">
        <w:t xml:space="preserve"> </w:t>
      </w:r>
      <w:r w:rsidRPr="009D6481">
        <w:t>dosáhla 37,</w:t>
      </w:r>
      <w:r w:rsidR="00F90097">
        <w:t>5</w:t>
      </w:r>
      <w:r w:rsidRPr="009D6481">
        <w:t> kg ž. hm.</w:t>
      </w:r>
      <w:r>
        <w:t>, což je meziročně jen o </w:t>
      </w:r>
      <w:r w:rsidRPr="002059A8">
        <w:t>0,</w:t>
      </w:r>
      <w:r w:rsidR="00F90097" w:rsidRPr="002059A8">
        <w:t>1</w:t>
      </w:r>
      <w:r w:rsidRPr="002059A8">
        <w:t xml:space="preserve"> kg </w:t>
      </w:r>
      <w:r w:rsidR="002059A8">
        <w:t>méně</w:t>
      </w:r>
      <w:r>
        <w:t xml:space="preserve">. </w:t>
      </w:r>
      <w:r w:rsidRPr="009D6481">
        <w:t>Porážky koz včetně domácích porážek činily podle ČSÚ</w:t>
      </w:r>
      <w:r w:rsidR="00584B4C">
        <w:t xml:space="preserve"> a </w:t>
      </w:r>
      <w:r w:rsidR="00584B4C" w:rsidRPr="009D6481">
        <w:t>odhadu</w:t>
      </w:r>
      <w:r w:rsidR="00584B4C">
        <w:t xml:space="preserve"> MZe</w:t>
      </w:r>
      <w:r w:rsidRPr="009D6481">
        <w:t xml:space="preserve"> 2</w:t>
      </w:r>
      <w:r>
        <w:t>7</w:t>
      </w:r>
      <w:r w:rsidRPr="009D6481">
        <w:t xml:space="preserve">,4 tis. ks. Počet poražených koz na jatkách činil </w:t>
      </w:r>
      <w:r w:rsidR="00584B4C">
        <w:t xml:space="preserve">podle ČSÚ </w:t>
      </w:r>
      <w:r>
        <w:t>388</w:t>
      </w:r>
      <w:r w:rsidRPr="009D6481">
        <w:t xml:space="preserve"> ks. Celková domácí </w:t>
      </w:r>
      <w:r>
        <w:t>výroba</w:t>
      </w:r>
      <w:r w:rsidRPr="009D6481">
        <w:t xml:space="preserve"> </w:t>
      </w:r>
      <w:r w:rsidR="00584B4C">
        <w:t xml:space="preserve">podle uvedených dat </w:t>
      </w:r>
      <w:r w:rsidRPr="009D6481">
        <w:t>skopového a kozího masa vzrostla o </w:t>
      </w:r>
      <w:r>
        <w:t>5</w:t>
      </w:r>
      <w:r w:rsidRPr="009D6481">
        <w:t>,</w:t>
      </w:r>
      <w:r>
        <w:t>1</w:t>
      </w:r>
      <w:r w:rsidRPr="009D6481">
        <w:t> %</w:t>
      </w:r>
      <w:r>
        <w:t xml:space="preserve">, ale zvýšení přírůstku výroby bylo na domácím trhu uplatněno jen v menší míře a většina směřovala do zahraničí. </w:t>
      </w:r>
      <w:r w:rsidRPr="009D6481">
        <w:t xml:space="preserve">Míra domácí soběstačnosti </w:t>
      </w:r>
      <w:r w:rsidR="00584B4C">
        <w:t>byla vypočtena bilanční metodou MZe ve výši</w:t>
      </w:r>
      <w:r w:rsidRPr="009D6481">
        <w:t xml:space="preserve"> 9</w:t>
      </w:r>
      <w:r>
        <w:t>5</w:t>
      </w:r>
      <w:r w:rsidRPr="009D6481">
        <w:t>,</w:t>
      </w:r>
      <w:r>
        <w:t>6</w:t>
      </w:r>
      <w:r w:rsidRPr="009D6481">
        <w:t xml:space="preserve"> %. </w:t>
      </w:r>
      <w:r w:rsidRPr="00EF060C">
        <w:t xml:space="preserve">Cenový vývoj v ČR se odvíjí zejména od podmínek na neformálním trhu a jen malá část produkce je ovlivněna cenovým vývojem na evropském trhu. Průměrná CZV jatečných jehňat v ČR dosáhla 46,35 Kč/kg ž. hm., což je o 4,72 Kč </w:t>
      </w:r>
      <w:r w:rsidR="00464790" w:rsidRPr="00EF060C">
        <w:t>méně, než</w:t>
      </w:r>
      <w:r w:rsidRPr="00EF060C">
        <w:t xml:space="preserve"> bylo vykázáno v předchozím roce.</w:t>
      </w:r>
    </w:p>
    <w:p w:rsidR="00567C4A" w:rsidRDefault="00567C4A" w:rsidP="000B7BEE">
      <w:r w:rsidRPr="00EF060C">
        <w:t>V zahraničním obchodě byl zřejmý růst vývozu živých ovcí</w:t>
      </w:r>
      <w:r w:rsidR="0014785D">
        <w:t>,</w:t>
      </w:r>
      <w:r w:rsidRPr="00EF060C">
        <w:t xml:space="preserve"> a tím rovněž značně vzrostl celkový vývoz komodity v přepočtu na skopové a kozí maso. Bylo vyvezeno 2 868 ks živých ovcí, tj</w:t>
      </w:r>
      <w:r>
        <w:t>.</w:t>
      </w:r>
      <w:r w:rsidRPr="00EF060C">
        <w:t xml:space="preserve"> o 61 % více než v předchozím roce a tato položka činila v přepočtu zhruba dvě třetiny celkového vývozu komodity. Většina ovcí směřovala do Rakouska. Dalšími destinacemi bylo Německo, Rusko a jiné země. Vývoz skopového masa dosáhl</w:t>
      </w:r>
      <w:r w:rsidRPr="009D6481">
        <w:t xml:space="preserve"> 0,0</w:t>
      </w:r>
      <w:r>
        <w:t>6</w:t>
      </w:r>
      <w:r w:rsidRPr="009D6481">
        <w:t> tis.</w:t>
      </w:r>
      <w:r>
        <w:t> </w:t>
      </w:r>
      <w:r w:rsidRPr="009D6481">
        <w:t>t a nejvýznamnější destinací bylo Slovensko, kam směřovalo 6</w:t>
      </w:r>
      <w:r>
        <w:t>5,2</w:t>
      </w:r>
      <w:r w:rsidRPr="009D6481">
        <w:t xml:space="preserve"> % vyvezeného množství. Dovoz se uskutečnil téměř výhradně v mase. </w:t>
      </w:r>
      <w:r>
        <w:t>Dovozní pozice Nového Zélandu oproti minulému roku poněkud oslabila. Dovoz z této destinace klesl meziročně o více než 40 % a z této destinace pocházela jen necelá čtvrtina dovezeného množství. V</w:t>
      </w:r>
      <w:r w:rsidRPr="009D6481">
        <w:t xml:space="preserve">ětší množství bylo dovezeno </w:t>
      </w:r>
      <w:r>
        <w:t xml:space="preserve">tradičně též ze Španělska, ze </w:t>
      </w:r>
      <w:r w:rsidRPr="009D6481">
        <w:t>Spojeného království</w:t>
      </w:r>
      <w:r>
        <w:t xml:space="preserve"> a mezi významnější dovozce se dostalo i Irsko, odkud se dovozy meziročně více než zdvojnásobily. </w:t>
      </w:r>
      <w:r w:rsidRPr="009D6481">
        <w:t>Na zbytku dovozu skopového a kozího masa se podílelo 13 zemí z Evropy i ze zámoří. Dovoz živých ovcí, stejně jako zahraniční obchod s živými kozami</w:t>
      </w:r>
      <w:r>
        <w:t>,</w:t>
      </w:r>
      <w:r w:rsidRPr="009D6481">
        <w:t xml:space="preserve"> se tradičně pohyboval kolem nuly.</w:t>
      </w:r>
    </w:p>
    <w:p w:rsidR="00567C4A" w:rsidRPr="009D6481" w:rsidRDefault="00567C4A" w:rsidP="000B7BEE">
      <w:r w:rsidRPr="009D6481">
        <w:t>Chov ovcí a koz je podporován v rámci systému vnitrostátních podpor. Sazba přechodné vnitrostátní podpory na chov přežvýkavců na rok 201</w:t>
      </w:r>
      <w:r>
        <w:t>4</w:t>
      </w:r>
      <w:r w:rsidRPr="009D6481">
        <w:t xml:space="preserve"> činila </w:t>
      </w:r>
      <w:r>
        <w:t>96</w:t>
      </w:r>
      <w:r w:rsidRPr="009D6481">
        <w:t>,</w:t>
      </w:r>
      <w:r>
        <w:t>64</w:t>
      </w:r>
      <w:r w:rsidRPr="009D6481">
        <w:t> Kč/VDJ</w:t>
      </w:r>
      <w:r>
        <w:t xml:space="preserve"> a s</w:t>
      </w:r>
      <w:r w:rsidRPr="009D6481">
        <w:t>azba přechodné vnitrostátní podpory směřovaná na chov ovcí a koz byla v roce 201</w:t>
      </w:r>
      <w:r>
        <w:t>4</w:t>
      </w:r>
      <w:r w:rsidRPr="009D6481">
        <w:t xml:space="preserve"> stanovena ve výši </w:t>
      </w:r>
      <w:r>
        <w:t>61</w:t>
      </w:r>
      <w:r w:rsidRPr="009D6481">
        <w:t>,</w:t>
      </w:r>
      <w:r>
        <w:t>15</w:t>
      </w:r>
      <w:r w:rsidRPr="009D6481">
        <w:t xml:space="preserve"> Kč/VDJ. Přepočítacím koeficientem 0,15 připadlo na oprávněnou bahnici a kozu v součtu celkem </w:t>
      </w:r>
      <w:r>
        <w:t>2</w:t>
      </w:r>
      <w:r w:rsidRPr="009D6481">
        <w:t>3,</w:t>
      </w:r>
      <w:r>
        <w:t>7</w:t>
      </w:r>
      <w:r w:rsidRPr="009D6481">
        <w:t> Kč.</w:t>
      </w:r>
      <w:r w:rsidRPr="002C4804">
        <w:t xml:space="preserve"> </w:t>
      </w:r>
      <w:r w:rsidRPr="009D6481">
        <w:t>V souladu s článkem 68 nařízení Rady (ES) č. 73/2009, který umožňuje směřovat část přímých plateb na ohrožené s</w:t>
      </w:r>
      <w:r>
        <w:t>ektory, byla na </w:t>
      </w:r>
      <w:r w:rsidRPr="009D6481">
        <w:t xml:space="preserve">základě </w:t>
      </w:r>
      <w:r>
        <w:t>n</w:t>
      </w:r>
      <w:r w:rsidRPr="009D6481">
        <w:t>ařízení vlády č. 60/2012 Sb. stanovena pro rok 201</w:t>
      </w:r>
      <w:r>
        <w:t>4</w:t>
      </w:r>
      <w:r w:rsidRPr="009D6481">
        <w:t xml:space="preserve"> platba ve výši </w:t>
      </w:r>
      <w:r>
        <w:t>3</w:t>
      </w:r>
      <w:r w:rsidRPr="009D6481">
        <w:t> </w:t>
      </w:r>
      <w:r>
        <w:t>505</w:t>
      </w:r>
      <w:r w:rsidRPr="009D6481">
        <w:t>,</w:t>
      </w:r>
      <w:r>
        <w:t>11 Kč/</w:t>
      </w:r>
      <w:r w:rsidRPr="009D6481">
        <w:t>bahnici a/nebo kozu</w:t>
      </w:r>
      <w:r>
        <w:t xml:space="preserve"> pasenou na travních porostech</w:t>
      </w:r>
      <w:r w:rsidRPr="009D6481">
        <w:t>.</w:t>
      </w:r>
      <w:r>
        <w:t xml:space="preserve"> Uvedená podpora vzrostla meziročně </w:t>
      </w:r>
      <w:r w:rsidRPr="00357B19">
        <w:t>o</w:t>
      </w:r>
      <w:r>
        <w:t> </w:t>
      </w:r>
      <w:r w:rsidRPr="00357B19">
        <w:t>téměř</w:t>
      </w:r>
      <w:r>
        <w:t xml:space="preserve"> 90 %. </w:t>
      </w:r>
      <w:r w:rsidRPr="009D6481">
        <w:t xml:space="preserve">Další přímé podpory byly zaměřeny zejména na udržování a zlepšování genetického potenciálu a podporu kontroly užitkovosti. Podpora chovatelů ovcí </w:t>
      </w:r>
      <w:r w:rsidRPr="009D6481">
        <w:lastRenderedPageBreak/>
        <w:t xml:space="preserve">a koz pokračovala i v rámci systému SAPS na plochu obhospodařované půdy a současně byly vypláceny i další podpory z národních zdrojů v rámci </w:t>
      </w:r>
      <w:r w:rsidR="008969A9">
        <w:t>„</w:t>
      </w:r>
      <w:r w:rsidRPr="009D6481">
        <w:t>Zásad</w:t>
      </w:r>
      <w:r w:rsidR="008969A9">
        <w:t>“</w:t>
      </w:r>
      <w:r w:rsidRPr="009D6481">
        <w:t xml:space="preserve"> a dalších nepřímých podpor (viz kap</w:t>
      </w:r>
      <w:r>
        <w:t>. </w:t>
      </w:r>
      <w:r w:rsidRPr="009D6481">
        <w:t>2). Chov ovcí a koz představuje šetrný způsob hospodaření v krajině a zejména v podhorských a horských oblastech nevhodných pro chov skotu je jednou z mála hospodářských alternativ.</w:t>
      </w:r>
    </w:p>
    <w:p w:rsidR="00567C4A" w:rsidRDefault="00567C4A" w:rsidP="000B7BEE">
      <w:r>
        <w:t xml:space="preserve">V domácím stádu převažují ovce </w:t>
      </w:r>
      <w:r w:rsidRPr="009D6481">
        <w:t>s kombinovanou užitkovostí</w:t>
      </w:r>
      <w:r>
        <w:t xml:space="preserve">, jichž byla v roce 2014 bezmála polovina stavů. Masných plemen bylo chováno </w:t>
      </w:r>
      <w:r w:rsidRPr="0014785D">
        <w:t xml:space="preserve">zhruba 40 % a zbytek </w:t>
      </w:r>
      <w:r w:rsidRPr="009D6481">
        <w:t>představ</w:t>
      </w:r>
      <w:r>
        <w:t>ovala</w:t>
      </w:r>
      <w:r w:rsidRPr="009D6481">
        <w:t xml:space="preserve"> plodná a dojná plemena. </w:t>
      </w:r>
      <w:r>
        <w:t>Zpracování o</w:t>
      </w:r>
      <w:r w:rsidRPr="009D6481">
        <w:t>včí</w:t>
      </w:r>
      <w:r>
        <w:t>ho</w:t>
      </w:r>
      <w:r w:rsidRPr="009D6481">
        <w:t xml:space="preserve"> a kozí</w:t>
      </w:r>
      <w:r>
        <w:t>ho</w:t>
      </w:r>
      <w:r w:rsidRPr="009D6481">
        <w:t xml:space="preserve"> mlék</w:t>
      </w:r>
      <w:r>
        <w:t>a</w:t>
      </w:r>
      <w:r w:rsidRPr="009D6481">
        <w:t xml:space="preserve"> </w:t>
      </w:r>
      <w:r>
        <w:t xml:space="preserve">probíhá přímo </w:t>
      </w:r>
      <w:r w:rsidRPr="009D6481">
        <w:t xml:space="preserve">v místech chovů ovcí a koz. </w:t>
      </w:r>
      <w:r>
        <w:t>Nadále je zřejmá s</w:t>
      </w:r>
      <w:r w:rsidRPr="009D6481">
        <w:t xml:space="preserve">potřebitelská obliba ovčích a kozích sýrů a výrobky se mimo prodeje ze dvora a dalších doplňkových forem prodeje </w:t>
      </w:r>
      <w:r>
        <w:t xml:space="preserve">objevují </w:t>
      </w:r>
      <w:r w:rsidRPr="009D6481">
        <w:t>i v nabídce řetězcových prodejen.</w:t>
      </w:r>
    </w:p>
    <w:p w:rsidR="00567C4A" w:rsidRPr="00BF625E" w:rsidRDefault="00567C4A" w:rsidP="000B7BEE">
      <w:pPr>
        <w:pStyle w:val="Nadpis3"/>
      </w:pPr>
      <w:bookmarkStart w:id="230" w:name="_Toc261959176"/>
      <w:bookmarkStart w:id="231" w:name="_Toc424307083"/>
      <w:bookmarkStart w:id="232" w:name="_Toc164826455"/>
      <w:r w:rsidRPr="00BF625E">
        <w:t>8.2.5</w:t>
      </w:r>
      <w:r w:rsidRPr="00BF625E">
        <w:tab/>
        <w:t>Rybářství</w:t>
      </w:r>
      <w:bookmarkEnd w:id="230"/>
      <w:bookmarkEnd w:id="231"/>
    </w:p>
    <w:p w:rsidR="00567C4A" w:rsidRDefault="00567C4A" w:rsidP="000B7BEE">
      <w:pPr>
        <w:rPr>
          <w:color w:val="000000"/>
        </w:rPr>
      </w:pPr>
      <w:r>
        <w:t>Ry</w:t>
      </w:r>
      <w:r w:rsidRPr="003819E0">
        <w:t>bářství</w:t>
      </w:r>
      <w:r>
        <w:t xml:space="preserve"> se v ČR se řadí z</w:t>
      </w:r>
      <w:r w:rsidRPr="003819E0">
        <w:t xml:space="preserve"> hlediska produkce rybího masa</w:t>
      </w:r>
      <w:r>
        <w:t xml:space="preserve"> mezi </w:t>
      </w:r>
      <w:r w:rsidRPr="003819E0">
        <w:t>úspěšn</w:t>
      </w:r>
      <w:r>
        <w:t>á</w:t>
      </w:r>
      <w:r w:rsidRPr="003819E0">
        <w:t xml:space="preserve"> </w:t>
      </w:r>
      <w:r>
        <w:t>odvětví zemědělství.</w:t>
      </w:r>
      <w:r w:rsidRPr="003819E0">
        <w:t xml:space="preserve"> </w:t>
      </w:r>
      <w:r>
        <w:t>Z</w:t>
      </w:r>
      <w:r w:rsidRPr="003819E0">
        <w:t xml:space="preserve"> pohledu svého výkonu </w:t>
      </w:r>
      <w:r>
        <w:t xml:space="preserve">jej lze </w:t>
      </w:r>
      <w:r w:rsidRPr="003819E0">
        <w:t>rozdělit na produkční a rekreační rybářství.</w:t>
      </w:r>
      <w:r>
        <w:t xml:space="preserve"> </w:t>
      </w:r>
      <w:r w:rsidRPr="0093406D">
        <w:rPr>
          <w:color w:val="000000"/>
        </w:rPr>
        <w:t>Další významnou oblastí rybářství je hospodaření ve volných vodách, podpora existence rybích druhů, ale hlavně udržování rovnováhy rybích sp</w:t>
      </w:r>
      <w:r>
        <w:rPr>
          <w:color w:val="000000"/>
        </w:rPr>
        <w:t>olečenstev v povrchových vodách</w:t>
      </w:r>
      <w:r w:rsidRPr="0093406D">
        <w:rPr>
          <w:color w:val="000000"/>
        </w:rPr>
        <w:t>. Nadstavba funguje jako důsledek biologických aspektů funkce rybářského hospodaření v rybářských revírech. Tuto činnost provozuje v ČR přibližně 370</w:t>
      </w:r>
      <w:r>
        <w:rPr>
          <w:color w:val="000000"/>
        </w:rPr>
        <w:t> </w:t>
      </w:r>
      <w:r w:rsidRPr="0093406D">
        <w:rPr>
          <w:color w:val="000000"/>
        </w:rPr>
        <w:t>tis. rekreačních rybářů, kteří jsou organizováni převážně ve dvou největších rybářských svazech (Český rybářský svaz, Moravský rybářský svaz).</w:t>
      </w:r>
    </w:p>
    <w:p w:rsidR="00567C4A" w:rsidRDefault="00567C4A" w:rsidP="000B7BEE">
      <w:pPr>
        <w:rPr>
          <w:color w:val="000000"/>
        </w:rPr>
      </w:pPr>
      <w:r w:rsidRPr="00B6449F">
        <w:rPr>
          <w:color w:val="000000"/>
        </w:rPr>
        <w:t xml:space="preserve">Nejdůležitější oblast rybářství s nezastupitelnou krajinotvornou funkcí </w:t>
      </w:r>
      <w:r>
        <w:rPr>
          <w:color w:val="000000"/>
        </w:rPr>
        <w:t>reprezentuje</w:t>
      </w:r>
      <w:r w:rsidRPr="00B6449F">
        <w:rPr>
          <w:color w:val="000000"/>
        </w:rPr>
        <w:t xml:space="preserve"> chov ryb v rybnících – tzv. produkční rybářství. Na našem území se nachází přibližně 24 tis. rybníků a vodních nádrží o celkové ploše kolem 52 tis. ha, z toho na více než 41 tis. ha se uskutečňuje vlastní chov ryb. </w:t>
      </w:r>
      <w:r w:rsidRPr="004716F8">
        <w:rPr>
          <w:color w:val="000000"/>
        </w:rPr>
        <w:t>Největší koncentrace rybničních ploch je v Jihočeském kraji</w:t>
      </w:r>
      <w:r>
        <w:rPr>
          <w:color w:val="000000"/>
        </w:rPr>
        <w:t xml:space="preserve"> s téměř polovinou</w:t>
      </w:r>
      <w:r w:rsidRPr="004716F8">
        <w:rPr>
          <w:color w:val="000000"/>
        </w:rPr>
        <w:t xml:space="preserve"> plochy všech rybníků v České republice. Většina </w:t>
      </w:r>
      <w:r>
        <w:rPr>
          <w:color w:val="000000"/>
        </w:rPr>
        <w:t>jich je</w:t>
      </w:r>
      <w:r w:rsidRPr="004716F8">
        <w:rPr>
          <w:color w:val="000000"/>
        </w:rPr>
        <w:t xml:space="preserve"> využívána pro produkci ryb, dvě třetiny této plochy j</w:t>
      </w:r>
      <w:r>
        <w:rPr>
          <w:color w:val="000000"/>
        </w:rPr>
        <w:t xml:space="preserve">sou </w:t>
      </w:r>
      <w:r w:rsidRPr="004716F8">
        <w:rPr>
          <w:color w:val="000000"/>
        </w:rPr>
        <w:t>v současnosti obhospodařován</w:t>
      </w:r>
      <w:r>
        <w:rPr>
          <w:color w:val="000000"/>
        </w:rPr>
        <w:t>y</w:t>
      </w:r>
      <w:r w:rsidRPr="004716F8">
        <w:rPr>
          <w:color w:val="000000"/>
        </w:rPr>
        <w:t xml:space="preserve"> členy Rybářského sdružení České republiky (více než 36</w:t>
      </w:r>
      <w:r>
        <w:rPr>
          <w:color w:val="000000"/>
        </w:rPr>
        <w:t> </w:t>
      </w:r>
      <w:r w:rsidRPr="004716F8">
        <w:rPr>
          <w:color w:val="000000"/>
        </w:rPr>
        <w:t>tis.</w:t>
      </w:r>
      <w:r>
        <w:rPr>
          <w:color w:val="000000"/>
        </w:rPr>
        <w:t> </w:t>
      </w:r>
      <w:r w:rsidRPr="004716F8">
        <w:rPr>
          <w:color w:val="000000"/>
        </w:rPr>
        <w:t xml:space="preserve">ha). Na nečleny sdružení </w:t>
      </w:r>
      <w:r w:rsidR="00BC2DA2">
        <w:rPr>
          <w:color w:val="000000"/>
        </w:rPr>
        <w:t>–</w:t>
      </w:r>
      <w:r w:rsidRPr="004716F8">
        <w:rPr>
          <w:color w:val="000000"/>
        </w:rPr>
        <w:t xml:space="preserve"> evidované spolupracující chovatele, připadá plocha 3 až 4 tis. ha rybníků</w:t>
      </w:r>
      <w:r>
        <w:rPr>
          <w:color w:val="000000"/>
        </w:rPr>
        <w:t>. Fy</w:t>
      </w:r>
      <w:r w:rsidRPr="004716F8">
        <w:rPr>
          <w:color w:val="000000"/>
        </w:rPr>
        <w:t>zick</w:t>
      </w:r>
      <w:r>
        <w:rPr>
          <w:color w:val="000000"/>
        </w:rPr>
        <w:t>é</w:t>
      </w:r>
      <w:r w:rsidRPr="004716F8">
        <w:rPr>
          <w:color w:val="000000"/>
        </w:rPr>
        <w:t xml:space="preserve"> osob</w:t>
      </w:r>
      <w:r>
        <w:rPr>
          <w:color w:val="000000"/>
        </w:rPr>
        <w:t>y</w:t>
      </w:r>
      <w:r w:rsidRPr="004716F8">
        <w:rPr>
          <w:color w:val="000000"/>
        </w:rPr>
        <w:t xml:space="preserve"> a blíže nespecifikovan</w:t>
      </w:r>
      <w:r>
        <w:rPr>
          <w:color w:val="000000"/>
        </w:rPr>
        <w:t>é</w:t>
      </w:r>
      <w:r w:rsidRPr="004716F8">
        <w:rPr>
          <w:color w:val="000000"/>
        </w:rPr>
        <w:t xml:space="preserve"> subjekt</w:t>
      </w:r>
      <w:r>
        <w:rPr>
          <w:color w:val="000000"/>
        </w:rPr>
        <w:t>y</w:t>
      </w:r>
      <w:r w:rsidRPr="004716F8">
        <w:rPr>
          <w:color w:val="000000"/>
        </w:rPr>
        <w:t xml:space="preserve"> </w:t>
      </w:r>
      <w:r>
        <w:rPr>
          <w:color w:val="000000"/>
        </w:rPr>
        <w:t>vlastní</w:t>
      </w:r>
      <w:r w:rsidRPr="004716F8">
        <w:rPr>
          <w:color w:val="000000"/>
        </w:rPr>
        <w:t xml:space="preserve"> přibližně 2 tis. ha</w:t>
      </w:r>
      <w:r>
        <w:rPr>
          <w:color w:val="000000"/>
        </w:rPr>
        <w:t xml:space="preserve"> rybníků a </w:t>
      </w:r>
      <w:r w:rsidRPr="004716F8">
        <w:rPr>
          <w:color w:val="000000"/>
        </w:rPr>
        <w:t xml:space="preserve">místní organizace rybářských svazů využívají </w:t>
      </w:r>
      <w:r>
        <w:rPr>
          <w:color w:val="000000"/>
        </w:rPr>
        <w:t xml:space="preserve">více než </w:t>
      </w:r>
      <w:r w:rsidRPr="004716F8">
        <w:rPr>
          <w:color w:val="000000"/>
        </w:rPr>
        <w:t>10 tis</w:t>
      </w:r>
      <w:r>
        <w:rPr>
          <w:color w:val="000000"/>
        </w:rPr>
        <w:t>.</w:t>
      </w:r>
      <w:r w:rsidRPr="004716F8">
        <w:rPr>
          <w:color w:val="000000"/>
        </w:rPr>
        <w:t xml:space="preserve"> ha k odchovným účelům a část slouží jako revíry. </w:t>
      </w:r>
      <w:r>
        <w:rPr>
          <w:color w:val="000000"/>
        </w:rPr>
        <w:t>Stát vlastní</w:t>
      </w:r>
      <w:r w:rsidRPr="004716F8">
        <w:rPr>
          <w:color w:val="000000"/>
        </w:rPr>
        <w:t xml:space="preserve"> 3,1</w:t>
      </w:r>
      <w:r>
        <w:rPr>
          <w:color w:val="000000"/>
        </w:rPr>
        <w:t> </w:t>
      </w:r>
      <w:r w:rsidRPr="004716F8">
        <w:rPr>
          <w:color w:val="000000"/>
        </w:rPr>
        <w:t>tis. ha vodních ploch</w:t>
      </w:r>
      <w:r>
        <w:rPr>
          <w:color w:val="000000"/>
        </w:rPr>
        <w:t>, které</w:t>
      </w:r>
      <w:r w:rsidRPr="004716F8">
        <w:rPr>
          <w:color w:val="000000"/>
        </w:rPr>
        <w:t xml:space="preserve"> jsou součástí zvláště chráněných území</w:t>
      </w:r>
      <w:r>
        <w:rPr>
          <w:color w:val="000000"/>
        </w:rPr>
        <w:t>,</w:t>
      </w:r>
      <w:r w:rsidRPr="004716F8">
        <w:rPr>
          <w:color w:val="000000"/>
        </w:rPr>
        <w:t xml:space="preserve"> kde probíhá hospodaření v</w:t>
      </w:r>
      <w:r>
        <w:rPr>
          <w:color w:val="000000"/>
        </w:rPr>
        <w:t> </w:t>
      </w:r>
      <w:r w:rsidRPr="004716F8">
        <w:rPr>
          <w:color w:val="000000"/>
        </w:rPr>
        <w:t>souladu se zákonem č. 114/1992 Sb.</w:t>
      </w:r>
    </w:p>
    <w:p w:rsidR="00567C4A" w:rsidRPr="004F5462" w:rsidRDefault="00567C4A" w:rsidP="000B7BEE">
      <w:r>
        <w:t>Nejvýznamnější</w:t>
      </w:r>
      <w:r w:rsidRPr="004F5462">
        <w:t xml:space="preserve"> chovanou rybou v</w:t>
      </w:r>
      <w:r>
        <w:t xml:space="preserve"> českém </w:t>
      </w:r>
      <w:r w:rsidRPr="004F5462">
        <w:t xml:space="preserve">produkčním rybářství je </w:t>
      </w:r>
      <w:r>
        <w:t xml:space="preserve">tradičně </w:t>
      </w:r>
      <w:r w:rsidRPr="004F5462">
        <w:t>kapr obecný,</w:t>
      </w:r>
      <w:r>
        <w:t xml:space="preserve"> z</w:t>
      </w:r>
      <w:r w:rsidRPr="004F5462">
        <w:t xml:space="preserve"> </w:t>
      </w:r>
      <w:r>
        <w:t>ostatních</w:t>
      </w:r>
      <w:r w:rsidRPr="004F5462">
        <w:t xml:space="preserve"> doplňkov</w:t>
      </w:r>
      <w:r>
        <w:t>ých</w:t>
      </w:r>
      <w:r w:rsidRPr="004F5462">
        <w:t xml:space="preserve"> druh</w:t>
      </w:r>
      <w:r>
        <w:t>ů</w:t>
      </w:r>
      <w:r w:rsidRPr="004F5462">
        <w:t xml:space="preserve"> jsou chovány býložravé ryby (</w:t>
      </w:r>
      <w:proofErr w:type="spellStart"/>
      <w:r w:rsidRPr="004F5462">
        <w:t>tolstolobik</w:t>
      </w:r>
      <w:proofErr w:type="spellEnd"/>
      <w:r w:rsidRPr="004F5462">
        <w:t xml:space="preserve"> bílý a</w:t>
      </w:r>
      <w:r>
        <w:t> </w:t>
      </w:r>
      <w:proofErr w:type="spellStart"/>
      <w:r w:rsidRPr="004F5462">
        <w:t>tolstolobec</w:t>
      </w:r>
      <w:proofErr w:type="spellEnd"/>
      <w:r w:rsidRPr="004F5462">
        <w:t xml:space="preserve"> pestrý, </w:t>
      </w:r>
      <w:proofErr w:type="spellStart"/>
      <w:r w:rsidRPr="004F5462">
        <w:t>amur</w:t>
      </w:r>
      <w:proofErr w:type="spellEnd"/>
      <w:r w:rsidRPr="004F5462">
        <w:t xml:space="preserve"> bílý), lososovité ryby (zejména pstruh duhový a siven americký), lín obecný</w:t>
      </w:r>
      <w:r>
        <w:t>, cejn velký</w:t>
      </w:r>
      <w:r w:rsidRPr="004F5462">
        <w:t xml:space="preserve"> a dravé ryby (štika obecná, candát obecný a</w:t>
      </w:r>
      <w:r>
        <w:t> </w:t>
      </w:r>
      <w:r w:rsidRPr="004F5462">
        <w:t>sumec velký)</w:t>
      </w:r>
      <w:r>
        <w:t>.</w:t>
      </w:r>
    </w:p>
    <w:p w:rsidR="00567C4A" w:rsidRDefault="00567C4A" w:rsidP="000B7BEE">
      <w:pPr>
        <w:rPr>
          <w:color w:val="000000"/>
        </w:rPr>
      </w:pPr>
      <w:r>
        <w:lastRenderedPageBreak/>
        <w:t>Produkce ryb v České republice je dlouhodobě</w:t>
      </w:r>
      <w:r w:rsidRPr="007A43E3">
        <w:t xml:space="preserve"> </w:t>
      </w:r>
      <w:r>
        <w:t>vyrovnaná bez výraznějších výkyvů a dosahuje</w:t>
      </w:r>
      <w:r w:rsidRPr="007A43E3">
        <w:t xml:space="preserve"> v</w:t>
      </w:r>
      <w:r>
        <w:t xml:space="preserve"> průměru kolem </w:t>
      </w:r>
      <w:r w:rsidRPr="007A43E3">
        <w:t>20</w:t>
      </w:r>
      <w:r>
        <w:t> </w:t>
      </w:r>
      <w:r w:rsidRPr="007A43E3">
        <w:t>tis. t</w:t>
      </w:r>
      <w:r>
        <w:t xml:space="preserve"> ž. hm. ročně. V roce 2014 vyprodukovaly rybářské podniky </w:t>
      </w:r>
      <w:r w:rsidRPr="00A260EF">
        <w:rPr>
          <w:color w:val="000000"/>
        </w:rPr>
        <w:t xml:space="preserve">celkem </w:t>
      </w:r>
      <w:r>
        <w:rPr>
          <w:color w:val="000000"/>
        </w:rPr>
        <w:t>20,1 tis. t ž. hm. tržních ryb. V meziročním srovnání to představovalo vyšší výrobu o 3,6 %, tj. 0,7 tis. t ž. hm.</w:t>
      </w:r>
      <w:r w:rsidRPr="00A260EF">
        <w:rPr>
          <w:color w:val="000000"/>
        </w:rPr>
        <w:t xml:space="preserve"> </w:t>
      </w:r>
      <w:r w:rsidRPr="008E46C3">
        <w:rPr>
          <w:color w:val="000000"/>
        </w:rPr>
        <w:t>Více než 96 % výlovu pocházelo z rybničních chovů a zbytek připadl na ryby chované ve speciálních zařízeních.</w:t>
      </w:r>
    </w:p>
    <w:p w:rsidR="00567C4A" w:rsidRDefault="00567C4A" w:rsidP="000B7BEE">
      <w:pPr>
        <w:rPr>
          <w:color w:val="000000"/>
        </w:rPr>
      </w:pPr>
      <w:r w:rsidRPr="007A43E3">
        <w:t xml:space="preserve">V celkové tržní </w:t>
      </w:r>
      <w:r>
        <w:t>produkci</w:t>
      </w:r>
      <w:r w:rsidRPr="007A43E3">
        <w:t xml:space="preserve"> ryb tradičně domin</w:t>
      </w:r>
      <w:r>
        <w:t>oval</w:t>
      </w:r>
      <w:r w:rsidRPr="007A43E3">
        <w:t xml:space="preserve"> kapr</w:t>
      </w:r>
      <w:r>
        <w:t>. V roce 2014 dosáhl jeho výlov 17,8 tis. t ž. hm., což představovalo v meziročním srovnání zvýšení produkce této hlavní české ryby o 6,0 %, tj. o 1,0 tis. t ž. hm. Podíl kapra na celkové tržní produkci se proti roku 2013 téměř nezměnil a dosáhl necelých 8</w:t>
      </w:r>
      <w:r w:rsidR="0014785D">
        <w:t>9</w:t>
      </w:r>
      <w:r>
        <w:t> %. Z ostatních druhů ryb, které se významněji na produkci v ČR podílely, došlo proti roku 2013 k jejímu mírnému snížení u býložravých ryb (</w:t>
      </w:r>
      <w:proofErr w:type="spellStart"/>
      <w:r>
        <w:t>amur</w:t>
      </w:r>
      <w:proofErr w:type="spellEnd"/>
      <w:r>
        <w:t xml:space="preserve"> a </w:t>
      </w:r>
      <w:proofErr w:type="spellStart"/>
      <w:r>
        <w:t>tolstolobik</w:t>
      </w:r>
      <w:proofErr w:type="spellEnd"/>
      <w:r>
        <w:t xml:space="preserve">) o 0,2 tis. t na 0,8 tis. t ž. hm., zatímco nárůst výroby byl evidován u lososovitých ryb (siven americký, síh maréna, síh </w:t>
      </w:r>
      <w:proofErr w:type="spellStart"/>
      <w:r>
        <w:t>pele</w:t>
      </w:r>
      <w:r w:rsidR="00464790">
        <w:t>ď</w:t>
      </w:r>
      <w:proofErr w:type="spellEnd"/>
      <w:r>
        <w:t>, pstruh obecný a duhový)</w:t>
      </w:r>
      <w:r w:rsidR="00D2688C">
        <w:t xml:space="preserve">, a to </w:t>
      </w:r>
      <w:r>
        <w:t xml:space="preserve">o 16 t na 0,8 tis. t ž. hm. </w:t>
      </w:r>
      <w:r>
        <w:rPr>
          <w:color w:val="000000"/>
        </w:rPr>
        <w:t>Téměř polovina z celkové tržní produkce ryb (9,6 tis. t) byla v roce 2014 prodána na českém trhu</w:t>
      </w:r>
      <w:r w:rsidRPr="00EF7D2D">
        <w:t xml:space="preserve"> </w:t>
      </w:r>
      <w:r w:rsidRPr="007A43E3">
        <w:t>především v podobě živ</w:t>
      </w:r>
      <w:r>
        <w:t>ých</w:t>
      </w:r>
      <w:r w:rsidRPr="007A43E3">
        <w:t xml:space="preserve"> ryb</w:t>
      </w:r>
      <w:r>
        <w:t>. V meziročním srovnání to představovalo mírné navýšení prodeje o 11,6 % (1,0 tis. t ž. hm</w:t>
      </w:r>
      <w:r>
        <w:rPr>
          <w:color w:val="000000"/>
        </w:rPr>
        <w:t xml:space="preserve">.). </w:t>
      </w:r>
      <w:r w:rsidRPr="007A5D18">
        <w:rPr>
          <w:color w:val="000000"/>
        </w:rPr>
        <w:t xml:space="preserve">Výlov ryb na udici v roce 2014 dosáhl podle odhadu Rybářského sdružení ČR 3,8 tis. t ž hm., což byl stejný objem jako v roce 2013. </w:t>
      </w:r>
      <w:r w:rsidR="00E86ED0" w:rsidRPr="007A5D18">
        <w:rPr>
          <w:color w:val="000000"/>
        </w:rPr>
        <w:t>Téměř ze 79</w:t>
      </w:r>
      <w:r w:rsidRPr="007A5D18">
        <w:rPr>
          <w:color w:val="000000"/>
        </w:rPr>
        <w:t> % (3,0 tis. t ž. hm.) se na něm podílel kapr, z ostatních druhů ryb převažoval cejn velký, štika a sumec (celkem 0,4 tis. t ž. hm.).</w:t>
      </w:r>
    </w:p>
    <w:p w:rsidR="00567C4A" w:rsidRPr="00DA7840" w:rsidRDefault="00567C4A" w:rsidP="000B7BEE">
      <w:pPr>
        <w:rPr>
          <w:color w:val="000000"/>
        </w:rPr>
      </w:pPr>
      <w:r>
        <w:rPr>
          <w:color w:val="000000"/>
        </w:rPr>
        <w:t xml:space="preserve">V roce 2014 se CZV kapra tř. I ve srovnání s rokem 2013 zvýšila </w:t>
      </w:r>
      <w:r w:rsidRPr="00DA7840">
        <w:rPr>
          <w:color w:val="000000"/>
        </w:rPr>
        <w:t>o</w:t>
      </w:r>
      <w:r>
        <w:rPr>
          <w:color w:val="000000"/>
        </w:rPr>
        <w:t> 2,7</w:t>
      </w:r>
      <w:r w:rsidRPr="00DA7840">
        <w:rPr>
          <w:color w:val="000000"/>
        </w:rPr>
        <w:t> % (o </w:t>
      </w:r>
      <w:r>
        <w:rPr>
          <w:color w:val="000000"/>
        </w:rPr>
        <w:t>1,30</w:t>
      </w:r>
      <w:r w:rsidRPr="00DA7840">
        <w:rPr>
          <w:color w:val="000000"/>
        </w:rPr>
        <w:t> Kč/kg)</w:t>
      </w:r>
      <w:r>
        <w:rPr>
          <w:color w:val="000000"/>
        </w:rPr>
        <w:t xml:space="preserve"> na 49,63 Kč/kg ž. hm. CZV pstruha byla stoupla o 10,2 % (o 10,2 Kč/kg) a dosáhla 109,60 Kč/kg ž. hm. Zároveň došlo také meziročně k nárůstu spotřebitelské ceny kapra (chlazený, mražený) o 5,33 Kč na 166,60 Kč/kg.</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33842C45" wp14:editId="70A327FF">
            <wp:extent cx="5760720" cy="1974770"/>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60720" cy="1974770"/>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pPr>
        <w:rPr>
          <w:color w:val="000000"/>
        </w:rPr>
      </w:pPr>
      <w:r w:rsidRPr="00176EEA">
        <w:rPr>
          <w:color w:val="000000"/>
        </w:rPr>
        <w:t>Podíl zpracovaných sladkovodních ryb z</w:t>
      </w:r>
      <w:r>
        <w:rPr>
          <w:color w:val="000000"/>
        </w:rPr>
        <w:t xml:space="preserve"> </w:t>
      </w:r>
      <w:r w:rsidRPr="00176EEA">
        <w:rPr>
          <w:color w:val="000000"/>
        </w:rPr>
        <w:t>celkové tuzemské tržní produkce vykazoval již několik let po sobě rostoucí trend. Ke změně došlo v roce 2014, kdy ve srovnání s rokem 2013 klesl objemu zpracovaných ryb o 12,5 %, (o 0,3 tis. t) na 2,1 tis</w:t>
      </w:r>
      <w:r w:rsidR="00436EB7">
        <w:rPr>
          <w:color w:val="000000"/>
        </w:rPr>
        <w:t>.</w:t>
      </w:r>
      <w:r w:rsidRPr="00176EEA">
        <w:rPr>
          <w:color w:val="000000"/>
        </w:rPr>
        <w:t xml:space="preserve"> t. Podíl zpracovaných sladkovodních ryb z jejich celkové domácí tržní produkce se snížil z 12,4 % v roce 2013 na 10,4 % v roce 2014. Z tohoto objemu byla převážná část prodána na českém trhu a zbytek byl exportován.</w:t>
      </w:r>
    </w:p>
    <w:p w:rsidR="00567C4A" w:rsidRPr="00B6449F" w:rsidRDefault="00567C4A" w:rsidP="000B7BEE">
      <w:pPr>
        <w:rPr>
          <w:color w:val="000000"/>
        </w:rPr>
      </w:pPr>
      <w:r w:rsidRPr="00B6449F">
        <w:rPr>
          <w:color w:val="000000"/>
        </w:rPr>
        <w:lastRenderedPageBreak/>
        <w:t>V roce 2014 dosáhl objem českého vývozu v tuzemsku vyprodukovaných sladkovodních ryb (živých, čerstvých nebo chlazených a zmrazených) 10,0</w:t>
      </w:r>
      <w:r>
        <w:rPr>
          <w:color w:val="000000"/>
        </w:rPr>
        <w:t> tis. t za 543,7 mil. </w:t>
      </w:r>
      <w:r w:rsidRPr="00B6449F">
        <w:rPr>
          <w:color w:val="000000"/>
        </w:rPr>
        <w:t>Kč. Meziročně se množství exportovaných ryb snížilo o 3,4 %, zatímco jeho hodnota vzrostla o 1,0 %. Z toho vývoz živých ryb představoval 8,4 tis. t a meziročně se téměř nezměnil. Z ČR se vyvážel především živý kapr (94 % v rámci uvedeného vývozu), a to především do Německa (3,0 tis. t ž. hm., tj. 32 %), Polska (2,5 tis. t ž. hm., tj. 27 %) a na Slovensko (1,2 tis. t ž. hm., tj. 13 %). K nejvýraznějšímu meziročnímu poklesu exportovaného množství tohoto druhu ryby došlo do Německa (o 0,2 tis. t), ačkoliv hodnota tohoto exportu se zvýšila o </w:t>
      </w:r>
      <w:r w:rsidR="00E86ED0" w:rsidRPr="00B6449F">
        <w:rPr>
          <w:color w:val="000000"/>
        </w:rPr>
        <w:t>9,3 % ze 49,34</w:t>
      </w:r>
      <w:r w:rsidRPr="00B6449F">
        <w:rPr>
          <w:color w:val="000000"/>
        </w:rPr>
        <w:t> Kč/kg ž. hm. v roce 2013 na 53,91 Kč/kg ž. hm. v roce 2014. To představovalo nejvyšší nárůst ceny v rámci všech významnějších destinací. Naproti tomu se zvýšil vývoz kapra (v množství i hodnotě) do Francie (o 0,1 tis. t na 1,0 tis. t ž. hm.), která tak v roce 2014 dosáhla v českém vývozu živého kapra 10% podílu. Vývoz zmrazeného kapra byl ve srovnání s živou rybou stále málo významný a směřoval především do Německa na Slovensko.</w:t>
      </w:r>
    </w:p>
    <w:p w:rsidR="00567C4A" w:rsidRPr="00B6449F" w:rsidRDefault="00567C4A" w:rsidP="000B7BEE">
      <w:pPr>
        <w:rPr>
          <w:color w:val="000000"/>
        </w:rPr>
      </w:pPr>
      <w:r w:rsidRPr="00B6449F">
        <w:rPr>
          <w:color w:val="000000"/>
        </w:rPr>
        <w:t>Dovoz sladkovodních ryb (živých, čerstvých nebo chlazených a zmrazených) byl v porovnání s vývozem mnohem nižší a dosáhl 2,2 tis. </w:t>
      </w:r>
      <w:r>
        <w:rPr>
          <w:color w:val="000000"/>
        </w:rPr>
        <w:t>t (v hodnotě 170,8 mil. Kč). To </w:t>
      </w:r>
      <w:r w:rsidRPr="00B6449F">
        <w:rPr>
          <w:color w:val="000000"/>
        </w:rPr>
        <w:t>představovalo meziročním srovnání snížení v</w:t>
      </w:r>
      <w:r>
        <w:rPr>
          <w:color w:val="000000"/>
        </w:rPr>
        <w:t> objemovém vyjádření o 10,9 % a </w:t>
      </w:r>
      <w:r w:rsidRPr="00B6449F">
        <w:rPr>
          <w:color w:val="000000"/>
        </w:rPr>
        <w:t xml:space="preserve">v hodnotovém o 7,8 %. Těžiště českého importu ryb spočívá přirozeně ve </w:t>
      </w:r>
      <w:r>
        <w:rPr>
          <w:color w:val="000000"/>
        </w:rPr>
        <w:t>velké míře v mořských rybách. U </w:t>
      </w:r>
      <w:r w:rsidRPr="00B6449F">
        <w:rPr>
          <w:color w:val="000000"/>
        </w:rPr>
        <w:t>importu sledovaných sladkovodních druhů ryb dominuje pstruh, a to zhruba ve stejné míře zmrazený i živý (v roce 2014 dohromady s 85% podílem). Živý pstruh byl dovážen především z Itálie a nově ze Slovenska, zmrazený pak z Turecka a Španělska. Živý kapr, který zaujímal na dovozu desetinový podíl, pocházel především z Chorvatska (poprvé z této země významněji již v roce 2013) a z Maďarska (odkud však import meziročně poklesl na 30 %).</w:t>
      </w:r>
    </w:p>
    <w:p w:rsidR="00567C4A" w:rsidRDefault="00567C4A" w:rsidP="000B7BEE">
      <w:pPr>
        <w:pStyle w:val="mezera"/>
      </w:pPr>
    </w:p>
    <w:p w:rsidR="00567C4A" w:rsidRDefault="00567C4A" w:rsidP="000B7BEE">
      <w:pPr>
        <w:pStyle w:val="mezera-svzan"/>
      </w:pPr>
      <w:r w:rsidRPr="00BA24C5">
        <w:rPr>
          <w:noProof/>
          <w:lang w:eastAsia="cs-CZ"/>
        </w:rPr>
        <w:lastRenderedPageBreak/>
        <w:drawing>
          <wp:inline distT="0" distB="0" distL="0" distR="0" wp14:anchorId="3E42616D" wp14:editId="13A07787">
            <wp:extent cx="5760720" cy="3720391"/>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60720" cy="3720391"/>
                    </a:xfrm>
                    <a:prstGeom prst="rect">
                      <a:avLst/>
                    </a:prstGeom>
                    <a:noFill/>
                    <a:ln>
                      <a:noFill/>
                    </a:ln>
                  </pic:spPr>
                </pic:pic>
              </a:graphicData>
            </a:graphic>
          </wp:inline>
        </w:drawing>
      </w:r>
    </w:p>
    <w:p w:rsidR="00567C4A" w:rsidRDefault="00567C4A" w:rsidP="000B7BEE">
      <w:pPr>
        <w:pStyle w:val="TabPramZprac"/>
      </w:pPr>
      <w:r>
        <w:t>Pramen:</w:t>
      </w:r>
      <w:r>
        <w:tab/>
        <w:t>Rybářské sdružení ČR</w:t>
      </w:r>
    </w:p>
    <w:p w:rsidR="00567C4A" w:rsidRDefault="00567C4A" w:rsidP="000B7BEE">
      <w:pPr>
        <w:pStyle w:val="TabPramZprac"/>
      </w:pPr>
      <w:r>
        <w:t>Zpracoval:</w:t>
      </w:r>
      <w:r>
        <w:tab/>
        <w:t>M. Abrahamová (ÚZEI)</w:t>
      </w:r>
    </w:p>
    <w:p w:rsidR="00567C4A" w:rsidRDefault="00567C4A" w:rsidP="000B7BEE">
      <w:pPr>
        <w:pStyle w:val="mezera"/>
      </w:pPr>
    </w:p>
    <w:p w:rsidR="00567C4A" w:rsidRDefault="00567C4A" w:rsidP="000B7BEE">
      <w:pPr>
        <w:rPr>
          <w:color w:val="000000"/>
        </w:rPr>
      </w:pPr>
      <w:r>
        <w:t>Tuzemská s</w:t>
      </w:r>
      <w:r w:rsidRPr="00F33267">
        <w:t xml:space="preserve">potřeba ryb </w:t>
      </w:r>
      <w:r>
        <w:t>podle ČSÚ</w:t>
      </w:r>
      <w:r w:rsidRPr="00F33267">
        <w:t>, zahrnující sladkovodní</w:t>
      </w:r>
      <w:r>
        <w:t xml:space="preserve"> i </w:t>
      </w:r>
      <w:r w:rsidRPr="00F33267">
        <w:t>mořské ryby</w:t>
      </w:r>
      <w:r>
        <w:t>, v roce 2014 dosahovala</w:t>
      </w:r>
      <w:r w:rsidRPr="00F33267">
        <w:t xml:space="preserve"> </w:t>
      </w:r>
      <w:r>
        <w:t>podle odhadu 5,4</w:t>
      </w:r>
      <w:r w:rsidRPr="00D717AA">
        <w:rPr>
          <w:color w:val="000000"/>
        </w:rPr>
        <w:t> kg/obyv</w:t>
      </w:r>
      <w:r>
        <w:rPr>
          <w:color w:val="000000"/>
        </w:rPr>
        <w:t>.</w:t>
      </w:r>
      <w:r w:rsidRPr="00D717AA">
        <w:rPr>
          <w:color w:val="000000"/>
        </w:rPr>
        <w:t>/rok</w:t>
      </w:r>
      <w:r>
        <w:rPr>
          <w:color w:val="000000"/>
        </w:rPr>
        <w:t xml:space="preserve">, z toho </w:t>
      </w:r>
      <w:r w:rsidRPr="00D717AA">
        <w:rPr>
          <w:color w:val="000000"/>
        </w:rPr>
        <w:t>sladkovodní ryb</w:t>
      </w:r>
      <w:r>
        <w:rPr>
          <w:color w:val="000000"/>
        </w:rPr>
        <w:t>y se na ní podílely necelou čtvrtinou</w:t>
      </w:r>
      <w:r>
        <w:t>.</w:t>
      </w:r>
      <w:r w:rsidRPr="006E00E7">
        <w:rPr>
          <w:color w:val="000000"/>
        </w:rPr>
        <w:t xml:space="preserve"> </w:t>
      </w:r>
      <w:r>
        <w:rPr>
          <w:color w:val="000000"/>
        </w:rPr>
        <w:t>P</w:t>
      </w:r>
      <w:r w:rsidRPr="006E00E7">
        <w:rPr>
          <w:color w:val="000000"/>
        </w:rPr>
        <w:t xml:space="preserve">odle odhadu Rybářského sdružení ČR dosahovala </w:t>
      </w:r>
      <w:r>
        <w:rPr>
          <w:color w:val="000000"/>
        </w:rPr>
        <w:t xml:space="preserve">v roce 2014 </w:t>
      </w:r>
      <w:r w:rsidRPr="006E00E7">
        <w:rPr>
          <w:color w:val="000000"/>
        </w:rPr>
        <w:t>spotřeba sladkovodních ryb na obyvatele přibližně 1,</w:t>
      </w:r>
      <w:r>
        <w:rPr>
          <w:color w:val="000000"/>
        </w:rPr>
        <w:t>34</w:t>
      </w:r>
      <w:r w:rsidRPr="006E00E7">
        <w:rPr>
          <w:color w:val="000000"/>
        </w:rPr>
        <w:t> kg</w:t>
      </w:r>
      <w:r>
        <w:rPr>
          <w:color w:val="000000"/>
        </w:rPr>
        <w:t>/rok</w:t>
      </w:r>
      <w:r w:rsidRPr="006E00E7">
        <w:rPr>
          <w:color w:val="000000"/>
        </w:rPr>
        <w:t xml:space="preserve"> a</w:t>
      </w:r>
      <w:r>
        <w:rPr>
          <w:color w:val="000000"/>
        </w:rPr>
        <w:t> ve srovnání s rokem 2013 došlo k jejímu snížení o 4,3 % (0,06 kg)</w:t>
      </w:r>
      <w:r w:rsidRPr="006E00E7">
        <w:rPr>
          <w:color w:val="000000"/>
        </w:rPr>
        <w:t>.</w:t>
      </w:r>
      <w:r>
        <w:rPr>
          <w:color w:val="000000"/>
        </w:rPr>
        <w:t xml:space="preserve"> Hlavním důvodem byl především meziroční nárůst spotřebitelské ceny, který konzumaci ovlivnil.</w:t>
      </w:r>
    </w:p>
    <w:p w:rsidR="00567C4A" w:rsidRDefault="00567C4A" w:rsidP="000B7BEE">
      <w:r>
        <w:t>Produkční rybářství je v ČR podporováno z národních zdrojů a rovněž ze zdrojů EU. V současné době jsou do tohoto odvětví směrovány především následující podpory:</w:t>
      </w:r>
    </w:p>
    <w:p w:rsidR="00567C4A" w:rsidRDefault="00567C4A" w:rsidP="00567C4A">
      <w:pPr>
        <w:pStyle w:val="vetapsmeno"/>
        <w:suppressAutoHyphens w:val="0"/>
        <w:rPr>
          <w:color w:val="000000"/>
        </w:rPr>
      </w:pPr>
      <w:r w:rsidRPr="008A2789">
        <w:rPr>
          <w:color w:val="000000"/>
        </w:rPr>
        <w:t xml:space="preserve">Národní </w:t>
      </w:r>
      <w:r w:rsidR="00854B54">
        <w:rPr>
          <w:color w:val="000000"/>
        </w:rPr>
        <w:t>rezort</w:t>
      </w:r>
      <w:r w:rsidRPr="008A2789">
        <w:rPr>
          <w:color w:val="000000"/>
        </w:rPr>
        <w:t>ní podpory (</w:t>
      </w:r>
      <w:proofErr w:type="spellStart"/>
      <w:r w:rsidRPr="008520EA">
        <w:rPr>
          <w:color w:val="000000"/>
        </w:rPr>
        <w:t>state</w:t>
      </w:r>
      <w:proofErr w:type="spellEnd"/>
      <w:r w:rsidRPr="008520EA">
        <w:rPr>
          <w:color w:val="000000"/>
        </w:rPr>
        <w:t xml:space="preserve"> </w:t>
      </w:r>
      <w:proofErr w:type="spellStart"/>
      <w:r w:rsidRPr="008520EA">
        <w:rPr>
          <w:color w:val="000000"/>
        </w:rPr>
        <w:t>aid</w:t>
      </w:r>
      <w:proofErr w:type="spellEnd"/>
      <w:r w:rsidRPr="008A2789">
        <w:rPr>
          <w:color w:val="000000"/>
        </w:rPr>
        <w:t>),</w:t>
      </w:r>
      <w:r>
        <w:rPr>
          <w:color w:val="000000"/>
        </w:rPr>
        <w:t xml:space="preserve"> </w:t>
      </w:r>
      <w:r w:rsidRPr="00873DAA">
        <w:t>poskytované v rámci dotačních programů stanovených v</w:t>
      </w:r>
      <w:r w:rsidR="00436EB7">
        <w:t xml:space="preserve"> </w:t>
      </w:r>
      <w:r w:rsidR="008969A9">
        <w:t>„</w:t>
      </w:r>
      <w:r w:rsidRPr="00873DAA">
        <w:t>Zásadách</w:t>
      </w:r>
      <w:r w:rsidR="008969A9">
        <w:t>“</w:t>
      </w:r>
      <w:r w:rsidRPr="00873DAA">
        <w:t xml:space="preserve"> na základě zákona č. 252/1997 Sb., o zemědělství</w:t>
      </w:r>
      <w:r>
        <w:t>,</w:t>
      </w:r>
      <w:r w:rsidRPr="00873DAA">
        <w:t xml:space="preserve"> týkající se akvakultury a sladkovodního rybolovu (</w:t>
      </w:r>
      <w:r>
        <w:t xml:space="preserve">např. </w:t>
      </w:r>
      <w:r w:rsidRPr="00873DAA">
        <w:t>Kontrola</w:t>
      </w:r>
      <w:r w:rsidRPr="008A2789">
        <w:rPr>
          <w:color w:val="000000"/>
        </w:rPr>
        <w:t xml:space="preserve"> užitkovosti, Speciální poradenství pro živočišnou výrobu, Školní závody, Podpora mimoprodukčních funkcí rybníků</w:t>
      </w:r>
      <w:r>
        <w:rPr>
          <w:color w:val="000000"/>
        </w:rPr>
        <w:t>,</w:t>
      </w:r>
      <w:r w:rsidRPr="008A2789">
        <w:rPr>
          <w:color w:val="000000"/>
        </w:rPr>
        <w:t> Genetické zdroje</w:t>
      </w:r>
      <w:r>
        <w:rPr>
          <w:color w:val="000000"/>
        </w:rPr>
        <w:t xml:space="preserve"> a Dotace na zmírnění škod způsobených povodněmi na rybách v červnu roku 2013</w:t>
      </w:r>
      <w:r w:rsidRPr="008A2789">
        <w:rPr>
          <w:color w:val="000000"/>
        </w:rPr>
        <w:t>).</w:t>
      </w:r>
      <w:r>
        <w:rPr>
          <w:color w:val="000000"/>
        </w:rPr>
        <w:t xml:space="preserve"> V rámci podpory mimoprodukční funkce rybníků bylo v roce 2014 vyplaceno 52 žadatelům celkem 69,7 mil. Kč (tj. částka 630,70 Kč/ha vodní plochy). Dále byla v roce 2014</w:t>
      </w:r>
      <w:r w:rsidRPr="00D6045F">
        <w:rPr>
          <w:color w:val="000000"/>
        </w:rPr>
        <w:t xml:space="preserve"> </w:t>
      </w:r>
      <w:r>
        <w:rPr>
          <w:color w:val="000000"/>
        </w:rPr>
        <w:t>vyplacena jako částečná úhrada škod na rybách způsobených povodněmi v červnu 2013 celkem 90 postiženým subjektům kompenzace v celkové hodnotě 50 mil. Kč.</w:t>
      </w:r>
    </w:p>
    <w:p w:rsidR="00567C4A" w:rsidRDefault="00567C4A" w:rsidP="00567C4A">
      <w:pPr>
        <w:pStyle w:val="vetapsmeno"/>
        <w:suppressAutoHyphens w:val="0"/>
      </w:pPr>
      <w:r w:rsidRPr="001E31DB">
        <w:t>Podpory poskytované v rámci Operačního program Rybářství 2007</w:t>
      </w:r>
      <w:r w:rsidRPr="001E31DB">
        <w:noBreakHyphen/>
        <w:t>2013</w:t>
      </w:r>
      <w:r>
        <w:t>. Tento program financovaný ze 75 % EU byl</w:t>
      </w:r>
      <w:r w:rsidRPr="001E31DB">
        <w:t xml:space="preserve"> v roce 2014 ukončen. Za </w:t>
      </w:r>
      <w:r>
        <w:t>celé</w:t>
      </w:r>
      <w:r w:rsidRPr="001E31DB">
        <w:t xml:space="preserve"> </w:t>
      </w:r>
      <w:r>
        <w:t xml:space="preserve">programové </w:t>
      </w:r>
      <w:r w:rsidRPr="001E31DB">
        <w:t xml:space="preserve">období </w:t>
      </w:r>
      <w:r w:rsidRPr="001E31DB">
        <w:lastRenderedPageBreak/>
        <w:t>bylo toto odvětví podpořeno téměř 700 mil. Kč, z</w:t>
      </w:r>
      <w:r>
        <w:t> toho největší podíl (55 %) byl čerpán na produktivní investice do akvakultury</w:t>
      </w:r>
      <w:r w:rsidRPr="001E31DB">
        <w:t xml:space="preserve"> (podrobněji viz kap. 2.1). V následném sedmiletém období 2014</w:t>
      </w:r>
      <w:r w:rsidRPr="001E31DB">
        <w:noBreakHyphen/>
        <w:t xml:space="preserve">2020 bude na tento program navazovat další Operační program Rybářství. Jeho hlavní priority </w:t>
      </w:r>
      <w:r>
        <w:t>jsou</w:t>
      </w:r>
      <w:r w:rsidRPr="001E31DB">
        <w:t xml:space="preserve"> namířeny na zachování udržitelné produkce tržních ryb z tradiční </w:t>
      </w:r>
      <w:r>
        <w:t xml:space="preserve">české </w:t>
      </w:r>
      <w:r w:rsidRPr="001E31DB">
        <w:t xml:space="preserve">akvakultury, na investování do recirkulačních zařízení za účelem zvýšení produkce a na investování do konkurenceschopnosti tradiční akvakultury. Dále bude </w:t>
      </w:r>
      <w:r>
        <w:t xml:space="preserve">Program </w:t>
      </w:r>
      <w:r w:rsidRPr="001E31DB">
        <w:t>zaměřen na podporu transferu vědeckých poznatků do podniků akvakultury a na podporu forem hospodaření přispívající k</w:t>
      </w:r>
      <w:r>
        <w:t> </w:t>
      </w:r>
      <w:r w:rsidRPr="001E31DB">
        <w:t>zachování či zlepšování stavu životního prostředí a</w:t>
      </w:r>
      <w:r>
        <w:t> </w:t>
      </w:r>
      <w:r w:rsidRPr="001E31DB">
        <w:t>biologické rozmanitosti. Velká pozornost bude rovněž věnována zvýšení podílu zpracovaných ryb, propagaci akvakultury, ale i podpoře konzumace sladkovodních ryb v ČR.</w:t>
      </w:r>
    </w:p>
    <w:p w:rsidR="00567C4A" w:rsidRPr="00BF625E" w:rsidRDefault="00567C4A" w:rsidP="000B7BEE">
      <w:pPr>
        <w:pStyle w:val="Nadpis3"/>
      </w:pPr>
      <w:bookmarkStart w:id="233" w:name="_Toc261959177"/>
      <w:bookmarkStart w:id="234" w:name="_Toc424307084"/>
      <w:bookmarkEnd w:id="232"/>
      <w:r w:rsidRPr="00BF625E">
        <w:t>8.2.6</w:t>
      </w:r>
      <w:r w:rsidRPr="00BF625E">
        <w:tab/>
        <w:t>Včelařství</w:t>
      </w:r>
      <w:bookmarkEnd w:id="233"/>
      <w:bookmarkEnd w:id="234"/>
    </w:p>
    <w:p w:rsidR="00567C4A" w:rsidRDefault="00567C4A" w:rsidP="000B7BEE">
      <w:r>
        <w:t>Včelařství se v ČR řadí k důležitým odvětvím živočišné výroby. Přínos chovu včely medonosné spočívá v opylovací činnosti, jako jejího nejvýznamnějšího poslání. V hospodářské oblasti má opylení zemědělských entomofilních plodin zásadní význam především pro zajištění produkce, ale také je ve vztahu k přírodním ekosystémům zárukou biodiverzity krajiny. Značný význam v rámci včelařství představuje také produkce medu jako biologicky hodnotné potraviny, ale i dalších včelích produktů (např. propolis, pyl, mateří kašička, jed, vosk aj.).</w:t>
      </w:r>
      <w:r w:rsidRPr="00503C72">
        <w:t xml:space="preserve"> </w:t>
      </w:r>
      <w:r>
        <w:t>K silným stránkám českého včelařství patří jednak struktura chovatelů z hlediska počtu chovaných včelstev (převažují malochovatelé), ale i poměrně rovnoměrné rozložení stanovišť včelstev na celém našem území. Naproti tomu slabou stránkou je již několik let převažující vyšší věková struktura včelařů.</w:t>
      </w:r>
    </w:p>
    <w:p w:rsidR="00567C4A" w:rsidRDefault="00567C4A" w:rsidP="000B7BEE">
      <w:r>
        <w:t>Rok </w:t>
      </w:r>
      <w:r w:rsidRPr="001E51C7">
        <w:t>2014</w:t>
      </w:r>
      <w:r>
        <w:t xml:space="preserve"> byl v odvětví včelařství charakterizován meziročním </w:t>
      </w:r>
      <w:r w:rsidRPr="001E51C7">
        <w:t>nárůstem stavů včelstev a počtu včelařů</w:t>
      </w:r>
      <w:r>
        <w:t>. Nepříznivý vývoj počasí v průběhu roku ovlivnil negativně produkci medu, což mělo vliv i na průměrný výnos na včelstvo, zároveň se zhoršila také bilance zahraničního obchodu s medem.</w:t>
      </w:r>
    </w:p>
    <w:p w:rsidR="00567C4A" w:rsidRDefault="00567C4A" w:rsidP="000B7BEE">
      <w:r>
        <w:t>V České republice bylo v roce 2014 evidováno 50,5 tis. včelařů, kteří chovali celkem 603,4 tis. včelstev. V meziročním srovnání došlo k navýšení počtu včelařů o 1,6 tis. a počet včelstev stoupl o 50,4 tis. Členů Českého svazu včelařů (dále jen ČSV) z celkového počtu bylo 97 % s </w:t>
      </w:r>
      <w:r w:rsidRPr="001E51C7">
        <w:t xml:space="preserve">podílem z celkového počtu </w:t>
      </w:r>
      <w:r>
        <w:t xml:space="preserve">chovaných </w:t>
      </w:r>
      <w:r w:rsidRPr="001E51C7">
        <w:t>včelstev 96</w:t>
      </w:r>
      <w:r>
        <w:t xml:space="preserve"> %. </w:t>
      </w:r>
      <w:r w:rsidRPr="00C632E4">
        <w:t>Česká republika tak patří mezi státy s nejvyšší organizovaností chovatelů včel na světě</w:t>
      </w:r>
      <w:r>
        <w:t>.</w:t>
      </w:r>
    </w:p>
    <w:p w:rsidR="00567C4A" w:rsidRDefault="00567C4A" w:rsidP="000B7BEE">
      <w:r>
        <w:t xml:space="preserve">Počet včelstev připadajících na jednoho včelaře se v posledních třech letech zvyšoval. V roce 2014 připadlo na jednoho chovatele necelých 12 včelstev, což představovalo meziroční zvýšení o 5,6 %, tj. o 0,6 včelstva. V rámci </w:t>
      </w:r>
      <w:r w:rsidRPr="002B1AD5">
        <w:t xml:space="preserve">počtu včelstev </w:t>
      </w:r>
      <w:r>
        <w:t xml:space="preserve">připadajícího </w:t>
      </w:r>
      <w:r w:rsidRPr="002B1AD5">
        <w:t xml:space="preserve">na jednoho včelaře </w:t>
      </w:r>
      <w:r>
        <w:t>v ČR dlouhodobě převažují</w:t>
      </w:r>
      <w:r w:rsidRPr="002B1AD5">
        <w:t xml:space="preserve"> zájmoví chovatelé</w:t>
      </w:r>
      <w:r>
        <w:t xml:space="preserve"> a </w:t>
      </w:r>
      <w:proofErr w:type="spellStart"/>
      <w:r>
        <w:t>drobnovčelaři</w:t>
      </w:r>
      <w:proofErr w:type="spellEnd"/>
      <w:r>
        <w:t>, kterých bylo v roce 2014 evidováno celkem 39,1 tis. (tj. 80 %). Proti roku 2013 se jejich počet zvýšil o 1,9 %, tj. o 735.</w:t>
      </w:r>
      <w:r w:rsidRPr="007B3391">
        <w:t xml:space="preserve"> </w:t>
      </w:r>
      <w:r>
        <w:t>Právě díky c</w:t>
      </w:r>
      <w:r w:rsidRPr="007B3391">
        <w:t>harak</w:t>
      </w:r>
      <w:r>
        <w:t>teristické</w:t>
      </w:r>
      <w:r w:rsidRPr="007B3391">
        <w:t xml:space="preserve"> převa</w:t>
      </w:r>
      <w:r>
        <w:t>ze</w:t>
      </w:r>
      <w:r w:rsidRPr="007B3391">
        <w:t xml:space="preserve"> </w:t>
      </w:r>
      <w:proofErr w:type="spellStart"/>
      <w:r>
        <w:t>drobnovčelařů</w:t>
      </w:r>
      <w:proofErr w:type="spellEnd"/>
      <w:r>
        <w:t xml:space="preserve"> chovajících do 15 včelstev je </w:t>
      </w:r>
      <w:r>
        <w:lastRenderedPageBreak/>
        <w:t xml:space="preserve">v České republice optimálním </w:t>
      </w:r>
      <w:r w:rsidRPr="007B3391">
        <w:t xml:space="preserve">způsobem </w:t>
      </w:r>
      <w:r>
        <w:t>zajišťováno územně rovnoměrného opylování rostlin.</w:t>
      </w:r>
    </w:p>
    <w:p w:rsidR="00567C4A" w:rsidRDefault="00567C4A" w:rsidP="000B7BEE">
      <w:r>
        <w:t>V ČR docházelo v předchozích letech k rostoucí koncentraci chovu včel u profesionálních chovatelů</w:t>
      </w:r>
      <w:r>
        <w:rPr>
          <w:rStyle w:val="Znakapoznpodarou"/>
        </w:rPr>
        <w:footnoteReference w:id="148"/>
      </w:r>
      <w:r>
        <w:t>. V roce 2012 a 2013 se jejich počty začaly snižovat, ale v roce 2014 se klesající trend zastavil.</w:t>
      </w:r>
      <w:r w:rsidRPr="00BD0186">
        <w:t xml:space="preserve"> </w:t>
      </w:r>
      <w:r>
        <w:t>V meziročním srovnání přibylo celkem 12 velkochovatelů (tj. nárůst o 11,3 %) a jejich počet dosáhl 118.</w:t>
      </w:r>
    </w:p>
    <w:p w:rsidR="00567C4A" w:rsidRDefault="00567C4A" w:rsidP="000B7BEE">
      <w:r>
        <w:t>Nepříznivý průběh počasí během roku 2014 se promítl do nižší snůšky medu. Produkce medu v porovnání s rokem 2013 poměrně výrazně klesla o 11,2 % (tj. o 0,9 tis. t) a dosáhla 7,2 tis. t. Její podíl z celkové produkce EU představuje dlouhodobě necelé 4,0 %. Ve srovnání s pětiletým průměrem let 2010</w:t>
      </w:r>
      <w:r>
        <w:noBreakHyphen/>
        <w:t>2014 se snůška medu v ČR v roce 2014 snížila o 13,3 % (o 1,0 tis</w:t>
      </w:r>
      <w:r w:rsidR="00436EB7">
        <w:t>.</w:t>
      </w:r>
      <w:r>
        <w:t xml:space="preserve"> t). Také průměrný výnos medu na včelstvo v ČR se v roce 2014 se nacházel hluboko pod pětiletým průměrem, neboť byl téměř o 3 kg nižší. V meziročním srovnání se snížil o 18,6</w:t>
      </w:r>
      <w:r w:rsidRPr="00E04006">
        <w:t> % (tj. o </w:t>
      </w:r>
      <w:r>
        <w:t>2,7</w:t>
      </w:r>
      <w:r w:rsidRPr="00E04006">
        <w:t xml:space="preserve"> kg) </w:t>
      </w:r>
      <w:r>
        <w:t>na 11,9 </w:t>
      </w:r>
      <w:r w:rsidRPr="00E04006">
        <w:t>kg.</w:t>
      </w:r>
    </w:p>
    <w:p w:rsidR="00567C4A" w:rsidRDefault="00567C4A" w:rsidP="000B7BEE">
      <w:r>
        <w:t xml:space="preserve">Více než tři čtvrtiny z celkového objemu </w:t>
      </w:r>
      <w:r w:rsidRPr="006C253F">
        <w:t>medu</w:t>
      </w:r>
      <w:r>
        <w:t xml:space="preserve"> vyprodukovaném v ČR je</w:t>
      </w:r>
      <w:r w:rsidRPr="006E2461">
        <w:t xml:space="preserve"> </w:t>
      </w:r>
      <w:r w:rsidRPr="006C253F">
        <w:t>včelaři</w:t>
      </w:r>
      <w:r>
        <w:t xml:space="preserve"> nabízeno spotřebitelům formou </w:t>
      </w:r>
      <w:r w:rsidR="008969A9">
        <w:t>„</w:t>
      </w:r>
      <w:r>
        <w:t>prodeje ze dvora</w:t>
      </w:r>
      <w:r w:rsidR="008969A9">
        <w:t>“</w:t>
      </w:r>
      <w:r>
        <w:t>, který umožnila novela veterinárního zákona</w:t>
      </w:r>
      <w:r>
        <w:rPr>
          <w:rStyle w:val="Znakapoznpodarou"/>
        </w:rPr>
        <w:footnoteReference w:id="149"/>
      </w:r>
      <w:r>
        <w:t>.</w:t>
      </w:r>
      <w:r w:rsidRPr="00E04006">
        <w:t xml:space="preserve"> </w:t>
      </w:r>
      <w:r>
        <w:t xml:space="preserve">Menší objem medu je také vykupován výkupními organizacemi, které jej dále balí a dodávají do obchodní sítě nebo jej exportují. </w:t>
      </w:r>
      <w:r w:rsidRPr="00FE190D">
        <w:t>Podle</w:t>
      </w:r>
      <w:r>
        <w:t xml:space="preserve"> dostupných</w:t>
      </w:r>
      <w:r w:rsidRPr="00FE190D">
        <w:t xml:space="preserve"> </w:t>
      </w:r>
      <w:r>
        <w:t>informací</w:t>
      </w:r>
      <w:r>
        <w:rPr>
          <w:rStyle w:val="Znakapoznpodarou"/>
        </w:rPr>
        <w:footnoteReference w:id="150"/>
      </w:r>
      <w:r w:rsidRPr="00FE190D">
        <w:t xml:space="preserve"> bylo </w:t>
      </w:r>
      <w:r>
        <w:t xml:space="preserve">v roce 2014 od včelařů takto </w:t>
      </w:r>
      <w:r w:rsidRPr="00FE190D">
        <w:t xml:space="preserve">vykoupeno </w:t>
      </w:r>
      <w:r>
        <w:t>10,0 % (0,72 tis.</w:t>
      </w:r>
      <w:r w:rsidRPr="00FE190D">
        <w:t> t</w:t>
      </w:r>
      <w:r>
        <w:t>)</w:t>
      </w:r>
      <w:r w:rsidRPr="00FE190D">
        <w:t xml:space="preserve"> </w:t>
      </w:r>
      <w:r>
        <w:t xml:space="preserve">z celkové snůšky </w:t>
      </w:r>
      <w:r w:rsidRPr="00FE190D">
        <w:t>medu</w:t>
      </w:r>
      <w:r>
        <w:t>, což představovalo v meziročním srovnání výrazný pokles o 41,1 %, tj. o 1,0 tis. t.</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0E164339" wp14:editId="071D98A2">
            <wp:extent cx="5760720" cy="132005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720" cy="1320055"/>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t>S</w:t>
      </w:r>
      <w:r w:rsidRPr="00077199">
        <w:t xml:space="preserve">potřeba medu na obyvatele v ČR </w:t>
      </w:r>
      <w:r>
        <w:t xml:space="preserve">za rok dosahuje 0,7 kg a meziročně se příliš nemění. Její úroveň odpovídá přibližně průměru EU, ale ve srovnání </w:t>
      </w:r>
      <w:r w:rsidRPr="00077199">
        <w:t xml:space="preserve">s některými evropskými zeměmi </w:t>
      </w:r>
      <w:r>
        <w:t xml:space="preserve">(např. Německo, Rakousko a Řecko) je </w:t>
      </w:r>
      <w:r w:rsidRPr="00077199">
        <w:t>relativně nízká</w:t>
      </w:r>
      <w:r>
        <w:t>.</w:t>
      </w:r>
    </w:p>
    <w:p w:rsidR="00567C4A" w:rsidRDefault="00567C4A" w:rsidP="000B7BEE">
      <w:pPr>
        <w:rPr>
          <w:color w:val="000000"/>
        </w:rPr>
      </w:pPr>
      <w:r w:rsidRPr="00B6449F">
        <w:rPr>
          <w:color w:val="000000"/>
        </w:rPr>
        <w:t xml:space="preserve">Bilance zahraničního obchodu s medem byla v roce 2014 na rozdíl od předchozích třech let záporná. Relativně vysoký bilanční schodek dosáhl 1 352 t (což ve finančním vyjádření představovalo 81,1 mil. Kč). Hlavním důvodem byl meziroční nárůst objemu importovaného medu o 27,7 % na 2 857 t (resp. o 39,3 % na 215,5 mil. Kč), zatímco objem exportovaného </w:t>
      </w:r>
      <w:r w:rsidRPr="00B6449F">
        <w:rPr>
          <w:color w:val="000000"/>
        </w:rPr>
        <w:lastRenderedPageBreak/>
        <w:t>medu klesl o 35,0 na 1 505 t (resp. o 16,2 % na 134,4 mil. Kč). Dovoz medu vzrostl zejména z Ukrajiny (o 566 t na 1 231 t) a Číny (o 232 t na 400 t), tj. ze zemí, které byly v roce 2014 jeho hlavními dodavateli (jejich podíl činil 43 %, resp. 14 %). Významným dodavatelem medu zůstala ze třetích zemí také Uruguay (s 5% podílem). Z členských zemí EU byly nejvýznamnější dodavatelé reprezentovány Německem, Španělskem, Belgií a Slovenskem (dohromady s 22% podílem). Průměrná dovozní cena medu se v roce 2014 zvýšila o 9,1 % na 75,44 Kč/kg. Rozdíly v ceně u jednotlivých zemí však byly značné. Med z Ukrajiny se importoval za 66,33 Kč/kg, z Číny za 48,09 Kč/kg, ze Španělska za 124,95 Kč/kg z Německa dokonce za 127,20 Kč/kg.</w:t>
      </w:r>
    </w:p>
    <w:p w:rsidR="00567C4A" w:rsidRPr="00DF7F1F" w:rsidRDefault="00567C4A" w:rsidP="000B7BEE">
      <w:r>
        <w:t>V ČR je včelařství podporováno formou národních podpor (</w:t>
      </w:r>
      <w:proofErr w:type="spellStart"/>
      <w:r w:rsidRPr="008520EA">
        <w:t>state</w:t>
      </w:r>
      <w:proofErr w:type="spellEnd"/>
      <w:r w:rsidRPr="008520EA">
        <w:t xml:space="preserve"> </w:t>
      </w:r>
      <w:proofErr w:type="spellStart"/>
      <w:r w:rsidRPr="008520EA">
        <w:t>aid</w:t>
      </w:r>
      <w:proofErr w:type="spellEnd"/>
      <w:r>
        <w:t xml:space="preserve">) a zároveň ze zdrojů EU formou tříletých včelařských programů. </w:t>
      </w:r>
      <w:r w:rsidRPr="00DF7F1F">
        <w:t>Na základě zákona</w:t>
      </w:r>
      <w:r>
        <w:t xml:space="preserve"> č. </w:t>
      </w:r>
      <w:r w:rsidRPr="00DF7F1F">
        <w:t>252/1997 Sb.</w:t>
      </w:r>
      <w:r>
        <w:t>,</w:t>
      </w:r>
      <w:r w:rsidRPr="00DF7F1F">
        <w:t xml:space="preserve"> o zemědělství, ve znění pozdějších předpisů, byla </w:t>
      </w:r>
      <w:r>
        <w:t>v</w:t>
      </w:r>
      <w:r w:rsidRPr="00DF7F1F">
        <w:t> roce 20</w:t>
      </w:r>
      <w:r>
        <w:t>14</w:t>
      </w:r>
      <w:r w:rsidRPr="00DF7F1F">
        <w:t xml:space="preserve"> </w:t>
      </w:r>
      <w:r>
        <w:t xml:space="preserve">opět poskytnuta chovatelům včel národní dotace </w:t>
      </w:r>
      <w:r w:rsidRPr="00C9162A">
        <w:t>1.D.</w:t>
      </w:r>
      <w:r>
        <w:t xml:space="preserve"> směrovaná na zabezpečení opylování zemědělských hmyzosnubných rostlin</w:t>
      </w:r>
      <w:r w:rsidRPr="00DF7F1F">
        <w:t xml:space="preserve">. </w:t>
      </w:r>
      <w:r>
        <w:t>V rámci této podpory bylo na 602,9</w:t>
      </w:r>
      <w:r w:rsidRPr="00F35DCE">
        <w:rPr>
          <w:color w:val="000000"/>
        </w:rPr>
        <w:t> tis</w:t>
      </w:r>
      <w:r>
        <w:t>. včelstev vyplaceno 79,9 mil. Kč, což představovalo skutečně poukázanou subvenci na včelstvo v hodnotě 126 Kč (v roce 2013 to bylo</w:t>
      </w:r>
      <w:r w:rsidRPr="002C4804">
        <w:t xml:space="preserve"> </w:t>
      </w:r>
      <w:r w:rsidRPr="006E00E7">
        <w:rPr>
          <w:color w:val="000000"/>
        </w:rPr>
        <w:t>13</w:t>
      </w:r>
      <w:r>
        <w:rPr>
          <w:color w:val="000000"/>
        </w:rPr>
        <w:t>8</w:t>
      </w:r>
      <w:r w:rsidRPr="009D36DD">
        <w:rPr>
          <w:color w:val="000000"/>
        </w:rPr>
        <w:t> Kč).</w:t>
      </w:r>
    </w:p>
    <w:p w:rsidR="00567C4A" w:rsidRDefault="00567C4A" w:rsidP="000B7BEE">
      <w:r>
        <w:t>V roce 2014 byl realizován další tříletý Český včelařský program, který byl schválen EU na období 2014</w:t>
      </w:r>
      <w:r w:rsidR="00152C8B">
        <w:noBreakHyphen/>
      </w:r>
      <w:r>
        <w:t>2016. K hlavním cílům tohoto programu patřilo zajištění stavů včelstev pro dostatečné opylení zemědělských kultur a planě rostoucích rostlin, získání nejen nových včelařů, ale zároveň zvýšení počtů včelstev stávajících chovatelů jako součást rozvoje venkova a multifunkčního zemědělství. Dále byl program zaměřen na zvýšení počtu větších včelařských provozů s počtem včelstev nad 20 a zvláště pak na zvýšení počtů profesionálních včelařů, chovajících více než 150 včelstev.</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157537CD" wp14:editId="4CEA68BF">
            <wp:extent cx="5760720" cy="2358333"/>
            <wp:effectExtent l="0" t="0" r="0" b="444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0720" cy="2358333"/>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pPr>
        <w:autoSpaceDE w:val="0"/>
        <w:autoSpaceDN w:val="0"/>
      </w:pPr>
      <w:r w:rsidRPr="00517EDC">
        <w:lastRenderedPageBreak/>
        <w:t>Finanční částka v</w:t>
      </w:r>
      <w:r>
        <w:t> korunách</w:t>
      </w:r>
      <w:r w:rsidRPr="00517EDC">
        <w:t xml:space="preserve"> určená pro rok 2014 </w:t>
      </w:r>
      <w:r>
        <w:t>v rámci</w:t>
      </w:r>
      <w:r w:rsidRPr="00517EDC">
        <w:t xml:space="preserve"> dotace na opatření ke zlepšení obecných podmínek pro produkci včelařských produktů a jejich uvádění na trh byla v souladu s prováděcím rozhodnutím </w:t>
      </w:r>
      <w:r>
        <w:t>Evropské k</w:t>
      </w:r>
      <w:r w:rsidRPr="00517EDC">
        <w:t>omise stanovena ve výši 63</w:t>
      </w:r>
      <w:r>
        <w:t>,9 mil. </w:t>
      </w:r>
      <w:r w:rsidRPr="00517EDC">
        <w:t>Kč</w:t>
      </w:r>
      <w:r w:rsidRPr="00B4743C">
        <w:rPr>
          <w:i/>
          <w:vertAlign w:val="superscript"/>
        </w:rPr>
        <w:footnoteReference w:id="151"/>
      </w:r>
      <w:r>
        <w:t xml:space="preserve">. Meziročně se objem přidělených finančních prostředků snížil o 2,5 mil. Kč. Přidělená suma byla čerpána českými včelaři v plné výši, z toho největší podíl (53,6 %) připadl na podporu technické pomoci a dále na likvidaci onemocnění včel </w:t>
      </w:r>
      <w:proofErr w:type="spellStart"/>
      <w:r>
        <w:t>varroázou</w:t>
      </w:r>
      <w:proofErr w:type="spellEnd"/>
      <w:r>
        <w:t xml:space="preserve"> (podíl 26,9 %).</w:t>
      </w:r>
    </w:p>
    <w:p w:rsidR="00567C4A" w:rsidRDefault="00567C4A" w:rsidP="000B7BEE">
      <w:pPr>
        <w:autoSpaceDE w:val="0"/>
        <w:autoSpaceDN w:val="0"/>
      </w:pPr>
      <w:r>
        <w:t>Dále byly v rámci Regionálních operačních programů v některých krajích ČR uvolněny prostředky na p</w:t>
      </w:r>
      <w:r w:rsidRPr="00BF625E">
        <w:t>odpor</w:t>
      </w:r>
      <w:r>
        <w:t>u</w:t>
      </w:r>
      <w:r w:rsidRPr="00BF625E">
        <w:t xml:space="preserve"> včelařství, včetně včelařských akcí</w:t>
      </w:r>
      <w:r>
        <w:t>. V roce 2014 takto bylo poukázáno celkem 9,5 mil. Kč.</w:t>
      </w:r>
    </w:p>
    <w:p w:rsidR="00567C4A" w:rsidRDefault="00567C4A" w:rsidP="000B7BEE">
      <w:pPr>
        <w:pStyle w:val="Nadpis2"/>
      </w:pPr>
      <w:bookmarkStart w:id="235" w:name="_Toc424307085"/>
      <w:r>
        <w:t>8.3</w:t>
      </w:r>
      <w:r>
        <w:tab/>
        <w:t>Produkce potravinářského odvětví celkem a podle rozhodujících oborů</w:t>
      </w:r>
      <w:bookmarkEnd w:id="228"/>
      <w:bookmarkEnd w:id="235"/>
    </w:p>
    <w:p w:rsidR="00567C4A" w:rsidRDefault="00567C4A" w:rsidP="000B7BEE">
      <w:r>
        <w:t>Průmyslová produkce podle produkčních statistik vzrostla v roce 2014 reálně o 4,9 %, když zpracovatelský průmysl celkem zvýšil produkci o 6,4 %. Hodnoceno indikátorem tržeb vzrostla produkce o 8,4 % a za zpracovatelský průmysl dokonce o 10,6 %. Ve srovnání s EU 28 tak v ČR bylo tempo hospodářského růstu téměř dvojnásobné. Dosažený výsledek v ČR je v kontextu jak s exportem, stimulovaným umělým oslabením koruny, a to zejména u odvětví silně zaměřených právě na vývoz, tak s oživující se spotřebou domácností, při navýšení mezd a disponibilních příjmů.</w:t>
      </w:r>
    </w:p>
    <w:p w:rsidR="00567C4A" w:rsidRDefault="00567C4A" w:rsidP="000B7BEE">
      <w:r>
        <w:t>Meziroční index průmyslové produkce ve výrobě potravinářských výrobků po poklesech v letech 2011 až 2013 dosáhl v roce 2014 podle ČSÚ 101,9 a u výroby nápojů 101,7. Za zpracovatelský průmysl celkem tento index posílil až na 106,4 (pokles byl po roce 2010 zaznamenán jen v roce 2012).</w:t>
      </w:r>
    </w:p>
    <w:p w:rsidR="00567C4A" w:rsidRDefault="00567C4A" w:rsidP="000B7BEE">
      <w:r>
        <w:t>Tržby za prodej vlastních výrobků a služeb (VV a S) v b. c. v ČR ve sledovaném roce 2014 za obě hodnocené výroby, tj. potravinářských výrobků (CZ-NACE 10) a nápojů (CZ</w:t>
      </w:r>
      <w:r w:rsidR="00BC2DA2">
        <w:noBreakHyphen/>
      </w:r>
      <w:r>
        <w:t>NACE 11) celkem, u podniků s 50 a více zaměstnanci, meziročně vzrostly o 3,6 %, z toho u potravinářských výrobků o 2,8 % a u výroby nápojů dokonce o 6,5 %, při poměrně nízkém objemu v roce 2013.</w:t>
      </w:r>
    </w:p>
    <w:p w:rsidR="00567C4A" w:rsidRDefault="00567C4A" w:rsidP="000B7BEE">
      <w:r>
        <w:t xml:space="preserve">Celkový objem tržeb u obou hodnocených odvětví v roce 2014 dosáhl 247,0 mld. Kč. (za výrobu potravinářských výrobků bylo vykázáno 191,9 mld. Kč a za výrobu nápojů 55,1 mld. Kč). Stále však nebylo dosaženo úrovně z období před ekonomickou krizí. Meziročně vyššího nárůstu tržeb bylo v hodnoceném roce 2014 docíleno i přesto, že nebyl zaznamenán vzestup cen průmyslových výrobců potravin. Možnost ještě vyššího tempa růstu tržeb, obdobná jako u dynamicky se rozvíjejících odvětví zpracovatelského průmyslu (výroba </w:t>
      </w:r>
      <w:r>
        <w:lastRenderedPageBreak/>
        <w:t>dopravních prostředků a jejich subdodavatelské obory), byla u zkoumaného oboru do určité míry limitována, resp. přibrzděna, jak silným dovozem potravin, tak hledáním vhodných teritorií pro vývoz, především v souvislosti se zamezením vývozu některých potravin na ruský trh. I tak však jde o významný posun.</w:t>
      </w:r>
    </w:p>
    <w:p w:rsidR="00567C4A" w:rsidRDefault="00567C4A" w:rsidP="000B7BEE">
      <w:r>
        <w:t>Ceny výrobků a služeb zpracovatelského průmyslu v roce 2014 meziročně vzrostly v průměru jen o 1,0 %, ale u potravinářských výrobků, nápojů a tabáku, tj. skupiny výrobků, která je hodnocena, ceny v podstatě stagnovaly, resp. klesly o 0,3 %. Ceny u skupiny potravinářských výrobků, vč. souvisejících služeb a prací, se snížily o 0,7 %, tedy zamířily do deflace. U cen zemědělských výrobců (bez ryb) pak cenový sestup byl ještě výraznější, a to o 3,8 %. Zvedly se pouze spotřebitelské ceny potravin a nealkoholických nápojů o 2,0 %, což není výrazný cenový pohyb, ale ukazuje to na distribuční článek potravinového řetězce, který v konečné fázi výši hladiny cen určil.</w:t>
      </w:r>
    </w:p>
    <w:p w:rsidR="00567C4A" w:rsidRDefault="00567C4A" w:rsidP="000B7BEE">
      <w:r>
        <w:t>Významnou skupinou výrobků, která zvýšila ceny potravinářských výrobců, byl meziroční růst cen mléčných výrobků a zmrzlin o 5,2 %, a to v kontextu s celosvětovou poptávkou po mléčných výrobcích. Dále to byla strukturálně významná skupina zpracovaného a konzervovaného masa a výrobků z masa, která zvýšila ceny o 1,1 %, kde se též projevilo mírné oživení domácí poptávky. U zpracovaného ovoce a zeleniny meziročně též ceny vzrostly, a to o 3,4 %. Snížení cen průmyslových výrobců potravin se naopak týkalo většiny, tj. všech dalších skupin potravinářských výrobků. U nápojů nebyl meziroční cenový posun významný a činil pouze 0,7 %.</w:t>
      </w:r>
    </w:p>
    <w:p w:rsidR="00567C4A" w:rsidRDefault="00567C4A" w:rsidP="000B7BEE">
      <w:r>
        <w:t>Jednotlivé potravinářské výrobní obory, resp. jejich skupiny (podle třímístného třídění CZ-NACE 10), reprezentované soubory podniků s 50 a více zaměstnanci, se v roce 2014 vyvíjely takto (tab. T8.3/01) a ekonomické ukazatele jsou uváděny v b. c.:</w:t>
      </w:r>
    </w:p>
    <w:p w:rsidR="00567C4A" w:rsidRPr="00E05EE6" w:rsidRDefault="00567C4A" w:rsidP="000B7BEE">
      <w:r w:rsidRPr="00592075">
        <w:rPr>
          <w:rStyle w:val="Norm-BoldChar"/>
        </w:rPr>
        <w:t>Výroba masa a masných výrobků</w:t>
      </w:r>
      <w:r>
        <w:rPr>
          <w:b/>
        </w:rPr>
        <w:t xml:space="preserve"> </w:t>
      </w:r>
      <w:r w:rsidRPr="00D67864">
        <w:t>i</w:t>
      </w:r>
      <w:r>
        <w:t xml:space="preserve"> v hodnoceném roce 2014 zůstala svou výkonností klíčovým oborem v potravinářské výrobní struktuře, i když svou pozici v této struktuře dále oslabila. Objem tržeb za prodej VV a S i výkonů vč. obchodní marže tato výroba meziročně však nesnížila (růst o 0,9 %, resp. o 0,5 %), při nárůstu výroby hovězího masa (o 1,1 %), vepřového masa (o 0,7 %) a výroby drůbežího masa (o 0,8 %). Pozitivní je pokles výkonové spotřeby, což umožnilo znatelné zvýšení účetní přidané hodnoty v b. c. (vyjadřující rozdíl mezi výkony vč. obchodní marže a výkonovou spotřebou), tedy jednoho z významných ukazatelů konkurenceschopnosti. </w:t>
      </w:r>
      <w:r w:rsidRPr="00AD6179">
        <w:rPr>
          <w:szCs w:val="24"/>
        </w:rPr>
        <w:t xml:space="preserve">Obor trpí </w:t>
      </w:r>
      <w:r>
        <w:rPr>
          <w:szCs w:val="24"/>
        </w:rPr>
        <w:t xml:space="preserve">i nadále </w:t>
      </w:r>
      <w:r w:rsidRPr="00AD6179">
        <w:rPr>
          <w:szCs w:val="24"/>
        </w:rPr>
        <w:t xml:space="preserve">nízkou koncentrací porážkových kapacit zejména u vepřového masa, </w:t>
      </w:r>
      <w:r>
        <w:rPr>
          <w:szCs w:val="24"/>
        </w:rPr>
        <w:t>u něhož se záporná bilance zahraničního obchodu dále prohloubila. Vepřové maso bylo dováženo především z Německa, Španělska a Polska. Polsko bylo hlavní dovozní zemí i pro hovězí a drůbeží maso. Dominantní zemí ve vývozu uvedených mas bylo Slovensko. Jedinečné masné výrobky se uplatňují</w:t>
      </w:r>
      <w:r w:rsidRPr="00AD6179">
        <w:rPr>
          <w:szCs w:val="24"/>
        </w:rPr>
        <w:t xml:space="preserve"> jako regionální produkty.</w:t>
      </w:r>
    </w:p>
    <w:p w:rsidR="00567C4A" w:rsidRPr="002655FF" w:rsidRDefault="00567C4A" w:rsidP="000B7BEE">
      <w:pPr>
        <w:tabs>
          <w:tab w:val="left" w:pos="1870"/>
        </w:tabs>
        <w:rPr>
          <w:szCs w:val="24"/>
        </w:rPr>
      </w:pPr>
      <w:r w:rsidRPr="00592075">
        <w:rPr>
          <w:rStyle w:val="Norm-BoldChar"/>
        </w:rPr>
        <w:t>Zpracování ryb</w:t>
      </w:r>
      <w:r>
        <w:rPr>
          <w:b/>
        </w:rPr>
        <w:t xml:space="preserve"> </w:t>
      </w:r>
      <w:r w:rsidRPr="009D09B6">
        <w:t>zůst</w:t>
      </w:r>
      <w:r>
        <w:t>ává minoritním oborem v rámci potravinářské výrobní struktury. U tohoto oboru stále přetrvává sez</w:t>
      </w:r>
      <w:r w:rsidR="005227F9">
        <w:t>o</w:t>
      </w:r>
      <w:r>
        <w:t xml:space="preserve">nnost, typická především pro období vánoc. Zpracování </w:t>
      </w:r>
      <w:r>
        <w:lastRenderedPageBreak/>
        <w:t xml:space="preserve">ryb bylo i v roce 2014 úzce spojeno s jejich produkcí. </w:t>
      </w:r>
      <w:r w:rsidRPr="00AD6179">
        <w:rPr>
          <w:szCs w:val="24"/>
        </w:rPr>
        <w:t xml:space="preserve">Nejvýznamnější chovanou rybou je </w:t>
      </w:r>
      <w:r>
        <w:rPr>
          <w:szCs w:val="24"/>
        </w:rPr>
        <w:t xml:space="preserve">stále </w:t>
      </w:r>
      <w:r w:rsidRPr="00AD6179">
        <w:rPr>
          <w:szCs w:val="24"/>
        </w:rPr>
        <w:t xml:space="preserve">kapr se </w:t>
      </w:r>
      <w:r w:rsidR="005227F9">
        <w:rPr>
          <w:szCs w:val="24"/>
        </w:rPr>
        <w:t>sezon</w:t>
      </w:r>
      <w:r w:rsidRPr="00AD6179">
        <w:rPr>
          <w:szCs w:val="24"/>
        </w:rPr>
        <w:t xml:space="preserve">ní spotřebou. </w:t>
      </w:r>
      <w:r>
        <w:rPr>
          <w:szCs w:val="24"/>
        </w:rPr>
        <w:t>Výkonnost</w:t>
      </w:r>
      <w:r>
        <w:t xml:space="preserve"> oboru v roce 2014 měřena objemem tržeb za prodej VV a S meziročně vzrostla o 9,3 %).</w:t>
      </w:r>
    </w:p>
    <w:p w:rsidR="00567C4A" w:rsidRDefault="00567C4A" w:rsidP="000B7BEE">
      <w:r w:rsidRPr="00592075">
        <w:rPr>
          <w:rStyle w:val="Norm-BoldChar"/>
        </w:rPr>
        <w:t>Zpracování ovoce, zeleniny a brambor</w:t>
      </w:r>
      <w:r>
        <w:rPr>
          <w:b/>
        </w:rPr>
        <w:t xml:space="preserve"> </w:t>
      </w:r>
      <w:r w:rsidRPr="00C056CB">
        <w:t>jako obor</w:t>
      </w:r>
      <w:r>
        <w:rPr>
          <w:b/>
        </w:rPr>
        <w:t xml:space="preserve"> </w:t>
      </w:r>
      <w:r w:rsidRPr="00C056CB">
        <w:t>posílilo</w:t>
      </w:r>
      <w:r>
        <w:rPr>
          <w:b/>
        </w:rPr>
        <w:t xml:space="preserve"> </w:t>
      </w:r>
      <w:r>
        <w:t xml:space="preserve">meziročně svou pozici </w:t>
      </w:r>
      <w:r w:rsidRPr="004375F3">
        <w:t>v</w:t>
      </w:r>
      <w:r>
        <w:t> hodnoceném roce 2014 z hlediska výkonnosti (růst tržeb za prodej VV a S o 21,6 % a růst výkonů vč. obchodní marže o 18,9 %), a to při zvýšení cen zpracovatelů a zlevnění nákupních cen ovoce, zeleniny a brambor. Uvedený vývoj je v kontextu se situací ve sklizni ovoce, kterého se urodilo meziročně více o 4,0 % a zeleniny, jejíž produkce při vyšších plochách byla téměř o čtvrtinu vyšší. Meziroční vývoj tvorby účetní přidané hodnoty byl dynamický (růst o 21,4 %), což bylo umožněno nižším tempem růstu výkonové spotřeby (o 18,2 % při indexu CZV 2014/2013 u ovoce 87,2).</w:t>
      </w:r>
    </w:p>
    <w:p w:rsidR="00567C4A" w:rsidRPr="00AD6179" w:rsidRDefault="00567C4A" w:rsidP="000B7BEE">
      <w:pPr>
        <w:tabs>
          <w:tab w:val="left" w:pos="1870"/>
        </w:tabs>
        <w:rPr>
          <w:szCs w:val="24"/>
        </w:rPr>
      </w:pPr>
      <w:r w:rsidRPr="00592075">
        <w:rPr>
          <w:rStyle w:val="Norm-BoldChar"/>
        </w:rPr>
        <w:t>Výroba rostlinných a živočišných tuků a olejů</w:t>
      </w:r>
      <w:r>
        <w:rPr>
          <w:b/>
        </w:rPr>
        <w:t xml:space="preserve"> </w:t>
      </w:r>
      <w:r w:rsidRPr="004375F3">
        <w:t>v</w:t>
      </w:r>
      <w:r>
        <w:t xml:space="preserve">e sledovaném roce 2014 dále nepokračovala v růstu výkonnosti (měřeno tržbami za prodej VV a S), nýbrž jen v efektivnosti (měřeno účetní přidanou hodnotou, která meziročně vzrostla dokonce o 42,0 %). Tento vývoj je v kontextu s redukcí výkonové spotřeby, poměrně vysokou výrobní </w:t>
      </w:r>
      <w:r w:rsidRPr="00AD6179">
        <w:rPr>
          <w:szCs w:val="24"/>
        </w:rPr>
        <w:t>koncentr</w:t>
      </w:r>
      <w:r>
        <w:rPr>
          <w:szCs w:val="24"/>
        </w:rPr>
        <w:t>ací</w:t>
      </w:r>
      <w:r w:rsidRPr="00AD6179">
        <w:rPr>
          <w:szCs w:val="24"/>
        </w:rPr>
        <w:t xml:space="preserve"> a sortimentn</w:t>
      </w:r>
      <w:r>
        <w:rPr>
          <w:szCs w:val="24"/>
        </w:rPr>
        <w:t>í</w:t>
      </w:r>
      <w:r w:rsidRPr="00AD6179">
        <w:rPr>
          <w:szCs w:val="24"/>
        </w:rPr>
        <w:t xml:space="preserve"> </w:t>
      </w:r>
      <w:r>
        <w:rPr>
          <w:szCs w:val="24"/>
        </w:rPr>
        <w:t>specializací firem oboru</w:t>
      </w:r>
      <w:r w:rsidRPr="00AD6179">
        <w:rPr>
          <w:szCs w:val="24"/>
        </w:rPr>
        <w:t xml:space="preserve">. Vedle </w:t>
      </w:r>
      <w:r>
        <w:rPr>
          <w:szCs w:val="24"/>
        </w:rPr>
        <w:t xml:space="preserve">výroby </w:t>
      </w:r>
      <w:r w:rsidRPr="00AD6179">
        <w:rPr>
          <w:szCs w:val="24"/>
        </w:rPr>
        <w:t>rostlinných a živočišných tuků</w:t>
      </w:r>
      <w:r>
        <w:rPr>
          <w:szCs w:val="24"/>
        </w:rPr>
        <w:t xml:space="preserve"> a </w:t>
      </w:r>
      <w:r w:rsidRPr="00AD6179">
        <w:rPr>
          <w:szCs w:val="24"/>
        </w:rPr>
        <w:t>olejů</w:t>
      </w:r>
      <w:r>
        <w:rPr>
          <w:szCs w:val="24"/>
        </w:rPr>
        <w:t xml:space="preserve"> zpracovatelé řepky</w:t>
      </w:r>
      <w:r w:rsidRPr="00AD6179">
        <w:rPr>
          <w:szCs w:val="24"/>
        </w:rPr>
        <w:t xml:space="preserve"> </w:t>
      </w:r>
      <w:r>
        <w:rPr>
          <w:szCs w:val="24"/>
        </w:rPr>
        <w:t>využívali své kapacity pro</w:t>
      </w:r>
      <w:r w:rsidRPr="00AD6179">
        <w:rPr>
          <w:szCs w:val="24"/>
        </w:rPr>
        <w:t xml:space="preserve"> výrob</w:t>
      </w:r>
      <w:r>
        <w:rPr>
          <w:szCs w:val="24"/>
        </w:rPr>
        <w:t xml:space="preserve">u </w:t>
      </w:r>
      <w:proofErr w:type="spellStart"/>
      <w:r w:rsidRPr="00AD6179">
        <w:rPr>
          <w:szCs w:val="24"/>
        </w:rPr>
        <w:t>methylesteru</w:t>
      </w:r>
      <w:proofErr w:type="spellEnd"/>
      <w:r w:rsidRPr="00AD6179">
        <w:rPr>
          <w:szCs w:val="24"/>
        </w:rPr>
        <w:t xml:space="preserve"> řepkového oleje</w:t>
      </w:r>
      <w:r>
        <w:rPr>
          <w:szCs w:val="24"/>
        </w:rPr>
        <w:t>, který byl též předmětem exportu.</w:t>
      </w:r>
    </w:p>
    <w:p w:rsidR="00567C4A" w:rsidRDefault="00567C4A" w:rsidP="000B7BEE">
      <w:r w:rsidRPr="009E3355">
        <w:rPr>
          <w:rStyle w:val="Norm-BoldChar"/>
        </w:rPr>
        <w:t>Výroba mléčných výrobků</w:t>
      </w:r>
      <w:r>
        <w:rPr>
          <w:b/>
        </w:rPr>
        <w:t xml:space="preserve"> </w:t>
      </w:r>
      <w:r w:rsidRPr="000E384D">
        <w:t>zaznamenala v roce</w:t>
      </w:r>
      <w:r>
        <w:t xml:space="preserve"> 2014 meziročně další zvýšení výkonnosti (měřeno tržbami za prodej VV a S při jejich růstu o 2,4 %)</w:t>
      </w:r>
      <w:r w:rsidR="009D60D0">
        <w:t>,</w:t>
      </w:r>
      <w:r>
        <w:t xml:space="preserve"> nikoliv však efektivnosti (měřeno účetní přidanou hodnotou při jejím poklesu o 3,7 %), což je v kontextu se vzestupem výkonové spotřeby, do níž spadá zvýšení dodávek mléka ke zpracování (o 1,3 %) a nákupních cen mléka (o 10,2 %), i když v rámci EU jde spíše o nižší cenu. U mléčných výrobků se změnila skladba tuzemské produkce. Zvýšila se především produkce konzumních smetan, másla tradičního i pomazánkového a tvarohů, po nichž se zvýšila poptávka, zatím co u jiných mléčných výrobků se produkce snížila (sýry přírodní a zejména tavené). Nakoupené mléko, které se neuplatnilo v konzumních výrobcích, bylo zpracováno na sušené mléko, (především sušené odstředěné mléko), což k růstu přidané hodnoty a efektivnosti příliš nepřispělo.</w:t>
      </w:r>
    </w:p>
    <w:p w:rsidR="00567C4A" w:rsidRDefault="00567C4A" w:rsidP="000B7BEE">
      <w:r w:rsidRPr="009E3355">
        <w:rPr>
          <w:rStyle w:val="Norm-BoldChar"/>
        </w:rPr>
        <w:t>Výroba mlýnských a škrobárenských výrobků</w:t>
      </w:r>
      <w:r w:rsidRPr="00543CAF">
        <w:t>, v níž</w:t>
      </w:r>
      <w:r>
        <w:rPr>
          <w:b/>
        </w:rPr>
        <w:t xml:space="preserve"> </w:t>
      </w:r>
      <w:r>
        <w:t xml:space="preserve">výrazně dominuje mlýnská výroba (měřeno ukazatelem tržeb za VV a S </w:t>
      </w:r>
      <w:proofErr w:type="spellStart"/>
      <w:r>
        <w:t>s</w:t>
      </w:r>
      <w:proofErr w:type="spellEnd"/>
      <w:r>
        <w:t xml:space="preserve"> podílem zhruba 75 %) se v hodnoceném roce 2014 opírala o dobrou úrodu obilovin a meziročně posílila (měřeno ukazatelem účetní přidané hodnoty). Obdobně tomu bylo u škrobárenské výroby, která čerpala z dobré úrody průmyslových brambor, resp. obilovin. Tato výroba má široké využití, a to jak v potravinářství, tak i mimo toto odvětví.</w:t>
      </w:r>
    </w:p>
    <w:p w:rsidR="00567C4A" w:rsidRDefault="00567C4A" w:rsidP="000B7BEE">
      <w:r w:rsidRPr="009E3355">
        <w:rPr>
          <w:rStyle w:val="Norm-BoldChar"/>
        </w:rPr>
        <w:t>Výroba pekařských, cukrářských a jiných moučných výrobků</w:t>
      </w:r>
      <w:r>
        <w:t xml:space="preserve"> v hodnoceném roce 2014 meziročně ve své výkonnosti v podstatě stagnovala (měřeno tržbami za prodej VV a S, které se zvýšily o 0,5 %), a to při nevytvoření prostoru, daném tržními řetězci pro zvýšení cen </w:t>
      </w:r>
      <w:r>
        <w:lastRenderedPageBreak/>
        <w:t>průmyslových výrobců pečiva a cukrářských výrobků. Pouze část producentů pečiva, především drobných a regionálních, měla možnost realizovat produkci za přijatelné ceny z hlediska jejich ekonomiky. Příznivý trend byl zaznamenán u indikátoru účetní přidané hodnoty, a to při znatelném snížení výkonové spotřeby představující vstupy do výroby v kontextu s probíhající restrukturalizací významných firem.</w:t>
      </w:r>
    </w:p>
    <w:p w:rsidR="00567C4A" w:rsidRDefault="00567C4A" w:rsidP="000B7BEE">
      <w:r w:rsidRPr="009E3355">
        <w:rPr>
          <w:rStyle w:val="Norm-BoldChar"/>
        </w:rPr>
        <w:t>Výroba ostatních potravinářských výrobků</w:t>
      </w:r>
      <w:r>
        <w:rPr>
          <w:b/>
        </w:rPr>
        <w:t xml:space="preserve"> </w:t>
      </w:r>
      <w:r w:rsidRPr="004724B5">
        <w:t>zahrnuje</w:t>
      </w:r>
      <w:r>
        <w:t xml:space="preserve"> výrobu</w:t>
      </w:r>
      <w:r>
        <w:rPr>
          <w:b/>
        </w:rPr>
        <w:t xml:space="preserve"> </w:t>
      </w:r>
      <w:r w:rsidRPr="00892053">
        <w:t>cukru</w:t>
      </w:r>
      <w:r>
        <w:t>, kakaa, čokolády a cukrovinek, zpracování čaje a kávy a další výroby především vyšší fáze zpracování (hotové pokrmy, homogenizované a dietní potraviny aj.). Tato skupina svou výkonnost, měřeno tržbami za prodej VV a S v hodnoceném roce v oborové struktuře mírně oslabila (-0,1 p. b.). Do této pozice se dostala i při meziročním růstu tohoto indikátoru (o 2,5 %). V této skupině výrob dosáhla výrazné růstové dynamiky u zmíněného indikátoru výroba hotových pokrmů, jejichž sortiment se rozšiřuje, výroba kakaa, čokolády a cukrovinek, výroba koření a aromat a výroba ostatních potravinářských výrobků jinde neuvedených. Meziroční pokles nastal u ostatních výrob této skupiny, zejména u výroby cukru, a to i při vcelku nekomplikované cukrovarnické kampani.</w:t>
      </w:r>
    </w:p>
    <w:p w:rsidR="00567C4A" w:rsidRDefault="00567C4A" w:rsidP="000B7BEE">
      <w:r w:rsidRPr="009E3355">
        <w:rPr>
          <w:rStyle w:val="Norm-BoldChar"/>
        </w:rPr>
        <w:t>Výroba průmyslových krmiv</w:t>
      </w:r>
      <w:r>
        <w:rPr>
          <w:b/>
        </w:rPr>
        <w:t xml:space="preserve">, </w:t>
      </w:r>
      <w:r>
        <w:t>měřeno tržbami za prodej VV a S, výkonnost meziročně mírně posílila (o 0,3 p. b.), a to v kontextu s nárůstem objemu tržeb za prodej VV a S (o 6,1 %) u krmiv pro zvířata v zájmovém chovu, což je trend posledních let dokonce o 11,8 %. Obdobně pozitivní trend z roku 2013 pokračoval v hodnoceném roce 2014 u ukazatele účetní přidané hodnoty tohoto oboru, což dokládá posilování konkurenceschopnosti tohoto oboru.</w:t>
      </w:r>
    </w:p>
    <w:p w:rsidR="00567C4A" w:rsidRDefault="00567C4A" w:rsidP="000B7BEE">
      <w:r w:rsidRPr="009E3355">
        <w:rPr>
          <w:rStyle w:val="Norm-BoldChar"/>
        </w:rPr>
        <w:t>Výroba nápojů (CZ-NACE 11)</w:t>
      </w:r>
      <w:r>
        <w:rPr>
          <w:b/>
        </w:rPr>
        <w:t xml:space="preserve"> </w:t>
      </w:r>
      <w:r w:rsidRPr="00803128">
        <w:t>jako celek</w:t>
      </w:r>
      <w:r>
        <w:t xml:space="preserve"> </w:t>
      </w:r>
      <w:r w:rsidRPr="00803128">
        <w:t>zaznamenala</w:t>
      </w:r>
      <w:r>
        <w:t xml:space="preserve"> meziročně zvýšení výkonnosti měřeno tržbami za prodej VV a S (o 6,5 %) a mírnější růst i u ukazatele účetní přidané hodnoty (o 2,2 %). U jednotlivých výrob této skupiny se situace vyvíjela takto:</w:t>
      </w:r>
    </w:p>
    <w:p w:rsidR="00567C4A" w:rsidRDefault="00567C4A" w:rsidP="00567C4A">
      <w:pPr>
        <w:pStyle w:val="vet1"/>
        <w:numPr>
          <w:ilvl w:val="0"/>
          <w:numId w:val="17"/>
        </w:numPr>
        <w:ind w:left="567" w:hanging="567"/>
      </w:pPr>
      <w:r w:rsidRPr="00BA7BDF">
        <w:t xml:space="preserve">u piva </w:t>
      </w:r>
      <w:r>
        <w:t>pokračoval</w:t>
      </w:r>
      <w:r w:rsidRPr="00BA7BDF">
        <w:t xml:space="preserve"> trend rozšiřování sortimentu piv, od nealkoholických až</w:t>
      </w:r>
      <w:r>
        <w:t xml:space="preserve"> </w:t>
      </w:r>
      <w:r w:rsidRPr="00BA7BDF">
        <w:t>po ležáky</w:t>
      </w:r>
      <w:r>
        <w:t xml:space="preserve"> </w:t>
      </w:r>
      <w:r w:rsidRPr="00BA7BDF">
        <w:t>a</w:t>
      </w:r>
      <w:r>
        <w:t> </w:t>
      </w:r>
      <w:r w:rsidRPr="00BA7BDF">
        <w:t>speciální a ochucená piva,</w:t>
      </w:r>
      <w:r>
        <w:t xml:space="preserve"> </w:t>
      </w:r>
      <w:r w:rsidRPr="00BA7BDF">
        <w:t>a</w:t>
      </w:r>
      <w:r>
        <w:t xml:space="preserve"> </w:t>
      </w:r>
      <w:r w:rsidRPr="00BA7BDF">
        <w:t>to zejména v nevratných obalech</w:t>
      </w:r>
      <w:r>
        <w:t xml:space="preserve">, a odbyt tankového piva v tuzemsku i pro export a postupně narůstal zejména výstav piva z malých pivovarů regionálního charakteru (podle ČSPS je jejich výstav odhadován na 160 tis. hl) a roste také poptávka po čepovaném </w:t>
      </w:r>
      <w:proofErr w:type="spellStart"/>
      <w:r>
        <w:t>cideru</w:t>
      </w:r>
      <w:proofErr w:type="spellEnd"/>
      <w:r>
        <w:t xml:space="preserve"> v restauracích, při přesunu spotřeby piva do domácností a při zvýšení výstavu piva celkem meziročně o 0,6 % a růstu výroby sladu o 1,3 %;</w:t>
      </w:r>
    </w:p>
    <w:p w:rsidR="00567C4A" w:rsidRPr="00BA7BDF" w:rsidRDefault="00567C4A" w:rsidP="00567C4A">
      <w:pPr>
        <w:pStyle w:val="vet1"/>
        <w:numPr>
          <w:ilvl w:val="0"/>
          <w:numId w:val="17"/>
        </w:numPr>
        <w:ind w:left="567" w:hanging="567"/>
      </w:pPr>
      <w:r w:rsidRPr="00BA7BDF">
        <w:t xml:space="preserve">u </w:t>
      </w:r>
      <w:r>
        <w:t xml:space="preserve">destilátů a </w:t>
      </w:r>
      <w:r w:rsidRPr="00BA7BDF">
        <w:t xml:space="preserve">lihovin </w:t>
      </w:r>
      <w:r>
        <w:t>se meziročně zvýšily tržby za prodej VV a S a</w:t>
      </w:r>
      <w:r w:rsidRPr="00BA7BDF">
        <w:t xml:space="preserve"> </w:t>
      </w:r>
      <w:r>
        <w:t>vzrostla poptávka</w:t>
      </w:r>
      <w:r w:rsidRPr="00BA7BDF">
        <w:t xml:space="preserve"> spotřebitelů, </w:t>
      </w:r>
      <w:r>
        <w:t>která byla narušena předchozí situací spojenou s metanolovou aférou (z roku 2012)</w:t>
      </w:r>
      <w:r w:rsidR="009D60D0">
        <w:t>,</w:t>
      </w:r>
      <w:r>
        <w:t xml:space="preserve"> obnovená důvěra při prodeji se projevila i zlepšením ekonomick</w:t>
      </w:r>
      <w:r w:rsidR="009D60D0">
        <w:t>ého</w:t>
      </w:r>
      <w:r>
        <w:t xml:space="preserve"> ukazatel</w:t>
      </w:r>
      <w:r w:rsidR="009D60D0">
        <w:t>e</w:t>
      </w:r>
      <w:r>
        <w:t xml:space="preserve"> této výroby, jakým je účetní přidaná hodnota;</w:t>
      </w:r>
    </w:p>
    <w:p w:rsidR="00567C4A" w:rsidRDefault="00567C4A" w:rsidP="00567C4A">
      <w:pPr>
        <w:pStyle w:val="vet1"/>
        <w:numPr>
          <w:ilvl w:val="0"/>
          <w:numId w:val="17"/>
        </w:numPr>
        <w:ind w:left="567" w:hanging="567"/>
      </w:pPr>
      <w:r>
        <w:t xml:space="preserve">u </w:t>
      </w:r>
      <w:r w:rsidRPr="00BA7BDF">
        <w:t>vín</w:t>
      </w:r>
      <w:r>
        <w:t>a</w:t>
      </w:r>
      <w:r w:rsidRPr="00BA7BDF">
        <w:t xml:space="preserve"> </w:t>
      </w:r>
      <w:r>
        <w:t>se v hodnoceném roce, pro tuto komoditu vcelku ekonomicky úspěšném roce, projevil meziroční růst za prodej VV a S a v kontextu s tím i růst účetní přidané hodnoty, za výrazného vlivu snížení výkonové spotřeby, což je z hlediska efektivnosti</w:t>
      </w:r>
      <w:r w:rsidR="009D60D0">
        <w:t xml:space="preserve"> </w:t>
      </w:r>
      <w:r>
        <w:lastRenderedPageBreak/>
        <w:t>a</w:t>
      </w:r>
      <w:r w:rsidR="009D60D0">
        <w:t> </w:t>
      </w:r>
      <w:r>
        <w:t>konkurenceschopnosti této výroby pozitivní výsledek</w:t>
      </w:r>
      <w:r w:rsidR="009D60D0">
        <w:t>. N</w:t>
      </w:r>
      <w:r>
        <w:t>a druhou stranu určitým problémem na trhu se ukázalo klamání spotřebitele (falšování/pančování), zejména u sudového vína, které bylo odhaleno dozorovým orgánem; přitom podle údajů ČSÚ se v roce 2014 v ČR sklidilo 63,5 tis. t moštových hroznů, takže úroda byla meziročně o 15 % nižší, což vyžadovalo poměrně vysoký dovoz a spotřeba na obyv./rok by, podle odhadu ÚZEI, se mohla zhruba opět přiblížit roku 2012;</w:t>
      </w:r>
    </w:p>
    <w:p w:rsidR="00567C4A" w:rsidRDefault="00567C4A" w:rsidP="00567C4A">
      <w:pPr>
        <w:pStyle w:val="vet1"/>
        <w:numPr>
          <w:ilvl w:val="0"/>
          <w:numId w:val="17"/>
        </w:numPr>
        <w:ind w:left="567" w:hanging="567"/>
      </w:pPr>
      <w:r w:rsidRPr="00BA7BDF">
        <w:t xml:space="preserve">u nealkoholických nápojů a stáčení minerálních vod a pitné vody do lahví pokračoval v hodnoceném roce pro obor </w:t>
      </w:r>
      <w:r>
        <w:t xml:space="preserve">i nadále </w:t>
      </w:r>
      <w:r w:rsidRPr="00BA7BDF">
        <w:t>trend z minulých let</w:t>
      </w:r>
      <w:r>
        <w:t>; vysoce kvalitní vody a také marketingově podporované nealkoholické nápoje si poptávku na trhu udržely.</w:t>
      </w:r>
    </w:p>
    <w:p w:rsidR="00567C4A" w:rsidRDefault="00567C4A" w:rsidP="000B7BEE">
      <w:r>
        <w:t>Oborovou a výrobní strukturu potravinářského sektoru v roce 2014 v meziročním srovnání s rokem 2013 uvádí dříve zmíněná tab. T8.3/01. Celkový objem tržeb za prodej VV a S za rok 2014 za výrobu potravin a výrobu nápojů, jak bylo již výše uvedeno, činil 247,0 mld. Kč (100 %).</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57C146D8" wp14:editId="2CC7B60B">
            <wp:extent cx="5760720" cy="3154824"/>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720" cy="3154824"/>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t xml:space="preserve">Největší propad v oborové struktuře, měřeno podílem tržeb za prodej vlastních výrobků a služeb, zaznamenala v kategorii 50 a více zaměstnanců výroba masa a masných výrobků. Naopak nejvíce posílila výroba nápojů, a to i když diferencovaně, tak toho bylo dosaženo </w:t>
      </w:r>
      <w:r w:rsidRPr="00155B0E">
        <w:t>u všech druhů nápojů.</w:t>
      </w:r>
    </w:p>
    <w:p w:rsidR="00567C4A" w:rsidRPr="00B02B4C" w:rsidRDefault="00567C4A" w:rsidP="000B7BEE">
      <w:pPr>
        <w:pStyle w:val="Nadpis2"/>
        <w:numPr>
          <w:ilvl w:val="1"/>
          <w:numId w:val="0"/>
        </w:numPr>
        <w:tabs>
          <w:tab w:val="clear" w:pos="567"/>
        </w:tabs>
        <w:ind w:left="567" w:hanging="567"/>
      </w:pPr>
      <w:bookmarkStart w:id="236" w:name="RANGE!A1:E26"/>
      <w:bookmarkStart w:id="237" w:name="p2-1-b"/>
      <w:bookmarkStart w:id="238" w:name="p2-1-c"/>
      <w:bookmarkStart w:id="239" w:name="p2-1-d"/>
      <w:bookmarkStart w:id="240" w:name="p2-1-e"/>
      <w:bookmarkStart w:id="241" w:name="RANGE!A1:I25"/>
      <w:bookmarkStart w:id="242" w:name="_Toc296443157"/>
      <w:bookmarkStart w:id="243" w:name="_Toc325438524"/>
      <w:bookmarkStart w:id="244" w:name="_Toc354737053"/>
      <w:bookmarkStart w:id="245" w:name="_Toc424307086"/>
      <w:bookmarkStart w:id="246" w:name="_Toc296443189"/>
      <w:bookmarkStart w:id="247" w:name="_Toc296443165"/>
      <w:bookmarkStart w:id="248" w:name="_Toc265072523"/>
      <w:bookmarkEnd w:id="236"/>
      <w:bookmarkEnd w:id="237"/>
      <w:bookmarkEnd w:id="238"/>
      <w:bookmarkEnd w:id="239"/>
      <w:bookmarkEnd w:id="240"/>
      <w:bookmarkEnd w:id="241"/>
      <w:r w:rsidRPr="00B02B4C">
        <w:lastRenderedPageBreak/>
        <w:t>8.4</w:t>
      </w:r>
      <w:r w:rsidRPr="00B02B4C">
        <w:tab/>
        <w:t>Obnovitelné zdroje energie</w:t>
      </w:r>
      <w:bookmarkEnd w:id="242"/>
      <w:bookmarkEnd w:id="243"/>
      <w:bookmarkEnd w:id="244"/>
      <w:bookmarkEnd w:id="245"/>
    </w:p>
    <w:p w:rsidR="00567C4A" w:rsidRDefault="00567C4A" w:rsidP="000B7BEE">
      <w:r w:rsidRPr="000D3C8A">
        <w:t xml:space="preserve">V roce 2014 </w:t>
      </w:r>
      <w:r>
        <w:t>z</w:t>
      </w:r>
      <w:r w:rsidRPr="000D3C8A">
        <w:t>ákon č. 165/2012 Sb.</w:t>
      </w:r>
      <w:r w:rsidR="00BC2DA2">
        <w:t>,</w:t>
      </w:r>
      <w:r w:rsidRPr="000D3C8A">
        <w:t xml:space="preserve"> o podporovaných zdrojích energie</w:t>
      </w:r>
      <w:r w:rsidR="00BC2DA2">
        <w:t>,</w:t>
      </w:r>
      <w:r w:rsidRPr="000D3C8A">
        <w:t xml:space="preserve"> a prováděcí vyhlášky č. 346, 347, 439, 440, 453, 459, 477, 478/2012 Sb. a Cenové rozhodnutí ERÚ</w:t>
      </w:r>
      <w:r w:rsidRPr="000D3C8A">
        <w:rPr>
          <w:rStyle w:val="Znakapoznpodarou"/>
        </w:rPr>
        <w:footnoteReference w:id="152"/>
      </w:r>
      <w:r>
        <w:t xml:space="preserve"> č. </w:t>
      </w:r>
      <w:r w:rsidRPr="00AC0CC4">
        <w:t>4/2013</w:t>
      </w:r>
      <w:r w:rsidRPr="000D3C8A">
        <w:t xml:space="preserve">, kterým se stanovuje podpora pro podporované zdroje energie, </w:t>
      </w:r>
      <w:r w:rsidR="001F3AEA" w:rsidRPr="001F3AEA">
        <w:t>představovala platná právní úprava</w:t>
      </w:r>
      <w:r w:rsidRPr="000D3C8A">
        <w:t xml:space="preserve"> pro veřejnou podporu výstavby a provozu bioplynových stanic.</w:t>
      </w:r>
    </w:p>
    <w:p w:rsidR="00567C4A" w:rsidRPr="00292A45" w:rsidRDefault="00567C4A" w:rsidP="000B7BEE">
      <w:r w:rsidRPr="00292A45">
        <w:t>Systém podpory platný od 1. ledna 2013:</w:t>
      </w:r>
    </w:p>
    <w:p w:rsidR="00567C4A" w:rsidRDefault="00567C4A" w:rsidP="00567C4A">
      <w:pPr>
        <w:pStyle w:val="vet1"/>
        <w:numPr>
          <w:ilvl w:val="0"/>
          <w:numId w:val="17"/>
        </w:numPr>
        <w:ind w:left="567" w:hanging="567"/>
      </w:pPr>
      <w:r w:rsidRPr="00292A45">
        <w:t>Elektřinu v režimu výkupních cen vykupuje povinně vykupující</w:t>
      </w:r>
      <w:r>
        <w:t>;</w:t>
      </w:r>
    </w:p>
    <w:p w:rsidR="00567C4A" w:rsidRPr="00292A45" w:rsidRDefault="00567C4A" w:rsidP="00567C4A">
      <w:pPr>
        <w:pStyle w:val="vet1"/>
        <w:numPr>
          <w:ilvl w:val="0"/>
          <w:numId w:val="17"/>
        </w:numPr>
        <w:ind w:left="567" w:hanging="567"/>
      </w:pPr>
      <w:r w:rsidRPr="00292A45">
        <w:t>Zelený bonus hradí OTE</w:t>
      </w:r>
      <w:r w:rsidR="00303857">
        <w:t>,</w:t>
      </w:r>
      <w:r w:rsidRPr="00292A45">
        <w:t xml:space="preserve"> a.s. (Operátor trhu s</w:t>
      </w:r>
      <w:r>
        <w:t> </w:t>
      </w:r>
      <w:r w:rsidRPr="00292A45">
        <w:t>e</w:t>
      </w:r>
      <w:r>
        <w:t>nergiemi</w:t>
      </w:r>
      <w:r w:rsidR="00303857">
        <w:t>,</w:t>
      </w:r>
      <w:r>
        <w:t xml:space="preserve"> a.s.</w:t>
      </w:r>
      <w:r w:rsidRPr="00292A45">
        <w:t>)</w:t>
      </w:r>
      <w:r>
        <w:t>;</w:t>
      </w:r>
    </w:p>
    <w:p w:rsidR="00567C4A" w:rsidRPr="00292A45" w:rsidRDefault="00567C4A" w:rsidP="00567C4A">
      <w:pPr>
        <w:pStyle w:val="vet1"/>
        <w:numPr>
          <w:ilvl w:val="0"/>
          <w:numId w:val="17"/>
        </w:numPr>
        <w:ind w:left="567" w:hanging="567"/>
      </w:pPr>
      <w:r w:rsidRPr="00292A45">
        <w:t>Cenu silové elektřiny hradí zvolený obchodník s</w:t>
      </w:r>
      <w:r>
        <w:t> </w:t>
      </w:r>
      <w:r w:rsidRPr="00292A45">
        <w:t>elektřinou</w:t>
      </w:r>
      <w:r>
        <w:t>;</w:t>
      </w:r>
    </w:p>
    <w:p w:rsidR="00567C4A" w:rsidRPr="00292A45" w:rsidRDefault="00567C4A" w:rsidP="00567C4A">
      <w:pPr>
        <w:pStyle w:val="vet1"/>
        <w:numPr>
          <w:ilvl w:val="0"/>
          <w:numId w:val="17"/>
        </w:numPr>
        <w:ind w:left="567" w:hanging="567"/>
      </w:pPr>
      <w:r w:rsidRPr="00292A45">
        <w:t>Zelený bonus v režimu povinného výkupu opět hradí OTE</w:t>
      </w:r>
      <w:r>
        <w:t>;</w:t>
      </w:r>
    </w:p>
    <w:p w:rsidR="00567C4A" w:rsidRPr="00292A45" w:rsidRDefault="00567C4A" w:rsidP="00567C4A">
      <w:pPr>
        <w:pStyle w:val="vet1"/>
        <w:numPr>
          <w:ilvl w:val="0"/>
          <w:numId w:val="17"/>
        </w:numPr>
        <w:ind w:left="567" w:hanging="567"/>
      </w:pPr>
      <w:r w:rsidRPr="00292A45">
        <w:t>Rozdíl mezi výkupní cenou a zeleným bonusem hradí povinně vykupující</w:t>
      </w:r>
    </w:p>
    <w:p w:rsidR="00567C4A" w:rsidRPr="00292A45" w:rsidRDefault="00567C4A" w:rsidP="00567C4A">
      <w:pPr>
        <w:pStyle w:val="vet1"/>
        <w:numPr>
          <w:ilvl w:val="0"/>
          <w:numId w:val="17"/>
        </w:numPr>
        <w:ind w:left="567" w:hanging="567"/>
      </w:pPr>
      <w:r w:rsidRPr="00292A45">
        <w:t>Zavádí se tzv. hodinový zelený bonus</w:t>
      </w:r>
      <w:r w:rsidRPr="00292A45">
        <w:rPr>
          <w:rStyle w:val="Znakapoznpodarou"/>
        </w:rPr>
        <w:footnoteReference w:id="153"/>
      </w:r>
      <w:r>
        <w:t>.</w:t>
      </w:r>
    </w:p>
    <w:p w:rsidR="00567C4A" w:rsidRPr="00753416" w:rsidRDefault="00567C4A" w:rsidP="000B7BEE">
      <w:r w:rsidRPr="00753416">
        <w:t>Novela zákona č. 165/2012 Sb</w:t>
      </w:r>
      <w:r>
        <w:t>.</w:t>
      </w:r>
      <w:r w:rsidRPr="00753416">
        <w:t xml:space="preserve"> z roku 2013 omezila podporu pro nové výrobny elektřiny z obnovitelných zdrojů</w:t>
      </w:r>
      <w:r w:rsidR="00D2688C">
        <w:t xml:space="preserve">, a to </w:t>
      </w:r>
      <w:r w:rsidRPr="00753416">
        <w:t>od roku 2014 s ročním přechodným ustanovením umožňujícím dokončit již rozpracované projekty využívaj</w:t>
      </w:r>
      <w:r>
        <w:t>ící energii větru, vody, země a </w:t>
      </w:r>
      <w:r w:rsidRPr="00753416">
        <w:t>biomasy. Dále stanovila maximální výše poplatků na podporu obnovitelných zdrojů, které jsou vybírány od zákazníků v regulované složce ceny elektřiny a zavedla</w:t>
      </w:r>
      <w:r>
        <w:t xml:space="preserve"> 10% odvod z </w:t>
      </w:r>
      <w:r w:rsidRPr="00753416">
        <w:t>elektřiny ze slunečního záření od 1. 1. 2014 pro výrobny</w:t>
      </w:r>
      <w:r>
        <w:t xml:space="preserve"> elektřiny uvedené do provozu v </w:t>
      </w:r>
      <w:r w:rsidRPr="00753416">
        <w:t xml:space="preserve">roce 2010. Z důvodu předvídatelnosti a transparentnosti dané zákonem č. 458/2000 Sb. (energetický zákon) </w:t>
      </w:r>
      <w:r>
        <w:t>ERÚ</w:t>
      </w:r>
      <w:r w:rsidRPr="00753416">
        <w:t xml:space="preserve"> v souladu s ustanovením § 4 od</w:t>
      </w:r>
      <w:r>
        <w:t>st. 8 zákona č. </w:t>
      </w:r>
      <w:r w:rsidRPr="00753416">
        <w:t>165/2012 Sb., o podporovaných zdrojích energie a o změně některých zákonů, ve znění pozdějších předpisů, nestanovil pro elektřinu vyrobenou využitím slunečního záření a pro elektřinu vyrobenou spalováním bioplynu v bioplynových stanicích uvedených do provozu od 1. ledna 2014 provozní podporu elektřiny.</w:t>
      </w:r>
    </w:p>
    <w:p w:rsidR="00567C4A" w:rsidRPr="00B02B4C" w:rsidRDefault="00567C4A" w:rsidP="000B7BEE">
      <w:r w:rsidRPr="00B02B4C">
        <w:t>Nárůst výroby energie u některých druhů OZE v ČR v letech 201</w:t>
      </w:r>
      <w:r>
        <w:t>2</w:t>
      </w:r>
      <w:r w:rsidRPr="00B02B4C">
        <w:t>-1</w:t>
      </w:r>
      <w:r>
        <w:t>3</w:t>
      </w:r>
      <w:r w:rsidRPr="00E670F5">
        <w:rPr>
          <w:rStyle w:val="Znakypropoznmkupodarou"/>
        </w:rPr>
        <w:footnoteReference w:id="154"/>
      </w:r>
      <w:r>
        <w:t xml:space="preserve"> ukazuje tab. </w:t>
      </w:r>
      <w:r w:rsidRPr="00B02B4C">
        <w:t xml:space="preserve">T8.4/01. Celkový podíl obnovitelné energie na primárních energetických zdrojích (PEZ) činil dle MPO </w:t>
      </w:r>
      <w:r>
        <w:rPr>
          <w:sz w:val="22"/>
          <w:szCs w:val="22"/>
        </w:rPr>
        <w:t>8,8</w:t>
      </w:r>
      <w:r w:rsidRPr="00B02B4C">
        <w:t> % v roce 201</w:t>
      </w:r>
      <w:r>
        <w:t>3</w:t>
      </w:r>
      <w:r w:rsidRPr="00B02B4C">
        <w:t>. Tento odhad se vztahuje k energii obsažené v použitém palivu (nezohledňuje účinnost zařízení).</w:t>
      </w:r>
    </w:p>
    <w:p w:rsidR="00567C4A" w:rsidRPr="009A1DAB" w:rsidRDefault="00567C4A" w:rsidP="000B7BEE">
      <w:r>
        <w:t>Podle statistik MPO p</w:t>
      </w:r>
      <w:r w:rsidRPr="00B02B4C">
        <w:t>odíl obnovitelných zdrojů energie v roce 201</w:t>
      </w:r>
      <w:r>
        <w:t>3</w:t>
      </w:r>
      <w:r w:rsidRPr="00B02B4C">
        <w:t xml:space="preserve"> na hrubé výrobě elektřiny dosáhl </w:t>
      </w:r>
      <w:r>
        <w:t>10,7</w:t>
      </w:r>
      <w:r>
        <w:rPr>
          <w:sz w:val="22"/>
          <w:szCs w:val="22"/>
        </w:rPr>
        <w:t xml:space="preserve"> </w:t>
      </w:r>
      <w:r w:rsidRPr="00B02B4C">
        <w:t xml:space="preserve">% a jejich podíl na hrubé výrobě tepelné energie okolo </w:t>
      </w:r>
      <w:r>
        <w:t>9 </w:t>
      </w:r>
      <w:r w:rsidRPr="00B02B4C">
        <w:t>%. Podíl OZE na konečné spotřebě se podle mezinárodní metodiky výpočtu pohyboval okolo 1</w:t>
      </w:r>
      <w:r>
        <w:t>1,2 </w:t>
      </w:r>
      <w:r w:rsidRPr="00B02B4C">
        <w:t>%.</w:t>
      </w:r>
    </w:p>
    <w:p w:rsidR="00567C4A" w:rsidRPr="002E47CA" w:rsidRDefault="00567C4A" w:rsidP="000B7BEE">
      <w:pPr>
        <w:pStyle w:val="mezera"/>
      </w:pPr>
    </w:p>
    <w:p w:rsidR="00567C4A" w:rsidRPr="002E47CA" w:rsidRDefault="006C7D77" w:rsidP="000B7BEE">
      <w:pPr>
        <w:pStyle w:val="mezera"/>
      </w:pPr>
      <w:r w:rsidRPr="006C7D77">
        <w:rPr>
          <w:noProof/>
          <w:lang w:eastAsia="cs-CZ"/>
        </w:rPr>
        <w:lastRenderedPageBreak/>
        <w:drawing>
          <wp:inline distT="0" distB="0" distL="0" distR="0" wp14:anchorId="049F9B37" wp14:editId="7A1250F0">
            <wp:extent cx="5760720" cy="3038467"/>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0720" cy="3038467"/>
                    </a:xfrm>
                    <a:prstGeom prst="rect">
                      <a:avLst/>
                    </a:prstGeom>
                    <a:noFill/>
                    <a:ln>
                      <a:noFill/>
                    </a:ln>
                  </pic:spPr>
                </pic:pic>
              </a:graphicData>
            </a:graphic>
          </wp:inline>
        </w:drawing>
      </w:r>
    </w:p>
    <w:p w:rsidR="00567C4A" w:rsidRPr="002E47CA" w:rsidRDefault="00567C4A" w:rsidP="000B7BEE">
      <w:pPr>
        <w:pStyle w:val="mezera"/>
      </w:pPr>
    </w:p>
    <w:p w:rsidR="00567C4A" w:rsidRPr="00B02B4C" w:rsidRDefault="00567C4A" w:rsidP="000B7BEE">
      <w:r>
        <w:t>Celkově b</w:t>
      </w:r>
      <w:r w:rsidRPr="00B02B4C">
        <w:t>iomasa</w:t>
      </w:r>
      <w:r>
        <w:t xml:space="preserve"> </w:t>
      </w:r>
      <w:r w:rsidRPr="00B02B4C">
        <w:t>stále zaujímá největší podíl na energii z obnovitelných zdrojů, i když tento podíl meziročně klesá – z </w:t>
      </w:r>
      <w:r>
        <w:t>62,4 </w:t>
      </w:r>
      <w:r w:rsidRPr="00B02B4C">
        <w:t>% v roce 201</w:t>
      </w:r>
      <w:r>
        <w:t>2 na 59,2</w:t>
      </w:r>
      <w:r w:rsidRPr="00B02B4C">
        <w:t xml:space="preserve"> % v roce následujícím. Je to z</w:t>
      </w:r>
      <w:r>
        <w:t>působeno především růstem podílu</w:t>
      </w:r>
      <w:r w:rsidRPr="00B02B4C">
        <w:t xml:space="preserve"> bioplynu</w:t>
      </w:r>
      <w:r>
        <w:t xml:space="preserve"> </w:t>
      </w:r>
      <w:r w:rsidRPr="00B02B4C">
        <w:t xml:space="preserve">na </w:t>
      </w:r>
      <w:r>
        <w:t>15,6</w:t>
      </w:r>
      <w:r w:rsidRPr="00B02B4C">
        <w:t xml:space="preserve"> % </w:t>
      </w:r>
      <w:r w:rsidRPr="00CA13A0">
        <w:t>v roce</w:t>
      </w:r>
      <w:r w:rsidRPr="00B02B4C">
        <w:t xml:space="preserve"> 201</w:t>
      </w:r>
      <w:r>
        <w:t>3</w:t>
      </w:r>
      <w:r w:rsidRPr="00B02B4C">
        <w:t xml:space="preserve">. Podíly ostatních druhů obnovitelné energie se udržují na více méně stejné úrovni, u </w:t>
      </w:r>
      <w:proofErr w:type="spellStart"/>
      <w:r>
        <w:t>fotovoltaických</w:t>
      </w:r>
      <w:proofErr w:type="spellEnd"/>
      <w:r>
        <w:t xml:space="preserve"> systémů došlo i </w:t>
      </w:r>
      <w:r w:rsidRPr="00B02B4C">
        <w:t xml:space="preserve">k poklesu podílu jimi vyrobené elektrické energie </w:t>
      </w:r>
      <w:r>
        <w:t xml:space="preserve">a </w:t>
      </w:r>
      <w:r w:rsidRPr="00B02B4C">
        <w:t xml:space="preserve">u </w:t>
      </w:r>
      <w:r>
        <w:t>kapalných biopaliv</w:t>
      </w:r>
      <w:r w:rsidRPr="00B02B4C">
        <w:t xml:space="preserve"> na celkové energii z OZE.</w:t>
      </w:r>
    </w:p>
    <w:p w:rsidR="00567C4A" w:rsidRPr="00B861B7" w:rsidRDefault="00567C4A" w:rsidP="000B7BEE">
      <w:pPr>
        <w:pStyle w:val="Nadpis3"/>
        <w:numPr>
          <w:ilvl w:val="2"/>
          <w:numId w:val="0"/>
        </w:numPr>
        <w:tabs>
          <w:tab w:val="clear" w:pos="567"/>
        </w:tabs>
        <w:ind w:left="567" w:hanging="567"/>
      </w:pPr>
      <w:bookmarkStart w:id="249" w:name="_Toc296443158"/>
      <w:bookmarkStart w:id="250" w:name="_Toc323199555"/>
      <w:bookmarkStart w:id="251" w:name="_Toc354737054"/>
      <w:bookmarkStart w:id="252" w:name="_Toc424307087"/>
      <w:r w:rsidRPr="00B861B7">
        <w:t>8.4.1</w:t>
      </w:r>
      <w:r w:rsidRPr="00B861B7">
        <w:tab/>
      </w:r>
      <w:r w:rsidRPr="000F582D">
        <w:t>Využití zemědělské produkce v energetice</w:t>
      </w:r>
      <w:bookmarkEnd w:id="249"/>
      <w:bookmarkEnd w:id="250"/>
      <w:bookmarkEnd w:id="251"/>
      <w:bookmarkEnd w:id="252"/>
    </w:p>
    <w:p w:rsidR="00567C4A" w:rsidRPr="0022529C" w:rsidRDefault="00567C4A" w:rsidP="000B7BEE">
      <w:r w:rsidRPr="0022529C">
        <w:t>Energetické využívání pevné biomasy pro výrobu elektrické a tepelné energie spočívá především ve spalování dřevní hmoty (včetně celulózových výluhů) a v malé míře i rostlinné hmoty jak samostatně, tak spolu s neobnovitelnými palivy za účelem výroby elektřiny a tepla především ve větších energetických provozech.</w:t>
      </w:r>
    </w:p>
    <w:p w:rsidR="00567C4A" w:rsidRDefault="00567C4A" w:rsidP="000B7BEE">
      <w:r w:rsidRPr="0022529C">
        <w:t>Pro výrobu elektrické i tepelné energie je dále využíván bioplyn vyrobený v bioplynových stanicích.</w:t>
      </w:r>
    </w:p>
    <w:p w:rsidR="00567C4A" w:rsidRDefault="00567C4A" w:rsidP="000B7BEE">
      <w:r w:rsidRPr="00DD4637">
        <w:t>Výroba elektřiny z </w:t>
      </w:r>
      <w:proofErr w:type="spellStart"/>
      <w:r w:rsidRPr="00DD4637">
        <w:t>biokapalin</w:t>
      </w:r>
      <w:proofErr w:type="spellEnd"/>
      <w:r w:rsidRPr="00DD4637">
        <w:t xml:space="preserve"> dosáhla v roce 2013 jen malého podílu 0,15</w:t>
      </w:r>
      <w:r>
        <w:t> </w:t>
      </w:r>
      <w:r w:rsidRPr="00DD4637">
        <w:t>% na elektřině vyrobené z OZE, v případě výroby tepelné energie byl tento podíl 0,03</w:t>
      </w:r>
      <w:r>
        <w:t> </w:t>
      </w:r>
      <w:r w:rsidRPr="00DD4637">
        <w:t>%.</w:t>
      </w:r>
    </w:p>
    <w:p w:rsidR="00567C4A" w:rsidRPr="002E47CA" w:rsidRDefault="00567C4A" w:rsidP="000B7BEE">
      <w:pPr>
        <w:pStyle w:val="mezera"/>
      </w:pPr>
    </w:p>
    <w:p w:rsidR="00567C4A" w:rsidRPr="002E47CA" w:rsidRDefault="00567C4A" w:rsidP="000B7BEE">
      <w:pPr>
        <w:pStyle w:val="mezera"/>
      </w:pPr>
      <w:r w:rsidRPr="002E47CA">
        <w:rPr>
          <w:noProof/>
          <w:lang w:eastAsia="cs-CZ"/>
        </w:rPr>
        <w:lastRenderedPageBreak/>
        <w:drawing>
          <wp:inline distT="0" distB="0" distL="0" distR="0" wp14:anchorId="2BB7FDBA" wp14:editId="4C8D89D5">
            <wp:extent cx="5760720" cy="3898187"/>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720" cy="3898187"/>
                    </a:xfrm>
                    <a:prstGeom prst="rect">
                      <a:avLst/>
                    </a:prstGeom>
                    <a:noFill/>
                    <a:ln>
                      <a:noFill/>
                    </a:ln>
                  </pic:spPr>
                </pic:pic>
              </a:graphicData>
            </a:graphic>
          </wp:inline>
        </w:drawing>
      </w:r>
    </w:p>
    <w:p w:rsidR="00567C4A" w:rsidRPr="002E47CA" w:rsidRDefault="00567C4A" w:rsidP="000B7BEE">
      <w:pPr>
        <w:pStyle w:val="mezera"/>
      </w:pPr>
    </w:p>
    <w:p w:rsidR="00567C4A" w:rsidRPr="000F582D" w:rsidRDefault="00567C4A" w:rsidP="000B7BEE">
      <w:bookmarkStart w:id="253" w:name="_Toc296443159"/>
      <w:bookmarkStart w:id="254" w:name="_Toc325438526"/>
      <w:r w:rsidRPr="000F582D">
        <w:t>V roce 2013 bylo (tab. T8.4/02) vyrobeno celkem 1</w:t>
      </w:r>
      <w:r>
        <w:t> </w:t>
      </w:r>
      <w:r w:rsidRPr="000F582D">
        <w:t>683</w:t>
      </w:r>
      <w:r>
        <w:t>,3</w:t>
      </w:r>
      <w:r w:rsidRPr="000F582D">
        <w:t> </w:t>
      </w:r>
      <w:proofErr w:type="spellStart"/>
      <w:r w:rsidRPr="000F582D">
        <w:t>GWh</w:t>
      </w:r>
      <w:proofErr w:type="spellEnd"/>
      <w:r w:rsidRPr="000F582D">
        <w:t xml:space="preserve"> elektřiny spalováním biomasy (meziroční pokles o 7,4 %) a bylo na to spotřebováno celkem 1 404,7 tis. t biomasy, z toho neupravené (neaglomerované) rostlinné </w:t>
      </w:r>
      <w:r>
        <w:t>materiály</w:t>
      </w:r>
      <w:r w:rsidRPr="000F582D">
        <w:t xml:space="preserve"> 97</w:t>
      </w:r>
      <w:r>
        <w:t>,3</w:t>
      </w:r>
      <w:r w:rsidRPr="000F582D">
        <w:t> tis. t (tj. 6,9</w:t>
      </w:r>
      <w:r>
        <w:t> </w:t>
      </w:r>
      <w:r w:rsidRPr="000F582D">
        <w:t>%).</w:t>
      </w:r>
    </w:p>
    <w:p w:rsidR="00567C4A" w:rsidRPr="0010371D" w:rsidRDefault="00567C4A" w:rsidP="000B7BEE">
      <w:r w:rsidRPr="0010371D">
        <w:t xml:space="preserve">Výroba tepelné energie spalováním biomasy (mimo domácnosti) v roce 2013 dosáhla 20 053,9 TJ (meziroční nárůst o </w:t>
      </w:r>
      <w:r>
        <w:t>21,9 </w:t>
      </w:r>
      <w:r w:rsidRPr="0010371D">
        <w:t>%), z toho většina byla opět spotřebována ve vlastním závodě. Z celkového množství spalovaného paliva (2 436 tis. t) činil podíl neaglomerovaných rostlinných materiálů 61</w:t>
      </w:r>
      <w:r>
        <w:t>,1</w:t>
      </w:r>
      <w:r w:rsidRPr="0010371D">
        <w:t xml:space="preserve"> tis. t (meziroční nárůst o </w:t>
      </w:r>
      <w:r>
        <w:t>43</w:t>
      </w:r>
      <w:r w:rsidRPr="0010371D">
        <w:t>,3 %). Zdaleka největší podíl spotřebovávaného paliva (tzn. biomasy) tvořil dřevní odpad, piliny, kůra, štěpka a zbytky po lesní těžbě (1 252</w:t>
      </w:r>
      <w:r>
        <w:t>,3</w:t>
      </w:r>
      <w:r w:rsidRPr="0010371D">
        <w:t xml:space="preserve"> tis. t, podíl 51</w:t>
      </w:r>
      <w:r>
        <w:t>,4</w:t>
      </w:r>
      <w:r w:rsidRPr="0010371D">
        <w:t> % na celkové spotřebě paliva) a celulózové výluhy (99</w:t>
      </w:r>
      <w:r>
        <w:t>5,5</w:t>
      </w:r>
      <w:r w:rsidRPr="0010371D">
        <w:t> tis. t, podíl 4</w:t>
      </w:r>
      <w:r>
        <w:t>0,9</w:t>
      </w:r>
      <w:r w:rsidRPr="0010371D">
        <w:t> % na celkové spotřebě paliva).</w:t>
      </w:r>
    </w:p>
    <w:p w:rsidR="00567C4A" w:rsidRDefault="00567C4A" w:rsidP="000B7BEE">
      <w:r w:rsidRPr="00B272B9">
        <w:t>Pro domácnosti odhaduje MPO v roce 2013 množství spotřebované biomasy na výrobu tepla v objemu cca 3,897 mil. t (meziročně nárůst o 5,7 %). Pelety, brikety a rostlinné materiály představují zatím pouze menší část této spotřeby, nicméně i jejich spotřeba stále roste.</w:t>
      </w:r>
    </w:p>
    <w:p w:rsidR="00567C4A" w:rsidRPr="00DE6F1A" w:rsidRDefault="00567C4A" w:rsidP="000B7BEE">
      <w:r w:rsidRPr="00DE6F1A">
        <w:t>Statistika MPO o zahraničním obchodu s pevnou biomasou vhodnou pro energetické účely (tzn. pro výrobu elektřiny a tepla) uvádí, že v roce 2013 bylo dovezeno celkem 380</w:t>
      </w:r>
      <w:r>
        <w:t> tis. t </w:t>
      </w:r>
      <w:r w:rsidRPr="00DE6F1A">
        <w:t xml:space="preserve">a vyvezeno celkem 750 tis. t biomasy (jednalo se o </w:t>
      </w:r>
      <w:proofErr w:type="spellStart"/>
      <w:r w:rsidRPr="00DE6F1A">
        <w:t>dendromasu</w:t>
      </w:r>
      <w:proofErr w:type="spellEnd"/>
      <w:r w:rsidRPr="00DE6F1A">
        <w:t>), tedy celkově kladné saldo ve výši 370 tis. t.</w:t>
      </w:r>
    </w:p>
    <w:p w:rsidR="00567C4A" w:rsidRPr="00DE6F1A" w:rsidRDefault="00567C4A" w:rsidP="000B7BEE">
      <w:r w:rsidRPr="00DE6F1A">
        <w:t>Energeticky využívaný bioplyn vzniká při anaerobní fermentaci v komunálních a průmys</w:t>
      </w:r>
      <w:r>
        <w:t>lových čistírnách odpadních vod</w:t>
      </w:r>
      <w:r w:rsidRPr="00DE6F1A">
        <w:t xml:space="preserve"> jako skládkový plyn</w:t>
      </w:r>
      <w:r>
        <w:t>,</w:t>
      </w:r>
      <w:r w:rsidRPr="00DE6F1A">
        <w:t xml:space="preserve"> a také při fermentaci </w:t>
      </w:r>
      <w:r w:rsidRPr="00DE6F1A">
        <w:lastRenderedPageBreak/>
        <w:t>zemědělských odpadů a produktů. Vyrobená energie je využívána jak pro výrobu tepelné energie (především pro vlastní potřebu provozů, např. čistíren odpadních vod), tak i pro výrobu elektrické energie, především v případě zemědělských bioplynových stanic, jejichž počet v posledních letech výrazně rostl.</w:t>
      </w:r>
    </w:p>
    <w:p w:rsidR="00567C4A" w:rsidRPr="002D5EA2" w:rsidRDefault="00567C4A" w:rsidP="000B7BEE">
      <w:r w:rsidRPr="002D5EA2">
        <w:t xml:space="preserve">Podle statistik MPO bylo v roce 2013 k energetickým účelům využito celkem </w:t>
      </w:r>
      <w:r>
        <w:t>1 131,8 </w:t>
      </w:r>
      <w:r w:rsidRPr="002D5EA2">
        <w:t>mil. m</w:t>
      </w:r>
      <w:r w:rsidRPr="002D5EA2">
        <w:rPr>
          <w:vertAlign w:val="superscript"/>
        </w:rPr>
        <w:t xml:space="preserve">3 </w:t>
      </w:r>
      <w:r w:rsidRPr="002D5EA2">
        <w:t>bioplynu, což je výrazně více než v roce předchozím (765,7 mil. m</w:t>
      </w:r>
      <w:r w:rsidRPr="002D5EA2">
        <w:rPr>
          <w:vertAlign w:val="superscript"/>
        </w:rPr>
        <w:t>3</w:t>
      </w:r>
      <w:r w:rsidRPr="002D5EA2">
        <w:t>,</w:t>
      </w:r>
      <w:r w:rsidRPr="002D5EA2">
        <w:rPr>
          <w:vertAlign w:val="superscript"/>
        </w:rPr>
        <w:t xml:space="preserve"> </w:t>
      </w:r>
      <w:r w:rsidRPr="002D5EA2">
        <w:t>meziroční nárůst o 32,3 %), přičemž výroba nejvíce vzrostla v kategorii bioplynové stanice (o 37 %) zatímco produkce skládkového plynu mírně klesá. Celkem bylo do statistiky výroby bioplynu pro energetické účely zahrnuto 564 bioplynových stanic. Hlavní podíl (88</w:t>
      </w:r>
      <w:r>
        <w:t> </w:t>
      </w:r>
      <w:r w:rsidRPr="002D5EA2">
        <w:t>%) byl vyroben v bioplynových stanicích.</w:t>
      </w:r>
    </w:p>
    <w:p w:rsidR="00567C4A" w:rsidRPr="00071F7C" w:rsidRDefault="00567C4A" w:rsidP="000B7BEE">
      <w:r w:rsidRPr="00071F7C">
        <w:t xml:space="preserve">V celkem 371 zemědělských bioplynových stanicích (meziroční nárůst o 68 stanic, tj. 18,3 %, s 692 zařízeními na výrobu elektrické energie o celkovém instalovaném elektrickém výkonu 313 MW) bylo v roce 2013 vyrobeno 2 083,6 </w:t>
      </w:r>
      <w:proofErr w:type="spellStart"/>
      <w:r w:rsidRPr="00071F7C">
        <w:t>GWh</w:t>
      </w:r>
      <w:proofErr w:type="spellEnd"/>
      <w:r w:rsidRPr="00071F7C">
        <w:t xml:space="preserve"> (z toho dodáno do sítě 1 801,4 </w:t>
      </w:r>
      <w:proofErr w:type="spellStart"/>
      <w:r w:rsidRPr="00071F7C">
        <w:t>GWh</w:t>
      </w:r>
      <w:proofErr w:type="spellEnd"/>
      <w:r w:rsidRPr="00071F7C">
        <w:t>, tj. 86,5 %). Dále bylo v těchto stanicích vyrobeno celkem 2 724 263,9 GJ tepla, vlastní spotřeba včetně ztrát dosáhla 2 390 793,5 GJ (tj. 87,8 %).</w:t>
      </w:r>
    </w:p>
    <w:p w:rsidR="00567C4A" w:rsidRPr="00B02B4C" w:rsidRDefault="00567C4A" w:rsidP="000B7BEE">
      <w:r w:rsidRPr="000A6304">
        <w:t>Rychlý rozvoj výroby bioplynu k energetickým účelům se v roce 2014 zastavil. K 8. 4. 2015 evidoval OTE</w:t>
      </w:r>
      <w:r w:rsidR="00303857">
        <w:t>,</w:t>
      </w:r>
      <w:r w:rsidRPr="000A6304">
        <w:t xml:space="preserve"> a.s.</w:t>
      </w:r>
      <w:r w:rsidR="00303857">
        <w:t>,</w:t>
      </w:r>
      <w:r w:rsidRPr="000A6304">
        <w:t xml:space="preserve"> stejně jako v roce 2014 celkem 542 bioplynových elektráren (všech typů) v provozu na území České republiky. Dle statistik MPO instalovaný výkon dosáhl 360,7 MW. Podle údajů ERÚ hrubá výroba elektřiny z bioplynu (1. 1.</w:t>
      </w:r>
      <w:r>
        <w:t> 2013</w:t>
      </w:r>
      <w:r w:rsidR="00BC2DA2">
        <w:t xml:space="preserve"> do </w:t>
      </w:r>
      <w:r w:rsidRPr="000A6304">
        <w:t>31. 12. 2013)</w:t>
      </w:r>
      <w:r>
        <w:t xml:space="preserve"> </w:t>
      </w:r>
      <w:r w:rsidRPr="000A6304">
        <w:t xml:space="preserve">činila 2 241,3 </w:t>
      </w:r>
      <w:proofErr w:type="spellStart"/>
      <w:r w:rsidRPr="000A6304">
        <w:t>GWh</w:t>
      </w:r>
      <w:proofErr w:type="spellEnd"/>
      <w:r w:rsidRPr="000A6304">
        <w:t>, přičemž bylo dosaženo podílu bioplynu 24,3 % na energii OZE.</w:t>
      </w:r>
    </w:p>
    <w:p w:rsidR="00567C4A" w:rsidRPr="00493B0A" w:rsidRDefault="00567C4A" w:rsidP="000B7BEE">
      <w:pPr>
        <w:pStyle w:val="Nadpis3"/>
        <w:numPr>
          <w:ilvl w:val="2"/>
          <w:numId w:val="0"/>
        </w:numPr>
        <w:tabs>
          <w:tab w:val="clear" w:pos="567"/>
        </w:tabs>
        <w:ind w:left="567" w:hanging="567"/>
      </w:pPr>
      <w:bookmarkStart w:id="255" w:name="_Toc354737055"/>
      <w:bookmarkStart w:id="256" w:name="_Toc424307088"/>
      <w:r w:rsidRPr="00493B0A">
        <w:t>8.4.2</w:t>
      </w:r>
      <w:r w:rsidRPr="00493B0A">
        <w:tab/>
        <w:t xml:space="preserve">Využití zemědělské produkce </w:t>
      </w:r>
      <w:r>
        <w:t>v dopravě</w:t>
      </w:r>
      <w:bookmarkEnd w:id="253"/>
      <w:bookmarkEnd w:id="254"/>
      <w:bookmarkEnd w:id="255"/>
      <w:bookmarkEnd w:id="256"/>
    </w:p>
    <w:p w:rsidR="00567C4A" w:rsidRDefault="00567C4A" w:rsidP="000B7BEE">
      <w:r w:rsidRPr="00B02B4C">
        <w:t xml:space="preserve">Užití biopaliv v České republice je v současné době </w:t>
      </w:r>
      <w:r w:rsidR="001F3AEA" w:rsidRPr="001F3AEA">
        <w:t>určováno na základě právních předpisů</w:t>
      </w:r>
      <w:r w:rsidRPr="00B02B4C">
        <w:t xml:space="preserve"> jejich přimíchávání k minerálním pohonným hmotám. Tato povinnost byla poprvé zavedena od září 2007 pro přídavek FAME v motorové naftě (2 % objemová), od roku 2008 i pro přídavek bioetanolu do benzinu.</w:t>
      </w:r>
    </w:p>
    <w:p w:rsidR="00567C4A" w:rsidRDefault="00567C4A" w:rsidP="000B7BEE">
      <w:r w:rsidRPr="00E01C75">
        <w:t xml:space="preserve">Plnění povinnosti zajištění minimálního obsahu biopaliv a daňová zvýhodnění pro čistá a vysokoprocentní biopaliva mohou být uplatněna pouze na biopaliva splňující kritéria udržitelnosti. Od roku </w:t>
      </w:r>
      <w:r>
        <w:t>2014 tak dochází k postupné změně závazků minimálního množství biopaliv na povinnost redukce emisí skleníkových plynů z pohonných hmot prostřednictvím udržitelných biopaliv.</w:t>
      </w:r>
    </w:p>
    <w:p w:rsidR="00567C4A" w:rsidRPr="002E47CA" w:rsidRDefault="00567C4A" w:rsidP="000B7BEE">
      <w:pPr>
        <w:pStyle w:val="mezera"/>
      </w:pPr>
    </w:p>
    <w:p w:rsidR="00567C4A" w:rsidRPr="002E47CA" w:rsidRDefault="00567C4A" w:rsidP="000B7BEE">
      <w:pPr>
        <w:pStyle w:val="mezera"/>
      </w:pPr>
      <w:r w:rsidRPr="00583448">
        <w:rPr>
          <w:noProof/>
          <w:lang w:eastAsia="cs-CZ"/>
        </w:rPr>
        <w:lastRenderedPageBreak/>
        <w:drawing>
          <wp:inline distT="0" distB="0" distL="0" distR="0" wp14:anchorId="6CED923C" wp14:editId="710FEA2D">
            <wp:extent cx="5760720" cy="2393068"/>
            <wp:effectExtent l="0" t="0" r="0" b="762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0720" cy="2393068"/>
                    </a:xfrm>
                    <a:prstGeom prst="rect">
                      <a:avLst/>
                    </a:prstGeom>
                    <a:noFill/>
                    <a:ln>
                      <a:noFill/>
                    </a:ln>
                  </pic:spPr>
                </pic:pic>
              </a:graphicData>
            </a:graphic>
          </wp:inline>
        </w:drawing>
      </w:r>
    </w:p>
    <w:p w:rsidR="00567C4A" w:rsidRPr="002E47CA" w:rsidRDefault="00567C4A" w:rsidP="000B7BEE">
      <w:pPr>
        <w:pStyle w:val="mezera"/>
      </w:pPr>
    </w:p>
    <w:p w:rsidR="00567C4A" w:rsidRPr="00B02B4C" w:rsidRDefault="00567C4A" w:rsidP="000B7BEE">
      <w:r w:rsidRPr="00B02B4C">
        <w:t>Zákon č. 201/2012 Sb. z 2. 5. 2012</w:t>
      </w:r>
      <w:r w:rsidR="001A3BC2">
        <w:t>,</w:t>
      </w:r>
      <w:r w:rsidRPr="00B02B4C">
        <w:t xml:space="preserve"> o ochraně ovzduší</w:t>
      </w:r>
      <w:r w:rsidR="001A3BC2">
        <w:t>,</w:t>
      </w:r>
      <w:r w:rsidRPr="00B02B4C">
        <w:t xml:space="preserve"> zahrnuje povinnost zajištění minimálního obsahu biopaliv a povinnost snižování emisí CO</w:t>
      </w:r>
      <w:r w:rsidRPr="00B02B4C">
        <w:rPr>
          <w:vertAlign w:val="subscript"/>
        </w:rPr>
        <w:t>2eq</w:t>
      </w:r>
      <w:r>
        <w:rPr>
          <w:rStyle w:val="Znakapoznpodarou"/>
        </w:rPr>
        <w:footnoteReference w:id="155"/>
      </w:r>
      <w:r w:rsidRPr="00B02B4C">
        <w:t xml:space="preserve"> z pohonných hmot v jejich úplném životním cyklu tak, aby se dosáhlo ve srovnání se základní hodnotou produkce emisí CO</w:t>
      </w:r>
      <w:r w:rsidRPr="00B02B4C">
        <w:rPr>
          <w:vertAlign w:val="subscript"/>
        </w:rPr>
        <w:t>2eq</w:t>
      </w:r>
      <w:r w:rsidRPr="00B02B4C">
        <w:t xml:space="preserve"> pro referenční palivo snížení o 2 % do 31. 12. 20</w:t>
      </w:r>
      <w:r>
        <w:t>14, o 4 % do 31. 12. 2017 a o 6 </w:t>
      </w:r>
      <w:r w:rsidRPr="00B02B4C">
        <w:t>% do 31. 12. 2020. Nařízení vlády č.</w:t>
      </w:r>
      <w:r>
        <w:t xml:space="preserve"> </w:t>
      </w:r>
      <w:r w:rsidRPr="00B02B4C">
        <w:t>351/2012 Sb. z 3. 10. 2012 o kritériích udržitelnosti biopaliv stanovuje také výši úspor emisí CO</w:t>
      </w:r>
      <w:r w:rsidRPr="00B02B4C">
        <w:rPr>
          <w:vertAlign w:val="subscript"/>
        </w:rPr>
        <w:t>2eq</w:t>
      </w:r>
      <w:r w:rsidRPr="00B02B4C">
        <w:t xml:space="preserve"> při jejich používání oproti emisím CO</w:t>
      </w:r>
      <w:r w:rsidRPr="00B02B4C">
        <w:rPr>
          <w:vertAlign w:val="subscript"/>
        </w:rPr>
        <w:t>2eq</w:t>
      </w:r>
      <w:r w:rsidRPr="00B02B4C">
        <w:t xml:space="preserve"> referenčního fosilního paliva, které musí činit nejméně:</w:t>
      </w:r>
    </w:p>
    <w:p w:rsidR="00567C4A" w:rsidRPr="00B02B4C" w:rsidRDefault="00567C4A" w:rsidP="00567C4A">
      <w:pPr>
        <w:pStyle w:val="vet1"/>
        <w:numPr>
          <w:ilvl w:val="0"/>
          <w:numId w:val="17"/>
        </w:numPr>
        <w:ind w:left="567" w:hanging="567"/>
      </w:pPr>
      <w:r w:rsidRPr="00B02B4C">
        <w:t>35 % do 31. 12. 2016</w:t>
      </w:r>
    </w:p>
    <w:p w:rsidR="00567C4A" w:rsidRPr="00B02B4C" w:rsidRDefault="00567C4A" w:rsidP="00567C4A">
      <w:pPr>
        <w:pStyle w:val="vet1"/>
        <w:numPr>
          <w:ilvl w:val="0"/>
          <w:numId w:val="17"/>
        </w:numPr>
        <w:ind w:left="567" w:hanging="567"/>
      </w:pPr>
      <w:r w:rsidRPr="00B02B4C">
        <w:t>50 % od 1. 1. 2017</w:t>
      </w:r>
    </w:p>
    <w:p w:rsidR="00567C4A" w:rsidRDefault="00567C4A" w:rsidP="00567C4A">
      <w:pPr>
        <w:pStyle w:val="vet1"/>
        <w:numPr>
          <w:ilvl w:val="0"/>
          <w:numId w:val="17"/>
        </w:numPr>
        <w:ind w:left="567" w:hanging="567"/>
      </w:pPr>
      <w:r>
        <w:t>6</w:t>
      </w:r>
      <w:r w:rsidRPr="00B02B4C">
        <w:t>0 % od 1. 1. 2018 v případě biopaliv vyrobených ve stacionárním zdroji, uvedeném do provozu 1. 1. 2017 nebo později.</w:t>
      </w:r>
    </w:p>
    <w:p w:rsidR="00567C4A" w:rsidRDefault="00567C4A" w:rsidP="00E406EF">
      <w:r>
        <w:t>Podíl energetického obsahu biopaliv a obnovitelné elektřiny v dopravě na celkové spotřebě má dosáhnout 5,7 % v letech 2014</w:t>
      </w:r>
      <w:r w:rsidR="00152C8B">
        <w:noBreakHyphen/>
      </w:r>
      <w:r>
        <w:t>2016, 8,00 % v letech 2017</w:t>
      </w:r>
      <w:r w:rsidR="00152C8B">
        <w:noBreakHyphen/>
      </w:r>
      <w:r>
        <w:t>2019 a 10,0 % do roku 2020.</w:t>
      </w:r>
    </w:p>
    <w:p w:rsidR="00567C4A" w:rsidRPr="00B02B4C" w:rsidRDefault="00567C4A" w:rsidP="000B7BEE">
      <w:r w:rsidRPr="00B02B4C">
        <w:t>V tab. T8.4/04 jsou uvedeny kapacity, termín zahájení provozu a základní použitá surovina pr</w:t>
      </w:r>
      <w:r>
        <w:t>o výrobu bioetanolu. Stejně jako v roce 2013 výrobu v roce 2014</w:t>
      </w:r>
      <w:r w:rsidRPr="00766F0C">
        <w:t xml:space="preserve"> zajišťovaly jen závody </w:t>
      </w:r>
      <w:proofErr w:type="spellStart"/>
      <w:r w:rsidRPr="00766F0C">
        <w:t>Agroetanol</w:t>
      </w:r>
      <w:proofErr w:type="spellEnd"/>
      <w:r w:rsidRPr="00766F0C">
        <w:t xml:space="preserve"> </w:t>
      </w:r>
      <w:proofErr w:type="spellStart"/>
      <w:r w:rsidRPr="00766F0C">
        <w:t>Tereos</w:t>
      </w:r>
      <w:proofErr w:type="spellEnd"/>
      <w:r w:rsidRPr="00766F0C">
        <w:t xml:space="preserve"> TTD, a.s.</w:t>
      </w:r>
      <w:r>
        <w:t>,</w:t>
      </w:r>
      <w:r w:rsidRPr="00766F0C">
        <w:t xml:space="preserve"> Dobrovice a </w:t>
      </w:r>
      <w:proofErr w:type="spellStart"/>
      <w:r w:rsidRPr="00766F0C">
        <w:t>Ethanol</w:t>
      </w:r>
      <w:proofErr w:type="spellEnd"/>
      <w:r w:rsidRPr="00766F0C">
        <w:t xml:space="preserve"> </w:t>
      </w:r>
      <w:proofErr w:type="spellStart"/>
      <w:r w:rsidRPr="00766F0C">
        <w:t>Energy</w:t>
      </w:r>
      <w:proofErr w:type="spellEnd"/>
      <w:r w:rsidRPr="00766F0C">
        <w:t>, a.s.</w:t>
      </w:r>
      <w:r>
        <w:t>,</w:t>
      </w:r>
      <w:r w:rsidRPr="00766F0C">
        <w:t xml:space="preserve"> Vrdy.</w:t>
      </w:r>
    </w:p>
    <w:p w:rsidR="00567C4A" w:rsidRPr="002E47CA" w:rsidRDefault="00567C4A" w:rsidP="000B7BEE">
      <w:pPr>
        <w:pStyle w:val="mezera"/>
      </w:pPr>
    </w:p>
    <w:p w:rsidR="00567C4A" w:rsidRPr="002E47CA" w:rsidRDefault="00567C4A" w:rsidP="000B7BEE">
      <w:pPr>
        <w:pStyle w:val="mezera"/>
      </w:pPr>
      <w:r w:rsidRPr="00583448">
        <w:rPr>
          <w:noProof/>
          <w:lang w:eastAsia="cs-CZ"/>
        </w:rPr>
        <w:drawing>
          <wp:inline distT="0" distB="0" distL="0" distR="0" wp14:anchorId="0A97AD39" wp14:editId="77DD1455">
            <wp:extent cx="5760720" cy="1353784"/>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1353784"/>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B02B4C">
        <w:lastRenderedPageBreak/>
        <w:t>Výroba, dovoz, vývoz a hrubá spotřeba bioetanolu, dovoz bio-ETBE a hrubá spotřeba E85 ve vozidlech k takovému palivu určeným (</w:t>
      </w:r>
      <w:r w:rsidR="008969A9">
        <w:t>„</w:t>
      </w:r>
      <w:r w:rsidRPr="00B02B4C">
        <w:t xml:space="preserve">flexi </w:t>
      </w:r>
      <w:proofErr w:type="spellStart"/>
      <w:r w:rsidRPr="00B02B4C">
        <w:t>fuel</w:t>
      </w:r>
      <w:proofErr w:type="spellEnd"/>
      <w:r w:rsidRPr="00B02B4C">
        <w:t xml:space="preserve"> </w:t>
      </w:r>
      <w:proofErr w:type="spellStart"/>
      <w:r w:rsidRPr="00B02B4C">
        <w:t>ve</w:t>
      </w:r>
      <w:r>
        <w:t>h</w:t>
      </w:r>
      <w:r w:rsidRPr="00B02B4C">
        <w:t>icles</w:t>
      </w:r>
      <w:proofErr w:type="spellEnd"/>
      <w:r w:rsidR="008969A9">
        <w:t>“</w:t>
      </w:r>
      <w:r w:rsidRPr="00B02B4C">
        <w:t>) v ČR v roce 201</w:t>
      </w:r>
      <w:r>
        <w:t>4 a pro porovnání v letech 2011</w:t>
      </w:r>
      <w:r w:rsidRPr="00B02B4C">
        <w:t xml:space="preserve"> až 201</w:t>
      </w:r>
      <w:r>
        <w:t>3</w:t>
      </w:r>
      <w:r w:rsidRPr="00B02B4C">
        <w:t xml:space="preserve"> uvádí tab</w:t>
      </w:r>
      <w:r>
        <w:t>.</w:t>
      </w:r>
      <w:r w:rsidRPr="00B02B4C">
        <w:t xml:space="preserve"> T8.4/05.</w:t>
      </w:r>
    </w:p>
    <w:p w:rsidR="00567C4A" w:rsidRPr="002E47CA" w:rsidRDefault="00567C4A" w:rsidP="000B7BEE">
      <w:pPr>
        <w:pStyle w:val="mezera"/>
      </w:pPr>
    </w:p>
    <w:p w:rsidR="00567C4A" w:rsidRPr="002E47CA" w:rsidRDefault="00567C4A" w:rsidP="000B7BEE">
      <w:pPr>
        <w:pStyle w:val="mezera"/>
      </w:pPr>
      <w:r w:rsidRPr="00583448">
        <w:rPr>
          <w:noProof/>
          <w:lang w:eastAsia="cs-CZ"/>
        </w:rPr>
        <w:drawing>
          <wp:inline distT="0" distB="0" distL="0" distR="0" wp14:anchorId="7761FCA8" wp14:editId="0526BBEF">
            <wp:extent cx="5565140" cy="187388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65140" cy="1873885"/>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B332F9">
        <w:t xml:space="preserve">Tuzemská výroba </w:t>
      </w:r>
      <w:proofErr w:type="spellStart"/>
      <w:r w:rsidRPr="00B332F9">
        <w:t>bioethanolu</w:t>
      </w:r>
      <w:proofErr w:type="spellEnd"/>
      <w:r w:rsidRPr="00B332F9">
        <w:t xml:space="preserve"> v roce 2014 zůstala téměř na stejné úrovni jako v roce 2013. Zvýšil se jeho dovoz z 1 979 t v roce 20</w:t>
      </w:r>
      <w:r>
        <w:t>13 na 37 352 t v roce 2014</w:t>
      </w:r>
      <w:r w:rsidRPr="00513DC3">
        <w:t xml:space="preserve"> (cca 18x).</w:t>
      </w:r>
      <w:r>
        <w:t xml:space="preserve"> O 30,5</w:t>
      </w:r>
      <w:r w:rsidRPr="00B332F9">
        <w:t xml:space="preserve"> % stoupl vývoz </w:t>
      </w:r>
      <w:proofErr w:type="spellStart"/>
      <w:r w:rsidRPr="00B332F9">
        <w:t>bioethanolu</w:t>
      </w:r>
      <w:proofErr w:type="spellEnd"/>
      <w:r w:rsidRPr="00B332F9">
        <w:t xml:space="preserve"> v roce 2014 oproti roku 2013. Hrubá spotřeba </w:t>
      </w:r>
      <w:proofErr w:type="spellStart"/>
      <w:r w:rsidRPr="00B332F9">
        <w:t>bioethanolu</w:t>
      </w:r>
      <w:proofErr w:type="spellEnd"/>
      <w:r w:rsidRPr="00B332F9">
        <w:t xml:space="preserve"> v roce 2014 </w:t>
      </w:r>
      <w:r>
        <w:t>se zvýšila</w:t>
      </w:r>
      <w:r w:rsidRPr="00B332F9">
        <w:t xml:space="preserve"> o 3</w:t>
      </w:r>
      <w:r>
        <w:t>7,7</w:t>
      </w:r>
      <w:r w:rsidRPr="00B332F9">
        <w:t xml:space="preserve"> % na 119 042 t oproti roku 2013. Spotřeba paliva </w:t>
      </w:r>
      <w:proofErr w:type="spellStart"/>
      <w:r w:rsidRPr="00B332F9">
        <w:t>Ethanol</w:t>
      </w:r>
      <w:proofErr w:type="spellEnd"/>
      <w:r w:rsidRPr="00B332F9">
        <w:t xml:space="preserve"> E85 vzrostla o 8</w:t>
      </w:r>
      <w:r>
        <w:t>,4 </w:t>
      </w:r>
      <w:r w:rsidRPr="00B332F9">
        <w:t>% ve srovnání s rokem 2013.</w:t>
      </w:r>
      <w:r>
        <w:t xml:space="preserve"> </w:t>
      </w:r>
      <w:r w:rsidRPr="00884859">
        <w:t xml:space="preserve">Využití </w:t>
      </w:r>
      <w:proofErr w:type="spellStart"/>
      <w:r w:rsidRPr="00884859">
        <w:t>bioethanolových</w:t>
      </w:r>
      <w:proofErr w:type="spellEnd"/>
      <w:r w:rsidRPr="00884859">
        <w:t xml:space="preserve"> liho</w:t>
      </w:r>
      <w:r>
        <w:t>varů v roce 2014 nepřevýšilo 36 </w:t>
      </w:r>
      <w:r w:rsidRPr="00884859">
        <w:t>%.</w:t>
      </w:r>
    </w:p>
    <w:p w:rsidR="00567C4A" w:rsidRPr="00B02B4C" w:rsidRDefault="00567C4A" w:rsidP="000B7BEE">
      <w:r w:rsidRPr="00B02B4C">
        <w:t>Pro výrobu bioetanolu se v roce 201</w:t>
      </w:r>
      <w:r>
        <w:t>4</w:t>
      </w:r>
      <w:r w:rsidRPr="00B02B4C">
        <w:t xml:space="preserve"> spotřebovalo </w:t>
      </w:r>
      <w:r>
        <w:t>791,3</w:t>
      </w:r>
      <w:r w:rsidRPr="00B02B4C">
        <w:t xml:space="preserve"> tis</w:t>
      </w:r>
      <w:r>
        <w:t>.</w:t>
      </w:r>
      <w:r w:rsidRPr="00B02B4C">
        <w:t xml:space="preserve"> t technické cukrovky</w:t>
      </w:r>
      <w:r>
        <w:t>, 9,5 tis. t pšenice a 96,5</w:t>
      </w:r>
      <w:r w:rsidRPr="00B02B4C">
        <w:t xml:space="preserve"> tis. t zrna kukuřice. Při výnosu cukrovky </w:t>
      </w:r>
      <w:r>
        <w:t>70,28</w:t>
      </w:r>
      <w:r w:rsidRPr="00B02B4C">
        <w:t xml:space="preserve"> t/ha</w:t>
      </w:r>
      <w:r>
        <w:t>, 6,51 t/ha pšenice</w:t>
      </w:r>
      <w:r w:rsidRPr="00B02B4C">
        <w:t xml:space="preserve"> a </w:t>
      </w:r>
      <w:r>
        <w:t>8,43</w:t>
      </w:r>
      <w:r w:rsidRPr="00B02B4C">
        <w:t xml:space="preserve"> t/ha zrna kukuřice dosáhla</w:t>
      </w:r>
      <w:r>
        <w:t xml:space="preserve"> </w:t>
      </w:r>
      <w:r w:rsidRPr="00B02B4C">
        <w:t xml:space="preserve">odpovídající sklizňová plocha u cukrovky </w:t>
      </w:r>
      <w:r>
        <w:t>11,3 tis.</w:t>
      </w:r>
      <w:r w:rsidRPr="00B02B4C">
        <w:t xml:space="preserve"> ha</w:t>
      </w:r>
      <w:r>
        <w:t>, resp. 1,5 tis. ha pšenice, resp. 11,5 tis.</w:t>
      </w:r>
      <w:r w:rsidRPr="00B02B4C">
        <w:t xml:space="preserve"> ha kukuřice. Podíl plochy cukrovky technické zpracované na bioetanol z celkové sklizňové plochy této plodiny dosáhl </w:t>
      </w:r>
      <w:r>
        <w:t>17,9 </w:t>
      </w:r>
      <w:r w:rsidRPr="00B02B4C">
        <w:t xml:space="preserve">%, v případě </w:t>
      </w:r>
      <w:r>
        <w:t xml:space="preserve">pšenice se jednalo o podíl 0,2 % a u </w:t>
      </w:r>
      <w:r w:rsidRPr="00B02B4C">
        <w:t>kukuřice na zrno o </w:t>
      </w:r>
      <w:r>
        <w:t>podíl 11</w:t>
      </w:r>
      <w:r w:rsidRPr="00B02B4C">
        <w:t>,</w:t>
      </w:r>
      <w:r>
        <w:t xml:space="preserve">6 </w:t>
      </w:r>
      <w:r w:rsidRPr="00B02B4C">
        <w:t xml:space="preserve">%. Na výrobu 1 litru bioetanolu se tak spotřebovalo cca 9,3 kg cukrovky, </w:t>
      </w:r>
      <w:r>
        <w:t xml:space="preserve">resp. 2,6 kg pšenice, </w:t>
      </w:r>
      <w:r w:rsidRPr="00B02B4C">
        <w:t>resp. 2,13 kg zrna kukuřice.</w:t>
      </w:r>
    </w:p>
    <w:p w:rsidR="00567C4A" w:rsidRPr="00B02B4C" w:rsidRDefault="00567C4A" w:rsidP="000B7BEE">
      <w:r w:rsidRPr="00B02B4C">
        <w:t>Průměrná velkoobchodní cena benzinu BA 95N</w:t>
      </w:r>
      <w:r>
        <w:t xml:space="preserve"> </w:t>
      </w:r>
      <w:r w:rsidRPr="00B02B4C">
        <w:t>v roce 201</w:t>
      </w:r>
      <w:r>
        <w:t>4</w:t>
      </w:r>
      <w:r w:rsidRPr="00B02B4C">
        <w:t xml:space="preserve"> </w:t>
      </w:r>
      <w:r>
        <w:t xml:space="preserve">činila </w:t>
      </w:r>
      <w:r w:rsidRPr="00B02B4C">
        <w:t>2</w:t>
      </w:r>
      <w:r>
        <w:t>7,72</w:t>
      </w:r>
      <w:r w:rsidRPr="00B02B4C">
        <w:t xml:space="preserve"> Kč/l (</w:t>
      </w:r>
      <w:r>
        <w:t xml:space="preserve">průměrná </w:t>
      </w:r>
      <w:r w:rsidRPr="00B02B4C">
        <w:t>spotřební daň 12,84 Kč/l), paliva E85 19,</w:t>
      </w:r>
      <w:r>
        <w:t>38</w:t>
      </w:r>
      <w:r w:rsidRPr="00B02B4C">
        <w:t xml:space="preserve"> Kč</w:t>
      </w:r>
      <w:r>
        <w:t>/l (průměrná spotřební daň 3,21 </w:t>
      </w:r>
      <w:r w:rsidRPr="00B02B4C">
        <w:t>Kč/l).</w:t>
      </w:r>
    </w:p>
    <w:p w:rsidR="00567C4A" w:rsidRDefault="00567C4A" w:rsidP="000B7BEE">
      <w:r w:rsidRPr="00B02B4C">
        <w:t>Celková tuzemská produkční kapacita závodů na výrobu FAME v roce 201</w:t>
      </w:r>
      <w:r>
        <w:t>4</w:t>
      </w:r>
      <w:r w:rsidRPr="00B02B4C">
        <w:t xml:space="preserve"> </w:t>
      </w:r>
      <w:r>
        <w:t>zůstala</w:t>
      </w:r>
      <w:r w:rsidRPr="00B02B4C">
        <w:t xml:space="preserve"> na </w:t>
      </w:r>
      <w:r w:rsidR="00303857">
        <w:t xml:space="preserve">úrovni </w:t>
      </w:r>
      <w:r w:rsidRPr="00B02B4C">
        <w:t xml:space="preserve">410 tis. t. Výrobu certifikovaného FAME ovšem prakticky zajišťovaly jen společnosti </w:t>
      </w:r>
      <w:proofErr w:type="spellStart"/>
      <w:r w:rsidRPr="004466C4">
        <w:t>Kratolia</w:t>
      </w:r>
      <w:proofErr w:type="spellEnd"/>
      <w:r w:rsidRPr="004466C4">
        <w:t xml:space="preserve"> </w:t>
      </w:r>
      <w:proofErr w:type="spellStart"/>
      <w:r w:rsidRPr="004466C4">
        <w:t>Trade</w:t>
      </w:r>
      <w:proofErr w:type="spellEnd"/>
      <w:r w:rsidRPr="004466C4">
        <w:t xml:space="preserve"> a.s. Ústí nad Labem, </w:t>
      </w:r>
      <w:proofErr w:type="spellStart"/>
      <w:r w:rsidRPr="004466C4">
        <w:t>Preol</w:t>
      </w:r>
      <w:proofErr w:type="spellEnd"/>
      <w:r w:rsidRPr="004466C4">
        <w:t xml:space="preserve">, a.s. Lovosice a </w:t>
      </w:r>
      <w:proofErr w:type="spellStart"/>
      <w:r w:rsidRPr="004466C4">
        <w:t>Primagra</w:t>
      </w:r>
      <w:proofErr w:type="spellEnd"/>
      <w:r w:rsidRPr="004466C4">
        <w:t>, a.s. Milín</w:t>
      </w:r>
      <w:r>
        <w:t xml:space="preserve"> </w:t>
      </w:r>
      <w:r w:rsidRPr="00B02B4C">
        <w:t>s celkovou výrobní kapacitou 2</w:t>
      </w:r>
      <w:r>
        <w:t>5</w:t>
      </w:r>
      <w:r w:rsidRPr="00B02B4C">
        <w:t>5 tis. t. Někteří z ostatní</w:t>
      </w:r>
      <w:r>
        <w:t>ch výrobců buď výrobu přerušili,</w:t>
      </w:r>
      <w:r w:rsidRPr="00B02B4C">
        <w:t xml:space="preserve"> nebo se zaměřili na dílčí činnosti</w:t>
      </w:r>
      <w:r>
        <w:t xml:space="preserve">, jako je lisování řepky olejné, </w:t>
      </w:r>
      <w:r w:rsidRPr="00B02B4C">
        <w:t>prodej řepkového oleje</w:t>
      </w:r>
      <w:r>
        <w:t xml:space="preserve"> a surového FAME</w:t>
      </w:r>
      <w:r w:rsidRPr="00B02B4C">
        <w:t>. Někteří další výrobci zajišťovali výrobu směsné motorové nafty SMN30 spoj</w:t>
      </w:r>
      <w:r>
        <w:t>enou s nákupem FAME a dodávku S</w:t>
      </w:r>
      <w:r w:rsidRPr="00B02B4C">
        <w:t>M</w:t>
      </w:r>
      <w:r>
        <w:t>N</w:t>
      </w:r>
      <w:r w:rsidRPr="00B02B4C">
        <w:t>30</w:t>
      </w:r>
      <w:r>
        <w:t xml:space="preserve"> </w:t>
      </w:r>
      <w:r w:rsidRPr="00B02B4C">
        <w:t xml:space="preserve">a FAME na trh s motorovými palivy. Průměrné využití výrobních kapacit </w:t>
      </w:r>
      <w:r>
        <w:t>v roce 2014 dosáhlo 53,5 </w:t>
      </w:r>
      <w:r w:rsidRPr="00B02B4C">
        <w:t>%</w:t>
      </w:r>
      <w:r>
        <w:t>.</w:t>
      </w:r>
    </w:p>
    <w:p w:rsidR="00567C4A" w:rsidRPr="00B02B4C" w:rsidRDefault="00567C4A" w:rsidP="000B7BEE">
      <w:r w:rsidRPr="00B02B4C">
        <w:t>Bilanc</w:t>
      </w:r>
      <w:r>
        <w:t>i</w:t>
      </w:r>
      <w:r w:rsidRPr="00B02B4C">
        <w:t xml:space="preserve"> výroby FAME v ČR, vývoz, dovoz a hrubou spotřebu uvádí tab</w:t>
      </w:r>
      <w:r>
        <w:t>. T8</w:t>
      </w:r>
      <w:r w:rsidRPr="00B02B4C">
        <w:t>.4/06.</w:t>
      </w:r>
    </w:p>
    <w:p w:rsidR="00567C4A" w:rsidRPr="002E47CA" w:rsidRDefault="00567C4A" w:rsidP="000B7BEE">
      <w:pPr>
        <w:pStyle w:val="mezera"/>
      </w:pPr>
    </w:p>
    <w:p w:rsidR="00567C4A" w:rsidRPr="002E47CA" w:rsidRDefault="00567C4A" w:rsidP="000B7BEE">
      <w:pPr>
        <w:pStyle w:val="mezera"/>
      </w:pPr>
      <w:r w:rsidRPr="00583448">
        <w:rPr>
          <w:noProof/>
          <w:lang w:eastAsia="cs-CZ"/>
        </w:rPr>
        <w:lastRenderedPageBreak/>
        <w:drawing>
          <wp:inline distT="0" distB="0" distL="0" distR="0" wp14:anchorId="3A047FE3" wp14:editId="59AB0CEB">
            <wp:extent cx="5760720" cy="1968918"/>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720" cy="1968918"/>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B02B4C">
        <w:t>Výroba FAME v roce 201</w:t>
      </w:r>
      <w:r>
        <w:t>4</w:t>
      </w:r>
      <w:r w:rsidRPr="00B02B4C">
        <w:t xml:space="preserve"> byla</w:t>
      </w:r>
      <w:r w:rsidRPr="00D7132D">
        <w:t xml:space="preserve"> o cca </w:t>
      </w:r>
      <w:r>
        <w:t>21</w:t>
      </w:r>
      <w:r w:rsidRPr="00D7132D">
        <w:t xml:space="preserve"> % vyšší než výroba </w:t>
      </w:r>
      <w:r w:rsidRPr="00B02B4C">
        <w:t>v roce 201</w:t>
      </w:r>
      <w:r>
        <w:t>3</w:t>
      </w:r>
      <w:r w:rsidRPr="00B02B4C">
        <w:t>.</w:t>
      </w:r>
      <w:r>
        <w:t xml:space="preserve"> Zvýšení h</w:t>
      </w:r>
      <w:r w:rsidRPr="00B02B4C">
        <w:t>rubé spotřeby</w:t>
      </w:r>
      <w:r>
        <w:t xml:space="preserve"> </w:t>
      </w:r>
      <w:r w:rsidRPr="00B02B4C">
        <w:t xml:space="preserve">o </w:t>
      </w:r>
      <w:r>
        <w:t>cca 32</w:t>
      </w:r>
      <w:r w:rsidRPr="00B02B4C">
        <w:t xml:space="preserve"> %</w:t>
      </w:r>
      <w:r>
        <w:t xml:space="preserve"> na 300,4 tis.</w:t>
      </w:r>
      <w:r w:rsidRPr="00B02B4C">
        <w:t xml:space="preserve"> t bylo dosaženo zvýšeným dovozem oproti roku 201</w:t>
      </w:r>
      <w:r>
        <w:t>3 (</w:t>
      </w:r>
      <w:r w:rsidRPr="00B02B4C">
        <w:t xml:space="preserve">o </w:t>
      </w:r>
      <w:r>
        <w:t>cca 32</w:t>
      </w:r>
      <w:r w:rsidRPr="00B02B4C">
        <w:t xml:space="preserve"> %</w:t>
      </w:r>
      <w:r>
        <w:t xml:space="preserve">). </w:t>
      </w:r>
      <w:r>
        <w:rPr>
          <w:szCs w:val="24"/>
        </w:rPr>
        <w:t>Vývoz FAME v roce 2014 (35,2 tis. t) činil 82 % vývozu FAME v roce 2013 (43</w:t>
      </w:r>
      <w:r w:rsidR="00AE7AC1">
        <w:rPr>
          <w:szCs w:val="24"/>
        </w:rPr>
        <w:t>,</w:t>
      </w:r>
      <w:r>
        <w:rPr>
          <w:szCs w:val="24"/>
        </w:rPr>
        <w:t>2</w:t>
      </w:r>
      <w:r w:rsidR="00AE7AC1">
        <w:rPr>
          <w:szCs w:val="24"/>
        </w:rPr>
        <w:t xml:space="preserve"> tis.</w:t>
      </w:r>
      <w:r>
        <w:rPr>
          <w:szCs w:val="24"/>
        </w:rPr>
        <w:t xml:space="preserve"> t).</w:t>
      </w:r>
    </w:p>
    <w:p w:rsidR="00567C4A" w:rsidRPr="00B02B4C" w:rsidRDefault="00567C4A" w:rsidP="000B7BEE">
      <w:r w:rsidRPr="00D70787">
        <w:t xml:space="preserve">Pro výrobu </w:t>
      </w:r>
      <w:r>
        <w:rPr>
          <w:szCs w:val="24"/>
        </w:rPr>
        <w:t>FAME</w:t>
      </w:r>
      <w:r w:rsidRPr="00D70787">
        <w:t xml:space="preserve"> se v ČR v roce 201</w:t>
      </w:r>
      <w:r>
        <w:t>4</w:t>
      </w:r>
      <w:r w:rsidRPr="00D70787">
        <w:t xml:space="preserve"> spotřebovalo </w:t>
      </w:r>
      <w:r>
        <w:t>554,2 tis.</w:t>
      </w:r>
      <w:r w:rsidRPr="00D70787">
        <w:t xml:space="preserve"> t řepkového zr</w:t>
      </w:r>
      <w:r>
        <w:t>na, což při průměrném výnosu 3,9</w:t>
      </w:r>
      <w:r w:rsidRPr="00D70787">
        <w:t>5 t/ha představuje plochu 1</w:t>
      </w:r>
      <w:r>
        <w:t>40,3 tis.</w:t>
      </w:r>
      <w:r w:rsidRPr="00D70787">
        <w:t xml:space="preserve"> ha, resp. 3</w:t>
      </w:r>
      <w:r>
        <w:t>6 </w:t>
      </w:r>
      <w:r w:rsidRPr="00D70787">
        <w:t>% celkové sklizňové plochy řepky olejky v roce 201</w:t>
      </w:r>
      <w:r>
        <w:t>4</w:t>
      </w:r>
      <w:r w:rsidRPr="00B02B4C">
        <w:t>.</w:t>
      </w:r>
    </w:p>
    <w:p w:rsidR="00567C4A" w:rsidRDefault="00567C4A" w:rsidP="000B7BEE">
      <w:r w:rsidRPr="00B02B4C">
        <w:t>Průměrná velkoobchodní cena nafty v roce 201</w:t>
      </w:r>
      <w:r>
        <w:t>4</w:t>
      </w:r>
      <w:r w:rsidRPr="00B02B4C">
        <w:t xml:space="preserve"> byla </w:t>
      </w:r>
      <w:r>
        <w:t>27,31</w:t>
      </w:r>
      <w:r w:rsidRPr="00B02B4C">
        <w:t xml:space="preserve"> Kč/l (z toho spotřební daň 10,95 Kč/l), směsné nafty </w:t>
      </w:r>
      <w:r>
        <w:t>25,38</w:t>
      </w:r>
      <w:r w:rsidRPr="00B02B4C">
        <w:t xml:space="preserve"> Kč/l (spotřební daň 7,6</w:t>
      </w:r>
      <w:r>
        <w:t>7</w:t>
      </w:r>
      <w:r w:rsidRPr="00B02B4C">
        <w:t xml:space="preserve"> K</w:t>
      </w:r>
      <w:r>
        <w:t>č/l), čisté bionafty B100 20,43 </w:t>
      </w:r>
      <w:r w:rsidRPr="00B02B4C">
        <w:t>Kč/l (nulová spotřební daň).</w:t>
      </w:r>
      <w:bookmarkStart w:id="257" w:name="ZZ"/>
      <w:bookmarkEnd w:id="246"/>
      <w:bookmarkEnd w:id="247"/>
      <w:bookmarkEnd w:id="248"/>
      <w:bookmarkEnd w:id="257"/>
    </w:p>
    <w:p w:rsidR="00567C4A" w:rsidRPr="00722793" w:rsidRDefault="00567C4A" w:rsidP="000B7BEE">
      <w:pPr>
        <w:pStyle w:val="Nadpis2"/>
      </w:pPr>
      <w:bookmarkStart w:id="258" w:name="_Toc391991533"/>
      <w:bookmarkStart w:id="259" w:name="_Toc424307089"/>
      <w:r>
        <w:t>8.5</w:t>
      </w:r>
      <w:r w:rsidRPr="00722793">
        <w:tab/>
        <w:t>Geneticky modifikované plodiny</w:t>
      </w:r>
      <w:bookmarkEnd w:id="258"/>
      <w:bookmarkEnd w:id="259"/>
    </w:p>
    <w:p w:rsidR="00567C4A" w:rsidRPr="00722793" w:rsidRDefault="00567C4A" w:rsidP="000B7BEE">
      <w:r w:rsidRPr="00722793">
        <w:t>Problematika GMO (zejména v zemědělství a potravinářství) je v EU stále kontroverzním tématem. Pohledy jednotlivých členských států jsou značně odlišné a je obtížné dosáhnout jakýkoliv konsensus. ČR se řadí spíše k liberálním státům, které při nakládání s GMO vychází z vědeckých poznatků.</w:t>
      </w:r>
    </w:p>
    <w:p w:rsidR="00567C4A" w:rsidRPr="00B26551" w:rsidRDefault="00567C4A" w:rsidP="000B7BEE">
      <w:r w:rsidRPr="00722793">
        <w:t>GM plodiny jsou v celosvětovém měřítku významnou složkou zemědělské výroby, zatímco podíl ploch v EU v rámci světa je zanedbatelný. Celková ploch</w:t>
      </w:r>
      <w:r>
        <w:t>a GM plodin ve světě v roce 2014 tvořila rekordních 181,5</w:t>
      </w:r>
      <w:r w:rsidRPr="00722793">
        <w:t xml:space="preserve"> mil. ha. Nárůst pěstování GM plodin je již druhým rokem zaznamenán v rozvojových zemích. Meziročně došlo k navýšení</w:t>
      </w:r>
      <w:r>
        <w:t xml:space="preserve"> plochy GM plodin ve světě o 3,6 mil. ha</w:t>
      </w:r>
      <w:r w:rsidRPr="00722793">
        <w:t>. Od roku 1996, kdy se GM plodiny začaly ve světě pěstovat na výměře 1,7 mil. </w:t>
      </w:r>
      <w:r>
        <w:t>ha, došlo během 18 let</w:t>
      </w:r>
      <w:r w:rsidRPr="00722793">
        <w:t xml:space="preserve"> k</w:t>
      </w:r>
      <w:r>
        <w:t> více než</w:t>
      </w:r>
      <w:r w:rsidRPr="00722793">
        <w:t xml:space="preserve"> stonásobnému nárůstu plochy. </w:t>
      </w:r>
      <w:r w:rsidRPr="000450C4">
        <w:t>Z celkové ploch</w:t>
      </w:r>
      <w:r>
        <w:t>y GM plodin ve světě v roce 2014</w:t>
      </w:r>
      <w:r w:rsidRPr="000450C4">
        <w:t xml:space="preserve"> tvoří 40 % plocha v USA.</w:t>
      </w:r>
      <w:r w:rsidRPr="002C4804">
        <w:t xml:space="preserve"> </w:t>
      </w:r>
      <w:r w:rsidRPr="000450C4">
        <w:t>Tři největší pěstitelé GM plodin (USA, Brazílie a Argentina) zaujímají plochu 77 % z celku. GM plodiny pěstovalo rekordních 18 mil. pěstitelů ve 28 státech světa.</w:t>
      </w:r>
      <w:r w:rsidRPr="002C4804">
        <w:t xml:space="preserve"> </w:t>
      </w:r>
      <w:r w:rsidRPr="000450C4">
        <w:t>Největší výměry GM plodin se nacházejí v USA (73,1 mil. ha</w:t>
      </w:r>
      <w:r w:rsidRPr="002C4804">
        <w:t xml:space="preserve"> </w:t>
      </w:r>
      <w:r w:rsidRPr="00616ECB">
        <w:t>– kukuřice, sója, bavlník, řepka, cukrov</w:t>
      </w:r>
      <w:r w:rsidR="00971235">
        <w:t>á</w:t>
      </w:r>
      <w:r w:rsidRPr="00616ECB">
        <w:t xml:space="preserve"> řepa, vojtěška, papája a dýně), Brazílii (42,2 mil. ha – sója, kukuřice a bavlník), Argentině (24,3 mil. ha – sója, kukuřice a bavlník), Indii (11,6 mil. ha – bavlník), Kanadě (11,6 mil. ha – řepka, kukuřice, sója a cukrová řepa)</w:t>
      </w:r>
      <w:r w:rsidR="00971235">
        <w:t>,</w:t>
      </w:r>
      <w:r w:rsidRPr="00616ECB">
        <w:t xml:space="preserve"> </w:t>
      </w:r>
      <w:r w:rsidRPr="00616ECB">
        <w:lastRenderedPageBreak/>
        <w:t>Číně (3,9 mil. ha – bavlník, papája, topol, rajčata, sladká papri</w:t>
      </w:r>
      <w:r>
        <w:t xml:space="preserve">ka) a v Paraguay (3,9 mil. ha </w:t>
      </w:r>
      <w:r w:rsidRPr="00052AFD">
        <w:t>–</w:t>
      </w:r>
      <w:r>
        <w:t xml:space="preserve"> </w:t>
      </w:r>
      <w:r w:rsidRPr="00616ECB">
        <w:t>sója, kukuřice a bavlník)</w:t>
      </w:r>
      <w:r>
        <w:t>.</w:t>
      </w:r>
    </w:p>
    <w:p w:rsidR="00567C4A" w:rsidRDefault="00567C4A" w:rsidP="000B7BEE">
      <w:r w:rsidRPr="001D346E">
        <w:rPr>
          <w:bCs/>
        </w:rPr>
        <w:t>Plocha GM plodin v EU zaznamenala po historicky největší výměře v roce 2013 meziroční pokles o 5,6 tis. ha a v roce 2014 činila 143 tis. ha</w:t>
      </w:r>
      <w:r>
        <w:rPr>
          <w:bCs/>
        </w:rPr>
        <w:t>. Z</w:t>
      </w:r>
      <w:r w:rsidRPr="001D346E">
        <w:rPr>
          <w:bCs/>
        </w:rPr>
        <w:t>ejména díky meziročnímu poklesu ploch ve Španělsku a v Č</w:t>
      </w:r>
      <w:r w:rsidR="00971235">
        <w:rPr>
          <w:bCs/>
        </w:rPr>
        <w:t>R</w:t>
      </w:r>
      <w:r w:rsidRPr="001D346E">
        <w:rPr>
          <w:bCs/>
        </w:rPr>
        <w:t xml:space="preserve"> došlo k jejímu celkovému poklesu v rámci EU oproti loňskému roku o 4 %.</w:t>
      </w:r>
      <w:r w:rsidRPr="002C4804">
        <w:rPr>
          <w:bCs/>
        </w:rPr>
        <w:t xml:space="preserve"> </w:t>
      </w:r>
      <w:r w:rsidRPr="001D346E">
        <w:rPr>
          <w:bCs/>
        </w:rPr>
        <w:t>První místo v pěstování GM plodin v EU tradičně zaujímá Španělsko, kde došlo k poklesu plochy o 4 %, druhé je Portugalsko,</w:t>
      </w:r>
      <w:r>
        <w:rPr>
          <w:bCs/>
        </w:rPr>
        <w:t xml:space="preserve"> kde došlo k nárůstu plochy o </w:t>
      </w:r>
      <w:r w:rsidRPr="001D346E">
        <w:rPr>
          <w:bCs/>
        </w:rPr>
        <w:t>5 %</w:t>
      </w:r>
      <w:r w:rsidR="007A75E4">
        <w:rPr>
          <w:bCs/>
        </w:rPr>
        <w:t>. GM plodiny (kukuřice) se pěstují pouze v několika zemích EU</w:t>
      </w:r>
      <w:r w:rsidRPr="002C4804">
        <w:rPr>
          <w:bCs/>
        </w:rPr>
        <w:t xml:space="preserve"> </w:t>
      </w:r>
      <w:r w:rsidRPr="001D346E">
        <w:rPr>
          <w:bCs/>
        </w:rPr>
        <w:t xml:space="preserve">(tab. T8.8/01). </w:t>
      </w:r>
      <w:r w:rsidRPr="00AC06FE">
        <w:t>Ve srovnání s jinými regiony světa EU přistupuje ke GM plodinám s vysokou mírou obezřetnosti, s</w:t>
      </w:r>
      <w:r w:rsidR="00FD32B0">
        <w:t> </w:t>
      </w:r>
      <w:r w:rsidRPr="00AC06FE">
        <w:t xml:space="preserve">principem předběžné opatrnosti a nevyužívá tedy GM plodiny v takové míře jako např. USA, kde </w:t>
      </w:r>
      <w:r w:rsidR="008969A9">
        <w:t>„</w:t>
      </w:r>
      <w:r w:rsidRPr="00AC06FE">
        <w:t>nové technologie</w:t>
      </w:r>
      <w:r w:rsidR="008969A9">
        <w:t>“</w:t>
      </w:r>
      <w:r w:rsidRPr="00AC06FE">
        <w:t xml:space="preserve"> nachází stále větší uplatnění. Proces uvádění GM plodin do </w:t>
      </w:r>
      <w:r w:rsidRPr="00B601C2">
        <w:t xml:space="preserve">životního prostředí je dlouhý, finančně a administrativně náročný. Uplatnění GM plodin na trhu EU je velmi problematické </w:t>
      </w:r>
      <w:r w:rsidR="00D62D72" w:rsidRPr="00B601C2">
        <w:t>z důvodu</w:t>
      </w:r>
      <w:r w:rsidRPr="00B601C2">
        <w:t xml:space="preserve"> vyšší nákladovosti</w:t>
      </w:r>
      <w:r w:rsidR="00D62D72" w:rsidRPr="00B601C2">
        <w:t xml:space="preserve"> i</w:t>
      </w:r>
      <w:r w:rsidRPr="00B601C2">
        <w:t xml:space="preserve"> značné nedůvěry obyvatelstva.</w:t>
      </w:r>
      <w:r w:rsidRPr="00AC06FE">
        <w:t xml:space="preserve"> Výsledkem je mj. i stagnace či pokles ploch GM plodin v některých zemích</w:t>
      </w:r>
      <w:r w:rsidR="00FD32B0">
        <w:t xml:space="preserve"> a </w:t>
      </w:r>
      <w:r w:rsidR="007E0E7C">
        <w:t>potřeba dovozu GM plodin (sóji) do EU pro využití v krmivech</w:t>
      </w:r>
      <w:r w:rsidRPr="00AC06FE">
        <w:t>.</w:t>
      </w:r>
    </w:p>
    <w:p w:rsidR="00567C4A" w:rsidRDefault="00567C4A" w:rsidP="000B7BEE">
      <w:r w:rsidRPr="00AC06FE">
        <w:t>Produkce GM kukuřice je ve většině případů využívána jako krmivo pro hospodářská zvířata, z menší části také jako surovina pro výrobu bioetanolu či bioplynu. Vypěstovaná GM kukuřice není v ČR užívána pro potravinářské účely.</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121B6AF7" wp14:editId="40E3462B">
            <wp:extent cx="5207000" cy="2101850"/>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07000" cy="2101850"/>
                    </a:xfrm>
                    <a:prstGeom prst="rect">
                      <a:avLst/>
                    </a:prstGeom>
                    <a:noFill/>
                    <a:ln>
                      <a:noFill/>
                    </a:ln>
                  </pic:spPr>
                </pic:pic>
              </a:graphicData>
            </a:graphic>
          </wp:inline>
        </w:drawing>
      </w:r>
    </w:p>
    <w:p w:rsidR="00567C4A" w:rsidRPr="002E47CA" w:rsidRDefault="00567C4A" w:rsidP="000B7BEE">
      <w:pPr>
        <w:pStyle w:val="mezera"/>
      </w:pPr>
    </w:p>
    <w:p w:rsidR="00567C4A" w:rsidRPr="00B26551" w:rsidRDefault="00567C4A" w:rsidP="000B7BEE">
      <w:r w:rsidRPr="00976E29">
        <w:t xml:space="preserve">Také v roce 2014 byla pro komerční využití pěstována na území EU, tedy i v ČR, jediná GM plodina, kukuřice, označovaná též jako </w:t>
      </w:r>
      <w:r w:rsidR="008969A9">
        <w:t>„</w:t>
      </w:r>
      <w:proofErr w:type="spellStart"/>
      <w:r w:rsidRPr="00976E29">
        <w:t>Bt</w:t>
      </w:r>
      <w:proofErr w:type="spellEnd"/>
      <w:r w:rsidRPr="00976E29">
        <w:t xml:space="preserve"> kukuřice</w:t>
      </w:r>
      <w:r w:rsidR="008969A9">
        <w:t>“</w:t>
      </w:r>
      <w:r w:rsidRPr="00976E29">
        <w:t xml:space="preserve">, odolná vůči zavíječi kukuřičnému, která se v ČR pěstuje od roku 2005. Jedná se o GM plodinu s vloženým genem z půdní bakterie </w:t>
      </w:r>
      <w:proofErr w:type="spellStart"/>
      <w:r w:rsidRPr="00976E29">
        <w:rPr>
          <w:i/>
          <w:iCs/>
        </w:rPr>
        <w:t>Bacillus</w:t>
      </w:r>
      <w:proofErr w:type="spellEnd"/>
      <w:r w:rsidRPr="00976E29">
        <w:rPr>
          <w:i/>
          <w:iCs/>
        </w:rPr>
        <w:t xml:space="preserve"> </w:t>
      </w:r>
      <w:proofErr w:type="spellStart"/>
      <w:r w:rsidRPr="00976E29">
        <w:rPr>
          <w:i/>
          <w:iCs/>
        </w:rPr>
        <w:t>thuringiensis</w:t>
      </w:r>
      <w:proofErr w:type="spellEnd"/>
      <w:r w:rsidRPr="00976E29">
        <w:t xml:space="preserve"> (odtud </w:t>
      </w:r>
      <w:proofErr w:type="spellStart"/>
      <w:r w:rsidRPr="00976E29">
        <w:t>Bt</w:t>
      </w:r>
      <w:proofErr w:type="spellEnd"/>
      <w:r w:rsidRPr="00976E29">
        <w:t xml:space="preserve">-kukuřice), který kukuřici propůjčuje odolnost proti škodlivému </w:t>
      </w:r>
      <w:r>
        <w:t xml:space="preserve">výše zmíněnému </w:t>
      </w:r>
      <w:r w:rsidRPr="00976E29">
        <w:t>zavíječi kukuřičnému. Doposu</w:t>
      </w:r>
      <w:r>
        <w:t>d největší výměra GM kukuřice v </w:t>
      </w:r>
      <w:r w:rsidRPr="00976E29">
        <w:t>ČR byla zaznamenána v roce 2008, kdy bylo oseto 8 380 ha (cca 3 % celkové plochy kukuřice v ČR). V posledních letech výměra GM kukuřice v ČR klesá.</w:t>
      </w:r>
      <w:r w:rsidRPr="002C4804">
        <w:t xml:space="preserve"> </w:t>
      </w:r>
      <w:r w:rsidRPr="00367656">
        <w:t xml:space="preserve">V roce 2014 byl zaznamenán </w:t>
      </w:r>
      <w:r>
        <w:t xml:space="preserve">jak </w:t>
      </w:r>
      <w:r w:rsidRPr="00367656">
        <w:t xml:space="preserve">meziroční pokles </w:t>
      </w:r>
      <w:r>
        <w:t xml:space="preserve">výměry </w:t>
      </w:r>
      <w:r w:rsidRPr="00367656">
        <w:t>o 32 % na 1 754</w:t>
      </w:r>
      <w:r>
        <w:t xml:space="preserve"> ha, tak </w:t>
      </w:r>
      <w:r w:rsidRPr="00367656">
        <w:t xml:space="preserve">i </w:t>
      </w:r>
      <w:r>
        <w:t>pokles poč</w:t>
      </w:r>
      <w:r w:rsidRPr="00367656">
        <w:t>t</w:t>
      </w:r>
      <w:r>
        <w:t>u pěstitelů o </w:t>
      </w:r>
      <w:r w:rsidRPr="00367656">
        <w:t>42 %.</w:t>
      </w:r>
    </w:p>
    <w:p w:rsidR="00567C4A" w:rsidRPr="002E47CA" w:rsidRDefault="00567C4A" w:rsidP="000B7BEE">
      <w:pPr>
        <w:pStyle w:val="mezera"/>
      </w:pPr>
    </w:p>
    <w:p w:rsidR="00567C4A" w:rsidRPr="002E47CA" w:rsidRDefault="00567C4A" w:rsidP="000B7BEE">
      <w:pPr>
        <w:pStyle w:val="mezera"/>
      </w:pPr>
      <w:r w:rsidRPr="002E47CA">
        <w:rPr>
          <w:noProof/>
          <w:lang w:eastAsia="cs-CZ"/>
        </w:rPr>
        <w:lastRenderedPageBreak/>
        <w:drawing>
          <wp:inline distT="0" distB="0" distL="0" distR="0" wp14:anchorId="6A07C18D" wp14:editId="46992792">
            <wp:extent cx="5365750" cy="1530350"/>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65750" cy="1530350"/>
                    </a:xfrm>
                    <a:prstGeom prst="rect">
                      <a:avLst/>
                    </a:prstGeom>
                    <a:noFill/>
                    <a:ln>
                      <a:noFill/>
                    </a:ln>
                  </pic:spPr>
                </pic:pic>
              </a:graphicData>
            </a:graphic>
          </wp:inline>
        </w:drawing>
      </w:r>
    </w:p>
    <w:p w:rsidR="00567C4A" w:rsidRPr="002E47CA" w:rsidRDefault="00567C4A" w:rsidP="000B7BEE">
      <w:pPr>
        <w:pStyle w:val="mezera"/>
      </w:pPr>
    </w:p>
    <w:p w:rsidR="00567C4A" w:rsidRPr="00722793" w:rsidRDefault="00567C4A" w:rsidP="000B7BEE">
      <w:r w:rsidRPr="00722793">
        <w:t>Ne</w:t>
      </w:r>
      <w:r>
        <w:t xml:space="preserve">jvíce </w:t>
      </w:r>
      <w:proofErr w:type="spellStart"/>
      <w:r>
        <w:t>Bt</w:t>
      </w:r>
      <w:proofErr w:type="spellEnd"/>
      <w:r>
        <w:t xml:space="preserve"> kukuřice se v roce 2014</w:t>
      </w:r>
      <w:r w:rsidRPr="00722793">
        <w:t xml:space="preserve"> pěstovalo v</w:t>
      </w:r>
      <w:r>
        <w:t>e Středočeském</w:t>
      </w:r>
      <w:r w:rsidRPr="00722793">
        <w:t xml:space="preserve"> kraji</w:t>
      </w:r>
      <w:r>
        <w:t xml:space="preserve"> (vč. Prahy), dále v kraji Plzeňském</w:t>
      </w:r>
      <w:r w:rsidRPr="00722793">
        <w:t xml:space="preserve"> a </w:t>
      </w:r>
      <w:r>
        <w:t>Zlínském</w:t>
      </w:r>
      <w:r w:rsidRPr="00722793">
        <w:t xml:space="preserve"> (tab. T8.8/03).</w:t>
      </w:r>
    </w:p>
    <w:p w:rsidR="00567C4A" w:rsidRPr="002E47CA" w:rsidRDefault="00567C4A" w:rsidP="000B7BEE">
      <w:pPr>
        <w:pStyle w:val="mezera"/>
      </w:pPr>
    </w:p>
    <w:p w:rsidR="00567C4A" w:rsidRPr="002E47CA" w:rsidRDefault="00567C4A" w:rsidP="000B7BEE">
      <w:pPr>
        <w:pStyle w:val="mezera"/>
      </w:pPr>
      <w:r w:rsidRPr="002E47CA">
        <w:rPr>
          <w:noProof/>
          <w:lang w:eastAsia="cs-CZ"/>
        </w:rPr>
        <w:drawing>
          <wp:inline distT="0" distB="0" distL="0" distR="0" wp14:anchorId="7C8FF4B6" wp14:editId="39ABE0CE">
            <wp:extent cx="3975100" cy="295910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75100" cy="2959100"/>
                    </a:xfrm>
                    <a:prstGeom prst="rect">
                      <a:avLst/>
                    </a:prstGeom>
                    <a:noFill/>
                    <a:ln>
                      <a:noFill/>
                    </a:ln>
                  </pic:spPr>
                </pic:pic>
              </a:graphicData>
            </a:graphic>
          </wp:inline>
        </w:drawing>
      </w:r>
    </w:p>
    <w:p w:rsidR="00567C4A" w:rsidRPr="002E47CA" w:rsidRDefault="00567C4A" w:rsidP="000B7BEE">
      <w:pPr>
        <w:pStyle w:val="mezera"/>
      </w:pPr>
    </w:p>
    <w:p w:rsidR="00567C4A" w:rsidRDefault="00567C4A" w:rsidP="000B7BEE">
      <w:r w:rsidRPr="007539BE">
        <w:t>V oblasti právního rámce v roce 2014 došlo s účinností</w:t>
      </w:r>
      <w:r>
        <w:t xml:space="preserve"> od 1. 1. 2014</w:t>
      </w:r>
      <w:r w:rsidRPr="007539BE">
        <w:t xml:space="preserve"> ke změně zákona č. 78/2004 Sb., o nakládání s geneticky modifikovanými organismy a genetickými produkty, ve znění pozdějších předpisů.</w:t>
      </w:r>
    </w:p>
    <w:p w:rsidR="00567C4A" w:rsidRPr="007539BE" w:rsidRDefault="00567C4A" w:rsidP="000B7BEE">
      <w:r w:rsidRPr="007539BE">
        <w:t>Od 1. ledna 2014 došlo ke spojení ÚKZÚZ a SRS. Součástí ÚKZÚZ se tak staly některé útvary, které do 31. prosince 2013 existovaly samostatně jako SRS. Tyto útvary nadále zodpovídají svým dílem za kontrolu pravidel pěstování GM plodin na místě pěstování. Nadále provádějí kontroly a posouzení dopadu pěstování na životní prostředí.</w:t>
      </w:r>
    </w:p>
    <w:p w:rsidR="00567C4A" w:rsidRPr="009D11E3" w:rsidRDefault="00567C4A" w:rsidP="000B7BEE">
      <w:r w:rsidRPr="009D11E3">
        <w:t>Na základě dosavadních poznatků a s ohledem na stávající situaci v oblasti GMO v EU lze očekávat, že zájem českých pěstitelů o technologii, založenou na GM plodinách</w:t>
      </w:r>
      <w:r>
        <w:t>,</w:t>
      </w:r>
      <w:r w:rsidRPr="009D11E3">
        <w:t xml:space="preserve"> se bude vyvíjet úměrně s mírou tolerance GMO evropskými spotřebiteli, a s tím </w:t>
      </w:r>
      <w:r w:rsidR="00D45280" w:rsidRPr="00D45280">
        <w:t>spojeným vývojem předpisů EU</w:t>
      </w:r>
      <w:r w:rsidRPr="009D11E3">
        <w:t xml:space="preserve">. V ČR bude nadále existovat možnost výběru mezi pěstováním </w:t>
      </w:r>
      <w:proofErr w:type="spellStart"/>
      <w:r w:rsidRPr="009D11E3">
        <w:t>Bt</w:t>
      </w:r>
      <w:proofErr w:type="spellEnd"/>
      <w:r w:rsidRPr="009D11E3">
        <w:t xml:space="preserve"> kukuřice a konvenčním či ekologickým pěstováním.</w:t>
      </w:r>
    </w:p>
    <w:p w:rsidR="003B7071" w:rsidRPr="001B1FDF" w:rsidRDefault="003B7071" w:rsidP="001B1FDF">
      <w:pPr>
        <w:pStyle w:val="Nadpis1"/>
      </w:pPr>
      <w:bookmarkStart w:id="260" w:name="_Toc424307090"/>
      <w:r w:rsidRPr="001B1FDF">
        <w:lastRenderedPageBreak/>
        <w:t>9</w:t>
      </w:r>
      <w:r w:rsidRPr="001B1FDF">
        <w:tab/>
        <w:t>C</w:t>
      </w:r>
      <w:r w:rsidR="001B1FDF" w:rsidRPr="001B1FDF">
        <w:t>eny a trhy agrárních produktů a vstupů do zemědělství</w:t>
      </w:r>
      <w:bookmarkEnd w:id="260"/>
    </w:p>
    <w:p w:rsidR="00B60D53" w:rsidRPr="009134C4" w:rsidRDefault="00B60D53" w:rsidP="00B60D53">
      <w:pPr>
        <w:pStyle w:val="souhrn-kap"/>
      </w:pPr>
      <w:bookmarkStart w:id="261" w:name="_Toc388267733"/>
      <w:r w:rsidRPr="009134C4">
        <w:t>V roce 2014 došlo k meziročnímu snížení cen zemědělských výrobců o 3,7 %. Příčinou byl zejména pokles cen v rostlinné výrobě, který dostáhl v průměru 10,3 % a týkal se všech sledovaných komodit, zvláště obilovin (o 14,0 %) a ovoce (o 12,8 %). V živočišné výrobě cena zemědělských výrobců naopak vzrostla, a to o 4,9 %. K nárůstu však došlo pouze u mléka (o 13,1 %) a v malé míře u vajec (o 1,0 %), u ostatních sledovaných komodit byl zaznamenán pokles. Ceny vstupů do zemědělství byly v roce 2014 meziročně nižší o 1,3 %, přičemž se snížila především cena krmiv (o 7,2 %), umělých hnojiv a půdních zlepšovacích prostředků (o 3,1 %) a energií a maziv (o 2,3 %). V případě osiv a sadby byl pokles ceny v průměru minimální (o 0,8 %). Výjimkou byly mezi materiálovými vstupy chemické prostředky a pesticidy, jejichž cena se zvýšila o 4,0 %. Tržní úrokové sazby na peněžním trhu v roce 2014 nadále klesaly. Český agrární vývoz vzrostl v meziročním porovnání o 11,8 % na 179,5 mld. Kč a český agrární dovoz se zvýšil o 7,1 %, na 197,7 mld. Kč. V důsledku tohoto vývoje se zmenšil schodek bilance českého AZO o téměř jednu čtvrtinu na 18,2 mld. Kč a stupeň krytí dovozu vývozem se zlepšil o 3,8 p. b. na 90,8 %. Na poklesu tohoto schodku se největší měrou podílelo zvýšení aktivní bilance obchodu s cigaretami a pšenicí.</w:t>
      </w:r>
    </w:p>
    <w:p w:rsidR="003B7071" w:rsidRPr="001B1FDF" w:rsidRDefault="003B7071" w:rsidP="001B1FDF">
      <w:pPr>
        <w:pStyle w:val="Nadpis2"/>
      </w:pPr>
      <w:bookmarkStart w:id="262" w:name="_Toc424307091"/>
      <w:r w:rsidRPr="001B1FDF">
        <w:t>9.1</w:t>
      </w:r>
      <w:r w:rsidRPr="001B1FDF">
        <w:tab/>
        <w:t>Cenový vývoj na agrárním trhu ČR a EU</w:t>
      </w:r>
      <w:bookmarkEnd w:id="261"/>
      <w:bookmarkEnd w:id="262"/>
    </w:p>
    <w:p w:rsidR="003B7071" w:rsidRPr="009C4F3F" w:rsidRDefault="003B7071" w:rsidP="003B7071">
      <w:pPr>
        <w:rPr>
          <w:szCs w:val="24"/>
        </w:rPr>
      </w:pPr>
      <w:r w:rsidRPr="009C4F3F">
        <w:rPr>
          <w:szCs w:val="24"/>
        </w:rPr>
        <w:t>V roce 2014 došlo k meziročnímu snížení cen zemědělských výrobců o 3,7 %</w:t>
      </w:r>
      <w:r>
        <w:rPr>
          <w:szCs w:val="24"/>
        </w:rPr>
        <w:t xml:space="preserve"> (</w:t>
      </w:r>
      <w:r w:rsidR="00A44A34">
        <w:rPr>
          <w:szCs w:val="24"/>
        </w:rPr>
        <w:t>tab. </w:t>
      </w:r>
      <w:r>
        <w:rPr>
          <w:szCs w:val="24"/>
        </w:rPr>
        <w:t>T9.1/01)</w:t>
      </w:r>
      <w:r w:rsidRPr="009C4F3F">
        <w:rPr>
          <w:szCs w:val="24"/>
        </w:rPr>
        <w:t>. Ceny průmyslových výrobců potravinářských výrobků, nápojů a tabáku se ve stejné době snížily menší měrou, a to o 0,3 %, spotřebitelské ceny se zvýšily naopak výrazněji, a to o 2,0 %</w:t>
      </w:r>
      <w:r>
        <w:rPr>
          <w:szCs w:val="24"/>
        </w:rPr>
        <w:t>. C</w:t>
      </w:r>
      <w:r w:rsidRPr="009C4F3F">
        <w:rPr>
          <w:szCs w:val="24"/>
        </w:rPr>
        <w:t xml:space="preserve">eny vstupů do zemědělství meziročně </w:t>
      </w:r>
      <w:r>
        <w:rPr>
          <w:szCs w:val="24"/>
        </w:rPr>
        <w:t>poklesly</w:t>
      </w:r>
      <w:r w:rsidRPr="009C4F3F">
        <w:rPr>
          <w:szCs w:val="24"/>
        </w:rPr>
        <w:t xml:space="preserve"> o 1,3 %.</w:t>
      </w:r>
    </w:p>
    <w:p w:rsidR="003B7071" w:rsidRDefault="003B7071" w:rsidP="003B7071">
      <w:pPr>
        <w:pStyle w:val="mezera"/>
      </w:pPr>
    </w:p>
    <w:p w:rsidR="003B7071" w:rsidRDefault="003B7071" w:rsidP="003B7071">
      <w:pPr>
        <w:pStyle w:val="mezera"/>
      </w:pPr>
      <w:r w:rsidRPr="00593277">
        <w:rPr>
          <w:noProof/>
          <w:lang w:eastAsia="cs-CZ"/>
        </w:rPr>
        <w:drawing>
          <wp:inline distT="0" distB="0" distL="0" distR="0" wp14:anchorId="11DC0DE3" wp14:editId="420D8925">
            <wp:extent cx="5760720" cy="1599510"/>
            <wp:effectExtent l="0" t="0" r="0" b="127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720" cy="1599510"/>
                    </a:xfrm>
                    <a:prstGeom prst="rect">
                      <a:avLst/>
                    </a:prstGeom>
                    <a:noFill/>
                    <a:ln>
                      <a:noFill/>
                    </a:ln>
                  </pic:spPr>
                </pic:pic>
              </a:graphicData>
            </a:graphic>
          </wp:inline>
        </w:drawing>
      </w:r>
    </w:p>
    <w:p w:rsidR="003B7071" w:rsidRPr="009C4F3F" w:rsidRDefault="003B7071" w:rsidP="003B7071">
      <w:pPr>
        <w:pStyle w:val="mezera"/>
      </w:pPr>
    </w:p>
    <w:p w:rsidR="003B7071" w:rsidRDefault="003B7071" w:rsidP="003B7071">
      <w:pPr>
        <w:rPr>
          <w:szCs w:val="24"/>
        </w:rPr>
      </w:pPr>
      <w:r w:rsidRPr="009C4F3F">
        <w:rPr>
          <w:szCs w:val="24"/>
        </w:rPr>
        <w:t>Meziroční pokles CZV v rostlinné výrobě v roce 2014 dosáhl 10,3 %</w:t>
      </w:r>
      <w:r>
        <w:rPr>
          <w:szCs w:val="24"/>
        </w:rPr>
        <w:t xml:space="preserve"> a týkal se všech sledovaných komodit (</w:t>
      </w:r>
      <w:r w:rsidR="00A44A34">
        <w:rPr>
          <w:szCs w:val="24"/>
        </w:rPr>
        <w:t xml:space="preserve">tab. </w:t>
      </w:r>
      <w:r>
        <w:rPr>
          <w:szCs w:val="24"/>
        </w:rPr>
        <w:t xml:space="preserve">T9.1/02). Nejvýrazněji se snížila cena obilovin (o 14 %), ovoce (o 12,8 %) a brambor (o 10,4 %). U obilovin a zvláště u brambor však došlo v předchozím roce k meziročnímu nárůstu ceny. Pouze nepatrné meziroční snížení ceny bylo v roce 2014 zaznamenáno u cukrové řepy (v roce 2013 naproti tomu nepatrně vzrostla). Meziroční pokles v roce 2014 i v roce 2013 zaznamenala cena </w:t>
      </w:r>
      <w:r w:rsidRPr="009C4F3F">
        <w:rPr>
          <w:szCs w:val="24"/>
        </w:rPr>
        <w:t>olejnin.</w:t>
      </w:r>
    </w:p>
    <w:p w:rsidR="003B7071" w:rsidRPr="009C4F3F" w:rsidRDefault="003B7071" w:rsidP="003B7071">
      <w:pPr>
        <w:pStyle w:val="mezera"/>
      </w:pPr>
    </w:p>
    <w:p w:rsidR="003B7071" w:rsidRPr="000033B7" w:rsidRDefault="003B7071" w:rsidP="003B7071">
      <w:pPr>
        <w:pStyle w:val="mezera"/>
      </w:pPr>
      <w:r w:rsidRPr="00593277">
        <w:rPr>
          <w:noProof/>
          <w:lang w:eastAsia="cs-CZ"/>
        </w:rPr>
        <w:lastRenderedPageBreak/>
        <w:drawing>
          <wp:inline distT="0" distB="0" distL="0" distR="0" wp14:anchorId="1C531574" wp14:editId="3A6AC1C8">
            <wp:extent cx="5760720" cy="1873678"/>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0720" cy="1873678"/>
                    </a:xfrm>
                    <a:prstGeom prst="rect">
                      <a:avLst/>
                    </a:prstGeom>
                    <a:noFill/>
                    <a:ln>
                      <a:noFill/>
                    </a:ln>
                  </pic:spPr>
                </pic:pic>
              </a:graphicData>
            </a:graphic>
          </wp:inline>
        </w:drawing>
      </w:r>
    </w:p>
    <w:p w:rsidR="003B7071" w:rsidRDefault="003B7071" w:rsidP="003B7071">
      <w:pPr>
        <w:pStyle w:val="mezera"/>
      </w:pPr>
    </w:p>
    <w:p w:rsidR="003B7071" w:rsidRDefault="003B7071" w:rsidP="00E406EF">
      <w:r>
        <w:t>C</w:t>
      </w:r>
      <w:r w:rsidRPr="0084749A">
        <w:t xml:space="preserve">eny hlavních obilovin </w:t>
      </w:r>
      <w:r>
        <w:t>se na evropských burzách pohybovaly ve srovnání s předchozím rokem na nižších úrovních a v letních měsících roku 2014 došlo k jejich dlouhodobému poklesu, což bylo způsobeno především vysokým objemem sklizně ve velké míře kvalitního zrna ve většině producentských zemí EU. Pokles cen obilovin se projevil i na tuzemském trhu, kde podobně jako na evropských trzích poklesla průměrná cena meziročně o cca 10</w:t>
      </w:r>
      <w:r>
        <w:noBreakHyphen/>
        <w:t>20 %. Koncem roku již ceny rostly a předpokládá se mírný růst i v prvním pololetí roku 2015.</w:t>
      </w:r>
    </w:p>
    <w:p w:rsidR="003B7071" w:rsidRPr="0084749A" w:rsidRDefault="003B7071" w:rsidP="003B7071">
      <w:pPr>
        <w:pStyle w:val="mezera"/>
      </w:pPr>
    </w:p>
    <w:p w:rsidR="003B7071" w:rsidRPr="002C4804" w:rsidRDefault="003B7071" w:rsidP="001B1FDF">
      <w:pPr>
        <w:pStyle w:val="mezera"/>
        <w:rPr>
          <w:szCs w:val="24"/>
        </w:rPr>
      </w:pPr>
      <w:r w:rsidRPr="002C4804">
        <w:rPr>
          <w:noProof/>
          <w:lang w:eastAsia="cs-CZ"/>
        </w:rPr>
        <w:drawing>
          <wp:inline distT="0" distB="0" distL="0" distR="0" wp14:anchorId="2C98E9CD" wp14:editId="014E36A4">
            <wp:extent cx="5760720" cy="4249721"/>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720" cy="4249721"/>
                    </a:xfrm>
                    <a:prstGeom prst="rect">
                      <a:avLst/>
                    </a:prstGeom>
                    <a:noFill/>
                    <a:ln>
                      <a:noFill/>
                    </a:ln>
                  </pic:spPr>
                </pic:pic>
              </a:graphicData>
            </a:graphic>
          </wp:inline>
        </w:drawing>
      </w:r>
    </w:p>
    <w:p w:rsidR="003B7071" w:rsidRPr="002C4804" w:rsidRDefault="003B7071" w:rsidP="003B7071">
      <w:pPr>
        <w:pStyle w:val="mezera"/>
      </w:pPr>
    </w:p>
    <w:p w:rsidR="003B7071" w:rsidRDefault="003B7071" w:rsidP="002C4804">
      <w:r w:rsidRPr="0084749A">
        <w:t>Cen</w:t>
      </w:r>
      <w:r>
        <w:t>y řepky zaznamenaly</w:t>
      </w:r>
      <w:r w:rsidRPr="0084749A">
        <w:t xml:space="preserve"> obdobný vývoj jako ceny obilovin. Průměrné roční obchodní ceny na hlavních evropských burzách poklesly v důsledku vy</w:t>
      </w:r>
      <w:r>
        <w:t>soké</w:t>
      </w:r>
      <w:r w:rsidRPr="0084749A">
        <w:t xml:space="preserve"> nabídky řepk</w:t>
      </w:r>
      <w:r>
        <w:t xml:space="preserve">ového semene </w:t>
      </w:r>
      <w:r>
        <w:lastRenderedPageBreak/>
        <w:t>na dlouhodobě nejnižší hodnoty</w:t>
      </w:r>
      <w:r w:rsidRPr="0084749A">
        <w:t>,</w:t>
      </w:r>
      <w:r>
        <w:t xml:space="preserve"> v průměru hlavních německých burz na úroveň okolo 350 </w:t>
      </w:r>
      <w:r w:rsidR="00CB40B6">
        <w:t>€</w:t>
      </w:r>
      <w:r>
        <w:t>/t.</w:t>
      </w:r>
    </w:p>
    <w:p w:rsidR="003B7071" w:rsidRPr="009C4F3F" w:rsidRDefault="003B7071" w:rsidP="002C4804">
      <w:pPr>
        <w:rPr>
          <w:rFonts w:ascii="Arial" w:hAnsi="Arial" w:cs="Arial"/>
        </w:rPr>
      </w:pPr>
      <w:r w:rsidRPr="009C4F3F">
        <w:t>CZV brambor se na českém trhu v roce 2014 meziročně výrazně snížila, a to o 21,1 %</w:t>
      </w:r>
      <w:r>
        <w:t xml:space="preserve"> </w:t>
      </w:r>
      <w:r w:rsidRPr="009C4F3F">
        <w:t>na 176,7 €/t. V korunovém vyjádření pěstitelé realizovali produkci brambor konzumních v roce 2013 za 5 814 Kč/t a v roce 2014 za 4 865 Kč/t. Skupina zemí EU 5 (Německo, Francie, Nizozemsko, Velká Británie a Belgie) realizovala svoji produkci za nižší průměrnou cenu než v roce předchozím. Dle předběžných dat se očekává v roce 2014 meziroční snížení této ceny o 16,1 % na 253,6 €/t (6 982 Kč/t)</w:t>
      </w:r>
      <w:r w:rsidRPr="009C4F3F">
        <w:rPr>
          <w:rFonts w:ascii="Arial" w:hAnsi="Arial" w:cs="Arial"/>
        </w:rPr>
        <w:t>.</w:t>
      </w:r>
    </w:p>
    <w:p w:rsidR="003B7071" w:rsidRPr="00264865" w:rsidRDefault="003B7071" w:rsidP="003B7071">
      <w:pPr>
        <w:pStyle w:val="mezera"/>
      </w:pPr>
    </w:p>
    <w:p w:rsidR="003B7071" w:rsidRPr="009C4F3F" w:rsidRDefault="003B7071" w:rsidP="003B7071">
      <w:pPr>
        <w:pStyle w:val="mezera"/>
      </w:pPr>
      <w:r w:rsidRPr="00927A95">
        <w:rPr>
          <w:noProof/>
          <w:lang w:eastAsia="cs-CZ"/>
        </w:rPr>
        <w:drawing>
          <wp:inline distT="0" distB="0" distL="0" distR="0" wp14:anchorId="3092EAE6" wp14:editId="0F4A51AD">
            <wp:extent cx="5760720" cy="1662882"/>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60720" cy="1662882"/>
                    </a:xfrm>
                    <a:prstGeom prst="rect">
                      <a:avLst/>
                    </a:prstGeom>
                    <a:noFill/>
                    <a:ln>
                      <a:noFill/>
                    </a:ln>
                  </pic:spPr>
                </pic:pic>
              </a:graphicData>
            </a:graphic>
          </wp:inline>
        </w:drawing>
      </w:r>
    </w:p>
    <w:p w:rsidR="003B7071" w:rsidRPr="009C4F3F" w:rsidRDefault="003B7071" w:rsidP="003B7071">
      <w:pPr>
        <w:pStyle w:val="mezera"/>
      </w:pPr>
    </w:p>
    <w:p w:rsidR="003B7071" w:rsidRPr="009C4F3F" w:rsidRDefault="003B7071" w:rsidP="003B7071">
      <w:r w:rsidRPr="009C4F3F">
        <w:t>Průměrný nárůst CZV živočišných komodit byl v roce 2014 ve srovnání s rokem 2013 vyšší o 1,1 p. b. a činil 4,9 %</w:t>
      </w:r>
      <w:r>
        <w:t xml:space="preserve"> (</w:t>
      </w:r>
      <w:r w:rsidR="00A44A34">
        <w:t xml:space="preserve">tab. </w:t>
      </w:r>
      <w:r>
        <w:t>T9.1/04)</w:t>
      </w:r>
      <w:r w:rsidRPr="009C4F3F">
        <w:t>. Nejvýraznější meziroční zvýšení cen</w:t>
      </w:r>
      <w:r>
        <w:t>y bylo</w:t>
      </w:r>
      <w:r w:rsidRPr="009C4F3F">
        <w:t xml:space="preserve"> zaznamenáno u</w:t>
      </w:r>
      <w:r>
        <w:t> </w:t>
      </w:r>
      <w:r w:rsidRPr="009C4F3F">
        <w:t>mléka (o 13,1 %)</w:t>
      </w:r>
      <w:r>
        <w:t xml:space="preserve"> a k mírnému zvýšení</w:t>
      </w:r>
      <w:r w:rsidRPr="009C4F3F">
        <w:t xml:space="preserve"> </w:t>
      </w:r>
      <w:r>
        <w:t xml:space="preserve">ceny došlo i </w:t>
      </w:r>
      <w:r w:rsidRPr="009C4F3F">
        <w:t>u vajec (o 1,0 %)</w:t>
      </w:r>
      <w:r>
        <w:t xml:space="preserve">. Naopak </w:t>
      </w:r>
      <w:r w:rsidRPr="009C4F3F">
        <w:t>snížení ceny bylo vykázáno u drůbeže (o 2,3 %)</w:t>
      </w:r>
      <w:r>
        <w:t>,</w:t>
      </w:r>
      <w:r w:rsidRPr="009C4F3F">
        <w:t xml:space="preserve"> jatečného skotu a prasat (</w:t>
      </w:r>
      <w:r>
        <w:t xml:space="preserve">v obou případech </w:t>
      </w:r>
      <w:r w:rsidRPr="009C4F3F">
        <w:t>o 1,3 %).</w:t>
      </w:r>
    </w:p>
    <w:p w:rsidR="003B7071" w:rsidRPr="009C4F3F" w:rsidRDefault="003B7071" w:rsidP="003B7071">
      <w:r w:rsidRPr="009C4F3F">
        <w:t xml:space="preserve">Ceny jatečného skotu </w:t>
      </w:r>
      <w:r>
        <w:t xml:space="preserve">na </w:t>
      </w:r>
      <w:r w:rsidRPr="009C4F3F">
        <w:t xml:space="preserve">reprezentativních trzích EU 28, které v roce 2012 a 2013 dosahovaly nejvyšší úrovně od roku 2006, v roce 2014 meziročně klesly. Hlavním důvodem byl mírný útlum spotřebitelské poptávky po hovězím mase při slabém navýšení produkce. </w:t>
      </w:r>
      <w:r>
        <w:t>V</w:t>
      </w:r>
      <w:r w:rsidRPr="009C4F3F">
        <w:t xml:space="preserve"> rámci jatečného skotu celkem </w:t>
      </w:r>
      <w:r>
        <w:t>se meziročně v</w:t>
      </w:r>
      <w:r w:rsidRPr="009C4F3F">
        <w:t xml:space="preserve"> EU </w:t>
      </w:r>
      <w:r>
        <w:t xml:space="preserve">nejmírněji snížila </w:t>
      </w:r>
      <w:r w:rsidRPr="009C4F3F">
        <w:t>průměrná CZV mladých jatečných býků R3</w:t>
      </w:r>
      <w:r>
        <w:t>, a to</w:t>
      </w:r>
      <w:r w:rsidRPr="009C4F3F">
        <w:t xml:space="preserve"> o 3,6 % (tj. o 13,6 €/100 kg j. hm.) na 367,6 €/100 kg j. hm. K jejímu poklesu došlo téměř ve všech členských zemí EU kromě Portugalska (nárůst o 2,0 %) </w:t>
      </w:r>
      <w:r>
        <w:t>v rozmezí od 0,3 % do 12,9 </w:t>
      </w:r>
      <w:r w:rsidRPr="009C4F3F">
        <w:t>%. Z </w:t>
      </w:r>
      <w:proofErr w:type="spellStart"/>
      <w:r w:rsidRPr="009C4F3F">
        <w:t>producentsky</w:t>
      </w:r>
      <w:proofErr w:type="spellEnd"/>
      <w:r w:rsidRPr="009C4F3F">
        <w:t xml:space="preserve"> nejvýznamnějších zemí Unie zaznamenala největší meziroční pokles cena m</w:t>
      </w:r>
      <w:r>
        <w:t xml:space="preserve">ladých jatečných býků v Irsku (o </w:t>
      </w:r>
      <w:r w:rsidRPr="009C4F3F">
        <w:t>11,8 % na 351,2 €/100 kg j. hm.</w:t>
      </w:r>
      <w:r>
        <w:t xml:space="preserve">) a ve Velké Británii (o </w:t>
      </w:r>
      <w:r w:rsidRPr="009C4F3F">
        <w:t>6,1 % na 400,4 €/100 kg</w:t>
      </w:r>
      <w:r>
        <w:t>)</w:t>
      </w:r>
      <w:r w:rsidRPr="009C4F3F">
        <w:t>. Naopak její nejmírnější pokles byl evidován ve Španělsku a </w:t>
      </w:r>
      <w:r>
        <w:t xml:space="preserve">v </w:t>
      </w:r>
      <w:r w:rsidRPr="009C4F3F">
        <w:t>Polsku (u obou sh</w:t>
      </w:r>
      <w:r>
        <w:t>odně o 2,2 %). V ČR</w:t>
      </w:r>
      <w:r w:rsidRPr="009C4F3F">
        <w:t xml:space="preserve"> cena jatečných býků vyjádřená v eurech v roce 2014 proti roku 2013 oslabila o 3,7 %, zatímco v korunách vykázala stagnaci.</w:t>
      </w:r>
    </w:p>
    <w:p w:rsidR="003B7071" w:rsidRDefault="003B7071" w:rsidP="003B7071">
      <w:r w:rsidRPr="009C4F3F">
        <w:t>CZV jatečných jalovic R3 se v průměru EU meziročně snížila o 4,4 % (</w:t>
      </w:r>
      <w:r>
        <w:t xml:space="preserve">tj. </w:t>
      </w:r>
      <w:r w:rsidRPr="009C4F3F">
        <w:t>o 1</w:t>
      </w:r>
      <w:r w:rsidR="002623D9">
        <w:t>8,2 €/100 kg j. hm.) na 393,4 €/100 kg </w:t>
      </w:r>
      <w:r w:rsidRPr="009C4F3F">
        <w:t>j</w:t>
      </w:r>
      <w:r>
        <w:t xml:space="preserve">. hm. Nejvýraznější pokles ceny </w:t>
      </w:r>
      <w:r w:rsidRPr="009C4F3F">
        <w:t>v</w:t>
      </w:r>
      <w:r w:rsidR="002623D9">
        <w:t xml:space="preserve"> </w:t>
      </w:r>
      <w:r w:rsidRPr="009C4F3F">
        <w:t>rámci j</w:t>
      </w:r>
      <w:r>
        <w:t xml:space="preserve">ednotlivých kategorií jatečného </w:t>
      </w:r>
      <w:r w:rsidRPr="009C4F3F">
        <w:t>skotu byl v roce 2014 evidován u jatečných krav O3</w:t>
      </w:r>
      <w:r>
        <w:t>,</w:t>
      </w:r>
      <w:r w:rsidRPr="009C4F3F">
        <w:t xml:space="preserve"> a to </w:t>
      </w:r>
      <w:r w:rsidRPr="009C4F3F">
        <w:lastRenderedPageBreak/>
        <w:t>o 8,1 % (tj.</w:t>
      </w:r>
      <w:r>
        <w:t xml:space="preserve"> </w:t>
      </w:r>
      <w:r w:rsidRPr="009C4F3F">
        <w:t>o 25,3 €/100 kg j. hm.) na 285,7 €/100 kg j. hm. Hlavním důvodem byl nárůst počtu poražených krav proti roku 2013 o 2,5 %.</w:t>
      </w:r>
    </w:p>
    <w:p w:rsidR="003B7071" w:rsidRDefault="003B7071" w:rsidP="003B7071">
      <w:r w:rsidRPr="009C4F3F">
        <w:t xml:space="preserve">Téměř o 11 % (tj. o 18,9 €/100 kg j. hm.) se snížily </w:t>
      </w:r>
      <w:r>
        <w:t xml:space="preserve">v roce 2014 </w:t>
      </w:r>
      <w:r w:rsidRPr="009C4F3F">
        <w:t xml:space="preserve">v meziročním srovnání průměrné CZV jatečných prasat tř. E na reprezentativních trzích EU. Rekordně vysoké ceny vepřového masa, které byly dosaženy na Unijním trhu v letech 2012 a 2013, začaly od druhé poloviny roku 2014 prudce padat. V polovině října se již nacházely CZV jatečných prasat výrazně pod úrovní cen pětiletého průměru 2010-2014. Dlouhodobě vysoké ceny jatečných prasat v předchozích dvou letech, nárůst porážek jatečných prasat ve druhém pololetí roku 2014, </w:t>
      </w:r>
      <w:r w:rsidR="005227F9">
        <w:t>sezon</w:t>
      </w:r>
      <w:r w:rsidRPr="009C4F3F">
        <w:t>nost cen a uzavřené trhy Ruska, to byly faktory, které na tento výrazný pád cen působily.</w:t>
      </w:r>
    </w:p>
    <w:p w:rsidR="003B7071" w:rsidRDefault="003B7071" w:rsidP="003B7071">
      <w:r w:rsidRPr="009C4F3F">
        <w:t xml:space="preserve">K poklesu ceny došlo v roce 2014 ve všech členských zemích, kromě Velké Británie (nárůst o 0,9 %) a dále Malty a Kypru. Z nejvýznamnějších producentů EU 15 byl více než desetiprocentní pokles ceny evidován ve Španělsku (o 12,4 %), v Nizozemsku (o 12,0 %), Belgii (o 11,6 %) a ve Francii (o 10,3 %). Z nových členských zemí se výrazně </w:t>
      </w:r>
      <w:r>
        <w:t xml:space="preserve">meziročně </w:t>
      </w:r>
      <w:r w:rsidRPr="009C4F3F">
        <w:t>snížila cena jatečných prasat v Rumunsku (o 13,2 %), Litvě (o 12,7 %), Polsku (o 10,9 %) a Lotyšsku (o 10,5 %). Rozdíl mezi nejvyšší průměrnou roční cenou jatečných prasat (Malta) a nejnižší (Nizozemsko) představoval necelých 99 €/100 kg j. hm.</w:t>
      </w:r>
    </w:p>
    <w:p w:rsidR="003B7071" w:rsidRDefault="003B7071" w:rsidP="003B7071">
      <w:r w:rsidRPr="009C4F3F">
        <w:t>Proti pětileté</w:t>
      </w:r>
      <w:r>
        <w:t>mu průměru let</w:t>
      </w:r>
      <w:r w:rsidRPr="009C4F3F">
        <w:t xml:space="preserve"> 2010</w:t>
      </w:r>
      <w:r w:rsidRPr="009C4F3F">
        <w:noBreakHyphen/>
        <w:t xml:space="preserve">2014 </w:t>
      </w:r>
      <w:r>
        <w:t>byla</w:t>
      </w:r>
      <w:r w:rsidRPr="009C4F3F">
        <w:t xml:space="preserve"> v EU </w:t>
      </w:r>
      <w:r>
        <w:t>cena jatečných prasat v EU v roce 2014 vyšší o </w:t>
      </w:r>
      <w:r w:rsidRPr="009C4F3F">
        <w:t>1,7 % (o 2,61 €/100 kg j. hm.), z toho např. v Německu o 1,7 % (</w:t>
      </w:r>
      <w:r>
        <w:t>o </w:t>
      </w:r>
      <w:r w:rsidRPr="009C4F3F">
        <w:t>2,65 €/100 kg j. hm.), v Polsku o 2,0 % (</w:t>
      </w:r>
      <w:r>
        <w:t>o </w:t>
      </w:r>
      <w:r w:rsidRPr="009C4F3F">
        <w:t>3,04 €/100 kg. j. hm.), v Německu o 4,5 % (o 6,19</w:t>
      </w:r>
      <w:r>
        <w:t> </w:t>
      </w:r>
      <w:r w:rsidRPr="009C4F3F">
        <w:t>€/100 kg j. hm.) a </w:t>
      </w:r>
      <w:r>
        <w:t>Č</w:t>
      </w:r>
      <w:r w:rsidRPr="009C4F3F">
        <w:t>R o 1,9 % (o 2,99 €/100 kg j. hm), naopak ke snížení CZV došlo např. v Rakousku o 0,9 % (</w:t>
      </w:r>
      <w:r>
        <w:t xml:space="preserve">o </w:t>
      </w:r>
      <w:r w:rsidRPr="009C4F3F">
        <w:t>1,51 €/100 kg j. hm.).</w:t>
      </w:r>
    </w:p>
    <w:p w:rsidR="003B7071" w:rsidRDefault="003B7071" w:rsidP="003B7071">
      <w:r w:rsidRPr="009C4F3F">
        <w:t xml:space="preserve">CZV </w:t>
      </w:r>
      <w:r>
        <w:t xml:space="preserve">jednotlivých kategorií </w:t>
      </w:r>
      <w:r w:rsidRPr="009C4F3F">
        <w:t xml:space="preserve">drůbeže v ČR </w:t>
      </w:r>
      <w:r>
        <w:t>se v roce 2014 chovala</w:t>
      </w:r>
      <w:r w:rsidRPr="009C4F3F">
        <w:t xml:space="preserve"> rozdílně. Meziroční </w:t>
      </w:r>
      <w:r>
        <w:t>snížení</w:t>
      </w:r>
      <w:r w:rsidRPr="009C4F3F">
        <w:t xml:space="preserve"> </w:t>
      </w:r>
      <w:r>
        <w:t>ceny</w:t>
      </w:r>
      <w:r w:rsidRPr="009C4F3F">
        <w:t xml:space="preserve"> nastal</w:t>
      </w:r>
      <w:r>
        <w:t>o u jatečných kuřat a dosáhlo 3,6 %. Důležitým faktorem byl pokles</w:t>
      </w:r>
      <w:r w:rsidRPr="009C4F3F">
        <w:t xml:space="preserve"> ceny krmných směsí pro brojlery o 6,0 %.</w:t>
      </w:r>
      <w:r>
        <w:t xml:space="preserve"> Naopak u </w:t>
      </w:r>
      <w:r w:rsidRPr="009C4F3F">
        <w:t xml:space="preserve">krůt došlo </w:t>
      </w:r>
      <w:r>
        <w:t>ke zvýšení C</w:t>
      </w:r>
      <w:r w:rsidR="002623D9">
        <w:t>Z</w:t>
      </w:r>
      <w:r>
        <w:t xml:space="preserve">V o 4,8 % a mírný </w:t>
      </w:r>
      <w:r w:rsidRPr="009C4F3F">
        <w:t>nárůs</w:t>
      </w:r>
      <w:r>
        <w:t>t ceny byl zaznamenán také u kachen (o 0,2 %).</w:t>
      </w:r>
    </w:p>
    <w:p w:rsidR="003B7071" w:rsidRDefault="003B7071" w:rsidP="003B7071">
      <w:r w:rsidRPr="009C4F3F">
        <w:t>CPV jatečných kuřat na trhu</w:t>
      </w:r>
      <w:r>
        <w:t xml:space="preserve"> EU</w:t>
      </w:r>
      <w:r w:rsidRPr="009C4F3F">
        <w:t xml:space="preserve"> se v roce 2014 </w:t>
      </w:r>
      <w:r>
        <w:t xml:space="preserve">vzhledem k roku </w:t>
      </w:r>
      <w:r w:rsidRPr="009C4F3F">
        <w:t xml:space="preserve">2013 </w:t>
      </w:r>
      <w:r>
        <w:t xml:space="preserve">vlivem nižších nákladů na krmiva snížila </w:t>
      </w:r>
      <w:r w:rsidRPr="009C4F3F">
        <w:t>o 2,0 % (tj. o 3,9 €/100 kg). K meziročnímu poklesu ceny došlo ve většině zemí EU. Nejvyšší pokles nastal na Slovensku (</w:t>
      </w:r>
      <w:r>
        <w:t xml:space="preserve">o </w:t>
      </w:r>
      <w:r w:rsidRPr="009C4F3F">
        <w:t xml:space="preserve">10,0 %), </w:t>
      </w:r>
      <w:r>
        <w:t>v České republice (o 5,9 %) a v Itálii</w:t>
      </w:r>
      <w:r w:rsidRPr="009C4F3F">
        <w:t xml:space="preserve"> (</w:t>
      </w:r>
      <w:r>
        <w:t>o </w:t>
      </w:r>
      <w:r w:rsidRPr="009C4F3F">
        <w:t>5,4 %). K výraznějšímu nárůstu ceny došlo v porovnání s rokem 2013 ve Velké Británii (</w:t>
      </w:r>
      <w:r>
        <w:t xml:space="preserve">o </w:t>
      </w:r>
      <w:r w:rsidRPr="009C4F3F">
        <w:t>6,7 %), mírnější nárůst byl zaznamenán v Nizozemsku (</w:t>
      </w:r>
      <w:r>
        <w:t>o </w:t>
      </w:r>
      <w:r w:rsidRPr="009C4F3F">
        <w:t>2,2 %) a</w:t>
      </w:r>
      <w:r>
        <w:t> </w:t>
      </w:r>
      <w:r w:rsidRPr="009C4F3F">
        <w:t>Německu (</w:t>
      </w:r>
      <w:r>
        <w:t xml:space="preserve">o </w:t>
      </w:r>
      <w:r w:rsidRPr="009C4F3F">
        <w:t>1,5 %)</w:t>
      </w:r>
      <w:r w:rsidR="002623D9">
        <w:t>.</w:t>
      </w:r>
    </w:p>
    <w:p w:rsidR="003B7071" w:rsidRDefault="003B7071" w:rsidP="003B7071">
      <w:pPr>
        <w:pStyle w:val="mezera"/>
      </w:pPr>
    </w:p>
    <w:p w:rsidR="003B7071" w:rsidRDefault="002623D9" w:rsidP="003B7071">
      <w:pPr>
        <w:pStyle w:val="mezera"/>
      </w:pPr>
      <w:r w:rsidRPr="002623D9">
        <w:rPr>
          <w:noProof/>
          <w:lang w:eastAsia="cs-CZ"/>
        </w:rPr>
        <w:lastRenderedPageBreak/>
        <w:drawing>
          <wp:inline distT="0" distB="0" distL="0" distR="0" wp14:anchorId="312C09D7" wp14:editId="018250D8">
            <wp:extent cx="5760720" cy="4737842"/>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60720" cy="4737842"/>
                    </a:xfrm>
                    <a:prstGeom prst="rect">
                      <a:avLst/>
                    </a:prstGeom>
                    <a:noFill/>
                    <a:ln>
                      <a:noFill/>
                    </a:ln>
                  </pic:spPr>
                </pic:pic>
              </a:graphicData>
            </a:graphic>
          </wp:inline>
        </w:drawing>
      </w:r>
    </w:p>
    <w:p w:rsidR="003B7071" w:rsidRDefault="003B7071" w:rsidP="003B7071">
      <w:pPr>
        <w:pStyle w:val="mezera"/>
      </w:pPr>
    </w:p>
    <w:p w:rsidR="003B7071" w:rsidRPr="004A3AF0" w:rsidRDefault="003B7071" w:rsidP="003B7071">
      <w:r w:rsidRPr="009C4F3F">
        <w:t xml:space="preserve">CZV mléka v ČR sice během roku </w:t>
      </w:r>
      <w:r>
        <w:t xml:space="preserve">2014 </w:t>
      </w:r>
      <w:r w:rsidRPr="009C4F3F">
        <w:t xml:space="preserve">klesala, ale stále si držela vysokou úroveň a její průměrná roční hodnota vysoko převýšila hodnotu v předchozím roce. Pokles reagoval na vysokou nabídku mléka na světovém i evropském trhu, pocházející ze všech hlavních produkčních a vývozních regionů a na umírněnou poptávku z jihovýchodní Asie. Odbytové podmínky na mezinárodním trhu se však před koncem roku zlepšily. Průměrná CZV mléka 1. a Q tř. j. se podle ČSÚ meziročně zvýšila o 13,1 %, což je </w:t>
      </w:r>
      <w:r>
        <w:t>zřetelně výraznější</w:t>
      </w:r>
      <w:r w:rsidRPr="009C4F3F">
        <w:t xml:space="preserve"> zvýšení než ve sledovaných zemích EU (Německo, Nizozemsko a Polsko). Z důvodu ztížené odbytové situace klesly průměrné roční CPV komoditních mlékárenských výrobků (sušená mléka a máslo) na světovém trhu meziročně o 7 až 19 %. V ČR se průměrné roční CPV komoditních mlékárenských výrobků blížily hodnotám v předchozím roce, CPV některých sledovaných čerstvých výrobků však klesly. Ve srovnání s okolními zeměmi EU a s významn</w:t>
      </w:r>
      <w:r>
        <w:t>ými evropskými producenty byl ná</w:t>
      </w:r>
      <w:r w:rsidRPr="009C4F3F">
        <w:t>růst CZV mléka v ČR výrazně vyšší. V</w:t>
      </w:r>
      <w:r>
        <w:t> Nizozemsku se</w:t>
      </w:r>
      <w:r w:rsidRPr="009C4F3F">
        <w:t xml:space="preserve"> CZV meziročně zvýšila o </w:t>
      </w:r>
      <w:r>
        <w:t>1,2 %,</w:t>
      </w:r>
      <w:r w:rsidRPr="009C4F3F">
        <w:t xml:space="preserve"> </w:t>
      </w:r>
      <w:r>
        <w:t>v Polsku o 1,1 % a v Německu byla vyšší jen o 0,1 %.</w:t>
      </w:r>
    </w:p>
    <w:p w:rsidR="003B7071" w:rsidRPr="001B1FDF" w:rsidRDefault="003B7071" w:rsidP="001B1FDF">
      <w:pPr>
        <w:pStyle w:val="Nadpis2"/>
      </w:pPr>
      <w:bookmarkStart w:id="263" w:name="_Toc424307092"/>
      <w:r w:rsidRPr="001B1FDF">
        <w:lastRenderedPageBreak/>
        <w:t>9.2</w:t>
      </w:r>
      <w:r w:rsidRPr="001B1FDF">
        <w:tab/>
        <w:t>Agrární zahraniční obchod</w:t>
      </w:r>
      <w:bookmarkEnd w:id="146"/>
      <w:bookmarkEnd w:id="263"/>
    </w:p>
    <w:p w:rsidR="003B7071" w:rsidRPr="001B1FDF" w:rsidRDefault="003B7071" w:rsidP="001B1FDF">
      <w:pPr>
        <w:pStyle w:val="Nadpis3"/>
      </w:pPr>
      <w:bookmarkStart w:id="264" w:name="_Toc328053863"/>
      <w:bookmarkStart w:id="265" w:name="_Toc424307093"/>
      <w:r w:rsidRPr="001B1FDF">
        <w:t>9.2.1</w:t>
      </w:r>
      <w:r w:rsidRPr="001B1FDF">
        <w:tab/>
        <w:t>Obecná charakteristika základních tendencí v agrárním</w:t>
      </w:r>
      <w:r w:rsidRPr="009B5FB9">
        <w:rPr>
          <w:rStyle w:val="Znakapoznpodarou"/>
        </w:rPr>
        <w:footnoteReference w:id="156"/>
      </w:r>
      <w:r w:rsidRPr="001B1FDF">
        <w:t xml:space="preserve"> zahraničním obchodě</w:t>
      </w:r>
      <w:bookmarkEnd w:id="264"/>
      <w:bookmarkEnd w:id="265"/>
    </w:p>
    <w:p w:rsidR="003B7071" w:rsidRDefault="003B7071" w:rsidP="003B7071">
      <w:r w:rsidRPr="00ED3ECD">
        <w:t xml:space="preserve">Údaje o zahraničním </w:t>
      </w:r>
      <w:r>
        <w:t xml:space="preserve">obchodě </w:t>
      </w:r>
      <w:r w:rsidRPr="00ED3ECD">
        <w:t xml:space="preserve">jsou získávány </w:t>
      </w:r>
      <w:r>
        <w:t xml:space="preserve">spojováním dat </w:t>
      </w:r>
      <w:r w:rsidRPr="00ED3ECD">
        <w:t>ze dvou systémů</w:t>
      </w:r>
      <w:r>
        <w:t xml:space="preserve">. Prvním je </w:t>
      </w:r>
      <w:proofErr w:type="spellStart"/>
      <w:r w:rsidRPr="00ED3ECD">
        <w:t>Extrastat</w:t>
      </w:r>
      <w:proofErr w:type="spellEnd"/>
      <w:r w:rsidRPr="00ED3ECD">
        <w:t xml:space="preserve"> </w:t>
      </w:r>
      <w:r>
        <w:t xml:space="preserve">(obchod s třetími zeměmi) a druhým </w:t>
      </w:r>
      <w:proofErr w:type="spellStart"/>
      <w:r w:rsidRPr="00ED3ECD">
        <w:t>Intrastat</w:t>
      </w:r>
      <w:proofErr w:type="spellEnd"/>
      <w:r w:rsidRPr="00ED3ECD">
        <w:t xml:space="preserve"> </w:t>
      </w:r>
      <w:r>
        <w:t>(obchod s ostatními členy EU)</w:t>
      </w:r>
      <w:r w:rsidRPr="00057BAC">
        <w:rPr>
          <w:rStyle w:val="Znakypropoznmkupodarou"/>
        </w:rPr>
        <w:footnoteReference w:id="157"/>
      </w:r>
      <w:r w:rsidRPr="00ED3ECD">
        <w:t xml:space="preserve">. Součástí zpracování dat za </w:t>
      </w:r>
      <w:proofErr w:type="spellStart"/>
      <w:r w:rsidRPr="00ED3ECD">
        <w:t>Intrastat</w:t>
      </w:r>
      <w:proofErr w:type="spellEnd"/>
      <w:r w:rsidRPr="00ED3ECD">
        <w:t xml:space="preserve"> jsou i matematicko-statistické dopočty, kterými </w:t>
      </w:r>
      <w:r>
        <w:t>se kompenzuje ztráta informací za podprahové obchodní operace</w:t>
      </w:r>
      <w:r>
        <w:rPr>
          <w:rStyle w:val="Znakapoznpodarou"/>
        </w:rPr>
        <w:footnoteReference w:id="158"/>
      </w:r>
      <w:r>
        <w:t>.</w:t>
      </w:r>
    </w:p>
    <w:p w:rsidR="003B7071" w:rsidRDefault="003B7071" w:rsidP="00E112FD">
      <w:r>
        <w:t>Obrat českého AZO trvale roste. V roce 2014 se meziročně zvýšil o 32,0 mld. Kč, tj. o 9,3 %, na 377,3 mld. Kč (</w:t>
      </w:r>
      <w:proofErr w:type="spellStart"/>
      <w:r>
        <w:t>příl</w:t>
      </w:r>
      <w:proofErr w:type="spellEnd"/>
      <w:r>
        <w:t xml:space="preserve">. tab. </w:t>
      </w:r>
      <w:r w:rsidRPr="003F7244">
        <w:t>9.2/01</w:t>
      </w:r>
      <w:r>
        <w:t>). Z toho na straně vývozu se hodnota zvýšila o 18,9 mld. Kč, tj. o 11,8 %, na 179,5 mld. Kč a na straně dovozu vzrostla o 13,1 mld. Kč, tj. o 7,1 %, na 197,7 mld. Kč. V důsledku tohoto vývoje se záporná bilance AZO ČR meziročně snížila o 5,9 mld. Kč, tj. o téměř jednu čtvrtinu, na 18,2 mld. Kč a stupeň krytí dovozu vývozem se zlepšil o 3,8 p. b. na 90,8 %, což jsou ne</w:t>
      </w:r>
      <w:r w:rsidR="005A7E56">
        <w:t>j</w:t>
      </w:r>
      <w:r>
        <w:t>příznivější hodnoty od vstupu ČR do EU. Podíl bilančního schodku na českém agrárním vývozu se snížil během posledních pět let z jedné třetiny na jednu desetinu.</w:t>
      </w:r>
    </w:p>
    <w:p w:rsidR="003B7071" w:rsidRDefault="003B7071" w:rsidP="00E112FD">
      <w:r>
        <w:t>Na poklesu schodku bilance českého AZO se podílelo především zvýšení netto</w:t>
      </w:r>
      <w:r w:rsidR="00BC2DA2">
        <w:noBreakHyphen/>
      </w:r>
      <w:r>
        <w:t>vývozu</w:t>
      </w:r>
      <w:r>
        <w:rPr>
          <w:rStyle w:val="Znakapoznpodarou"/>
        </w:rPr>
        <w:footnoteReference w:id="159"/>
      </w:r>
      <w:r>
        <w:t xml:space="preserve"> </w:t>
      </w:r>
      <w:r w:rsidR="008969A9">
        <w:t>„</w:t>
      </w:r>
      <w:r>
        <w:t>cigaret</w:t>
      </w:r>
      <w:r w:rsidR="008969A9">
        <w:t>“</w:t>
      </w:r>
      <w:r>
        <w:t xml:space="preserve"> (o 4,2 mld. Kč) a </w:t>
      </w:r>
      <w:r w:rsidR="008969A9">
        <w:t>„</w:t>
      </w:r>
      <w:r>
        <w:t>pšenice</w:t>
      </w:r>
      <w:r w:rsidR="008969A9">
        <w:t>“</w:t>
      </w:r>
      <w:r>
        <w:t xml:space="preserve"> (o 3,4 mld. Kč), dále </w:t>
      </w:r>
      <w:r w:rsidR="008969A9">
        <w:t>„</w:t>
      </w:r>
      <w:r w:rsidR="00F04AE7">
        <w:t>výživy pro psy a </w:t>
      </w:r>
      <w:r>
        <w:t>kočky</w:t>
      </w:r>
      <w:r w:rsidR="008969A9">
        <w:t>“</w:t>
      </w:r>
      <w:r>
        <w:t xml:space="preserve">, </w:t>
      </w:r>
      <w:r w:rsidR="008969A9">
        <w:t>„</w:t>
      </w:r>
      <w:r>
        <w:t>nezahuštěného mléka</w:t>
      </w:r>
      <w:r w:rsidR="008969A9">
        <w:t>“</w:t>
      </w:r>
      <w:r>
        <w:t xml:space="preserve"> a </w:t>
      </w:r>
      <w:r w:rsidR="008969A9">
        <w:t>„</w:t>
      </w:r>
      <w:r>
        <w:t>piva</w:t>
      </w:r>
      <w:r w:rsidR="008969A9">
        <w:t>“</w:t>
      </w:r>
      <w:r>
        <w:t xml:space="preserve">. Bez </w:t>
      </w:r>
      <w:r w:rsidR="008969A9">
        <w:t>„</w:t>
      </w:r>
      <w:r>
        <w:t>cigaret</w:t>
      </w:r>
      <w:r w:rsidR="008969A9">
        <w:t>“</w:t>
      </w:r>
      <w:r>
        <w:t xml:space="preserve"> a </w:t>
      </w:r>
      <w:r w:rsidR="008969A9">
        <w:t>„</w:t>
      </w:r>
      <w:r>
        <w:t>pšenice</w:t>
      </w:r>
      <w:r w:rsidR="008969A9">
        <w:t>“</w:t>
      </w:r>
      <w:r>
        <w:t>, které jsou hlavními českými exportními komoditami, by se pasivní bilance meziročně naopak mírně prohloubila. Hodnoty vývozu všech výše uvedených produktů dosáhly dosavadních maxim.</w:t>
      </w:r>
    </w:p>
    <w:p w:rsidR="003B7071" w:rsidRDefault="003B7071" w:rsidP="00E112FD">
      <w:r>
        <w:t>K nejvýraznějšímu meziročnímu zhoršení bilance došlo naproti tomu v roce 2014 v obchodě s</w:t>
      </w:r>
      <w:r w:rsidR="00436EB7">
        <w:t xml:space="preserve"> </w:t>
      </w:r>
      <w:r w:rsidR="008969A9">
        <w:t>„</w:t>
      </w:r>
      <w:r>
        <w:t>cukrem</w:t>
      </w:r>
      <w:r w:rsidR="008969A9">
        <w:t>“</w:t>
      </w:r>
      <w:r>
        <w:t xml:space="preserve">, </w:t>
      </w:r>
      <w:r w:rsidR="008969A9">
        <w:t>„</w:t>
      </w:r>
      <w:r>
        <w:t>denaturovaným lihem</w:t>
      </w:r>
      <w:r w:rsidR="008969A9">
        <w:t>“</w:t>
      </w:r>
      <w:r>
        <w:t xml:space="preserve">, </w:t>
      </w:r>
      <w:r w:rsidR="008969A9">
        <w:t>„</w:t>
      </w:r>
      <w:r>
        <w:t>vepřovým masem</w:t>
      </w:r>
      <w:r w:rsidR="008969A9">
        <w:t>“</w:t>
      </w:r>
      <w:r>
        <w:t xml:space="preserve"> (prohloubila se ale i pasivní bilance s </w:t>
      </w:r>
      <w:r w:rsidR="008969A9">
        <w:t>„</w:t>
      </w:r>
      <w:r>
        <w:t>hovězím masem</w:t>
      </w:r>
      <w:r w:rsidR="008969A9">
        <w:t>“</w:t>
      </w:r>
      <w:r>
        <w:t xml:space="preserve"> a </w:t>
      </w:r>
      <w:r w:rsidR="008969A9">
        <w:t>„</w:t>
      </w:r>
      <w:r>
        <w:t>masem a droby drůbeže</w:t>
      </w:r>
      <w:r w:rsidR="008969A9">
        <w:t>“</w:t>
      </w:r>
      <w:r>
        <w:t xml:space="preserve">), </w:t>
      </w:r>
      <w:r w:rsidR="008969A9">
        <w:t>„</w:t>
      </w:r>
      <w:r>
        <w:t>kukuřicí</w:t>
      </w:r>
      <w:r w:rsidR="008969A9">
        <w:t>“</w:t>
      </w:r>
      <w:r>
        <w:t xml:space="preserve">, </w:t>
      </w:r>
      <w:r w:rsidR="008969A9">
        <w:t>„</w:t>
      </w:r>
      <w:r>
        <w:t>řepkovým olejem</w:t>
      </w:r>
      <w:r w:rsidR="008969A9">
        <w:t>“</w:t>
      </w:r>
      <w:r>
        <w:t xml:space="preserve"> a </w:t>
      </w:r>
      <w:r w:rsidR="008969A9">
        <w:t>„</w:t>
      </w:r>
      <w:r>
        <w:t>semeny řepky</w:t>
      </w:r>
      <w:r w:rsidR="008969A9">
        <w:t>“</w:t>
      </w:r>
      <w:r>
        <w:t xml:space="preserve">. U </w:t>
      </w:r>
      <w:r w:rsidR="008969A9">
        <w:t>„</w:t>
      </w:r>
      <w:r>
        <w:t>denaturovaného lihu</w:t>
      </w:r>
      <w:r w:rsidR="008969A9">
        <w:t>“</w:t>
      </w:r>
      <w:r>
        <w:t xml:space="preserve"> a masa došlo k nárůstu schodku zejména vlivem vyšší hodnoty dovozu, u ostatních komodit se projevil pokles aktivní bilance, a to u</w:t>
      </w:r>
      <w:r w:rsidR="00436EB7">
        <w:t> </w:t>
      </w:r>
      <w:r w:rsidR="008969A9">
        <w:t>„</w:t>
      </w:r>
      <w:r>
        <w:t>cukru</w:t>
      </w:r>
      <w:r w:rsidR="008969A9">
        <w:t>“</w:t>
      </w:r>
      <w:r>
        <w:t xml:space="preserve"> a</w:t>
      </w:r>
      <w:r w:rsidR="00436EB7">
        <w:t xml:space="preserve"> </w:t>
      </w:r>
      <w:r w:rsidR="008969A9">
        <w:t>„</w:t>
      </w:r>
      <w:r>
        <w:t>semen řepky</w:t>
      </w:r>
      <w:r w:rsidR="008969A9">
        <w:t>“</w:t>
      </w:r>
      <w:r>
        <w:t xml:space="preserve"> v důsledku výraznějšího snížení hodnoty na straně vývozu </w:t>
      </w:r>
      <w:r w:rsidR="005A7E56">
        <w:t>než</w:t>
      </w:r>
      <w:r>
        <w:t xml:space="preserve"> dovozu, u</w:t>
      </w:r>
      <w:r w:rsidR="00436EB7">
        <w:t xml:space="preserve"> </w:t>
      </w:r>
      <w:r w:rsidR="008969A9">
        <w:t>„</w:t>
      </w:r>
      <w:r>
        <w:t>kukuřice</w:t>
      </w:r>
      <w:r w:rsidR="008969A9">
        <w:t>“</w:t>
      </w:r>
      <w:r>
        <w:t xml:space="preserve"> poklesem hodnoty vývozu při současném zvýšení dovozu a u</w:t>
      </w:r>
      <w:r w:rsidR="00436EB7">
        <w:t> </w:t>
      </w:r>
      <w:r w:rsidR="008969A9">
        <w:t>„</w:t>
      </w:r>
      <w:r>
        <w:t>řepkového oleje</w:t>
      </w:r>
      <w:r w:rsidR="008969A9">
        <w:t>“</w:t>
      </w:r>
      <w:r>
        <w:t xml:space="preserve"> výraznějším nárůstem hodnoty dovozu </w:t>
      </w:r>
      <w:r w:rsidR="005A7E56">
        <w:t>než</w:t>
      </w:r>
      <w:r>
        <w:t xml:space="preserve"> vývozu.</w:t>
      </w:r>
    </w:p>
    <w:p w:rsidR="003B7071" w:rsidRDefault="003B7071" w:rsidP="00E112FD">
      <w:r>
        <w:t xml:space="preserve">Při vyjádření hodnot v eurech se český agrární export v roce 2014 v meziročním porovnání zvýšil o 5,5 %, zatímco český agrární dovoz vzrostl o 1,1 %, tzn. v obou případech </w:t>
      </w:r>
      <w:r>
        <w:lastRenderedPageBreak/>
        <w:t>menší měrou než v korunách. Rozdílný vývoj v korunách a eurech odráží změnu kurzu po měnové intervenci ČNB, ke které došlo v říjnu 2013 a která vedla k devalvaci české koruny.</w:t>
      </w:r>
    </w:p>
    <w:p w:rsidR="003B7071" w:rsidRDefault="003B7071" w:rsidP="00E112FD">
      <w:r>
        <w:t xml:space="preserve">Vzhledem k vyšší dynamice růstu celkového českého exportu a importu v porovnání s agrárním vývozem a dovozem došlo v roce 2014 k meziročnímu poklesu podílu agrárního zboží na celkovém zahraničním obchodu, a to na straně dovozu na </w:t>
      </w:r>
      <w:r w:rsidR="005A7E56">
        <w:t>6,2 % a na straně vývozu na 5,0 </w:t>
      </w:r>
      <w:r>
        <w:t>% (</w:t>
      </w:r>
      <w:r w:rsidR="005A7E56">
        <w:t>tab. </w:t>
      </w:r>
      <w:r>
        <w:t>T9.2/01). Zastoupení agrárního zb</w:t>
      </w:r>
      <w:r w:rsidR="005A7E56">
        <w:t>oží v celkovém českém vývozu je </w:t>
      </w:r>
      <w:r>
        <w:t>dlouhodobě menší než v dovozu, nicméně rozdíl mezi podíly b</w:t>
      </w:r>
      <w:r w:rsidR="005A7E56">
        <w:t>yl v roce 2014 nejnižší od roku </w:t>
      </w:r>
      <w:r>
        <w:t>2009.</w:t>
      </w:r>
    </w:p>
    <w:p w:rsidR="003B7071" w:rsidRDefault="003B7071" w:rsidP="003B7071">
      <w:pPr>
        <w:pStyle w:val="mezera"/>
      </w:pPr>
    </w:p>
    <w:p w:rsidR="003B7071" w:rsidRDefault="00F04AE7" w:rsidP="001B1FDF">
      <w:pPr>
        <w:pStyle w:val="mezera"/>
      </w:pPr>
      <w:r w:rsidRPr="00F04AE7">
        <w:rPr>
          <w:noProof/>
          <w:lang w:eastAsia="cs-CZ"/>
        </w:rPr>
        <w:drawing>
          <wp:inline distT="0" distB="0" distL="0" distR="0" wp14:anchorId="7F640E1F" wp14:editId="3C7EC4CB">
            <wp:extent cx="5760720" cy="1033286"/>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720" cy="1033286"/>
                    </a:xfrm>
                    <a:prstGeom prst="rect">
                      <a:avLst/>
                    </a:prstGeom>
                    <a:noFill/>
                    <a:ln>
                      <a:noFill/>
                    </a:ln>
                  </pic:spPr>
                </pic:pic>
              </a:graphicData>
            </a:graphic>
          </wp:inline>
        </w:drawing>
      </w:r>
    </w:p>
    <w:p w:rsidR="003B7071" w:rsidRDefault="003B7071" w:rsidP="003B7071">
      <w:pPr>
        <w:pStyle w:val="mezera"/>
      </w:pPr>
    </w:p>
    <w:p w:rsidR="003B7071" w:rsidRPr="001B1FDF" w:rsidRDefault="003B7071" w:rsidP="001B1FDF">
      <w:pPr>
        <w:pStyle w:val="Nadpis3"/>
      </w:pPr>
      <w:bookmarkStart w:id="266" w:name="_Toc328053864"/>
      <w:bookmarkStart w:id="267" w:name="_Toc424307094"/>
      <w:r w:rsidRPr="001B1FDF">
        <w:t>9.2.2</w:t>
      </w:r>
      <w:r w:rsidRPr="001B1FDF">
        <w:tab/>
        <w:t>Teritoriální skladba agrárního zahraničního obchodu</w:t>
      </w:r>
      <w:bookmarkEnd w:id="266"/>
      <w:bookmarkEnd w:id="267"/>
    </w:p>
    <w:p w:rsidR="003B7071" w:rsidRDefault="003B7071" w:rsidP="00E112FD">
      <w:r>
        <w:t>Převážnou část agrárních výrobků dováží a vyváží ČR z/do EU 28. Její podíl zaujímal v roce 2014 na straně vývozu 91,5 % a na straně dovozu činil 85,1 %</w:t>
      </w:r>
      <w:r>
        <w:rPr>
          <w:rStyle w:val="Znakapoznpodarou"/>
        </w:rPr>
        <w:footnoteReference w:id="160"/>
      </w:r>
      <w:r>
        <w:t xml:space="preserve"> (</w:t>
      </w:r>
      <w:proofErr w:type="spellStart"/>
      <w:r>
        <w:t>příl</w:t>
      </w:r>
      <w:proofErr w:type="spellEnd"/>
      <w:r>
        <w:t xml:space="preserve">. tab. 9.2/02). Zastoupení původních a nových členů, tj. EU 15 a EU 13, v českém agrárním vývozu je mnohem vyrovnanější </w:t>
      </w:r>
      <w:r w:rsidR="005A7E56">
        <w:t>než</w:t>
      </w:r>
      <w:r>
        <w:t xml:space="preserve"> v dovozu, ačkoliv se v roce 2014 na straně vývozu podíl EU 15 meziročně zvýšil na 47,3 %, zatímco EU 13 poklesl 44,2 %, a na straně vývozu se participace EU 15 meziročně snížila na 55,5 %, zatímco EU 13 vzrostla na 29,6 %.</w:t>
      </w:r>
    </w:p>
    <w:p w:rsidR="003B7071" w:rsidRDefault="003B7071" w:rsidP="00E112FD">
      <w:r>
        <w:t>V rámci sledovaných skupin třetích zemí zůstaly v roce 2014 nejvýznamnějšími uskupeními v českém agrárním vývozu Společenství nezávislých států (SNS) s 2,7 % a rozvojové země</w:t>
      </w:r>
      <w:r>
        <w:rPr>
          <w:rStyle w:val="Znakapoznpodarou"/>
        </w:rPr>
        <w:footnoteReference w:id="161"/>
      </w:r>
      <w:r>
        <w:t xml:space="preserve"> (RZ) s 2,6 %. V českém agrárním dovozu jimi byly nadále RZ s 8,6 % a ostatní státy s vyspělou tržní ekonomikou (OSVTE) s 3,5 %. Hodnota exportu se v rámci sledovaných skupin třetích zemí zvýšila nejvýrazněji do SNS (o 772,5 mil. Kč na 4,9 mld. Kč) a OSVTE (o 485,6 mil. Kč na 3,2 mld. Kč). Do RZ vzrostl vývoz o 173,</w:t>
      </w:r>
      <w:r w:rsidR="005A7E56">
        <w:t>9</w:t>
      </w:r>
      <w:r>
        <w:t xml:space="preserve"> mil. Kč na 4,7 mld. Kč. K nejvýraznějšímu nárůstu hodnoty dovozu došlo z RZ (o 1,7 mld. Kč na 17,0 mld. Kč) a z OSVTE (o 969,3 mil. Kč na 6,9 mld. Kč). Vysoký </w:t>
      </w:r>
      <w:proofErr w:type="spellStart"/>
      <w:r>
        <w:t>procentický</w:t>
      </w:r>
      <w:proofErr w:type="spellEnd"/>
      <w:r>
        <w:t xml:space="preserve"> nárůst pak vykázala hodnota dovozu ze SNS (o 40,9 % na 2,1 mld. Kč).</w:t>
      </w:r>
    </w:p>
    <w:p w:rsidR="003B7071" w:rsidRDefault="003B7071" w:rsidP="00E112FD">
      <w:r>
        <w:t xml:space="preserve">Obrat AZO ČR s třetími zeměmi vykazoval v roce 2014 vzhledem k roku předchozímu vyšší dynamiku než agrární obchod s ostatními členy EU. Agrární export ČR do EU 28 vzrostl o 11,7 %, zatímco do třetích zemí o 12,5 %. Na straně dovozu byl rozdíl výraznější, </w:t>
      </w:r>
      <w:r>
        <w:lastRenderedPageBreak/>
        <w:t>import agrárních výrobků ČR z EU 28 se zvýšil o 6,0 %, zatímco z třetích zemí o 13,9 %. Záporná bilance AZO ČR s </w:t>
      </w:r>
      <w:proofErr w:type="spellStart"/>
      <w:r>
        <w:t>mimounijními</w:t>
      </w:r>
      <w:proofErr w:type="spellEnd"/>
      <w:r>
        <w:t xml:space="preserve"> zeměmi se prohloubila o 1,9 mld. Kč na 14,1 mld. Kč, zatímco bilanční schodek českého agrárního obchodu s EU 28 se ve sledovaném roce naopak meziročně snížil o 7,8 mld. Kč na 4,0 mld. Kč. Pasivní bilanci vykazuje ČR stabilně s EU 15 (24,9 mld. Kč v roce 2014), RZ (12,2 mld. Kč), OSVTE (3,7 mld. Kč) a ESVO (873,3 mil. Kč). Aktivní bilanci má naproti tomu pouze s EU 13 (20,9 mld. Kč) a SNS (2,8 mld. Kč).</w:t>
      </w:r>
    </w:p>
    <w:p w:rsidR="003B7071" w:rsidRDefault="003B7071" w:rsidP="00E112FD">
      <w:r>
        <w:t xml:space="preserve">Na úrovni jednotlivých zemí byly hlavními odběrateli v roce 2014 tradičně Slovensko, Německo, Polsko, Itálie, Rakousko a Maďarsko a v rámci třetích zemí Rusko. V meziročním porovnání se v roce 2014 nejvýraznější zvýšila hodnota vývozu do Německa (o 4,6 mld. Kč), Polska (o 2,2 mld. Kč), Rakouska (o 2,0 mld. Kč) a na Slovensko (o 1,9 mld. Kč). Mimo to byl patrný dynamický nárůst hodnoty vývozu do Francie (o 38,8 %), což bylo způsobeno mimořádným vývozem </w:t>
      </w:r>
      <w:r w:rsidR="008969A9">
        <w:t>„</w:t>
      </w:r>
      <w:r>
        <w:t>cigaret</w:t>
      </w:r>
      <w:r w:rsidR="008969A9">
        <w:t>“</w:t>
      </w:r>
      <w:r>
        <w:t xml:space="preserve"> a </w:t>
      </w:r>
      <w:r w:rsidR="008969A9">
        <w:t>„</w:t>
      </w:r>
      <w:r>
        <w:t>tabáku ke kouření</w:t>
      </w:r>
      <w:r w:rsidR="008969A9">
        <w:t>“</w:t>
      </w:r>
      <w:r>
        <w:t xml:space="preserve"> do této země.</w:t>
      </w:r>
      <w:r w:rsidRPr="00D05664">
        <w:t xml:space="preserve"> </w:t>
      </w:r>
      <w:r>
        <w:t>Hodnota vývozu do Ruska se meziročně zvýšila navzdory embargu, které tato země uvalila na dovoz některých zemědělských a potravinářských výrobků z EU (od září se do Ruska z ČR nevyvážely již prakticky žádné mléčné výrobky, které do té doby patřily k hlavním exportním položkám do této destinace).</w:t>
      </w:r>
    </w:p>
    <w:p w:rsidR="003B7071" w:rsidRDefault="003B7071" w:rsidP="00E112FD">
      <w:r>
        <w:t>Nejvýznamnějšími dodavateli zůstaly v roce 2014 Německo, Polsko, Slovensko, Nizozemsko, Itálie, Španělsko, Rakousko a Maďarsko a z třetích zemí Brazílie, Čína, USA a Turecko. Meziročně vzrostla hodnota dovozu především z Polska (o 2,9 mld. Kč), Nizozemska (o 1,8 mld. Kč) a Německa (o 1,7 mld. Kč). Ke stagnaci došlo v případě dovozu ze Slovenska (resp. hodnota dovozu poklesla o pouhých 0,1 %).</w:t>
      </w:r>
    </w:p>
    <w:p w:rsidR="003B7071" w:rsidRDefault="003B7071" w:rsidP="00E112FD">
      <w:r>
        <w:t>Výčet hlavních odběratelských a dodavatelských zemí je uveden v tab. T9.2/02. Prvních dvacet zemí na straně vývozu zaujímá větší podíl než prvních dvacet zemí na straně dovozu a podobně je tomu tak i např. u prvních třech zemí (55,6 % vs. 46,9 %), což ukazuje na větší teritoriální koncentraci vývozu v porovnání s dovozem.</w:t>
      </w:r>
    </w:p>
    <w:p w:rsidR="003B7071" w:rsidRDefault="003B7071" w:rsidP="003B7071">
      <w:pPr>
        <w:pStyle w:val="mezera"/>
      </w:pPr>
    </w:p>
    <w:p w:rsidR="003B7071" w:rsidRDefault="00267DAD" w:rsidP="003B7071">
      <w:pPr>
        <w:pStyle w:val="mezera"/>
      </w:pPr>
      <w:r w:rsidRPr="00267DAD">
        <w:rPr>
          <w:noProof/>
          <w:lang w:eastAsia="cs-CZ"/>
        </w:rPr>
        <w:lastRenderedPageBreak/>
        <w:drawing>
          <wp:inline distT="0" distB="0" distL="0" distR="0" wp14:anchorId="66508160" wp14:editId="398033B7">
            <wp:extent cx="5760720" cy="4773262"/>
            <wp:effectExtent l="0" t="0" r="0" b="889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720" cy="4773262"/>
                    </a:xfrm>
                    <a:prstGeom prst="rect">
                      <a:avLst/>
                    </a:prstGeom>
                    <a:noFill/>
                    <a:ln>
                      <a:noFill/>
                    </a:ln>
                  </pic:spPr>
                </pic:pic>
              </a:graphicData>
            </a:graphic>
          </wp:inline>
        </w:drawing>
      </w:r>
    </w:p>
    <w:p w:rsidR="003B7071" w:rsidRPr="003C1C9E" w:rsidRDefault="003B7071" w:rsidP="003B7071">
      <w:pPr>
        <w:pStyle w:val="mezera"/>
      </w:pPr>
    </w:p>
    <w:p w:rsidR="003B7071" w:rsidRDefault="003B7071" w:rsidP="00E112FD">
      <w:r>
        <w:t>Pasivní bilance dosahuje ČR především v agrárním obchodě s Polskem (12,9 mld. Kč v roce 2014), Nizozemskem (10,1 mld. Kč), Německem (8,1 mld. Kč) a Španělskem (8,1 mld. Kč), přičemž pořadí uvedených zemí na druhém až čtvrtém místě se meziročně mění. V rámci třetích zemí dosahuje ČR nejvyššího agrárního netto-dovozu s Brazílií (3,8 mld. Kč), Čínou (2,3 mld. Kč), Tureckem (2,1 mld. Kč) a USA (1,7 mld. Kč). V meziročním porovnání se schodek bilance obchodu s uvedenými zeměmi prohloubil, z toho nejvíce s Nizozemskem (o 1,8 mld. Kč). Výjimkou bylo Německo, s nímž se pasivní agrárně obchodní bilance zlepšila, a to nejvíce ze všech zemí (pokles netto-dovozu o 2,8 mld. Kč).</w:t>
      </w:r>
    </w:p>
    <w:p w:rsidR="003B7071" w:rsidRDefault="003B7071" w:rsidP="00E112FD">
      <w:r>
        <w:t xml:space="preserve">Výrazně aktivní bilanci má naproti tomu ČR tradičně se Slovenskem. V roce 2014 dosáhla její hodnota 28,1 mld. Kč a meziročně se zvýšila o 2,0 mld. Kč. Pořadí dalších čistých odběratelů agrárních výrobků z ČR (s již řádově menší hodnotou bilančního aktiva) se meziročně mění. Na druhé místo se před Rusko dostalo v roce 2014 s 3,7 mld. Kč Rakousko (v minulosti bylo naopak čistým dodavatelem) a čtvrté místo obsadila s 2,4 mld. Kč Itálie (do roku 2011 rovněž netto-dodavatel). Změnu znaménka bilance v případě Itálie ovlivnily zejména </w:t>
      </w:r>
      <w:r w:rsidR="008969A9">
        <w:t>„</w:t>
      </w:r>
      <w:r>
        <w:t>cigarety</w:t>
      </w:r>
      <w:r w:rsidR="008969A9">
        <w:t>“</w:t>
      </w:r>
      <w:r>
        <w:t xml:space="preserve"> a </w:t>
      </w:r>
      <w:r w:rsidR="008969A9">
        <w:t>„</w:t>
      </w:r>
      <w:r>
        <w:t>sýry a tvaroh</w:t>
      </w:r>
      <w:r w:rsidR="008969A9">
        <w:t>“</w:t>
      </w:r>
      <w:r>
        <w:t xml:space="preserve"> (především sýry k dalšímu zpracování), které jsou hlavními exportními položkami do této země a jejichž vývoz skokově vzrostl před čtyřmi lety a nadále roste. V případě Rakouska se projevil v roce 2014 meziroční nárůst vývozu </w:t>
      </w:r>
      <w:r w:rsidR="008969A9">
        <w:lastRenderedPageBreak/>
        <w:t>„</w:t>
      </w:r>
      <w:r>
        <w:t>pšenice</w:t>
      </w:r>
      <w:r w:rsidR="008969A9">
        <w:t>“</w:t>
      </w:r>
      <w:r>
        <w:t xml:space="preserve">, </w:t>
      </w:r>
      <w:r w:rsidR="008969A9">
        <w:t>„</w:t>
      </w:r>
      <w:r>
        <w:t>kávy (pražené a náhražek s obsahem kávy)</w:t>
      </w:r>
      <w:r w:rsidR="008969A9">
        <w:t>“</w:t>
      </w:r>
      <w:r>
        <w:t xml:space="preserve"> a </w:t>
      </w:r>
      <w:r w:rsidR="008969A9">
        <w:t>„</w:t>
      </w:r>
      <w:r>
        <w:t>cukru</w:t>
      </w:r>
      <w:r w:rsidR="008969A9">
        <w:t>“</w:t>
      </w:r>
      <w:r>
        <w:t xml:space="preserve"> a v letech předchozích </w:t>
      </w:r>
      <w:r w:rsidR="008969A9">
        <w:t>„</w:t>
      </w:r>
      <w:r>
        <w:t>řepkového oleje</w:t>
      </w:r>
      <w:r w:rsidR="008969A9">
        <w:t>“</w:t>
      </w:r>
      <w:r>
        <w:t xml:space="preserve"> a </w:t>
      </w:r>
      <w:r w:rsidR="008969A9">
        <w:t>„</w:t>
      </w:r>
      <w:r>
        <w:t>živého skotu</w:t>
      </w:r>
      <w:r w:rsidR="008969A9">
        <w:t>“</w:t>
      </w:r>
      <w:r>
        <w:t>. Dále dosahuje ČR stabilně aktivní bilance v agrárním obchodě s Rumunskem, Spojeným královstvím, Japonskem a Chorvatskem. Poprvé po osmi letech byla v roce 2014 mírně aktivní bilance obchodu s Maďarskem (ke zlepšení hodnoty bilance došlo v obchodě s řadou komodit, nejvíce však u</w:t>
      </w:r>
      <w:r w:rsidR="008969A9">
        <w:t xml:space="preserve"> „</w:t>
      </w:r>
      <w:r>
        <w:t>řepkového oleje</w:t>
      </w:r>
      <w:r w:rsidR="008969A9">
        <w:t>“</w:t>
      </w:r>
      <w:r>
        <w:t xml:space="preserve"> a</w:t>
      </w:r>
      <w:r w:rsidR="008969A9">
        <w:t xml:space="preserve"> „</w:t>
      </w:r>
      <w:r>
        <w:t>limonád</w:t>
      </w:r>
      <w:r w:rsidR="008969A9">
        <w:t>“</w:t>
      </w:r>
      <w:r>
        <w:t>). Kladná bilance obchodu se všemi výše uvedenými zeměmi se v roce 2014 s výjimkou Spojeného království meziročně navýšila.</w:t>
      </w:r>
    </w:p>
    <w:p w:rsidR="003B7071" w:rsidRPr="001B1FDF" w:rsidRDefault="003B7071" w:rsidP="001B1FDF">
      <w:pPr>
        <w:pStyle w:val="Nadpis3"/>
      </w:pPr>
      <w:bookmarkStart w:id="268" w:name="_Toc328053865"/>
      <w:bookmarkStart w:id="269" w:name="_Toc424307095"/>
      <w:r w:rsidRPr="001B1FDF">
        <w:t>9.2.3</w:t>
      </w:r>
      <w:r w:rsidRPr="001B1FDF">
        <w:tab/>
        <w:t>Komoditní skladba agrárního zahraničního obchodu</w:t>
      </w:r>
      <w:bookmarkEnd w:id="268"/>
      <w:bookmarkEnd w:id="269"/>
    </w:p>
    <w:p w:rsidR="003B7071" w:rsidRDefault="003B7071" w:rsidP="00E112FD">
      <w:r>
        <w:t xml:space="preserve">Komoditní strukturu českého agrárního vývozu a dovozu podle kapitol celního sazebníku (tj. na úrovni 2místných kódů HS) uvádí tab. T9.2/03. Hlavními netto-vývozními kapitolami jsou </w:t>
      </w:r>
      <w:r w:rsidR="008969A9">
        <w:t>„</w:t>
      </w:r>
      <w:r>
        <w:t>obiloviny</w:t>
      </w:r>
      <w:r w:rsidR="008969A9">
        <w:t>“</w:t>
      </w:r>
      <w:r>
        <w:t xml:space="preserve">, </w:t>
      </w:r>
      <w:r w:rsidR="008969A9">
        <w:t>„</w:t>
      </w:r>
      <w:r>
        <w:t>tabák a tabákové výrobky</w:t>
      </w:r>
      <w:r w:rsidR="008969A9">
        <w:t>“</w:t>
      </w:r>
      <w:r>
        <w:t xml:space="preserve">, </w:t>
      </w:r>
      <w:r w:rsidR="008969A9">
        <w:t>„</w:t>
      </w:r>
      <w:r>
        <w:t>živá zvířata</w:t>
      </w:r>
      <w:r w:rsidR="008969A9">
        <w:t>“</w:t>
      </w:r>
      <w:r>
        <w:t xml:space="preserve"> a </w:t>
      </w:r>
      <w:r w:rsidR="008969A9">
        <w:t>„</w:t>
      </w:r>
      <w:r>
        <w:t>mléko, mléčné výrobky, vejce a med</w:t>
      </w:r>
      <w:r w:rsidR="008969A9">
        <w:t>“</w:t>
      </w:r>
      <w:r>
        <w:t xml:space="preserve">. Naopak hlavními netto-dovozními kapitolami jsou </w:t>
      </w:r>
      <w:r w:rsidR="008969A9">
        <w:t>„</w:t>
      </w:r>
      <w:r>
        <w:t>maso a jedlé droby</w:t>
      </w:r>
      <w:r w:rsidR="008969A9">
        <w:t>“</w:t>
      </w:r>
      <w:r>
        <w:t xml:space="preserve">, </w:t>
      </w:r>
      <w:r w:rsidR="008969A9">
        <w:t>„</w:t>
      </w:r>
      <w:r>
        <w:t>ovoce a ořechy</w:t>
      </w:r>
      <w:r w:rsidR="008969A9">
        <w:t>“</w:t>
      </w:r>
      <w:r>
        <w:t xml:space="preserve">, </w:t>
      </w:r>
      <w:r w:rsidR="008969A9">
        <w:t>„</w:t>
      </w:r>
      <w:r>
        <w:t>zelenina, kořeny a hlízy</w:t>
      </w:r>
      <w:r w:rsidR="008969A9">
        <w:t>“</w:t>
      </w:r>
      <w:r>
        <w:t>.</w:t>
      </w:r>
    </w:p>
    <w:p w:rsidR="003B7071" w:rsidRDefault="003B7071" w:rsidP="00E112FD">
      <w:r>
        <w:t xml:space="preserve">V podrobnějším zbožovém pohledu (na úrovni 4 a 6místných kódů HS) měly v roce 2014 největší podíl na českém agrárním vývozu </w:t>
      </w:r>
      <w:r w:rsidR="008969A9">
        <w:t>„</w:t>
      </w:r>
      <w:r>
        <w:t>cigarety</w:t>
      </w:r>
      <w:r w:rsidR="008969A9">
        <w:t>“</w:t>
      </w:r>
      <w:r w:rsidR="00035336">
        <w:t xml:space="preserve"> (6,8 </w:t>
      </w:r>
      <w:r>
        <w:t xml:space="preserve">%), </w:t>
      </w:r>
      <w:r w:rsidR="008969A9">
        <w:t>„</w:t>
      </w:r>
      <w:r>
        <w:t>pšenice</w:t>
      </w:r>
      <w:r w:rsidR="008969A9">
        <w:t>“</w:t>
      </w:r>
      <w:r w:rsidR="00035336">
        <w:t xml:space="preserve"> (6,7 </w:t>
      </w:r>
      <w:r>
        <w:t xml:space="preserve">%), </w:t>
      </w:r>
      <w:r w:rsidR="008969A9">
        <w:t>„</w:t>
      </w:r>
      <w:r>
        <w:t>nezahuštěné mléko</w:t>
      </w:r>
      <w:r w:rsidR="008969A9">
        <w:t>“</w:t>
      </w:r>
      <w:r>
        <w:t xml:space="preserve"> (4,6 %)</w:t>
      </w:r>
      <w:r>
        <w:rPr>
          <w:rStyle w:val="Znakapoznpodarou"/>
        </w:rPr>
        <w:footnoteReference w:id="162"/>
      </w:r>
      <w:r>
        <w:t xml:space="preserve">, </w:t>
      </w:r>
      <w:r w:rsidR="008969A9">
        <w:t>„</w:t>
      </w:r>
      <w:r>
        <w:t>řepkový olej (s nízkým obsahem kyseliny erukové)</w:t>
      </w:r>
      <w:r w:rsidR="008969A9">
        <w:t>“</w:t>
      </w:r>
      <w:r w:rsidR="00035336">
        <w:t xml:space="preserve"> (4,6 </w:t>
      </w:r>
      <w:r>
        <w:t xml:space="preserve">%), </w:t>
      </w:r>
      <w:r w:rsidR="008969A9">
        <w:t>„</w:t>
      </w:r>
      <w:r>
        <w:t>přípravky používané k výživě zvířat</w:t>
      </w:r>
      <w:r w:rsidR="008969A9">
        <w:t>“</w:t>
      </w:r>
      <w:r>
        <w:t xml:space="preserve"> (4,5 %)</w:t>
      </w:r>
      <w:r>
        <w:rPr>
          <w:rStyle w:val="Znakapoznpodarou"/>
        </w:rPr>
        <w:footnoteReference w:id="163"/>
      </w:r>
      <w:r>
        <w:t xml:space="preserve">, </w:t>
      </w:r>
      <w:r w:rsidR="008969A9">
        <w:t>„</w:t>
      </w:r>
      <w:r>
        <w:t>pečivo, sušenky, oplatky apod.</w:t>
      </w:r>
      <w:r w:rsidR="008969A9">
        <w:t>“</w:t>
      </w:r>
      <w:r>
        <w:t xml:space="preserve"> (4,2 %), </w:t>
      </w:r>
      <w:r w:rsidR="008969A9">
        <w:t>„</w:t>
      </w:r>
      <w:r>
        <w:t>různé potravinové přípravky</w:t>
      </w:r>
      <w:r w:rsidR="008969A9">
        <w:t>“</w:t>
      </w:r>
      <w:r>
        <w:t xml:space="preserve"> (HS 2106) (3,8 %), </w:t>
      </w:r>
      <w:r w:rsidR="008969A9">
        <w:t>„</w:t>
      </w:r>
      <w:r>
        <w:t>čokoláda a ostatní přípravky s kakaem</w:t>
      </w:r>
      <w:r w:rsidR="008969A9">
        <w:t>“</w:t>
      </w:r>
      <w:r>
        <w:t xml:space="preserve"> (3,8 %), </w:t>
      </w:r>
      <w:r w:rsidR="008969A9">
        <w:t>„</w:t>
      </w:r>
      <w:r>
        <w:t>pivo</w:t>
      </w:r>
      <w:r w:rsidR="008969A9">
        <w:t>“</w:t>
      </w:r>
      <w:r>
        <w:t xml:space="preserve"> (3,2 %), </w:t>
      </w:r>
      <w:r w:rsidR="008969A9">
        <w:t>„</w:t>
      </w:r>
      <w:r>
        <w:t>sýry a tvaroh</w:t>
      </w:r>
      <w:r w:rsidR="008969A9">
        <w:t>“</w:t>
      </w:r>
      <w:r>
        <w:t xml:space="preserve"> (2,8 %), dále </w:t>
      </w:r>
      <w:r w:rsidR="008969A9">
        <w:t>„</w:t>
      </w:r>
      <w:r>
        <w:t>káva</w:t>
      </w:r>
      <w:r w:rsidR="008969A9">
        <w:t>“</w:t>
      </w:r>
      <w:r>
        <w:t xml:space="preserve">, </w:t>
      </w:r>
      <w:r w:rsidR="008969A9">
        <w:t>„</w:t>
      </w:r>
      <w:r>
        <w:t>semena řepky</w:t>
      </w:r>
      <w:r w:rsidR="008969A9">
        <w:t>“</w:t>
      </w:r>
      <w:r>
        <w:t xml:space="preserve">, </w:t>
      </w:r>
      <w:r w:rsidR="008969A9">
        <w:t>„</w:t>
      </w:r>
      <w:r>
        <w:t>cukrovinky bez kakaa</w:t>
      </w:r>
      <w:r w:rsidR="008969A9">
        <w:t>“</w:t>
      </w:r>
      <w:r>
        <w:t xml:space="preserve">, </w:t>
      </w:r>
      <w:r w:rsidR="008969A9">
        <w:t>„</w:t>
      </w:r>
      <w:r>
        <w:t>cukr</w:t>
      </w:r>
      <w:r w:rsidR="008969A9">
        <w:t>“</w:t>
      </w:r>
      <w:r>
        <w:t xml:space="preserve">, </w:t>
      </w:r>
      <w:r w:rsidR="008969A9">
        <w:t>„</w:t>
      </w:r>
      <w:r>
        <w:t>limonády</w:t>
      </w:r>
      <w:r w:rsidR="008969A9">
        <w:t>“</w:t>
      </w:r>
      <w:r>
        <w:t xml:space="preserve">, </w:t>
      </w:r>
      <w:r w:rsidR="008969A9">
        <w:t>„</w:t>
      </w:r>
      <w:r>
        <w:t>živý skot</w:t>
      </w:r>
      <w:r w:rsidR="008969A9">
        <w:t>“</w:t>
      </w:r>
      <w:r>
        <w:t xml:space="preserve">, </w:t>
      </w:r>
      <w:r w:rsidR="008969A9">
        <w:t>„</w:t>
      </w:r>
      <w:r>
        <w:t>slad</w:t>
      </w:r>
      <w:r w:rsidR="008969A9">
        <w:t>“</w:t>
      </w:r>
      <w:r>
        <w:t xml:space="preserve">, </w:t>
      </w:r>
      <w:r w:rsidR="008969A9">
        <w:t>„</w:t>
      </w:r>
      <w:r w:rsidR="00035336">
        <w:t>zahuštěné mléko a </w:t>
      </w:r>
      <w:r>
        <w:t>smetana</w:t>
      </w:r>
      <w:r w:rsidR="008969A9">
        <w:t>“</w:t>
      </w:r>
      <w:r>
        <w:t xml:space="preserve">, </w:t>
      </w:r>
      <w:r w:rsidR="008969A9">
        <w:t>„</w:t>
      </w:r>
      <w:r>
        <w:t>vepřové maso</w:t>
      </w:r>
      <w:r w:rsidR="008969A9">
        <w:t>“</w:t>
      </w:r>
      <w:r>
        <w:t xml:space="preserve">, </w:t>
      </w:r>
      <w:r w:rsidR="008969A9">
        <w:t>„</w:t>
      </w:r>
      <w:r>
        <w:t>jiné přípravky a</w:t>
      </w:r>
      <w:r w:rsidR="00035336">
        <w:t xml:space="preserve"> </w:t>
      </w:r>
      <w:r>
        <w:t>konzervy z</w:t>
      </w:r>
      <w:r w:rsidR="00035336">
        <w:t xml:space="preserve"> </w:t>
      </w:r>
      <w:r>
        <w:t>masa, drobů nebo krve</w:t>
      </w:r>
      <w:r w:rsidR="008969A9">
        <w:t>“</w:t>
      </w:r>
      <w:r w:rsidR="00035336">
        <w:t xml:space="preserve"> (HS </w:t>
      </w:r>
      <w:r>
        <w:t xml:space="preserve">1602), </w:t>
      </w:r>
      <w:r w:rsidR="008969A9">
        <w:t>„</w:t>
      </w:r>
      <w:r>
        <w:t>živá drůbež</w:t>
      </w:r>
      <w:r w:rsidR="008969A9">
        <w:t>“</w:t>
      </w:r>
      <w:r>
        <w:t xml:space="preserve">, </w:t>
      </w:r>
      <w:r w:rsidR="008969A9">
        <w:t>„</w:t>
      </w:r>
      <w:r>
        <w:t>uzenky a salámy</w:t>
      </w:r>
      <w:r w:rsidR="008969A9">
        <w:t>“</w:t>
      </w:r>
      <w:r>
        <w:t xml:space="preserve"> a </w:t>
      </w:r>
      <w:r w:rsidR="008969A9">
        <w:t>„</w:t>
      </w:r>
      <w:r>
        <w:t>přípravky a</w:t>
      </w:r>
      <w:r w:rsidR="00035336">
        <w:t xml:space="preserve"> </w:t>
      </w:r>
      <w:r>
        <w:t>koncentráty z</w:t>
      </w:r>
      <w:r w:rsidR="00035336">
        <w:t xml:space="preserve"> </w:t>
      </w:r>
      <w:r>
        <w:t xml:space="preserve">kávy </w:t>
      </w:r>
      <w:r w:rsidR="00035336">
        <w:t>(vč. </w:t>
      </w:r>
      <w:r>
        <w:t>přípravků na jejich bázi)</w:t>
      </w:r>
      <w:r w:rsidR="008969A9">
        <w:t>“</w:t>
      </w:r>
      <w:r>
        <w:t>.</w:t>
      </w:r>
    </w:p>
    <w:p w:rsidR="003B7071" w:rsidRDefault="003B7071" w:rsidP="00E112FD">
      <w:r>
        <w:t xml:space="preserve">Řada předních vývozních komodit patří zároveň k hlavním netto-vývozním položkám. V roce 2014 dosáhla ČR nejvyššího bilančního aktiva v obchodě s </w:t>
      </w:r>
      <w:r w:rsidR="008969A9">
        <w:t>„</w:t>
      </w:r>
      <w:r>
        <w:t>pšenicí</w:t>
      </w:r>
      <w:r w:rsidR="008969A9">
        <w:t>“</w:t>
      </w:r>
      <w:r>
        <w:t xml:space="preserve"> (11,3 mld. Kč), </w:t>
      </w:r>
      <w:r w:rsidR="008969A9">
        <w:t>„</w:t>
      </w:r>
      <w:r>
        <w:t>cigaretami</w:t>
      </w:r>
      <w:r w:rsidR="008969A9">
        <w:t>“</w:t>
      </w:r>
      <w:r>
        <w:t xml:space="preserve"> (8,4 mld. Kč), </w:t>
      </w:r>
      <w:r w:rsidR="008969A9">
        <w:t>„</w:t>
      </w:r>
      <w:r>
        <w:t>nezahuštěným mlékem</w:t>
      </w:r>
      <w:r w:rsidR="008969A9">
        <w:t>“</w:t>
      </w:r>
      <w:r>
        <w:t xml:space="preserve"> (7,0 mld. Kč), </w:t>
      </w:r>
      <w:r w:rsidR="008969A9">
        <w:t>„</w:t>
      </w:r>
      <w:r>
        <w:t>pivem</w:t>
      </w:r>
      <w:r w:rsidR="008969A9">
        <w:t>“</w:t>
      </w:r>
      <w:r>
        <w:t xml:space="preserve"> (5,2 mld. Kč), </w:t>
      </w:r>
      <w:r w:rsidR="008969A9">
        <w:t>„</w:t>
      </w:r>
      <w:r>
        <w:t>řepkovým olejem</w:t>
      </w:r>
      <w:r w:rsidR="008969A9">
        <w:t>“</w:t>
      </w:r>
      <w:r>
        <w:t xml:space="preserve"> (4,7 mld. Kč), </w:t>
      </w:r>
      <w:r w:rsidR="008969A9">
        <w:t>„</w:t>
      </w:r>
      <w:r>
        <w:t>živým skotem</w:t>
      </w:r>
      <w:r w:rsidR="008969A9">
        <w:t>“</w:t>
      </w:r>
      <w:r>
        <w:t xml:space="preserve"> (3,7 mld. Kč), </w:t>
      </w:r>
      <w:r w:rsidR="008969A9">
        <w:t>„</w:t>
      </w:r>
      <w:r>
        <w:t>semeny řepky</w:t>
      </w:r>
      <w:r w:rsidR="008969A9">
        <w:t>“</w:t>
      </w:r>
      <w:r>
        <w:t xml:space="preserve"> (3,0 mld. Kč), </w:t>
      </w:r>
      <w:r w:rsidR="008969A9">
        <w:t>„</w:t>
      </w:r>
      <w:r>
        <w:t>sladem</w:t>
      </w:r>
      <w:r w:rsidR="008969A9">
        <w:t>“</w:t>
      </w:r>
      <w:r>
        <w:t xml:space="preserve"> (2,8 mld. Kč), </w:t>
      </w:r>
      <w:r w:rsidR="008969A9">
        <w:t>„</w:t>
      </w:r>
      <w:r>
        <w:t>zahuštěným mlékem a smetanou</w:t>
      </w:r>
      <w:r w:rsidR="008969A9">
        <w:t>“</w:t>
      </w:r>
      <w:r>
        <w:t xml:space="preserve"> (2,3 mld. Kč), </w:t>
      </w:r>
      <w:r w:rsidR="008969A9">
        <w:t>„</w:t>
      </w:r>
      <w:r>
        <w:t>cukrovinkami bez kakaa</w:t>
      </w:r>
      <w:r w:rsidR="008969A9">
        <w:t>“</w:t>
      </w:r>
      <w:r w:rsidR="00035336">
        <w:t xml:space="preserve"> (2,1 mld. </w:t>
      </w:r>
      <w:r>
        <w:t xml:space="preserve">Kč), </w:t>
      </w:r>
      <w:r w:rsidR="008969A9">
        <w:t>„</w:t>
      </w:r>
      <w:r>
        <w:t>cukrem</w:t>
      </w:r>
      <w:r w:rsidR="008969A9">
        <w:t>“</w:t>
      </w:r>
      <w:r>
        <w:t xml:space="preserve"> (2,1 mld. Kč), </w:t>
      </w:r>
      <w:r w:rsidR="008969A9">
        <w:t>„</w:t>
      </w:r>
      <w:r>
        <w:t>živou drůbeží</w:t>
      </w:r>
      <w:r w:rsidR="008969A9">
        <w:t>“</w:t>
      </w:r>
      <w:r w:rsidR="00035336">
        <w:t xml:space="preserve"> (1,7 mld. </w:t>
      </w:r>
      <w:r>
        <w:t xml:space="preserve">Kč), </w:t>
      </w:r>
      <w:r w:rsidR="008969A9">
        <w:t>„</w:t>
      </w:r>
      <w:r>
        <w:t>přípravky používanými k výživě zvířat</w:t>
      </w:r>
      <w:r w:rsidR="008969A9">
        <w:t>“</w:t>
      </w:r>
      <w:r>
        <w:t xml:space="preserve"> (1,6 mld. Kč), dále </w:t>
      </w:r>
      <w:r w:rsidR="008969A9">
        <w:t>„</w:t>
      </w:r>
      <w:r>
        <w:t>řepkovými pokrutinami</w:t>
      </w:r>
      <w:r w:rsidR="008969A9">
        <w:t>“</w:t>
      </w:r>
      <w:r>
        <w:t xml:space="preserve">, </w:t>
      </w:r>
      <w:r w:rsidR="008969A9">
        <w:t>„</w:t>
      </w:r>
      <w:r>
        <w:t>mákem</w:t>
      </w:r>
      <w:r w:rsidR="008969A9">
        <w:t>“</w:t>
      </w:r>
      <w:r>
        <w:t xml:space="preserve">, </w:t>
      </w:r>
      <w:r w:rsidR="008969A9">
        <w:t>„</w:t>
      </w:r>
      <w:proofErr w:type="spellStart"/>
      <w:r>
        <w:t>pufovanými</w:t>
      </w:r>
      <w:proofErr w:type="spellEnd"/>
      <w:r>
        <w:t xml:space="preserve"> výrobky, </w:t>
      </w:r>
      <w:proofErr w:type="spellStart"/>
      <w:r>
        <w:t>corn</w:t>
      </w:r>
      <w:proofErr w:type="spellEnd"/>
      <w:r>
        <w:t xml:space="preserve"> </w:t>
      </w:r>
      <w:proofErr w:type="spellStart"/>
      <w:r>
        <w:t>flakes</w:t>
      </w:r>
      <w:proofErr w:type="spellEnd"/>
      <w:r>
        <w:t>, müsli apod.</w:t>
      </w:r>
      <w:r w:rsidR="008969A9">
        <w:t>“</w:t>
      </w:r>
      <w:r>
        <w:t xml:space="preserve"> (HS 1904), </w:t>
      </w:r>
      <w:r w:rsidR="008969A9">
        <w:t>„</w:t>
      </w:r>
      <w:r>
        <w:t>chmelem</w:t>
      </w:r>
      <w:r w:rsidR="008969A9">
        <w:t>“</w:t>
      </w:r>
      <w:r>
        <w:t xml:space="preserve">, </w:t>
      </w:r>
      <w:r w:rsidR="008969A9">
        <w:t>„</w:t>
      </w:r>
      <w:r>
        <w:t>sladkými sušenkami a oplatkami</w:t>
      </w:r>
      <w:r w:rsidR="008969A9">
        <w:t>“</w:t>
      </w:r>
      <w:r>
        <w:t xml:space="preserve"> (slazené a neslazené pečivo je naopak výrazně netto</w:t>
      </w:r>
      <w:r w:rsidR="00BC2DA2">
        <w:noBreakHyphen/>
      </w:r>
      <w:r>
        <w:t xml:space="preserve">dovozní), </w:t>
      </w:r>
      <w:r w:rsidR="008969A9">
        <w:t>„</w:t>
      </w:r>
      <w:r>
        <w:t>syrovátkou</w:t>
      </w:r>
      <w:r w:rsidR="008969A9">
        <w:t>“</w:t>
      </w:r>
      <w:r>
        <w:t xml:space="preserve">, </w:t>
      </w:r>
      <w:r w:rsidR="008969A9">
        <w:t>„</w:t>
      </w:r>
      <w:r>
        <w:t>pektinovými látkami</w:t>
      </w:r>
      <w:r w:rsidR="008969A9">
        <w:t>“</w:t>
      </w:r>
      <w:r>
        <w:t xml:space="preserve">, </w:t>
      </w:r>
      <w:r w:rsidR="008969A9">
        <w:t>„</w:t>
      </w:r>
      <w:r>
        <w:t>uzenkami a salámy</w:t>
      </w:r>
      <w:r w:rsidR="008969A9">
        <w:t>“</w:t>
      </w:r>
      <w:r>
        <w:t xml:space="preserve"> (v roce </w:t>
      </w:r>
      <w:r>
        <w:lastRenderedPageBreak/>
        <w:t xml:space="preserve">2014 byla poprvé aktivní bilance i v obchodě s </w:t>
      </w:r>
      <w:r w:rsidR="008969A9">
        <w:t>„</w:t>
      </w:r>
      <w:r>
        <w:t>jinými přípravky z masa, drobů nebo krve</w:t>
      </w:r>
      <w:r w:rsidR="008969A9">
        <w:t>“</w:t>
      </w:r>
      <w:r>
        <w:rPr>
          <w:rStyle w:val="Znakapoznpodarou"/>
        </w:rPr>
        <w:footnoteReference w:id="164"/>
      </w:r>
      <w:r>
        <w:t xml:space="preserve">), </w:t>
      </w:r>
      <w:r w:rsidR="008969A9">
        <w:t>„</w:t>
      </w:r>
      <w:r>
        <w:t>ječmenem</w:t>
      </w:r>
      <w:r w:rsidR="008969A9">
        <w:t>“</w:t>
      </w:r>
      <w:r>
        <w:t xml:space="preserve"> a</w:t>
      </w:r>
      <w:r w:rsidR="008969A9">
        <w:t xml:space="preserve"> „</w:t>
      </w:r>
      <w:r>
        <w:t>homogenizovanými potravinovými směsmi</w:t>
      </w:r>
      <w:r w:rsidR="008969A9">
        <w:t>“</w:t>
      </w:r>
      <w:r>
        <w:t xml:space="preserve"> (HS 2104 20).</w:t>
      </w:r>
    </w:p>
    <w:p w:rsidR="003B7071" w:rsidRDefault="003B7071" w:rsidP="00E112FD">
      <w:r>
        <w:t xml:space="preserve">Nejvíce dováženými agrárními komoditami do ČR byly v roce 2014 </w:t>
      </w:r>
      <w:r w:rsidR="008969A9">
        <w:t>„</w:t>
      </w:r>
      <w:r>
        <w:t>vepřové maso</w:t>
      </w:r>
      <w:r w:rsidR="008969A9">
        <w:t>“</w:t>
      </w:r>
      <w:r>
        <w:t xml:space="preserve"> (7,5 %), </w:t>
      </w:r>
      <w:r w:rsidR="008969A9">
        <w:t>„</w:t>
      </w:r>
      <w:r>
        <w:t>sýry a tvaroh</w:t>
      </w:r>
      <w:r w:rsidR="008969A9">
        <w:t>“</w:t>
      </w:r>
      <w:r>
        <w:t xml:space="preserve"> (4,3 %), </w:t>
      </w:r>
      <w:r w:rsidR="008969A9">
        <w:t>„</w:t>
      </w:r>
      <w:r>
        <w:t>pečivo, sušenky, oplatky apod.</w:t>
      </w:r>
      <w:r w:rsidR="008969A9">
        <w:t>“</w:t>
      </w:r>
      <w:r>
        <w:t xml:space="preserve"> (4,3 %), </w:t>
      </w:r>
      <w:r w:rsidR="008969A9">
        <w:t>„</w:t>
      </w:r>
      <w:r>
        <w:t>čokoláda a ostatní přípravky s kakaem</w:t>
      </w:r>
      <w:r w:rsidR="008969A9">
        <w:t>“</w:t>
      </w:r>
      <w:r>
        <w:t xml:space="preserve"> (4,2 %), </w:t>
      </w:r>
      <w:r w:rsidR="008969A9">
        <w:t>„</w:t>
      </w:r>
      <w:r>
        <w:t>různé potravinové přípravky</w:t>
      </w:r>
      <w:r w:rsidR="008969A9">
        <w:t>“</w:t>
      </w:r>
      <w:r>
        <w:t xml:space="preserve"> (3,6 %), </w:t>
      </w:r>
      <w:r w:rsidR="008969A9">
        <w:t>„</w:t>
      </w:r>
      <w:r>
        <w:t>přípravky používané k výživě zvířat</w:t>
      </w:r>
      <w:r w:rsidR="008969A9">
        <w:t>“</w:t>
      </w:r>
      <w:r>
        <w:t xml:space="preserve"> (3,2 %), </w:t>
      </w:r>
      <w:r w:rsidR="008969A9">
        <w:t>„</w:t>
      </w:r>
      <w:r>
        <w:t>maso a droby drůbeže</w:t>
      </w:r>
      <w:r w:rsidR="008969A9">
        <w:t>“</w:t>
      </w:r>
      <w:r>
        <w:t xml:space="preserve"> (2,8 %), </w:t>
      </w:r>
      <w:r w:rsidR="008969A9">
        <w:t>„</w:t>
      </w:r>
      <w:r>
        <w:t>káva</w:t>
      </w:r>
      <w:r w:rsidR="008969A9">
        <w:t>“</w:t>
      </w:r>
      <w:r>
        <w:t xml:space="preserve"> (2,8 %), </w:t>
      </w:r>
      <w:r w:rsidR="008969A9">
        <w:t>„</w:t>
      </w:r>
      <w:r>
        <w:t>víno</w:t>
      </w:r>
      <w:r w:rsidR="008969A9">
        <w:t>“</w:t>
      </w:r>
      <w:r>
        <w:t xml:space="preserve"> (2,4 %), </w:t>
      </w:r>
      <w:r w:rsidR="008969A9">
        <w:t>„</w:t>
      </w:r>
      <w:r>
        <w:t>sójové pokrutiny</w:t>
      </w:r>
      <w:r w:rsidR="008969A9">
        <w:t>“</w:t>
      </w:r>
      <w:r>
        <w:t xml:space="preserve"> (2,1 %), dále </w:t>
      </w:r>
      <w:r w:rsidR="008969A9">
        <w:t>„</w:t>
      </w:r>
      <w:r>
        <w:t>limonády</w:t>
      </w:r>
      <w:r w:rsidR="008969A9">
        <w:t>“</w:t>
      </w:r>
      <w:r>
        <w:t xml:space="preserve">, </w:t>
      </w:r>
      <w:r w:rsidR="008969A9">
        <w:t>„</w:t>
      </w:r>
      <w:r>
        <w:t>výtažky a koncentráty z kávy</w:t>
      </w:r>
      <w:r w:rsidR="008969A9">
        <w:t>“</w:t>
      </w:r>
      <w:r>
        <w:t xml:space="preserve">, </w:t>
      </w:r>
      <w:r w:rsidR="008969A9">
        <w:t>„</w:t>
      </w:r>
      <w:r>
        <w:t>řepkový olej</w:t>
      </w:r>
      <w:r w:rsidR="008969A9">
        <w:t>“</w:t>
      </w:r>
      <w:r>
        <w:t xml:space="preserve">, </w:t>
      </w:r>
      <w:r w:rsidR="008969A9">
        <w:t>„</w:t>
      </w:r>
      <w:r>
        <w:t>lihoviny</w:t>
      </w:r>
      <w:r w:rsidR="008969A9">
        <w:t>“</w:t>
      </w:r>
      <w:r>
        <w:t xml:space="preserve">, </w:t>
      </w:r>
      <w:r w:rsidR="008969A9">
        <w:t>„</w:t>
      </w:r>
      <w:r>
        <w:t>cigarety</w:t>
      </w:r>
      <w:r w:rsidR="008969A9">
        <w:t>“</w:t>
      </w:r>
      <w:r>
        <w:t xml:space="preserve">, </w:t>
      </w:r>
      <w:r w:rsidR="008969A9">
        <w:t>„</w:t>
      </w:r>
      <w:r>
        <w:t>citrusové plody</w:t>
      </w:r>
      <w:r w:rsidR="008969A9">
        <w:t>“</w:t>
      </w:r>
      <w:r>
        <w:t xml:space="preserve">, </w:t>
      </w:r>
      <w:r w:rsidR="008969A9">
        <w:t>„</w:t>
      </w:r>
      <w:r>
        <w:t>hovězí maso</w:t>
      </w:r>
      <w:r w:rsidR="008969A9">
        <w:t>“</w:t>
      </w:r>
      <w:r>
        <w:t xml:space="preserve">, </w:t>
      </w:r>
      <w:r w:rsidR="008969A9">
        <w:t>„</w:t>
      </w:r>
      <w:r>
        <w:t>banány</w:t>
      </w:r>
      <w:r w:rsidR="008969A9">
        <w:t>“</w:t>
      </w:r>
      <w:r>
        <w:t xml:space="preserve">, </w:t>
      </w:r>
      <w:r w:rsidR="008969A9">
        <w:t>„</w:t>
      </w:r>
      <w:r>
        <w:t>přípravky z mouky, krupice, škrobu nebo mléka</w:t>
      </w:r>
      <w:r w:rsidR="008969A9">
        <w:t>“</w:t>
      </w:r>
      <w:r>
        <w:t xml:space="preserve">, </w:t>
      </w:r>
      <w:r w:rsidR="008969A9">
        <w:t>„</w:t>
      </w:r>
      <w:r>
        <w:t>rajčata</w:t>
      </w:r>
      <w:r w:rsidR="008969A9">
        <w:t>“</w:t>
      </w:r>
      <w:r>
        <w:t xml:space="preserve"> a</w:t>
      </w:r>
      <w:r w:rsidR="008969A9">
        <w:t xml:space="preserve"> „</w:t>
      </w:r>
      <w:r>
        <w:t>tabák (nezpracovaný)</w:t>
      </w:r>
      <w:r w:rsidR="008969A9">
        <w:t>“</w:t>
      </w:r>
      <w:r>
        <w:t>.</w:t>
      </w:r>
    </w:p>
    <w:p w:rsidR="003B7071" w:rsidRDefault="003B7071" w:rsidP="00E112FD">
      <w:r>
        <w:t xml:space="preserve">Většina těchto položek patří zároveň k hlavním netto-dovozním položkám, přičemž jednoznačně nejvyšší schodek bilance vykazuje </w:t>
      </w:r>
      <w:r w:rsidR="008969A9">
        <w:t>„</w:t>
      </w:r>
      <w:r>
        <w:t>vepřové maso</w:t>
      </w:r>
      <w:r w:rsidR="008969A9">
        <w:t>“</w:t>
      </w:r>
      <w:r>
        <w:t xml:space="preserve">. V roce 2014 dosáhla jeho hodnota 11,5 mld. Kč a meziročně se zvýšila o 5,7 % (v množstevním vyjádření vzrostl bilanční schodek o 7,4 %). Výjimkou jsou mimo </w:t>
      </w:r>
      <w:r w:rsidR="008969A9">
        <w:t>„</w:t>
      </w:r>
      <w:r>
        <w:t>řepkového oleje</w:t>
      </w:r>
      <w:r w:rsidR="008969A9">
        <w:t>“</w:t>
      </w:r>
      <w:r>
        <w:t xml:space="preserve">, </w:t>
      </w:r>
      <w:r w:rsidR="008969A9">
        <w:t>„</w:t>
      </w:r>
      <w:r>
        <w:t>cigaret</w:t>
      </w:r>
      <w:r w:rsidR="008969A9">
        <w:t>“</w:t>
      </w:r>
      <w:r>
        <w:t xml:space="preserve"> a nově také </w:t>
      </w:r>
      <w:r w:rsidR="008969A9">
        <w:t>„</w:t>
      </w:r>
      <w:r>
        <w:t>přípravků používaných k výživě zvířat</w:t>
      </w:r>
      <w:r w:rsidR="008969A9">
        <w:t>“</w:t>
      </w:r>
      <w:r>
        <w:t xml:space="preserve"> také </w:t>
      </w:r>
      <w:r w:rsidR="008969A9">
        <w:t>„</w:t>
      </w:r>
      <w:r>
        <w:t>limonády</w:t>
      </w:r>
      <w:r w:rsidR="008969A9">
        <w:t>“</w:t>
      </w:r>
      <w:r>
        <w:t>, jež jsou netto-exportní</w:t>
      </w:r>
      <w:r w:rsidRPr="000C4513">
        <w:t xml:space="preserve"> </w:t>
      </w:r>
      <w:r>
        <w:t>opět</w:t>
      </w:r>
      <w:r w:rsidRPr="000C4513">
        <w:t xml:space="preserve"> </w:t>
      </w:r>
      <w:r>
        <w:t>od roku 2013</w:t>
      </w:r>
      <w:r>
        <w:rPr>
          <w:rStyle w:val="Znakapoznpodarou"/>
        </w:rPr>
        <w:footnoteReference w:id="165"/>
      </w:r>
      <w:r>
        <w:t>. K hlavním netto-importním</w:t>
      </w:r>
      <w:r w:rsidRPr="00652496">
        <w:t xml:space="preserve"> </w:t>
      </w:r>
      <w:r>
        <w:t xml:space="preserve">položkám, výše neuvedeným, patří naproti tomu </w:t>
      </w:r>
      <w:r w:rsidR="008969A9">
        <w:t>„</w:t>
      </w:r>
      <w:r>
        <w:t>vinné hrozny</w:t>
      </w:r>
      <w:r w:rsidR="008969A9">
        <w:t>“</w:t>
      </w:r>
      <w:r>
        <w:t xml:space="preserve">, </w:t>
      </w:r>
      <w:r w:rsidR="008969A9">
        <w:t>„</w:t>
      </w:r>
      <w:r>
        <w:t>přípravky a konzervy z ryb</w:t>
      </w:r>
      <w:r w:rsidR="008969A9">
        <w:t>“</w:t>
      </w:r>
      <w:r>
        <w:t xml:space="preserve">, </w:t>
      </w:r>
      <w:r w:rsidR="008969A9">
        <w:t>„</w:t>
      </w:r>
      <w:r>
        <w:t>papriky</w:t>
      </w:r>
      <w:r w:rsidR="008969A9">
        <w:t>“</w:t>
      </w:r>
      <w:r>
        <w:t xml:space="preserve">, </w:t>
      </w:r>
      <w:r w:rsidR="008969A9">
        <w:t>„</w:t>
      </w:r>
      <w:r>
        <w:t>venkovní a pokojové rostliny, sazenice a řízky</w:t>
      </w:r>
      <w:r w:rsidR="008969A9">
        <w:t>“</w:t>
      </w:r>
      <w:r>
        <w:t xml:space="preserve">, </w:t>
      </w:r>
      <w:r w:rsidR="008969A9">
        <w:t>„</w:t>
      </w:r>
      <w:r>
        <w:t>máslo</w:t>
      </w:r>
      <w:r w:rsidR="008969A9">
        <w:t>“</w:t>
      </w:r>
      <w:r>
        <w:t xml:space="preserve">, </w:t>
      </w:r>
      <w:r w:rsidR="008969A9">
        <w:t>„</w:t>
      </w:r>
      <w:r>
        <w:t>glukóza a glukózový sirup</w:t>
      </w:r>
      <w:r w:rsidR="008969A9">
        <w:t>“</w:t>
      </w:r>
      <w:r>
        <w:t xml:space="preserve">, </w:t>
      </w:r>
      <w:r w:rsidR="008969A9">
        <w:t>„</w:t>
      </w:r>
      <w:r>
        <w:t>margarín</w:t>
      </w:r>
      <w:r w:rsidR="008969A9">
        <w:t>“</w:t>
      </w:r>
      <w:r>
        <w:t xml:space="preserve">, </w:t>
      </w:r>
      <w:r w:rsidR="008969A9">
        <w:t>„</w:t>
      </w:r>
      <w:r>
        <w:t>řezané květiny</w:t>
      </w:r>
      <w:r w:rsidR="008969A9">
        <w:t>“</w:t>
      </w:r>
      <w:r>
        <w:t xml:space="preserve">, </w:t>
      </w:r>
      <w:r w:rsidR="008969A9">
        <w:t>„</w:t>
      </w:r>
      <w:r>
        <w:t>rybí filé</w:t>
      </w:r>
      <w:r w:rsidR="008969A9">
        <w:t>“</w:t>
      </w:r>
      <w:r>
        <w:t xml:space="preserve"> a</w:t>
      </w:r>
      <w:r w:rsidR="008969A9">
        <w:t xml:space="preserve"> „</w:t>
      </w:r>
      <w:r>
        <w:t>okurky (vč. nakládaček)</w:t>
      </w:r>
      <w:r w:rsidR="008969A9">
        <w:t>“</w:t>
      </w:r>
      <w:r>
        <w:t>.</w:t>
      </w:r>
    </w:p>
    <w:p w:rsidR="003B7071" w:rsidRDefault="003B7071" w:rsidP="003B7071">
      <w:r>
        <w:t xml:space="preserve">Řada komodit vykázala v roce 2014 výrazný meziroční nárůst (anebo naopak pokles) hodnoty jak dovozu, tak vývozu (vývoj v množstevním vyjádření však nemusel tento nárůst kopírovat). Nárůst hodnoty exportu i importu vykázala např. </w:t>
      </w:r>
      <w:r w:rsidR="008969A9">
        <w:t>„</w:t>
      </w:r>
      <w:r>
        <w:t>káva</w:t>
      </w:r>
      <w:r w:rsidR="008969A9">
        <w:t>“</w:t>
      </w:r>
      <w:r>
        <w:t xml:space="preserve">, </w:t>
      </w:r>
      <w:r w:rsidR="008969A9">
        <w:t>„</w:t>
      </w:r>
      <w:r>
        <w:t>přípravky používané k výživě zvířat</w:t>
      </w:r>
      <w:r w:rsidR="008969A9">
        <w:t>“</w:t>
      </w:r>
      <w:r>
        <w:t xml:space="preserve">, </w:t>
      </w:r>
      <w:r w:rsidR="008969A9">
        <w:t>„</w:t>
      </w:r>
      <w:r>
        <w:t>čokoláda a ostatní přípravky s kakaem</w:t>
      </w:r>
      <w:r w:rsidR="008969A9">
        <w:t>“</w:t>
      </w:r>
      <w:r>
        <w:t xml:space="preserve">, </w:t>
      </w:r>
      <w:r w:rsidR="008969A9">
        <w:t>„</w:t>
      </w:r>
      <w:r>
        <w:t>řepkový olej</w:t>
      </w:r>
      <w:r w:rsidR="008969A9">
        <w:t>“</w:t>
      </w:r>
      <w:r>
        <w:t xml:space="preserve"> a </w:t>
      </w:r>
      <w:r w:rsidR="008969A9">
        <w:t>„</w:t>
      </w:r>
      <w:r>
        <w:t>sýry a tvaroh</w:t>
      </w:r>
      <w:r w:rsidR="008969A9">
        <w:t>“</w:t>
      </w:r>
      <w:r>
        <w:t xml:space="preserve">. Naopak pokles hodnoty vývozu a dovozu je patrný u </w:t>
      </w:r>
      <w:r w:rsidR="008969A9">
        <w:t>„</w:t>
      </w:r>
      <w:r>
        <w:t>řepkových semen</w:t>
      </w:r>
      <w:r w:rsidR="008969A9">
        <w:t>“</w:t>
      </w:r>
      <w:r>
        <w:t xml:space="preserve"> a </w:t>
      </w:r>
      <w:r w:rsidR="008969A9">
        <w:t>„</w:t>
      </w:r>
      <w:r>
        <w:t>cukru</w:t>
      </w:r>
      <w:r w:rsidR="008969A9">
        <w:t>“</w:t>
      </w:r>
      <w:r>
        <w:t>. U </w:t>
      </w:r>
      <w:r w:rsidR="008969A9">
        <w:t>„</w:t>
      </w:r>
      <w:r>
        <w:t>semen řepky</w:t>
      </w:r>
      <w:r w:rsidR="008969A9">
        <w:t>“</w:t>
      </w:r>
      <w:r>
        <w:t xml:space="preserve">, </w:t>
      </w:r>
      <w:r w:rsidR="008969A9">
        <w:t>„</w:t>
      </w:r>
      <w:r>
        <w:t>cukru</w:t>
      </w:r>
      <w:r w:rsidR="008969A9">
        <w:t>“</w:t>
      </w:r>
      <w:r>
        <w:t xml:space="preserve"> a</w:t>
      </w:r>
      <w:r w:rsidR="008969A9">
        <w:t xml:space="preserve"> „</w:t>
      </w:r>
      <w:r>
        <w:t>řepkového oleje</w:t>
      </w:r>
      <w:r w:rsidR="008969A9">
        <w:t>“</w:t>
      </w:r>
      <w:r>
        <w:t xml:space="preserve"> došlo přitom ve sledovaném období k poklesu průměrných jednotkových vývozních a dovozních cen, zatímco u</w:t>
      </w:r>
      <w:r w:rsidR="008969A9">
        <w:t xml:space="preserve"> „</w:t>
      </w:r>
      <w:r>
        <w:t>kávy</w:t>
      </w:r>
      <w:r w:rsidR="008969A9">
        <w:t>“</w:t>
      </w:r>
      <w:r>
        <w:t xml:space="preserve">, </w:t>
      </w:r>
      <w:r w:rsidR="008969A9">
        <w:t>„</w:t>
      </w:r>
      <w:r>
        <w:t>sýrů a tvarohu</w:t>
      </w:r>
      <w:r w:rsidR="008969A9">
        <w:t>“</w:t>
      </w:r>
      <w:r>
        <w:t xml:space="preserve">, </w:t>
      </w:r>
      <w:r w:rsidR="008969A9">
        <w:t>„</w:t>
      </w:r>
      <w:r>
        <w:t>čokolády a ostatních přípravků s kakaem</w:t>
      </w:r>
      <w:r w:rsidR="008969A9">
        <w:t>“</w:t>
      </w:r>
      <w:r>
        <w:t xml:space="preserve"> a </w:t>
      </w:r>
      <w:r w:rsidR="008969A9">
        <w:t>„</w:t>
      </w:r>
      <w:r>
        <w:t>přípravků používaných k výživě zvířat</w:t>
      </w:r>
      <w:r w:rsidR="008969A9">
        <w:t>“</w:t>
      </w:r>
      <w:r>
        <w:t xml:space="preserve"> se projevily meziročně vyšší průměrné vývozní a dovozní ceny. Opačný vývoj exportu a importu zaznamenaly zvláště </w:t>
      </w:r>
      <w:r w:rsidR="008969A9">
        <w:t>„</w:t>
      </w:r>
      <w:r>
        <w:t>cigarety</w:t>
      </w:r>
      <w:r w:rsidR="008969A9">
        <w:t>“</w:t>
      </w:r>
      <w:r>
        <w:t>. Na straně vývozu vykázaly druhý nejvyšší přírůstek, zatímco na straně dovozu nejvýraznější pokles ze všech komodit.</w:t>
      </w:r>
    </w:p>
    <w:p w:rsidR="003B7071" w:rsidRPr="003C1C9E" w:rsidRDefault="003B7071" w:rsidP="003B7071">
      <w:pPr>
        <w:pStyle w:val="mezera"/>
      </w:pPr>
    </w:p>
    <w:p w:rsidR="003B7071" w:rsidRDefault="003B7071" w:rsidP="003B7071">
      <w:pPr>
        <w:pStyle w:val="mezera"/>
      </w:pPr>
      <w:r w:rsidRPr="004C0157">
        <w:rPr>
          <w:noProof/>
          <w:lang w:eastAsia="cs-CZ"/>
        </w:rPr>
        <w:lastRenderedPageBreak/>
        <w:drawing>
          <wp:inline distT="0" distB="0" distL="0" distR="0" wp14:anchorId="064CC648" wp14:editId="4A5F609E">
            <wp:extent cx="5760720" cy="5307795"/>
            <wp:effectExtent l="0" t="0" r="0" b="762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60720" cy="5307795"/>
                    </a:xfrm>
                    <a:prstGeom prst="rect">
                      <a:avLst/>
                    </a:prstGeom>
                    <a:noFill/>
                    <a:ln>
                      <a:noFill/>
                    </a:ln>
                  </pic:spPr>
                </pic:pic>
              </a:graphicData>
            </a:graphic>
          </wp:inline>
        </w:drawing>
      </w:r>
    </w:p>
    <w:p w:rsidR="003B7071" w:rsidRDefault="003B7071" w:rsidP="003B7071">
      <w:pPr>
        <w:pStyle w:val="mezera"/>
      </w:pPr>
    </w:p>
    <w:p w:rsidR="003B7071" w:rsidRPr="001B1FDF" w:rsidRDefault="003B7071" w:rsidP="001B1FDF">
      <w:pPr>
        <w:pStyle w:val="Nadpis2"/>
      </w:pPr>
      <w:bookmarkStart w:id="270" w:name="_Toc424307096"/>
      <w:r w:rsidRPr="001B1FDF">
        <w:t>9.3</w:t>
      </w:r>
      <w:r w:rsidRPr="001B1FDF">
        <w:tab/>
        <w:t>Cenový vývoj finančních a materiálových vstupů do zemědělství</w:t>
      </w:r>
      <w:bookmarkEnd w:id="270"/>
    </w:p>
    <w:p w:rsidR="003B7071" w:rsidRDefault="003B7071" w:rsidP="003B7071">
      <w:pPr>
        <w:pStyle w:val="Norm-Bold"/>
      </w:pPr>
      <w:r>
        <w:t>Vývoj cen finančních vstupů do zemědělství</w:t>
      </w:r>
    </w:p>
    <w:p w:rsidR="003B7071" w:rsidRDefault="003B7071" w:rsidP="003B7071">
      <w:r w:rsidRPr="00E7154B">
        <w:t>V</w:t>
      </w:r>
      <w:r>
        <w:t> průběhu roku</w:t>
      </w:r>
      <w:r w:rsidRPr="00E7154B">
        <w:t xml:space="preserve"> 201</w:t>
      </w:r>
      <w:r>
        <w:t>4</w:t>
      </w:r>
      <w:r w:rsidRPr="00E7154B">
        <w:t xml:space="preserve"> pokračoval pokles tržních úrokových sazeb na peněžním trhu</w:t>
      </w:r>
      <w:r>
        <w:t>.</w:t>
      </w:r>
      <w:r w:rsidRPr="00E7154B">
        <w:t xml:space="preserve"> </w:t>
      </w:r>
      <w:r>
        <w:t xml:space="preserve">K poslední </w:t>
      </w:r>
      <w:r w:rsidRPr="00E7154B">
        <w:t>změn</w:t>
      </w:r>
      <w:r>
        <w:t>ě</w:t>
      </w:r>
      <w:r w:rsidRPr="00E7154B">
        <w:t xml:space="preserve"> nastavení základních </w:t>
      </w:r>
      <w:proofErr w:type="spellStart"/>
      <w:r>
        <w:t>měnově</w:t>
      </w:r>
      <w:r w:rsidRPr="00E7154B">
        <w:t>politických</w:t>
      </w:r>
      <w:proofErr w:type="spellEnd"/>
      <w:r w:rsidRPr="00E7154B">
        <w:t xml:space="preserve"> nástrojů ČNB </w:t>
      </w:r>
      <w:r>
        <w:t>došlo 2. 11. 2012, kdy</w:t>
      </w:r>
      <w:r w:rsidRPr="00E7154B">
        <w:t xml:space="preserve"> </w:t>
      </w:r>
      <w:r>
        <w:t>byla</w:t>
      </w:r>
      <w:r w:rsidRPr="00E7154B">
        <w:t xml:space="preserve"> </w:t>
      </w:r>
      <w:r>
        <w:t>snížena</w:t>
      </w:r>
      <w:r w:rsidRPr="00E7154B">
        <w:t xml:space="preserve"> dvoutýdenní </w:t>
      </w:r>
      <w:proofErr w:type="spellStart"/>
      <w:r w:rsidRPr="00E7154B">
        <w:t>repo</w:t>
      </w:r>
      <w:proofErr w:type="spellEnd"/>
      <w:r w:rsidRPr="00E7154B">
        <w:t xml:space="preserve"> sazb</w:t>
      </w:r>
      <w:r>
        <w:t xml:space="preserve">a </w:t>
      </w:r>
      <w:r w:rsidRPr="00E7154B">
        <w:t>na 0,05 %</w:t>
      </w:r>
      <w:r>
        <w:t xml:space="preserve"> a</w:t>
      </w:r>
      <w:r w:rsidRPr="00E7154B">
        <w:t xml:space="preserve"> lombardní sazb</w:t>
      </w:r>
      <w:r>
        <w:t>a</w:t>
      </w:r>
      <w:r w:rsidRPr="00E7154B">
        <w:t xml:space="preserve"> na 0,25 %. Úrokové sazby korunových úvěrů poskytnutých bankami nefinančním podnikům se vyvíjely v závislosti na délce splatnosti </w:t>
      </w:r>
      <w:r>
        <w:t>v zásadě obdobným způsobem</w:t>
      </w:r>
      <w:r w:rsidRPr="00E7154B">
        <w:t xml:space="preserve">, přičemž </w:t>
      </w:r>
      <w:r>
        <w:t>relativně výraznější změny trendu v jednotlivých měsících roku 2014 vykázaly střednědobé úvěry</w:t>
      </w:r>
      <w:r w:rsidRPr="00E7154B">
        <w:t xml:space="preserve">. Celková průměrná úroková sazba ze zůstatků úvěrů poskytnutých nefinančním podnikům </w:t>
      </w:r>
      <w:r>
        <w:t xml:space="preserve">v průběhu roku 2014 klesla z 3,07 % na 2,91 %. </w:t>
      </w:r>
      <w:r w:rsidRPr="00E7154B">
        <w:t>Průměrná úroková sazba ze zůstatků krátkodobých úvěrů se splatností do jednoho roku dosáhla v prosinci 2,</w:t>
      </w:r>
      <w:r>
        <w:t>47</w:t>
      </w:r>
      <w:r w:rsidRPr="00E7154B">
        <w:t xml:space="preserve"> %, u střednědobých úvěrů se splatností od jednoho roku do pěti let to bylo </w:t>
      </w:r>
      <w:r>
        <w:t>2</w:t>
      </w:r>
      <w:r w:rsidRPr="00E7154B">
        <w:t>,</w:t>
      </w:r>
      <w:r>
        <w:t>99</w:t>
      </w:r>
      <w:r w:rsidRPr="00E7154B">
        <w:t xml:space="preserve"> % a u dlouhodobých úvěrů se splatností </w:t>
      </w:r>
      <w:r w:rsidRPr="00E7154B">
        <w:lastRenderedPageBreak/>
        <w:t>nad pět let potom 3,</w:t>
      </w:r>
      <w:r>
        <w:t>13</w:t>
      </w:r>
      <w:r w:rsidRPr="00E7154B">
        <w:t> %. Vývoj úrokových sazeb po jednotlivých měsících v letech 201</w:t>
      </w:r>
      <w:r>
        <w:t>3</w:t>
      </w:r>
      <w:r w:rsidRPr="00E7154B">
        <w:t xml:space="preserve"> a</w:t>
      </w:r>
      <w:r>
        <w:t> </w:t>
      </w:r>
      <w:r w:rsidRPr="00E7154B">
        <w:t>201</w:t>
      </w:r>
      <w:r>
        <w:t>4</w:t>
      </w:r>
      <w:r w:rsidRPr="00E7154B">
        <w:t xml:space="preserve"> je zachycen v grafu T9.3/01.</w:t>
      </w:r>
    </w:p>
    <w:p w:rsidR="003B7071" w:rsidRPr="00E7154B" w:rsidRDefault="003B7071" w:rsidP="003B7071">
      <w:pPr>
        <w:pStyle w:val="mezera"/>
      </w:pPr>
    </w:p>
    <w:p w:rsidR="003B7071" w:rsidRPr="004C0157" w:rsidRDefault="003B7071" w:rsidP="003B7071">
      <w:pPr>
        <w:pStyle w:val="mezera-svzan"/>
        <w:rPr>
          <w:noProof/>
        </w:rPr>
      </w:pPr>
      <w:r w:rsidRPr="004C0157">
        <w:rPr>
          <w:noProof/>
          <w:lang w:eastAsia="cs-CZ"/>
        </w:rPr>
        <w:drawing>
          <wp:inline distT="0" distB="0" distL="0" distR="0" wp14:anchorId="480A6A89" wp14:editId="52A5DB24">
            <wp:extent cx="5760720" cy="3555708"/>
            <wp:effectExtent l="0" t="0" r="0" b="698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60720" cy="3555708"/>
                    </a:xfrm>
                    <a:prstGeom prst="rect">
                      <a:avLst/>
                    </a:prstGeom>
                    <a:noFill/>
                    <a:ln>
                      <a:noFill/>
                    </a:ln>
                  </pic:spPr>
                </pic:pic>
              </a:graphicData>
            </a:graphic>
          </wp:inline>
        </w:drawing>
      </w:r>
    </w:p>
    <w:p w:rsidR="003B7071" w:rsidRPr="00E7154B" w:rsidRDefault="003B7071" w:rsidP="003B7071">
      <w:pPr>
        <w:pStyle w:val="TabPramZprac"/>
      </w:pPr>
      <w:r w:rsidRPr="00E7154B">
        <w:t>Pramen:</w:t>
      </w:r>
      <w:r w:rsidRPr="00E7154B">
        <w:tab/>
        <w:t>ČNB</w:t>
      </w:r>
    </w:p>
    <w:p w:rsidR="003B7071" w:rsidRPr="00DB29CF" w:rsidRDefault="003B7071" w:rsidP="003B7071">
      <w:pPr>
        <w:pStyle w:val="TabPramZprac"/>
      </w:pPr>
      <w:r w:rsidRPr="00E7154B">
        <w:t>Zpracoval:</w:t>
      </w:r>
      <w:r w:rsidRPr="00E7154B">
        <w:tab/>
        <w:t>V. Vilhelm (ÚZEI)</w:t>
      </w:r>
    </w:p>
    <w:p w:rsidR="003B7071" w:rsidRPr="00B9186F" w:rsidRDefault="003B7071" w:rsidP="003B7071">
      <w:pPr>
        <w:pStyle w:val="mezera"/>
      </w:pPr>
    </w:p>
    <w:p w:rsidR="003B7071" w:rsidRDefault="003B7071" w:rsidP="003B7071">
      <w:r>
        <w:t>Vývoj úrokových sazeb korunových klientských úvěrů poskytnutých nefinančním podnikům a vývoj úrokových sazeb korunových vkladů přijatých bankami od nefinančních podniků k 31. 12. v letech 2012 až 2014 uvádí tab. T9.3/01. Jak úrokové sazby všech typů úvěrů, tak i úrokové sazby vkladů v roce 2014 meziročně poklesly, výjimkou jsou vklady se splatností nad dva roky, jejichž průměrná úroková sazba stagnovala.</w:t>
      </w:r>
    </w:p>
    <w:p w:rsidR="00A105A4" w:rsidRDefault="00A105A4" w:rsidP="00A105A4">
      <w:pPr>
        <w:pStyle w:val="mezera"/>
      </w:pPr>
    </w:p>
    <w:p w:rsidR="00A105A4" w:rsidRDefault="00A105A4" w:rsidP="00A105A4">
      <w:pPr>
        <w:pStyle w:val="mezera"/>
      </w:pPr>
      <w:r w:rsidRPr="00A105A4">
        <w:rPr>
          <w:noProof/>
          <w:lang w:eastAsia="cs-CZ"/>
        </w:rPr>
        <w:drawing>
          <wp:inline distT="0" distB="0" distL="0" distR="0" wp14:anchorId="3FD4D7F5" wp14:editId="636DB0B6">
            <wp:extent cx="5760720" cy="2164876"/>
            <wp:effectExtent l="0" t="0" r="0" b="698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60720" cy="2164876"/>
                    </a:xfrm>
                    <a:prstGeom prst="rect">
                      <a:avLst/>
                    </a:prstGeom>
                    <a:noFill/>
                    <a:ln>
                      <a:noFill/>
                    </a:ln>
                  </pic:spPr>
                </pic:pic>
              </a:graphicData>
            </a:graphic>
          </wp:inline>
        </w:drawing>
      </w:r>
    </w:p>
    <w:p w:rsidR="00A105A4" w:rsidRDefault="00A105A4" w:rsidP="00A105A4">
      <w:pPr>
        <w:pStyle w:val="mezera"/>
      </w:pPr>
    </w:p>
    <w:p w:rsidR="003B7071" w:rsidRDefault="003B7071" w:rsidP="003B7071">
      <w:r>
        <w:t>Vývoj úrokových sazeb souvisí s alokací úvěrů v zemědělství, která je vyhodnocena v kapitole 6.4.</w:t>
      </w:r>
    </w:p>
    <w:p w:rsidR="003B7071" w:rsidRDefault="003B7071" w:rsidP="003B7071">
      <w:pPr>
        <w:pStyle w:val="Norm-Bold"/>
      </w:pPr>
      <w:r>
        <w:lastRenderedPageBreak/>
        <w:t>Vývoj cen materiálových vstupů do zemědělství</w:t>
      </w:r>
    </w:p>
    <w:p w:rsidR="003B7071" w:rsidRDefault="003B7071" w:rsidP="003B7071">
      <w:r>
        <w:t>Průměrná cena vstupů do zemědělství celkem v roce 2014 v porovnání s rokem předchozím mírně poklesla (o 1,3 %), viz tab. T9.3/02. Meziročně nižší byla v prvních třech čtvrtletích, z toho nejvýrazněji ve čtvrtletí prvním (o 3,3 %), v samotném 4. čtvrtletí však byla cena vstupů do zemědělství celke</w:t>
      </w:r>
      <w:r w:rsidR="00D959B8">
        <w:t>m meziročně nepatrně vyšší (0,3 </w:t>
      </w:r>
      <w:r>
        <w:t>%). Průměrné mezičtvrtletní tempo růstu činilo v roce 2014 pouhých 0,1 % (v roce 2013 dosáhlo záporné hodnoty ve výši 0,7 %). K mezičtvrtletnímu nárůstu ceny vstupů do zemědělství celkem došlo v prvních dvou čtvrtletích sledovaného roku (v obou případech o 0,8 %), v druhých dvou čtvrtletích pak došlo k jejímu mezičtvrtletnímu snížení (o 0,3 %, resp. o 1,0 %).</w:t>
      </w:r>
    </w:p>
    <w:p w:rsidR="003B7071" w:rsidRDefault="003B7071" w:rsidP="003B7071">
      <w:pPr>
        <w:pStyle w:val="mezera"/>
      </w:pPr>
    </w:p>
    <w:p w:rsidR="003B7071" w:rsidRDefault="003B7071" w:rsidP="003B7071">
      <w:pPr>
        <w:pStyle w:val="mezera"/>
      </w:pPr>
      <w:r w:rsidRPr="004C0157">
        <w:rPr>
          <w:noProof/>
          <w:lang w:eastAsia="cs-CZ"/>
        </w:rPr>
        <w:drawing>
          <wp:inline distT="0" distB="0" distL="0" distR="0" wp14:anchorId="022126BD" wp14:editId="4CD7D45C">
            <wp:extent cx="5760720" cy="6404346"/>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720" cy="6404346"/>
                    </a:xfrm>
                    <a:prstGeom prst="rect">
                      <a:avLst/>
                    </a:prstGeom>
                    <a:noFill/>
                    <a:ln>
                      <a:noFill/>
                    </a:ln>
                  </pic:spPr>
                </pic:pic>
              </a:graphicData>
            </a:graphic>
          </wp:inline>
        </w:drawing>
      </w:r>
    </w:p>
    <w:p w:rsidR="003B7071" w:rsidRDefault="003B7071" w:rsidP="003B7071">
      <w:pPr>
        <w:pStyle w:val="mezera"/>
      </w:pPr>
    </w:p>
    <w:p w:rsidR="003B7071" w:rsidRDefault="003B7071" w:rsidP="003B7071">
      <w:r>
        <w:lastRenderedPageBreak/>
        <w:t>V meziročním porovnání se v roce 2014 snížila především cena krmiv (o 7,2 %), umělých hnojiv a půdních zlepšovacích prostředků (o 3,1 %) a energií a maziv (o 2,3 %).</w:t>
      </w:r>
    </w:p>
    <w:p w:rsidR="003B7071" w:rsidRDefault="003B7071" w:rsidP="003B7071">
      <w:r>
        <w:t>V rámci krmiv zaznamenaly meziroční snížení ceny jak krmné obilí (pšenice o 16,0 % a ječmen o 11,7 %), tak veškeré sledované směsi pro prasata, drůbež a skot (</w:t>
      </w:r>
      <w:r w:rsidR="00D959B8">
        <w:t xml:space="preserve">tab. </w:t>
      </w:r>
      <w:r>
        <w:t>T9.3/03).</w:t>
      </w:r>
    </w:p>
    <w:p w:rsidR="003B7071" w:rsidRDefault="003B7071" w:rsidP="003B7071">
      <w:r>
        <w:t>Ceny pohonných hmot se odvíjejí od ceny ropy, která se meziročně značně snížila. Cena ropy Brent na začátku roku 2014 činila 109,79 USD/barel, (denního) maxima ve výši 114,79 USD/barel dosáhla v druhé polovině měsíce června (konkrétně 20. 6.) a poté v druhé polovině roku prudce klesala až 56,70 USD/barel. Cena na konci prosince 2014 tak činila o 48,4 % méně než uvedené roční maximum. Pád ceny ovlivnilo především vysoké zásobení trhu a obavy o hospodářský vývoj v Evropě a Asii. Vysoká nabídka na trhu byla způsobena cenovou válkou mezi Saudskou Arábií a dalšími zeměmi OPEC s USA. Kartel OPEC snižoval ceny ropy na světových trzích na takovou úroveň, která již nebude pro americké producenty únosná a zamezí tak rozvoji jejich (dražší) těžby z alternativních zdrojů. Cena motorové nafty v roce 2013 dosahovala nejvyšších hodnot až na přelomu června a července (maximum ve výši 36,47 Kč/l bylo zaznamenáno 5.7.). V 1. čtvrtletí se cena nafty nepatrně snižovala (z 36,42 Kč/l na začátku ledna na 35,76 Kč/l na konci března), poté ve 2. čtvrtletí s jistými nepravidelnosti mírně rostla, aby ve 3. čtvrtletí opět velmi mírně klesala. Prudký pokles ceny nafty nastal od druhé poloviny října, a to až na 32,06 Kč/l, což je o 12,1 % méně než činilo roční maximum. Propad ceny u nafty (ale také u benzínu) tak byl méně výrazný než u ropy Brent.</w:t>
      </w:r>
    </w:p>
    <w:p w:rsidR="003B7071" w:rsidRDefault="003B7071" w:rsidP="003B7071">
      <w:r>
        <w:t>Vývoj cen krmiv, umělých hnojiv a půdních zlepšovacích prostředků a energií a maziv v průběhu roku 2014 (hodnoceno mezičtvrtletními indexy) se lišil. Cena krmiv v první polovině roku rostla a pokles byl patrný až v druhé polovině roku (průměrné roční tempo poklesu tak činilo 0,9 %). Cena umělých hnojiv a půdních zlepšovacích prostředků se zvyšovala po většinu roku (mezičtvrtletní pokles byl zaznamenán pouze ve 3. čtvrtletí), v důsledku čehož průměrné roční tempo růstu dosáhlo kladné hodnoty ve výši 0,8 %. U energií a maziv se cena během roku naopak (s výjimkou 3. čtvrtletí) snižovala, což se odrazilo v průměrném ročním tempu poklesu ve výši 1,1 %.</w:t>
      </w:r>
    </w:p>
    <w:p w:rsidR="003B7071" w:rsidRDefault="003B7071" w:rsidP="003B7071">
      <w:r>
        <w:t>Cena osiv a sadby v roce 2014 meziročně nepatrně poklesla (o 0,8 %), přičemž k poklesu cen došlo např. u osiva pšenice ozimé a ječmene jarního, zatímco cena osiv víceletých pícnin nebo sadby brambor zřetelně vzrostla. Cena osiv a sadby byla v roce 2014 meziročně nižší, třebaže se od 2. čtvrtletí nepatrně zvyšovala (průměrné roční tempo růstu činilo 0,4 %).</w:t>
      </w:r>
    </w:p>
    <w:p w:rsidR="003B7071" w:rsidRDefault="003B7071" w:rsidP="003B7071">
      <w:r>
        <w:t xml:space="preserve">K meziročnímu nárůstu ceny došlo v roce 2014 zejména v případě chemických prostředků a pesticidů (o 4,0 %) a v menší míře i u služeb pro zemědělství a veterinárních služeb (o 2,6 %, resp. o 1,1 %). Ceny všech těchto uvedených vstupů se v průběhu roku 2014 zvyšovaly (výjimkou byl nepatrný mezičtvrtletní pokles ceny služeb pro zemědělství ve </w:t>
      </w:r>
      <w:r>
        <w:lastRenderedPageBreak/>
        <w:t xml:space="preserve">3. čtvrtletí). Cena skladování a podpůrných služeb v dopravě, která je zahrnována do kategorie </w:t>
      </w:r>
      <w:r w:rsidR="008969A9">
        <w:t>„</w:t>
      </w:r>
      <w:r>
        <w:t>ostatních výdajů</w:t>
      </w:r>
      <w:r w:rsidR="008969A9">
        <w:t>“</w:t>
      </w:r>
      <w:r>
        <w:t>, v roce 2014 v meziročním porovnání stagnovala.</w:t>
      </w:r>
    </w:p>
    <w:p w:rsidR="003B7071" w:rsidRDefault="003B7071" w:rsidP="003B7071">
      <w:r>
        <w:t>Cena strojů a ostatních zařízení pro zemědělství, které spadají do oblasti investic, se v roce 2014 vzhledem k roku 2013 zvýšila o 5,2 %. Průměrné tempo růstu v roce 2014 dosáhlo 1,1 %.</w:t>
      </w:r>
    </w:p>
    <w:p w:rsidR="003B7071" w:rsidRDefault="003B7071" w:rsidP="003B7071">
      <w:r>
        <w:t>V porovnání s rokem 2010 byla průměrná cena vstupů do zemědělství celkem vyšší o 14,2 %, přičemž k nárůstu ceny došlo za všechny hlavní sledované kategorie. Největší měrou se zvýšila cena krmiv (o 29,3 %), umělých hnojiv a půdních zlepšovacích prostředků (o 27,4 %), služeb do zemědělství (o 20,5 %) a osiva a sadby (o 18,3 %). Nejmenší nárůst pak vykázala cena chemických prostředků a pesticidů (o 3,1 %) a veterinárních služeb (o 5,7 %).</w:t>
      </w:r>
    </w:p>
    <w:p w:rsidR="003B7071" w:rsidRDefault="003B7071" w:rsidP="003B7071">
      <w:pPr>
        <w:pStyle w:val="mezera"/>
      </w:pPr>
    </w:p>
    <w:p w:rsidR="003B7071" w:rsidRDefault="00D959B8" w:rsidP="003B7071">
      <w:pPr>
        <w:pStyle w:val="mezera"/>
      </w:pPr>
      <w:r w:rsidRPr="00D959B8">
        <w:rPr>
          <w:noProof/>
          <w:lang w:eastAsia="cs-CZ"/>
        </w:rPr>
        <w:lastRenderedPageBreak/>
        <w:drawing>
          <wp:inline distT="0" distB="0" distL="0" distR="0" wp14:anchorId="0EFAB401" wp14:editId="42D84808">
            <wp:extent cx="5760720" cy="653502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60720" cy="6535023"/>
                    </a:xfrm>
                    <a:prstGeom prst="rect">
                      <a:avLst/>
                    </a:prstGeom>
                    <a:noFill/>
                    <a:ln>
                      <a:noFill/>
                    </a:ln>
                  </pic:spPr>
                </pic:pic>
              </a:graphicData>
            </a:graphic>
          </wp:inline>
        </w:drawing>
      </w:r>
    </w:p>
    <w:p w:rsidR="003B7071" w:rsidRPr="006962BA" w:rsidRDefault="003B7071" w:rsidP="003B7071">
      <w:pPr>
        <w:pStyle w:val="mezera"/>
      </w:pPr>
    </w:p>
    <w:p w:rsidR="00614A2D" w:rsidRDefault="00614A2D" w:rsidP="00614A2D">
      <w:pPr>
        <w:pStyle w:val="Nadpis1"/>
        <w:numPr>
          <w:ilvl w:val="0"/>
          <w:numId w:val="10"/>
        </w:numPr>
        <w:tabs>
          <w:tab w:val="clear" w:pos="432"/>
          <w:tab w:val="num" w:pos="567"/>
        </w:tabs>
        <w:ind w:left="567" w:hanging="567"/>
      </w:pPr>
      <w:bookmarkStart w:id="271" w:name="_Toc424307097"/>
      <w:r>
        <w:t>10</w:t>
      </w:r>
      <w:r>
        <w:tab/>
        <w:t>Ekonomické výsledky agrárního sektoru</w:t>
      </w:r>
      <w:bookmarkEnd w:id="271"/>
    </w:p>
    <w:p w:rsidR="00B60D53" w:rsidRPr="003D1CD4" w:rsidRDefault="00B60D53" w:rsidP="00B60D53">
      <w:pPr>
        <w:pStyle w:val="souhrn-kap"/>
      </w:pPr>
      <w:r w:rsidRPr="003D1CD4">
        <w:t>Podle definitivních výsledků hospodaření zemědělských podniků v sítí FADN CZ za rok 2013 se ČPH/AWU v zemědělství ČR meziročně zvýšila v průměru o 8,7 % na 549,7 tis. Kč v roce 2013. Ke zlepšení ČPH/AWU došlo ve všech kategoriích výrobního zaměření s výjimkou chovu prasat a drůbeže. Ekonomické výsledky zemědělských podniků byly příznivě ovlivněny zejména vyšší hodnotou produkce živočišné výroby v důsledku vyšších realizačních cen mléka a vepřového masa a vyšší užitkovosti v chovu skotu. V rostlinné výrobě nebyl vývoj tak jednoznačný. Mnoho podniků s polní výrobou tak postihl pokles hodnoty produkce obilovin, což částečně eliminovalo zvý</w:t>
      </w:r>
      <w:r>
        <w:t>šení hodnoty produkce olejnin a </w:t>
      </w:r>
      <w:r w:rsidRPr="003D1CD4">
        <w:t xml:space="preserve">brambor. Objem provozních dotací a podpor byl v roce 2013 v průměru 10 645 Kč/ha z. p. (meziroční zvýšení o 16,8 %). Velmi vysoké ekonomické úrovně vyjádřené ukazatelem </w:t>
      </w:r>
      <w:r w:rsidRPr="003D1CD4">
        <w:lastRenderedPageBreak/>
        <w:t>ČPH/AWU bylo možné v roce 2013 dosáhnout jak</w:t>
      </w:r>
      <w:r>
        <w:t xml:space="preserve"> ve středně velkých podnicích s </w:t>
      </w:r>
      <w:r w:rsidRPr="003D1CD4">
        <w:t xml:space="preserve">extenzivním chovem skotu v převážně horských oblastech (zatížení 0,41 DJ/ha krmných plodin) při zapojení do různých agroenvironmentálních </w:t>
      </w:r>
      <w:r>
        <w:t>programů (ČPH/AWU ve výši 604,2 </w:t>
      </w:r>
      <w:r w:rsidRPr="003D1CD4">
        <w:t xml:space="preserve">tis. Kč v roce 2013), tak ve středně velkých podnicích specializovaných na polní výrobu (ČPH/AWU ve výši 826,7 tis. Kč v roce 2013). V roce 2014 se podnikatelský důchod podle 2. předběžného odhadu SZÚ zvýšil o 40,8 % na celkovou hodnotu 22,9 mld. Kč. </w:t>
      </w:r>
      <w:r>
        <w:t>Z </w:t>
      </w:r>
      <w:r w:rsidRPr="003D1CD4">
        <w:t>pohledu investic do zemědělství je možné konstatovat pokračující zlepšování ekonomické situace podniků a výrazný zájem o produktivní a neproduktivní investice do zemědělské výroby. Na celkovém objemu investic se podílely především investice do modernizace budov, strojů a zařízení. V roce 2013 také podniky v porovnání s předchozími roky zřetelně více investovaly do nákupu vlastní zemědělské půdy. V potravinářském průmyslu se účetní přidaná hodnota na zaměstnance u subjektů Výroby potravinářských výrobků (CZ-NACE 10) meziročně zvýšila o 4,2 %. Hlavními příčinami růstu ukazatele je pokles průměrného evidenčního počtu zaměstnanců a rychlejší růst výkonů před výkonovou spotřebou.</w:t>
      </w:r>
    </w:p>
    <w:p w:rsidR="00614A2D" w:rsidRDefault="00614A2D" w:rsidP="00614A2D">
      <w:pPr>
        <w:pStyle w:val="Nadpis2"/>
        <w:numPr>
          <w:ilvl w:val="1"/>
          <w:numId w:val="10"/>
        </w:numPr>
        <w:tabs>
          <w:tab w:val="clear" w:pos="576"/>
        </w:tabs>
        <w:ind w:left="567" w:hanging="567"/>
      </w:pPr>
      <w:bookmarkStart w:id="272" w:name="_Toc424307098"/>
      <w:r>
        <w:t>10.1</w:t>
      </w:r>
      <w:r>
        <w:tab/>
        <w:t>Celkový ekonomický výsledek zemědělství (Souhrnný zemědělský účet)</w:t>
      </w:r>
      <w:bookmarkEnd w:id="272"/>
    </w:p>
    <w:p w:rsidR="00614A2D" w:rsidRDefault="00614A2D" w:rsidP="000B7BEE">
      <w:r>
        <w:t>Rok 2014 představuje vůči výsledkům 2013 další posílení stabilizace odvětví zemědělství s významným růstem všech globálních ukazatelů SZÚ. Ekonomický výsledek v roce 2014 dosáhl rekordní hodnoty 22,9 mld. Kč.</w:t>
      </w:r>
    </w:p>
    <w:p w:rsidR="00614A2D" w:rsidRDefault="00614A2D" w:rsidP="000B7BEE">
      <w:r>
        <w:t>Významné meziroční změny SZÚ v základních běžných cenách za roky 2013 a 2014 ukazuje graf T10.1/01</w:t>
      </w:r>
      <w:r>
        <w:rPr>
          <w:rStyle w:val="Znakapoznpodarou"/>
        </w:rPr>
        <w:footnoteReference w:id="166"/>
      </w:r>
      <w:r>
        <w:t>.</w:t>
      </w:r>
    </w:p>
    <w:p w:rsidR="00614A2D" w:rsidRDefault="00614A2D" w:rsidP="000B7BEE">
      <w:pPr>
        <w:pStyle w:val="mezera"/>
      </w:pPr>
    </w:p>
    <w:p w:rsidR="00614A2D" w:rsidRDefault="00614A2D" w:rsidP="000B7BEE">
      <w:pPr>
        <w:pStyle w:val="mezera-svzan"/>
      </w:pPr>
      <w:r w:rsidRPr="00D00A19">
        <w:rPr>
          <w:noProof/>
          <w:lang w:eastAsia="cs-CZ"/>
        </w:rPr>
        <w:drawing>
          <wp:inline distT="0" distB="0" distL="0" distR="0" wp14:anchorId="7E50212F" wp14:editId="631616D0">
            <wp:extent cx="5760720" cy="3716390"/>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760720" cy="3716390"/>
                    </a:xfrm>
                    <a:prstGeom prst="rect">
                      <a:avLst/>
                    </a:prstGeom>
                    <a:noFill/>
                    <a:ln>
                      <a:noFill/>
                    </a:ln>
                  </pic:spPr>
                </pic:pic>
              </a:graphicData>
            </a:graphic>
          </wp:inline>
        </w:drawing>
      </w:r>
    </w:p>
    <w:p w:rsidR="00614A2D" w:rsidRDefault="00614A2D" w:rsidP="000B7BEE">
      <w:pPr>
        <w:pStyle w:val="TabPramZprac"/>
      </w:pPr>
      <w:r>
        <w:t>Pramen:</w:t>
      </w:r>
      <w:r>
        <w:tab/>
        <w:t>ČSÚ; vlastní výpočty</w:t>
      </w:r>
    </w:p>
    <w:p w:rsidR="00614A2D" w:rsidRPr="00F9000E" w:rsidRDefault="00614A2D" w:rsidP="000B7BEE">
      <w:pPr>
        <w:pStyle w:val="TabPramZprac"/>
      </w:pPr>
      <w:r>
        <w:t>Zpracoval:</w:t>
      </w:r>
      <w:r>
        <w:tab/>
        <w:t>I. Foltýn, O. Chaloupka (ÚZEI)</w:t>
      </w:r>
    </w:p>
    <w:p w:rsidR="00614A2D" w:rsidRDefault="00614A2D" w:rsidP="000B7BEE">
      <w:pPr>
        <w:pStyle w:val="mezera"/>
      </w:pPr>
    </w:p>
    <w:p w:rsidR="00614A2D" w:rsidRDefault="00614A2D" w:rsidP="000B7BEE">
      <w:r>
        <w:lastRenderedPageBreak/>
        <w:t xml:space="preserve">Produkce zemědělského odvětví vzrostla o 6,5 % (s růstem produkce RV, resp. ŽV o 4,7 %, resp. 10,0 %), </w:t>
      </w:r>
      <w:proofErr w:type="spellStart"/>
      <w:r>
        <w:t>mezispotřeba</w:t>
      </w:r>
      <w:proofErr w:type="spellEnd"/>
      <w:r>
        <w:t xml:space="preserve"> rostla pomaleji (o 4,4 %), což se pozitivně promítlo do růstu dalších globálních ukazatelů. Významně vzrostly základní ekonomické ukazatele odvětví </w:t>
      </w:r>
      <w:r w:rsidR="00084C61">
        <w:t>„</w:t>
      </w:r>
      <w:r>
        <w:t>Hrubá přidaná hodnota</w:t>
      </w:r>
      <w:r w:rsidR="00084C61">
        <w:t>“</w:t>
      </w:r>
      <w:r>
        <w:t xml:space="preserve"> a </w:t>
      </w:r>
      <w:r w:rsidR="00084C61">
        <w:t>„</w:t>
      </w:r>
      <w:r>
        <w:t>Čistá přidaná hodnota</w:t>
      </w:r>
      <w:r w:rsidR="00084C61">
        <w:t>“</w:t>
      </w:r>
      <w:r>
        <w:t xml:space="preserve"> o 11,6 %, resp. 17,7 % a dále </w:t>
      </w:r>
      <w:r w:rsidR="008969A9">
        <w:t>„</w:t>
      </w:r>
      <w:r>
        <w:t>Důchod z faktorů</w:t>
      </w:r>
      <w:r w:rsidR="008969A9">
        <w:t>“</w:t>
      </w:r>
      <w:r>
        <w:t xml:space="preserve"> o téměř 15 %. Na vývoj těchto ukazatelů měly vliv pom</w:t>
      </w:r>
      <w:r w:rsidR="008969A9">
        <w:t>alejší nárůsty fixních nákladů –</w:t>
      </w:r>
      <w:r>
        <w:t xml:space="preserve"> odpisů a mzdových nákladů (</w:t>
      </w:r>
      <w:r w:rsidR="008969A9">
        <w:t>„</w:t>
      </w:r>
      <w:r>
        <w:t>Spotřeba fixního kapitálu</w:t>
      </w:r>
      <w:r w:rsidR="008969A9">
        <w:t>“</w:t>
      </w:r>
      <w:r>
        <w:t xml:space="preserve"> o 3,0 % a </w:t>
      </w:r>
      <w:r w:rsidR="008969A9">
        <w:t>„</w:t>
      </w:r>
      <w:r>
        <w:t>Náhrady zaměstnancům</w:t>
      </w:r>
      <w:r w:rsidR="008969A9">
        <w:t>“</w:t>
      </w:r>
      <w:r>
        <w:t xml:space="preserve"> o 2,4 %) a progresivní růst podpor (</w:t>
      </w:r>
      <w:r w:rsidR="008969A9">
        <w:t>„</w:t>
      </w:r>
      <w:r>
        <w:t>Ostatní dotace na výrobu</w:t>
      </w:r>
      <w:r w:rsidR="008969A9">
        <w:t>“</w:t>
      </w:r>
      <w:r>
        <w:t xml:space="preserve"> o 12,3 %). Důsledek těchto pozitivních vývojových trendů se projevil v rekordním růstu 2 finálových ukazatelů SZÚ, a to v </w:t>
      </w:r>
      <w:r w:rsidR="008969A9">
        <w:t>„</w:t>
      </w:r>
      <w:r>
        <w:t>Čistém provozním přebytku</w:t>
      </w:r>
      <w:r w:rsidR="008969A9">
        <w:t>“</w:t>
      </w:r>
      <w:r>
        <w:t xml:space="preserve"> (růst o 29,1 %) a v </w:t>
      </w:r>
      <w:r w:rsidR="008969A9">
        <w:t>„</w:t>
      </w:r>
      <w:r>
        <w:t>Podnikatelském důchodu</w:t>
      </w:r>
      <w:r w:rsidR="008969A9">
        <w:t>“</w:t>
      </w:r>
      <w:r>
        <w:t xml:space="preserve"> (rekordní meziroční nárůst o 40,8 %).</w:t>
      </w:r>
    </w:p>
    <w:p w:rsidR="00614A2D" w:rsidRDefault="00614A2D" w:rsidP="000B7BEE">
      <w:pPr>
        <w:pStyle w:val="mezera"/>
      </w:pPr>
    </w:p>
    <w:p w:rsidR="00614A2D" w:rsidRDefault="00614A2D" w:rsidP="000B7BEE">
      <w:pPr>
        <w:pStyle w:val="mezera-svzan"/>
      </w:pPr>
      <w:r w:rsidRPr="0090062D">
        <w:rPr>
          <w:noProof/>
          <w:lang w:eastAsia="cs-CZ"/>
        </w:rPr>
        <w:drawing>
          <wp:inline distT="0" distB="0" distL="0" distR="0" wp14:anchorId="61760473" wp14:editId="07959648">
            <wp:extent cx="5760720" cy="3716454"/>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60720" cy="3716454"/>
                    </a:xfrm>
                    <a:prstGeom prst="rect">
                      <a:avLst/>
                    </a:prstGeom>
                    <a:noFill/>
                    <a:ln>
                      <a:noFill/>
                    </a:ln>
                  </pic:spPr>
                </pic:pic>
              </a:graphicData>
            </a:graphic>
          </wp:inline>
        </w:drawing>
      </w:r>
    </w:p>
    <w:p w:rsidR="00614A2D" w:rsidRDefault="00614A2D" w:rsidP="000B7BEE">
      <w:pPr>
        <w:pStyle w:val="TabPramZprac"/>
      </w:pPr>
      <w:r>
        <w:t>Pramen:</w:t>
      </w:r>
      <w:r>
        <w:tab/>
        <w:t>ČSÚ; vlastní výpočty</w:t>
      </w:r>
    </w:p>
    <w:p w:rsidR="00614A2D" w:rsidRPr="00F9000E" w:rsidRDefault="00614A2D" w:rsidP="000B7BEE">
      <w:pPr>
        <w:pStyle w:val="TabPramZprac"/>
      </w:pPr>
      <w:r>
        <w:t>Zpracoval:</w:t>
      </w:r>
      <w:r>
        <w:tab/>
        <w:t>I. Foltýn, O. Chaloupka (ÚZEI)</w:t>
      </w:r>
    </w:p>
    <w:p w:rsidR="00614A2D" w:rsidRDefault="00614A2D" w:rsidP="000B7BEE">
      <w:pPr>
        <w:pStyle w:val="mezera"/>
      </w:pPr>
    </w:p>
    <w:p w:rsidR="00614A2D" w:rsidRDefault="00614A2D" w:rsidP="000B7BEE">
      <w:r>
        <w:t xml:space="preserve">K této změně přispěly růstem hodnoty produkce obiloviny o 4,0 % (z nichž největší nárůst zaznamenal ječmen o 12,0 %), olejniny o 11,9 %, cukrová řepa o 15,8 %, krmné plodiny o 9,4 %, zelenina a zahradnické výrobky o 5,3 %, brambory o 6,3 % a ostatní rostlinné výrobky o 10,9 %. Pokles hodnoty produkce byl zaznamenán pouze u ovoce </w:t>
      </w:r>
      <w:r w:rsidR="00BE4C03">
        <w:t>(o </w:t>
      </w:r>
      <w:r>
        <w:t>5,8 %).</w:t>
      </w:r>
    </w:p>
    <w:p w:rsidR="00614A2D" w:rsidRDefault="00614A2D" w:rsidP="000B7BEE">
      <w:r>
        <w:t>Hodnota jatečné produkce v ŽV se zvýšila pouze o 1,5 % (z toho skot -0,3 %, prasata +0,7 %, drůbež +4,3 %), zatímco hodnota živočišných výrobků vzrostla o 17,7 %, zejména díky hodnotě produkce mléka (o 18,7 %), zatímco hodnoty produkce vajec a ostatních živočišných výroků vzrostly mírněji (o 7,4</w:t>
      </w:r>
      <w:r w:rsidR="00BE4C03">
        <w:t xml:space="preserve"> %</w:t>
      </w:r>
      <w:r>
        <w:t>, resp. 6,7 %).</w:t>
      </w:r>
    </w:p>
    <w:p w:rsidR="00614A2D" w:rsidRDefault="00614A2D" w:rsidP="000B7BEE">
      <w:r>
        <w:lastRenderedPageBreak/>
        <w:t xml:space="preserve">Graf T10.1/02 ukazuje, jak se na změnách hodnot produkce (v grafu ukazatel </w:t>
      </w:r>
      <w:r w:rsidR="008969A9">
        <w:t>„</w:t>
      </w:r>
      <w:r>
        <w:t>Hodnota</w:t>
      </w:r>
      <w:r w:rsidR="008969A9">
        <w:t>“</w:t>
      </w:r>
      <w:r>
        <w:t xml:space="preserve">) podílí změna objemu produkce (ukazatel </w:t>
      </w:r>
      <w:r w:rsidR="008969A9">
        <w:t>„</w:t>
      </w:r>
      <w:r>
        <w:t>Produkce</w:t>
      </w:r>
      <w:r w:rsidR="008969A9">
        <w:t>“</w:t>
      </w:r>
      <w:r>
        <w:t xml:space="preserve">) a změna cen zemědělských výrobců (ukazatel </w:t>
      </w:r>
      <w:r w:rsidR="008969A9">
        <w:t>„</w:t>
      </w:r>
      <w:r>
        <w:t>CZV</w:t>
      </w:r>
      <w:r w:rsidR="008969A9">
        <w:t>“</w:t>
      </w:r>
      <w:r>
        <w:t>) u vybraných komodit SZÚ. U většiny komodit byl zaznamenán pokles CZV, který však byl kompenzován vyšším nárůstem objemu produkce. Pouze u skotu, mléka a vajec byl zaznamenán růst produkce i CZV.</w:t>
      </w:r>
    </w:p>
    <w:p w:rsidR="00614A2D" w:rsidRDefault="00614A2D" w:rsidP="000B7BEE">
      <w:r>
        <w:t>Výjimečnost roku 2014 ilustruje tab. T10.1/01, která ukazuje vývoj globálních ukazatelů v posledních 5 letech. Téměř ve všech významných ukazatelích SZÚ bylo dosaženo pětiletého maxima.</w:t>
      </w:r>
    </w:p>
    <w:p w:rsidR="00614A2D" w:rsidRDefault="00614A2D" w:rsidP="000B7BEE">
      <w:pPr>
        <w:pStyle w:val="mezera"/>
      </w:pPr>
    </w:p>
    <w:p w:rsidR="00614A2D" w:rsidRDefault="00A37A2C" w:rsidP="000B7BEE">
      <w:pPr>
        <w:pStyle w:val="mezera"/>
      </w:pPr>
      <w:r w:rsidRPr="00A37A2C">
        <w:rPr>
          <w:noProof/>
          <w:lang w:eastAsia="cs-CZ"/>
        </w:rPr>
        <w:drawing>
          <wp:inline distT="0" distB="0" distL="0" distR="0" wp14:anchorId="10B30E38" wp14:editId="40352773">
            <wp:extent cx="5760720" cy="252042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60720" cy="2520429"/>
                    </a:xfrm>
                    <a:prstGeom prst="rect">
                      <a:avLst/>
                    </a:prstGeom>
                    <a:noFill/>
                    <a:ln>
                      <a:noFill/>
                    </a:ln>
                  </pic:spPr>
                </pic:pic>
              </a:graphicData>
            </a:graphic>
          </wp:inline>
        </w:drawing>
      </w:r>
    </w:p>
    <w:p w:rsidR="00614A2D" w:rsidRDefault="00614A2D" w:rsidP="000B7BEE">
      <w:pPr>
        <w:pStyle w:val="mezera"/>
      </w:pPr>
    </w:p>
    <w:p w:rsidR="00614A2D" w:rsidRDefault="00614A2D" w:rsidP="000B7BEE">
      <w:r>
        <w:t>Jak dalece byl tento vývoj ekonomicky příznivý, ukazuje tab. T10.1/02</w:t>
      </w:r>
      <w:r w:rsidR="00BE4C03">
        <w:t>.</w:t>
      </w:r>
    </w:p>
    <w:p w:rsidR="00614A2D" w:rsidRDefault="00614A2D" w:rsidP="000B7BEE">
      <w:pPr>
        <w:pStyle w:val="mezera"/>
      </w:pPr>
    </w:p>
    <w:p w:rsidR="00614A2D" w:rsidRDefault="00CD6050" w:rsidP="000B7BEE">
      <w:pPr>
        <w:pStyle w:val="mezera"/>
      </w:pPr>
      <w:r w:rsidRPr="00CD6050">
        <w:rPr>
          <w:noProof/>
          <w:lang w:eastAsia="cs-CZ"/>
        </w:rPr>
        <w:drawing>
          <wp:inline distT="0" distB="0" distL="0" distR="0" wp14:anchorId="52374DF4" wp14:editId="2EB6680D">
            <wp:extent cx="5760720" cy="2498692"/>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60720" cy="2498692"/>
                    </a:xfrm>
                    <a:prstGeom prst="rect">
                      <a:avLst/>
                    </a:prstGeom>
                    <a:noFill/>
                    <a:ln>
                      <a:noFill/>
                    </a:ln>
                  </pic:spPr>
                </pic:pic>
              </a:graphicData>
            </a:graphic>
          </wp:inline>
        </w:drawing>
      </w:r>
    </w:p>
    <w:p w:rsidR="00614A2D" w:rsidRDefault="00614A2D" w:rsidP="000B7BEE">
      <w:pPr>
        <w:pStyle w:val="mezera"/>
      </w:pPr>
    </w:p>
    <w:p w:rsidR="00614A2D" w:rsidRDefault="00614A2D" w:rsidP="000B7BEE">
      <w:r>
        <w:t xml:space="preserve">Jako pozitivní lze hodnotit vývoj za posledních 5 let u ukazatelů </w:t>
      </w:r>
      <w:r w:rsidR="008969A9">
        <w:t>„</w:t>
      </w:r>
      <w:r>
        <w:t xml:space="preserve">Podíl </w:t>
      </w:r>
      <w:proofErr w:type="spellStart"/>
      <w:r>
        <w:t>mezispotřeby</w:t>
      </w:r>
      <w:proofErr w:type="spellEnd"/>
      <w:r>
        <w:t xml:space="preserve"> na produkci zemědělského odvětví (PZO)</w:t>
      </w:r>
      <w:r w:rsidR="008969A9">
        <w:t>“</w:t>
      </w:r>
      <w:r>
        <w:t xml:space="preserve"> a </w:t>
      </w:r>
      <w:r w:rsidR="008969A9">
        <w:t>„</w:t>
      </w:r>
      <w:r>
        <w:t>Podíl ostatních dotací na výrobu na důchodu z faktorů</w:t>
      </w:r>
      <w:r w:rsidR="008969A9">
        <w:t>“</w:t>
      </w:r>
      <w:r>
        <w:t xml:space="preserve">, kde bylo dosaženo nejnižších hodnot ve sledovaném období. Zejména poslední </w:t>
      </w:r>
      <w:r>
        <w:lastRenderedPageBreak/>
        <w:t>ukazatel indikuje pozitivní trend, že i přes růst objemu podpor do odvětví závislost ekonomického výsledku zemědělství na podporách klesá</w:t>
      </w:r>
      <w:r>
        <w:rPr>
          <w:rStyle w:val="Znakapoznpodarou"/>
        </w:rPr>
        <w:footnoteReference w:id="167"/>
      </w:r>
      <w:r>
        <w:t>.</w:t>
      </w:r>
    </w:p>
    <w:p w:rsidR="00614A2D" w:rsidRDefault="00614A2D" w:rsidP="000B7BEE">
      <w:r>
        <w:t xml:space="preserve">Naopak u ukazatelů </w:t>
      </w:r>
      <w:r w:rsidR="008969A9">
        <w:t>„</w:t>
      </w:r>
      <w:r>
        <w:t>Podíl hrubé a čisté přidané hodnoty na PZO</w:t>
      </w:r>
      <w:r w:rsidR="008969A9">
        <w:t>“</w:t>
      </w:r>
      <w:r>
        <w:t xml:space="preserve"> bylo dosaženo nejvyšších hodnot v tomto období, což pozitivní trendy zvýrazňuje.</w:t>
      </w:r>
    </w:p>
    <w:p w:rsidR="00614A2D" w:rsidRDefault="00614A2D" w:rsidP="00614A2D">
      <w:pPr>
        <w:pStyle w:val="Nadpis2"/>
        <w:numPr>
          <w:ilvl w:val="1"/>
          <w:numId w:val="10"/>
        </w:numPr>
        <w:tabs>
          <w:tab w:val="clear" w:pos="576"/>
        </w:tabs>
        <w:ind w:left="567" w:hanging="567"/>
      </w:pPr>
      <w:bookmarkStart w:id="273" w:name="_Toc424307099"/>
      <w:r>
        <w:t>10.2</w:t>
      </w:r>
      <w:r>
        <w:tab/>
        <w:t>Ekonomické výsledky zemědělských podniků</w:t>
      </w:r>
      <w:bookmarkEnd w:id="273"/>
    </w:p>
    <w:p w:rsidR="00614A2D" w:rsidRPr="00A55AA1" w:rsidRDefault="00614A2D" w:rsidP="00E406EF">
      <w:pPr>
        <w:rPr>
          <w:i/>
        </w:rPr>
      </w:pPr>
      <w:r w:rsidRPr="00EE72AF">
        <w:t>Ekonomické výsledky zemědělských podniků</w:t>
      </w:r>
      <w:r>
        <w:rPr>
          <w:rStyle w:val="Znakapoznpodarou"/>
        </w:rPr>
        <w:footnoteReference w:id="168"/>
      </w:r>
      <w:r w:rsidRPr="00EE72AF">
        <w:t xml:space="preserve"> </w:t>
      </w:r>
      <w:r>
        <w:t>představují</w:t>
      </w:r>
      <w:r w:rsidRPr="00EE72AF">
        <w:t xml:space="preserve"> stav a vývoj hlavních </w:t>
      </w:r>
      <w:r>
        <w:t>ukazatelů</w:t>
      </w:r>
      <w:r w:rsidRPr="00EE72AF">
        <w:t xml:space="preserve"> hospodaření zemědělských podniků tříděných podle právních forem (</w:t>
      </w:r>
      <w:r>
        <w:t xml:space="preserve">právnických osob </w:t>
      </w:r>
      <w:r w:rsidRPr="00EE72AF">
        <w:t xml:space="preserve">PPO, </w:t>
      </w:r>
      <w:r>
        <w:t xml:space="preserve">fyzických osob </w:t>
      </w:r>
      <w:r w:rsidRPr="00EE72AF">
        <w:t xml:space="preserve">PFO) a typologie FADN EU (kategorie podle regionů </w:t>
      </w:r>
      <w:r>
        <w:t>–</w:t>
      </w:r>
      <w:r w:rsidRPr="00EE72AF">
        <w:t xml:space="preserve"> </w:t>
      </w:r>
      <w:r>
        <w:t xml:space="preserve">méně příznivé oblasti </w:t>
      </w:r>
      <w:r w:rsidRPr="00EE72AF">
        <w:t>LFA, výrobní</w:t>
      </w:r>
      <w:r>
        <w:t>ho</w:t>
      </w:r>
      <w:r w:rsidRPr="00EE72AF">
        <w:t xml:space="preserve"> zaměření, ekonomick</w:t>
      </w:r>
      <w:r>
        <w:t>é</w:t>
      </w:r>
      <w:r w:rsidRPr="00EE72AF">
        <w:t xml:space="preserve"> velikost</w:t>
      </w:r>
      <w:r>
        <w:t>i</w:t>
      </w:r>
      <w:r w:rsidRPr="00EE72AF">
        <w:t xml:space="preserve">). </w:t>
      </w:r>
      <w:r>
        <w:t>Zdrojem dat pro vyhodnocení je</w:t>
      </w:r>
      <w:r w:rsidRPr="00EE72AF">
        <w:t xml:space="preserve"> výběrové šetření </w:t>
      </w:r>
      <w:r>
        <w:t>hospodářských výsledků zemědělských podniků v síti</w:t>
      </w:r>
      <w:r w:rsidRPr="00EE72AF">
        <w:t xml:space="preserve"> FADN </w:t>
      </w:r>
      <w:r>
        <w:t>ČR</w:t>
      </w:r>
      <w:r w:rsidRPr="00EE72AF">
        <w:t xml:space="preserve"> za roky 20</w:t>
      </w:r>
      <w:r>
        <w:t>12</w:t>
      </w:r>
      <w:r w:rsidRPr="00EE72AF">
        <w:t xml:space="preserve"> a 201</w:t>
      </w:r>
      <w:r>
        <w:t>3</w:t>
      </w:r>
      <w:r w:rsidRPr="00EE72AF">
        <w:t xml:space="preserve">. </w:t>
      </w:r>
      <w:r>
        <w:t>Analýza strukturálního a ekonomického vývoje zemědělských podniků vychází z definitivních vážených dat</w:t>
      </w:r>
      <w:r>
        <w:rPr>
          <w:rStyle w:val="Znakapoznpodarou"/>
        </w:rPr>
        <w:footnoteReference w:id="169"/>
      </w:r>
      <w:r>
        <w:t xml:space="preserve"> standardního výstupu EU</w:t>
      </w:r>
      <w:r>
        <w:rPr>
          <w:rStyle w:val="Znakapoznpodarou"/>
        </w:rPr>
        <w:footnoteReference w:id="170"/>
      </w:r>
      <w:r>
        <w:t>. Zemědělské podniky jsou do kategorií výrobního zaměření a ekonomické velikosti řazeny podle standardní produkce (SP)</w:t>
      </w:r>
      <w:r>
        <w:rPr>
          <w:rStyle w:val="Znakapoznpodarou"/>
        </w:rPr>
        <w:footnoteReference w:id="171"/>
      </w:r>
      <w:r>
        <w:t xml:space="preserve"> za rok 2010.</w:t>
      </w:r>
    </w:p>
    <w:p w:rsidR="00614A2D" w:rsidRDefault="00614A2D" w:rsidP="00E406EF">
      <w:r w:rsidRPr="00EE72AF">
        <w:t xml:space="preserve">Výsledné ekonomické ukazatele standardního výstupu FADN jsou vyjádřeny v přepočtu na 1 ha využívané z. p., v případě ukazatele </w:t>
      </w:r>
      <w:r w:rsidR="008969A9">
        <w:t>„</w:t>
      </w:r>
      <w:r w:rsidRPr="00EE72AF">
        <w:t>čistá přidaná hodnota</w:t>
      </w:r>
      <w:r w:rsidR="008969A9">
        <w:t>“</w:t>
      </w:r>
      <w:r w:rsidRPr="00EE72AF">
        <w:t xml:space="preserve"> je uveden také přepočet na 1 AWU (ČPH/AWU). Ukazatel ČPH/AWU je </w:t>
      </w:r>
      <w:r>
        <w:t>nejdůležitějším</w:t>
      </w:r>
      <w:r w:rsidRPr="00EE72AF">
        <w:t xml:space="preserve"> ukazatelem příjmové úrovně zemědělských podniků, protože umožňuje porovnat podniky různého výrobního zaměření, </w:t>
      </w:r>
      <w:r w:rsidRPr="00EE72AF">
        <w:lastRenderedPageBreak/>
        <w:t>různé velikosti a s různými vztahy k využívání externích výrobních faktorů (prác</w:t>
      </w:r>
      <w:r>
        <w:t>i</w:t>
      </w:r>
      <w:r w:rsidRPr="00EE72AF">
        <w:t>, půd</w:t>
      </w:r>
      <w:r>
        <w:t>ě, kapitálu).</w:t>
      </w:r>
    </w:p>
    <w:p w:rsidR="00614A2D" w:rsidRDefault="00614A2D" w:rsidP="00E406EF">
      <w:r>
        <w:t>Přehled strukturálních a ekonomických ukazatelů jednotlivých kategorií zemědělských podniků je uveden v </w:t>
      </w:r>
      <w:proofErr w:type="spellStart"/>
      <w:r>
        <w:t>příl</w:t>
      </w:r>
      <w:proofErr w:type="spellEnd"/>
      <w:r>
        <w:t xml:space="preserve">. tab. 10.2/01-05. Hodnoty </w:t>
      </w:r>
      <w:r w:rsidR="008969A9">
        <w:t>„</w:t>
      </w:r>
      <w:r>
        <w:t>Celkem</w:t>
      </w:r>
      <w:r w:rsidR="008969A9">
        <w:t>“</w:t>
      </w:r>
      <w:r>
        <w:t xml:space="preserve"> podle metodiky FADN ČR nezahrnují podniky specializované na chov prasat a drůbeže. Tato kategorie podniků je v souladu s výstupy FADN uvedena v </w:t>
      </w:r>
      <w:proofErr w:type="spellStart"/>
      <w:r>
        <w:t>příl</w:t>
      </w:r>
      <w:proofErr w:type="spellEnd"/>
      <w:r>
        <w:t>. tab. 10.2/04 v přepočtu na podnik, protože většina těchto podniků hospodaří na minimální výměře z. p., resp. zemědělskou půdou nedisponuje.</w:t>
      </w:r>
    </w:p>
    <w:p w:rsidR="00614A2D" w:rsidRDefault="00614A2D" w:rsidP="00614A2D">
      <w:pPr>
        <w:pStyle w:val="Nadpis3"/>
        <w:numPr>
          <w:ilvl w:val="2"/>
          <w:numId w:val="10"/>
        </w:numPr>
        <w:tabs>
          <w:tab w:val="clear" w:pos="567"/>
          <w:tab w:val="clear" w:pos="720"/>
        </w:tabs>
        <w:ind w:left="567" w:hanging="567"/>
      </w:pPr>
      <w:bookmarkStart w:id="274" w:name="_Toc424307100"/>
      <w:r>
        <w:t>10.2.1</w:t>
      </w:r>
      <w:r>
        <w:tab/>
        <w:t>Celkové hospodářské výsledky zemědělských podniků</w:t>
      </w:r>
      <w:bookmarkEnd w:id="274"/>
    </w:p>
    <w:p w:rsidR="00614A2D" w:rsidRDefault="00614A2D" w:rsidP="00E406EF">
      <w:r>
        <w:t xml:space="preserve">Strukturální charakteristiky a ekonomické výsledky zemědělských podniků fyzických a právnických osob za období 2012-13 (tab. T10.2/01) ukazují jak vývoj cen a produkce hlavních zemědělských komodit, tak proces adaptace podniků na měnící se agrárně politické podmínky. </w:t>
      </w:r>
      <w:r w:rsidRPr="00EE72AF">
        <w:t xml:space="preserve">Syntetickým ekonomickým ukazatelem v rámci EU, který vyjadřuje souhrnný vliv produkce, efektivnosti využití vstupů a úrovně provozních dotací na ekonomickou situaci zemědělských podniků, je </w:t>
      </w:r>
      <w:r>
        <w:t>čistá přidaná hodnota na pracovníka (</w:t>
      </w:r>
      <w:r w:rsidRPr="00EE72AF">
        <w:t>ČPH/AWU</w:t>
      </w:r>
      <w:r>
        <w:t>)</w:t>
      </w:r>
      <w:r>
        <w:rPr>
          <w:rStyle w:val="Znakapoznpodarou"/>
        </w:rPr>
        <w:footnoteReference w:id="172"/>
      </w:r>
      <w:r>
        <w:t>.</w:t>
      </w:r>
    </w:p>
    <w:p w:rsidR="00614A2D" w:rsidRDefault="00614A2D" w:rsidP="000B7BEE">
      <w:pPr>
        <w:pStyle w:val="mezera"/>
      </w:pPr>
    </w:p>
    <w:p w:rsidR="00614A2D" w:rsidRPr="0055606D" w:rsidRDefault="00614A2D" w:rsidP="000B7BEE">
      <w:pPr>
        <w:pStyle w:val="mezera"/>
      </w:pPr>
      <w:r w:rsidRPr="00BA5087">
        <w:rPr>
          <w:noProof/>
          <w:lang w:eastAsia="cs-CZ"/>
        </w:rPr>
        <w:lastRenderedPageBreak/>
        <w:drawing>
          <wp:inline distT="0" distB="0" distL="0" distR="0" wp14:anchorId="26C28F78" wp14:editId="1106B2C8">
            <wp:extent cx="5760720" cy="4997893"/>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60720" cy="4997893"/>
                    </a:xfrm>
                    <a:prstGeom prst="rect">
                      <a:avLst/>
                    </a:prstGeom>
                    <a:noFill/>
                    <a:ln>
                      <a:noFill/>
                    </a:ln>
                  </pic:spPr>
                </pic:pic>
              </a:graphicData>
            </a:graphic>
          </wp:inline>
        </w:drawing>
      </w:r>
    </w:p>
    <w:p w:rsidR="00614A2D" w:rsidRDefault="00614A2D" w:rsidP="000B7BEE">
      <w:pPr>
        <w:pStyle w:val="mezera"/>
      </w:pPr>
    </w:p>
    <w:p w:rsidR="00614A2D" w:rsidRDefault="00614A2D" w:rsidP="00E406EF">
      <w:r>
        <w:t xml:space="preserve">Počty pracovních sil (AWU) na 100 ha využívané z. p. se meziročně příliš nezměnily. U fyzických osob se výrazněji snížila neplacená pracovní síla (o 4,6 p. b.), což ve výsledku pozitivně ovlivnilo důchod ze zemědělské činnosti na neplacenou pracovní sílu (FWU). U fyzických i právnických osob se zvýšila průměrná výměra využívané zemědělské půdy na podnik, z hlediska struktury plodin se zvýšil podíl výměry ostatních polních plodin na úkor obilovin. Podíl krmných plodin zůstal přibližně na úrovni roku 2012. Intenzita chovu hospodářských zvířat na 100 ha z. p. se mírně snížila především v důsledku snížení intenzity chovu přežvýkavců. Podíl využívané najaté z. p. zůstal v roce 2013 </w:t>
      </w:r>
      <w:r w:rsidR="00E86ED0">
        <w:t>u</w:t>
      </w:r>
      <w:r>
        <w:t> fyzických osob na úrovni 61 % a u právnických osob se snížil z 90 % na 89 % z celkové výměry využívané zemědělské půdy. K výraznějším strukturálním změnám u fyzických, ani právnických osob v roce 2013 tedy nedošlo.</w:t>
      </w:r>
    </w:p>
    <w:p w:rsidR="00614A2D" w:rsidRDefault="00614A2D" w:rsidP="00E406EF">
      <w:r>
        <w:t xml:space="preserve">Výnosovou stránku zemědělských podniků v roce 2013 ovlivnilo snížení průměrných realizačních cen u dvou významných komodit rostlinné výroby – u pšenice ozimé a řepky. Naopak průměrné realizační ceny ječmene jarního, kukuřice na zrno, na zeleno i na siláž, raných i pozdních konzumních brambor a cukrovky meziročně vzrostly. Pozitivně na hospodářské výsledky za rok 2013 působily vyšší hektarové výnosy významných polních </w:t>
      </w:r>
      <w:r>
        <w:lastRenderedPageBreak/>
        <w:t xml:space="preserve">plodin s výjimkou kukuřice na zrno a na siláž, brambor a cukrovky. S výjimkou červnových povodní, které postihly zejména pěstitele zeleniny a produkci ryb, byl průběh počasí pro výnosy plodin relativně příznivý. Škody na pojištěných plodinách způsobené ostatními nepříznivými projevy počasí, zejména krupobitím, ale i </w:t>
      </w:r>
      <w:proofErr w:type="spellStart"/>
      <w:r>
        <w:t>vyzimováním</w:t>
      </w:r>
      <w:proofErr w:type="spellEnd"/>
      <w:r>
        <w:t xml:space="preserve"> a jarními mrazy, byly v roce 2013 nižší než v roce 2012.</w:t>
      </w:r>
    </w:p>
    <w:p w:rsidR="00614A2D" w:rsidRDefault="00614A2D" w:rsidP="00E406EF">
      <w:r>
        <w:t>V živočišné výrobě byly dosaženy obdobné průměrné parametry užitkovosti dojnic, výkrmu skotu i prasat jako v roce 2012. Příznivější změnu zaznamenaly podniky fyzických osob v porovnání s právnickými osobami. Výrazněji se však změnily průměrné ceny, kdy na tržby příznivě působil nárůst ceny kravského mléka o 11,4 % a zvýšení ceny vepřového masa v průměru o 1,6 % (více v podnicích fyzických osob). Průměrná realizační cena hovězího masa se snížila o 2 %.</w:t>
      </w:r>
    </w:p>
    <w:p w:rsidR="00614A2D" w:rsidRDefault="00614A2D" w:rsidP="00E406EF">
      <w:r>
        <w:t>Hlavním determinantem vývoje ekonomické situace zemědělských podniků byla tedy v letech 2012-13 produkce živočišné výroby podpořená především vyššími průměrnými realizačními cenami. V rostlinné výrobě byla produkce ovlivněna působením cen a hektarových výnosů, přičemž směr působení se lišil v závislosti na plodině. Graf T10.2/01 porovnává výnosovou a nákladovou stránku hospodaření podniků fyzických a právnických osob a souboru podniků celkem v ČR</w:t>
      </w:r>
      <w:r>
        <w:rPr>
          <w:rStyle w:val="Znakapoznpodarou"/>
        </w:rPr>
        <w:footnoteReference w:id="173"/>
      </w:r>
      <w:r w:rsidRPr="00B264CB">
        <w:t>.</w:t>
      </w:r>
    </w:p>
    <w:p w:rsidR="00614A2D" w:rsidRDefault="00614A2D" w:rsidP="000B7BEE">
      <w:pPr>
        <w:pStyle w:val="mezera-svzan"/>
      </w:pPr>
    </w:p>
    <w:p w:rsidR="00614A2D" w:rsidRPr="0055606D" w:rsidRDefault="00614A2D" w:rsidP="000B7BEE">
      <w:pPr>
        <w:pStyle w:val="mezera-svzan"/>
      </w:pPr>
      <w:r>
        <w:rPr>
          <w:noProof/>
          <w:lang w:eastAsia="cs-CZ"/>
        </w:rPr>
        <w:drawing>
          <wp:inline distT="0" distB="0" distL="0" distR="0" wp14:anchorId="4905615F" wp14:editId="6E75549F">
            <wp:extent cx="5760720" cy="3726180"/>
            <wp:effectExtent l="0" t="0" r="0" b="7620"/>
            <wp:docPr id="1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rsidR="00614A2D" w:rsidRDefault="00614A2D" w:rsidP="000B7BEE">
      <w:pPr>
        <w:pStyle w:val="TabPoz"/>
      </w:pPr>
      <w:r>
        <w:t>Poznámky: Dotace = provozní dotace + investiční dotace.</w:t>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E406EF"/>
    <w:p w:rsidR="00614A2D" w:rsidRDefault="00614A2D" w:rsidP="00E406EF">
      <w:r>
        <w:t>Ekonomická úroveň vyjádřená ukazatelem ČPH/AWU se zvýšila u podniků fyzických i právnických osob (o 8,5 % u PFO, o 8,8 % u PPO). Na celkovém zlepšení ČPH/AWU se podílelo zvýšení hodnoty celkové produkce na hektar z. p. (o 2,3 %), zejména živočišné produkce (o 6,7 %). Podíl rostlinné produkce na celkové hodnotě zemědělské výroby činil necelých 60 %. Rostlinná produkce na hektar z. p. se zvýšila jen o více než 1,1 % u PFO a o 2,1 % u PPO vlivem vyšší hodnoty produkce brambor a olejnin. Naopak hodnota produkce obilovin se snížila výrazněji u PFO, zatímco u PPO byla přibližně na úrovni roku 2012. Příznivé povětrnostní podmínky se projevily na vyšších výnosech obilovin a olejnin. Hodnota produkce obilovin se však snížila vlivem nižších realizačních cen v rozhodujících měsících roku 2013 u PFO, které zřejmě nemají tolik možností skladování jako PPO. V živočišné výrobě se v důsledku vyšší užitkovosti, respektive vyšších realizačních cen zvýšila hodnota produkce všech hlavních komodit (mléko a mléčné výrobky, hovězí a telecí maso, vepřové maso, drůbeží maso a vejce).</w:t>
      </w:r>
    </w:p>
    <w:p w:rsidR="00614A2D" w:rsidRDefault="00614A2D" w:rsidP="00E406EF">
      <w:r>
        <w:lastRenderedPageBreak/>
        <w:t>Na rozdíl od předchozích let ke zlepšení hodnoty celkové produkce nepřispěla ostatní produkce</w:t>
      </w:r>
      <w:r>
        <w:rPr>
          <w:rStyle w:val="Znakapoznpodarou"/>
        </w:rPr>
        <w:footnoteReference w:id="174"/>
      </w:r>
      <w:r>
        <w:t xml:space="preserve">, která se meziročně snížila o 8,3 % na 2 984 Kč/ha. Podílela se tak 8,4 % na celkové hodnotě zemědělské produkce. Vývoj však nebyl způsoben reálným snížením rozměru ostatní produkce, ale metodickou změnou účtování podpor pro výrobce elektřiny, tepla a </w:t>
      </w:r>
      <w:proofErr w:type="spellStart"/>
      <w:r>
        <w:t>biometanu</w:t>
      </w:r>
      <w:proofErr w:type="spellEnd"/>
      <w:r>
        <w:t xml:space="preserve"> z obnovitelných zdrojů. Tyto tzv. zelené bonusy nebyly v roce 2013 vykazovány jako součást tržeb, jako v roce 2012, což způsobilo snížení ostatní produkce. Naopak byly účtovány do ostatních dotací na výrobu.</w:t>
      </w:r>
    </w:p>
    <w:p w:rsidR="00614A2D" w:rsidRDefault="00614A2D" w:rsidP="00E406EF">
      <w:r>
        <w:t>Zemědělské podniky mají obecně snahu</w:t>
      </w:r>
      <w:r w:rsidRPr="007A501C">
        <w:t xml:space="preserve"> </w:t>
      </w:r>
      <w:r>
        <w:t xml:space="preserve">diverzifikací do přidružené výroby a nezemědělské produkce </w:t>
      </w:r>
      <w:r w:rsidRPr="007A501C">
        <w:t>zvyšovat využití vlastních pracovních sil a stabilizovat celkové podnikové příjmy.</w:t>
      </w:r>
      <w:r>
        <w:t xml:space="preserve"> Vyšší podíl příjmů z diverzifikované činnosti mají podniky právnických osob (11,4 % tržeb z prodeje vlastních výrobků a služeb v roce 2013) než podniky fyzických osob (3,4 %). Proti předchozím rokům, kdy se tržby z diverzifikovaných aktivit meziročně zvyšovaly a přispívaly tak pozitivně k ekonomické úrovni zemědělských podniků, byl v období 2012 až 2013 zaznamenán pokles tržeb za nezemědělské výrobky a výrobky ostatní přidružené výroby (celkově klesly o 6,7 %). Tržby za potravinářské výrobky rovněž klesly v průměru o necelých 30 %. Diverzifikace do výroby potravinářských výrobků je typická pro podniky právnických osob, které disponují dostatečnými kapacitami i kapitálem. Tržby za vlastní nezemědělské služby se naopak zvýšily o 2,5 % vlivem pozitivního vývoje v kategorii právnických osob.</w:t>
      </w:r>
    </w:p>
    <w:p w:rsidR="00614A2D" w:rsidRDefault="00614A2D" w:rsidP="00E406EF">
      <w:r>
        <w:t>Jedním ze zdrojů zvýšení ČPH/AWU byly také provozní dotace a podpory, které se v přepočtu na hektar meziročně zvýšily o 16,8 % na 10 645 Kč/ha (o 2,9 % na 9 976 Kč/ha u PFO, o 22,4 % na 10 895 Kč/ha u PPO). Příčinou dynamického zvýšení provozních dotací u právnických osob byla vyšší jednotná platba na plochu a výrazně vyšší ostatní dotace na výrobu, které vzrostly ze 770 Kč/ha v roce 2012 na 2 494 Kč/ha v roce 2013 vlivem přeúčtování zeleného bonusu z ostatní produkce do podpor, protože PPO jsou hlavním producentem energie z bioplynových stanic. V roce 2013 pokračovalo snižování národních dotací uplatněním modulace a nově byla při poskytování dotací zavedena i finanční kázeň podle nařízení Rady (EU) č. 1181/2013. K poklesu došlo u dotací na výrobní spotřebu a dotací na externí faktory. V roce 2013 byla hodnota dotací na výrobní spotřebu 537 Kč/ha (pokles o 18,4 %). Do dotací na výrobní spotřebu náleží vratka spotřební daně při nákupu nafty a bionafty, podpora pojištění z PGRLF a národní podpory. Výše dotací na externí faktory, tvořených dotacemi úroků z úvěru z PGFLF, se meziročně snížila o 8 % na 166 Kč/ha.</w:t>
      </w:r>
    </w:p>
    <w:p w:rsidR="00614A2D" w:rsidRDefault="00614A2D" w:rsidP="00E406EF">
      <w:r>
        <w:lastRenderedPageBreak/>
        <w:t>Výše investičních dotací meziročně klesla o 44,9 % v důsledku nerovnoměrného čerpání rozpočtu v programovém období 2007</w:t>
      </w:r>
      <w:r w:rsidR="00152C8B">
        <w:noBreakHyphen/>
      </w:r>
      <w:r>
        <w:t>2013.</w:t>
      </w:r>
    </w:p>
    <w:p w:rsidR="00614A2D" w:rsidRDefault="00614A2D" w:rsidP="00E406EF">
      <w:r>
        <w:t>Náklady v přepočtu na hektar z. p. se vyvíjely odlišně u fyzických a právnických osob, celkově vzrostly v průměru o 4 %. U fyzických osob celkové náklady i výrobní spotřeba zůstaly na úrovni roku 2012. U PFO v rámci výrobní spotřeby meziročně stagnovaly jak přímé náklady, tak ostatní věcné náklady. Z hlediska výsledného důchodu ze zemědělské činnosti měly naopak nepříznivý vliv náklady na externí faktory, které se zvýšily o 10,7 %, zejména v důsledku vyšších mzdových nákladů (které však nejsou u PFO příliš významné) a vyššího nájemného půdy a budov.</w:t>
      </w:r>
    </w:p>
    <w:p w:rsidR="00614A2D" w:rsidRDefault="00614A2D" w:rsidP="00E406EF">
      <w:r>
        <w:t>U právnických osob se celkové náklady na hektar z. p. zvýšily o 5,2 % vlivem meziročního zvýšení všech hlavních nákladových položek, tj. všech významných položek přímých i režijních nákladů a odpisů. Náklady na externí faktory se u právnických osob zvýšily o 3,5 % vlivem vyšších mzdových nákladů a vyššího nájemného půdy a budov. Je tedy možné konstatovat, že meziroční nárůst nákladů zemědělské výroby u právnických osob částečně utlumil pozitivní vývoj příjmové úrovně podniků.</w:t>
      </w:r>
    </w:p>
    <w:p w:rsidR="00614A2D" w:rsidRDefault="00614A2D" w:rsidP="00E406EF">
      <w:r>
        <w:t>Na ČPH/AWU měl dosud také vliv vývoj počtu placených i neplacených pracovních sil. V roce 2013 však počet AWU/100 hektarů zůstal přibližně stejný u PFO (99,1 % úrovně roku 2012) i PPO (99,2 % úrovně roku 2012) a ukazatel ČPH/AWU tak nebyl intenzitou zapojení pracovníků výrazně ovlivněn</w:t>
      </w:r>
      <w:r w:rsidRPr="00FF4C5D">
        <w:t xml:space="preserve"> </w:t>
      </w:r>
      <w:r>
        <w:t>z hlediska průměru ČR ani jednotlivých právních forem. Přesto je patrný mírný pokles, který je dlouhodobým trendem v českém zemědělství. Rozdílný vliv však bude mít vývoj počtu pracovních sil v kategoriích podniků podle výrobního zaměření, ekonomické velikosti a LFA.</w:t>
      </w:r>
    </w:p>
    <w:p w:rsidR="00614A2D" w:rsidRDefault="00614A2D" w:rsidP="00E406EF">
      <w:r>
        <w:t>I přes meziroční zlepšení hodnoty celkové produkce, zejména živočišné produkce a přes vyšší provozní dotace na hektar z. p. by podniky právnických osob celkovou produkcí</w:t>
      </w:r>
      <w:r w:rsidRPr="00B264CB">
        <w:t xml:space="preserve"> pokryly výrobní spotřebu (přímé a režijní náklady výroby), ale </w:t>
      </w:r>
      <w:r>
        <w:t xml:space="preserve">nikoliv celkové </w:t>
      </w:r>
      <w:r w:rsidRPr="00B264CB">
        <w:t>účetní náklady</w:t>
      </w:r>
      <w:r>
        <w:t xml:space="preserve"> včetně </w:t>
      </w:r>
      <w:r w:rsidRPr="00B264CB">
        <w:t>odpis</w:t>
      </w:r>
      <w:r>
        <w:t>ů</w:t>
      </w:r>
      <w:r w:rsidRPr="00B264CB">
        <w:t>, mzdový</w:t>
      </w:r>
      <w:r>
        <w:t>ch</w:t>
      </w:r>
      <w:r w:rsidRPr="00B264CB">
        <w:t xml:space="preserve"> náklad</w:t>
      </w:r>
      <w:r>
        <w:t>ů</w:t>
      </w:r>
      <w:r w:rsidRPr="00B264CB">
        <w:t>, nájemn</w:t>
      </w:r>
      <w:r>
        <w:t>ého</w:t>
      </w:r>
      <w:r w:rsidRPr="00B264CB">
        <w:t xml:space="preserve"> za najatou půdu a nákladov</w:t>
      </w:r>
      <w:r>
        <w:t>ých</w:t>
      </w:r>
      <w:r w:rsidRPr="00B264CB">
        <w:t xml:space="preserve"> úrok</w:t>
      </w:r>
      <w:r>
        <w:t>ů</w:t>
      </w:r>
      <w:r w:rsidRPr="00B264CB">
        <w:t xml:space="preserve">. </w:t>
      </w:r>
      <w:r>
        <w:t>U</w:t>
      </w:r>
      <w:r w:rsidRPr="00B264CB">
        <w:t xml:space="preserve"> větších podniků právnických osob</w:t>
      </w:r>
      <w:r>
        <w:t xml:space="preserve"> je v</w:t>
      </w:r>
      <w:r w:rsidRPr="00B264CB">
        <w:t>ýznamnější p</w:t>
      </w:r>
      <w:r>
        <w:t xml:space="preserve">odíl ostatních účetních nákladů, protože </w:t>
      </w:r>
      <w:r w:rsidRPr="00B264CB">
        <w:t>hospodaří s převážně najatými výrobními faktory.</w:t>
      </w:r>
      <w:r>
        <w:t xml:space="preserve"> Naopak podniky fyzických osob pokrývaly v letech 2012 a 2013 dostatečně celkovou produkcí celkové náklady i bez započítání provozních dotací a podpor.</w:t>
      </w:r>
    </w:p>
    <w:p w:rsidR="00614A2D" w:rsidRDefault="00614A2D" w:rsidP="00E406EF">
      <w:r w:rsidRPr="0099780B">
        <w:t>Souhrnně lze konstatovat, že přízniv</w:t>
      </w:r>
      <w:r>
        <w:t>ější ekonomická</w:t>
      </w:r>
      <w:r w:rsidRPr="0099780B">
        <w:t xml:space="preserve"> situace </w:t>
      </w:r>
      <w:r>
        <w:t xml:space="preserve">zemědělských podniků </w:t>
      </w:r>
      <w:r w:rsidRPr="0099780B">
        <w:t>v</w:t>
      </w:r>
      <w:r>
        <w:t> </w:t>
      </w:r>
      <w:r w:rsidRPr="0099780B">
        <w:t>roce 20</w:t>
      </w:r>
      <w:r>
        <w:t>13</w:t>
      </w:r>
      <w:r w:rsidRPr="0099780B">
        <w:t xml:space="preserve"> proti roku 20</w:t>
      </w:r>
      <w:r>
        <w:t xml:space="preserve">12 </w:t>
      </w:r>
      <w:r w:rsidRPr="0099780B">
        <w:t>byl</w:t>
      </w:r>
      <w:r>
        <w:t>a</w:t>
      </w:r>
      <w:r w:rsidRPr="0099780B">
        <w:t xml:space="preserve"> </w:t>
      </w:r>
      <w:r>
        <w:t>zapříčiněna</w:t>
      </w:r>
      <w:r w:rsidRPr="0099780B">
        <w:t xml:space="preserve"> </w:t>
      </w:r>
      <w:r>
        <w:t>především vyššími hektarovými výnosy klíčových polních plodin a lepší užitkovostí a realizačními cenami v živočišné výrobě.</w:t>
      </w:r>
      <w:r w:rsidRPr="00887C8F">
        <w:t xml:space="preserve"> </w:t>
      </w:r>
      <w:r>
        <w:t>Celková zemědělská produkce, zejména produkce živočišné výroby a vyšší provozní dotace přispěly k lepší příjmové situaci zemědělských podniků. Týká se to nejen ČPH/AWU, ale také ukazatele hospodářského výsledku sektoru vyjádřeném důchodem ze zemědělské činnosti, který v přepočtu na hektar z. p. vzrostl průměrně o 8,9 % na 6 090 Kč/ha.</w:t>
      </w:r>
    </w:p>
    <w:p w:rsidR="00614A2D" w:rsidRDefault="00614A2D" w:rsidP="00614A2D">
      <w:pPr>
        <w:pStyle w:val="Nadpis3"/>
        <w:numPr>
          <w:ilvl w:val="2"/>
          <w:numId w:val="10"/>
        </w:numPr>
        <w:tabs>
          <w:tab w:val="clear" w:pos="567"/>
          <w:tab w:val="clear" w:pos="720"/>
        </w:tabs>
        <w:ind w:left="567" w:hanging="567"/>
      </w:pPr>
      <w:bookmarkStart w:id="275" w:name="_Toc424307101"/>
      <w:r>
        <w:lastRenderedPageBreak/>
        <w:t>10.2.2</w:t>
      </w:r>
      <w:r>
        <w:tab/>
        <w:t>Ekonomické výsledky zemědělských podniků podle standardního výstupu EU</w:t>
      </w:r>
      <w:bookmarkEnd w:id="275"/>
    </w:p>
    <w:p w:rsidR="00614A2D" w:rsidRDefault="00614A2D" w:rsidP="00E406EF">
      <w:r>
        <w:t>Síť FADN poskytuje s</w:t>
      </w:r>
      <w:r w:rsidRPr="00D90488">
        <w:t xml:space="preserve">trukturální a ekonomické charakteristiky podniků podle </w:t>
      </w:r>
      <w:r>
        <w:t xml:space="preserve">jejich vztahu k LFA (regionální kritérium), </w:t>
      </w:r>
      <w:r w:rsidRPr="00D90488">
        <w:t xml:space="preserve">výrobního zaměření </w:t>
      </w:r>
      <w:r>
        <w:t>a ekonomické velikosti. Kritériem pro klasifikaci zemědělských podniků podle typu výrobního zaměření je podíl odvětví na tvorbě podnikové standardní produkce roku 2010</w:t>
      </w:r>
      <w:r>
        <w:rPr>
          <w:rStyle w:val="Znakapoznpodarou"/>
        </w:rPr>
        <w:footnoteReference w:id="175"/>
      </w:r>
      <w:r>
        <w:t>. Ukazatele</w:t>
      </w:r>
      <w:r w:rsidRPr="0004066E">
        <w:t xml:space="preserve"> </w:t>
      </w:r>
      <w:r>
        <w:t xml:space="preserve">váženého </w:t>
      </w:r>
      <w:r w:rsidRPr="0004066E">
        <w:t>standardního výstupu</w:t>
      </w:r>
      <w:r>
        <w:t xml:space="preserve"> pro kategorie podniků</w:t>
      </w:r>
      <w:r w:rsidRPr="0004066E">
        <w:t xml:space="preserve"> jsou uvedeny v</w:t>
      </w:r>
      <w:r>
        <w:t> </w:t>
      </w:r>
      <w:proofErr w:type="spellStart"/>
      <w:r w:rsidRPr="0004066E">
        <w:t>příl</w:t>
      </w:r>
      <w:proofErr w:type="spellEnd"/>
      <w:r>
        <w:t>.</w:t>
      </w:r>
      <w:r w:rsidRPr="0004066E">
        <w:t xml:space="preserve"> tab. </w:t>
      </w:r>
      <w:r>
        <w:t>10</w:t>
      </w:r>
      <w:r w:rsidRPr="0004066E">
        <w:t>.2/0</w:t>
      </w:r>
      <w:r>
        <w:t>2-</w:t>
      </w:r>
      <w:r w:rsidRPr="0004066E">
        <w:t>0</w:t>
      </w:r>
      <w:r>
        <w:t>5.</w:t>
      </w:r>
    </w:p>
    <w:p w:rsidR="00614A2D" w:rsidRDefault="00614A2D" w:rsidP="00614A2D">
      <w:pPr>
        <w:pStyle w:val="Nadpis4"/>
        <w:numPr>
          <w:ilvl w:val="3"/>
          <w:numId w:val="10"/>
        </w:numPr>
        <w:ind w:left="851" w:hanging="851"/>
      </w:pPr>
      <w:r>
        <w:t>10.2.2.1</w:t>
      </w:r>
      <w:r>
        <w:tab/>
        <w:t>Výsledky zemědělských podniků podle regionálního hlediska (vztahu k LFA)</w:t>
      </w:r>
    </w:p>
    <w:p w:rsidR="00614A2D" w:rsidRDefault="00614A2D" w:rsidP="00E406EF">
      <w:r w:rsidRPr="00C05457">
        <w:t>Regionální pohled, který zohledňuje rozdílné přírodní a klimatické podmínky, je reprezentován vztahem podniků k oblastem LFA.</w:t>
      </w:r>
      <w:r>
        <w:t xml:space="preserve"> </w:t>
      </w:r>
      <w:r w:rsidRPr="00AC10D7">
        <w:t>Podle vztah</w:t>
      </w:r>
      <w:r>
        <w:t>u k méně příznivým oblastem LFA jsou podniky klasifikovány následujícím způsobem:</w:t>
      </w:r>
    </w:p>
    <w:p w:rsidR="00614A2D" w:rsidRDefault="00614A2D" w:rsidP="00614A2D">
      <w:pPr>
        <w:pStyle w:val="vet1"/>
        <w:numPr>
          <w:ilvl w:val="0"/>
          <w:numId w:val="17"/>
        </w:numPr>
        <w:ind w:left="567" w:hanging="567"/>
      </w:pPr>
      <w:r>
        <w:t>Horské oblasti LFA = více než 50 % výměry využívané z. p. v LFA horská (H).</w:t>
      </w:r>
    </w:p>
    <w:p w:rsidR="00614A2D" w:rsidRDefault="00614A2D" w:rsidP="00614A2D">
      <w:pPr>
        <w:pStyle w:val="vet1"/>
        <w:numPr>
          <w:ilvl w:val="0"/>
          <w:numId w:val="17"/>
        </w:numPr>
        <w:ind w:left="567" w:hanging="567"/>
      </w:pPr>
      <w:r>
        <w:t>Převažující ostatní LFA = více než 50 % výměry využívané z. p. v LFA ostatní (O) a specifické (S), pokud H je menší než 50 %.</w:t>
      </w:r>
    </w:p>
    <w:p w:rsidR="00614A2D" w:rsidRDefault="00614A2D" w:rsidP="00614A2D">
      <w:pPr>
        <w:pStyle w:val="vet1"/>
        <w:numPr>
          <w:ilvl w:val="0"/>
          <w:numId w:val="17"/>
        </w:numPr>
        <w:ind w:left="567" w:hanging="567"/>
      </w:pPr>
      <w:r>
        <w:t>Oblasti převážně mimo LFA = více než 50 % výměry využívané z. p. mimo LFA (N).</w:t>
      </w:r>
    </w:p>
    <w:p w:rsidR="00614A2D" w:rsidRDefault="00614A2D" w:rsidP="00E406EF">
      <w:r>
        <w:t>Strukturální charakteristiky a p</w:t>
      </w:r>
      <w:r w:rsidRPr="00F364B0">
        <w:t>růměrné hodnoty ČPH/AWU v podnicích podle vztahu k</w:t>
      </w:r>
      <w:r>
        <w:t> </w:t>
      </w:r>
      <w:r w:rsidRPr="00F364B0">
        <w:t xml:space="preserve">oblastem LFA uvádí </w:t>
      </w:r>
      <w:r>
        <w:t>tab</w:t>
      </w:r>
      <w:r w:rsidR="00D2688C">
        <w:t>.</w:t>
      </w:r>
      <w:r w:rsidRPr="00F364B0">
        <w:t xml:space="preserve"> T10.2/0</w:t>
      </w:r>
      <w:r>
        <w:t>2</w:t>
      </w:r>
      <w:r w:rsidRPr="00F364B0">
        <w:t>.</w:t>
      </w:r>
    </w:p>
    <w:p w:rsidR="00614A2D" w:rsidRDefault="00614A2D" w:rsidP="000B7BEE">
      <w:pPr>
        <w:pStyle w:val="mezera"/>
      </w:pPr>
    </w:p>
    <w:p w:rsidR="00614A2D" w:rsidRDefault="00614A2D" w:rsidP="000B7BEE">
      <w:pPr>
        <w:pStyle w:val="mezera"/>
      </w:pPr>
      <w:r w:rsidRPr="00BA5087">
        <w:rPr>
          <w:noProof/>
          <w:lang w:eastAsia="cs-CZ"/>
        </w:rPr>
        <w:drawing>
          <wp:inline distT="0" distB="0" distL="0" distR="0" wp14:anchorId="263C532C" wp14:editId="734F78C0">
            <wp:extent cx="5760720" cy="3173868"/>
            <wp:effectExtent l="0" t="0" r="0" b="762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60720" cy="3173868"/>
                    </a:xfrm>
                    <a:prstGeom prst="rect">
                      <a:avLst/>
                    </a:prstGeom>
                    <a:noFill/>
                    <a:ln>
                      <a:noFill/>
                    </a:ln>
                  </pic:spPr>
                </pic:pic>
              </a:graphicData>
            </a:graphic>
          </wp:inline>
        </w:drawing>
      </w:r>
    </w:p>
    <w:p w:rsidR="00614A2D" w:rsidRDefault="00614A2D" w:rsidP="000B7BEE">
      <w:pPr>
        <w:pStyle w:val="mezera"/>
      </w:pPr>
    </w:p>
    <w:p w:rsidR="00614A2D" w:rsidRDefault="00614A2D" w:rsidP="00E406EF">
      <w:r>
        <w:t>Podniky hospodařící převážně v </w:t>
      </w:r>
      <w:r>
        <w:rPr>
          <w:i/>
        </w:rPr>
        <w:t>horských oblastech LFA</w:t>
      </w:r>
      <w:r>
        <w:t xml:space="preserve"> zvýšily průměrnou výměru využívané půdy o 5,6 % na 212,9 ha/podnik. Podíl najaté využívané z. p. zůstal zhruba na úrovni roku 2012, což znamená, že se zvýšila průměrná výměra zemědělské půdy v nájmu. </w:t>
      </w:r>
      <w:r>
        <w:lastRenderedPageBreak/>
        <w:t>Z</w:t>
      </w:r>
      <w:r w:rsidRPr="0083363B">
        <w:t>atížení ploch krmných plodin v chovu přežvýkavců</w:t>
      </w:r>
      <w:r>
        <w:t xml:space="preserve"> se meziročně mírně snížilo z 0,57 DJ/ha na 0,56 DJ/ha</w:t>
      </w:r>
      <w:r w:rsidRPr="0083363B">
        <w:t xml:space="preserve">. </w:t>
      </w:r>
      <w:r>
        <w:t>Z hlediska počtu DJ na 100 ha se zvýšily stavy ostatního skotu na úkor dojnic. Dlouhodobý trend růstu stavů ovcí a koz na 100 ha nepokračoval. Živočišná výroba je v horských oblastech LFA významné výrobní zaměření podniků, s více než 50% podílem na celkové produkci. Počet AWU na 100 ha byl v horských oblastech meziročně o 4,7 % nižší, částečně díky snížení počtu placených i neplacených pracovních sil a částečně v důsledku zvýšení průměrné výměry využívané zemědělské půdy na podnik.</w:t>
      </w:r>
    </w:p>
    <w:p w:rsidR="00614A2D" w:rsidRDefault="00614A2D" w:rsidP="00E406EF">
      <w:r>
        <w:t>U podniků v </w:t>
      </w:r>
      <w:r w:rsidRPr="001427F1">
        <w:rPr>
          <w:i/>
        </w:rPr>
        <w:t>ostatních oblastech LFA</w:t>
      </w:r>
      <w:r>
        <w:t xml:space="preserve"> se průměrná výměra využívané zemědělské půdy zvýšila o 2,8 % na 246,0 ha/podnik. Podniky snížily podíl obilovin na výměře využívané z. p. ve prospěch ostatních polních plodin a krmných plodin. Změna v zastoupení krmných plodin však není významná (nárůst o 1,1 %). Stavy hospodářských zvířat na 100 ha, stejně jako intenzita chovu přežvýkavců se snížily, ovšem méně dynamicky než v horských oblastech. Snížilo zatížení zemědělské půdy dojnicemi a ostatním skotem. Počet pracovníků na 100 ha půdy se meziročně snížil o 2,4 % díky snížení počtu placených pracovních sil a zvýšení průměrné výměry podniku.</w:t>
      </w:r>
    </w:p>
    <w:p w:rsidR="00614A2D" w:rsidRDefault="00614A2D" w:rsidP="00E406EF">
      <w:r>
        <w:t xml:space="preserve">V oblastech </w:t>
      </w:r>
      <w:r w:rsidRPr="001427F1">
        <w:rPr>
          <w:i/>
        </w:rPr>
        <w:t>převážně mimo LFA</w:t>
      </w:r>
      <w:r>
        <w:t xml:space="preserve"> se průměrná výměra podniku zvýšila o 2,9 % na 233 ha/podnik a pokračoval trend postupného mírného snižování podílu najaté zemědělské půdy. Obdobně jako v ostatních oblastech LFA (kromě horských) i v produkčně intenzivních oblastech došlo k nárůstu zastoupení ostatních polních plodin a krmných plodin na úkor obilovin. Pokud jde o vývoj stavů hospodářských zvířat, snížení DJ/100 ha z. p. o 0,8 % nastalo v důsledku snížení průměrných stavů všech kategorií přežvýkavců. Zvýšily se naopak stavy prasat (o 9,4 %) a drůbeže (o 24,7 %). Ze struktury produkce vyplývá, že podniky v oblastech převážně mimo LFA jsou spíše zaměřené na polní výrobu nebo smíšenou rostlinnou a živočišnou výrobu. Vyšší intenzitu chovu přežvýkavců vykazují v produkčně intenzivních oblastech PPO (kolem 1 DJ/ha krmných plodin) a jsou reprezentovány převážně většími podniky se smíšenou rostlinnou a živočišnou výrobou. Intenzita chovu přežvýkavců se celkově snížila o 8 % vlivem poklesu stavů přežvýkavců. Nižší intenzita chovu přežvýkavců byla částečně vyrovnána vyšší užitkovostí dojnic o 1,1 % (7 809 l/rok), která dlouhodobě v ČR stoupá. Na rozdíl od horských oblastí a ostatních oblastí LFA zaznamenaly podniky v oblastech mimo LFA meziroční zvýšení počtu AWU na 100 ha o 1,2 % z důvodu zvýšení absolutního počtu placených i neplacených pracovních sil. Nárůst počtu pracovníků může souviset s větším rozměrem intenzivní živočišné výroby, reprezentované chovem prasat a drůbeže.</w:t>
      </w:r>
    </w:p>
    <w:p w:rsidR="00614A2D" w:rsidRDefault="00614A2D" w:rsidP="00E406EF">
      <w:r>
        <w:t>Ze strukturálního hlediska lze pozorovat v roce 2013 meziroční zvětšení výměry zemědělských podniků a snižování intenzity chovu přežvýkavců (nejvíce v oblastech mimo LFA). Průměrný počet pracovníků se zvýšil v oblastech mimo LFA, zatímco v méně příznivých oblastech klesl.</w:t>
      </w:r>
    </w:p>
    <w:p w:rsidR="00614A2D" w:rsidRDefault="00614A2D" w:rsidP="00E406EF">
      <w:r>
        <w:lastRenderedPageBreak/>
        <w:t>Graf T10.2/02 dokumentuje příčiny vývoje příjmové úrovně zemědělských podniků porovnáním objemu dotací na hektar z. p., nákladů a celkové produkce.</w:t>
      </w:r>
    </w:p>
    <w:p w:rsidR="00614A2D" w:rsidRPr="00F364B0" w:rsidRDefault="00614A2D" w:rsidP="000B7BEE">
      <w:pPr>
        <w:pStyle w:val="mezera-svzan"/>
      </w:pPr>
    </w:p>
    <w:p w:rsidR="00614A2D" w:rsidRDefault="00614A2D" w:rsidP="000B7BEE">
      <w:pPr>
        <w:pStyle w:val="mezera"/>
      </w:pPr>
      <w:r>
        <w:rPr>
          <w:noProof/>
          <w:lang w:eastAsia="cs-CZ"/>
        </w:rPr>
        <w:drawing>
          <wp:inline distT="0" distB="0" distL="0" distR="0" wp14:anchorId="4AD85FAD" wp14:editId="69DB487C">
            <wp:extent cx="5760720" cy="3726180"/>
            <wp:effectExtent l="0" t="0" r="0" b="7620"/>
            <wp:docPr id="13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60720" cy="3726180"/>
                    </a:xfrm>
                    <a:prstGeom prst="rect">
                      <a:avLst/>
                    </a:prstGeom>
                    <a:noFill/>
                    <a:ln>
                      <a:noFill/>
                    </a:ln>
                  </pic:spPr>
                </pic:pic>
              </a:graphicData>
            </a:graphic>
          </wp:inline>
        </w:drawing>
      </w:r>
    </w:p>
    <w:p w:rsidR="00614A2D" w:rsidRDefault="00614A2D" w:rsidP="000B7BEE">
      <w:pPr>
        <w:pStyle w:val="TabPoz"/>
      </w:pPr>
      <w:r>
        <w:t>Pozn.:</w:t>
      </w:r>
      <w:r>
        <w:tab/>
        <w:t>Dotace = provozní dotace + investiční dotace.</w:t>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Default="00614A2D" w:rsidP="00E406EF">
      <w:r>
        <w:t>V </w:t>
      </w:r>
      <w:r w:rsidRPr="008C53FA">
        <w:rPr>
          <w:i/>
        </w:rPr>
        <w:t>horských oblastech</w:t>
      </w:r>
      <w:r>
        <w:t xml:space="preserve"> se ČPH/AWU meziročně zvýšila o 5,6 % na 482,7 tis. Kč/AWU. Zvýšení ČPH/AWU bylo podpořeno především vyššími provozními dotacemi a podporami, které vzrostly o 7,3 % a nižšími náklady na hektar zemědělské půdy, které klesly o 1 % v případě výkonové spotřeby. Ke zvýšení ČPH/AWU přispěl i pokles AWU/100 ha v kategorii placených i neplacených pracovních sil.</w:t>
      </w:r>
    </w:p>
    <w:p w:rsidR="00614A2D" w:rsidRPr="00C6724A" w:rsidRDefault="00614A2D" w:rsidP="00E406EF">
      <w:r>
        <w:t xml:space="preserve">Celková produkce se naopak snížila o 4,9 % vlivem nižší rostlinné i živočišné produkce na hektar z. p. Pokles živočišné výroby, která v horských oblastech LFA převažuje, nastal snížením hodnoty produkce hovězího </w:t>
      </w:r>
      <w:r w:rsidR="00870BC0">
        <w:t xml:space="preserve">a </w:t>
      </w:r>
      <w:r>
        <w:t>telecího masa a produkce ovcí a koz. Snížení produkce hovězího masa odpovídá snížení jeho realizační ceny.</w:t>
      </w:r>
    </w:p>
    <w:p w:rsidR="00614A2D" w:rsidRDefault="00614A2D" w:rsidP="00E406EF">
      <w:r>
        <w:t xml:space="preserve">Provozní dotace a podpory dosáhly v roce 2013 v horských oblastech LFA průměrné výše 13 537 Kč/ha z. p., v produkčně intenzivních oblastech mimo LFA byla jejich průměrná výše </w:t>
      </w:r>
      <w:r w:rsidRPr="00841630">
        <w:t>9</w:t>
      </w:r>
      <w:r>
        <w:t> </w:t>
      </w:r>
      <w:r w:rsidRPr="00841630">
        <w:t>679</w:t>
      </w:r>
      <w:r>
        <w:t xml:space="preserve"> Kč/ha. </w:t>
      </w:r>
      <w:r w:rsidRPr="00095B18">
        <w:t>Regionálně jsou důležité zejména platby LFA</w:t>
      </w:r>
      <w:r>
        <w:t xml:space="preserve">, </w:t>
      </w:r>
      <w:r w:rsidRPr="00095B18">
        <w:t xml:space="preserve">které </w:t>
      </w:r>
      <w:r>
        <w:t xml:space="preserve">kompenzují (doplňují) podnikům </w:t>
      </w:r>
      <w:r w:rsidRPr="00095B18">
        <w:t>příjmy v produkčně znevýhodněných oblastech</w:t>
      </w:r>
      <w:r>
        <w:t>,</w:t>
      </w:r>
      <w:r w:rsidRPr="00095B18">
        <w:t xml:space="preserve"> a</w:t>
      </w:r>
      <w:r>
        <w:t> </w:t>
      </w:r>
      <w:r w:rsidRPr="00095B18">
        <w:t>platby</w:t>
      </w:r>
      <w:r>
        <w:t xml:space="preserve"> za environmentální opatření, tj. kompenzace podnikům za služby, spojené s vyššími náklady či nižšími výnosy. </w:t>
      </w:r>
      <w:r>
        <w:lastRenderedPageBreak/>
        <w:t>Zvýšení průměrné výše provozních dotací nastalo vlivem vyšší jednotné platby na plochu a vyšších environmentálních dotací. Závislost celkových výnosů na provozních dotacích se zvýšila z 36,6 % na 39,5 %</w:t>
      </w:r>
      <w:r>
        <w:rPr>
          <w:rStyle w:val="Znakapoznpodarou"/>
        </w:rPr>
        <w:footnoteReference w:id="176"/>
      </w:r>
      <w:r>
        <w:t>.</w:t>
      </w:r>
    </w:p>
    <w:p w:rsidR="00614A2D" w:rsidRDefault="00614A2D" w:rsidP="00E406EF">
      <w:r w:rsidRPr="00095B18">
        <w:t xml:space="preserve">Provozní dotace jsou klíčovým faktorem, který ovlivňuje přechod ze ztrátového hospodaření do ziskového ve všech oblastech LFA. </w:t>
      </w:r>
      <w:r>
        <w:t>Dalším důležitým faktorem</w:t>
      </w:r>
      <w:r w:rsidRPr="00095B18">
        <w:t xml:space="preserve"> vyšší ekonomické úrovně v přepočtu na AWU podniků v</w:t>
      </w:r>
      <w:r>
        <w:t> </w:t>
      </w:r>
      <w:r w:rsidRPr="00095B18">
        <w:t xml:space="preserve">LFA je extenzivní způsob hospodaření </w:t>
      </w:r>
      <w:r>
        <w:t>s </w:t>
      </w:r>
      <w:r w:rsidRPr="00095B18">
        <w:t>nižší</w:t>
      </w:r>
      <w:r>
        <w:t>mi</w:t>
      </w:r>
      <w:r w:rsidRPr="00095B18">
        <w:t xml:space="preserve"> vstupy materiálu a pr</w:t>
      </w:r>
      <w:r>
        <w:t>áce.</w:t>
      </w:r>
    </w:p>
    <w:p w:rsidR="00614A2D" w:rsidRDefault="00614A2D" w:rsidP="00E406EF">
      <w:r>
        <w:t>R</w:t>
      </w:r>
      <w:r w:rsidRPr="00E80751">
        <w:t>ozdíl mezi horskými oblastmi LFA a produkčními oblastmi mimo LFA</w:t>
      </w:r>
      <w:r>
        <w:t xml:space="preserve"> je zřejmý i z</w:t>
      </w:r>
      <w:r w:rsidRPr="00E80751">
        <w:t>e vztahu celko</w:t>
      </w:r>
      <w:r>
        <w:t>vých nákladů a celkové produkce (graf T10.2/02).</w:t>
      </w:r>
      <w:r w:rsidRPr="00E80751">
        <w:t xml:space="preserve"> Zatímco v horských oblastech hodnota celkové produkce uhradí jen výrobní spotřebu</w:t>
      </w:r>
      <w:r>
        <w:t xml:space="preserve"> a malou část ostatních účetních nákladů</w:t>
      </w:r>
      <w:r w:rsidRPr="00E80751">
        <w:t>, v oblastech mimo LFA je hodnota celkové produkce bez dotací</w:t>
      </w:r>
      <w:r>
        <w:rPr>
          <w:rStyle w:val="Znakapoznpodarou"/>
        </w:rPr>
        <w:footnoteReference w:id="177"/>
      </w:r>
      <w:r w:rsidRPr="00E80751">
        <w:t xml:space="preserve"> schopna uhradit výrobní spotřebu i </w:t>
      </w:r>
      <w:r>
        <w:t xml:space="preserve">převážnou </w:t>
      </w:r>
      <w:r w:rsidRPr="00E80751">
        <w:t xml:space="preserve">část ostatních účetních nákladů. </w:t>
      </w:r>
      <w:r>
        <w:t>Provozní dotace a podpory v horských oblastech LFA kompenzují nepříznivý poměr nákladů k produkci v porovnání s produkčně intenzivními oblastmi mimo LFA.</w:t>
      </w:r>
    </w:p>
    <w:p w:rsidR="00614A2D" w:rsidRDefault="00614A2D" w:rsidP="00E406EF">
      <w:r>
        <w:t>Průměrná úroveň ČPH/AWU se pohybovala v roce 2013 od 482,7 tis. Kč v horských oblastech LFA do 591,0 tis. Kč v oblastech převážně mimo LFA. ČPH/AWU se meziročně zvýšila ve všech regionech. Nejvíce dynamické zvýšení ČPH/AWU nastalo u podniků v </w:t>
      </w:r>
      <w:r w:rsidRPr="008C53FA">
        <w:rPr>
          <w:i/>
        </w:rPr>
        <w:t>ostatních oblastech LFA</w:t>
      </w:r>
      <w:r>
        <w:t xml:space="preserve"> (o 13,5 %), především jako důsledek současného poklesu počtu AWU/100 ha a zvýšení provozních dotací a podpor, které se zvýšily o 16,3 % na 10 785 Kč/ha. Právě v ostatních oblastech LFA se nejvíce projevil vliv přeúčtování zelených bonusů na obnovitelné zdroje energie z ostatní produkce do ostatních dotací na výrobu, které se zvýšily o 246,2 % z 502 na 1 736 Kč/ha. Vliv nákladově produkčních relací nebyl příliš významný, protože celková produkce se zvýšila o 4,7 % a výrobní spotřeba vzrostla o 5,7 %, čímž eliminovala vliv zejména příznivější hodnoty živočišné produkce v čele s produkcí mléka a chovem hovězího skotu.</w:t>
      </w:r>
    </w:p>
    <w:p w:rsidR="00614A2D" w:rsidRDefault="00614A2D" w:rsidP="00E406EF">
      <w:r>
        <w:t>Podniky hospodařící v </w:t>
      </w:r>
      <w:r w:rsidRPr="00C6724A">
        <w:rPr>
          <w:i/>
        </w:rPr>
        <w:t>oblastech mimo LFA</w:t>
      </w:r>
      <w:r>
        <w:t xml:space="preserve"> zlepšily ČPH/AWU o 6 %. Významně se na zvýšení podílel nárůst provozních dotací a podpor o 23,3 % způsobený vyšší jednotnou platbou na plochu a vyššími ostatními dotacemi na výrobu díky přeúčtování zeleného bonusu z ostatní produkce. Celková produkce na hektar z. p. se zvýšila jen o 1,1 %. Rostlinná produkce zůstala na úrovni roku 2012, což bylo způsobeno nižší hodnotou produkce obilovin (o 3,3 %), cukrovky (o 2,7 %), zeleniny a květin (o 19,1 %). Produkce živočišné výroby se </w:t>
      </w:r>
      <w:r>
        <w:lastRenderedPageBreak/>
        <w:t>meziročně zvýšila o 7,1 % jako důsledek nárůstu hodnoty produkce všech významných komodit živočišné výroby. Náklady na výrobní spotřebu se zvýšily o 3,2 %, což snížilo efekt vyšší celkové produkce. Výrobní spotřeba na hektar z. p. vzrostla vlivem vyšších nákladů na nakupovaná hnojiva (o 9 %), prostředky ochrany rostlin (o 2,7 %), nakupovaná krmiva (o 8,6 %) a vlivem zvýšení všech ostatních věcných nákladů (o 4,4 %), z nichž má největší význam údržba budov a strojů a spotřeba energie.</w:t>
      </w:r>
    </w:p>
    <w:p w:rsidR="00614A2D" w:rsidRDefault="00614A2D" w:rsidP="00E406EF">
      <w:r>
        <w:t>Shrneme-li vývoj ekonomických indikátorů v podnicích tříděných podle LFA, je možné sledovat společné i odlišné reakce podniků na aktuální tržní a agrárně politické podmínky. Společným jmenovatelem všech tří oblastí je nárůst provozních dotací a podpor, ke kterému však došlo zejména změnou metodiky účtování zeleného bonusu. Ve všech oblastech přispěly vyšší provozní dotace ke zvýšení ČPH/AWU. Rozdílné byly nákladově produkční vztahy. Celková produkce na hektar zemědělské půdy se zvýšila v produkčně intenzivnějších oblastech ostatních LFA a mimo LFA</w:t>
      </w:r>
      <w:r w:rsidR="00C86BB2">
        <w:t xml:space="preserve">, a to </w:t>
      </w:r>
      <w:r>
        <w:t>hlavně vlivem příznivého vývoje v živočišné výrobě. V horských oblastech naopak celková produkce klesla následkem nižších realizačních cen hovězího masa a krmných obilovin. Náklady na výrobní spotřebu se snížily méně dynamicky a přispěly tak k horšímu ekonomickému výsledku bez vlivu podpor, který byl vyrovnán až provozními dotacemi a podporami.</w:t>
      </w:r>
    </w:p>
    <w:p w:rsidR="00614A2D" w:rsidRPr="00C812EA" w:rsidRDefault="00614A2D" w:rsidP="00614A2D">
      <w:pPr>
        <w:pStyle w:val="Nadpis4"/>
        <w:numPr>
          <w:ilvl w:val="3"/>
          <w:numId w:val="10"/>
        </w:numPr>
        <w:ind w:left="851" w:hanging="851"/>
      </w:pPr>
      <w:r>
        <w:t>10.2.2.2</w:t>
      </w:r>
      <w:r>
        <w:tab/>
      </w:r>
      <w:r w:rsidRPr="00C812EA">
        <w:t>Vliv provozu bioplynové stanice na ekonomické výsledky podniků podle</w:t>
      </w:r>
      <w:r>
        <w:t xml:space="preserve"> vztahu k LFA</w:t>
      </w:r>
    </w:p>
    <w:p w:rsidR="00614A2D" w:rsidRPr="00CD45F6" w:rsidRDefault="00614A2D" w:rsidP="00E406EF">
      <w:r w:rsidRPr="00CD45F6">
        <w:t xml:space="preserve">Provoz </w:t>
      </w:r>
      <w:r>
        <w:t>bioplynových stanic (</w:t>
      </w:r>
      <w:r w:rsidRPr="00CD45F6">
        <w:t>BPS</w:t>
      </w:r>
      <w:r>
        <w:t>)</w:t>
      </w:r>
      <w:r w:rsidRPr="00CD45F6">
        <w:t xml:space="preserve"> významně ovlivňuje ekonomické výsledky zemědělských podniků. </w:t>
      </w:r>
      <w:proofErr w:type="spellStart"/>
      <w:r w:rsidRPr="00CD45F6">
        <w:t>Příl</w:t>
      </w:r>
      <w:proofErr w:type="spellEnd"/>
      <w:r>
        <w:t>.</w:t>
      </w:r>
      <w:r w:rsidRPr="00CD45F6">
        <w:t xml:space="preserve"> </w:t>
      </w:r>
      <w:r>
        <w:t>t</w:t>
      </w:r>
      <w:r w:rsidRPr="00CD45F6">
        <w:t>ab</w:t>
      </w:r>
      <w:r>
        <w:t>. 10.2/03</w:t>
      </w:r>
      <w:r w:rsidRPr="00CD45F6">
        <w:t xml:space="preserve"> uvádí základní strukturální a ekonomické ukazatele podniků právnických osob za rok 2013 podle toho, zda provozují BPS. Podniky právnických osob jsou nejvýznamnějšími provozovateli BPS v ČR vzhledem k větší kapitálové síle v porovnání s PFO a s ohledem smíšenou výrobu, která je pro provoz BPS velmi vhodná.</w:t>
      </w:r>
    </w:p>
    <w:p w:rsidR="00614A2D" w:rsidRDefault="00614A2D" w:rsidP="00E406EF">
      <w:r w:rsidRPr="00CD45F6">
        <w:t>Ze strukturálního hlediska mají podniky s BPS v průměru výrazně vyšší výměru využívané z. p., přičemž v LFA oblastech je struktura plodin stejná bez ohledu na provoz BPS, zatímco v oblastech mimo LFA mají podniky s BPS vyšší podíl krmných plodin, což výrazně snižuje intenzitu chovu přežvýkavců (0,89 DJ/ha krmných plodin) v porovnání s podniky bez BPS. V průměru chovají podniky s BPS více dojnic a prasat na 100 ha z. p. než podniky bez BPS.</w:t>
      </w:r>
    </w:p>
    <w:p w:rsidR="00614A2D" w:rsidRDefault="00614A2D" w:rsidP="00E406EF">
      <w:r w:rsidRPr="00CD45F6">
        <w:t>Je zřejmé, že zemědělské podniky s BPS v oblastech LFA i mimo LFA dosahují vyšší ČPH/AWU proti podnikům bez BPS. Příčinou je především vyšší ostatní produkce a vyšší ostatní dotace na výrobu, které zahrnují tzv. zelené bonusy. Důsledkem vysokých investičních výdajů na výstavbu BPS jsou vyšší odpisy. Celkové náklady i náklady na výrobní spotřebu jsou vyšší u podniků provozujících BPS, u nichž je vyšší i spotřeba energie na hektar z. p. Podniky s BPS mají vyšší náklady na externí faktory. Vyšší nájemné půdy u provozovatelů BPS je však jen v ob</w:t>
      </w:r>
      <w:r>
        <w:t>lastech LFA, nikoliv mimo LFA.</w:t>
      </w:r>
    </w:p>
    <w:p w:rsidR="00614A2D" w:rsidRDefault="00614A2D" w:rsidP="00614A2D">
      <w:pPr>
        <w:pStyle w:val="Nadpis4"/>
        <w:numPr>
          <w:ilvl w:val="3"/>
          <w:numId w:val="10"/>
        </w:numPr>
        <w:ind w:left="851" w:hanging="851"/>
      </w:pPr>
      <w:r>
        <w:lastRenderedPageBreak/>
        <w:t>10.2.2.3</w:t>
      </w:r>
      <w:r>
        <w:tab/>
        <w:t>Výsledky zemědělských podniků podle výrobního zaměření</w:t>
      </w:r>
    </w:p>
    <w:p w:rsidR="00614A2D" w:rsidRDefault="00614A2D" w:rsidP="00E406EF">
      <w:r>
        <w:t xml:space="preserve">Strukturální a ekonomické ukazatele hospodaření zemědělských podniků v třídění podle nejvýznamnějších kategorií výrobního zaměření uvádí </w:t>
      </w:r>
      <w:proofErr w:type="spellStart"/>
      <w:r>
        <w:t>příl</w:t>
      </w:r>
      <w:proofErr w:type="spellEnd"/>
      <w:r>
        <w:t>. tab. 10.2/04. Úroveň ČPH/AWU dokumentuje graf T10.2/3. Pozadí vývoje ekonomické situace podniků podle výrobního zaměření a právní formy uvádějí grafy T10.2/04 a T10.2/05.</w:t>
      </w:r>
    </w:p>
    <w:p w:rsidR="00F200B6" w:rsidRDefault="00F200B6" w:rsidP="00F200B6">
      <w:pPr>
        <w:pStyle w:val="mezera"/>
      </w:pPr>
    </w:p>
    <w:p w:rsidR="00614A2D" w:rsidRDefault="00614A2D" w:rsidP="000B7BEE">
      <w:pPr>
        <w:pStyle w:val="mezera-svzan"/>
      </w:pPr>
      <w:r w:rsidRPr="00F209D1">
        <w:rPr>
          <w:noProof/>
          <w:lang w:eastAsia="cs-CZ"/>
        </w:rPr>
        <w:drawing>
          <wp:inline distT="0" distB="0" distL="0" distR="0" wp14:anchorId="1C78B8AE" wp14:editId="5E51B9CF">
            <wp:extent cx="5760720" cy="3719384"/>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760720" cy="3719384"/>
                    </a:xfrm>
                    <a:prstGeom prst="rect">
                      <a:avLst/>
                    </a:prstGeom>
                    <a:noFill/>
                    <a:ln>
                      <a:noFill/>
                    </a:ln>
                  </pic:spPr>
                </pic:pic>
              </a:graphicData>
            </a:graphic>
          </wp:inline>
        </w:drawing>
      </w:r>
    </w:p>
    <w:p w:rsidR="00614A2D" w:rsidRPr="00D87012" w:rsidRDefault="00614A2D" w:rsidP="000B7BEE">
      <w:pPr>
        <w:pStyle w:val="TabPramZprac"/>
      </w:pPr>
      <w:r>
        <w:t>Pramen:</w:t>
      </w:r>
      <w:r>
        <w:tab/>
      </w:r>
      <w:r w:rsidRPr="00D87012">
        <w:t xml:space="preserve">Zemědělská účetní datová síť FADN </w:t>
      </w:r>
      <w:r>
        <w:t>ČR</w:t>
      </w:r>
    </w:p>
    <w:p w:rsidR="00614A2D" w:rsidRDefault="00614A2D" w:rsidP="000B7BEE">
      <w:pPr>
        <w:pStyle w:val="TabPramZprac"/>
      </w:pPr>
      <w:r>
        <w:t>Zpracoval:</w:t>
      </w:r>
      <w:r>
        <w:tab/>
      </w:r>
      <w:r w:rsidRPr="00D87012">
        <w:t>J. Špička (ÚZEI)</w:t>
      </w:r>
    </w:p>
    <w:p w:rsidR="00614A2D" w:rsidRDefault="00614A2D" w:rsidP="000B7BEE">
      <w:pPr>
        <w:pStyle w:val="mezera"/>
      </w:pPr>
    </w:p>
    <w:p w:rsidR="00614A2D" w:rsidRPr="007C02B2" w:rsidRDefault="00614A2D" w:rsidP="000B7BEE">
      <w:pPr>
        <w:pStyle w:val="mezera"/>
      </w:pPr>
    </w:p>
    <w:p w:rsidR="00614A2D" w:rsidRPr="00865E59" w:rsidRDefault="00614A2D" w:rsidP="000B7BEE">
      <w:pPr>
        <w:pStyle w:val="mezera-svzan"/>
      </w:pPr>
      <w:r w:rsidRPr="00F209D1">
        <w:rPr>
          <w:noProof/>
          <w:lang w:eastAsia="cs-CZ"/>
        </w:rPr>
        <w:lastRenderedPageBreak/>
        <w:drawing>
          <wp:inline distT="0" distB="0" distL="0" distR="0" wp14:anchorId="005228CC" wp14:editId="6AF3D17B">
            <wp:extent cx="5760720" cy="3719384"/>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60720" cy="3719384"/>
                    </a:xfrm>
                    <a:prstGeom prst="rect">
                      <a:avLst/>
                    </a:prstGeom>
                    <a:noFill/>
                    <a:ln>
                      <a:noFill/>
                    </a:ln>
                  </pic:spPr>
                </pic:pic>
              </a:graphicData>
            </a:graphic>
          </wp:inline>
        </w:drawing>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Pr="007C02B2" w:rsidRDefault="00614A2D" w:rsidP="000B7BEE">
      <w:pPr>
        <w:pStyle w:val="mezera"/>
      </w:pPr>
    </w:p>
    <w:p w:rsidR="00614A2D" w:rsidRPr="005B032A" w:rsidRDefault="00614A2D" w:rsidP="000B7BEE">
      <w:pPr>
        <w:pStyle w:val="mezera-svzan"/>
      </w:pPr>
      <w:r w:rsidRPr="00AA5EC8">
        <w:rPr>
          <w:noProof/>
          <w:lang w:eastAsia="cs-CZ"/>
        </w:rPr>
        <w:drawing>
          <wp:inline distT="0" distB="0" distL="0" distR="0" wp14:anchorId="26B83E71" wp14:editId="0540465A">
            <wp:extent cx="5760720" cy="3719384"/>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60720" cy="3719384"/>
                    </a:xfrm>
                    <a:prstGeom prst="rect">
                      <a:avLst/>
                    </a:prstGeom>
                    <a:noFill/>
                    <a:ln>
                      <a:noFill/>
                    </a:ln>
                  </pic:spPr>
                </pic:pic>
              </a:graphicData>
            </a:graphic>
          </wp:inline>
        </w:drawing>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Default="00614A2D" w:rsidP="00E406EF">
      <w:r w:rsidRPr="00F275F0">
        <w:lastRenderedPageBreak/>
        <w:t>Hodnota ČPH/AWU se v roce 20</w:t>
      </w:r>
      <w:r>
        <w:t>13</w:t>
      </w:r>
      <w:r w:rsidRPr="00F275F0">
        <w:t xml:space="preserve"> pohybovala v </w:t>
      </w:r>
      <w:r>
        <w:t>intervalu</w:t>
      </w:r>
      <w:r w:rsidRPr="00F275F0">
        <w:t xml:space="preserve"> od </w:t>
      </w:r>
      <w:r>
        <w:t>413,3 tis.</w:t>
      </w:r>
      <w:r w:rsidRPr="00F275F0">
        <w:t xml:space="preserve"> Kč u podniků zaměřených na </w:t>
      </w:r>
      <w:r>
        <w:t>chov prasat a drůbeže</w:t>
      </w:r>
      <w:r w:rsidRPr="00F275F0">
        <w:t xml:space="preserve"> do </w:t>
      </w:r>
      <w:r>
        <w:t>695,8</w:t>
      </w:r>
      <w:r w:rsidRPr="00F275F0">
        <w:t xml:space="preserve"> tis. Kč u podniků se specializací na </w:t>
      </w:r>
      <w:r>
        <w:t>polní výrobu</w:t>
      </w:r>
      <w:r w:rsidRPr="00F275F0">
        <w:t xml:space="preserve">. Na celkovém meziročním </w:t>
      </w:r>
      <w:r>
        <w:t>zlepšení</w:t>
      </w:r>
      <w:r w:rsidRPr="00F275F0">
        <w:t xml:space="preserve"> ekonomiky zemědělských podniků v ČR se podílel</w:t>
      </w:r>
      <w:r>
        <w:t>y</w:t>
      </w:r>
      <w:r w:rsidRPr="00F275F0">
        <w:t xml:space="preserve"> </w:t>
      </w:r>
      <w:r>
        <w:t>všechny uvedené kategorie výrobního zaměření, s výjimkou specializovaných podniků s chovem prasat a drůbeže (snížení ČPH/AWU o 2,1 %).</w:t>
      </w:r>
    </w:p>
    <w:p w:rsidR="00614A2D" w:rsidRDefault="00614A2D" w:rsidP="00E406EF">
      <w:r w:rsidRPr="00C90387">
        <w:t>Podniky</w:t>
      </w:r>
      <w:r>
        <w:t xml:space="preserve"> s převažující </w:t>
      </w:r>
      <w:r w:rsidRPr="00D30056">
        <w:rPr>
          <w:i/>
        </w:rPr>
        <w:t>polní výrobou</w:t>
      </w:r>
      <w:r>
        <w:t xml:space="preserve">, které v roce 2013 hospodařily na průměrné výměře 197,9 ha/podnik meziročně zvýšily ČPH/AWU z 666,2 tis. Kč/AWU (2012) na 695,8 tis. Kč/AWU (2013), tedy o 4,4 %. Nárůst není tak dynamický jako v předchozích letech, což bylo ovlivněno snížením realizačních cen pšenice ozimé, která je v ČR významnou obilovinou. Vzhledem k meziročně vyššímu počtu AWU/100 ha o 1,5 % je nutné příčiny zlepšení hledat v tvorbě čisté přidané hodnoty. Na straně výnosů se na zvýšení ČPH podílelo především zlepšení celkové produkce na hektar o 3,0 %, zejména produkce živočišné výroby (nárůst o 12,9 %) a ostatní produkce (nárůst o 23,0 %), které však dohromady tvoří jen 14 % celkové produkce. V rostlinné výrobě byla dosažena produkce na úrovni roku 2012. Snížení hodnoty produkce obilovin bylo kompenzováno vyšší hodnotou produkce olejnin a okopanin. Provozní dotace na hektar z. p. se v porovnání s předchozím rokem zvýšily o </w:t>
      </w:r>
      <w:r w:rsidR="00E86ED0">
        <w:t>15,5 % (ze 7 275</w:t>
      </w:r>
      <w:r>
        <w:t> na 8 401 Kč/ha) v důsledku vyšší jednotné platby na plochu a vyšších ostatních dotací na výrobu. Výrobní spotřeba na hektar z. p. u podniků specializovaných na polní výrobu byla v roce 2013 v průměru o 5,4 % vyšší než v roce 2012. Nárůst nákladů byl způsoben zvýšením všech klíčových přímých i režijních nákladů na nakupované vstupy do rostlinné výroby. Na výsledný důchod ze zemědělské činnosti nepříznivě působily také vyšší mzdové náklady na hektar (o 5,1 %), nájemné na hektar (o 6,8 %) a vyšší odpisy (o 2,1 %). Výsledná ČPH/AWU se meziročně zvýšila v průměru více v kategorii podniků fyzických osob (o 6,8 %) než u právnických osob (o 2,9 %). Příčinou úspěchu podniků fyzických osob bylo nižší zapojení AWU/100 ha (o 0,4 %) a snížení přímých nákladů a nákladů na služby.</w:t>
      </w:r>
    </w:p>
    <w:p w:rsidR="00614A2D" w:rsidRDefault="00614A2D" w:rsidP="00E406EF">
      <w:r>
        <w:t xml:space="preserve">Podniky specializované na </w:t>
      </w:r>
      <w:r w:rsidRPr="005A4F78">
        <w:rPr>
          <w:i/>
        </w:rPr>
        <w:t>produkci mléka</w:t>
      </w:r>
      <w:r>
        <w:t xml:space="preserve"> zvýšily ČPH/AWU průměrně o 7,8 % ze 428,9 na 462,5 tis. Kč/AWU. Příčinu lze najít především ve vyšších realizačních cenách mléka. Roční dojivost ve specializovaných mléčných farmách klesla z průměrných 6 894 na 6 730 litrů/dojnici, tj. o 2,4 %. Intenzita chovu přežvýkavců v přepočtu na hektar krmných plodin se pohybovala na úrovni 0,90 DJ/ha. Vyšší intenzitu chovu přežvýkavců mají PFO, u nichž intenzita v průměru dosahuje 1 DJ/ha krmných plodin. Počet AWU na 100 ha byl meziročně relativně stabilní. Produkce živočišné výroby na hektar z. p., která tvoří většinu celkové produkce, se zvýšila o 6,0 %. Kromě vyšší hodnoty produkce za mléko a mléčné výrobky bylo dosaženo vyšší produkce hovězího a telecího masa. Provozní dotace na hektar se meziročně </w:t>
      </w:r>
      <w:r w:rsidR="00F40617">
        <w:t>zvýšily</w:t>
      </w:r>
      <w:r>
        <w:t xml:space="preserve"> o rekordních 30,5 %, většinou ale uměle přeúčtováním zeleného bonusu z ostatní produkce do ostatních dotací na výrobu, částečně také přirozeně zvýšením jednotné platby na plochu. Na straně nákladů zaznamenaly podniky specializované na produkci mléka zvýšení nákladů na výrobní spotřebu (o 3,7 %) a odpisy (o 11,8 %). Zvýšily se náklady na </w:t>
      </w:r>
      <w:r>
        <w:lastRenderedPageBreak/>
        <w:t>všechny nakupované vstupy do živočišné výroby – krmiva, energie, náklady údržby budov a strojů. Jedinou významnější položkou nákladů, která klesla, byly služby.</w:t>
      </w:r>
    </w:p>
    <w:p w:rsidR="00614A2D" w:rsidRDefault="00614A2D" w:rsidP="00E406EF">
      <w:r>
        <w:t xml:space="preserve">Podniky specializované na </w:t>
      </w:r>
      <w:r w:rsidRPr="00131E86">
        <w:rPr>
          <w:i/>
        </w:rPr>
        <w:t>chov</w:t>
      </w:r>
      <w:r>
        <w:rPr>
          <w:i/>
        </w:rPr>
        <w:t xml:space="preserve"> skotu, ovcí, koz a ostatních zvířat zkrmujících objemnou píci</w:t>
      </w:r>
      <w:r>
        <w:t xml:space="preserve"> pokračovaly v roce 2013 v dlouhodobém trendu zvyšování ČPH/AWU. V průměru se ČPH/AWU zlepšila o 1,4 % na 477,7 tis. Kč/AWU. Příčinou zlepšení ekonomických výsledků byl především nižší vstup pracovní síly. Počet AWU/100 ha se snížil o 3,9 %, pokles zaznamenali jak placení, tak neplacení pracovníci. V této kategorii podniků se navíc zvýšila průměrná výměra využívané zemědělské půdy o 2,9 % na 152,2 ha/podnik. Extenzivně hospodařící podniky s chovem skotu bez tržní produkce mléka tak zvýšily svoji výměru a snižovaly využití pracovních sil. Intenzita chovu přežvýkavců se mírně snížila z 0,47 na 0,45 DJ/ha. </w:t>
      </w:r>
      <w:r w:rsidR="00F40617">
        <w:t xml:space="preserve">ČPH/AWU </w:t>
      </w:r>
      <w:r>
        <w:t>se v absolutní hodnotě zvýšila jen o 1</w:t>
      </w:r>
      <w:r w:rsidR="00F40617">
        <w:t>,4</w:t>
      </w:r>
      <w:r>
        <w:t xml:space="preserve"> %. Meziročně vyšší celková produkce (o 2,1 %) byla vyvážena vyššími náklady na výrobní spotřebu (o 2,5 %), které byly ovlivněny zejména vyššími náklady na nakupovaná krmiva a náklady na údržbu budov a strojů. Odpisy na hektar z. p. se zvýšily o 8,4 %. Provozní dotace a podpory na hektar z. p. zůstaly na úrovni roku 2012 ve výši přibližně 14 tis. Kč. Vývoj u extenzivních chovatelů přežvýkavců je tedy možné charakterizovat jako stagnaci z ekonomického pohledu při probíhajících strukturálních změnách v počtu pracovníků a velikosti podniků.</w:t>
      </w:r>
    </w:p>
    <w:p w:rsidR="00614A2D" w:rsidRDefault="00614A2D" w:rsidP="00E406EF">
      <w:r w:rsidRPr="00484CA4">
        <w:t>Kategorie</w:t>
      </w:r>
      <w:r>
        <w:t xml:space="preserve"> podniků se </w:t>
      </w:r>
      <w:r w:rsidRPr="006F6A09">
        <w:rPr>
          <w:i/>
        </w:rPr>
        <w:t>smíšenou rostlinnou a živočišnou výrobou</w:t>
      </w:r>
      <w:r>
        <w:t xml:space="preserve"> je charakteristická největšími velikostními rozdíly mezi podniky fyzických osob (67,4 ha/podnik v roce 2013) a podniky právnických osob (1 462,7 ha/podnik v roce 2013). Obě právní formy zaznamenaly meziročně nárůst průměrné výměry podniku ve výši 9,5 % (PFO), resp. 0,8 % (PPO). ČPH/AWU v souhrnu meziročně vzrostla o 13,2 % na 543,4 tis. Kč/AWU. Vývoj ČPH/AWU byl pozitivně ovlivněn hlavně vyšší hodnotou produkce rostlinné výroby (o 2,5 %) a především živočišné výroby (o 9,6 %) a vyššími provozními dotacemi a podporami (o 24,1 %), zejména jednotnými platbami na plochu a ostatními dotacemi na výrobu. Počet AWU/100 ha se snížil o 0,7 </w:t>
      </w:r>
      <w:r w:rsidR="00F40617">
        <w:t>%</w:t>
      </w:r>
      <w:r>
        <w:t xml:space="preserve"> a podpořil tak meziroční nárůst ČPH/AWU. Podniky právnických osob se smíšenou výrobou jsou typickými provozovateli bioplynových stanic a přeúčtování zelených bonusů z ostatní produkce do ostatních dotací na výrobu velmi ovlivnilo strukturu provozních dotací. Tržby z rostlinné výroby byly meziročně vyšší díky vyšší hodnotě produkce olejnin a brambor. Vyšší tržby z živočišné výroby byly dosaženy vlivem vyšších cen a užitkovosti chovu skotu a prasat. Náklady však rostly rychleji než celková produkce. Výrobní spotřeba se zvýšila o 4,6 %, přičemž se zvýšily všechny náklady na významné nakupované položky rostlinné a živočišné výroby. Odpisy se zvýšily celkově v průměru o 6,6 %. Odlišný vývoj nákladů zaznamenaly PFO a PPO. Zatímco výrobní spotřeba se u PFO meziročně příliš nezměnila (pokles o 0,4 %), u právnických osob se zvýšila o 5,3 %. Obdobné rozdíly jsou patrné i u odpisů. Při podobné dynamice celkové produkce PFO a PPO by teoreticky měla být změna ČPH/AWU vyšší u PFO. Výsledná změna </w:t>
      </w:r>
      <w:r>
        <w:lastRenderedPageBreak/>
        <w:t>ČPH/AWU je však mírně vyšší u PPO, které ve větší míře než právnické osoby provozují bioplynové stanice a které těžily z výhody zelených bonusů.</w:t>
      </w:r>
    </w:p>
    <w:p w:rsidR="00614A2D" w:rsidRDefault="00614A2D" w:rsidP="00E406EF">
      <w:r>
        <w:t xml:space="preserve">Podniky specializované na </w:t>
      </w:r>
      <w:r w:rsidRPr="00AA35A7">
        <w:rPr>
          <w:i/>
        </w:rPr>
        <w:t>chov prasat a drůbeže</w:t>
      </w:r>
      <w:r>
        <w:t xml:space="preserve"> byly v roce 2013 charakteristické nižší úrovní ČPH/AWU, která klesla o 2,1 % ze 422,0 na 413,3 tis. Kč/AWU. Ekonomický a strukturální vývoj </w:t>
      </w:r>
      <w:r w:rsidRPr="00933B6B">
        <w:t xml:space="preserve">podniků specializovaných na </w:t>
      </w:r>
      <w:r w:rsidRPr="00956D9A">
        <w:t>chov prasat a drůbeže</w:t>
      </w:r>
      <w:r w:rsidRPr="00933B6B">
        <w:t xml:space="preserve"> </w:t>
      </w:r>
      <w:r>
        <w:t>se výrazně lišil u PFO a PPO.</w:t>
      </w:r>
    </w:p>
    <w:p w:rsidR="00614A2D" w:rsidRDefault="00614A2D" w:rsidP="00E406EF">
      <w:r>
        <w:t>PFO zvýšily ČPH o 35 % z 326,8 tis. Kč/AWU (2012) na 441,3 tis. Kč/AWU (2013). Příčiny je možné nalézt částečně v poklesu vstupu pracovní síly o 0,7 %, ale především v meziročně nižších nákladech na výrobní spotřebu (o 4,8 %) a vyšších provozních dotacích (o 35,6 %), přestože podniky specializované na chov prasat a drůbeže nejsou na provozních dotacích příliš závislé. Celková produkce zůstala na úrovni roku 2012, zvýšení hodnoty produkce vepřového masa bylo vyrovnáno snížením hodnoty produkce drůbežího masa. Tomu odpovídá i strukturální vývoj, kdy došlo ke zvýšení průměrných stavů prasat a snížení průměrných stavů drůbeže ve specializovaných farmách. Produkce rostlinné výroby se meziročně snížila o 4,3 %, hlavně poklesem hodnoty produkce olejnin a brambor, nicméně rostlinná výroba představuje méně než 10% podíl na celkové produkci. Tyto specializované podniky však většinou nedisponují zemědělskou půdou. K pozitivnímu ekonomickému vývoji přispěly nižší náklady na nakupovaná krmiva a energie, které jsou dominantními nákladovými položkami v těchto chovech. Odpisy se snížily o 22,6 % v důsledku nižší investiční aktivity menších chovatelů prasat a drůbeže.</w:t>
      </w:r>
    </w:p>
    <w:p w:rsidR="00614A2D" w:rsidRDefault="00614A2D" w:rsidP="00E406EF">
      <w:r w:rsidRPr="00134F56">
        <w:t>U PPO</w:t>
      </w:r>
      <w:r>
        <w:t xml:space="preserve"> došlo naopak ke snížení ČPH/AWU z 435,0 tis. Kč (2012) na 409,6 tis. Kč (2013), tj. o 5,8 %. Kromě vyššího zapojení placené pracovní síly došlo k relativně velkému nárůstu nákladů na výrobní spotřebu (o 12,3 %), který dynamikou převýšil nárůst celkové produkce (10,7 %). Příčinou zvýšení nákladů byly především nakupovaná krmiva a energie, v menší míře té údržba budov a strojů a služby. Vyšší odpisy jsou důsledkem vyšší investiční aktivity větších chovatelů prasat a drůbeže, kdy chovatelé využívali investičních podpor z PRV. Produkce živočišné výroby byla pozitivně ovlivněna vyšší produkcí vepřového masa (i meziročně vyššími stavy prasat) a naopak negativně ovlivněna nižší produkcí drůbežího masa (současně i meziročně nižšími stavy drůbeže). Provozní dotace a podpory se sice zvýšily, tvořily ale jen 3,5 % hrubého příjmu těchto chovů. V rámci provozních dotací došlo ke zvýšení dotací na výrobní spotřebu o 34 %, která je tvořena především </w:t>
      </w:r>
      <w:r w:rsidRPr="00584464">
        <w:t>dotacemi z nákazového fondu a podporou udržování a zlepšování genetického potenciálu hospodářských zvířat.</w:t>
      </w:r>
    </w:p>
    <w:p w:rsidR="00614A2D" w:rsidRDefault="00614A2D" w:rsidP="00E406EF">
      <w:r>
        <w:t xml:space="preserve">Z relací mezi celkovou produkcí, výrobní spotřebou a dotacemi je zřejmé, že podniky s extenzivní výrobou – chovem skotu (krav) bez tržní produkce mléka – nedokážou celkovou produkcí pokrýt ani výrobní spotřebu a je zde patrný největší důchodový účinek podpor, které umožňují podnikům uhradit jak zbývající část výrobní spotřeby, </w:t>
      </w:r>
      <w:r w:rsidR="00F40617">
        <w:t xml:space="preserve">tak </w:t>
      </w:r>
      <w:r>
        <w:t xml:space="preserve">celé ostatní účetní náklady a vytvořit zisk. </w:t>
      </w:r>
      <w:r w:rsidRPr="00CD45F6">
        <w:t xml:space="preserve">Zahrnutí </w:t>
      </w:r>
      <w:proofErr w:type="spellStart"/>
      <w:r>
        <w:t>agro</w:t>
      </w:r>
      <w:proofErr w:type="spellEnd"/>
      <w:r>
        <w:t>-environmentálních</w:t>
      </w:r>
      <w:r w:rsidRPr="00CD45F6">
        <w:t xml:space="preserve"> plateb</w:t>
      </w:r>
      <w:r>
        <w:t xml:space="preserve"> a podpor ekologického </w:t>
      </w:r>
      <w:r>
        <w:lastRenderedPageBreak/>
        <w:t>zemědělství</w:t>
      </w:r>
      <w:r w:rsidRPr="00CD45F6">
        <w:t xml:space="preserve"> do </w:t>
      </w:r>
      <w:r>
        <w:t xml:space="preserve">celkové </w:t>
      </w:r>
      <w:r w:rsidRPr="00CD45F6">
        <w:t>produkce by významně měnilo pohled na ekonomickou situaci zejména podniků v</w:t>
      </w:r>
      <w:r>
        <w:t> </w:t>
      </w:r>
      <w:r w:rsidRPr="00CD45F6">
        <w:t>horských oblastech LFA s vysokou úrovní plateb za AEO a ekologické zemědělství na TTP.</w:t>
      </w:r>
      <w:r>
        <w:t xml:space="preserve"> Naopak podniky s intenzivní výrobou (chovem prasat a drůbeže) jsou schopny celkovou produkcí uhradit celou výrobní spotřebu a většinu ostatních účetních nákladů. Vliv provozních dotací a podpor na hrubý příjem je ovšem u intenzivních chovů prasat a drůbeže velmi malý. Z výše uvedených charakteristik příčin ekonomického vývoje jednotlivých výrobních specializací vyplývá rozdílný vývoj </w:t>
      </w:r>
      <w:r w:rsidR="00F40617">
        <w:t>u nákladově výnosových relací a </w:t>
      </w:r>
      <w:r>
        <w:t>společný pozitivní vliv vyšších provozních dotací a podpor.</w:t>
      </w:r>
    </w:p>
    <w:p w:rsidR="00614A2D" w:rsidRDefault="00614A2D" w:rsidP="00614A2D">
      <w:pPr>
        <w:pStyle w:val="Nadpis4"/>
        <w:numPr>
          <w:ilvl w:val="3"/>
          <w:numId w:val="10"/>
        </w:numPr>
        <w:ind w:left="851" w:hanging="851"/>
      </w:pPr>
      <w:r>
        <w:t>10.2.2.4</w:t>
      </w:r>
      <w:r>
        <w:tab/>
        <w:t>Výsledky zemědělských podniků podle ekonomické velikosti a výrobního zaměření</w:t>
      </w:r>
    </w:p>
    <w:p w:rsidR="00614A2D" w:rsidRDefault="00614A2D" w:rsidP="00E406EF">
      <w:r w:rsidRPr="008B0B9C">
        <w:t>Kombinace</w:t>
      </w:r>
      <w:r>
        <w:t xml:space="preserve"> výrobního zaměření a ekonomické velikosti pomůže podrobněji odhalit nejvýznamnější reprezentanty daného výrobního zaměření a příčiny odlišné ekonomické úrovně jednotlivých kategorií zemědělských podniků.</w:t>
      </w:r>
    </w:p>
    <w:p w:rsidR="00614A2D" w:rsidRDefault="00614A2D" w:rsidP="00E406EF">
      <w:r>
        <w:t>Podniky jsou podle standardní produkce zařazeny do čtrnácti kategorií ekonomické velikosti. Z důvodu rovnoměrnějšího rozdělení podniků do velikostních tříd byly některé třídy sloučeny. Tab</w:t>
      </w:r>
      <w:r w:rsidR="00D2688C">
        <w:t>.</w:t>
      </w:r>
      <w:r>
        <w:t xml:space="preserve"> 10.2/03 uvádí vymezení tříd ekonomické velikosti pro podmínky ČR.</w:t>
      </w:r>
    </w:p>
    <w:p w:rsidR="00614A2D" w:rsidRDefault="00614A2D" w:rsidP="000B7BEE">
      <w:pPr>
        <w:pStyle w:val="mezera"/>
      </w:pPr>
    </w:p>
    <w:p w:rsidR="00614A2D" w:rsidRPr="006E091F" w:rsidRDefault="00F40617" w:rsidP="000B7BEE">
      <w:pPr>
        <w:pStyle w:val="mezera"/>
      </w:pPr>
      <w:r w:rsidRPr="00F40617">
        <w:rPr>
          <w:noProof/>
          <w:lang w:eastAsia="cs-CZ"/>
        </w:rPr>
        <w:drawing>
          <wp:inline distT="0" distB="0" distL="0" distR="0" wp14:anchorId="0DD7A13F" wp14:editId="2451AA5B">
            <wp:extent cx="5760720" cy="1524913"/>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60720" cy="1524913"/>
                    </a:xfrm>
                    <a:prstGeom prst="rect">
                      <a:avLst/>
                    </a:prstGeom>
                    <a:noFill/>
                    <a:ln>
                      <a:noFill/>
                    </a:ln>
                  </pic:spPr>
                </pic:pic>
              </a:graphicData>
            </a:graphic>
          </wp:inline>
        </w:drawing>
      </w:r>
    </w:p>
    <w:p w:rsidR="00614A2D" w:rsidRDefault="00614A2D" w:rsidP="000B7BEE">
      <w:pPr>
        <w:pStyle w:val="mezera"/>
      </w:pPr>
    </w:p>
    <w:p w:rsidR="00614A2D" w:rsidRDefault="00614A2D" w:rsidP="00E406EF">
      <w:r w:rsidRPr="0055280B">
        <w:t>Úroveň ČPH/AWU je pro vybrané kategorie podniků uvedena v grafu T10.2/</w:t>
      </w:r>
      <w:r>
        <w:t>06, přehled výnosové a nákladové stránky hospodaření nabízí graf T10.2/07.</w:t>
      </w:r>
    </w:p>
    <w:p w:rsidR="00614A2D" w:rsidRDefault="00614A2D" w:rsidP="000B7BEE">
      <w:pPr>
        <w:pStyle w:val="mezera"/>
      </w:pPr>
    </w:p>
    <w:p w:rsidR="00614A2D" w:rsidRPr="006E091F" w:rsidRDefault="00614A2D" w:rsidP="000B7BEE">
      <w:pPr>
        <w:pStyle w:val="mezera-svzan"/>
      </w:pPr>
      <w:r w:rsidRPr="00AA5EC8">
        <w:rPr>
          <w:noProof/>
          <w:lang w:eastAsia="cs-CZ"/>
        </w:rPr>
        <w:lastRenderedPageBreak/>
        <w:drawing>
          <wp:inline distT="0" distB="0" distL="0" distR="0" wp14:anchorId="6C012EEF" wp14:editId="04728AC7">
            <wp:extent cx="5760720" cy="3719384"/>
            <wp:effectExtent l="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60720" cy="3719384"/>
                    </a:xfrm>
                    <a:prstGeom prst="rect">
                      <a:avLst/>
                    </a:prstGeom>
                    <a:noFill/>
                    <a:ln>
                      <a:noFill/>
                    </a:ln>
                  </pic:spPr>
                </pic:pic>
              </a:graphicData>
            </a:graphic>
          </wp:inline>
        </w:drawing>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Pr="007C02B2" w:rsidRDefault="00614A2D" w:rsidP="000B7BEE">
      <w:pPr>
        <w:pStyle w:val="mezera"/>
      </w:pPr>
    </w:p>
    <w:p w:rsidR="00614A2D" w:rsidRPr="00865E59" w:rsidRDefault="00614A2D" w:rsidP="000B7BEE">
      <w:pPr>
        <w:pStyle w:val="mezera-svzan"/>
      </w:pPr>
      <w:r>
        <w:rPr>
          <w:noProof/>
          <w:lang w:eastAsia="cs-CZ"/>
        </w:rPr>
        <w:drawing>
          <wp:inline distT="0" distB="0" distL="0" distR="0" wp14:anchorId="3942A2D3" wp14:editId="4C6D4AC6">
            <wp:extent cx="5753100" cy="3688080"/>
            <wp:effectExtent l="0" t="0" r="0" b="7620"/>
            <wp:docPr id="14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753100" cy="3688080"/>
                    </a:xfrm>
                    <a:prstGeom prst="rect">
                      <a:avLst/>
                    </a:prstGeom>
                    <a:noFill/>
                    <a:ln>
                      <a:noFill/>
                    </a:ln>
                  </pic:spPr>
                </pic:pic>
              </a:graphicData>
            </a:graphic>
          </wp:inline>
        </w:drawing>
      </w:r>
    </w:p>
    <w:p w:rsidR="00614A2D" w:rsidRPr="009013B0" w:rsidRDefault="00614A2D" w:rsidP="000B7BEE">
      <w:pPr>
        <w:pStyle w:val="TabPramZprac"/>
      </w:pPr>
      <w:r>
        <w:t>Pozn.:</w:t>
      </w:r>
      <w:r>
        <w:tab/>
        <w:t xml:space="preserve">Dotace = provozní dotace + investiční dotace. V kategorii </w:t>
      </w:r>
      <w:r w:rsidR="008969A9">
        <w:t>„</w:t>
      </w:r>
      <w:r>
        <w:t>Největší</w:t>
      </w:r>
      <w:r w:rsidR="008969A9">
        <w:t>“</w:t>
      </w:r>
      <w:r>
        <w:t xml:space="preserve"> ve výrobním zaměření </w:t>
      </w:r>
      <w:r w:rsidR="008969A9">
        <w:t>„</w:t>
      </w:r>
      <w:r>
        <w:t>Chov skotu, ovcí a koz</w:t>
      </w:r>
      <w:r w:rsidR="008969A9">
        <w:t>“</w:t>
      </w:r>
      <w:r>
        <w:t xml:space="preserve"> nejsou uvedeny údaje</w:t>
      </w:r>
      <w:r w:rsidRPr="009013B0">
        <w:t xml:space="preserve"> </w:t>
      </w:r>
      <w:r>
        <w:t>kvůli</w:t>
      </w:r>
      <w:r w:rsidRPr="009013B0">
        <w:t xml:space="preserve"> </w:t>
      </w:r>
      <w:r>
        <w:t xml:space="preserve">malému </w:t>
      </w:r>
      <w:r w:rsidRPr="009013B0">
        <w:t>počt</w:t>
      </w:r>
      <w:r>
        <w:t>u</w:t>
      </w:r>
      <w:r w:rsidRPr="009013B0">
        <w:t xml:space="preserve"> podniků v</w:t>
      </w:r>
      <w:r>
        <w:t> </w:t>
      </w:r>
      <w:r w:rsidRPr="009013B0">
        <w:t>souboru</w:t>
      </w:r>
      <w:r>
        <w:t>.</w:t>
      </w:r>
    </w:p>
    <w:p w:rsidR="00614A2D"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Pr="00F209D1" w:rsidRDefault="00614A2D" w:rsidP="000B7BEE">
      <w:pPr>
        <w:pStyle w:val="mezera"/>
      </w:pPr>
    </w:p>
    <w:p w:rsidR="00614A2D" w:rsidRDefault="00614A2D" w:rsidP="00E406EF">
      <w:r w:rsidRPr="009B0DB6">
        <w:lastRenderedPageBreak/>
        <w:t>Podniky</w:t>
      </w:r>
      <w:r w:rsidRPr="0005784E">
        <w:t xml:space="preserve"> specializované na </w:t>
      </w:r>
      <w:r w:rsidRPr="0005784E">
        <w:rPr>
          <w:i/>
        </w:rPr>
        <w:t>polní výrobu</w:t>
      </w:r>
      <w:r w:rsidRPr="0005784E">
        <w:t>,</w:t>
      </w:r>
      <w:r>
        <w:t xml:space="preserve"> které jsou rozmístěny převážně v oblastech mimo LFA, jsou z hlediska úrovně ČPH/AWU velmi diferencované. Nejnižší úroveň ČPH/AWU (284,3 tis. Kč/AWU v roce 2013) byla v této kategorii charakteristická pro </w:t>
      </w:r>
      <w:r w:rsidRPr="00334308">
        <w:rPr>
          <w:i/>
        </w:rPr>
        <w:t>malé podniky</w:t>
      </w:r>
      <w:r>
        <w:t xml:space="preserve"> s průměrnou výměrou 32,9 ha na podnik a 3,5 AWU/100 ha z. p. v roce 2013. Jedná se většinou o rodinné farmy s převažující produkcí obilovin a minoritním podílem chovu skotu a prasat. V roce 2013 produkovaly tyto farmy 6,7 % celkové produkce v rámci specializace na polní výrobu a představovaly 53 % počtu podniků v daném výrobním zaměření</w:t>
      </w:r>
      <w:r>
        <w:rPr>
          <w:rStyle w:val="Znakapoznpodarou"/>
        </w:rPr>
        <w:footnoteReference w:id="178"/>
      </w:r>
      <w:r>
        <w:t>. Protože v kategorii malých podniků specializovaných na polní výrobu došlo k poklesu ČPH/AWU, zatímco výrobní zaměření dosáhlo v průměru zlepšení ČPH/AWU, jsou hodnoceny příčiny snížení ekonomické úrovně.</w:t>
      </w:r>
    </w:p>
    <w:p w:rsidR="00614A2D" w:rsidRDefault="00614A2D" w:rsidP="00E406EF">
      <w:r>
        <w:t>Malé podniky zvýšily průměrnou výměru využívané z. p. z 32,4 ha (2012) na 32,9 ha (2013) a zároveň mírně zvýšily počet neplacených pracovních sil, čímž se zvýšil počet AWU na 100 ha půdy o 0,7 %. Hlavní příčinou zhoršení ČPH/AWU byl meziroční pokles celkové produkce na hektar z. p. o 0,4 % při současném růstu nákladů na výrobní spotřebu o 5,5 %. Celková produkce se snížila vlivem stagnace rostlinné produkce a poklesu živočišné produkce, která tvoří 5 % celkové produkce, což je více než u středních a velkých podniků v tomto výrobním zaměření. Na hodnotu rostlinné produkce měl vliv pokles hodnoty produkce obilovin v důsledku nižší realizační ceny, dále pokles produkce cukrovky a průmyslových plodin. Vývoj naopak vyrovnala vyšší hodnota produkce olejnin (meziročně vyšší výnosy) a brambor (meziročně vyšší cena) podpořená vyšším podílem těchto polních plodin na výměře půdy. Příčinou poklesu hodnoty produkce v živočišné výrobě o 7,3 % byla nižší produkce hovězího a telecího masa (vliv nižších cen produkce a stavů masného skotu). Náklady na výrobní spotřebu v přepočtu na hektar z. p. se zvýšily v důsledku zvýšení všech rozhodujících vstupů do rostlinné výroby. Odpisy se meziročně snížily jen o 0,7 %. Provozní dotace a podpory na hektar zaznamenaly meziroční nárůst o 3,4 %, v absolutním vyjádření čerpají malé podniky nejnižší provozní dotace a podpory ze všech velikostních skupin v rám</w:t>
      </w:r>
      <w:r w:rsidR="004912D5">
        <w:t>ci tohoto výrobního zaměření (7 128 </w:t>
      </w:r>
      <w:r>
        <w:t>Kč/ha v roce 2013, prům</w:t>
      </w:r>
      <w:r w:rsidR="004912D5">
        <w:t>ěr výrobního zaměření byl 8 401 </w:t>
      </w:r>
      <w:r>
        <w:t>Kč/ha v roce 2013). Nejnižší absolutní hodnoty ČPH/AWU a dlouhodobě výrazně podprůměrných výsledků dosahují malé podniky specializované na polní výrobu především díky relativně vysokému počtu AWU/100 ha, což může souviset i s vyšším zastoupením živočišné výroby na celkových tržbách a vyšší pracovní náročnosti výroby v porovnání se středními a velkými podniky. Malé podniky také nevyužívají úspor z rozsahu výroby.</w:t>
      </w:r>
    </w:p>
    <w:p w:rsidR="00614A2D" w:rsidRDefault="00614A2D" w:rsidP="00E406EF">
      <w:r>
        <w:t xml:space="preserve">Nejvýraznějšího meziročního zvýšení ČPH/AWU (o 17,3 %) v kategorii převažující polní výroba dosáhly </w:t>
      </w:r>
      <w:r w:rsidRPr="002C5296">
        <w:rPr>
          <w:i/>
        </w:rPr>
        <w:t>největší podniky</w:t>
      </w:r>
      <w:r w:rsidR="004912D5">
        <w:t xml:space="preserve"> s průměrnou výměrou 1 </w:t>
      </w:r>
      <w:r>
        <w:t>834,4 ha/podnik a</w:t>
      </w:r>
      <w:r w:rsidR="004912D5">
        <w:t> </w:t>
      </w:r>
      <w:r>
        <w:t>2,27</w:t>
      </w:r>
      <w:r w:rsidR="004912D5">
        <w:t> </w:t>
      </w:r>
      <w:r>
        <w:t>AWU</w:t>
      </w:r>
      <w:r w:rsidR="004912D5">
        <w:t>/100 </w:t>
      </w:r>
      <w:r>
        <w:t xml:space="preserve">ha. Největší podniky sice nedosahují absolutně největší úrovně </w:t>
      </w:r>
      <w:r>
        <w:lastRenderedPageBreak/>
        <w:t>ČPH/AWU</w:t>
      </w:r>
      <w:r>
        <w:rPr>
          <w:rStyle w:val="Znakapoznpodarou"/>
        </w:rPr>
        <w:footnoteReference w:id="179"/>
      </w:r>
      <w:r>
        <w:t>, ukazatel ČPH/AWU se zvýšil z 617,8 tis. Kč na 724,5 tis. Kč. Největší podniky generují 37,9 % celkové produkce všech podniků spe</w:t>
      </w:r>
      <w:r w:rsidR="00F200B6">
        <w:t>cializovaných na polní výrobu a </w:t>
      </w:r>
      <w:r>
        <w:t>tvoří 3,4 % počtu podniků. Ze strukturálního hlediska zvýšily tyto podniky výměru využívané zemědělské půdy o 14,2 % a snížily celkový počet AWU/100 ha o 7 %, což mělo za následek zvýšení ČPH/AWU. Další příčinou zvýšení ČPH/AWU byly meziročně vyšší provozní dotace na hektar z. p., které vzrostly o 22,9 % na 9 524 Kč/ha vlivem vyšší jednotné platby na plochu a přeúčtování zelených bonusů do ostatních dotací na výrobu. Provozní dotace a podpory u největších podniků byly v rámci výrobního zaměření nadprůměrné. Meziroční zvýšení celkové produkce (o 1,4 %) bylo redukováno vyššími náklady na výrobní spotřebu (o 1,3 %), které vzrostly v důsledku vyšších nákladů na hnojiva a nakupovaná krmiva. Živočišná výroba je u největších podniků relativně významná a tvořila 9,5 % celkové produkce v roce 2013. Ve struktuře živočišné výroby převládá skot bez tržní produkce mléka a chov prasat. Zvýšily se také náklady na energie a odpisy. Největší podniky tedy zlepšily svou ekonomickou situaci a zlepšením produktivity práce v kombinaci s vyššími provozními dotacemi.</w:t>
      </w:r>
    </w:p>
    <w:p w:rsidR="00614A2D" w:rsidRDefault="00614A2D" w:rsidP="00E406EF">
      <w:r w:rsidRPr="00B91234">
        <w:rPr>
          <w:i/>
        </w:rPr>
        <w:t>Podniky specializované na produkci mléka</w:t>
      </w:r>
      <w:r>
        <w:t xml:space="preserve"> jsou podniky s intenzivním chovem přežvýkavců (v průměru 0,9 DJ/ha), vyšším využíváním lidské práce (3,7 AWU/100 ha v roce 2013) a přibližně pětinovým podílem plateb LFA a plateb za </w:t>
      </w:r>
      <w:proofErr w:type="spellStart"/>
      <w:r>
        <w:t>agroenvironmentální</w:t>
      </w:r>
      <w:proofErr w:type="spellEnd"/>
      <w:r>
        <w:t xml:space="preserve"> programy na celkovém objemu provozních podpor, což indikuje jejich hlavní zastoupení v regionech s ostatními (O) a specifickými (S) přírodními omezeními. V této kategorii mají dlouhodobě nejhorší ekonomickou úroveň malé podniky, u nichž došlo k meziročnímu poklesu ČPH/AWU. Malé podniky v roce 2013 představovaly jen 1,9 % celkové produkce při zhruba čtvrtinovém zastoupení na počtu podniků v tomto výrobním zaměření. Naopak největší podniky zvýšily ČPH/AWU nejvíce a dosáhly druhé největší ekonomické úrovně v kategorii specializovaných mléčných farem po středně velkých farmách. Největší podniky se v roce 2013 podílely 57,6 % na produkci výrobního zaměření při 10,8% zastoupení na počtu podniků tohoto výrobního zaměření.</w:t>
      </w:r>
    </w:p>
    <w:p w:rsidR="00614A2D" w:rsidRDefault="00614A2D" w:rsidP="00E406EF">
      <w:r w:rsidRPr="009D719D">
        <w:rPr>
          <w:i/>
        </w:rPr>
        <w:t>Malé mléčné farmy</w:t>
      </w:r>
      <w:r>
        <w:t xml:space="preserve"> dlouhodobě dosahují jedné z nejnižších úrovní ČPH/AWU, v roce 2013 jejich souhrnná ekonomická úroveň klesla o 19,3 %, zatímco ostatní velikostní kategorie v tomto výrobním zaměření ČPH/AWU zvýšily. Malé podniky v roce 2013 hospodařily na průměrné výměře 23,1 ha, využívaly 8,5 AWU/100 ha z. p. (převážně neplacené pracovní síly) a na 100 ha z. p. připadalo 84,1 DJ hospodářských zvířat. Intenzita chovu přežvýkavců na hektar krmných plodin byla 1,1 DJ v roce 2013. Tyto podniky snížily výměru využívané zemědělské půdy a zvýšily počet pracovních sil na 100 ha. Snížil se podíl výměry krmných </w:t>
      </w:r>
      <w:r>
        <w:lastRenderedPageBreak/>
        <w:t>plodin ve prospěch podílu obilovin. Dlouhodobě tyto podniky dosahují podprůměrnou roční dojivost krav (5 665 l/ks v roce 2013) v porovnání s průměrem všech mléčných farem (6 730 l/ks za rok 2013). Užitkovost dojnic se navíc meziročně snížila. Efekt nižší užitkovosti byl překonán vyšší výkupní cenou mléka, produkce živočišné výroby na hektar tak vzrostla o 28,6 % částečně i díky vyšším tržbám z prodeje hovězího a telecího masa. Produkce rostlinné výroby na hektar se zvýšila o 5,6 %. Nepříznivě naopak působil nárůst nákladů výrobní spotřeby na hektar z. p. o 11,3 % hlavně zvýšením nákladů na nakupovaná krmiva a hnojiva a nákladů na energie. K nepříznivému vývoji ČPH/AWU přispěly i o 8,5 % nižší provozní dotace na hektar z. p., které klesly z 11 011 Kč/ha (2012) na 10 072 Kč/ha (2013) vlivem nižších environmentálních dotací a ostatních dotací na výrobu. Na ČPH/AWU tak nejvíce působilo meziroční zvýšení počtu pracovních sil v kombinaci s nižšími provozními dotacemi a relativně velkým zvýšením nákladů.</w:t>
      </w:r>
    </w:p>
    <w:p w:rsidR="00614A2D" w:rsidRDefault="00614A2D" w:rsidP="00E406EF">
      <w:r>
        <w:rPr>
          <w:i/>
        </w:rPr>
        <w:t>Největší</w:t>
      </w:r>
      <w:r w:rsidRPr="00B7512D">
        <w:rPr>
          <w:i/>
        </w:rPr>
        <w:t xml:space="preserve"> podniky specializované na produkci mléka</w:t>
      </w:r>
      <w:r>
        <w:t xml:space="preserve"> naopak dlouhodobě vykazují nadprůměrnou výši ČPH/AWU v daném výrobním zaměření. S průměrnou výměrou 1 487,8 ha z. p., 3,7 AWU/ha z. p. a 59,5 DJ/100 ha z. p. dosáhly v roce 2013 průměrné ČPH ve výši 492,0 tis. Kč/AWU, při meziročním zvýšení o 14,8 %. Užitkovost dojnic je u největších podniků nadprůměrná (7 338 l/ks/rok v roce 2013) v porovnání s průměrem specializovaných mléčných farem (6 730 l/ks/rok v roce 2013). Tyto podniky meziročně zvýšily výměru využívané z. p. o 2,1 % a snížily počet AWU/100 ha o 4,4 %, což přispělo ke zlepšení ČPH/AWU. Intenzita chovu přežvýkavců v přepočtu na hektar krmných plodin zůstala na úrovni 1,0 DJ. Hlavní příčinou zvýšení ČPH/AWU byla na výnosové straně vyšší produkce živočišné výroby o 6,5 %, která byla ovlivněna především vyššími výkupními cenami mléka, jejichž pozitivní vliv částečně snižovala meziročně mírně horší užitkovost dojnic (o 1,5 %). Provozní dotace a podpory se zvýšily z </w:t>
      </w:r>
      <w:r w:rsidRPr="006C3D8B">
        <w:t>9</w:t>
      </w:r>
      <w:r>
        <w:t> </w:t>
      </w:r>
      <w:r w:rsidRPr="006C3D8B">
        <w:t>032</w:t>
      </w:r>
      <w:r>
        <w:t xml:space="preserve"> Kč/ha (2012) na </w:t>
      </w:r>
      <w:r w:rsidRPr="006C3D8B">
        <w:t>14</w:t>
      </w:r>
      <w:r>
        <w:t> </w:t>
      </w:r>
      <w:r w:rsidRPr="006C3D8B">
        <w:t>310</w:t>
      </w:r>
      <w:r>
        <w:t xml:space="preserve"> Kč/ha (2013) vlivem vyšší jednotné platby na plochu a přeúčtování zelených bonusů z ostatní produkce do ostatních dotací na výrobu. Náklady na výrobní spotřebu sice také vzrosty (o 2,1 %), ale ne tak výrazně jako u malých podniků. Na růstu výrobní spotřeby se podílely největší vahou vyšší náklady na nakupovaná krmiva. Výrazněji se zvýšily také odpisy vlivem vyšších investic do modernizace provozů. Stejně jako u největších podniků s převažující polní výrobou se u největších podniků s převahou produkce mléka zvýšila ČPH/AWU vlivem využívání úspor z rozsahu výroby. Navíc producenti mléka využívali příznivých výkupních cen mléka.</w:t>
      </w:r>
    </w:p>
    <w:p w:rsidR="00614A2D" w:rsidRDefault="00614A2D" w:rsidP="00E406EF">
      <w:r>
        <w:t xml:space="preserve">Dlouhodobě velmi příznivé a také relativně stabilní hodnoty ČPH/AWU vykazují </w:t>
      </w:r>
      <w:r w:rsidRPr="00FB5AFA">
        <w:rPr>
          <w:i/>
        </w:rPr>
        <w:t>podniky zaměřené na chov krav bez tržní produkce mléka</w:t>
      </w:r>
      <w:r>
        <w:t xml:space="preserve">. Vysoké provozní dotace, a z nich zejména platby LFA a platby za </w:t>
      </w:r>
      <w:proofErr w:type="spellStart"/>
      <w:r>
        <w:t>agro</w:t>
      </w:r>
      <w:proofErr w:type="spellEnd"/>
      <w:r>
        <w:t xml:space="preserve">-environmentální programy, umožnily těmto podnikům pokrýt celkové náklady a dosáhnout zisku. Bez provozních dotací by však celková produkce malých, středních a velkých podniků specializovaných na chov skotu nepokryla výrobní spotřebu a podniky by nebyly </w:t>
      </w:r>
      <w:r w:rsidR="008969A9">
        <w:t>„</w:t>
      </w:r>
      <w:r>
        <w:t>schopné přežití</w:t>
      </w:r>
      <w:r w:rsidR="008969A9">
        <w:t>“</w:t>
      </w:r>
      <w:r>
        <w:t xml:space="preserve">. </w:t>
      </w:r>
      <w:r w:rsidRPr="005026A6">
        <w:t xml:space="preserve">V celkové produkci nejsou zahrnuty </w:t>
      </w:r>
      <w:r w:rsidRPr="005026A6">
        <w:lastRenderedPageBreak/>
        <w:t xml:space="preserve">kompenzační platby za </w:t>
      </w:r>
      <w:proofErr w:type="spellStart"/>
      <w:r w:rsidRPr="005026A6">
        <w:t>agro</w:t>
      </w:r>
      <w:proofErr w:type="spellEnd"/>
      <w:r w:rsidRPr="005026A6">
        <w:t>-environmentální služ</w:t>
      </w:r>
      <w:r>
        <w:t>b</w:t>
      </w:r>
      <w:r w:rsidRPr="005026A6">
        <w:t>y (platby za AEO a ekologické zemědělství), i když sem z metodického hlediska jako platby za produkci veřejného zboží patří. Zahrnutí těchto plateb do produkce by významně měnilo pohled na ekonomickou situaci zejména podniků v horských oblastech LFA s vysokou úrovní plateb za AEO a ekologické zemědělství na TTP.</w:t>
      </w:r>
    </w:p>
    <w:p w:rsidR="00614A2D" w:rsidRDefault="00614A2D" w:rsidP="00E406EF">
      <w:r>
        <w:t>Malé a středně velké podniky jsou počtem dominantní částí souboru podniků extenzivně hospodařící v horských a podhorských oblastech. Velké podniky jsou v celkovém počtu podniků specializovaných na chov krav bez tržní produkce mléka zastoupeny pouze necelým 1 %, dosáhly však meziročně největšího zlepšení ČPH/AWU, které však může být ovlivněno obměnou výběrového souboru. Vzhledem k malému počtu podniků ve výběrovém souboru nebudou výsledky velkých podniků podrobněji komentovány.</w:t>
      </w:r>
    </w:p>
    <w:p w:rsidR="00614A2D" w:rsidRDefault="00614A2D" w:rsidP="00E406EF">
      <w:r w:rsidRPr="00EC305F">
        <w:rPr>
          <w:i/>
        </w:rPr>
        <w:t>Malé podniky</w:t>
      </w:r>
      <w:r>
        <w:t xml:space="preserve"> specializované na chov krav bez tržní produkce mléka zaznamenaly meziroční propad ČPH/AWU o 3,4 % na úroveň 299,3 tis. Kč/AWU. Tyto podniky hospodařily v průměru na 56,1 ha/podnik a využívaly 3,1 AWU/100 ha, intenzita chovu přežvýkavců byla 0,45 DJ/ha krmných plodin v roce 2013. Provozní dotace a podpory zůstaly přibližně na úrovni roku 2012, poklesly jen o 0,4 % na 14 133 Kč/ha, což je v porovnání s jiným výrobním zaměřením nadprůměrná výše. Celková produkce se zvýšila o 5,1 % v důsledku vyšší hodnoty živočišné produkce, k níž přispěla zejména vyšší hodnota produkce hovězího a telecího masa. Náklady na výrobní spotřebu se zvýšily o 5,2 %, tj. zhruba stejně dynamicky jako vzrostla celková produkce. Meziročně vzrostly všechny významné položky přímých nákladů, z ostatních věcných nákladů měly největší vliv vyšší náklady na energie. Vyšší investiční aktivita se projevila ve zvýšení odpisů o 9,6 %. Ze strukturálního hlediska se meziročně malé podniky specializované na extenzivní chov skotu, ovcí a koz příliš nezměnily. Příčinou nižší ČPH/AWU tak byl dynamičtější nárůst nákladů v porovnání celkovou produkcí.</w:t>
      </w:r>
    </w:p>
    <w:p w:rsidR="00614A2D" w:rsidRDefault="00614A2D" w:rsidP="00E406EF">
      <w:r w:rsidRPr="00625CED">
        <w:rPr>
          <w:i/>
        </w:rPr>
        <w:t>Středně velké podniky</w:t>
      </w:r>
      <w:r>
        <w:t xml:space="preserve"> specializované na chov krav bez tržní produkce mléka, které dosahují dlouhodobě jedné z nejvyšších průměrných hodnot ČPH/AWU, meziročně pouze mírně zlepšily svou ekonomickou situaci, zůstaly však podle tohoto ukazatele úspěšnou kategorií, která po vstupu ČR do EU svůj úspěch zakládá na vysokých provozních dotacích (v roce 2013 průměrně 14 247 Kč/ha z. p.) a extenzivním způsobu hospodaření s nízkou úrovní vstupů, včetně práce (1,6 AWU/100 ha v roce 2013). Zvýšení průměrné výměry podniku o 7,5 % na 429,4 ha ovlivnilo snížení vstupu pracovní síly z 1,7 na 1,6 AWU/100 ha, což příznivě ovlivnilo ČPH/AWU. Celková produkce i celkové náklady v přepočtu na hektar z. p. klesly. Rychleji však klesla celková produkce (o 3,6 %), kdy hodnota produkce hovězího a telecího masa nepříznivě ovlivnila produkci živočišné výroby, na rozdíl od již představených malých podniků. Výrobní spotřeba se snížila jen o 1 % vlivem nižšího ocenění vlastních krmiv. Provozní dotace a podpory zůstaly na úrovni roku 2012 při zvýšení jen </w:t>
      </w:r>
      <w:r>
        <w:lastRenderedPageBreak/>
        <w:t>o 0,2 %. Na meziročním mírném zlepšení ekonomické úrovně středně velkých podniků s extenzivním chovem hospodářských zvířat se tedy nejvíce podílelo snížení AWU/100 ha.</w:t>
      </w:r>
    </w:p>
    <w:p w:rsidR="00614A2D" w:rsidRPr="00345B84" w:rsidRDefault="00614A2D" w:rsidP="00E406EF">
      <w:r w:rsidRPr="007E6A2E">
        <w:t>Produkčně</w:t>
      </w:r>
      <w:r>
        <w:t xml:space="preserve"> nejvýznamnější skupinou podniků v kategorii podniků se </w:t>
      </w:r>
      <w:r w:rsidRPr="008D06DB">
        <w:rPr>
          <w:i/>
        </w:rPr>
        <w:t>smíšenou výrobou</w:t>
      </w:r>
      <w:r>
        <w:t xml:space="preserve"> jsou největší podniky, tvořené převážně velkými akciovými společnostmi a zemědělskými družstvy. I v tomto výrobním zaměření jsou však velké rozdíly mezi jednotlivými velikostními kategoriemi podniků. Malé podniky jako jediné snížily ČPH/AWU v období 2012-13 (o 3,8 %), zatímco u velkých podniků došlo k největšímu nárůstu ČPH/AWU o 19,9 %. Velké a největší podniky se smíšenou výrobou se výrazně podílejí na celkové zemědělské produkci v ČR (48,4 % v roce 2013).</w:t>
      </w:r>
    </w:p>
    <w:p w:rsidR="00614A2D" w:rsidRDefault="00614A2D" w:rsidP="00E406EF">
      <w:r>
        <w:t xml:space="preserve">Dlouhodobě dosahují velmi nízké úrovně ČPH/AWU v kategorii podniků se smíšenou výrobou </w:t>
      </w:r>
      <w:r w:rsidRPr="00DD46A0">
        <w:rPr>
          <w:i/>
        </w:rPr>
        <w:t>malé podniky</w:t>
      </w:r>
      <w:r>
        <w:t xml:space="preserve">, které v roce 2013 vygenerovaly 248,6 tis. Kč, tj. méně než polovinu ČPH/AWU největších podniků v této kategorii. </w:t>
      </w:r>
      <w:r w:rsidRPr="003C46EC">
        <w:t>V roce 201</w:t>
      </w:r>
      <w:r>
        <w:t>3</w:t>
      </w:r>
      <w:r w:rsidRPr="003C46EC">
        <w:t xml:space="preserve"> hospodařily malé podniky průměrně na 31,0 ha z. p., využívaly relativně vysoký počet pracovníků (4,</w:t>
      </w:r>
      <w:r>
        <w:t>9</w:t>
      </w:r>
      <w:r w:rsidRPr="003C46EC">
        <w:t xml:space="preserve"> AWU/100 ha) a</w:t>
      </w:r>
      <w:r>
        <w:t> </w:t>
      </w:r>
      <w:r w:rsidRPr="003C46EC">
        <w:t>pěstovaly převážně krmné plodiny, které využívaly jako krmivovou základnu pro extenzivní chov krav bez tržn</w:t>
      </w:r>
      <w:r>
        <w:t>í produkce mléka (0,7</w:t>
      </w:r>
      <w:r w:rsidRPr="003C46EC">
        <w:t xml:space="preserve"> DJ/ha krmných plodin).</w:t>
      </w:r>
      <w:r>
        <w:t xml:space="preserve"> Podíl dotací na LFA a environmentálních dotací na celkovém objemu vyplacených provozních dotací a podpor (34,1 % v roce 2013) v kombinaci s extenzivním chovem skotu, podprůměrnou užitkovostí dojnic (5 637 l/ks/rok v roce 2013) a podprůměrnými výnosy polních plodin naznačuje umístění převážné části těchto podniků do méně příznivých oblastí LFA. Výměra malých podniků se smíšenou výrobou zůstala na úrovni roku 2012, zvýšil se počet pracovních sil o 4,5 %, což nepříznivě ovlivnilo ČPH/AWU. Celková produkce se snížila o 1,3 % vlivem nepříznivého vývoje v rostlinné výrobě, jejíž podíl na celkové produkci převažuje. Snížila se hodnota produkce všech významných polních plodin s výjimkou olejnin. Výrobní spotřeba na hektar z. p. klesla o 1,5 %, na čemž se podílely zejména přímé náklady na vstupy do rostlinné a živočišné výroby. Zvýšily se však i odpisy o 1,9 %. Stejně jako u všech výrobních zaměření využívajících půdu se zvýšila jednotná platba na plochu, která byla hlavní</w:t>
      </w:r>
      <w:r w:rsidR="000935B1">
        <w:t>m</w:t>
      </w:r>
      <w:r>
        <w:t xml:space="preserve"> zdrojem zvýšení provozních dotací a po</w:t>
      </w:r>
      <w:r w:rsidR="000935B1">
        <w:t>dpor v roce 2013 (o 1,9 % na 10 </w:t>
      </w:r>
      <w:r>
        <w:t>130 Kč/ha). Za meziročním neúspěchem malých smíšených podniků tak stálo zejména zvýšení AWU/100 ha v kombinaci s poklesem produkce rostlinné výroby a vyššími odpisy.</w:t>
      </w:r>
    </w:p>
    <w:p w:rsidR="00614A2D" w:rsidRDefault="00614A2D" w:rsidP="00E406EF">
      <w:r w:rsidRPr="002C5296">
        <w:rPr>
          <w:i/>
        </w:rPr>
        <w:t>Velké podniky</w:t>
      </w:r>
      <w:r>
        <w:t xml:space="preserve"> se smíšenou výrobou hospodařily v roce 2013 na výměře 823 ha/podnik s 2,4 AWU/100 ha, intenzita chovu přežvýkavců byla stabilně na úrovni 0,8 DJ/ha krmných plodin. Příčinou relativně dynamického zvýšení ČPH/AWU ve skupině </w:t>
      </w:r>
      <w:r w:rsidRPr="002C5296">
        <w:t>velkých podniků</w:t>
      </w:r>
      <w:r>
        <w:t xml:space="preserve"> s převažující smíšenou výrobou v letech 2012-13 (ze 464,0 tis. Kč na 556,5 tis. Kč) byl relativně výrazný pokles AWU/100 ha (o 8,6 %) v kombinaci s růstem provozních dotací a podpor (o 18,7 %). Celková produkce na hektar z. p. se zvýšila o 1 %, zatímco výrobní spotřeba vzrostla o 1,7 %. Na zvýšení celkové produkce měla vliv pouze živočišná výroba, především výnosy z prodeje mléka, hovězího a telecího masa. Hodnota rostlinné produkce v důsledku nižších realizačních cen pšenice ozimé klesla. Výrobní spotřeba se zvýšila </w:t>
      </w:r>
      <w:r>
        <w:lastRenderedPageBreak/>
        <w:t>v důsledku vyšších nákladů na energie, nakupovaná krmiva, prostředky ochrany rostlin a služby. Vyšší investiční aktivita velkých smíšených farem se projevila v meziročně vyšších odpisech o 9,2 %. Provozní dotace se zvýšily na úroveň 9 933 Kč/ha v souladu s vyšší jednotnou platbou na plochu a přeúčtováním zeleného bonusu do ostatních dotací na výrobu.</w:t>
      </w:r>
    </w:p>
    <w:p w:rsidR="00614A2D" w:rsidRDefault="00614A2D" w:rsidP="00614A2D">
      <w:pPr>
        <w:pStyle w:val="Nadpis3"/>
        <w:numPr>
          <w:ilvl w:val="2"/>
          <w:numId w:val="10"/>
        </w:numPr>
        <w:tabs>
          <w:tab w:val="clear" w:pos="567"/>
          <w:tab w:val="clear" w:pos="720"/>
        </w:tabs>
        <w:ind w:left="567" w:hanging="567"/>
      </w:pPr>
      <w:bookmarkStart w:id="276" w:name="_Toc424307102"/>
      <w:r>
        <w:t>10.2.3</w:t>
      </w:r>
      <w:r>
        <w:tab/>
        <w:t>Investiční rozvoj zemědělství</w:t>
      </w:r>
      <w:bookmarkEnd w:id="276"/>
    </w:p>
    <w:p w:rsidR="00614A2D" w:rsidRPr="00FB7064" w:rsidRDefault="00614A2D" w:rsidP="00E406EF">
      <w:r>
        <w:t>Investování do modernizace je jedním z hlavních předpokladů zvýšení konkurenceschopnosti zemědělských podniků a přispívá též k environmentálním cílům, pohodě zvířat a dobrému pracovnímu prostředí. Základní přehled o investičních aktivitách v zemědělství ČR poskytuje kapitálový účet SZÚ (tab</w:t>
      </w:r>
      <w:r w:rsidR="00D2688C">
        <w:t>.</w:t>
      </w:r>
      <w:r>
        <w:t xml:space="preserve"> T10.2/04, ve stálých cenách roku 2000). Tvorba hrubého fixního kapitálu (THFK) představuje objem investic do pořízení, rekonstrukce, modernizace a </w:t>
      </w:r>
      <w:r w:rsidRPr="00FB7064">
        <w:t>nákupů dlouhodobého majetku po odpočtu prodejů, tj. přírůstky mínus úbytky fixních aktiv za příslušné období.</w:t>
      </w:r>
    </w:p>
    <w:p w:rsidR="00614A2D" w:rsidRPr="00FB7064" w:rsidRDefault="00614A2D" w:rsidP="000B7BEE">
      <w:pPr>
        <w:pStyle w:val="mezera"/>
      </w:pPr>
    </w:p>
    <w:p w:rsidR="00614A2D" w:rsidRPr="00FB7064" w:rsidRDefault="00FA5F17" w:rsidP="000B7BEE">
      <w:pPr>
        <w:pStyle w:val="mezera"/>
      </w:pPr>
      <w:r w:rsidRPr="00FA5F17">
        <w:rPr>
          <w:noProof/>
          <w:lang w:eastAsia="cs-CZ"/>
        </w:rPr>
        <w:drawing>
          <wp:inline distT="0" distB="0" distL="0" distR="0" wp14:anchorId="17DA6AC5" wp14:editId="313EBD11">
            <wp:extent cx="5760720" cy="316486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60720" cy="3164864"/>
                    </a:xfrm>
                    <a:prstGeom prst="rect">
                      <a:avLst/>
                    </a:prstGeom>
                    <a:noFill/>
                    <a:ln>
                      <a:noFill/>
                    </a:ln>
                  </pic:spPr>
                </pic:pic>
              </a:graphicData>
            </a:graphic>
          </wp:inline>
        </w:drawing>
      </w:r>
    </w:p>
    <w:p w:rsidR="00614A2D" w:rsidRPr="00FB7064" w:rsidRDefault="00614A2D" w:rsidP="000B7BEE">
      <w:pPr>
        <w:pStyle w:val="mezera"/>
      </w:pPr>
    </w:p>
    <w:p w:rsidR="00614A2D" w:rsidRDefault="00614A2D" w:rsidP="00E406EF">
      <w:r w:rsidRPr="00643D8A">
        <w:t>V roce 2013 se investiční aktivita zemědělských podniků meziročně snížila, což vyplývá z poklesu tvorby hrubého fixního kapitálu o necelých 10 %. Příčinou snížení investiční aktivity je pokles THFK nezemědělských výrobků – strojů, zařízení a budov. Do určité míry je možné tento pokles zdůvodnit také posledním rokem starého programového období Programu rozvoje venkova 2007</w:t>
      </w:r>
      <w:r w:rsidR="00152C8B">
        <w:noBreakHyphen/>
      </w:r>
      <w:r w:rsidRPr="00643D8A">
        <w:t>2013, kdy probíhalo převážně proplácení již dříve schválených projektů, o čemž svědčí i pokles investičních dotací o 53 %. Situaci v roce 2013 lze nicméně z hlediska investičního rozvoje zemědělství hodnotit jako příznivou, podporující potřebnou modernizaci zemědělských provozů z pohledu produktivních i neproduktivních investic.</w:t>
      </w:r>
      <w:r>
        <w:t xml:space="preserve"> Tvorba čistého fixního kapitálu ve stálých cenách se v roce 2013 </w:t>
      </w:r>
      <w:r w:rsidR="00DD2AB3">
        <w:t>snížila</w:t>
      </w:r>
      <w:r>
        <w:t>.</w:t>
      </w:r>
      <w:r w:rsidRPr="00643D8A">
        <w:t xml:space="preserve"> Hospodářské výsledky v zemědělství byly i v roce 2013 na velmi dobré úrovni. </w:t>
      </w:r>
      <w:r>
        <w:t>Nominální p</w:t>
      </w:r>
      <w:r w:rsidRPr="00643D8A">
        <w:t xml:space="preserve">odnikatelský důchod přesáhl již třetí rok po sobě hranici 16 mld. Kč, produkce </w:t>
      </w:r>
      <w:r w:rsidRPr="00643D8A">
        <w:lastRenderedPageBreak/>
        <w:t xml:space="preserve">zemědělského odvětví </w:t>
      </w:r>
      <w:r>
        <w:t xml:space="preserve">v běžných cenách </w:t>
      </w:r>
      <w:r w:rsidRPr="00643D8A">
        <w:t>dosáhla rekordních 128,2 mld. Kč. Podíl THFK na produkci zemědělského odvětví se při započítání investičních dotací snížil.</w:t>
      </w:r>
    </w:p>
    <w:p w:rsidR="00614A2D" w:rsidRDefault="00614A2D" w:rsidP="00E406EF">
      <w:r w:rsidRPr="00313432">
        <w:t xml:space="preserve">Objem investic je závislý na dostupných </w:t>
      </w:r>
      <w:r>
        <w:t xml:space="preserve">vlastních </w:t>
      </w:r>
      <w:r w:rsidRPr="00313432">
        <w:t>zdrojích financování</w:t>
      </w:r>
      <w:r>
        <w:t xml:space="preserve">, objemu podpor i </w:t>
      </w:r>
      <w:r w:rsidRPr="00313432">
        <w:t xml:space="preserve">na přístupu k bankovním úvěrům. Stavy úvěrů a pohledávek v zemědělství, myslivosti a rybolovu včetně výše investičních úvěrů </w:t>
      </w:r>
      <w:r>
        <w:t xml:space="preserve">ke konci čtvrtletí v letech 2010-2014 </w:t>
      </w:r>
      <w:r w:rsidRPr="00313432">
        <w:t>uvádí graf T10.2/08.</w:t>
      </w:r>
    </w:p>
    <w:p w:rsidR="00614A2D" w:rsidRPr="00313432" w:rsidRDefault="00614A2D" w:rsidP="000B7BEE">
      <w:pPr>
        <w:pStyle w:val="mezera"/>
      </w:pPr>
    </w:p>
    <w:p w:rsidR="00614A2D" w:rsidRPr="00313432" w:rsidRDefault="00614A2D" w:rsidP="000B7BEE">
      <w:pPr>
        <w:pStyle w:val="mezera-svzan"/>
      </w:pPr>
      <w:r>
        <w:rPr>
          <w:noProof/>
          <w:lang w:eastAsia="cs-CZ"/>
        </w:rPr>
        <w:drawing>
          <wp:inline distT="0" distB="0" distL="0" distR="0" wp14:anchorId="4EE8032D" wp14:editId="35CEB28F">
            <wp:extent cx="5760720" cy="3695700"/>
            <wp:effectExtent l="0" t="0" r="0" b="0"/>
            <wp:docPr id="14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rsidR="00614A2D" w:rsidRPr="000330C9" w:rsidRDefault="00614A2D" w:rsidP="000B7BEE">
      <w:pPr>
        <w:pStyle w:val="TabPramZprac"/>
      </w:pPr>
      <w:r>
        <w:t>Pramen:</w:t>
      </w:r>
      <w:r>
        <w:tab/>
        <w:t>ČNB</w:t>
      </w:r>
    </w:p>
    <w:p w:rsidR="00614A2D" w:rsidRPr="00313432" w:rsidRDefault="00614A2D" w:rsidP="000B7BEE">
      <w:pPr>
        <w:pStyle w:val="TabPramZprac"/>
      </w:pPr>
      <w:r w:rsidRPr="00313432">
        <w:t>Zpracoval:</w:t>
      </w:r>
      <w:r w:rsidRPr="00313432">
        <w:tab/>
        <w:t>J. Špička (ÚZEI)</w:t>
      </w:r>
    </w:p>
    <w:p w:rsidR="00614A2D" w:rsidRPr="00313432" w:rsidRDefault="00614A2D" w:rsidP="000B7BEE">
      <w:pPr>
        <w:pStyle w:val="mezera"/>
      </w:pPr>
    </w:p>
    <w:p w:rsidR="00614A2D" w:rsidRDefault="00614A2D" w:rsidP="00E406EF">
      <w:r>
        <w:t>Po krizových letech 2009 a 2010, kdy b</w:t>
      </w:r>
      <w:r w:rsidRPr="00313432">
        <w:t>anky plošně zpřísnily podmínky</w:t>
      </w:r>
      <w:r>
        <w:t xml:space="preserve"> poskytování investičních úvěrů, nastalo od roku 2011 oživení investiční aktivity zemědělských podniků</w:t>
      </w:r>
      <w:r w:rsidRPr="00313432">
        <w:t>.</w:t>
      </w:r>
      <w:r>
        <w:t xml:space="preserve"> V letech 2013 a 2014 se zvýšily stavy především dlouhodobých investičních úvěrů. Stavy krátkodobých a střednědobých úvěrů se s určitými </w:t>
      </w:r>
      <w:r w:rsidR="005227F9">
        <w:t>sezon</w:t>
      </w:r>
      <w:r>
        <w:t>ními výkyvy pohybují v čase na relativně stabilní úrovni. P</w:t>
      </w:r>
      <w:r w:rsidRPr="00313432">
        <w:t xml:space="preserve">říznivé </w:t>
      </w:r>
      <w:r>
        <w:t xml:space="preserve">ekonomické výsledky podniků v letech 2012 a 2013 byly částečně podpořeny </w:t>
      </w:r>
      <w:r w:rsidRPr="00313432">
        <w:t>investiční</w:t>
      </w:r>
      <w:r>
        <w:t>mi</w:t>
      </w:r>
      <w:r w:rsidRPr="00313432">
        <w:t xml:space="preserve"> dotace</w:t>
      </w:r>
      <w:r>
        <w:t>mi</w:t>
      </w:r>
      <w:r w:rsidRPr="00313432">
        <w:t xml:space="preserve"> v rámci osy I PRV a také subvencování</w:t>
      </w:r>
      <w:r>
        <w:t>m</w:t>
      </w:r>
      <w:r w:rsidRPr="00313432">
        <w:t xml:space="preserve"> části úroků z úvěrů a garanc</w:t>
      </w:r>
      <w:r>
        <w:t>í</w:t>
      </w:r>
      <w:r w:rsidRPr="00313432">
        <w:t xml:space="preserve"> úvěrů prostřednictvím PGRLF. </w:t>
      </w:r>
      <w:r w:rsidRPr="00A70B70">
        <w:t xml:space="preserve">Subvence úroků z úvěrů na investice </w:t>
      </w:r>
      <w:r>
        <w:t xml:space="preserve">do zemědělství </w:t>
      </w:r>
      <w:r w:rsidRPr="00A70B70">
        <w:t>vyplácené PGRLF</w:t>
      </w:r>
      <w:r>
        <w:t xml:space="preserve"> činily 582 mil. Kč v roce 2013.</w:t>
      </w:r>
    </w:p>
    <w:p w:rsidR="00614A2D" w:rsidRDefault="00614A2D" w:rsidP="00E406EF">
      <w:r>
        <w:t xml:space="preserve">Úvěrové financování nabývá stále většího významu v porovnání s financováním leasingem. Důvodem je především možnost spojení úvěrového financování s dotačními programy Evropské unie nebo PGRLF a také rozšíření nabídky úvěrů i ze strany leasingových společností. V oblasti leasingu se přesouvá zájem od finančního leasingu k operativnímu </w:t>
      </w:r>
      <w:r>
        <w:lastRenderedPageBreak/>
        <w:t>leasingu, v rámci něhož je stroj využíván po smluvně dohodnutou dobu nebo počtu ujetých kilometrů a klient nenese rizika spojená s vlastnictvím stroje.</w:t>
      </w:r>
    </w:p>
    <w:p w:rsidR="00614A2D" w:rsidRDefault="00614A2D" w:rsidP="00E406EF">
      <w:r>
        <w:t>Hlubší analýzu investiční činnosti a hlavních směrů investic je možné provést na základě dat FADN ČR. Na rozdíl od výše uplatněné metodiky SZÚ jsou v následujícím přehledu investice pojaty jako pořízení, rekonstrukce a</w:t>
      </w:r>
      <w:r w:rsidRPr="00022112">
        <w:t xml:space="preserve"> modernizace </w:t>
      </w:r>
      <w:r w:rsidRPr="00EE3D76">
        <w:t>bez</w:t>
      </w:r>
      <w:r>
        <w:t xml:space="preserve"> odpočtu prodejů majetku (v běžných cenách daného roku), tj. navýšení fixních aktiv bez zohlednění úbytku aktiv</w:t>
      </w:r>
      <w:r>
        <w:rPr>
          <w:rStyle w:val="Znakapoznpodarou"/>
        </w:rPr>
        <w:footnoteReference w:id="180"/>
      </w:r>
      <w:r>
        <w:t>.</w:t>
      </w:r>
    </w:p>
    <w:p w:rsidR="00614A2D" w:rsidRDefault="00614A2D" w:rsidP="000B7BEE">
      <w:pPr>
        <w:pStyle w:val="mezera"/>
      </w:pPr>
    </w:p>
    <w:p w:rsidR="00614A2D" w:rsidRPr="00F73CD7" w:rsidRDefault="00614A2D" w:rsidP="000B7BEE">
      <w:pPr>
        <w:pStyle w:val="mezera-svzan"/>
      </w:pPr>
      <w:r w:rsidRPr="00AA5EC8">
        <w:rPr>
          <w:noProof/>
          <w:lang w:eastAsia="cs-CZ"/>
        </w:rPr>
        <w:drawing>
          <wp:inline distT="0" distB="0" distL="0" distR="0" wp14:anchorId="55A4F04A" wp14:editId="33A326A4">
            <wp:extent cx="5760720" cy="3719384"/>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760720" cy="3719384"/>
                    </a:xfrm>
                    <a:prstGeom prst="rect">
                      <a:avLst/>
                    </a:prstGeom>
                    <a:noFill/>
                    <a:ln>
                      <a:noFill/>
                    </a:ln>
                  </pic:spPr>
                </pic:pic>
              </a:graphicData>
            </a:graphic>
          </wp:inline>
        </w:drawing>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Default="00614A2D" w:rsidP="00E406EF">
      <w:r>
        <w:t xml:space="preserve">Nízká investiční aktivita z let 2009 a 2010 byla vystřídána výrazně vyšší investiční aktivitou v letech 2011 až 2013. V roce 2013 investovaly podniky více do strojů a zařízení. Dováží se hlavně stroje, které se v ČR nevyrábějí, tj. sklízecí mlátičky a traktory s vyšším výkonem. Zvýšily se také investice do budov a zemědělské půdy. S růstem investic do strojů, zařízení a budov rostou také odpisy. Lze předpokládat, že investice do rekonstrukce budov </w:t>
      </w:r>
      <w:r>
        <w:lastRenderedPageBreak/>
        <w:t xml:space="preserve">a staveb mají příznivé dopady na pohodu zvířat a zlepšení kvality produkce rostlinné a živočišné výroby, </w:t>
      </w:r>
      <w:r w:rsidRPr="00A70B70">
        <w:t>ale také i na ochranu spodních a povr</w:t>
      </w:r>
      <w:r>
        <w:t>chových vod a ochranu klimatu.</w:t>
      </w:r>
    </w:p>
    <w:p w:rsidR="00614A2D" w:rsidRDefault="00614A2D" w:rsidP="00E406EF">
      <w:r>
        <w:t xml:space="preserve">Objem investic na hektar obhospodařované zemědělské půdy podle regionů (oblastí LFA </w:t>
      </w:r>
      <w:r w:rsidR="00E02F7C">
        <w:t>–</w:t>
      </w:r>
      <w:r>
        <w:t xml:space="preserve"> vymezení viz kap. 10.2.2) uvádí graf T10.2/10. Investiční aktivita podniků odpovídá vývoji ekonomické situace podniků podle LFA. </w:t>
      </w:r>
      <w:r w:rsidRPr="00A70B70">
        <w:t>V</w:t>
      </w:r>
      <w:r>
        <w:t xml:space="preserve"> horských oblastech </w:t>
      </w:r>
      <w:r w:rsidRPr="00A70B70">
        <w:t>LFA je znát stabilní příjem a plynulá investiční aktivita</w:t>
      </w:r>
      <w:r>
        <w:t>, zatímco investiční aktivita v </w:t>
      </w:r>
      <w:r w:rsidRPr="00A70B70">
        <w:t>ostatních</w:t>
      </w:r>
      <w:r>
        <w:t xml:space="preserve"> oblastech</w:t>
      </w:r>
      <w:r w:rsidRPr="00A70B70">
        <w:t xml:space="preserve"> je závislá na </w:t>
      </w:r>
      <w:r>
        <w:t xml:space="preserve">aktuálně </w:t>
      </w:r>
      <w:r w:rsidRPr="00A70B70">
        <w:t xml:space="preserve">generovaném </w:t>
      </w:r>
      <w:r>
        <w:t xml:space="preserve">hospodářském </w:t>
      </w:r>
      <w:r w:rsidRPr="00A70B70">
        <w:t>výsledku.</w:t>
      </w:r>
    </w:p>
    <w:p w:rsidR="00614A2D" w:rsidRDefault="00614A2D" w:rsidP="000B7BEE">
      <w:pPr>
        <w:pStyle w:val="mezera"/>
      </w:pPr>
    </w:p>
    <w:p w:rsidR="00614A2D" w:rsidRPr="00F73CD7" w:rsidRDefault="00614A2D" w:rsidP="000B7BEE">
      <w:pPr>
        <w:pStyle w:val="mezera-svzan"/>
      </w:pPr>
      <w:r>
        <w:rPr>
          <w:noProof/>
          <w:lang w:eastAsia="cs-CZ"/>
        </w:rPr>
        <w:drawing>
          <wp:inline distT="0" distB="0" distL="0" distR="0" wp14:anchorId="150E40AA" wp14:editId="5ED3807D">
            <wp:extent cx="5760720" cy="3695700"/>
            <wp:effectExtent l="0" t="0" r="0" b="0"/>
            <wp:docPr id="146"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Default="00614A2D" w:rsidP="00E406EF">
      <w:r>
        <w:t>V roce 2013 zaznamenaly zemědělské podniky v </w:t>
      </w:r>
      <w:r w:rsidRPr="00460727">
        <w:rPr>
          <w:i/>
        </w:rPr>
        <w:t>horských oblastech</w:t>
      </w:r>
      <w:r>
        <w:rPr>
          <w:i/>
        </w:rPr>
        <w:t xml:space="preserve"> LFA</w:t>
      </w:r>
      <w:r>
        <w:t xml:space="preserve"> další průběžné zvýšení ČPH/AWU. Podniky v horských oblastech LFA zvýšily investice do budov. Investice do strojů a zařízení dosáhly v průměru 3 849 Kč/ha z. p. a meziročně mírně klesly. Investice do zemědělské půdy se snížily a podniky v horských oblastech LFA zvyšovaly výměru převážně najaté půdy.</w:t>
      </w:r>
    </w:p>
    <w:p w:rsidR="00614A2D" w:rsidRDefault="00614A2D" w:rsidP="00E406EF">
      <w:r>
        <w:t>V </w:t>
      </w:r>
      <w:r w:rsidRPr="00581265">
        <w:rPr>
          <w:i/>
        </w:rPr>
        <w:t>převažujících ostatních oblastech LFA</w:t>
      </w:r>
      <w:r>
        <w:t xml:space="preserve"> podniky v průměru celkový objem investic zvýšily relativně dynamicky. Souvisí to i s příznivým meziročním vývojem ekonomické úrovně v těchto regionech. Volné finanční prostředky investovaly podniky ve vyšší míře do nákupu zemědělské půdy (nárůst o 76,9 % v období 2012-13) a do rekonstrukce a výstavby budov (nárůst o 62 % v období 2012-13). Investice do strojů a zařízení se meziročně zvýšily přibližně o čtvrtinu.</w:t>
      </w:r>
    </w:p>
    <w:p w:rsidR="00614A2D" w:rsidRDefault="00614A2D" w:rsidP="00E406EF">
      <w:r>
        <w:lastRenderedPageBreak/>
        <w:t xml:space="preserve">Podniky hospodařící </w:t>
      </w:r>
      <w:r w:rsidRPr="00460727">
        <w:rPr>
          <w:i/>
        </w:rPr>
        <w:t>převážně mimo LFA</w:t>
      </w:r>
      <w:r>
        <w:t xml:space="preserve"> celkový objem investic mírně snížily v porovnání s rokem 2012. Zdroje byly investovány ve větší míře pouze do zemědělské půdy (o 39,3 %). Investice do modernizace provozů, ať již formou rekonstrukce budov či modernizace stroj</w:t>
      </w:r>
      <w:r w:rsidR="00DD2AB3">
        <w:t>ů</w:t>
      </w:r>
      <w:r>
        <w:t xml:space="preserve"> a zařízení, meziročně mírně klesly, což mohlo souviset i s dobíhajícím starým programovým obdobím PRV.</w:t>
      </w:r>
    </w:p>
    <w:p w:rsidR="00614A2D" w:rsidRDefault="00614A2D" w:rsidP="00E406EF">
      <w:r>
        <w:t>Podrobnější pohled na investiční činnost zemědělských podniků podle jednotlivých kategorií jejich výrobního zaměření nabízí graf T10.2/11.</w:t>
      </w:r>
    </w:p>
    <w:p w:rsidR="00614A2D" w:rsidRDefault="00614A2D" w:rsidP="000B7BEE">
      <w:pPr>
        <w:pStyle w:val="mezera"/>
      </w:pPr>
    </w:p>
    <w:p w:rsidR="00614A2D" w:rsidRPr="00F73CD7" w:rsidRDefault="00614A2D" w:rsidP="000B7BEE">
      <w:pPr>
        <w:pStyle w:val="mezera-svzan"/>
      </w:pPr>
      <w:r>
        <w:rPr>
          <w:noProof/>
          <w:lang w:eastAsia="cs-CZ"/>
        </w:rPr>
        <w:drawing>
          <wp:inline distT="0" distB="0" distL="0" distR="0" wp14:anchorId="72F5273B" wp14:editId="41EEEAE2">
            <wp:extent cx="5760720" cy="3695700"/>
            <wp:effectExtent l="0" t="0" r="0" b="0"/>
            <wp:docPr id="14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60720" cy="3695700"/>
                    </a:xfrm>
                    <a:prstGeom prst="rect">
                      <a:avLst/>
                    </a:prstGeom>
                    <a:noFill/>
                    <a:ln>
                      <a:noFill/>
                    </a:ln>
                  </pic:spPr>
                </pic:pic>
              </a:graphicData>
            </a:graphic>
          </wp:inline>
        </w:drawing>
      </w:r>
    </w:p>
    <w:p w:rsidR="00614A2D" w:rsidRPr="001864BF" w:rsidRDefault="00614A2D" w:rsidP="000B7BEE">
      <w:pPr>
        <w:pStyle w:val="TabPramZprac"/>
      </w:pPr>
      <w:r>
        <w:t>Pramen:</w:t>
      </w:r>
      <w:r>
        <w:tab/>
        <w:t>Zemědělská účetní datová síť FADN ČR</w:t>
      </w:r>
    </w:p>
    <w:p w:rsidR="00614A2D" w:rsidRDefault="00614A2D" w:rsidP="000B7BEE">
      <w:pPr>
        <w:pStyle w:val="TabPramZprac"/>
      </w:pPr>
      <w:r>
        <w:t>Zpracoval:</w:t>
      </w:r>
      <w:r>
        <w:tab/>
        <w:t>J. Špička (ÚZEI)</w:t>
      </w:r>
    </w:p>
    <w:p w:rsidR="00614A2D" w:rsidRDefault="00614A2D" w:rsidP="000B7BEE">
      <w:pPr>
        <w:pStyle w:val="mezera"/>
      </w:pPr>
    </w:p>
    <w:p w:rsidR="00614A2D" w:rsidRDefault="00614A2D" w:rsidP="00E406EF">
      <w:r w:rsidRPr="00D14868">
        <w:t>Podniky</w:t>
      </w:r>
      <w:r>
        <w:t xml:space="preserve"> </w:t>
      </w:r>
      <w:r w:rsidRPr="00460727">
        <w:rPr>
          <w:i/>
        </w:rPr>
        <w:t xml:space="preserve">specializované na polní výrobu </w:t>
      </w:r>
      <w:r>
        <w:t>investovaly více zejména do nákupu zemědělské půdy, strojů a zařízení. Investice do budov realizovaly ve větší míře již v roce 2012.</w:t>
      </w:r>
    </w:p>
    <w:p w:rsidR="00614A2D" w:rsidRDefault="00614A2D" w:rsidP="00E406EF">
      <w:r>
        <w:t xml:space="preserve">Specializované podniky s převažující </w:t>
      </w:r>
      <w:r w:rsidRPr="00A916CC">
        <w:rPr>
          <w:i/>
        </w:rPr>
        <w:t>produkcí mléka</w:t>
      </w:r>
      <w:r>
        <w:t xml:space="preserve"> naopak výrazně zvýšily investice do budov, které byly v předchozích dvou letech meziročně nižší (2011-12). Investice do zemědělské půdy průběžně rostou stejně jako investice do strojů. V absolutní hodnotě realizovaly podniky se specializovanou produkcí mléka nejvyšší investice, což koresponduje s distribucí podpor na modernizaci zemědělských podniků v rámci Programu rozvoje venkova.</w:t>
      </w:r>
    </w:p>
    <w:p w:rsidR="00614A2D" w:rsidRDefault="00614A2D" w:rsidP="00E406EF">
      <w:r>
        <w:t xml:space="preserve">Podniky zaměřené na </w:t>
      </w:r>
      <w:r w:rsidRPr="00460727">
        <w:rPr>
          <w:i/>
        </w:rPr>
        <w:t>chov krav bez tržní produkce</w:t>
      </w:r>
      <w:r>
        <w:t xml:space="preserve"> </w:t>
      </w:r>
      <w:r w:rsidRPr="00460727">
        <w:rPr>
          <w:i/>
        </w:rPr>
        <w:t>mléka</w:t>
      </w:r>
      <w:r>
        <w:t xml:space="preserve"> dlouhodobě dosahují dobré ekonomické úrovně, v roce 2013 zvýšily objem investic především do nákupu zemědělské půdy. Extenzivní hospodářství nejsou tak náročné na investice jako intenzivní chov dojeného </w:t>
      </w:r>
      <w:r>
        <w:lastRenderedPageBreak/>
        <w:t>skotu, což se projevuje méně než poloviční výší investic na hektar v porovnání se specializovanými mléčnými farmami.</w:t>
      </w:r>
    </w:p>
    <w:p w:rsidR="00614A2D" w:rsidRDefault="00614A2D" w:rsidP="00E406EF">
      <w:r>
        <w:t xml:space="preserve">Podniky se </w:t>
      </w:r>
      <w:r w:rsidRPr="00460727">
        <w:rPr>
          <w:i/>
        </w:rPr>
        <w:t>smíšenou výrobou</w:t>
      </w:r>
      <w:r>
        <w:t>, které jsou reprezentovány především velkými podniky právnických osob, celkové investice v přepočtu na hektar z. p. v roce 2013 zvýšily, více prostředků investovaly do nákupu zemědělské půdy, mírně se zvýšily také investice do strojů, zařízení a budov.</w:t>
      </w:r>
    </w:p>
    <w:p w:rsidR="00614A2D" w:rsidRDefault="00614A2D" w:rsidP="00E406EF">
      <w:r w:rsidRPr="00713F34">
        <w:t>S</w:t>
      </w:r>
      <w:r>
        <w:t xml:space="preserve"> investiční činností a </w:t>
      </w:r>
      <w:r w:rsidRPr="00713F34">
        <w:t>přístupem k úvěrům souvisí také úroveň kapitálové vybavenosti a</w:t>
      </w:r>
      <w:r>
        <w:t> </w:t>
      </w:r>
      <w:r w:rsidRPr="00713F34">
        <w:t>zadluženosti zemědělských podniků. Tab</w:t>
      </w:r>
      <w:r w:rsidR="00D2688C">
        <w:t>.</w:t>
      </w:r>
      <w:r w:rsidRPr="00713F34">
        <w:t xml:space="preserve"> </w:t>
      </w:r>
      <w:r>
        <w:t>T10.2/05</w:t>
      </w:r>
      <w:r w:rsidRPr="00713F34">
        <w:t xml:space="preserve"> uvádí strukturu a vývoj zdrojů financování podniků právnických osob.</w:t>
      </w:r>
    </w:p>
    <w:p w:rsidR="00614A2D" w:rsidRDefault="00614A2D" w:rsidP="000B7BEE">
      <w:pPr>
        <w:pStyle w:val="mezera"/>
      </w:pPr>
    </w:p>
    <w:p w:rsidR="00614A2D" w:rsidRPr="00F73CD7" w:rsidRDefault="00614A2D" w:rsidP="000B7BEE">
      <w:pPr>
        <w:pStyle w:val="mezera"/>
      </w:pPr>
      <w:r w:rsidRPr="0009633B">
        <w:rPr>
          <w:noProof/>
          <w:lang w:eastAsia="cs-CZ"/>
        </w:rPr>
        <w:drawing>
          <wp:inline distT="0" distB="0" distL="0" distR="0" wp14:anchorId="05B5C209" wp14:editId="28E19642">
            <wp:extent cx="5760720" cy="4022296"/>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60720" cy="4022296"/>
                    </a:xfrm>
                    <a:prstGeom prst="rect">
                      <a:avLst/>
                    </a:prstGeom>
                    <a:noFill/>
                    <a:ln>
                      <a:noFill/>
                    </a:ln>
                  </pic:spPr>
                </pic:pic>
              </a:graphicData>
            </a:graphic>
          </wp:inline>
        </w:drawing>
      </w:r>
    </w:p>
    <w:p w:rsidR="00614A2D" w:rsidRPr="00615A73" w:rsidRDefault="00614A2D" w:rsidP="000B7BEE">
      <w:pPr>
        <w:pStyle w:val="mezera"/>
      </w:pPr>
    </w:p>
    <w:p w:rsidR="00614A2D" w:rsidRDefault="00614A2D" w:rsidP="00E406EF">
      <w:r>
        <w:t>Bankovní úvěry v přepočtu na hektar z. p. se zvýšily o 7,9 %. Vyšší investice se projevily ve vyšší hodnotě dlouhodobého majetku o 6,6 % a ve vyšších odpisech o 9,3 %. Příznivé hospodářské výsledky se projevily i na vyšším absolutním objemu interních zdrojů financování o 11,9 %. Průměrná míra celkové zadluženosti zemědělských podniků se mírně snížila na 37,9 %, zvýšila se však zadluženost bankovními úvěry z 19,1 % na 19,4 %. Dlouhodobě se celková zadluženost podniků právnických osob, počítaná z celkových cizích zdrojů bez rezerv, pohybuje pod úrovní 40 %, což je relativně příznivé.</w:t>
      </w:r>
    </w:p>
    <w:p w:rsidR="00614A2D" w:rsidRPr="00CF2862" w:rsidRDefault="00614A2D" w:rsidP="000B7BEE">
      <w:r w:rsidRPr="00CF2862">
        <w:t xml:space="preserve">Důležitou úlohu v investiční činnosti zemědělských podniků mají investiční podpory z osy I a III PRV a z programů PGRLF. Zpracováním souboru proplacených projektů z nejvýznamnějšího opatření osy I PRV I. 1. 1 Modernizace zemědělských podniků za roky </w:t>
      </w:r>
      <w:r w:rsidRPr="00CF2862">
        <w:lastRenderedPageBreak/>
        <w:t>2008</w:t>
      </w:r>
      <w:r>
        <w:t>-</w:t>
      </w:r>
      <w:r w:rsidRPr="00CF2862">
        <w:t xml:space="preserve">2014 bylo možno sestavit </w:t>
      </w:r>
      <w:proofErr w:type="spellStart"/>
      <w:r w:rsidRPr="00CF2862">
        <w:t>příl</w:t>
      </w:r>
      <w:proofErr w:type="spellEnd"/>
      <w:r w:rsidRPr="00CF2862">
        <w:t xml:space="preserve">. tab. 10.2/06. </w:t>
      </w:r>
      <w:proofErr w:type="spellStart"/>
      <w:r w:rsidRPr="00CF2862">
        <w:t>Podopatření</w:t>
      </w:r>
      <w:proofErr w:type="spellEnd"/>
      <w:r w:rsidRPr="00CF2862">
        <w:t xml:space="preserve"> jsou členěna na následující dílčí záměry.</w:t>
      </w:r>
    </w:p>
    <w:p w:rsidR="00614A2D" w:rsidRPr="00251C26" w:rsidRDefault="00614A2D" w:rsidP="00614A2D">
      <w:pPr>
        <w:pStyle w:val="vetA"/>
        <w:keepNext/>
        <w:numPr>
          <w:ilvl w:val="0"/>
          <w:numId w:val="40"/>
        </w:numPr>
        <w:tabs>
          <w:tab w:val="num" w:pos="0"/>
        </w:tabs>
        <w:ind w:left="567" w:hanging="567"/>
      </w:pPr>
      <w:r w:rsidRPr="00251C26">
        <w:t>Investice do živočišné výroby:</w:t>
      </w:r>
    </w:p>
    <w:p w:rsidR="00614A2D" w:rsidRPr="00251C26" w:rsidRDefault="00614A2D" w:rsidP="00614A2D">
      <w:pPr>
        <w:pStyle w:val="veta0"/>
        <w:keepNext/>
        <w:numPr>
          <w:ilvl w:val="1"/>
          <w:numId w:val="40"/>
        </w:numPr>
        <w:ind w:left="851" w:hanging="284"/>
      </w:pPr>
      <w:r w:rsidRPr="00251C26">
        <w:t xml:space="preserve">investice </w:t>
      </w:r>
      <w:r>
        <w:t xml:space="preserve">převážně </w:t>
      </w:r>
      <w:r w:rsidRPr="00251C26">
        <w:t xml:space="preserve">do zemědělských staveb vč. nezbytných manipulačních prostor pro ŽV (zlepšení </w:t>
      </w:r>
      <w:r>
        <w:t>pohody zvířat, resp. zvýšení produktivity práce);</w:t>
      </w:r>
    </w:p>
    <w:p w:rsidR="00614A2D" w:rsidRPr="00251C26" w:rsidRDefault="00614A2D" w:rsidP="00614A2D">
      <w:pPr>
        <w:pStyle w:val="veta0"/>
        <w:keepNext/>
        <w:numPr>
          <w:ilvl w:val="1"/>
          <w:numId w:val="40"/>
        </w:numPr>
        <w:ind w:left="851" w:hanging="284"/>
      </w:pPr>
      <w:r w:rsidRPr="00251C26">
        <w:t xml:space="preserve">investice </w:t>
      </w:r>
      <w:r>
        <w:t xml:space="preserve">převážně </w:t>
      </w:r>
      <w:r w:rsidRPr="00251C26">
        <w:t>do techniky a technologií pro ŽV (dojírny, přípravny krmení atd.)</w:t>
      </w:r>
      <w:r>
        <w:t>;</w:t>
      </w:r>
    </w:p>
    <w:p w:rsidR="00614A2D" w:rsidRPr="00251C26" w:rsidRDefault="00614A2D" w:rsidP="00614A2D">
      <w:pPr>
        <w:pStyle w:val="veta0"/>
        <w:numPr>
          <w:ilvl w:val="1"/>
          <w:numId w:val="40"/>
        </w:numPr>
        <w:ind w:left="851" w:hanging="284"/>
      </w:pPr>
      <w:r w:rsidRPr="00251C26">
        <w:t>investice do výstavby nebo rekonstrukce skladovacích prostor pro druhotné produkty ŽV (jímky, hnojiště atd.)</w:t>
      </w:r>
      <w:r>
        <w:t>;</w:t>
      </w:r>
    </w:p>
    <w:p w:rsidR="00614A2D" w:rsidRPr="00251C26" w:rsidRDefault="00614A2D" w:rsidP="00614A2D">
      <w:pPr>
        <w:pStyle w:val="veta0"/>
        <w:numPr>
          <w:ilvl w:val="1"/>
          <w:numId w:val="40"/>
        </w:numPr>
        <w:ind w:left="851" w:hanging="284"/>
      </w:pPr>
      <w:r w:rsidRPr="00251C26">
        <w:t xml:space="preserve">investice do výstavby nebo rekonstrukce skladů pro objemná </w:t>
      </w:r>
      <w:r>
        <w:t>a jadrná krmiva.</w:t>
      </w:r>
    </w:p>
    <w:p w:rsidR="00614A2D" w:rsidRPr="00251C26" w:rsidRDefault="00614A2D" w:rsidP="00614A2D">
      <w:pPr>
        <w:pStyle w:val="vetA"/>
        <w:numPr>
          <w:ilvl w:val="0"/>
          <w:numId w:val="40"/>
        </w:numPr>
        <w:tabs>
          <w:tab w:val="num" w:pos="0"/>
        </w:tabs>
        <w:ind w:left="567" w:hanging="567"/>
      </w:pPr>
      <w:r w:rsidRPr="00251C26">
        <w:t>Investice do rostlinné výroby:</w:t>
      </w:r>
    </w:p>
    <w:p w:rsidR="00614A2D" w:rsidRPr="00251C26" w:rsidRDefault="00614A2D" w:rsidP="00614A2D">
      <w:pPr>
        <w:pStyle w:val="veta0"/>
        <w:numPr>
          <w:ilvl w:val="1"/>
          <w:numId w:val="40"/>
        </w:numPr>
        <w:ind w:left="851" w:hanging="284"/>
      </w:pPr>
      <w:r w:rsidRPr="00251C26">
        <w:t xml:space="preserve">investice </w:t>
      </w:r>
      <w:r>
        <w:t xml:space="preserve">převážně </w:t>
      </w:r>
      <w:r w:rsidRPr="00251C26">
        <w:t>do zemědělských staveb pro RV (rekonstrukce a výstavba nových staveb)</w:t>
      </w:r>
      <w:r>
        <w:t>;</w:t>
      </w:r>
    </w:p>
    <w:p w:rsidR="00614A2D" w:rsidRDefault="00614A2D" w:rsidP="00614A2D">
      <w:pPr>
        <w:pStyle w:val="veta0"/>
        <w:numPr>
          <w:ilvl w:val="1"/>
          <w:numId w:val="40"/>
        </w:numPr>
        <w:ind w:left="851" w:hanging="284"/>
      </w:pPr>
      <w:r w:rsidRPr="00251C26">
        <w:t xml:space="preserve">investice </w:t>
      </w:r>
      <w:r>
        <w:t xml:space="preserve">převážně </w:t>
      </w:r>
      <w:r w:rsidRPr="00251C26">
        <w:t>d</w:t>
      </w:r>
      <w:r>
        <w:t>o techniky a technologií pro RV;</w:t>
      </w:r>
    </w:p>
    <w:p w:rsidR="00614A2D" w:rsidRPr="00251C26" w:rsidRDefault="00614A2D" w:rsidP="00614A2D">
      <w:pPr>
        <w:pStyle w:val="veta0"/>
        <w:numPr>
          <w:ilvl w:val="1"/>
          <w:numId w:val="40"/>
        </w:numPr>
        <w:ind w:left="851" w:hanging="284"/>
      </w:pPr>
      <w:r>
        <w:t>investice do zpracování a využití biomasy (kotelny).</w:t>
      </w:r>
    </w:p>
    <w:p w:rsidR="00614A2D" w:rsidRPr="001F0CB1" w:rsidRDefault="00614A2D" w:rsidP="00E406EF">
      <w:r w:rsidRPr="00C44BBA">
        <w:t>V rámci opatření</w:t>
      </w:r>
      <w:r w:rsidRPr="001F0CB1">
        <w:t xml:space="preserve"> I. 1.1 bylo v letech 2008-1</w:t>
      </w:r>
      <w:r>
        <w:t>4</w:t>
      </w:r>
      <w:r w:rsidRPr="001F0CB1">
        <w:t xml:space="preserve"> proplaceno celkem </w:t>
      </w:r>
      <w:r>
        <w:t xml:space="preserve">7,5 </w:t>
      </w:r>
      <w:r w:rsidRPr="001F0CB1">
        <w:t xml:space="preserve">mld. Kč. </w:t>
      </w:r>
      <w:r>
        <w:t xml:space="preserve">Přibližně tři čtvrtiny částky směřovaly do projektů </w:t>
      </w:r>
      <w:r w:rsidRPr="003006F6">
        <w:rPr>
          <w:i/>
        </w:rPr>
        <w:t>živočišné výroby</w:t>
      </w:r>
      <w:r>
        <w:t xml:space="preserve">. Převážná část investičních podpor směřovala na investice </w:t>
      </w:r>
      <w:r w:rsidRPr="00C44BBA">
        <w:t>do zemědělských staveb vč</w:t>
      </w:r>
      <w:r>
        <w:t>etně</w:t>
      </w:r>
      <w:r w:rsidRPr="00C44BBA">
        <w:t xml:space="preserve"> nezbytných manipulačních prostor pro ŽV</w:t>
      </w:r>
      <w:r>
        <w:t xml:space="preserve">. Čistě technologické investice bez stavebních úprav byly realizovány jen v malé míře. V živočišné výrobě je obvykle v jednom projektu kombinována produktivní investice (rekonstrukce budov, modernizace technologie) a neproduktivní investice do výstavby nebo rekonstrukce skladovacích prostor pro druhotné produkty ŽV (jímky, hnojiště). </w:t>
      </w:r>
      <w:r w:rsidRPr="001F0CB1">
        <w:t xml:space="preserve">Investice v živočišné výrobě byly zaměřeny hlavně na chov skotu včetně dojnic. </w:t>
      </w:r>
      <w:r>
        <w:t>Investiční dotace v živočišné výrobě</w:t>
      </w:r>
      <w:r w:rsidRPr="001F0CB1">
        <w:t xml:space="preserve"> byly </w:t>
      </w:r>
      <w:r>
        <w:t>využívány</w:t>
      </w:r>
      <w:r w:rsidRPr="001F0CB1">
        <w:t xml:space="preserve"> většinou právnickými osobami (</w:t>
      </w:r>
      <w:r>
        <w:t>82</w:t>
      </w:r>
      <w:r w:rsidRPr="001F0CB1">
        <w:t xml:space="preserve"> % </w:t>
      </w:r>
      <w:r>
        <w:t>proplacené částky</w:t>
      </w:r>
      <w:r w:rsidRPr="001F0CB1">
        <w:t>), 6</w:t>
      </w:r>
      <w:r>
        <w:t xml:space="preserve">6 % částky čerpali žadatelé s více než 10 % podílem v LFA a </w:t>
      </w:r>
      <w:r w:rsidRPr="001F0CB1">
        <w:t>2</w:t>
      </w:r>
      <w:r>
        <w:t>3</w:t>
      </w:r>
      <w:r w:rsidRPr="001F0CB1">
        <w:t xml:space="preserve"> % </w:t>
      </w:r>
      <w:r>
        <w:t>částky</w:t>
      </w:r>
      <w:r w:rsidRPr="001F0CB1">
        <w:t xml:space="preserve"> </w:t>
      </w:r>
      <w:r>
        <w:t>obdrželi mladí zemědělci.</w:t>
      </w:r>
    </w:p>
    <w:p w:rsidR="00614A2D" w:rsidRPr="001F0CB1" w:rsidRDefault="00614A2D" w:rsidP="00E406EF">
      <w:r w:rsidRPr="001F0CB1">
        <w:t>V </w:t>
      </w:r>
      <w:r w:rsidRPr="003006F6">
        <w:rPr>
          <w:i/>
        </w:rPr>
        <w:t>rostlinné výrobě</w:t>
      </w:r>
      <w:r w:rsidRPr="001F0CB1">
        <w:t xml:space="preserve"> se většina investičních projektů týkala výstavby či rekonstrukce skladovacích prostor pro produkty RV </w:t>
      </w:r>
      <w:r>
        <w:t xml:space="preserve">(seníky, sklady brambor atd.) </w:t>
      </w:r>
      <w:r w:rsidRPr="001F0CB1">
        <w:t>a obnovy techniky a</w:t>
      </w:r>
      <w:r>
        <w:t> </w:t>
      </w:r>
      <w:r w:rsidRPr="001F0CB1">
        <w:t>modernizace technologie</w:t>
      </w:r>
      <w:r>
        <w:t xml:space="preserve"> (technologie posklizňových linek)</w:t>
      </w:r>
      <w:r w:rsidRPr="001F0CB1">
        <w:t>. Relativně významné byly také investice do výstavby či rekonstrukce nosných konstrukcí trvalých kultur</w:t>
      </w:r>
      <w:r>
        <w:t xml:space="preserve"> – vinic a chmelnic</w:t>
      </w:r>
      <w:r w:rsidRPr="001F0CB1">
        <w:t>.</w:t>
      </w:r>
      <w:r>
        <w:t xml:space="preserve"> Zemědělci také využívali podpory na výstavbu nosných konstrukcí s </w:t>
      </w:r>
      <w:proofErr w:type="spellStart"/>
      <w:r>
        <w:t>protikroupovými</w:t>
      </w:r>
      <w:proofErr w:type="spellEnd"/>
      <w:r>
        <w:t xml:space="preserve"> sítěmi u ovocných sadů, které přispívají ke snížení rizika poškození úrody krupobitím. </w:t>
      </w:r>
      <w:r w:rsidRPr="001F0CB1">
        <w:t xml:space="preserve">Rozdělení projektů odpovídá regionálnímu rozdělení přírodních podmínek: </w:t>
      </w:r>
      <w:r>
        <w:t>74</w:t>
      </w:r>
      <w:r w:rsidRPr="001F0CB1">
        <w:t xml:space="preserve"> % investičních </w:t>
      </w:r>
      <w:r>
        <w:t>podpor</w:t>
      </w:r>
      <w:r w:rsidRPr="001F0CB1">
        <w:t xml:space="preserve"> bylo proplaceno </w:t>
      </w:r>
      <w:r>
        <w:t>podnikům zcela</w:t>
      </w:r>
      <w:r w:rsidRPr="001F0CB1">
        <w:t xml:space="preserve"> mimo LFA. </w:t>
      </w:r>
      <w:r>
        <w:t>Právnické osoby</w:t>
      </w:r>
      <w:r w:rsidRPr="001F0CB1">
        <w:t xml:space="preserve"> </w:t>
      </w:r>
      <w:r>
        <w:t xml:space="preserve">na proplacené částce v projektech rostlinné výroby </w:t>
      </w:r>
      <w:r w:rsidRPr="001F0CB1">
        <w:t xml:space="preserve">byl v uvedených letech </w:t>
      </w:r>
      <w:r>
        <w:t>71</w:t>
      </w:r>
      <w:r w:rsidRPr="001F0CB1">
        <w:t> %</w:t>
      </w:r>
      <w:r>
        <w:t>, podíl mladých zemědělců byl 48 %.</w:t>
      </w:r>
    </w:p>
    <w:p w:rsidR="00614A2D" w:rsidRDefault="00614A2D" w:rsidP="00E406EF">
      <w:r w:rsidRPr="001F0CB1">
        <w:lastRenderedPageBreak/>
        <w:t>Dalším významným směrem investic v zemědělských podnicích je výstavba a</w:t>
      </w:r>
      <w:r>
        <w:t> </w:t>
      </w:r>
      <w:r w:rsidRPr="001F0CB1">
        <w:t>navyšování výkonů bioplynových stanic</w:t>
      </w:r>
      <w:r>
        <w:t xml:space="preserve"> (BPS)</w:t>
      </w:r>
      <w:r w:rsidRPr="001F0CB1">
        <w:t>. Podporu výstavby a modernizace bioplynových stanic je možné čerpat z PRV z opatření III.1.1 Diverzifikace činností nezemědělské povahy (záměr b) a z opatření III.1.2 Podpora zakládání podniků a jejich rozvoje (záměr b). V záměru III. 1. 2 b) podávaly žádosti převážně podniky fyzických osob, v záměru III. 1. 1 b) především podniky právnických osob. V rámci obou záměrů bylo v letech 2007</w:t>
      </w:r>
      <w:r w:rsidR="00152C8B">
        <w:noBreakHyphen/>
      </w:r>
      <w:r w:rsidRPr="001F0CB1">
        <w:t>201</w:t>
      </w:r>
      <w:r>
        <w:t>4</w:t>
      </w:r>
      <w:r w:rsidRPr="001F0CB1">
        <w:t xml:space="preserve"> </w:t>
      </w:r>
      <w:r>
        <w:t>proplaceno</w:t>
      </w:r>
      <w:r w:rsidRPr="001F0CB1">
        <w:t xml:space="preserve"> </w:t>
      </w:r>
      <w:r>
        <w:t>166</w:t>
      </w:r>
      <w:r w:rsidRPr="001F0CB1">
        <w:t xml:space="preserve"> žádostí s úhrnnou výší dotace ve výši </w:t>
      </w:r>
      <w:r>
        <w:t>necelých 3</w:t>
      </w:r>
      <w:r w:rsidRPr="001F0CB1">
        <w:t xml:space="preserve"> mld. Kč (celkové způsobilé investiční výdaje byly </w:t>
      </w:r>
      <w:r>
        <w:t xml:space="preserve">9 </w:t>
      </w:r>
      <w:r w:rsidRPr="001F0CB1">
        <w:t>mld. Kč). Budovány byly především bioplynové stanice s průměrným výkonem kolem 6</w:t>
      </w:r>
      <w:r>
        <w:t>26</w:t>
      </w:r>
      <w:r w:rsidRPr="001F0CB1">
        <w:t xml:space="preserve"> </w:t>
      </w:r>
      <w:proofErr w:type="spellStart"/>
      <w:r w:rsidRPr="001F0CB1">
        <w:t>kW</w:t>
      </w:r>
      <w:r>
        <w:t>e</w:t>
      </w:r>
      <w:proofErr w:type="spellEnd"/>
      <w:r>
        <w:t xml:space="preserve"> </w:t>
      </w:r>
      <w:r w:rsidRPr="001F0CB1">
        <w:t xml:space="preserve">(pásmo 500 až 999 </w:t>
      </w:r>
      <w:proofErr w:type="spellStart"/>
      <w:r w:rsidRPr="001F0CB1">
        <w:t>kW</w:t>
      </w:r>
      <w:r>
        <w:t>e</w:t>
      </w:r>
      <w:proofErr w:type="spellEnd"/>
      <w:r w:rsidRPr="001F0CB1">
        <w:t>).</w:t>
      </w:r>
    </w:p>
    <w:p w:rsidR="00614A2D" w:rsidRPr="0005344C" w:rsidRDefault="00614A2D" w:rsidP="00614A2D">
      <w:pPr>
        <w:pStyle w:val="Nadpis3"/>
        <w:numPr>
          <w:ilvl w:val="2"/>
          <w:numId w:val="10"/>
        </w:numPr>
        <w:tabs>
          <w:tab w:val="clear" w:pos="567"/>
          <w:tab w:val="clear" w:pos="720"/>
        </w:tabs>
        <w:ind w:left="567" w:hanging="567"/>
      </w:pPr>
      <w:bookmarkStart w:id="277" w:name="_Toc424307103"/>
      <w:r w:rsidRPr="0005344C">
        <w:t>10.2.</w:t>
      </w:r>
      <w:r>
        <w:t>4</w:t>
      </w:r>
      <w:r>
        <w:tab/>
      </w:r>
      <w:r w:rsidRPr="00AA4418">
        <w:t>Shrnutí ekonomických výsledků</w:t>
      </w:r>
      <w:bookmarkEnd w:id="277"/>
    </w:p>
    <w:p w:rsidR="00614A2D" w:rsidRDefault="00614A2D" w:rsidP="00E406EF">
      <w:r>
        <w:t>Příjmová situace v zemědělství ČR reprezentovaná ukazatelem ČPH/AWU se meziročně zlepšila v průměru o 8,7 % na 549,7 tis. Kč v roce 2013. Ke zlepšení ČPH/AWU došlo ve všech kategoriích výrobního zaměření s výjimkou chovu prasat a drůbeže.</w:t>
      </w:r>
    </w:p>
    <w:p w:rsidR="00614A2D" w:rsidRDefault="00614A2D" w:rsidP="00E406EF">
      <w:r w:rsidRPr="00B807AF">
        <w:t>Ekonomické výsle</w:t>
      </w:r>
      <w:r>
        <w:t xml:space="preserve">dky zemědělských podniků byly </w:t>
      </w:r>
      <w:r w:rsidRPr="00B807AF">
        <w:t xml:space="preserve">příznivě ovlivněny zejména </w:t>
      </w:r>
      <w:r>
        <w:t>vyšší hodnotou produkce živočišné výroby v důsledku vyšších realizačních cen mléka a vepřového masa a vyšší užitkovosti v chovu skotu. V rostlinné výrobě nebyl vývoj tak jednoznačný. U pšenice ozimé a u řepky došlo k meziročnímu zvýšení výnosů a k poklesu cen, u brambor tomu bylo naopak a záleželo na tom, zda převýší efekt změny ceny nebo výnosů. Mnoho podniků s polní výrobou tak postihl pokles hodnoty produkce obilovin, což částečně eliminovalo zvýšení hodnoty produkce olejnin a brambor. Struktura rostlinné výroby nedoznala v porovnání s předchozím rokem významných změn.</w:t>
      </w:r>
    </w:p>
    <w:p w:rsidR="00614A2D" w:rsidRDefault="00614A2D" w:rsidP="00E406EF">
      <w:r>
        <w:t>Na straně nákladů bylo možné pozorovat většinou zvýšení cen vstupů do zemědělství a tedy navýšení hlavních nákladových položek do rostlinné i živočišné výroby. Vlivem pokračujícího růstu cen vstupů do zemědělství došlo v roce 2013 k nárůstu celkových nákladů o 4 %. V živočišné výrobě nepříznivě působily vyšší náklady na nakupovaná krmiva a energie, v rostlinné výrobě vyšší náklady na nakupovaná hnojiva. U PPO rostly náklady meziročně rychleji než u PFO.</w:t>
      </w:r>
    </w:p>
    <w:p w:rsidR="00614A2D" w:rsidRDefault="00614A2D" w:rsidP="00E406EF">
      <w:r>
        <w:t>ČPH/AWU byla také mezi jednotlivými kategoriemi podniků ovlivněna rozdílným vývojem počtu pracovních sil na 100 ha z. p. Ve většině sledovaných kategorií podniků se zvýšila hrubá měsíční mzda zaměstnanců.</w:t>
      </w:r>
    </w:p>
    <w:p w:rsidR="00614A2D" w:rsidRDefault="00614A2D" w:rsidP="00E406EF">
      <w:r>
        <w:t>Samostatnou kapitolou jsou provozní dotace a podpory, které se zvýšily především vlivem vyšší jednotné platby na plochu a také přeúčtováním zelených bonusů z ostatní produkce do ostatních dotací na výrobu. Průměrná výše provozních dotací a podpor se v důsledku toho zvýšila z 9 113 Kč/ha na 10 645 Kč/ha, tj. o 16,8 %.</w:t>
      </w:r>
    </w:p>
    <w:p w:rsidR="00614A2D" w:rsidRDefault="00614A2D" w:rsidP="00E406EF">
      <w:r w:rsidRPr="00B807AF">
        <w:t>Z výsle</w:t>
      </w:r>
      <w:r>
        <w:t>dků výběrového šetření FADN ČR</w:t>
      </w:r>
      <w:r w:rsidRPr="00B807AF">
        <w:t xml:space="preserve"> vyplývá značná </w:t>
      </w:r>
      <w:r>
        <w:t>rozdílnost</w:t>
      </w:r>
      <w:r w:rsidRPr="00B807AF">
        <w:t xml:space="preserve"> ekonomické </w:t>
      </w:r>
      <w:r>
        <w:t xml:space="preserve">situace </w:t>
      </w:r>
      <w:r w:rsidRPr="00B807AF">
        <w:t>podniků mezi kategoriemi výrobního zaměření a LFA</w:t>
      </w:r>
      <w:r>
        <w:t xml:space="preserve">, která vyplývá </w:t>
      </w:r>
      <w:r w:rsidRPr="00B807AF">
        <w:t>především z</w:t>
      </w:r>
      <w:r>
        <w:t> </w:t>
      </w:r>
      <w:r w:rsidRPr="00B807AF">
        <w:t>různ</w:t>
      </w:r>
      <w:r>
        <w:t>é</w:t>
      </w:r>
      <w:r w:rsidRPr="00B807AF">
        <w:t xml:space="preserve"> </w:t>
      </w:r>
      <w:r>
        <w:t>úrovně tržního příjmu a velikosti podpor</w:t>
      </w:r>
      <w:r w:rsidRPr="00B807AF">
        <w:t>.</w:t>
      </w:r>
      <w:r>
        <w:t xml:space="preserve"> Provozní dotace a podpory se pohybovaly </w:t>
      </w:r>
      <w:r>
        <w:lastRenderedPageBreak/>
        <w:t>v roce 201</w:t>
      </w:r>
      <w:r w:rsidR="00A34259">
        <w:t>3 průměrně od 7 </w:t>
      </w:r>
      <w:r>
        <w:t>128 Kč/ha u malých podniků s převažující polní výrobou do 14 310 Kč/ha u největších podniků specializovaných na produkci mléka, kde významnou roli hrály ostatní dotace na výrobu ve formě zelených bonusů na výrobu energie z obnovitelných zdrojů. U PPO s převažující výrobou mléka tvořily příjmy z provozu BPS v průměru 24 % celkové produkce v roce 2013. Právě provoz bioplynových stanic významně pozitivně ovlivňuje ekonomické výsledky zemědělských podniků.</w:t>
      </w:r>
    </w:p>
    <w:p w:rsidR="00614A2D" w:rsidRDefault="00614A2D" w:rsidP="00E406EF">
      <w:r>
        <w:t>Velmi vysoké ekonomické úrovně vyjádřené ukazatelem ČPH/AWU bylo možné v roce 2013 dosáhnout jak ve středně velkých podnicích s extenzivním chovem skotu v převážně horských oblastech (zatížení 0,41 DJ/ha krmných plodin) při zapojení do různých agroenvironmentálních programů (ČPH/AWU ve výši 604,2 tis. Kč v roce 2013), tak ve středně velkých podnicích specializovaných na polní výrobu (ČPH/AWU ve výši 826,7 tis. Kč v roce 2013). Větší podniky s převažující polní výrobou navíc dokážou lépe využívat kombinace vyšší specializace na rostlinnou výrobu a úspor z rozsahu výroby.</w:t>
      </w:r>
    </w:p>
    <w:p w:rsidR="00614A2D" w:rsidRDefault="00614A2D" w:rsidP="00E406EF">
      <w:r>
        <w:t>V roce 2013 došlo k relativně nepříznivému vývoji u malých podniků v porovnání se středními a velkými zemědělskými podniky. ČPH/AWU meziročně klesla u malých podniků v převažující polní výrobě, u mléčných farem, v podnicích s převažujícím extenzivním chovem přežvýkavců i ve smíšené rostlinné a živočišné výrobě.</w:t>
      </w:r>
    </w:p>
    <w:p w:rsidR="00614A2D" w:rsidRDefault="00614A2D" w:rsidP="00E406EF">
      <w:r>
        <w:t>Z pohledu investic do zemědělství je možné konstatovat pokračující zlepšování ekonomické situace podniků a výrazný zájem o produktivní a neproduktivní investice do zemědělské výroby. Investiční aktivita byla podpořena jak vyšším objemem vlastních zdrojů financování v důsledku příznivých hospodářských výsledků v zemědělství, tak nabídkou úvěrů ze strany bank a evropských i národních dotačních programů. Na celkovém objemu investic se podílely především investice do modernizace budov, strojů a zařízení. V roce 2013 také podniky v porovnání s předchozími roky zřetelně více investovaly do nákupu vlastní zemědělské půdy.</w:t>
      </w:r>
    </w:p>
    <w:p w:rsidR="00614A2D" w:rsidRPr="005E5A37" w:rsidRDefault="00614A2D" w:rsidP="005E5A37">
      <w:pPr>
        <w:pStyle w:val="Nadpis2"/>
      </w:pPr>
      <w:bookmarkStart w:id="278" w:name="_Toc424307104"/>
      <w:r w:rsidRPr="005E5A37">
        <w:t>10.3</w:t>
      </w:r>
      <w:r w:rsidRPr="005E5A37">
        <w:tab/>
        <w:t>Ekonomické výsledky obor</w:t>
      </w:r>
      <w:r w:rsidR="005E5A37" w:rsidRPr="005E5A37">
        <w:t>ů</w:t>
      </w:r>
      <w:r w:rsidRPr="005E5A37">
        <w:t xml:space="preserve"> zpracovávajících zemědělské suroviny</w:t>
      </w:r>
      <w:bookmarkEnd w:id="278"/>
    </w:p>
    <w:p w:rsidR="00614A2D" w:rsidRPr="00C474BA" w:rsidRDefault="00614A2D" w:rsidP="00614A2D">
      <w:pPr>
        <w:pStyle w:val="Nadpis3"/>
        <w:numPr>
          <w:ilvl w:val="2"/>
          <w:numId w:val="10"/>
        </w:numPr>
        <w:tabs>
          <w:tab w:val="clear" w:pos="567"/>
          <w:tab w:val="clear" w:pos="720"/>
        </w:tabs>
        <w:ind w:left="567" w:hanging="567"/>
        <w:rPr>
          <w:sz w:val="20"/>
        </w:rPr>
      </w:pPr>
      <w:bookmarkStart w:id="279" w:name="_Toc424307105"/>
      <w:r>
        <w:t>10.3.1</w:t>
      </w:r>
      <w:r>
        <w:tab/>
      </w:r>
      <w:r w:rsidRPr="00C474BA">
        <w:t>Ekonomické výsledky potravinářského odvětví a rozhodujících oborů</w:t>
      </w:r>
      <w:bookmarkEnd w:id="279"/>
    </w:p>
    <w:p w:rsidR="00614A2D" w:rsidRPr="00C474BA" w:rsidRDefault="00614A2D" w:rsidP="000B7BEE">
      <w:pPr>
        <w:pStyle w:val="Norm-Bold"/>
      </w:pPr>
      <w:r w:rsidRPr="00C474BA">
        <w:t>Vývoj tržeb, výkonové spotřeby a účetní přidané hodnoty</w:t>
      </w:r>
    </w:p>
    <w:p w:rsidR="00614A2D" w:rsidRPr="00C474BA" w:rsidRDefault="00614A2D" w:rsidP="000B7BEE">
      <w:pPr>
        <w:rPr>
          <w:szCs w:val="24"/>
        </w:rPr>
      </w:pPr>
      <w:r w:rsidRPr="00C474BA">
        <w:rPr>
          <w:szCs w:val="24"/>
        </w:rPr>
        <w:t>V roce 2014 se objem tržeb za prodej vlastních výrobků a služeb (VV a S) za podnikatelské subjekty potravinářského průmyslu</w:t>
      </w:r>
      <w:r w:rsidRPr="00C474BA">
        <w:rPr>
          <w:rStyle w:val="Znakapoznpodarou"/>
          <w:szCs w:val="24"/>
        </w:rPr>
        <w:footnoteReference w:id="181"/>
      </w:r>
      <w:r w:rsidRPr="00C474BA">
        <w:rPr>
          <w:szCs w:val="24"/>
        </w:rPr>
        <w:t xml:space="preserve"> (</w:t>
      </w:r>
      <w:r>
        <w:rPr>
          <w:szCs w:val="24"/>
        </w:rPr>
        <w:t>CZ</w:t>
      </w:r>
      <w:r>
        <w:rPr>
          <w:szCs w:val="24"/>
        </w:rPr>
        <w:noBreakHyphen/>
        <w:t>NACE</w:t>
      </w:r>
      <w:r w:rsidRPr="00C474BA">
        <w:rPr>
          <w:szCs w:val="24"/>
        </w:rPr>
        <w:t xml:space="preserve"> 10+11) meziročně zvýšil o</w:t>
      </w:r>
      <w:r>
        <w:rPr>
          <w:szCs w:val="24"/>
        </w:rPr>
        <w:t> 5,6 </w:t>
      </w:r>
      <w:r w:rsidRPr="00C474BA">
        <w:rPr>
          <w:szCs w:val="24"/>
        </w:rPr>
        <w:t xml:space="preserve">mld. Kč, tj. o 2 %. Ve srovnání s růstem </w:t>
      </w:r>
      <w:r>
        <w:rPr>
          <w:szCs w:val="24"/>
        </w:rPr>
        <w:t xml:space="preserve">o </w:t>
      </w:r>
      <w:r w:rsidRPr="00C474BA">
        <w:rPr>
          <w:szCs w:val="24"/>
        </w:rPr>
        <w:t>1,3 % v roce 201</w:t>
      </w:r>
      <w:r>
        <w:rPr>
          <w:szCs w:val="24"/>
        </w:rPr>
        <w:t>3 byl růst tržeb za prodej VV a </w:t>
      </w:r>
      <w:r w:rsidRPr="00C474BA">
        <w:rPr>
          <w:szCs w:val="24"/>
        </w:rPr>
        <w:t xml:space="preserve">S v roce 2014 </w:t>
      </w:r>
      <w:r>
        <w:rPr>
          <w:szCs w:val="24"/>
        </w:rPr>
        <w:t xml:space="preserve">rychlejší o 0,7 p. b., přičemž </w:t>
      </w:r>
      <w:r w:rsidRPr="00C474BA">
        <w:rPr>
          <w:szCs w:val="24"/>
        </w:rPr>
        <w:t xml:space="preserve">meziroční růst byl vyšší u Výroby nápojů </w:t>
      </w:r>
      <w:r>
        <w:rPr>
          <w:szCs w:val="24"/>
        </w:rPr>
        <w:lastRenderedPageBreak/>
        <w:t>CZ</w:t>
      </w:r>
      <w:r>
        <w:rPr>
          <w:szCs w:val="24"/>
        </w:rPr>
        <w:noBreakHyphen/>
        <w:t>NACE</w:t>
      </w:r>
      <w:r w:rsidRPr="00C474BA">
        <w:rPr>
          <w:szCs w:val="24"/>
        </w:rPr>
        <w:t xml:space="preserve"> 11 (o 3,5 %, tj. o 2 mld. Kč)</w:t>
      </w:r>
      <w:r>
        <w:rPr>
          <w:szCs w:val="24"/>
        </w:rPr>
        <w:t xml:space="preserve"> </w:t>
      </w:r>
      <w:r w:rsidRPr="00C474BA">
        <w:rPr>
          <w:szCs w:val="24"/>
        </w:rPr>
        <w:t xml:space="preserve">než u Výroby potravinářských výrobků </w:t>
      </w:r>
      <w:r>
        <w:rPr>
          <w:szCs w:val="24"/>
        </w:rPr>
        <w:t>CZ</w:t>
      </w:r>
      <w:r>
        <w:rPr>
          <w:szCs w:val="24"/>
        </w:rPr>
        <w:noBreakHyphen/>
        <w:t>NACE</w:t>
      </w:r>
      <w:r w:rsidRPr="00C474BA">
        <w:rPr>
          <w:szCs w:val="24"/>
        </w:rPr>
        <w:t xml:space="preserve"> 1</w:t>
      </w:r>
      <w:r>
        <w:rPr>
          <w:szCs w:val="24"/>
        </w:rPr>
        <w:t>0 (o 1,6 %, tj. o 3,6 mld. Kč).</w:t>
      </w:r>
    </w:p>
    <w:p w:rsidR="00614A2D" w:rsidRPr="00C474BA" w:rsidRDefault="00614A2D" w:rsidP="00DE50A0">
      <w:pPr>
        <w:keepLines/>
        <w:rPr>
          <w:szCs w:val="24"/>
        </w:rPr>
      </w:pPr>
      <w:r w:rsidRPr="00C474BA">
        <w:rPr>
          <w:szCs w:val="24"/>
        </w:rPr>
        <w:t>Objem výkonové spotřeby</w:t>
      </w:r>
      <w:r w:rsidRPr="00C474BA">
        <w:rPr>
          <w:rStyle w:val="Znakapoznpodarou"/>
          <w:szCs w:val="24"/>
        </w:rPr>
        <w:footnoteReference w:id="182"/>
      </w:r>
      <w:r w:rsidRPr="00C474BA">
        <w:rPr>
          <w:szCs w:val="24"/>
        </w:rPr>
        <w:t xml:space="preserve"> se také meziročně zvýšil</w:t>
      </w:r>
      <w:r w:rsidR="00D2688C">
        <w:rPr>
          <w:szCs w:val="24"/>
        </w:rPr>
        <w:t xml:space="preserve">, a to </w:t>
      </w:r>
      <w:r w:rsidRPr="00C474BA">
        <w:rPr>
          <w:szCs w:val="24"/>
        </w:rPr>
        <w:t>u Výroby nápojů (</w:t>
      </w:r>
      <w:r>
        <w:rPr>
          <w:szCs w:val="24"/>
        </w:rPr>
        <w:t>CZ</w:t>
      </w:r>
      <w:r>
        <w:rPr>
          <w:szCs w:val="24"/>
        </w:rPr>
        <w:noBreakHyphen/>
        <w:t>NACE</w:t>
      </w:r>
      <w:r w:rsidRPr="00C474BA">
        <w:rPr>
          <w:szCs w:val="24"/>
        </w:rPr>
        <w:t xml:space="preserve"> 11) o 4,1 % (tj. 1,7 mld. Kč) a o 1 % (tj. o 2 mld. Kč) u Výroby potravinářských výrobků (</w:t>
      </w:r>
      <w:r>
        <w:rPr>
          <w:szCs w:val="24"/>
        </w:rPr>
        <w:t>CZ</w:t>
      </w:r>
      <w:r>
        <w:rPr>
          <w:szCs w:val="24"/>
        </w:rPr>
        <w:noBreakHyphen/>
        <w:t>NACE</w:t>
      </w:r>
      <w:r w:rsidRPr="00C474BA">
        <w:rPr>
          <w:szCs w:val="24"/>
        </w:rPr>
        <w:t xml:space="preserve"> 10). Výkonová spotřeba za Výrobu potravinářských výrobků a nápojů celkem meziročně vzros</w:t>
      </w:r>
      <w:r>
        <w:rPr>
          <w:szCs w:val="24"/>
        </w:rPr>
        <w:t>tla o 1,6 %, tj. o 3,7 mld. Kč.</w:t>
      </w:r>
    </w:p>
    <w:p w:rsidR="00614A2D" w:rsidRPr="00C474BA" w:rsidRDefault="00614A2D" w:rsidP="000B7BEE">
      <w:pPr>
        <w:rPr>
          <w:szCs w:val="24"/>
        </w:rPr>
      </w:pPr>
      <w:r w:rsidRPr="00C474BA">
        <w:rPr>
          <w:szCs w:val="24"/>
        </w:rPr>
        <w:t>Vzhledem k rychlejšímu růstu tržeb z</w:t>
      </w:r>
      <w:r>
        <w:rPr>
          <w:szCs w:val="24"/>
        </w:rPr>
        <w:t>a prodej</w:t>
      </w:r>
      <w:r w:rsidRPr="00C474BA">
        <w:rPr>
          <w:szCs w:val="24"/>
        </w:rPr>
        <w:t xml:space="preserve"> VV a S</w:t>
      </w:r>
      <w:r w:rsidR="00650AC0">
        <w:rPr>
          <w:szCs w:val="24"/>
        </w:rPr>
        <w:t xml:space="preserve"> </w:t>
      </w:r>
      <w:r w:rsidRPr="00C474BA">
        <w:rPr>
          <w:szCs w:val="24"/>
        </w:rPr>
        <w:t>než výkonové spotřeby došlo v roce 2014 také k růstu účetní přidané hodnoty</w:t>
      </w:r>
      <w:r w:rsidRPr="00C474BA">
        <w:rPr>
          <w:rStyle w:val="Znakapoznpodarou"/>
          <w:szCs w:val="24"/>
        </w:rPr>
        <w:footnoteReference w:id="183"/>
      </w:r>
      <w:r w:rsidRPr="00C474BA">
        <w:rPr>
          <w:szCs w:val="24"/>
        </w:rPr>
        <w:t xml:space="preserve"> u </w:t>
      </w:r>
      <w:r>
        <w:rPr>
          <w:szCs w:val="24"/>
        </w:rPr>
        <w:t>CZ</w:t>
      </w:r>
      <w:r>
        <w:rPr>
          <w:szCs w:val="24"/>
        </w:rPr>
        <w:noBreakHyphen/>
        <w:t>NACE</w:t>
      </w:r>
      <w:r w:rsidR="00035336">
        <w:rPr>
          <w:szCs w:val="24"/>
        </w:rPr>
        <w:t xml:space="preserve"> 10+11 o 2 mld. Kč, tj. o 2,9 </w:t>
      </w:r>
      <w:r w:rsidRPr="00C474BA">
        <w:rPr>
          <w:szCs w:val="24"/>
        </w:rPr>
        <w:t xml:space="preserve">% (ve srovnání s rokem 2013, kdy došlo k poklesu účetní přidané hodnoty). U </w:t>
      </w:r>
      <w:r>
        <w:rPr>
          <w:szCs w:val="24"/>
        </w:rPr>
        <w:t>subjektů</w:t>
      </w:r>
      <w:r w:rsidRPr="00C474BA">
        <w:rPr>
          <w:szCs w:val="24"/>
        </w:rPr>
        <w:t xml:space="preserve"> Výroby potravinářských výrobků (</w:t>
      </w:r>
      <w:r>
        <w:rPr>
          <w:szCs w:val="24"/>
        </w:rPr>
        <w:t>CZ</w:t>
      </w:r>
      <w:r>
        <w:rPr>
          <w:szCs w:val="24"/>
        </w:rPr>
        <w:noBreakHyphen/>
        <w:t>NACE</w:t>
      </w:r>
      <w:r w:rsidRPr="00C474BA">
        <w:rPr>
          <w:szCs w:val="24"/>
        </w:rPr>
        <w:t xml:space="preserve"> 10) účetní přidaná hodnota rovněž vzr</w:t>
      </w:r>
      <w:r w:rsidR="00035336">
        <w:rPr>
          <w:szCs w:val="24"/>
        </w:rPr>
        <w:t>ostla o 4 </w:t>
      </w:r>
      <w:r>
        <w:rPr>
          <w:szCs w:val="24"/>
        </w:rPr>
        <w:t>%, tj. o 2 </w:t>
      </w:r>
      <w:r w:rsidRPr="00C474BA">
        <w:rPr>
          <w:szCs w:val="24"/>
        </w:rPr>
        <w:t>mld. Kč a u podnikatelských subjektů Výroby nápojů (</w:t>
      </w:r>
      <w:r>
        <w:rPr>
          <w:szCs w:val="24"/>
        </w:rPr>
        <w:t>CZ</w:t>
      </w:r>
      <w:r>
        <w:rPr>
          <w:szCs w:val="24"/>
        </w:rPr>
        <w:noBreakHyphen/>
        <w:t>NACE</w:t>
      </w:r>
      <w:r w:rsidRPr="00C474BA">
        <w:rPr>
          <w:szCs w:val="24"/>
        </w:rPr>
        <w:t xml:space="preserve"> 11) účetní přidaná hodnota vzrostla </w:t>
      </w:r>
      <w:r>
        <w:rPr>
          <w:szCs w:val="24"/>
        </w:rPr>
        <w:t xml:space="preserve">méně </w:t>
      </w:r>
      <w:r w:rsidRPr="00C474BA">
        <w:rPr>
          <w:szCs w:val="24"/>
        </w:rPr>
        <w:t xml:space="preserve">výrazněji, tj. o 0,1 % (0,02 mld. Kč). Výroba potravinářských výrobků </w:t>
      </w:r>
      <w:r>
        <w:rPr>
          <w:szCs w:val="24"/>
        </w:rPr>
        <w:t>po</w:t>
      </w:r>
      <w:r w:rsidRPr="00C474BA">
        <w:rPr>
          <w:szCs w:val="24"/>
        </w:rPr>
        <w:t xml:space="preserve">dle sledovaných ukazatelů zaujímá větší podíl v potravinářském průmyslu celkem než je Výroba nápojů. </w:t>
      </w:r>
      <w:r>
        <w:rPr>
          <w:szCs w:val="24"/>
        </w:rPr>
        <w:t>Pod</w:t>
      </w:r>
      <w:r w:rsidRPr="00C474BA">
        <w:rPr>
          <w:szCs w:val="24"/>
        </w:rPr>
        <w:t>le v</w:t>
      </w:r>
      <w:r>
        <w:rPr>
          <w:szCs w:val="24"/>
        </w:rPr>
        <w:t>ýše výkonů za rok 2014 zaujímá V</w:t>
      </w:r>
      <w:r w:rsidRPr="00C474BA">
        <w:rPr>
          <w:szCs w:val="24"/>
        </w:rPr>
        <w:t xml:space="preserve">ýroba potravinářských výrobků 80% podíl </w:t>
      </w:r>
      <w:r>
        <w:rPr>
          <w:szCs w:val="24"/>
        </w:rPr>
        <w:t>z</w:t>
      </w:r>
      <w:r w:rsidRPr="00C474BA">
        <w:rPr>
          <w:szCs w:val="24"/>
        </w:rPr>
        <w:t> </w:t>
      </w:r>
      <w:r>
        <w:rPr>
          <w:szCs w:val="24"/>
        </w:rPr>
        <w:t>celkového</w:t>
      </w:r>
      <w:r w:rsidRPr="00C474BA">
        <w:rPr>
          <w:szCs w:val="24"/>
        </w:rPr>
        <w:t xml:space="preserve"> </w:t>
      </w:r>
      <w:r>
        <w:rPr>
          <w:szCs w:val="24"/>
        </w:rPr>
        <w:t>potravinářského průmyslu.</w:t>
      </w:r>
    </w:p>
    <w:p w:rsidR="00614A2D" w:rsidRPr="00C474BA" w:rsidRDefault="00614A2D" w:rsidP="000B7BEE">
      <w:pPr>
        <w:rPr>
          <w:szCs w:val="24"/>
        </w:rPr>
      </w:pPr>
      <w:r>
        <w:rPr>
          <w:szCs w:val="24"/>
        </w:rPr>
        <w:t>Počet</w:t>
      </w:r>
      <w:r w:rsidRPr="00C474BA">
        <w:rPr>
          <w:szCs w:val="24"/>
        </w:rPr>
        <w:t xml:space="preserve"> zaměstnanců ve Výrobě potravinářských výrobků a Výrobě nápojů meziročně klesl o 0,4 % (ve srovnání s meziročním poklesem v roce 2</w:t>
      </w:r>
      <w:r>
        <w:rPr>
          <w:szCs w:val="24"/>
        </w:rPr>
        <w:t xml:space="preserve">013 byl tento pokles o 1,8 p. b. </w:t>
      </w:r>
      <w:r w:rsidRPr="00C474BA">
        <w:rPr>
          <w:szCs w:val="24"/>
        </w:rPr>
        <w:t xml:space="preserve">mírnější). </w:t>
      </w:r>
      <w:r>
        <w:rPr>
          <w:szCs w:val="24"/>
        </w:rPr>
        <w:t>T</w:t>
      </w:r>
      <w:r w:rsidRPr="00C474BA">
        <w:rPr>
          <w:szCs w:val="24"/>
        </w:rPr>
        <w:t xml:space="preserve">ržby za prodej VV a S za </w:t>
      </w:r>
      <w:r>
        <w:rPr>
          <w:szCs w:val="24"/>
        </w:rPr>
        <w:t>CZ</w:t>
      </w:r>
      <w:r>
        <w:rPr>
          <w:szCs w:val="24"/>
        </w:rPr>
        <w:noBreakHyphen/>
        <w:t>NACE</w:t>
      </w:r>
      <w:r w:rsidRPr="00C474BA">
        <w:rPr>
          <w:szCs w:val="24"/>
        </w:rPr>
        <w:t xml:space="preserve"> 10+11 připadající na jednoho zaměstnance </w:t>
      </w:r>
      <w:r>
        <w:rPr>
          <w:szCs w:val="24"/>
        </w:rPr>
        <w:t xml:space="preserve">se tak </w:t>
      </w:r>
      <w:r w:rsidRPr="00C474BA">
        <w:rPr>
          <w:szCs w:val="24"/>
        </w:rPr>
        <w:t>meziročně zvýšily o 2,3 %, stejně tak jako se zvýšila účetní přidaná hodnota na zaměstnance o 3,3 % a výkony na zaměstnance o 2,3 %. Z pohledu klíčových ekonomických ukazatelů se ekonomická sit</w:t>
      </w:r>
      <w:r w:rsidRPr="00650AC0">
        <w:rPr>
          <w:szCs w:val="24"/>
        </w:rPr>
        <w:t xml:space="preserve">uace subjektů potravinářského průmyslu zlepšila. Směr vývoje ukazatelů Výroby potravinářských výrobků a Výroby nápojů celkem je </w:t>
      </w:r>
      <w:r w:rsidR="00650AC0" w:rsidRPr="00650AC0">
        <w:rPr>
          <w:szCs w:val="24"/>
        </w:rPr>
        <w:t>společně s poklesem</w:t>
      </w:r>
      <w:r w:rsidRPr="00650AC0">
        <w:rPr>
          <w:szCs w:val="24"/>
        </w:rPr>
        <w:t xml:space="preserve"> počtu zaměstnanců</w:t>
      </w:r>
      <w:r w:rsidR="00650AC0" w:rsidRPr="00650AC0">
        <w:rPr>
          <w:szCs w:val="24"/>
        </w:rPr>
        <w:t xml:space="preserve"> pozitivní.</w:t>
      </w:r>
    </w:p>
    <w:p w:rsidR="00614A2D" w:rsidRDefault="00614A2D" w:rsidP="000B7BEE">
      <w:pPr>
        <w:pStyle w:val="Norm-Bold"/>
      </w:pPr>
      <w:r w:rsidRPr="00C474BA">
        <w:t>Vývoj hrubého operačního přebytku, hrubého operačního přebytku na zaměstnance, osobních nákladů a aktivace</w:t>
      </w:r>
    </w:p>
    <w:p w:rsidR="00614A2D" w:rsidRPr="000052ED" w:rsidRDefault="00614A2D" w:rsidP="000B7BEE">
      <w:r>
        <w:t xml:space="preserve">V </w:t>
      </w:r>
      <w:r w:rsidRPr="00C474BA">
        <w:t xml:space="preserve">tab. T10.3/01 je </w:t>
      </w:r>
      <w:r>
        <w:t xml:space="preserve">uveden </w:t>
      </w:r>
      <w:r w:rsidRPr="00C474BA">
        <w:t xml:space="preserve">vývoj výkonnosti podnikatelských subjektů </w:t>
      </w:r>
      <w:r w:rsidRPr="00C474BA">
        <w:rPr>
          <w:szCs w:val="24"/>
        </w:rPr>
        <w:t xml:space="preserve">Výroby potravinářských výrobků </w:t>
      </w:r>
      <w:r>
        <w:rPr>
          <w:szCs w:val="24"/>
        </w:rPr>
        <w:t>CZ</w:t>
      </w:r>
      <w:r>
        <w:rPr>
          <w:szCs w:val="24"/>
        </w:rPr>
        <w:noBreakHyphen/>
        <w:t>NACE</w:t>
      </w:r>
      <w:r w:rsidRPr="00C474BA">
        <w:t xml:space="preserve"> 10, </w:t>
      </w:r>
      <w:r w:rsidRPr="00C474BA">
        <w:rPr>
          <w:szCs w:val="24"/>
        </w:rPr>
        <w:t>Výroby nápojů</w:t>
      </w:r>
      <w:r w:rsidRPr="00C474BA">
        <w:t xml:space="preserve"> </w:t>
      </w:r>
      <w:r>
        <w:t>CZ</w:t>
      </w:r>
      <w:r>
        <w:noBreakHyphen/>
        <w:t>NACE 11 a</w:t>
      </w:r>
      <w:r w:rsidR="00035336">
        <w:t xml:space="preserve"> </w:t>
      </w:r>
      <w:r w:rsidRPr="00C474BA">
        <w:rPr>
          <w:szCs w:val="24"/>
        </w:rPr>
        <w:t xml:space="preserve">Výroby potravinářských výrobků a výroby nápojů celkem </w:t>
      </w:r>
      <w:r>
        <w:rPr>
          <w:szCs w:val="24"/>
        </w:rPr>
        <w:t>CZ</w:t>
      </w:r>
      <w:r>
        <w:rPr>
          <w:szCs w:val="24"/>
        </w:rPr>
        <w:noBreakHyphen/>
        <w:t>NACE</w:t>
      </w:r>
      <w:r w:rsidRPr="00C474BA">
        <w:t xml:space="preserve"> 10+11 za celý soubor </w:t>
      </w:r>
      <w:r>
        <w:t>právnických osob</w:t>
      </w:r>
      <w:r w:rsidRPr="00C474BA">
        <w:t xml:space="preserve"> všech velikostních kategorií.</w:t>
      </w:r>
    </w:p>
    <w:p w:rsidR="00614A2D" w:rsidRPr="00C474BA" w:rsidRDefault="00614A2D" w:rsidP="000B7BEE">
      <w:r w:rsidRPr="00C474BA">
        <w:t>V roce 2014 došlo k podstatně mírnějšímu poklesu počtu zaměstnanců Výroby potravinářských výrobků a nápojů celkem (o 0,4 %</w:t>
      </w:r>
      <w:r>
        <w:t>, tj. o 385 osob</w:t>
      </w:r>
      <w:r w:rsidRPr="00C474BA">
        <w:t xml:space="preserve">) než v roce 2013. </w:t>
      </w:r>
      <w:r w:rsidRPr="00C474BA">
        <w:lastRenderedPageBreak/>
        <w:t>Průměrný evidenční počet zaměstnanců Výroby potravinářských</w:t>
      </w:r>
      <w:r>
        <w:t xml:space="preserve"> výrobků se snížil o 0,3 %, tj. </w:t>
      </w:r>
      <w:r w:rsidRPr="00C474BA">
        <w:t>o 224 zaměstnanců, počet zaměstnanců Výroby nápojů se snížil o 1,2 %, tj. o 161</w:t>
      </w:r>
      <w:r>
        <w:t xml:space="preserve"> osob.</w:t>
      </w:r>
    </w:p>
    <w:p w:rsidR="00614A2D" w:rsidRPr="00C474BA" w:rsidRDefault="00614A2D" w:rsidP="000B7BEE">
      <w:r w:rsidRPr="00C474BA">
        <w:t>Celkově objem osobních nákladů</w:t>
      </w:r>
      <w:r w:rsidRPr="00C474BA">
        <w:rPr>
          <w:rStyle w:val="Znakapoznpodarou"/>
        </w:rPr>
        <w:footnoteReference w:id="184"/>
      </w:r>
      <w:r w:rsidRPr="00C474BA">
        <w:t xml:space="preserve"> meziročně vzrostl o 3,3 %. Zatímco u Výroby potravinářských výrobků (</w:t>
      </w:r>
      <w:r>
        <w:t>CZ</w:t>
      </w:r>
      <w:r>
        <w:noBreakHyphen/>
        <w:t>NACE</w:t>
      </w:r>
      <w:r w:rsidRPr="00C474BA">
        <w:t xml:space="preserve"> 10) došlo k jejich růstu o 905 mil. Kč</w:t>
      </w:r>
      <w:r>
        <w:t xml:space="preserve"> (tj. o 3,2 %), u </w:t>
      </w:r>
      <w:r w:rsidRPr="00C474BA">
        <w:t>Výroby nápojů (</w:t>
      </w:r>
      <w:r>
        <w:t>CZ</w:t>
      </w:r>
      <w:r>
        <w:noBreakHyphen/>
        <w:t>NACE</w:t>
      </w:r>
      <w:r w:rsidRPr="00C474BA">
        <w:t xml:space="preserve"> 11) o 254 mil. Kč</w:t>
      </w:r>
      <w:r>
        <w:t xml:space="preserve"> (o 3,8 %).</w:t>
      </w:r>
    </w:p>
    <w:p w:rsidR="00614A2D" w:rsidRPr="00C474BA" w:rsidRDefault="00614A2D" w:rsidP="000B7BEE">
      <w:r w:rsidRPr="00C474BA">
        <w:t xml:space="preserve">V kombinaci se stagnací účetní přidané hodnoty u </w:t>
      </w:r>
      <w:r>
        <w:t>právnických osob</w:t>
      </w:r>
      <w:r w:rsidRPr="00C474BA">
        <w:t xml:space="preserve"> Výro</w:t>
      </w:r>
      <w:r>
        <w:t>by nápojů a </w:t>
      </w:r>
      <w:r w:rsidRPr="00C474BA">
        <w:t>rostoucími osobními náklady došlo ke snížení hrubého operačního přebytku</w:t>
      </w:r>
      <w:r w:rsidRPr="00C474BA">
        <w:rPr>
          <w:rStyle w:val="Znakapoznpodarou"/>
        </w:rPr>
        <w:footnoteReference w:id="185"/>
      </w:r>
      <w:r w:rsidRPr="00C474BA">
        <w:t xml:space="preserve"> těchto </w:t>
      </w:r>
      <w:r>
        <w:t>subjektů</w:t>
      </w:r>
      <w:r w:rsidRPr="00C474BA">
        <w:t xml:space="preserve"> o 1,8 %. </w:t>
      </w:r>
      <w:r>
        <w:t>U </w:t>
      </w:r>
      <w:r w:rsidRPr="00C474BA">
        <w:t xml:space="preserve">Výroby potravinářských výrobků došlo k viditelnějšímu růstu účetní přidané hodnoty </w:t>
      </w:r>
      <w:r w:rsidR="005A7E56">
        <w:t>než</w:t>
      </w:r>
      <w:r w:rsidRPr="00C474BA">
        <w:t xml:space="preserve"> osobních nákladů, proto se hrubý operační přebytek me</w:t>
      </w:r>
      <w:r>
        <w:t>ziročně zvýšil o </w:t>
      </w:r>
      <w:r w:rsidR="00650AC0">
        <w:t>5 </w:t>
      </w:r>
      <w:r w:rsidRPr="00C474BA">
        <w:t>%, tj. o 1 mld. Kč. Za Výrobu potravinářských výrobků a nápojů celkem došlo k nárůstu hrubého operačního přeby</w:t>
      </w:r>
      <w:r>
        <w:t>tku o 2,5 %, tj. o 868 mil. Kč.</w:t>
      </w:r>
    </w:p>
    <w:p w:rsidR="00614A2D" w:rsidRPr="00C474BA" w:rsidRDefault="00614A2D" w:rsidP="000B7BEE">
      <w:r w:rsidRPr="00C474BA">
        <w:t>Při přepočtu hrubého operačního přebytku na zaměstnance došlo ke</w:t>
      </w:r>
      <w:r>
        <w:t xml:space="preserve"> zvýšení tohoto indikátoru o 2,</w:t>
      </w:r>
      <w:r w:rsidRPr="00C474BA">
        <w:t>9 % za Výrobu potravinářských výrobků a náp</w:t>
      </w:r>
      <w:r>
        <w:t>ojů celkem, rovněž ke zvýšení o </w:t>
      </w:r>
      <w:r w:rsidRPr="00C474BA">
        <w:t>5,2 % u Výroby potravinářských výrobků a k mírnému s</w:t>
      </w:r>
      <w:r>
        <w:t>nížení o 0,6 % u Výroby nápojů.</w:t>
      </w:r>
    </w:p>
    <w:p w:rsidR="00614A2D" w:rsidRDefault="00614A2D" w:rsidP="000B7BEE">
      <w:r w:rsidRPr="00C474BA">
        <w:t>Aktivace, tj. hodnota vyrobeného materiálu a zboží ve vlastní režii, vnitropodnikových služeb a nehmotného a hmotného investičního majetku v</w:t>
      </w:r>
      <w:r>
        <w:t>yrobeného ve vlastní režii se u </w:t>
      </w:r>
      <w:r w:rsidRPr="00C474BA">
        <w:t>výroby potravinářských výrobků a výroby nápojů celkem (</w:t>
      </w:r>
      <w:r>
        <w:t>CZ</w:t>
      </w:r>
      <w:r>
        <w:noBreakHyphen/>
        <w:t>NACE</w:t>
      </w:r>
      <w:r w:rsidRPr="00C474BA">
        <w:t xml:space="preserve"> 10+11) meziročně zvýšila o 4,8 %, výrazněji se zvýšila u Výroby potravinářských výrobků (</w:t>
      </w:r>
      <w:r>
        <w:t>CZ</w:t>
      </w:r>
      <w:r>
        <w:noBreakHyphen/>
        <w:t>NACE</w:t>
      </w:r>
      <w:r w:rsidRPr="00C474BA">
        <w:t xml:space="preserve"> 10), a to o 5,6 % na 4,4 mld. Kč. U Výroby nápojů (</w:t>
      </w:r>
      <w:r>
        <w:t>CZ</w:t>
      </w:r>
      <w:r>
        <w:noBreakHyphen/>
        <w:t>NACE</w:t>
      </w:r>
      <w:r w:rsidRPr="00C474BA">
        <w:t xml:space="preserve"> 11) došlo k jejímu poklesu o 3,1 % na hodnotu </w:t>
      </w:r>
      <w:r w:rsidR="00650AC0">
        <w:t>0,</w:t>
      </w:r>
      <w:r w:rsidRPr="00C474BA">
        <w:t>43</w:t>
      </w:r>
      <w:r w:rsidR="00650AC0">
        <w:t xml:space="preserve"> m</w:t>
      </w:r>
      <w:r w:rsidRPr="00C474BA">
        <w:t>l</w:t>
      </w:r>
      <w:r w:rsidR="00650AC0">
        <w:t>d</w:t>
      </w:r>
      <w:r w:rsidRPr="00C474BA">
        <w:t>. Kč. Zvýšení hodnoty aktivace přispívá k celkovému zvýšení v</w:t>
      </w:r>
      <w:r>
        <w:t>ýkonů potravinářského průmyslu.</w:t>
      </w:r>
    </w:p>
    <w:p w:rsidR="00614A2D" w:rsidRPr="00580FE7" w:rsidRDefault="00614A2D" w:rsidP="000B7BEE">
      <w:pPr>
        <w:pStyle w:val="mezera"/>
        <w:rPr>
          <w:lang w:val="x-none" w:eastAsia="x-none"/>
        </w:rPr>
      </w:pPr>
    </w:p>
    <w:p w:rsidR="00614A2D" w:rsidRPr="00580FE7" w:rsidRDefault="005E1AB1" w:rsidP="000B7BEE">
      <w:pPr>
        <w:pStyle w:val="mezera"/>
        <w:rPr>
          <w:lang w:val="x-none" w:eastAsia="x-none"/>
        </w:rPr>
      </w:pPr>
      <w:r w:rsidRPr="005E1AB1">
        <w:rPr>
          <w:noProof/>
          <w:lang w:eastAsia="cs-CZ"/>
        </w:rPr>
        <w:lastRenderedPageBreak/>
        <w:drawing>
          <wp:inline distT="0" distB="0" distL="0" distR="0" wp14:anchorId="714E2449" wp14:editId="5DD2FB34">
            <wp:extent cx="5760720" cy="3493807"/>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60720" cy="3493807"/>
                    </a:xfrm>
                    <a:prstGeom prst="rect">
                      <a:avLst/>
                    </a:prstGeom>
                    <a:noFill/>
                    <a:ln>
                      <a:noFill/>
                    </a:ln>
                  </pic:spPr>
                </pic:pic>
              </a:graphicData>
            </a:graphic>
          </wp:inline>
        </w:drawing>
      </w:r>
    </w:p>
    <w:p w:rsidR="00614A2D" w:rsidRPr="00C474BA" w:rsidRDefault="00614A2D" w:rsidP="000B7BEE">
      <w:pPr>
        <w:pStyle w:val="mezera"/>
      </w:pPr>
    </w:p>
    <w:p w:rsidR="00614A2D" w:rsidRPr="00C474BA" w:rsidRDefault="00614A2D" w:rsidP="000B7BEE">
      <w:pPr>
        <w:pStyle w:val="Norm-Bold"/>
      </w:pPr>
      <w:r w:rsidRPr="00C474BA">
        <w:t xml:space="preserve">Vývoj </w:t>
      </w:r>
      <w:r>
        <w:t>hlavních ekonomických ukazatelů</w:t>
      </w:r>
      <w:r w:rsidRPr="00C474BA">
        <w:t xml:space="preserve"> podle oborů</w:t>
      </w:r>
      <w:r>
        <w:t xml:space="preserve"> Výroby potravinářských výrobků</w:t>
      </w:r>
      <w:r w:rsidRPr="00C474BA">
        <w:rPr>
          <w:rStyle w:val="Znakapoznpodarou"/>
          <w:b w:val="0"/>
          <w:bCs/>
        </w:rPr>
        <w:footnoteReference w:id="186"/>
      </w:r>
    </w:p>
    <w:p w:rsidR="00614A2D" w:rsidRPr="00B6188A" w:rsidRDefault="00614A2D" w:rsidP="000B7BEE">
      <w:r w:rsidRPr="00B6188A">
        <w:t>Vývoj tržeb za prodej VV a S, účetní přidané hodnoty na zaměstnance a výkonů na zaměstnance a výkonové spotřeby na zaměstnance podle jednotlivých oborů (u</w:t>
      </w:r>
      <w:r>
        <w:t> </w:t>
      </w:r>
      <w:r w:rsidRPr="00B6188A">
        <w:t xml:space="preserve">podnikatelských subjektů Výroby potravinářských </w:t>
      </w:r>
      <w:r>
        <w:t>výrobků s </w:t>
      </w:r>
      <w:r w:rsidRPr="00B6188A">
        <w:t>50 a více pracovníky) uvádí tab. T10.3/02. Vývoj hrubého operačního přebytku, hrubého operačního přebytku na zaměstnance a osobních nákladů je zachycen v tab. T10.3/03.</w:t>
      </w:r>
    </w:p>
    <w:p w:rsidR="00614A2D" w:rsidRPr="00C474BA" w:rsidRDefault="00614A2D" w:rsidP="000B7BEE">
      <w:pPr>
        <w:rPr>
          <w:szCs w:val="24"/>
        </w:rPr>
      </w:pPr>
      <w:r w:rsidRPr="00C474BA">
        <w:rPr>
          <w:szCs w:val="24"/>
        </w:rPr>
        <w:t>Meziroční vývoj jednotlivých vybraných ukazatelů, tj. tržeb za prodej VV a S, účetní přidané hodnoty, výkonů na zaměstnance, hrubého operačního přebytku, hrubého operačního přebytku na zaměstnance a osobních nákladů je v rámci struktury Výroby potravinářských výrobků u podnikatelských subjektů s 50 a více zaměstnanci</w:t>
      </w:r>
      <w:r w:rsidRPr="00C474BA">
        <w:rPr>
          <w:rStyle w:val="Znakapoznpodarou"/>
          <w:szCs w:val="24"/>
        </w:rPr>
        <w:footnoteReference w:id="187"/>
      </w:r>
      <w:r w:rsidRPr="00C474BA">
        <w:rPr>
          <w:i/>
          <w:iCs/>
          <w:szCs w:val="24"/>
        </w:rPr>
        <w:t xml:space="preserve"> </w:t>
      </w:r>
      <w:r w:rsidRPr="00C474BA">
        <w:rPr>
          <w:szCs w:val="24"/>
        </w:rPr>
        <w:t xml:space="preserve">oborově </w:t>
      </w:r>
      <w:r>
        <w:rPr>
          <w:szCs w:val="24"/>
        </w:rPr>
        <w:t>značně rozdílný.</w:t>
      </w:r>
    </w:p>
    <w:p w:rsidR="006665A6" w:rsidRDefault="006665A6" w:rsidP="006665A6">
      <w:r>
        <w:t xml:space="preserve">Oborem s největším meziročním růstem ukazatele tržby za prodej VV a S souhrnně za Výrobu potravinářských výrobků je Zpracování a konzervování ovoce a zeleniny </w:t>
      </w:r>
      <w:r>
        <w:lastRenderedPageBreak/>
        <w:t>(CZ</w:t>
      </w:r>
      <w:r>
        <w:noBreakHyphen/>
        <w:t>NACE 10.3) o 21,6 %. Nejvíce se meziročně snížil tento ukazatel u Výroby rostlinných a živočišných olejů a tuků (CZ</w:t>
      </w:r>
      <w:r>
        <w:noBreakHyphen/>
        <w:t>NACE 10.4), tj. o 4,6 %.</w:t>
      </w:r>
    </w:p>
    <w:p w:rsidR="006665A6" w:rsidRDefault="006665A6" w:rsidP="006665A6">
      <w:r>
        <w:t>Nejvyšší růst ukazatele účetní přidané hodnoty na zaměstnance, který vyjadřuje produktivitu práce, byl ve Výrobě rostlinných a živočišných olejů a tuků (CZ</w:t>
      </w:r>
      <w:r>
        <w:noBreakHyphen/>
        <w:t>NACE 10.4), tj. o 37,4 %. Naopak nejvyšší meziroční snížení tohoto ukazatele bylo u oboru Zpracování a konzervování ryb, korýšů a měkkýšů o 0,8 %.</w:t>
      </w:r>
    </w:p>
    <w:p w:rsidR="00650AC0" w:rsidRDefault="00650AC0" w:rsidP="000B7BEE">
      <w:r w:rsidRPr="006665A6">
        <w:t>K poklesu počtu zaměstnanců došlo rovněž v oboru CZ</w:t>
      </w:r>
      <w:r w:rsidRPr="006665A6">
        <w:noBreakHyphen/>
        <w:t>NACE 10.1 a mírnému poklesu u CZ</w:t>
      </w:r>
      <w:r w:rsidRPr="006665A6">
        <w:noBreakHyphen/>
        <w:t>NACE 10.7 Výroba pekařských, cukrářských a jiných moučných výrobků. U ostatních oborů počty zaměstnanců rostly.</w:t>
      </w:r>
    </w:p>
    <w:p w:rsidR="00614A2D" w:rsidRPr="00C474BA" w:rsidRDefault="00614A2D" w:rsidP="000B7BEE">
      <w:pPr>
        <w:rPr>
          <w:szCs w:val="24"/>
        </w:rPr>
      </w:pPr>
      <w:r w:rsidRPr="00C474BA">
        <w:rPr>
          <w:b/>
          <w:bCs/>
          <w:szCs w:val="24"/>
        </w:rPr>
        <w:t>Zpracování a konzervování masa a masných výrobků (</w:t>
      </w:r>
      <w:r>
        <w:rPr>
          <w:b/>
          <w:bCs/>
          <w:szCs w:val="24"/>
        </w:rPr>
        <w:t>CZ</w:t>
      </w:r>
      <w:r>
        <w:rPr>
          <w:b/>
          <w:bCs/>
          <w:szCs w:val="24"/>
        </w:rPr>
        <w:noBreakHyphen/>
        <w:t>NACE</w:t>
      </w:r>
      <w:r w:rsidRPr="00C474BA">
        <w:rPr>
          <w:b/>
          <w:bCs/>
          <w:szCs w:val="24"/>
        </w:rPr>
        <w:t xml:space="preserve"> 10.1)</w:t>
      </w:r>
      <w:r>
        <w:rPr>
          <w:szCs w:val="24"/>
        </w:rPr>
        <w:t xml:space="preserve"> patří k </w:t>
      </w:r>
      <w:r w:rsidRPr="00C474BA">
        <w:rPr>
          <w:szCs w:val="24"/>
        </w:rPr>
        <w:t>nosným oborům Výroby potravinářských výrobků vzhledem k svému podílu na tržbách za prodej VV a S (21,4</w:t>
      </w:r>
      <w:r>
        <w:rPr>
          <w:szCs w:val="24"/>
        </w:rPr>
        <w:t xml:space="preserve"> </w:t>
      </w:r>
      <w:r w:rsidRPr="00C474BA">
        <w:rPr>
          <w:szCs w:val="24"/>
        </w:rPr>
        <w:t xml:space="preserve">% z </w:t>
      </w:r>
      <w:r>
        <w:rPr>
          <w:szCs w:val="24"/>
        </w:rPr>
        <w:t>CZ</w:t>
      </w:r>
      <w:r>
        <w:rPr>
          <w:szCs w:val="24"/>
        </w:rPr>
        <w:noBreakHyphen/>
        <w:t>NACE</w:t>
      </w:r>
      <w:r w:rsidRPr="00C474BA">
        <w:rPr>
          <w:szCs w:val="24"/>
        </w:rPr>
        <w:t xml:space="preserve"> 10 celkem). Obor zaujímá druhé místo z pohledu zaměstnanosti s celkovým počtem 15 868 pracovníků (</w:t>
      </w:r>
      <w:r>
        <w:rPr>
          <w:szCs w:val="24"/>
        </w:rPr>
        <w:t xml:space="preserve">což činí </w:t>
      </w:r>
      <w:r w:rsidRPr="00C474BA">
        <w:rPr>
          <w:szCs w:val="24"/>
        </w:rPr>
        <w:t xml:space="preserve">25 % z celkového počtu zaměstnanců ve Výrobě potravinářských výrobků v roce 2014). Meziroční růst účetní přidané hodnoty na zaměstnance v oboru o 23 % (druhý nejvyšší meziroční růst v rámci oborů) </w:t>
      </w:r>
      <w:r>
        <w:rPr>
          <w:szCs w:val="24"/>
        </w:rPr>
        <w:t>a </w:t>
      </w:r>
      <w:r w:rsidRPr="00C474BA">
        <w:rPr>
          <w:szCs w:val="24"/>
        </w:rPr>
        <w:t>pouze mírný nárůst osobních nákladů, přispěl</w:t>
      </w:r>
      <w:r>
        <w:rPr>
          <w:szCs w:val="24"/>
        </w:rPr>
        <w:t>y</w:t>
      </w:r>
      <w:r w:rsidRPr="00C474BA">
        <w:rPr>
          <w:szCs w:val="24"/>
        </w:rPr>
        <w:t xml:space="preserve"> k růstu hru</w:t>
      </w:r>
      <w:r>
        <w:rPr>
          <w:szCs w:val="24"/>
        </w:rPr>
        <w:t>bého operačního přebytku o 82,5 </w:t>
      </w:r>
      <w:r w:rsidRPr="00C474BA">
        <w:rPr>
          <w:szCs w:val="24"/>
        </w:rPr>
        <w:t>%. K druhé nejvyšší účetní přidané hodnotě v rámci oborů přispěl pokles počtu z</w:t>
      </w:r>
      <w:r>
        <w:rPr>
          <w:szCs w:val="24"/>
        </w:rPr>
        <w:t xml:space="preserve">aměstnanců </w:t>
      </w:r>
      <w:r w:rsidRPr="00C474BA">
        <w:rPr>
          <w:szCs w:val="24"/>
        </w:rPr>
        <w:t>(o 265 osob) a pokles výkonové spotřeby o 1,5 %. Sledované ukazatele mají rostoucí tendenci mimo výkonové spotřeby na zaměstnan</w:t>
      </w:r>
      <w:r>
        <w:rPr>
          <w:szCs w:val="24"/>
        </w:rPr>
        <w:t xml:space="preserve">ce, která mírně klesla o 1,5 %, </w:t>
      </w:r>
      <w:r w:rsidRPr="00C474BA">
        <w:rPr>
          <w:szCs w:val="24"/>
        </w:rPr>
        <w:t xml:space="preserve">přispěla </w:t>
      </w:r>
      <w:r>
        <w:rPr>
          <w:szCs w:val="24"/>
        </w:rPr>
        <w:t xml:space="preserve">tak </w:t>
      </w:r>
      <w:r w:rsidRPr="00C474BA">
        <w:rPr>
          <w:szCs w:val="24"/>
        </w:rPr>
        <w:t>ke zlepšení výsledků oboru. Tento obor je na třetí pozici</w:t>
      </w:r>
      <w:r>
        <w:rPr>
          <w:szCs w:val="24"/>
        </w:rPr>
        <w:t>, pokud jde o nejnižší měsíční mzdy oborů v roce 2014.</w:t>
      </w:r>
    </w:p>
    <w:p w:rsidR="00614A2D" w:rsidRPr="00C474BA" w:rsidRDefault="00614A2D" w:rsidP="000B7BEE">
      <w:pPr>
        <w:rPr>
          <w:szCs w:val="24"/>
        </w:rPr>
      </w:pPr>
      <w:r w:rsidRPr="00C474BA">
        <w:rPr>
          <w:b/>
          <w:bCs/>
        </w:rPr>
        <w:t>Zpracování a konzervování ryb, korýšů a měkkýšů (</w:t>
      </w:r>
      <w:r>
        <w:rPr>
          <w:b/>
          <w:bCs/>
        </w:rPr>
        <w:t>CZ</w:t>
      </w:r>
      <w:r>
        <w:rPr>
          <w:b/>
          <w:bCs/>
        </w:rPr>
        <w:noBreakHyphen/>
        <w:t>NACE</w:t>
      </w:r>
      <w:r w:rsidRPr="00C474BA">
        <w:rPr>
          <w:b/>
          <w:bCs/>
        </w:rPr>
        <w:t xml:space="preserve"> 10.2) </w:t>
      </w:r>
      <w:r w:rsidRPr="00C474BA">
        <w:rPr>
          <w:bCs/>
        </w:rPr>
        <w:t xml:space="preserve">představuje obor s nejnižším podílem na </w:t>
      </w:r>
      <w:r w:rsidRPr="00C474BA">
        <w:rPr>
          <w:szCs w:val="24"/>
        </w:rPr>
        <w:t>tržbách za prodej VV a S</w:t>
      </w:r>
      <w:r>
        <w:rPr>
          <w:szCs w:val="24"/>
        </w:rPr>
        <w:t xml:space="preserve"> v CZ</w:t>
      </w:r>
      <w:r>
        <w:rPr>
          <w:szCs w:val="24"/>
        </w:rPr>
        <w:noBreakHyphen/>
        <w:t>NACE 10 (0,9 %). Rovněž i </w:t>
      </w:r>
      <w:r w:rsidRPr="00C474BA">
        <w:rPr>
          <w:szCs w:val="24"/>
        </w:rPr>
        <w:t xml:space="preserve">podle nejnižšího počtu zaměstnanců (0,9 % z celkových zaměstnanců </w:t>
      </w:r>
      <w:r>
        <w:rPr>
          <w:szCs w:val="24"/>
        </w:rPr>
        <w:t>CZ</w:t>
      </w:r>
      <w:r>
        <w:rPr>
          <w:szCs w:val="24"/>
        </w:rPr>
        <w:noBreakHyphen/>
        <w:t>NACE</w:t>
      </w:r>
      <w:r w:rsidRPr="00C474BA">
        <w:rPr>
          <w:szCs w:val="24"/>
        </w:rPr>
        <w:t xml:space="preserve"> 10) představuje nejmenší obor. Hrubý operační přebytek celkem vykazuje stagnaci, při jeho přepočtu na zaměstnance došlo však k poklesu o 4,8 %</w:t>
      </w:r>
      <w:r w:rsidR="00C86BB2">
        <w:rPr>
          <w:szCs w:val="24"/>
        </w:rPr>
        <w:t xml:space="preserve">, a to </w:t>
      </w:r>
      <w:r w:rsidRPr="00C474BA">
        <w:rPr>
          <w:szCs w:val="24"/>
        </w:rPr>
        <w:t xml:space="preserve">v důsledku rostoucího počtu zaměstnanců v oboru o 5,8 % a tedy rostoucím osobním nákladům o 7,6 % a snížení účetní přidané hodnoty na zaměstnance o 0,8 %. Ta se snížila kvůli nárůstu výkonové spotřeby oboru o 2,8 %. </w:t>
      </w:r>
      <w:r w:rsidRPr="00C474BA">
        <w:t xml:space="preserve">Hodnoty u všech ukazatelů oboru </w:t>
      </w:r>
      <w:r>
        <w:t>CZ</w:t>
      </w:r>
      <w:r>
        <w:noBreakHyphen/>
        <w:t>NACE</w:t>
      </w:r>
      <w:r w:rsidRPr="00C474BA">
        <w:rPr>
          <w:bCs/>
        </w:rPr>
        <w:t xml:space="preserve"> 10.2</w:t>
      </w:r>
      <w:r w:rsidRPr="00C474BA">
        <w:rPr>
          <w:b/>
          <w:bCs/>
        </w:rPr>
        <w:t xml:space="preserve"> </w:t>
      </w:r>
      <w:r w:rsidRPr="00C474BA">
        <w:t>dlouhodobě patří v rámci potravinářství mezi jedny z nejnižších.</w:t>
      </w:r>
    </w:p>
    <w:p w:rsidR="00614A2D" w:rsidRPr="00C474BA" w:rsidRDefault="00614A2D" w:rsidP="000B7BEE">
      <w:pPr>
        <w:rPr>
          <w:bCs/>
        </w:rPr>
      </w:pPr>
      <w:r w:rsidRPr="00C474BA">
        <w:t xml:space="preserve">Obor </w:t>
      </w:r>
      <w:r w:rsidRPr="00C474BA">
        <w:rPr>
          <w:b/>
          <w:bCs/>
        </w:rPr>
        <w:t xml:space="preserve">Zpracování a konzervování ovoce a zeleniny </w:t>
      </w:r>
      <w:r>
        <w:rPr>
          <w:b/>
          <w:bCs/>
        </w:rPr>
        <w:t>(CZ</w:t>
      </w:r>
      <w:r>
        <w:rPr>
          <w:b/>
          <w:bCs/>
        </w:rPr>
        <w:noBreakHyphen/>
        <w:t>NACE</w:t>
      </w:r>
      <w:r w:rsidRPr="00C474BA">
        <w:rPr>
          <w:b/>
          <w:bCs/>
        </w:rPr>
        <w:t xml:space="preserve"> 10.3</w:t>
      </w:r>
      <w:r>
        <w:rPr>
          <w:b/>
          <w:bCs/>
        </w:rPr>
        <w:t>)</w:t>
      </w:r>
      <w:r w:rsidRPr="00C474BA">
        <w:rPr>
          <w:b/>
          <w:bCs/>
        </w:rPr>
        <w:t xml:space="preserve"> </w:t>
      </w:r>
      <w:r w:rsidRPr="00C474BA">
        <w:rPr>
          <w:bCs/>
        </w:rPr>
        <w:t>zaznamenal nejvýraznější nárůst t</w:t>
      </w:r>
      <w:r>
        <w:rPr>
          <w:bCs/>
        </w:rPr>
        <w:t xml:space="preserve">ržeb za prodej VV a S o 21,6 %. </w:t>
      </w:r>
      <w:r w:rsidRPr="00C474BA">
        <w:rPr>
          <w:bCs/>
        </w:rPr>
        <w:t xml:space="preserve">Na tržbách za prodej VV a S za </w:t>
      </w:r>
      <w:r>
        <w:rPr>
          <w:bCs/>
        </w:rPr>
        <w:t xml:space="preserve">Výrobu </w:t>
      </w:r>
      <w:r w:rsidRPr="00C474BA">
        <w:rPr>
          <w:bCs/>
        </w:rPr>
        <w:t>potravinářský</w:t>
      </w:r>
      <w:r>
        <w:rPr>
          <w:bCs/>
        </w:rPr>
        <w:t>ch</w:t>
      </w:r>
      <w:r w:rsidRPr="00C474BA">
        <w:rPr>
          <w:bCs/>
        </w:rPr>
        <w:t xml:space="preserve"> </w:t>
      </w:r>
      <w:r>
        <w:rPr>
          <w:bCs/>
        </w:rPr>
        <w:t xml:space="preserve">výrobků </w:t>
      </w:r>
      <w:r w:rsidRPr="00C474BA">
        <w:rPr>
          <w:bCs/>
        </w:rPr>
        <w:t>se podílí 2,</w:t>
      </w:r>
      <w:r w:rsidR="00650AC0">
        <w:rPr>
          <w:bCs/>
        </w:rPr>
        <w:t>7</w:t>
      </w:r>
      <w:r w:rsidRPr="00C474BA">
        <w:rPr>
          <w:bCs/>
        </w:rPr>
        <w:t xml:space="preserve"> %. Účetní přidaná hodnota na zaměstnance </w:t>
      </w:r>
      <w:r>
        <w:rPr>
          <w:bCs/>
        </w:rPr>
        <w:t>se zvýšila o </w:t>
      </w:r>
      <w:r w:rsidRPr="00C474BA">
        <w:rPr>
          <w:bCs/>
        </w:rPr>
        <w:t>9</w:t>
      </w:r>
      <w:r>
        <w:rPr>
          <w:bCs/>
        </w:rPr>
        <w:t xml:space="preserve"> </w:t>
      </w:r>
      <w:r w:rsidRPr="00C474BA">
        <w:rPr>
          <w:bCs/>
        </w:rPr>
        <w:t>%</w:t>
      </w:r>
      <w:r w:rsidR="00C86BB2">
        <w:rPr>
          <w:bCs/>
        </w:rPr>
        <w:t xml:space="preserve">, a to </w:t>
      </w:r>
      <w:r w:rsidRPr="00C474BA">
        <w:rPr>
          <w:bCs/>
        </w:rPr>
        <w:t xml:space="preserve">díky rychlejšímu růstu výkonů na zaměstnance (meziroční nárůst o 7,5 %) </w:t>
      </w:r>
      <w:r w:rsidR="005A7E56">
        <w:rPr>
          <w:bCs/>
        </w:rPr>
        <w:t>než</w:t>
      </w:r>
      <w:r w:rsidRPr="00C474BA">
        <w:rPr>
          <w:bCs/>
        </w:rPr>
        <w:t xml:space="preserve"> výkonové spotřeby (meziroční nárůst o 6,1 %). I přes rostoucí počet zaměstnanců (o 11,4 %) a rostoucí osobní náklady (o 16,3 %), </w:t>
      </w:r>
      <w:r>
        <w:rPr>
          <w:bCs/>
        </w:rPr>
        <w:t>subjekty</w:t>
      </w:r>
      <w:r w:rsidRPr="00C474BA">
        <w:rPr>
          <w:bCs/>
        </w:rPr>
        <w:t xml:space="preserve"> Zpracování a konzervování ovoce a zeleniny vykázaly nárůst hrubého operačního přebytku na zaměstnance. Nárůst osobních nákladů je </w:t>
      </w:r>
      <w:r>
        <w:rPr>
          <w:bCs/>
        </w:rPr>
        <w:lastRenderedPageBreak/>
        <w:t>druhý nejvyšší v rámci oborů po Výrobě</w:t>
      </w:r>
      <w:r w:rsidRPr="00C474BA">
        <w:rPr>
          <w:bCs/>
        </w:rPr>
        <w:t xml:space="preserve"> mlýn</w:t>
      </w:r>
      <w:r>
        <w:rPr>
          <w:bCs/>
        </w:rPr>
        <w:t>ských a škrobárenských výrobků (CZ</w:t>
      </w:r>
      <w:r>
        <w:rPr>
          <w:bCs/>
        </w:rPr>
        <w:noBreakHyphen/>
        <w:t>NACE 10.6).</w:t>
      </w:r>
    </w:p>
    <w:p w:rsidR="00614A2D" w:rsidRDefault="00614A2D" w:rsidP="000B7BEE">
      <w:pPr>
        <w:rPr>
          <w:bCs/>
        </w:rPr>
      </w:pPr>
      <w:r w:rsidRPr="00C474BA">
        <w:rPr>
          <w:b/>
          <w:bCs/>
        </w:rPr>
        <w:t xml:space="preserve">Výroba rostlinných a živočišných olejů a tuků </w:t>
      </w:r>
      <w:r>
        <w:rPr>
          <w:b/>
          <w:bCs/>
        </w:rPr>
        <w:t>(CZ</w:t>
      </w:r>
      <w:r>
        <w:rPr>
          <w:b/>
          <w:bCs/>
        </w:rPr>
        <w:noBreakHyphen/>
        <w:t>NACE</w:t>
      </w:r>
      <w:r w:rsidRPr="00C474BA">
        <w:rPr>
          <w:b/>
          <w:bCs/>
        </w:rPr>
        <w:t xml:space="preserve"> 10.4</w:t>
      </w:r>
      <w:r>
        <w:rPr>
          <w:b/>
          <w:bCs/>
        </w:rPr>
        <w:t>)</w:t>
      </w:r>
      <w:r w:rsidRPr="00C474BA">
        <w:rPr>
          <w:b/>
          <w:bCs/>
        </w:rPr>
        <w:t xml:space="preserve"> </w:t>
      </w:r>
      <w:r w:rsidRPr="00C474BA">
        <w:rPr>
          <w:bCs/>
        </w:rPr>
        <w:t>jako jediný obor vykázal klesající tržby za prodej VV a S</w:t>
      </w:r>
      <w:r w:rsidR="00C86BB2">
        <w:rPr>
          <w:bCs/>
        </w:rPr>
        <w:t xml:space="preserve">, a to </w:t>
      </w:r>
      <w:r w:rsidRPr="00C474BA">
        <w:rPr>
          <w:bCs/>
        </w:rPr>
        <w:t xml:space="preserve">o 4,4 </w:t>
      </w:r>
      <w:r>
        <w:rPr>
          <w:bCs/>
        </w:rPr>
        <w:t>%. Na celkových tržbách za VV a </w:t>
      </w:r>
      <w:r w:rsidRPr="00C474BA">
        <w:rPr>
          <w:bCs/>
        </w:rPr>
        <w:t>S</w:t>
      </w:r>
      <w:r>
        <w:rPr>
          <w:bCs/>
        </w:rPr>
        <w:t xml:space="preserve"> Výroby </w:t>
      </w:r>
      <w:r w:rsidRPr="00C474BA">
        <w:rPr>
          <w:bCs/>
        </w:rPr>
        <w:t>potravinářsk</w:t>
      </w:r>
      <w:r>
        <w:rPr>
          <w:bCs/>
        </w:rPr>
        <w:t>ých</w:t>
      </w:r>
      <w:r w:rsidRPr="00C474BA">
        <w:rPr>
          <w:bCs/>
        </w:rPr>
        <w:t xml:space="preserve"> </w:t>
      </w:r>
      <w:r>
        <w:rPr>
          <w:bCs/>
        </w:rPr>
        <w:t>výrobků</w:t>
      </w:r>
      <w:r w:rsidRPr="00C474BA">
        <w:rPr>
          <w:bCs/>
        </w:rPr>
        <w:t xml:space="preserve"> se podílí 5 %. </w:t>
      </w:r>
      <w:r>
        <w:rPr>
          <w:bCs/>
        </w:rPr>
        <w:t xml:space="preserve">V tomto oboru </w:t>
      </w:r>
      <w:r w:rsidRPr="00C474BA">
        <w:rPr>
          <w:bCs/>
        </w:rPr>
        <w:t>nejvíce meziročně vzrostla účetní</w:t>
      </w:r>
      <w:r>
        <w:rPr>
          <w:bCs/>
        </w:rPr>
        <w:t xml:space="preserve"> přidaná hodnota na zaměstnance</w:t>
      </w:r>
      <w:r w:rsidRPr="00C474BA">
        <w:rPr>
          <w:bCs/>
        </w:rPr>
        <w:t xml:space="preserve"> o 37,4 %. Příčinou růstu je výrazný pokles výk</w:t>
      </w:r>
      <w:r>
        <w:rPr>
          <w:bCs/>
        </w:rPr>
        <w:t>onové spotřeby na zaměstnance (o</w:t>
      </w:r>
      <w:r w:rsidRPr="00C474BA">
        <w:rPr>
          <w:bCs/>
        </w:rPr>
        <w:t xml:space="preserve"> 8,7 %) a mírnější pokles výkonů přepočtených na zaměstnance (</w:t>
      </w:r>
      <w:r>
        <w:rPr>
          <w:bCs/>
        </w:rPr>
        <w:t>o </w:t>
      </w:r>
      <w:r w:rsidRPr="00C474BA">
        <w:rPr>
          <w:bCs/>
        </w:rPr>
        <w:t>5,9 %).</w:t>
      </w:r>
      <w:r>
        <w:rPr>
          <w:bCs/>
        </w:rPr>
        <w:t xml:space="preserve"> Úroveň výkonové</w:t>
      </w:r>
      <w:r w:rsidRPr="00C474BA">
        <w:rPr>
          <w:bCs/>
        </w:rPr>
        <w:t xml:space="preserve"> spotřeby na zaměstnance, stejně tak jako výkony na zaměstnance, jsou nejvyšší v rámci oborů. </w:t>
      </w:r>
      <w:r>
        <w:rPr>
          <w:bCs/>
        </w:rPr>
        <w:t>Subjekty</w:t>
      </w:r>
      <w:r w:rsidRPr="00C474BA">
        <w:rPr>
          <w:bCs/>
        </w:rPr>
        <w:t xml:space="preserve"> Výroby rost</w:t>
      </w:r>
      <w:r>
        <w:rPr>
          <w:bCs/>
        </w:rPr>
        <w:t>linných a živočišných olejů a </w:t>
      </w:r>
      <w:r w:rsidRPr="00C474BA">
        <w:rPr>
          <w:bCs/>
        </w:rPr>
        <w:t>tuků mají druhý nejvyšší operační přebytek na zaměstnance</w:t>
      </w:r>
      <w:r w:rsidR="00C86BB2">
        <w:rPr>
          <w:bCs/>
        </w:rPr>
        <w:t xml:space="preserve">, a to </w:t>
      </w:r>
      <w:r w:rsidRPr="00C474BA">
        <w:rPr>
          <w:bCs/>
        </w:rPr>
        <w:t>především kvůli nízkému počtu zaměstnanců tohoto oboru (zaujímá druhé místo s nejnižším podílem zaměstnanců v</w:t>
      </w:r>
      <w:r>
        <w:rPr>
          <w:bCs/>
        </w:rPr>
        <w:t> rámci CZ</w:t>
      </w:r>
      <w:r>
        <w:rPr>
          <w:bCs/>
        </w:rPr>
        <w:noBreakHyphen/>
        <w:t>NACE 10 celkem</w:t>
      </w:r>
      <w:r w:rsidRPr="00C474BA">
        <w:rPr>
          <w:bCs/>
        </w:rPr>
        <w:t>). Účetní přidaná hodnota se rovněž pozitivně odráží v růstu hrubého operačního přebytku (o 71,5 %) a hrubého operač</w:t>
      </w:r>
      <w:r>
        <w:rPr>
          <w:bCs/>
        </w:rPr>
        <w:t>ního přebytku na zaměstnance (o </w:t>
      </w:r>
      <w:r w:rsidRPr="00C474BA">
        <w:rPr>
          <w:bCs/>
        </w:rPr>
        <w:t>66 %). Účetní přidaná hodnota na zaměstnance je druhá nejvyšší po Výrobě průmyslových krmiv</w:t>
      </w:r>
      <w:r>
        <w:rPr>
          <w:bCs/>
        </w:rPr>
        <w:t xml:space="preserve"> (CZ</w:t>
      </w:r>
      <w:r>
        <w:rPr>
          <w:bCs/>
        </w:rPr>
        <w:noBreakHyphen/>
        <w:t>NACE 10.9).</w:t>
      </w:r>
    </w:p>
    <w:p w:rsidR="00614A2D" w:rsidRPr="00C474BA" w:rsidRDefault="00614A2D" w:rsidP="000B7BEE">
      <w:r w:rsidRPr="00C474BA">
        <w:rPr>
          <w:b/>
        </w:rPr>
        <w:t xml:space="preserve">Výroba mléčných výrobků </w:t>
      </w:r>
      <w:r>
        <w:rPr>
          <w:b/>
        </w:rPr>
        <w:t>(CZ</w:t>
      </w:r>
      <w:r>
        <w:rPr>
          <w:b/>
        </w:rPr>
        <w:noBreakHyphen/>
        <w:t>NACE</w:t>
      </w:r>
      <w:r w:rsidRPr="00C474BA">
        <w:rPr>
          <w:b/>
        </w:rPr>
        <w:t xml:space="preserve"> 10.5</w:t>
      </w:r>
      <w:r>
        <w:rPr>
          <w:b/>
        </w:rPr>
        <w:t>)</w:t>
      </w:r>
      <w:r w:rsidRPr="00C474BA">
        <w:rPr>
          <w:b/>
        </w:rPr>
        <w:t xml:space="preserve"> </w:t>
      </w:r>
      <w:r w:rsidRPr="00C474BA">
        <w:t xml:space="preserve">měla v roce 2014 druhé nejvyšší tržby za prodej VV a S, které meziročně vzrostly o 2,4 %. Na celkových tržbách </w:t>
      </w:r>
      <w:r>
        <w:t>Výroby potravinářských výrobků</w:t>
      </w:r>
      <w:r w:rsidRPr="00C474BA">
        <w:t xml:space="preserve"> se podílí 21,3 % </w:t>
      </w:r>
      <w:r w:rsidR="00650AC0">
        <w:t>stejně jako</w:t>
      </w:r>
      <w:r w:rsidRPr="00C474BA">
        <w:t xml:space="preserve"> obor Z</w:t>
      </w:r>
      <w:r>
        <w:t>pracování a konzervování masa a </w:t>
      </w:r>
      <w:r w:rsidRPr="00C474BA">
        <w:t xml:space="preserve">masných výrobků. Ukazatele výkony na zaměstnance a výkonová spotřeba na zaměstnance vykázaly nejvyšší nárůsty </w:t>
      </w:r>
      <w:r>
        <w:t>v rámci oborové struktury</w:t>
      </w:r>
      <w:r w:rsidRPr="00C474BA">
        <w:t>. V případě výkonů na zaměstnance se jednalo o meziroční růst o 9 % a výkonové spotřeby na zaměstnance o 10,2 %. V oboru došlo ke snížení počtu zaměstnanců o 5,3 %, tj. o 437 pracovníků, což způsobilo snížení osobních nákladů o 5,1 %. Tím se zvýšil hrubý operační přebytek přepočtený na zaměstnance</w:t>
      </w:r>
      <w:r>
        <w:t>,</w:t>
      </w:r>
      <w:r w:rsidRPr="00C474BA">
        <w:t xml:space="preserve"> meziročně o 3,6 %. Celková hodnota hrubého operačního přebytku však meziročně klesla </w:t>
      </w:r>
      <w:r>
        <w:t>(</w:t>
      </w:r>
      <w:r w:rsidR="00F200B6">
        <w:t>o </w:t>
      </w:r>
      <w:r w:rsidRPr="00C474BA">
        <w:t>1,9 %</w:t>
      </w:r>
      <w:r>
        <w:t>).</w:t>
      </w:r>
    </w:p>
    <w:p w:rsidR="00614A2D" w:rsidRPr="00C474BA" w:rsidRDefault="00614A2D" w:rsidP="000B7BEE">
      <w:r w:rsidRPr="00C474BA">
        <w:t xml:space="preserve">Druhé nejvýraznější meziroční zvýšení objemu tržeb za prodej VV a S (o 11,1 %) dosáhla </w:t>
      </w:r>
      <w:r w:rsidRPr="00C474BA">
        <w:rPr>
          <w:b/>
        </w:rPr>
        <w:t xml:space="preserve">Výroba mlýnských a škrobárenských výrobků </w:t>
      </w:r>
      <w:r>
        <w:rPr>
          <w:b/>
        </w:rPr>
        <w:t>(CZ</w:t>
      </w:r>
      <w:r>
        <w:rPr>
          <w:b/>
        </w:rPr>
        <w:noBreakHyphen/>
        <w:t>NACE</w:t>
      </w:r>
      <w:r w:rsidRPr="00C474BA">
        <w:rPr>
          <w:b/>
        </w:rPr>
        <w:t xml:space="preserve"> 10.6</w:t>
      </w:r>
      <w:r>
        <w:rPr>
          <w:b/>
        </w:rPr>
        <w:t>).</w:t>
      </w:r>
      <w:r w:rsidRPr="00C474BA">
        <w:rPr>
          <w:b/>
        </w:rPr>
        <w:t xml:space="preserve"> </w:t>
      </w:r>
      <w:r w:rsidRPr="00C474BA">
        <w:t xml:space="preserve">Svými tržbami se na celkových tržbách za </w:t>
      </w:r>
      <w:r w:rsidRPr="006665A6">
        <w:t>prodej VV a S</w:t>
      </w:r>
      <w:r w:rsidR="006665A6" w:rsidRPr="006665A6">
        <w:t xml:space="preserve"> za </w:t>
      </w:r>
      <w:r w:rsidRPr="006665A6">
        <w:t>CZ</w:t>
      </w:r>
      <w:r w:rsidRPr="006665A6">
        <w:noBreakHyphen/>
        <w:t>NACE 10 podílí</w:t>
      </w:r>
      <w:r>
        <w:t xml:space="preserve"> 3 %. Počet zaměstnanců v </w:t>
      </w:r>
      <w:r w:rsidRPr="00C474BA">
        <w:t>tomto oboru se zvýšil o 21,8 %, tj. o 39</w:t>
      </w:r>
      <w:r w:rsidR="006665A6">
        <w:t>3</w:t>
      </w:r>
      <w:r w:rsidRPr="00C474BA">
        <w:t xml:space="preserve"> zaměstnanců. Jedná se o nejvyšší nárůst v rámci oborů Výroby potravinářských výrobků. Výše </w:t>
      </w:r>
      <w:r>
        <w:t>průměrné</w:t>
      </w:r>
      <w:r w:rsidRPr="00C474BA">
        <w:t xml:space="preserve"> mzdy na zaměstnance však zůstala konstantní. Nárůst počtu zaměstnanců se projevil v poklesu ukazatelů vztažených na zaměstnance. Tedy ve výkonech na zaměstnance (meziroční pokles o 6,2 %) a ve výkonové spotřebě na zaměstnance (meziroční pokles o 11 %). Výroba mlýnských a škrobárenských výrobků dosáhla nejvyššího nárůstu hrubého operačního přebytku </w:t>
      </w:r>
      <w:r>
        <w:t xml:space="preserve">v rámci oborové struktury, tj. </w:t>
      </w:r>
      <w:r w:rsidRPr="00C474BA">
        <w:t>o 96,9 %.</w:t>
      </w:r>
    </w:p>
    <w:p w:rsidR="00614A2D" w:rsidRPr="00C474BA" w:rsidRDefault="00614A2D" w:rsidP="000B7BEE">
      <w:r w:rsidRPr="00C474BA">
        <w:rPr>
          <w:b/>
        </w:rPr>
        <w:t>Výroba pekařských, cukrářských a jiných moučných výrobků (</w:t>
      </w:r>
      <w:r>
        <w:rPr>
          <w:b/>
        </w:rPr>
        <w:t>CZ</w:t>
      </w:r>
      <w:r>
        <w:rPr>
          <w:b/>
        </w:rPr>
        <w:noBreakHyphen/>
        <w:t>NACE</w:t>
      </w:r>
      <w:r w:rsidRPr="00C474BA">
        <w:rPr>
          <w:b/>
        </w:rPr>
        <w:t xml:space="preserve"> 10.7) </w:t>
      </w:r>
      <w:r w:rsidRPr="00C474BA">
        <w:t>má ze všech oborů nejvyšší podíl na celkovém počtu zaměstnanců ve Výrobě potravinářských výrobků (31,4 %)</w:t>
      </w:r>
      <w:r w:rsidR="00C86BB2">
        <w:t xml:space="preserve">, a to </w:t>
      </w:r>
      <w:r w:rsidRPr="00C474BA">
        <w:t xml:space="preserve">i přes mírný pokles počtu zaměstnanců o 0,3 %. Průměrná mzda na </w:t>
      </w:r>
      <w:r w:rsidRPr="00C474BA">
        <w:lastRenderedPageBreak/>
        <w:t xml:space="preserve">zaměstnance je však nejnižší </w:t>
      </w:r>
      <w:r>
        <w:t xml:space="preserve">ze všech oborů </w:t>
      </w:r>
      <w:r w:rsidRPr="00C474BA">
        <w:t xml:space="preserve">(v roce 2014 činila 17 312 Kč) a meziročně se zvýšila o 3,2 %. Na celkových tržbách Výroby potravinářských výrobků se podílí tržbami za VV a S </w:t>
      </w:r>
      <w:r w:rsidR="006665A6">
        <w:t>necelými 11</w:t>
      </w:r>
      <w:r w:rsidRPr="00C474BA">
        <w:t xml:space="preserve"> %. Pozitivně se na rostoucí účetní přidané hodnotě na zaměstnance (meziroční růst o 8,6 %) odrazila klesající výkonová spotřeba na zamě</w:t>
      </w:r>
      <w:r>
        <w:t>stnance (meziroční pokles o 3,6 </w:t>
      </w:r>
      <w:r w:rsidRPr="00C474BA">
        <w:t>%). Hrubý operační přebytek na zaměstnance se meziročně zvýšil o 23,8 %.</w:t>
      </w:r>
    </w:p>
    <w:p w:rsidR="00614A2D" w:rsidRPr="00C474BA" w:rsidRDefault="00614A2D" w:rsidP="000B7BEE">
      <w:pPr>
        <w:rPr>
          <w:bCs/>
        </w:rPr>
      </w:pPr>
      <w:r w:rsidRPr="00C474BA">
        <w:rPr>
          <w:b/>
          <w:bCs/>
        </w:rPr>
        <w:t>Výroba ostatních potravinářských výrobků (</w:t>
      </w:r>
      <w:r>
        <w:rPr>
          <w:b/>
          <w:bCs/>
        </w:rPr>
        <w:t>CZ</w:t>
      </w:r>
      <w:r>
        <w:rPr>
          <w:b/>
          <w:bCs/>
        </w:rPr>
        <w:noBreakHyphen/>
        <w:t>NACE</w:t>
      </w:r>
      <w:r w:rsidRPr="00C474BA">
        <w:rPr>
          <w:b/>
          <w:bCs/>
        </w:rPr>
        <w:t xml:space="preserve"> 10.8)</w:t>
      </w:r>
      <w:r w:rsidRPr="00C474BA">
        <w:rPr>
          <w:rStyle w:val="Znakapoznpodarou"/>
          <w:b/>
          <w:bCs/>
        </w:rPr>
        <w:footnoteReference w:id="188"/>
      </w:r>
      <w:r w:rsidRPr="00C474BA">
        <w:rPr>
          <w:b/>
          <w:bCs/>
        </w:rPr>
        <w:t xml:space="preserve"> </w:t>
      </w:r>
      <w:r w:rsidRPr="00C474BA">
        <w:rPr>
          <w:bCs/>
        </w:rPr>
        <w:t xml:space="preserve">se významně </w:t>
      </w:r>
      <w:r w:rsidR="006665A6">
        <w:rPr>
          <w:bCs/>
        </w:rPr>
        <w:t>(20 </w:t>
      </w:r>
      <w:r w:rsidR="006665A6" w:rsidRPr="00C474BA">
        <w:rPr>
          <w:bCs/>
        </w:rPr>
        <w:t>%</w:t>
      </w:r>
      <w:r w:rsidR="006665A6">
        <w:rPr>
          <w:bCs/>
        </w:rPr>
        <w:t xml:space="preserve">) </w:t>
      </w:r>
      <w:r w:rsidRPr="00C474BA">
        <w:rPr>
          <w:bCs/>
        </w:rPr>
        <w:t>podílí na celkových tržbách za prodej VV a S Výroby potravinářských výrobků. Obor zaujímá třetí nejvýznamnější místo, co se týče počtu zaměstnaných osob (17,6 %). Počet zaměstnanců se však meziročně nezměnil, došlo ale ke zvýšení průměrné mzdy</w:t>
      </w:r>
      <w:r>
        <w:rPr>
          <w:rStyle w:val="Znakapoznpodarou"/>
          <w:bCs/>
        </w:rPr>
        <w:footnoteReference w:id="189"/>
      </w:r>
      <w:r w:rsidRPr="00C474BA">
        <w:rPr>
          <w:bCs/>
        </w:rPr>
        <w:t xml:space="preserve"> o 2,6 % na 26 217 Kč. Účetní přidaná hodnota na zaměstnance meziroč</w:t>
      </w:r>
      <w:r>
        <w:rPr>
          <w:bCs/>
        </w:rPr>
        <w:t>ně vzrostla o 6,3 %. Jedná se o </w:t>
      </w:r>
      <w:r w:rsidRPr="00C474BA">
        <w:rPr>
          <w:bCs/>
        </w:rPr>
        <w:t>třetí nejvyšší přidanou hodnotu mezi obory. Růst tržeb za prodej VV a S (o 2,5 %) se projevil v růstu výkonů na zaměstnance (o 2,6 %). Celkově došlo k růstu hrubého operačního přebytku na zaměstnance o 7,9 %, který patří mezi tři nejvyšší v rámci oborů</w:t>
      </w:r>
      <w:r>
        <w:rPr>
          <w:bCs/>
        </w:rPr>
        <w:t xml:space="preserve"> Výroby potravinářských výrobků.</w:t>
      </w:r>
    </w:p>
    <w:p w:rsidR="00614A2D" w:rsidRPr="0029129D" w:rsidRDefault="00614A2D" w:rsidP="000B7BEE">
      <w:pPr>
        <w:rPr>
          <w:bCs/>
        </w:rPr>
      </w:pPr>
      <w:r w:rsidRPr="00C474BA">
        <w:rPr>
          <w:bCs/>
        </w:rPr>
        <w:t xml:space="preserve">U </w:t>
      </w:r>
      <w:r w:rsidRPr="00C474BA">
        <w:rPr>
          <w:b/>
          <w:bCs/>
        </w:rPr>
        <w:t>Výroby průmyslových krmiv (</w:t>
      </w:r>
      <w:r>
        <w:rPr>
          <w:b/>
          <w:bCs/>
        </w:rPr>
        <w:t>CZ</w:t>
      </w:r>
      <w:r>
        <w:rPr>
          <w:b/>
          <w:bCs/>
        </w:rPr>
        <w:noBreakHyphen/>
        <w:t>NACE</w:t>
      </w:r>
      <w:r w:rsidRPr="00C474BA">
        <w:rPr>
          <w:b/>
          <w:bCs/>
        </w:rPr>
        <w:t xml:space="preserve"> 10.9) </w:t>
      </w:r>
      <w:r w:rsidRPr="00C474BA">
        <w:rPr>
          <w:bCs/>
        </w:rPr>
        <w:t>došlo k nejvýraznějšímu nárůstu průměrných mezd na zaměstnance, tj. o 5,7 % na 35 118 Kč. V rámci Výroby potravinářských výrobků se jedná o nejvyšší dosahované mzdy pracovníků. Počet zaměstnanců oboru se zvýšil o 2,7 %, což se projevilo v růstu osobních nákladů o 7,2 %. Obor se na celkových tržbách za prodej VV a S</w:t>
      </w:r>
      <w:r>
        <w:rPr>
          <w:bCs/>
        </w:rPr>
        <w:t> za CZ</w:t>
      </w:r>
      <w:r>
        <w:rPr>
          <w:bCs/>
        </w:rPr>
        <w:noBreakHyphen/>
        <w:t xml:space="preserve">NACE 10 </w:t>
      </w:r>
      <w:r w:rsidRPr="00C474BA">
        <w:rPr>
          <w:bCs/>
        </w:rPr>
        <w:t>podílí 14,8 %. Hodnoty ukazatelů účetní přidané hodnoty na zaměstnance, výkonů na zaměstnance a výkonové spotřeby na zaměstnance jsou téměř konstantní, změny</w:t>
      </w:r>
      <w:r>
        <w:rPr>
          <w:bCs/>
        </w:rPr>
        <w:t xml:space="preserve"> jsou v rámci desetin procent. V tomto důsledku došlo k poklesu hrubého operačního přebytku na zaměstnance o 1,5 %, a to především kvůli růstu osobních nákladů.</w:t>
      </w:r>
    </w:p>
    <w:p w:rsidR="00614A2D" w:rsidRPr="00580FE7" w:rsidRDefault="00614A2D" w:rsidP="000B7BEE">
      <w:pPr>
        <w:pStyle w:val="mezera"/>
        <w:rPr>
          <w:lang w:val="x-none" w:eastAsia="x-none"/>
        </w:rPr>
      </w:pPr>
    </w:p>
    <w:p w:rsidR="00614A2D" w:rsidRPr="00580FE7" w:rsidRDefault="00DB7724" w:rsidP="000B7BEE">
      <w:pPr>
        <w:pStyle w:val="mezera"/>
        <w:rPr>
          <w:lang w:val="x-none" w:eastAsia="x-none"/>
        </w:rPr>
      </w:pPr>
      <w:r w:rsidRPr="00DB7724">
        <w:rPr>
          <w:noProof/>
          <w:lang w:eastAsia="cs-CZ"/>
        </w:rPr>
        <w:drawing>
          <wp:inline distT="0" distB="0" distL="0" distR="0" wp14:anchorId="01FBEF4F" wp14:editId="39184F04">
            <wp:extent cx="5760720" cy="2186624"/>
            <wp:effectExtent l="0" t="0" r="0" b="444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60720" cy="2186624"/>
                    </a:xfrm>
                    <a:prstGeom prst="rect">
                      <a:avLst/>
                    </a:prstGeom>
                    <a:noFill/>
                    <a:ln>
                      <a:noFill/>
                    </a:ln>
                  </pic:spPr>
                </pic:pic>
              </a:graphicData>
            </a:graphic>
          </wp:inline>
        </w:drawing>
      </w:r>
    </w:p>
    <w:p w:rsidR="00614A2D" w:rsidRDefault="00614A2D" w:rsidP="000B7BEE">
      <w:pPr>
        <w:pStyle w:val="mezera"/>
        <w:rPr>
          <w:lang w:eastAsia="x-none"/>
        </w:rPr>
      </w:pPr>
    </w:p>
    <w:p w:rsidR="00614A2D" w:rsidRDefault="00614A2D" w:rsidP="000B7BEE">
      <w:pPr>
        <w:pStyle w:val="mezera"/>
        <w:rPr>
          <w:lang w:eastAsia="x-none"/>
        </w:rPr>
      </w:pPr>
    </w:p>
    <w:p w:rsidR="00614A2D" w:rsidRDefault="00DB7724" w:rsidP="000B7BEE">
      <w:pPr>
        <w:pStyle w:val="mezera"/>
        <w:rPr>
          <w:lang w:eastAsia="x-none"/>
        </w:rPr>
      </w:pPr>
      <w:r w:rsidRPr="00DB7724">
        <w:rPr>
          <w:noProof/>
          <w:lang w:eastAsia="cs-CZ"/>
        </w:rPr>
        <w:drawing>
          <wp:inline distT="0" distB="0" distL="0" distR="0" wp14:anchorId="749C1176" wp14:editId="2256D7E0">
            <wp:extent cx="5760720" cy="2992274"/>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60720" cy="2992274"/>
                    </a:xfrm>
                    <a:prstGeom prst="rect">
                      <a:avLst/>
                    </a:prstGeom>
                    <a:noFill/>
                    <a:ln>
                      <a:noFill/>
                    </a:ln>
                  </pic:spPr>
                </pic:pic>
              </a:graphicData>
            </a:graphic>
          </wp:inline>
        </w:drawing>
      </w:r>
    </w:p>
    <w:p w:rsidR="00614A2D" w:rsidRDefault="00614A2D" w:rsidP="000B7BEE">
      <w:pPr>
        <w:pStyle w:val="mezera"/>
        <w:rPr>
          <w:lang w:eastAsia="x-none"/>
        </w:rPr>
      </w:pPr>
    </w:p>
    <w:p w:rsidR="00614A2D" w:rsidRPr="00DB7724" w:rsidRDefault="00614A2D" w:rsidP="00DB7724">
      <w:pPr>
        <w:pStyle w:val="Nadpis3"/>
      </w:pPr>
      <w:bookmarkStart w:id="280" w:name="_Toc424307106"/>
      <w:r w:rsidRPr="00DB7724">
        <w:t>10.3.2</w:t>
      </w:r>
      <w:r w:rsidRPr="00DB7724">
        <w:tab/>
        <w:t>Práce a mzdy v potravin</w:t>
      </w:r>
      <w:r w:rsidR="00DB7724" w:rsidRPr="00DB7724">
        <w:t>ář</w:t>
      </w:r>
      <w:r w:rsidRPr="00DB7724">
        <w:t>ském průmyslu</w:t>
      </w:r>
      <w:bookmarkEnd w:id="280"/>
    </w:p>
    <w:p w:rsidR="00614A2D" w:rsidRPr="004B0E17" w:rsidRDefault="00614A2D" w:rsidP="000B7BEE">
      <w:pPr>
        <w:rPr>
          <w:sz w:val="20"/>
          <w:szCs w:val="20"/>
        </w:rPr>
      </w:pPr>
      <w:r w:rsidRPr="00B6188A">
        <w:t>Vývoj zaměstnanosti a průměrné měsíční mzdy na fyzickou osobu u Výroby potravinářských výrobků, Výroby nápojů a potravinář</w:t>
      </w:r>
      <w:r w:rsidR="00DB7724">
        <w:t>ského průmysl</w:t>
      </w:r>
      <w:r w:rsidR="00870243">
        <w:t>u</w:t>
      </w:r>
      <w:r w:rsidR="00DB7724">
        <w:t xml:space="preserve"> celkem uvádí tab. </w:t>
      </w:r>
      <w:r w:rsidRPr="00B6188A">
        <w:t>T10.3/04.</w:t>
      </w:r>
      <w:r>
        <w:t xml:space="preserve"> </w:t>
      </w:r>
      <w:r w:rsidRPr="00B6188A">
        <w:t xml:space="preserve">Vývoj zaměstnanosti </w:t>
      </w:r>
      <w:r w:rsidR="006665A6">
        <w:t>a</w:t>
      </w:r>
      <w:r w:rsidRPr="00B6188A">
        <w:t xml:space="preserve"> p</w:t>
      </w:r>
      <w:r w:rsidR="00870243">
        <w:t>růměrných mezd</w:t>
      </w:r>
      <w:r w:rsidR="006665A6">
        <w:t xml:space="preserve"> podle výrobních oborů</w:t>
      </w:r>
      <w:r w:rsidR="00870243">
        <w:t xml:space="preserve"> je uveden v tab. </w:t>
      </w:r>
      <w:r w:rsidRPr="00B6188A">
        <w:t>T10.3/05.</w:t>
      </w:r>
    </w:p>
    <w:p w:rsidR="00614A2D" w:rsidRDefault="00614A2D" w:rsidP="000B7BEE">
      <w:r w:rsidRPr="00B6188A">
        <w:t>Průměrný evidenční počet zaměstnanců</w:t>
      </w:r>
      <w:r>
        <w:rPr>
          <w:rStyle w:val="Znakapoznpodarou"/>
        </w:rPr>
        <w:footnoteReference w:id="190"/>
      </w:r>
      <w:r w:rsidRPr="00B6188A">
        <w:t xml:space="preserve"> u podnikatelských subjektů Výroby potravinářských výrobků (</w:t>
      </w:r>
      <w:r>
        <w:t>CZ</w:t>
      </w:r>
      <w:r>
        <w:noBreakHyphen/>
        <w:t>NACE</w:t>
      </w:r>
      <w:r w:rsidRPr="00B6188A">
        <w:t xml:space="preserve"> 10) a Výroby nápojů (</w:t>
      </w:r>
      <w:r>
        <w:t>CZ</w:t>
      </w:r>
      <w:r>
        <w:noBreakHyphen/>
        <w:t>NACE 11) s 50 a více pracovníky se v </w:t>
      </w:r>
      <w:r w:rsidRPr="00B6188A">
        <w:t>roce 201</w:t>
      </w:r>
      <w:r>
        <w:t>4</w:t>
      </w:r>
      <w:r w:rsidRPr="00B6188A">
        <w:t xml:space="preserve"> </w:t>
      </w:r>
      <w:r>
        <w:t>mírně snížil o 0,3 % (o 224 pracovníků), resp. o 1,2 % (o 161 pracovníků) při růstu průměrné měsíční mzdy u CZ</w:t>
      </w:r>
      <w:r>
        <w:noBreakHyphen/>
        <w:t>NACE 10 o 3,1 % (tj. o 579 Kč) a u CZ</w:t>
      </w:r>
      <w:r>
        <w:noBreakHyphen/>
        <w:t>NACE 11 o 5,8 % (tj. o 1 710 Kč). Podstatně vyšší průměrnou mzdu (31 232 Kč) vykazuje Výroba nápojů (CZ</w:t>
      </w:r>
      <w:r>
        <w:noBreakHyphen/>
        <w:t>NACE 11). Tato průměrná mzda je o 11 685 Kč nižší než mzda Výroby potravinářských výrobků (CZ</w:t>
      </w:r>
      <w:r>
        <w:noBreakHyphen/>
        <w:t>NACE 10).</w:t>
      </w:r>
    </w:p>
    <w:p w:rsidR="00614A2D" w:rsidRDefault="00614A2D" w:rsidP="000B7BEE">
      <w:pPr>
        <w:pStyle w:val="mezera"/>
        <w:rPr>
          <w:lang w:eastAsia="x-none"/>
        </w:rPr>
      </w:pPr>
    </w:p>
    <w:p w:rsidR="00614A2D" w:rsidRDefault="0041692F" w:rsidP="000B7BEE">
      <w:pPr>
        <w:pStyle w:val="mezera"/>
        <w:rPr>
          <w:lang w:eastAsia="x-none"/>
        </w:rPr>
      </w:pPr>
      <w:r w:rsidRPr="0041692F">
        <w:rPr>
          <w:noProof/>
          <w:lang w:eastAsia="cs-CZ"/>
        </w:rPr>
        <w:drawing>
          <wp:inline distT="0" distB="0" distL="0" distR="0" wp14:anchorId="78A47786" wp14:editId="588A5700">
            <wp:extent cx="5760720" cy="1461810"/>
            <wp:effectExtent l="0" t="0" r="0" b="508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60720" cy="1461810"/>
                    </a:xfrm>
                    <a:prstGeom prst="rect">
                      <a:avLst/>
                    </a:prstGeom>
                    <a:noFill/>
                    <a:ln>
                      <a:noFill/>
                    </a:ln>
                  </pic:spPr>
                </pic:pic>
              </a:graphicData>
            </a:graphic>
          </wp:inline>
        </w:drawing>
      </w:r>
    </w:p>
    <w:p w:rsidR="00614A2D" w:rsidRPr="00580FE7" w:rsidRDefault="00614A2D" w:rsidP="000B7BEE">
      <w:pPr>
        <w:pStyle w:val="mezera"/>
        <w:rPr>
          <w:lang w:eastAsia="x-none"/>
        </w:rPr>
      </w:pPr>
    </w:p>
    <w:p w:rsidR="00614A2D" w:rsidRPr="00B6188A" w:rsidRDefault="00614A2D" w:rsidP="000B7BEE">
      <w:pPr>
        <w:rPr>
          <w:iCs/>
        </w:rPr>
      </w:pPr>
      <w:r w:rsidRPr="00B6188A">
        <w:lastRenderedPageBreak/>
        <w:t xml:space="preserve">V rámci oborové struktury Výroby potravinářských výrobků u podnikatelských subjektů s 50 a více zaměstnanci </w:t>
      </w:r>
      <w:r>
        <w:t>došlo k</w:t>
      </w:r>
      <w:r w:rsidRPr="00B6188A">
        <w:t xml:space="preserve"> meziročnímu </w:t>
      </w:r>
      <w:r>
        <w:t>snížení</w:t>
      </w:r>
      <w:r w:rsidRPr="00B6188A">
        <w:t xml:space="preserve"> počtu zaměstnanců </w:t>
      </w:r>
      <w:r>
        <w:t xml:space="preserve">ve čtyřech oborech, a to </w:t>
      </w:r>
      <w:r w:rsidRPr="00B6188A">
        <w:t xml:space="preserve">u </w:t>
      </w:r>
      <w:r>
        <w:rPr>
          <w:iCs/>
        </w:rPr>
        <w:t>Zpracování a konzervování masa a masných výrobků (CZ</w:t>
      </w:r>
      <w:r>
        <w:rPr>
          <w:iCs/>
        </w:rPr>
        <w:noBreakHyphen/>
        <w:t>NACE 10.1)</w:t>
      </w:r>
      <w:r w:rsidRPr="00B6188A">
        <w:rPr>
          <w:iCs/>
        </w:rPr>
        <w:t xml:space="preserve"> o </w:t>
      </w:r>
      <w:r>
        <w:rPr>
          <w:iCs/>
        </w:rPr>
        <w:t>1,6 </w:t>
      </w:r>
      <w:r w:rsidRPr="00B6188A">
        <w:rPr>
          <w:iCs/>
        </w:rPr>
        <w:t>%</w:t>
      </w:r>
      <w:r>
        <w:rPr>
          <w:iCs/>
        </w:rPr>
        <w:t>, tj. </w:t>
      </w:r>
      <w:r w:rsidRPr="00B6188A">
        <w:rPr>
          <w:iCs/>
        </w:rPr>
        <w:t>o</w:t>
      </w:r>
      <w:r>
        <w:rPr>
          <w:iCs/>
        </w:rPr>
        <w:t xml:space="preserve"> 265 </w:t>
      </w:r>
      <w:r w:rsidRPr="00B6188A">
        <w:rPr>
          <w:iCs/>
        </w:rPr>
        <w:t>osob, u</w:t>
      </w:r>
      <w:r>
        <w:rPr>
          <w:iCs/>
        </w:rPr>
        <w:t> </w:t>
      </w:r>
      <w:r w:rsidRPr="00B6188A">
        <w:rPr>
          <w:iCs/>
        </w:rPr>
        <w:t xml:space="preserve">Výroby </w:t>
      </w:r>
      <w:r>
        <w:t xml:space="preserve">mléčných </w:t>
      </w:r>
      <w:r w:rsidRPr="00B6188A">
        <w:t xml:space="preserve">výrobků </w:t>
      </w:r>
      <w:r>
        <w:rPr>
          <w:iCs/>
        </w:rPr>
        <w:t>(CZ</w:t>
      </w:r>
      <w:r>
        <w:rPr>
          <w:iCs/>
        </w:rPr>
        <w:noBreakHyphen/>
        <w:t>NACE 10.5) o 5,3 </w:t>
      </w:r>
      <w:r w:rsidRPr="00B6188A">
        <w:rPr>
          <w:iCs/>
        </w:rPr>
        <w:t>%</w:t>
      </w:r>
      <w:r>
        <w:rPr>
          <w:iCs/>
        </w:rPr>
        <w:t>, tj. o 437 osob, u Výroby pekařských, cukrářských a jiných moučných výrobků (CZ</w:t>
      </w:r>
      <w:r>
        <w:rPr>
          <w:iCs/>
        </w:rPr>
        <w:noBreakHyphen/>
        <w:t>NACE 10.7) o 0,3 %, tj. o 68 osob a k poklesu o 5 osob došlo u Výroby průmyslových krmiv (CZ</w:t>
      </w:r>
      <w:r>
        <w:rPr>
          <w:iCs/>
        </w:rPr>
        <w:noBreakHyphen/>
        <w:t>NACE 10.</w:t>
      </w:r>
      <w:r w:rsidR="006665A6">
        <w:rPr>
          <w:iCs/>
        </w:rPr>
        <w:t>8</w:t>
      </w:r>
      <w:r>
        <w:rPr>
          <w:iCs/>
        </w:rPr>
        <w:t>).</w:t>
      </w:r>
    </w:p>
    <w:p w:rsidR="00614A2D" w:rsidRDefault="00614A2D" w:rsidP="000B7BEE">
      <w:r>
        <w:t>U</w:t>
      </w:r>
      <w:r w:rsidRPr="00B6188A">
        <w:t xml:space="preserve"> ostatních oborů </w:t>
      </w:r>
      <w:r>
        <w:t>počty zaměstnanců</w:t>
      </w:r>
      <w:r w:rsidRPr="00B6188A">
        <w:t xml:space="preserve"> </w:t>
      </w:r>
      <w:r>
        <w:t>rostly. U Zpracování a konzervování ryb, korýšů a měkkýšů (CZ</w:t>
      </w:r>
      <w:r>
        <w:noBreakHyphen/>
        <w:t>NACE 10.2) byl zaznamenán růst počtu zaměstnaných osob o 5,8 % (33 osob), u Zpracování a konzervování ovoce a zeleniny (CZ</w:t>
      </w:r>
      <w:r>
        <w:noBreakHyphen/>
        <w:t>NACE 10.3) růst o 11,4 % (230 osob), u Výroby rostlinných a živočišných olejů a tuků (CZ</w:t>
      </w:r>
      <w:r>
        <w:noBreakHyphen/>
        <w:t>NACE 10.4) růst o 3,3 % (tj. 23 osob). Nejvýraznější růst počtu zaměstnanců vykázal obor Výroba mlýnských a škrobárenských výrobků (CZ</w:t>
      </w:r>
      <w:r>
        <w:noBreakHyphen/>
        <w:t>NACE 10.6) o 21,8 %, tzn. o 39</w:t>
      </w:r>
      <w:r w:rsidR="006665A6">
        <w:t>3</w:t>
      </w:r>
      <w:r>
        <w:t xml:space="preserve"> osob. Dále rovněž rostly počty zaměstnanců Výroby průmyslových krmiv (CZ</w:t>
      </w:r>
      <w:r>
        <w:noBreakHyphen/>
        <w:t>NACE 10.9) o 2,7 % (tzn. o 9</w:t>
      </w:r>
      <w:r w:rsidR="006665A6">
        <w:t>3</w:t>
      </w:r>
      <w:r>
        <w:t xml:space="preserve"> osob).</w:t>
      </w:r>
    </w:p>
    <w:p w:rsidR="00614A2D" w:rsidRDefault="00614A2D" w:rsidP="000B7BEE">
      <w:r w:rsidRPr="00B6188A">
        <w:t xml:space="preserve">Nejvyšší úrovně průměrné mzdy bylo dosaženo u </w:t>
      </w:r>
      <w:r>
        <w:rPr>
          <w:bCs/>
          <w:iCs/>
        </w:rPr>
        <w:t>Výroby průmyslových krmiv (CZ</w:t>
      </w:r>
      <w:r>
        <w:rPr>
          <w:bCs/>
          <w:iCs/>
        </w:rPr>
        <w:noBreakHyphen/>
        <w:t>NACE </w:t>
      </w:r>
      <w:r w:rsidRPr="00B6188A">
        <w:rPr>
          <w:bCs/>
          <w:iCs/>
        </w:rPr>
        <w:t xml:space="preserve">10.9) </w:t>
      </w:r>
      <w:r w:rsidRPr="00B6188A">
        <w:t>při meziročním zvýšení o</w:t>
      </w:r>
      <w:r>
        <w:t> 5,7 </w:t>
      </w:r>
      <w:r w:rsidRPr="00B6188A">
        <w:t xml:space="preserve">% na </w:t>
      </w:r>
      <w:r w:rsidR="006665A6">
        <w:t>35 </w:t>
      </w:r>
      <w:r>
        <w:t>118 Kč</w:t>
      </w:r>
      <w:r w:rsidRPr="00B6188A">
        <w:t xml:space="preserve">. </w:t>
      </w:r>
      <w:r>
        <w:t>Je to n</w:t>
      </w:r>
      <w:r w:rsidRPr="00B6188A">
        <w:t>ejvýraznější nárůst průměrné mzdy</w:t>
      </w:r>
      <w:r>
        <w:t>, který dále pak zaznamenala i Výroba pekařských, cukrářských a jiných moučných výrobků (CZ</w:t>
      </w:r>
      <w:r>
        <w:noBreakHyphen/>
        <w:t>NACE 10.7) o 3,2 %, tj. na 17 312 Kč. Tento obor vykazuje nejnižší průměrné mzdy v rámci Výroby potravinářských výrobků. Průměrné mzdy v rámci oborové struktury se meziročně zvyšovaly.</w:t>
      </w:r>
    </w:p>
    <w:p w:rsidR="00614A2D" w:rsidRPr="00580FE7" w:rsidRDefault="00614A2D" w:rsidP="000B7BEE">
      <w:pPr>
        <w:pStyle w:val="mezera"/>
        <w:rPr>
          <w:lang w:eastAsia="x-none"/>
        </w:rPr>
      </w:pPr>
    </w:p>
    <w:p w:rsidR="00614A2D" w:rsidRPr="00580FE7" w:rsidRDefault="00614A2D" w:rsidP="000B7BEE">
      <w:pPr>
        <w:pStyle w:val="mezera"/>
        <w:rPr>
          <w:lang w:eastAsia="x-none"/>
        </w:rPr>
      </w:pPr>
      <w:r w:rsidRPr="00A35B91">
        <w:rPr>
          <w:noProof/>
          <w:lang w:eastAsia="cs-CZ"/>
        </w:rPr>
        <w:drawing>
          <wp:inline distT="0" distB="0" distL="0" distR="0" wp14:anchorId="4E3876A3" wp14:editId="672C2AAC">
            <wp:extent cx="5066030" cy="3210560"/>
            <wp:effectExtent l="0" t="0" r="0" b="889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66030" cy="3210560"/>
                    </a:xfrm>
                    <a:prstGeom prst="rect">
                      <a:avLst/>
                    </a:prstGeom>
                    <a:noFill/>
                    <a:ln>
                      <a:noFill/>
                    </a:ln>
                  </pic:spPr>
                </pic:pic>
              </a:graphicData>
            </a:graphic>
          </wp:inline>
        </w:drawing>
      </w:r>
    </w:p>
    <w:p w:rsidR="00614A2D" w:rsidRPr="00580FE7" w:rsidRDefault="00614A2D" w:rsidP="000B7BEE">
      <w:pPr>
        <w:pStyle w:val="mezera"/>
        <w:rPr>
          <w:lang w:eastAsia="x-none"/>
        </w:rPr>
      </w:pPr>
    </w:p>
    <w:p w:rsidR="00614A2D" w:rsidRDefault="00614A2D" w:rsidP="000B7BEE">
      <w:pPr>
        <w:rPr>
          <w:bCs/>
        </w:rPr>
      </w:pPr>
      <w:r w:rsidRPr="00B6188A">
        <w:t>Podíl zaměstnanců podle jednotlivých výrobních oborů v rámci Výroby potravinářských výrobků u podnikatelských subjektů s 50 a více zaměstnanc</w:t>
      </w:r>
      <w:r>
        <w:t>i (tab. T10.3/06) se v roce 2014 vzhledem k roku 2013</w:t>
      </w:r>
      <w:r w:rsidRPr="00B6188A">
        <w:t xml:space="preserve"> výrazně nezměnil. Nejvýznamnější výrobní skupinou z hlediska zaměstnanosti byla </w:t>
      </w:r>
      <w:r w:rsidRPr="00B6188A">
        <w:rPr>
          <w:iCs/>
        </w:rPr>
        <w:t>Výroba pekařských, cukrářských a jiných moučných výrobků</w:t>
      </w:r>
      <w:r w:rsidRPr="00B6188A">
        <w:rPr>
          <w:bCs/>
        </w:rPr>
        <w:t xml:space="preserve"> (</w:t>
      </w:r>
      <w:r>
        <w:rPr>
          <w:bCs/>
        </w:rPr>
        <w:t>CZ</w:t>
      </w:r>
      <w:r>
        <w:rPr>
          <w:bCs/>
        </w:rPr>
        <w:noBreakHyphen/>
        <w:t>NACE</w:t>
      </w:r>
      <w:r w:rsidRPr="00B6188A">
        <w:rPr>
          <w:bCs/>
        </w:rPr>
        <w:t xml:space="preserve"> </w:t>
      </w:r>
      <w:r w:rsidRPr="00B6188A">
        <w:rPr>
          <w:bCs/>
        </w:rPr>
        <w:lastRenderedPageBreak/>
        <w:t>10.7)</w:t>
      </w:r>
      <w:r w:rsidRPr="00B6188A">
        <w:t>, jejíž podíl se meziročně téměř nezměnil (</w:t>
      </w:r>
      <w:r>
        <w:t>mírný pokles</w:t>
      </w:r>
      <w:r w:rsidRPr="00B6188A">
        <w:t xml:space="preserve"> o 0,1 % na </w:t>
      </w:r>
      <w:r>
        <w:t>31,4</w:t>
      </w:r>
      <w:r w:rsidRPr="00B6188A">
        <w:t xml:space="preserve"> %). Druhou pozici si dlouhodobě udržuje obor </w:t>
      </w:r>
      <w:r w:rsidRPr="00B6188A">
        <w:rPr>
          <w:bCs/>
        </w:rPr>
        <w:t>Zpracování a konzervování masa a masných výrobků (</w:t>
      </w:r>
      <w:r>
        <w:rPr>
          <w:bCs/>
        </w:rPr>
        <w:t>CZ</w:t>
      </w:r>
      <w:r>
        <w:rPr>
          <w:bCs/>
        </w:rPr>
        <w:noBreakHyphen/>
        <w:t>NACE</w:t>
      </w:r>
      <w:r w:rsidRPr="00B6188A">
        <w:rPr>
          <w:bCs/>
        </w:rPr>
        <w:t xml:space="preserve"> 10.1)</w:t>
      </w:r>
      <w:r w:rsidRPr="00B6188A">
        <w:t xml:space="preserve"> </w:t>
      </w:r>
      <w:r>
        <w:t xml:space="preserve">s podílem 24,6 % </w:t>
      </w:r>
      <w:r w:rsidRPr="00B6188A">
        <w:t>(</w:t>
      </w:r>
      <w:r>
        <w:t>pokles o 0,4 %)</w:t>
      </w:r>
      <w:r w:rsidRPr="00B6188A">
        <w:t xml:space="preserve"> na celkovém počtu pracovníků Výroby potravinářských výrobků. Nejmenší podíl tradičně patří </w:t>
      </w:r>
      <w:r w:rsidRPr="00B6188A">
        <w:rPr>
          <w:bCs/>
        </w:rPr>
        <w:t>Zpracování a konzervování ryb, korýšů a měkkýšů</w:t>
      </w:r>
      <w:r w:rsidRPr="00B6188A">
        <w:rPr>
          <w:b/>
          <w:bCs/>
        </w:rPr>
        <w:t xml:space="preserve"> </w:t>
      </w:r>
      <w:r w:rsidRPr="00B6188A">
        <w:rPr>
          <w:bCs/>
        </w:rPr>
        <w:t>(</w:t>
      </w:r>
      <w:r>
        <w:rPr>
          <w:bCs/>
        </w:rPr>
        <w:t>CZ</w:t>
      </w:r>
      <w:r>
        <w:rPr>
          <w:bCs/>
        </w:rPr>
        <w:noBreakHyphen/>
        <w:t>NACE</w:t>
      </w:r>
      <w:r w:rsidRPr="00B6188A">
        <w:rPr>
          <w:bCs/>
        </w:rPr>
        <w:t xml:space="preserve"> 10.2)</w:t>
      </w:r>
      <w:r>
        <w:rPr>
          <w:bCs/>
        </w:rPr>
        <w:t>, tj. 0,9 %</w:t>
      </w:r>
      <w:r w:rsidRPr="00B6188A">
        <w:rPr>
          <w:b/>
          <w:bCs/>
        </w:rPr>
        <w:t xml:space="preserve"> </w:t>
      </w:r>
      <w:r w:rsidRPr="00B6188A">
        <w:t xml:space="preserve">a </w:t>
      </w:r>
      <w:r w:rsidRPr="00B6188A">
        <w:rPr>
          <w:iCs/>
        </w:rPr>
        <w:t>Výrobě rostlinných a živočišných olejů a tuků</w:t>
      </w:r>
      <w:r w:rsidRPr="00B6188A">
        <w:rPr>
          <w:bCs/>
        </w:rPr>
        <w:t xml:space="preserve"> (</w:t>
      </w:r>
      <w:r>
        <w:rPr>
          <w:bCs/>
        </w:rPr>
        <w:t>CZ</w:t>
      </w:r>
      <w:r>
        <w:rPr>
          <w:bCs/>
        </w:rPr>
        <w:noBreakHyphen/>
        <w:t>NACE</w:t>
      </w:r>
      <w:r w:rsidRPr="00ED1132">
        <w:rPr>
          <w:bCs/>
        </w:rPr>
        <w:t xml:space="preserve"> 10.4), tj. </w:t>
      </w:r>
      <w:r>
        <w:rPr>
          <w:bCs/>
        </w:rPr>
        <w:t xml:space="preserve">zastoupení </w:t>
      </w:r>
      <w:r w:rsidRPr="00ED1132">
        <w:rPr>
          <w:bCs/>
        </w:rPr>
        <w:t>1,1 %.</w:t>
      </w:r>
    </w:p>
    <w:p w:rsidR="00614A2D" w:rsidRPr="00580FE7" w:rsidRDefault="00614A2D" w:rsidP="000B7BEE">
      <w:pPr>
        <w:pStyle w:val="mezera"/>
        <w:rPr>
          <w:lang w:eastAsia="x-none"/>
        </w:rPr>
      </w:pPr>
    </w:p>
    <w:p w:rsidR="00614A2D" w:rsidRPr="00580FE7" w:rsidRDefault="006665A6" w:rsidP="000B7BEE">
      <w:pPr>
        <w:pStyle w:val="mezera"/>
        <w:rPr>
          <w:lang w:eastAsia="x-none"/>
        </w:rPr>
      </w:pPr>
      <w:r w:rsidRPr="006665A6">
        <w:rPr>
          <w:noProof/>
          <w:lang w:eastAsia="cs-CZ"/>
        </w:rPr>
        <w:drawing>
          <wp:inline distT="0" distB="0" distL="0" distR="0" wp14:anchorId="246DF20F" wp14:editId="28EC00AB">
            <wp:extent cx="4705985" cy="304990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05985" cy="3049905"/>
                    </a:xfrm>
                    <a:prstGeom prst="rect">
                      <a:avLst/>
                    </a:prstGeom>
                    <a:noFill/>
                    <a:ln>
                      <a:noFill/>
                    </a:ln>
                  </pic:spPr>
                </pic:pic>
              </a:graphicData>
            </a:graphic>
          </wp:inline>
        </w:drawing>
      </w:r>
    </w:p>
    <w:p w:rsidR="00614A2D" w:rsidRPr="00580FE7" w:rsidRDefault="00614A2D" w:rsidP="000B7BEE">
      <w:pPr>
        <w:pStyle w:val="mezera"/>
        <w:rPr>
          <w:lang w:eastAsia="x-none"/>
        </w:rPr>
      </w:pPr>
    </w:p>
    <w:p w:rsidR="0071343A" w:rsidRDefault="0071343A" w:rsidP="0071343A">
      <w:pPr>
        <w:pStyle w:val="Nadpis1"/>
        <w:numPr>
          <w:ilvl w:val="0"/>
          <w:numId w:val="10"/>
        </w:numPr>
        <w:tabs>
          <w:tab w:val="clear" w:pos="432"/>
          <w:tab w:val="num" w:pos="567"/>
        </w:tabs>
        <w:ind w:left="567" w:hanging="567"/>
      </w:pPr>
      <w:bookmarkStart w:id="281" w:name="_Toc424307107"/>
      <w:bookmarkEnd w:id="134"/>
      <w:bookmarkEnd w:id="135"/>
      <w:r>
        <w:t>11</w:t>
      </w:r>
      <w:r>
        <w:tab/>
        <w:t>Souhrnné hodnocení agrární politiky</w:t>
      </w:r>
      <w:bookmarkEnd w:id="281"/>
    </w:p>
    <w:p w:rsidR="00B60D53" w:rsidRPr="00F96137" w:rsidRDefault="00B60D53" w:rsidP="00B60D53">
      <w:pPr>
        <w:pStyle w:val="souhrn-kap"/>
      </w:pPr>
      <w:r w:rsidRPr="00F96137">
        <w:t>Srovnávané období 2013 a 2014 je charakteristické tím, že rok 2013 byl konečným rokem rozpočtového období 2007</w:t>
      </w:r>
      <w:r w:rsidRPr="00F96137">
        <w:noBreakHyphen/>
        <w:t xml:space="preserve">2013 (ve kterém přímé platby EU dosáhly 100% úrovně v porovnání se vstupním rokem 2004) a rok 2014 byl vstupním rokem do nového rozpočtového období 2014-2020, s překryvy poskytování některých podpor z předchozího období. V meziročním srovnání se zvýšily celkové podpory agrárnímu sektoru ze </w:t>
      </w:r>
      <w:r>
        <w:t>45,8 mld. </w:t>
      </w:r>
      <w:r w:rsidRPr="00F96137">
        <w:t xml:space="preserve">Kč v roce 2013 na </w:t>
      </w:r>
      <w:r w:rsidR="007320A3">
        <w:t>49,4</w:t>
      </w:r>
      <w:r w:rsidRPr="00F96137">
        <w:t xml:space="preserve"> mld. Kč v roce 2014, tj. o </w:t>
      </w:r>
      <w:r w:rsidR="007320A3">
        <w:t>7,8</w:t>
      </w:r>
      <w:r w:rsidRPr="00F96137">
        <w:t> % zejména v důsledku zhruba 8% navýšení podpor jak ze zdrojů EU</w:t>
      </w:r>
      <w:r>
        <w:t>,</w:t>
      </w:r>
      <w:r w:rsidRPr="00F96137">
        <w:t xml:space="preserve"> tak rezortu MZe. Od roku 2013 jsou evidovány jako podpory ze strany spotřebitelů i podpory výroby energie v zemědělských podnicích v podobě tzv. zelených bonusů, které v roční výši </w:t>
      </w:r>
      <w:r w:rsidR="007320A3">
        <w:t>4,6</w:t>
      </w:r>
      <w:r w:rsidRPr="00F96137">
        <w:t xml:space="preserve"> mld. Kč tvoří významnou část podpor odvětví. Přímé podpory samotným zemědělským podnikům (tj. bez výdajů na tzv. obecné služby) se meziročně zvýšily o </w:t>
      </w:r>
      <w:r w:rsidR="007320A3">
        <w:t>9,0</w:t>
      </w:r>
      <w:r w:rsidRPr="00F96137">
        <w:t xml:space="preserve"> % na </w:t>
      </w:r>
      <w:r w:rsidR="007320A3">
        <w:t>41,6</w:t>
      </w:r>
      <w:r w:rsidRPr="00F96137">
        <w:t xml:space="preserve"> mld. Kč. Největší část veškerých podpor (</w:t>
      </w:r>
      <w:r w:rsidR="007320A3">
        <w:t>50,5</w:t>
      </w:r>
      <w:r w:rsidRPr="00F96137">
        <w:t xml:space="preserve"> %) nadále představují přímé platby. Podíl podpor ze zdrojů EU se meziročně </w:t>
      </w:r>
      <w:r w:rsidR="007320A3">
        <w:t xml:space="preserve">mírně </w:t>
      </w:r>
      <w:r w:rsidRPr="00F96137">
        <w:t xml:space="preserve">zvýšil na </w:t>
      </w:r>
      <w:r w:rsidR="007320A3">
        <w:t>69,3</w:t>
      </w:r>
      <w:r w:rsidRPr="00F96137">
        <w:t> %. Z hlediska cílů politiky převažují podpory příjmů podniků včetně plateb LFA (</w:t>
      </w:r>
      <w:r w:rsidR="007320A3">
        <w:t>59,6</w:t>
      </w:r>
      <w:r w:rsidRPr="00F96137">
        <w:t xml:space="preserve"> % celkových podpor). Agrární politika se tak nadále významně podílí především na zlepšování důchodové situace zemědělských podniků. Veškeré přímé podpory těmto podnikům v roce 2014 převyšují 11 tis. Kč/ha z. p., resp. 400 </w:t>
      </w:r>
      <w:r>
        <w:t>tis. Kč na 1 </w:t>
      </w:r>
      <w:r w:rsidRPr="00F96137">
        <w:t>přepočítaného pracovníka. Podíl podpor na ekonomických výsledcích podniků je mimořádně vysoký</w:t>
      </w:r>
      <w:r>
        <w:t xml:space="preserve"> a </w:t>
      </w:r>
      <w:r w:rsidRPr="00F96137">
        <w:t>nadále představuje významnou bariéru zvyšování celkové efektivnosti odvětví. Podmínky poskytování podpor s faktickou preferencí velkých podniků navíc nepřinášejí dostatečné stimuly ke zlepšování vztahu zemědělství k životnímu prostředí, zaměstnanosti ve</w:t>
      </w:r>
      <w:r>
        <w:t>nkova a </w:t>
      </w:r>
      <w:r w:rsidRPr="00F96137">
        <w:t>jeho komplexnímu rozvoji.</w:t>
      </w:r>
    </w:p>
    <w:p w:rsidR="0071343A" w:rsidRDefault="0071343A" w:rsidP="0071343A">
      <w:r w:rsidRPr="001605B3">
        <w:lastRenderedPageBreak/>
        <w:t xml:space="preserve">Souhrnné hodnocení agrární politiky se týká podpor agrárnímu sektoru </w:t>
      </w:r>
      <w:r>
        <w:t>věcně vztažených k roku 2014</w:t>
      </w:r>
      <w:r w:rsidRPr="001605B3">
        <w:t xml:space="preserve"> a vyplacených k 30. 6. </w:t>
      </w:r>
      <w:r>
        <w:t>2015</w:t>
      </w:r>
      <w:r w:rsidRPr="001605B3">
        <w:t xml:space="preserve"> (předpoklad)</w:t>
      </w:r>
      <w:r>
        <w:t>, v porovnání s rokem 2013</w:t>
      </w:r>
      <w:r w:rsidRPr="001605B3">
        <w:t>. Výjimku tvoří podpory PRV a OP Rybářství, kde jsou zahrnuty podpory skutečně vyplacené k 31. 12.</w:t>
      </w:r>
      <w:r>
        <w:t> 2014</w:t>
      </w:r>
      <w:r w:rsidRPr="002D7CF8">
        <w:rPr>
          <w:rStyle w:val="Znakapoznpodarou"/>
        </w:rPr>
        <w:footnoteReference w:id="191"/>
      </w:r>
      <w:r w:rsidRPr="001605B3">
        <w:t>.</w:t>
      </w:r>
    </w:p>
    <w:p w:rsidR="0071343A" w:rsidRPr="003B792B" w:rsidRDefault="0071343A" w:rsidP="0071343A">
      <w:r w:rsidRPr="006B7A24">
        <w:t xml:space="preserve">Rok 2013 </w:t>
      </w:r>
      <w:r>
        <w:t xml:space="preserve">byl </w:t>
      </w:r>
      <w:r w:rsidRPr="006B7A24">
        <w:t>konečným rokem rozpočtového období 2007</w:t>
      </w:r>
      <w:r>
        <w:noBreakHyphen/>
      </w:r>
      <w:r w:rsidRPr="006B7A24">
        <w:t>2013, v</w:t>
      </w:r>
      <w:r>
        <w:t>e</w:t>
      </w:r>
      <w:r w:rsidRPr="006B7A24">
        <w:t xml:space="preserve"> kterém přímé platby EU dosáhly 100% úrovně v porovnání se vstupním rokem 2004.</w:t>
      </w:r>
      <w:r>
        <w:t xml:space="preserve"> V souladu s Víceletým finančním rámcem EU a s aplikací tzv. finanční </w:t>
      </w:r>
      <w:r w:rsidRPr="006B7A24">
        <w:t>disciplíny</w:t>
      </w:r>
      <w:r>
        <w:t xml:space="preserve"> v EU pro rok 2013 byly přímé platby u podniků, kde tyto platby převýšily 2 000 €, sníženy o 2,45 %. Rok 2014 pak představuje první rok nového rozpočtového období 2014–2020 s více přechodnými opatřeními před konečnými rozhodnutími o SZP v EU i ČR od roku 2015. Poprvé jsou za rok </w:t>
      </w:r>
      <w:r w:rsidRPr="003B792B">
        <w:t>2013 i 2014 evidovány také přímé podpory výroby energie ze zemědělských BPS, které hradí spotřebitelé energie a které tvoří velmi významnou součást celkových podpor odvětví</w:t>
      </w:r>
      <w:r w:rsidRPr="003B792B">
        <w:rPr>
          <w:rStyle w:val="Znakapoznpodarou"/>
        </w:rPr>
        <w:footnoteReference w:id="192"/>
      </w:r>
      <w:r w:rsidR="003B792B">
        <w:t>.</w:t>
      </w:r>
    </w:p>
    <w:p w:rsidR="003B792B" w:rsidRDefault="0071343A" w:rsidP="0071343A">
      <w:pPr>
        <w:suppressAutoHyphens w:val="0"/>
      </w:pPr>
      <w:r w:rsidRPr="003B792B">
        <w:t>Souhrnná rekapitulace výdajů na podporu agrárního sektoru v období 2013</w:t>
      </w:r>
      <w:r w:rsidRPr="003B792B">
        <w:noBreakHyphen/>
        <w:t xml:space="preserve">14 podle hlavních institucí je uvedena v tab. T11/01. Celkové podpory po započtení evidovaných podpor OZE se v roce 2014 meziročně zvýšily ze 45,8 mld. Kč na </w:t>
      </w:r>
      <w:r w:rsidR="007320A3">
        <w:t>49,4</w:t>
      </w:r>
      <w:r w:rsidRPr="003B792B">
        <w:t> mld. Kč</w:t>
      </w:r>
      <w:r w:rsidRPr="003B792B">
        <w:rPr>
          <w:rStyle w:val="Znakapoznpodarou"/>
        </w:rPr>
        <w:footnoteReference w:id="193"/>
      </w:r>
      <w:r w:rsidRPr="003B792B">
        <w:t>, tj. o </w:t>
      </w:r>
      <w:r w:rsidR="007320A3">
        <w:t>7,8</w:t>
      </w:r>
      <w:r w:rsidRPr="003B792B">
        <w:t xml:space="preserve"> %. Podpory samotným zemědělským podnikům (tj. bez výdajů na tzv. obecné služby) se zvýšily z 38,2 mld. Kč na </w:t>
      </w:r>
      <w:r w:rsidR="007320A3">
        <w:t>41,6</w:t>
      </w:r>
      <w:r w:rsidRPr="003B792B">
        <w:t xml:space="preserve"> mld. Kč, tj. o </w:t>
      </w:r>
      <w:r w:rsidR="007320A3">
        <w:t>9,0</w:t>
      </w:r>
      <w:r w:rsidRPr="003B792B">
        <w:t> %. Nejvíce k této meziroční změně přispělo meziroční zvýšení výdajů jak ze zdrojů EU</w:t>
      </w:r>
      <w:r w:rsidR="0093138E">
        <w:t>,</w:t>
      </w:r>
      <w:r w:rsidRPr="003B792B">
        <w:t xml:space="preserve"> tak rezortu MZe o zhruba 8 %</w:t>
      </w:r>
      <w:r w:rsidR="007320A3">
        <w:rPr>
          <w:szCs w:val="24"/>
        </w:rPr>
        <w:t>; o více než 16 % meziročně vzrostly i podpory OZE</w:t>
      </w:r>
      <w:r w:rsidRPr="003B792B">
        <w:t>.</w:t>
      </w:r>
    </w:p>
    <w:p w:rsidR="0071343A" w:rsidRPr="003B792B" w:rsidRDefault="0071343A" w:rsidP="0071343A">
      <w:pPr>
        <w:pStyle w:val="mezera"/>
      </w:pPr>
    </w:p>
    <w:p w:rsidR="0071343A" w:rsidRDefault="007D354E" w:rsidP="0071343A">
      <w:pPr>
        <w:pStyle w:val="mezera"/>
      </w:pPr>
      <w:r w:rsidRPr="007D354E">
        <w:rPr>
          <w:noProof/>
          <w:lang w:eastAsia="cs-CZ"/>
        </w:rPr>
        <w:lastRenderedPageBreak/>
        <w:drawing>
          <wp:inline distT="0" distB="0" distL="0" distR="0" wp14:anchorId="00E26416" wp14:editId="082649CE">
            <wp:extent cx="5760720" cy="3606877"/>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60720" cy="3606877"/>
                    </a:xfrm>
                    <a:prstGeom prst="rect">
                      <a:avLst/>
                    </a:prstGeom>
                    <a:noFill/>
                    <a:ln>
                      <a:noFill/>
                    </a:ln>
                  </pic:spPr>
                </pic:pic>
              </a:graphicData>
            </a:graphic>
          </wp:inline>
        </w:drawing>
      </w:r>
    </w:p>
    <w:p w:rsidR="007F217C" w:rsidRPr="003B792B" w:rsidRDefault="007F217C" w:rsidP="0071343A">
      <w:pPr>
        <w:pStyle w:val="mezera"/>
      </w:pPr>
    </w:p>
    <w:p w:rsidR="0071343A" w:rsidRPr="003B792B" w:rsidRDefault="0071343A" w:rsidP="0071343A">
      <w:r w:rsidRPr="003B792B">
        <w:t>Podpory podle hlavních směrů a zdrojů (ČR, EU) jsou uvedeny v tab. T11/02. Největší podíl podpor připadl v roce 201</w:t>
      </w:r>
      <w:r w:rsidR="0093138E">
        <w:t>4</w:t>
      </w:r>
      <w:r w:rsidRPr="003B792B">
        <w:t xml:space="preserve"> na přímé platby (</w:t>
      </w:r>
      <w:r w:rsidR="007D354E">
        <w:t>50,5</w:t>
      </w:r>
      <w:r w:rsidRPr="003B792B">
        <w:t> %), což představuje proti roku 2013 další nárůst podílu (o </w:t>
      </w:r>
      <w:r w:rsidR="007D354E">
        <w:t>0,9</w:t>
      </w:r>
      <w:r w:rsidRPr="003B792B">
        <w:t> p. b.). Druhou největší složku podpor představují podpory v rámci PRV, jejichž podíl v roce 2014 na úrovni 25,</w:t>
      </w:r>
      <w:r w:rsidR="007D354E">
        <w:t>4</w:t>
      </w:r>
      <w:r w:rsidRPr="003B792B">
        <w:t> % se proti roku 2013 zvýšil o 1,</w:t>
      </w:r>
      <w:r w:rsidR="007D354E">
        <w:t>3</w:t>
      </w:r>
      <w:r w:rsidRPr="003B792B">
        <w:t xml:space="preserve"> p. b. V důsledku započtení podpor OZE podíl podpor organizace trhu a cen v roce 2014 převýšil </w:t>
      </w:r>
      <w:r w:rsidR="007D354E">
        <w:t>10</w:t>
      </w:r>
      <w:r w:rsidRPr="003B792B">
        <w:t> %.</w:t>
      </w:r>
      <w:r w:rsidR="003B792B">
        <w:t xml:space="preserve"> </w:t>
      </w:r>
      <w:r w:rsidRPr="003B792B">
        <w:t xml:space="preserve">Podíl zdrojů EU na celkových podporách do českého agrárního sektoru se </w:t>
      </w:r>
      <w:r w:rsidR="007D354E">
        <w:rPr>
          <w:szCs w:val="24"/>
        </w:rPr>
        <w:t xml:space="preserve">meziročně mírně </w:t>
      </w:r>
      <w:r w:rsidRPr="003B792B">
        <w:t xml:space="preserve">zvýšil na </w:t>
      </w:r>
      <w:r w:rsidR="007D354E">
        <w:t>69,3</w:t>
      </w:r>
      <w:r w:rsidRPr="003B792B">
        <w:t xml:space="preserve"> %. Podrobnější rekapitulace výdajů do agrokomplexu ČR podle hlavních směrů podpor je uvedena v přílohové tab. 11/01.</w:t>
      </w:r>
    </w:p>
    <w:p w:rsidR="0071343A" w:rsidRPr="003B792B" w:rsidRDefault="0071343A" w:rsidP="0071343A">
      <w:pPr>
        <w:pStyle w:val="mezera"/>
      </w:pPr>
    </w:p>
    <w:p w:rsidR="007F217C" w:rsidRDefault="007D354E" w:rsidP="0071343A">
      <w:pPr>
        <w:pStyle w:val="mezera"/>
        <w:rPr>
          <w:noProof/>
          <w:lang w:eastAsia="en-GB"/>
        </w:rPr>
      </w:pPr>
      <w:r w:rsidRPr="007D354E">
        <w:rPr>
          <w:noProof/>
          <w:lang w:eastAsia="cs-CZ"/>
        </w:rPr>
        <w:lastRenderedPageBreak/>
        <w:drawing>
          <wp:inline distT="0" distB="0" distL="0" distR="0" wp14:anchorId="3FEA24F3" wp14:editId="14985DB4">
            <wp:extent cx="5760720" cy="3548420"/>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60720" cy="3548420"/>
                    </a:xfrm>
                    <a:prstGeom prst="rect">
                      <a:avLst/>
                    </a:prstGeom>
                    <a:noFill/>
                    <a:ln>
                      <a:noFill/>
                    </a:ln>
                  </pic:spPr>
                </pic:pic>
              </a:graphicData>
            </a:graphic>
          </wp:inline>
        </w:drawing>
      </w:r>
    </w:p>
    <w:p w:rsidR="007207D3" w:rsidRPr="003B792B" w:rsidRDefault="007207D3" w:rsidP="0071343A">
      <w:pPr>
        <w:pStyle w:val="mezera"/>
      </w:pPr>
    </w:p>
    <w:p w:rsidR="0071343A" w:rsidRPr="003B792B" w:rsidRDefault="0071343A" w:rsidP="0071343A">
      <w:r w:rsidRPr="003B792B">
        <w:t>Z tab. T11/03 vyplývá, že absolutně největší část z celkových podpor získává trvale sektor zemědělství (</w:t>
      </w:r>
      <w:r w:rsidR="007D354E">
        <w:t>91</w:t>
      </w:r>
      <w:r w:rsidRPr="003B792B">
        <w:t> % v roce 2014), následován podporami venkova (6,</w:t>
      </w:r>
      <w:r w:rsidR="007D354E">
        <w:t>2</w:t>
      </w:r>
      <w:r w:rsidRPr="003B792B">
        <w:t> % v roce 2014). Podílu zpracovatelského (potravinářského) průmyslu na celkových podporách činil v obou sledovaných letech pouze 0,5 %.</w:t>
      </w:r>
    </w:p>
    <w:p w:rsidR="0071343A" w:rsidRDefault="0071343A" w:rsidP="007F217C">
      <w:pPr>
        <w:pStyle w:val="mezera"/>
      </w:pPr>
    </w:p>
    <w:p w:rsidR="007F217C" w:rsidRDefault="007D354E" w:rsidP="007F217C">
      <w:pPr>
        <w:pStyle w:val="mezera"/>
      </w:pPr>
      <w:r w:rsidRPr="007D354E">
        <w:rPr>
          <w:noProof/>
          <w:lang w:eastAsia="cs-CZ"/>
        </w:rPr>
        <w:lastRenderedPageBreak/>
        <w:drawing>
          <wp:inline distT="0" distB="0" distL="0" distR="0" wp14:anchorId="344F6EE6" wp14:editId="665E4358">
            <wp:extent cx="5760720" cy="6139221"/>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60720" cy="6139221"/>
                    </a:xfrm>
                    <a:prstGeom prst="rect">
                      <a:avLst/>
                    </a:prstGeom>
                    <a:noFill/>
                    <a:ln>
                      <a:noFill/>
                    </a:ln>
                  </pic:spPr>
                </pic:pic>
              </a:graphicData>
            </a:graphic>
          </wp:inline>
        </w:drawing>
      </w:r>
    </w:p>
    <w:p w:rsidR="007F217C" w:rsidRPr="003B792B" w:rsidRDefault="007F217C" w:rsidP="007F217C">
      <w:pPr>
        <w:pStyle w:val="mezera"/>
      </w:pPr>
    </w:p>
    <w:p w:rsidR="0071343A" w:rsidRPr="003B792B" w:rsidRDefault="0071343A" w:rsidP="0071343A">
      <w:r w:rsidRPr="003B792B">
        <w:t xml:space="preserve">Podle klasifikace EU se největší část podpor nadále soustřeďuje v Pilíři I (důchodové podpory </w:t>
      </w:r>
      <w:r w:rsidR="007D354E">
        <w:t>–</w:t>
      </w:r>
      <w:r w:rsidRPr="003B792B">
        <w:t xml:space="preserve"> podpory příjmů podniků). Podpory v tomto pilíři včetně podpory cen v roce 2014 zaujímaly 65,</w:t>
      </w:r>
      <w:r w:rsidR="007D354E">
        <w:t>7</w:t>
      </w:r>
      <w:r w:rsidRPr="003B792B">
        <w:t> % z celkových podpor</w:t>
      </w:r>
      <w:r w:rsidRPr="003B792B">
        <w:rPr>
          <w:rStyle w:val="Znakapoznpodarou"/>
        </w:rPr>
        <w:footnoteReference w:id="194"/>
      </w:r>
      <w:r w:rsidRPr="003B792B">
        <w:t>.</w:t>
      </w:r>
    </w:p>
    <w:p w:rsidR="003B792B" w:rsidRDefault="0071343A" w:rsidP="0071343A">
      <w:r w:rsidRPr="003B792B">
        <w:t>Převažující orientace agrární politiky na podporu příjmů a produkce dokumentuje v tab. T11/03 i rozdělení podpor zemědělským podnikům podle klasifikace OECD (podle tzv. implementačního kritéria). Tyto podpory (kategorie A, B, C, E) se ve sledovaných letech pohybovaly v rozmezí 85</w:t>
      </w:r>
      <w:r w:rsidRPr="003B792B">
        <w:noBreakHyphen/>
        <w:t xml:space="preserve">86 %. Míra žádoucího oddělení podpor od produkce, tj. podíl na </w:t>
      </w:r>
      <w:r w:rsidRPr="003B792B">
        <w:lastRenderedPageBreak/>
        <w:t xml:space="preserve">produkci nevázaných a ostatních nekomoditních podpor (podpory kategorie E, F, G) na celkových podporách (bez podpory obecných služeb) se z 62,6 % v roce 2013 snížila na </w:t>
      </w:r>
      <w:r w:rsidR="00DF2CEA">
        <w:t>59</w:t>
      </w:r>
      <w:r w:rsidRPr="003B792B">
        <w:t>,4 % v roce 2013</w:t>
      </w:r>
      <w:r w:rsidRPr="003B792B">
        <w:rPr>
          <w:rStyle w:val="Znakapoznpodarou"/>
        </w:rPr>
        <w:footnoteReference w:id="195"/>
      </w:r>
      <w:r w:rsidRPr="003B792B">
        <w:t>.</w:t>
      </w:r>
    </w:p>
    <w:p w:rsidR="0071343A" w:rsidRPr="003B792B" w:rsidRDefault="0071343A" w:rsidP="0071343A">
      <w:r w:rsidRPr="003B792B">
        <w:t>Měřeno podílem plateb SAPS na celkových přímých platbách dosáhla v roce 2014 míra oddělení přímých plateb od produkce 85,5 %, zatímco v roce 2013 tato míra dosahovala 91,5 %. Je to důsledek zvyšování podílu podpor vázaných na produkci jako jedné z významných charakteristik politiky v novém období 2014–2020.</w:t>
      </w:r>
    </w:p>
    <w:p w:rsidR="0071343A" w:rsidRPr="003B792B" w:rsidRDefault="0071343A" w:rsidP="0071343A">
      <w:r w:rsidRPr="003B792B">
        <w:t xml:space="preserve">Tab. T11/04 je orientačním přehledem o rozdělení podpor agrárnímu sektoru ČR v členění podle dlouhodobých cílů agrární politiky. Dlouhodobě nejvíce podpor připadá na podpory příjmů podniků (včetně plateb LFA), jejichž podíl se v roce 2014 zvýšil na </w:t>
      </w:r>
      <w:r w:rsidR="00DF2CEA">
        <w:t>59,6</w:t>
      </w:r>
      <w:r w:rsidRPr="003B792B">
        <w:t xml:space="preserve"> % (v roce 2013 podíl činil 58,5 %). Druhý největší objem podpor se týká zlepšování vztahu zemědělství k životnímu prostředí a venkovu (dohromady kolem 20 % v obou sledovaných letech). Souhrnný podíl podpor na rozvoj podnikatelské struktury, </w:t>
      </w:r>
      <w:r w:rsidR="0032098E">
        <w:t>restrukturalizaci a </w:t>
      </w:r>
      <w:r w:rsidRPr="003B792B">
        <w:t xml:space="preserve">modernizaci, tedy podpor orientovaných více na zvyšování konkurenceschopnosti agrárního sektoru, v obou sledovaných letech dosahuje pouze kolem 11 %. Proti předchozím rokům v důsledku evidence podpor OZE se jejich podíl výrazně zvýšil a v roce 2014 dosahuje </w:t>
      </w:r>
      <w:r w:rsidR="00DF2CEA">
        <w:t>9,2</w:t>
      </w:r>
      <w:r w:rsidR="00DF2CEA" w:rsidRPr="003B792B">
        <w:t> </w:t>
      </w:r>
      <w:r w:rsidRPr="003B792B">
        <w:t>% celkových podpor.</w:t>
      </w:r>
    </w:p>
    <w:p w:rsidR="0071343A" w:rsidRPr="003B792B" w:rsidRDefault="0071343A" w:rsidP="0071343A">
      <w:pPr>
        <w:pStyle w:val="mezera"/>
      </w:pPr>
    </w:p>
    <w:p w:rsidR="007F217C" w:rsidRDefault="00DF2CEA" w:rsidP="0071343A">
      <w:pPr>
        <w:pStyle w:val="mezera"/>
        <w:rPr>
          <w:noProof/>
          <w:lang w:eastAsia="en-GB"/>
        </w:rPr>
      </w:pPr>
      <w:r w:rsidRPr="00DF2CEA">
        <w:rPr>
          <w:noProof/>
          <w:lang w:eastAsia="cs-CZ"/>
        </w:rPr>
        <w:drawing>
          <wp:inline distT="0" distB="0" distL="0" distR="0" wp14:anchorId="494A8659" wp14:editId="4B10D614">
            <wp:extent cx="5913755" cy="3019425"/>
            <wp:effectExtent l="0" t="0" r="0" b="9525"/>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13755" cy="3019425"/>
                    </a:xfrm>
                    <a:prstGeom prst="rect">
                      <a:avLst/>
                    </a:prstGeom>
                    <a:noFill/>
                    <a:ln>
                      <a:noFill/>
                    </a:ln>
                  </pic:spPr>
                </pic:pic>
              </a:graphicData>
            </a:graphic>
          </wp:inline>
        </w:drawing>
      </w:r>
    </w:p>
    <w:p w:rsidR="0032098E" w:rsidRPr="003B792B" w:rsidRDefault="0032098E" w:rsidP="0071343A">
      <w:pPr>
        <w:pStyle w:val="mezera"/>
      </w:pPr>
    </w:p>
    <w:p w:rsidR="0071343A" w:rsidRPr="003B792B" w:rsidRDefault="0071343A" w:rsidP="0071343A">
      <w:r w:rsidRPr="003B792B">
        <w:t xml:space="preserve">Z uvedených údajů je zřejmé, že zemědělská politika ČR je nadále prostřednictvím přímých plateb a plateb LFA orientována především na podporu příjmů zemědělských podniků než na podpory směřující k potřebné restrukturalizaci a zvyšování konkurenceschopnosti zemědělství a potravinářství. Tato tendence se v roce 2014 posílila. Na </w:t>
      </w:r>
      <w:r w:rsidRPr="003B792B">
        <w:lastRenderedPageBreak/>
        <w:t>druhou stranu ve struktuře podpor hrají významnou úlohu podpory zlepšování vztahu zemědělství k životnímu prostředí a rozvoji venkova, avšak v synergii s důchodovými podporami zatím bez výraznějších pozitivních účinků. Dopady zemědělské politiky v roce 2014 lze souhrnně hodnotit následovně:</w:t>
      </w:r>
    </w:p>
    <w:p w:rsidR="0071343A" w:rsidRPr="003B792B" w:rsidRDefault="0071343A" w:rsidP="0071343A">
      <w:pPr>
        <w:pStyle w:val="vet1"/>
      </w:pPr>
      <w:r w:rsidRPr="003B792B">
        <w:t>Podpory se nadále a stále významněji podílejí na podnikatelském důchodu sektoru zemědělství. V přepočtu na jeden ha z. p. (podle evidence LPIS) dosahovaly přímé podpory podnikům (tj. bez podpor tzv. obecných služeb) v roce 2014 zhruba 11 tis. Kč a v kalkulaci na jednoho přepočítaného pracovníka (AWU) již téměř 400 tis. Kč.</w:t>
      </w:r>
    </w:p>
    <w:p w:rsidR="0071343A" w:rsidRPr="003B792B" w:rsidRDefault="0071343A" w:rsidP="0071343A">
      <w:pPr>
        <w:pStyle w:val="vet1"/>
      </w:pPr>
      <w:r w:rsidRPr="003B792B">
        <w:t>Ze závěrů kap. 10.2 je zřejmé, že celé odvětví ani prakticky žádná sledovaná kategorie zemědělských podniků by nebyly bez dané výše podpor dlouhodoběji životaschopná. Podíly podpor v důchodových ukazatelích českých zemědělských podniků zůstávají v rámci EU nadprůměrné a představují „nezdravou“ vázanost českých podniků na daňové poplatníky EU.</w:t>
      </w:r>
    </w:p>
    <w:p w:rsidR="0071343A" w:rsidRPr="003B792B" w:rsidRDefault="0071343A" w:rsidP="0071343A">
      <w:pPr>
        <w:pStyle w:val="vet1"/>
      </w:pPr>
      <w:r w:rsidRPr="003B792B">
        <w:t>Distribuce důchodových a cenových podpor přispívá k vyrovnávání regionálních rozdílů v podmínkách hospodaření zemědělských podniků, avšak nadále existují kategorie podniků s podstatně vyšší úrovní ČPH/AWU, zapříčiněnou nejen tržními podmínkami a efektivností využití zdrojů, ale i alokací těchto podpor. Týká se to i podniků s BPS.</w:t>
      </w:r>
    </w:p>
    <w:p w:rsidR="0071343A" w:rsidRPr="003B792B" w:rsidRDefault="0071343A" w:rsidP="0071343A">
      <w:pPr>
        <w:pStyle w:val="vet1"/>
      </w:pPr>
      <w:r w:rsidRPr="003B792B">
        <w:t>Podpory spojené s produkcí významně zlepšují ekonomiku podniků zaměřených na tzv. citlivé komodity, zejména na chov přežvýkavců. To je v souladu se strategickými záměry rezortu.</w:t>
      </w:r>
    </w:p>
    <w:p w:rsidR="0071343A" w:rsidRPr="003B792B" w:rsidRDefault="0071343A" w:rsidP="0071343A">
      <w:pPr>
        <w:pStyle w:val="vet1"/>
      </w:pPr>
      <w:r w:rsidRPr="003B792B">
        <w:t>Pokračující problémy zejména s erozí půd a vodním režimem krajiny budou vyžadovat rozšíření a zpřísnění opatření zemědělské a environmentální politiky pro jejich řešení.</w:t>
      </w:r>
    </w:p>
    <w:p w:rsidR="0071343A" w:rsidRPr="003B792B" w:rsidRDefault="0071343A" w:rsidP="0071343A">
      <w:pPr>
        <w:pStyle w:val="vet1"/>
      </w:pPr>
      <w:r w:rsidRPr="003B792B">
        <w:t>Podmínky poskytování důchodových podpor spolu s podmínkami trhu nepůsobí zatím dostatečně důrazně na zachovávání či vytváření pracovních příležitostí na venkově. To souvisí s celkovým poklesem živočišné výroby a jiných odvětví náročnějších na množství a kvalitu práce, kde však vyšší vázané podpory v období po roce 2013 mohou přinést pozitivní změny.</w:t>
      </w:r>
    </w:p>
    <w:p w:rsidR="0071343A" w:rsidRPr="003B792B" w:rsidRDefault="0071343A" w:rsidP="0071343A">
      <w:pPr>
        <w:pStyle w:val="vet1"/>
      </w:pPr>
      <w:r w:rsidRPr="003B792B">
        <w:t>Na komplexní rozvoj venkovských oblastí mají nadále podstatně větší vliv jiné politiky a ostatní podmínky, než samotná zemědělská politika. Tento rozvoj by však mohla zemědělská politika posílit větším důrazem podpor na malé a střední formy podnikání, zejmé</w:t>
      </w:r>
      <w:r w:rsidR="003B792B">
        <w:t>na na rozvoj rodinných farem.</w:t>
      </w:r>
    </w:p>
    <w:p w:rsidR="00AD5274" w:rsidRDefault="00AD5274" w:rsidP="00947B86">
      <w:pPr>
        <w:pStyle w:val="Nadpis1-ploha"/>
      </w:pPr>
      <w:bookmarkStart w:id="282" w:name="_Toc424307108"/>
      <w:r>
        <w:lastRenderedPageBreak/>
        <w:t>P1</w:t>
      </w:r>
      <w:r>
        <w:tab/>
        <w:t>Přehled legislativních opatření ve vztahu k agrárnímu sektoru</w:t>
      </w:r>
      <w:bookmarkEnd w:id="282"/>
    </w:p>
    <w:p w:rsidR="00AD5274" w:rsidRPr="001B1FDF" w:rsidRDefault="00AD5274" w:rsidP="001B1FDF">
      <w:pPr>
        <w:pStyle w:val="Nadpis2"/>
      </w:pPr>
      <w:bookmarkStart w:id="283" w:name="_Toc424307109"/>
      <w:r w:rsidRPr="001B1FDF">
        <w:t>1.1</w:t>
      </w:r>
      <w:r w:rsidRPr="001B1FDF">
        <w:tab/>
        <w:t>Přehled legislativních opatření přijatých od 1. 1. 2014 do 1. 3. 2015 a publikovaných ve Sbírce zákonů</w:t>
      </w:r>
      <w:bookmarkEnd w:id="283"/>
    </w:p>
    <w:p w:rsidR="00AD5274" w:rsidRPr="001B1FDF" w:rsidRDefault="00AD5274" w:rsidP="001B1FDF">
      <w:pPr>
        <w:pStyle w:val="Nadpis3"/>
      </w:pPr>
      <w:bookmarkStart w:id="284" w:name="_Toc424307110"/>
      <w:r w:rsidRPr="001B1FDF">
        <w:t>1.1.1</w:t>
      </w:r>
      <w:r w:rsidRPr="001B1FDF">
        <w:tab/>
        <w:t>Zákony</w:t>
      </w:r>
      <w:bookmarkEnd w:id="284"/>
    </w:p>
    <w:p w:rsidR="00AD5274" w:rsidRPr="005546FD" w:rsidRDefault="00AD5274" w:rsidP="00504A6F">
      <w:pPr>
        <w:pStyle w:val="zk-na-vyhl"/>
      </w:pPr>
      <w:r w:rsidRPr="005546FD">
        <w:t>Zákon č. 138/2014 Sb., kterým se mění zákon č. 146/2002 Sb., o Státní zemědělské</w:t>
      </w:r>
      <w:r>
        <w:t xml:space="preserve"> a </w:t>
      </w:r>
      <w:r w:rsidRPr="005546FD">
        <w:t>potravinářské inspekci a o změně některých souvisejících zákonů, ve znění pozdějších předpisů</w:t>
      </w:r>
    </w:p>
    <w:p w:rsidR="00AD5274" w:rsidRDefault="00AD5274" w:rsidP="00504A6F">
      <w:pPr>
        <w:pStyle w:val="N-I-pozn"/>
      </w:pPr>
      <w:r w:rsidRPr="00376348">
        <w:t>(pozn</w:t>
      </w:r>
      <w:r>
        <w:t>.:</w:t>
      </w:r>
      <w:r w:rsidRPr="00376348">
        <w:t xml:space="preserve"> účinnost předpisu od 1</w:t>
      </w:r>
      <w:r>
        <w:t xml:space="preserve">. </w:t>
      </w:r>
      <w:r w:rsidRPr="00376348">
        <w:t>9</w:t>
      </w:r>
      <w:r>
        <w:t xml:space="preserve">. </w:t>
      </w:r>
      <w:r w:rsidRPr="00376348">
        <w:t>2014)</w:t>
      </w:r>
    </w:p>
    <w:p w:rsidR="00AD5274" w:rsidRPr="007C10A5" w:rsidRDefault="00AD5274" w:rsidP="00504A6F">
      <w:pPr>
        <w:pStyle w:val="zk-na-vyhl"/>
      </w:pPr>
      <w:r w:rsidRPr="007C10A5">
        <w:t>Zákon č. 139/2014 Sb., kterým se mění zákon č. 110/1997 Sb., o potravinách a tabákových výrobcích a o změně a doplnění některých souvisejících zákonů, ve znění pozdějších předpisů, a zákon č. 166/1999 Sb., o veterinární péči a o změně některých souvisejících zákonů (veterinární zákon), ve znění pozdějších předpisů</w:t>
      </w:r>
    </w:p>
    <w:p w:rsidR="00AD5274" w:rsidRDefault="00AD5274" w:rsidP="00504A6F">
      <w:pPr>
        <w:pStyle w:val="N-I-pozn"/>
      </w:pPr>
      <w:r w:rsidRPr="007C10A5">
        <w:t>(pozn</w:t>
      </w:r>
      <w:r>
        <w:t>.:</w:t>
      </w:r>
      <w:r w:rsidRPr="007C10A5">
        <w:t xml:space="preserve"> účinnost předpisu od 1</w:t>
      </w:r>
      <w:r>
        <w:t xml:space="preserve">. </w:t>
      </w:r>
      <w:r w:rsidRPr="007C10A5">
        <w:t>1</w:t>
      </w:r>
      <w:r>
        <w:t xml:space="preserve">. </w:t>
      </w:r>
      <w:r w:rsidRPr="007C10A5">
        <w:t>2015)</w:t>
      </w:r>
    </w:p>
    <w:p w:rsidR="00AD5274" w:rsidRPr="007C10A5" w:rsidRDefault="00AD5274" w:rsidP="00504A6F">
      <w:pPr>
        <w:pStyle w:val="zk-na-vyhl"/>
      </w:pPr>
      <w:r w:rsidRPr="007C10A5">
        <w:rPr>
          <w:noProof/>
          <w:szCs w:val="24"/>
        </w:rPr>
        <w:t xml:space="preserve">Zákon č. 179/2014 Sb., </w:t>
      </w:r>
      <w:r w:rsidRPr="007C10A5">
        <w:t>kterým se mění zákon č. 252/1997 Sb., o zemědělství, ve znění pozdějších předpisů, a další související zákony</w:t>
      </w:r>
    </w:p>
    <w:p w:rsidR="00AD5274" w:rsidRDefault="00AD5274" w:rsidP="00504A6F">
      <w:pPr>
        <w:pStyle w:val="N-I-pozn"/>
      </w:pPr>
      <w:r w:rsidRPr="007C10A5">
        <w:t>(pozn</w:t>
      </w:r>
      <w:r>
        <w:t>.:</w:t>
      </w:r>
      <w:r w:rsidRPr="007C10A5">
        <w:t xml:space="preserve"> účinnost předpisu od 1</w:t>
      </w:r>
      <w:r>
        <w:t xml:space="preserve">. </w:t>
      </w:r>
      <w:r w:rsidRPr="007C10A5">
        <w:t>1</w:t>
      </w:r>
      <w:r>
        <w:t xml:space="preserve">. </w:t>
      </w:r>
      <w:r w:rsidRPr="007C10A5">
        <w:t>2015)</w:t>
      </w:r>
    </w:p>
    <w:p w:rsidR="00AD5274" w:rsidRPr="00710AD9" w:rsidRDefault="00AD5274" w:rsidP="00504A6F">
      <w:pPr>
        <w:pStyle w:val="zk-na-vyhl"/>
      </w:pPr>
      <w:r w:rsidRPr="00710AD9">
        <w:t>Zákon č. 263/2014 Sb., kterým se mění zákon č. 156/1998 Sb., o hnojivech, pomocných půdních látkách, pomocných rostlinných přípravcích a substrátech a o agrochemickém zkoušení zemědělských půd (zákon o hnojivech), ve znění pozdějších předpisů</w:t>
      </w:r>
    </w:p>
    <w:p w:rsidR="00AD5274" w:rsidRDefault="00AD5274" w:rsidP="00504A6F">
      <w:pPr>
        <w:pStyle w:val="N-I-pozn"/>
      </w:pPr>
      <w:r w:rsidRPr="00710AD9">
        <w:t>(pozn</w:t>
      </w:r>
      <w:r>
        <w:t>.:</w:t>
      </w:r>
      <w:r w:rsidRPr="00710AD9">
        <w:t xml:space="preserve"> účinnost předpisu od 1</w:t>
      </w:r>
      <w:r>
        <w:t xml:space="preserve">. </w:t>
      </w:r>
      <w:r w:rsidRPr="00710AD9">
        <w:t>1</w:t>
      </w:r>
      <w:r>
        <w:t xml:space="preserve">. </w:t>
      </w:r>
      <w:r w:rsidRPr="00710AD9">
        <w:t>2015)</w:t>
      </w:r>
    </w:p>
    <w:p w:rsidR="00AD5274" w:rsidRPr="006F21B4" w:rsidRDefault="00AD5274" w:rsidP="00504A6F">
      <w:pPr>
        <w:pStyle w:val="zk-na-vyhl"/>
      </w:pPr>
      <w:r w:rsidRPr="006F21B4">
        <w:t>Zákon č. 264/2014 Sb., kterým se mění zákon č. 166/1999 Sb., o veterinární péči a o změně některých souvisejících zákonů (veterinární zákon), ve znění pozdějších předpisů, a zákon č. 634/2004 Sb., o správních poplatcích, ve znění pozdějších předpisů</w:t>
      </w:r>
    </w:p>
    <w:p w:rsidR="00AD5274" w:rsidRDefault="00AD5274" w:rsidP="00504A6F">
      <w:pPr>
        <w:pStyle w:val="N-I-pozn"/>
      </w:pPr>
      <w:r w:rsidRPr="006F21B4">
        <w:t>(pozn</w:t>
      </w:r>
      <w:r>
        <w:t>.:</w:t>
      </w:r>
      <w:r w:rsidRPr="006F21B4">
        <w:t xml:space="preserve"> účinnost předpisu od 29</w:t>
      </w:r>
      <w:r>
        <w:t xml:space="preserve">. </w:t>
      </w:r>
      <w:r w:rsidRPr="006F21B4">
        <w:t>12</w:t>
      </w:r>
      <w:r>
        <w:t xml:space="preserve">. </w:t>
      </w:r>
      <w:r w:rsidRPr="006F21B4">
        <w:t>2014)</w:t>
      </w:r>
    </w:p>
    <w:p w:rsidR="00AD5274" w:rsidRPr="00B51145" w:rsidRDefault="00AD5274" w:rsidP="00504A6F">
      <w:pPr>
        <w:pStyle w:val="zk-na-vyhl"/>
      </w:pPr>
      <w:r w:rsidRPr="00B51145">
        <w:t>Zákon č. 357/2014 Sb., kterým se mění zákon č. 449/2001 Sb., o myslivosti, ve znění pozdějších předpisů</w:t>
      </w:r>
    </w:p>
    <w:p w:rsidR="00AD5274" w:rsidRDefault="00AD5274" w:rsidP="00504A6F">
      <w:pPr>
        <w:pStyle w:val="N-I-pozn"/>
      </w:pPr>
      <w:r w:rsidRPr="00B51145">
        <w:t>(pozn</w:t>
      </w:r>
      <w:r>
        <w:t>.:</w:t>
      </w:r>
      <w:r w:rsidRPr="00B51145">
        <w:t xml:space="preserve"> účinnost předpisu od 1</w:t>
      </w:r>
      <w:r>
        <w:t xml:space="preserve">. </w:t>
      </w:r>
      <w:r w:rsidRPr="00B51145">
        <w:t>4</w:t>
      </w:r>
      <w:r>
        <w:t xml:space="preserve">. </w:t>
      </w:r>
      <w:r w:rsidRPr="00B51145">
        <w:t>2015)</w:t>
      </w:r>
    </w:p>
    <w:p w:rsidR="00AD5274" w:rsidRPr="001B1FDF" w:rsidRDefault="00AD5274" w:rsidP="001B1FDF">
      <w:pPr>
        <w:pStyle w:val="Nadpis3"/>
      </w:pPr>
      <w:bookmarkStart w:id="285" w:name="_Toc424307111"/>
      <w:r w:rsidRPr="001B1FDF">
        <w:lastRenderedPageBreak/>
        <w:t>1.1.2</w:t>
      </w:r>
      <w:r w:rsidRPr="001B1FDF">
        <w:tab/>
        <w:t>Nařízení vlády</w:t>
      </w:r>
      <w:bookmarkEnd w:id="285"/>
    </w:p>
    <w:p w:rsidR="00AD5274" w:rsidRDefault="00AD5274" w:rsidP="00504A6F">
      <w:pPr>
        <w:pStyle w:val="zk-na-vyhl"/>
      </w:pPr>
      <w:r w:rsidRPr="00C8613C">
        <w:t>Nařízení vlády č. 29/2014 Sb., kterým</w:t>
      </w:r>
      <w:r>
        <w:t xml:space="preserve"> se mění nařízení vlády č. 75/2007 Sb., o podmínkách poskytování plateb za přírodní znevýhodnění v horských oblastech, oblastech s jinými znevýhodněními a v oblastech Natura 2000 na zemědělské půdě, ve znění pozdějších předpisů, a některá související nařízení vlády</w:t>
      </w:r>
    </w:p>
    <w:p w:rsidR="00AD5274" w:rsidRDefault="00AD5274" w:rsidP="00504A6F">
      <w:pPr>
        <w:pStyle w:val="N-I-pozn"/>
      </w:pPr>
      <w:r w:rsidRPr="000D464C">
        <w:t>(pozn</w:t>
      </w:r>
      <w:r>
        <w:t>.:</w:t>
      </w:r>
      <w:r w:rsidRPr="000D464C">
        <w:t xml:space="preserve"> účinnost předpisu od 1</w:t>
      </w:r>
      <w:r>
        <w:t xml:space="preserve">. 3. </w:t>
      </w:r>
      <w:r w:rsidRPr="000D464C">
        <w:t>201</w:t>
      </w:r>
      <w:r>
        <w:t>4</w:t>
      </w:r>
      <w:r w:rsidRPr="000D464C">
        <w:t>)</w:t>
      </w:r>
    </w:p>
    <w:p w:rsidR="00AD5274" w:rsidRDefault="00AD5274" w:rsidP="00504A6F">
      <w:pPr>
        <w:pStyle w:val="zk-na-vyhl"/>
        <w:rPr>
          <w:b/>
        </w:rPr>
      </w:pPr>
      <w:r w:rsidRPr="00C8613C">
        <w:t xml:space="preserve">Nařízení vlády č. </w:t>
      </w:r>
      <w:r>
        <w:t>30</w:t>
      </w:r>
      <w:r w:rsidRPr="00C8613C">
        <w:t xml:space="preserve">/2014 Sb., </w:t>
      </w:r>
      <w:r>
        <w:t>o stanovení závazných pravidel poskytování finančních příspěvků na hospodaření v lesích a na vybrané myslivecké činnosti</w:t>
      </w:r>
    </w:p>
    <w:p w:rsidR="00AD5274" w:rsidRDefault="00AD5274" w:rsidP="00504A6F">
      <w:pPr>
        <w:pStyle w:val="N-I-pozn"/>
      </w:pPr>
      <w:r w:rsidRPr="000D464C">
        <w:t>(pozn</w:t>
      </w:r>
      <w:r>
        <w:t>.:</w:t>
      </w:r>
      <w:r w:rsidRPr="000D464C">
        <w:t xml:space="preserve"> účinnost předpisu od 1</w:t>
      </w:r>
      <w:r>
        <w:t xml:space="preserve">. 3. </w:t>
      </w:r>
      <w:r w:rsidRPr="000D464C">
        <w:t>201</w:t>
      </w:r>
      <w:r>
        <w:t>4</w:t>
      </w:r>
      <w:r w:rsidRPr="000D464C">
        <w:t>)</w:t>
      </w:r>
    </w:p>
    <w:p w:rsidR="00AD5274" w:rsidRPr="002C5B75" w:rsidRDefault="00AD5274" w:rsidP="00504A6F">
      <w:pPr>
        <w:pStyle w:val="zk-na-vyhl"/>
      </w:pPr>
      <w:r w:rsidRPr="002C5B75">
        <w:t>Nařízení vlády č. 117/2014 Sb., kterým se mění nařízení vlády č. 262/2012 Sb., o stanovení zranitelných oblastí a akčním programu, ve znění pozdějších předpisů, a nařízení vlády</w:t>
      </w:r>
      <w:r>
        <w:t xml:space="preserve"> č. </w:t>
      </w:r>
      <w:r w:rsidRPr="002C5B75">
        <w:t>479/2009 Sb., o stanovení důsledků porušení podmíněnosti poskytování některých podpor, ve znění pozdějších předpisů</w:t>
      </w:r>
    </w:p>
    <w:p w:rsidR="00AD5274" w:rsidRDefault="00AD5274" w:rsidP="00504A6F">
      <w:pPr>
        <w:pStyle w:val="N-I-pozn"/>
      </w:pPr>
      <w:r w:rsidRPr="002C5B75">
        <w:t>(pozn</w:t>
      </w:r>
      <w:r>
        <w:t>.:</w:t>
      </w:r>
      <w:r w:rsidRPr="002C5B75">
        <w:t xml:space="preserve"> účinnost předpisu od 1</w:t>
      </w:r>
      <w:r>
        <w:t xml:space="preserve">. </w:t>
      </w:r>
      <w:r w:rsidRPr="002C5B75">
        <w:t>7</w:t>
      </w:r>
      <w:r>
        <w:t xml:space="preserve">. </w:t>
      </w:r>
      <w:r w:rsidRPr="002C5B75">
        <w:t>2014)</w:t>
      </w:r>
    </w:p>
    <w:p w:rsidR="00AD5274" w:rsidRPr="005546FD" w:rsidRDefault="00AD5274" w:rsidP="00504A6F">
      <w:pPr>
        <w:pStyle w:val="zk-na-vyhl"/>
      </w:pPr>
      <w:r w:rsidRPr="005546FD">
        <w:t>Nařízení vlády č. 128/2014 Sb., o zrušení nařízení vlády č. 317/2012 Sb., kterým se stanoví formulář dokladu o původu některých druhů lihu, destilátu a některých druhů lihovin</w:t>
      </w:r>
    </w:p>
    <w:p w:rsidR="00AD5274" w:rsidRDefault="00AD5274" w:rsidP="00504A6F">
      <w:pPr>
        <w:pStyle w:val="N-I-pozn"/>
      </w:pPr>
      <w:r w:rsidRPr="005546FD">
        <w:t>(pozn</w:t>
      </w:r>
      <w:r>
        <w:t>.:</w:t>
      </w:r>
      <w:r w:rsidRPr="005546FD">
        <w:t xml:space="preserve"> účinnost předpisu od 1</w:t>
      </w:r>
      <w:r>
        <w:t xml:space="preserve">. </w:t>
      </w:r>
      <w:r w:rsidRPr="005546FD">
        <w:t>9</w:t>
      </w:r>
      <w:r>
        <w:t xml:space="preserve">. </w:t>
      </w:r>
      <w:r w:rsidRPr="005546FD">
        <w:t>2014)</w:t>
      </w:r>
    </w:p>
    <w:p w:rsidR="00AD5274" w:rsidRDefault="00AD5274" w:rsidP="00504A6F">
      <w:pPr>
        <w:pStyle w:val="zk-na-vyhl"/>
      </w:pPr>
      <w:r w:rsidRPr="00F67140">
        <w:t>Nařízení vlády č. 142/2014 Sb., o stanovení bližších podmínek při provádění opatření společné organizace trhů se zemědělskými produkty v oblasti vinohradnictví a vinařství</w:t>
      </w:r>
    </w:p>
    <w:p w:rsidR="00AD5274" w:rsidRDefault="00AD5274" w:rsidP="00504A6F">
      <w:pPr>
        <w:pStyle w:val="N-I-pozn"/>
      </w:pPr>
      <w:r w:rsidRPr="00F67140">
        <w:t>(pozn</w:t>
      </w:r>
      <w:r>
        <w:t>.:</w:t>
      </w:r>
      <w:r w:rsidRPr="00F67140">
        <w:t xml:space="preserve"> účinnost předpisu od 1</w:t>
      </w:r>
      <w:r>
        <w:t xml:space="preserve">. </w:t>
      </w:r>
      <w:r w:rsidRPr="00F67140">
        <w:t>8</w:t>
      </w:r>
      <w:r>
        <w:t xml:space="preserve">. </w:t>
      </w:r>
      <w:r w:rsidRPr="00F67140">
        <w:t>2014)</w:t>
      </w:r>
    </w:p>
    <w:p w:rsidR="00AD5274" w:rsidRPr="00F67140" w:rsidRDefault="00AD5274" w:rsidP="00504A6F">
      <w:pPr>
        <w:pStyle w:val="zk-na-vyhl"/>
      </w:pPr>
      <w:r w:rsidRPr="00F67140">
        <w:t>Nařízení vlády č. 143/2014 Sb., kterým se mění nařízení vlády č. 245/2004 Sb., o stanovení bližších podmínek při provádění opatření společné organizace trhu s vínem, ve znění pozdějších předpisů</w:t>
      </w:r>
    </w:p>
    <w:p w:rsidR="00AD5274" w:rsidRDefault="00AD5274" w:rsidP="00504A6F">
      <w:pPr>
        <w:pStyle w:val="N-I-pozn"/>
      </w:pPr>
      <w:r w:rsidRPr="00F67140">
        <w:t>(pozn</w:t>
      </w:r>
      <w:r>
        <w:t>.:</w:t>
      </w:r>
      <w:r w:rsidRPr="00F67140">
        <w:t xml:space="preserve"> účinnost předpisu od 1</w:t>
      </w:r>
      <w:r>
        <w:t xml:space="preserve">. </w:t>
      </w:r>
      <w:r w:rsidRPr="00F67140">
        <w:t>8</w:t>
      </w:r>
      <w:r>
        <w:t xml:space="preserve">. </w:t>
      </w:r>
      <w:r w:rsidRPr="00F67140">
        <w:t>2014)</w:t>
      </w:r>
    </w:p>
    <w:p w:rsidR="00AD5274" w:rsidRPr="00F67140" w:rsidRDefault="00AD5274" w:rsidP="00504A6F">
      <w:pPr>
        <w:pStyle w:val="zk-na-vyhl"/>
      </w:pPr>
      <w:r w:rsidRPr="00F67140">
        <w:rPr>
          <w:noProof/>
        </w:rPr>
        <w:t xml:space="preserve">Nařízení vlády č. 156/2014 Sb., </w:t>
      </w:r>
      <w:r w:rsidRPr="00F67140">
        <w:t>o stanovení výše úroku z přeplatku na dávce z výroby</w:t>
      </w:r>
      <w:r w:rsidRPr="00F67140">
        <w:rPr>
          <w:color w:val="FF0000"/>
        </w:rPr>
        <w:t xml:space="preserve"> </w:t>
      </w:r>
      <w:r w:rsidRPr="00F67140">
        <w:t>v odvětví cukru pro hospodářský rok 2004/2005</w:t>
      </w:r>
    </w:p>
    <w:p w:rsidR="00AD5274" w:rsidRDefault="00AD5274" w:rsidP="00504A6F">
      <w:pPr>
        <w:pStyle w:val="N-I-pozn"/>
      </w:pPr>
      <w:r w:rsidRPr="00F67140">
        <w:t>(pozn</w:t>
      </w:r>
      <w:r>
        <w:t>.:</w:t>
      </w:r>
      <w:r w:rsidRPr="00F67140">
        <w:t xml:space="preserve"> účinnost předpisu od 31</w:t>
      </w:r>
      <w:r>
        <w:t xml:space="preserve">. </w:t>
      </w:r>
      <w:r w:rsidRPr="00F67140">
        <w:t>7</w:t>
      </w:r>
      <w:r>
        <w:t xml:space="preserve">. </w:t>
      </w:r>
      <w:r w:rsidRPr="00F67140">
        <w:t>2014)</w:t>
      </w:r>
    </w:p>
    <w:p w:rsidR="00AD5274" w:rsidRPr="00F67140" w:rsidRDefault="00AD5274" w:rsidP="00504A6F">
      <w:pPr>
        <w:pStyle w:val="zk-na-vyhl"/>
      </w:pPr>
      <w:r w:rsidRPr="00F67140">
        <w:rPr>
          <w:noProof/>
        </w:rPr>
        <w:t xml:space="preserve">Nařízení vlády č. 157/2014 Sb., </w:t>
      </w:r>
      <w:r w:rsidRPr="00F67140">
        <w:t>kterým se mění nařízení vlády č. 478/2009 Sb., o stanovení některých podmínek pro poskytování podpory na ovoce a zeleninu a výrobky z ovoce, zeleniny a banánů dětem ve vzdělávacích zařízeních</w:t>
      </w:r>
    </w:p>
    <w:p w:rsidR="00AD5274" w:rsidRDefault="00AD5274" w:rsidP="00504A6F">
      <w:pPr>
        <w:pStyle w:val="N-I-pozn"/>
      </w:pPr>
      <w:r w:rsidRPr="00F67140">
        <w:t>(pozn</w:t>
      </w:r>
      <w:r>
        <w:t>.:</w:t>
      </w:r>
      <w:r w:rsidRPr="00F67140">
        <w:t xml:space="preserve"> účinnost předpisu od 1</w:t>
      </w:r>
      <w:r>
        <w:t xml:space="preserve">. </w:t>
      </w:r>
      <w:r w:rsidRPr="00F67140">
        <w:t>8</w:t>
      </w:r>
      <w:r>
        <w:t xml:space="preserve">. </w:t>
      </w:r>
      <w:r w:rsidRPr="00F67140">
        <w:t>2014)</w:t>
      </w:r>
    </w:p>
    <w:p w:rsidR="00AD5274" w:rsidRPr="00991068" w:rsidRDefault="00AD5274" w:rsidP="00504A6F">
      <w:pPr>
        <w:pStyle w:val="zk-na-vyhl"/>
      </w:pPr>
      <w:r w:rsidRPr="00991068">
        <w:rPr>
          <w:noProof/>
          <w:szCs w:val="24"/>
        </w:rPr>
        <w:t>Nařízení vlády č. 211/2014 Sb.,</w:t>
      </w:r>
      <w:r w:rsidRPr="00991068">
        <w:t xml:space="preserve"> o stanovení rozsahu a podmínek informační povinnosti provozovatele potravinářského podniku v místě určení ve vztahu k některým druhům čerstvého ovoce, čerstvé zeleniny a brambor</w:t>
      </w:r>
    </w:p>
    <w:p w:rsidR="00AD5274" w:rsidRDefault="00AD5274" w:rsidP="00504A6F">
      <w:pPr>
        <w:pStyle w:val="N-I-pozn"/>
      </w:pPr>
      <w:r w:rsidRPr="00991068">
        <w:t>(pozn</w:t>
      </w:r>
      <w:r>
        <w:t>.:</w:t>
      </w:r>
      <w:r w:rsidRPr="00991068">
        <w:t xml:space="preserve"> účinnost předpisu od 3</w:t>
      </w:r>
      <w:r>
        <w:t xml:space="preserve">. </w:t>
      </w:r>
      <w:r w:rsidRPr="00991068">
        <w:t>10</w:t>
      </w:r>
      <w:r>
        <w:t xml:space="preserve">. </w:t>
      </w:r>
      <w:r w:rsidRPr="00991068">
        <w:t>2014)</w:t>
      </w:r>
    </w:p>
    <w:p w:rsidR="00AD5274" w:rsidRPr="00991068" w:rsidRDefault="00AD5274" w:rsidP="00504A6F">
      <w:pPr>
        <w:pStyle w:val="zk-na-vyhl"/>
      </w:pPr>
      <w:r w:rsidRPr="00991068">
        <w:rPr>
          <w:noProof/>
          <w:szCs w:val="24"/>
        </w:rPr>
        <w:lastRenderedPageBreak/>
        <w:t>Nařízení vlády č. 212/2014 Sb.,</w:t>
      </w:r>
      <w:r w:rsidRPr="00991068">
        <w:t xml:space="preserve"> kterým se mění nařízení vlády č. 125/2011 Sb., o stanovení informačních povinností příjemcům živočišných produktů v místě určení</w:t>
      </w:r>
    </w:p>
    <w:p w:rsidR="00AD5274" w:rsidRDefault="00AD5274" w:rsidP="00504A6F">
      <w:pPr>
        <w:pStyle w:val="N-I-pozn"/>
      </w:pPr>
      <w:r w:rsidRPr="00991068">
        <w:t>(pozn</w:t>
      </w:r>
      <w:r>
        <w:t>.:</w:t>
      </w:r>
      <w:r w:rsidRPr="00991068">
        <w:t xml:space="preserve"> účinnost předpisu od 3</w:t>
      </w:r>
      <w:r>
        <w:t xml:space="preserve">. </w:t>
      </w:r>
      <w:r w:rsidRPr="00991068">
        <w:t>10</w:t>
      </w:r>
      <w:r>
        <w:t xml:space="preserve">. </w:t>
      </w:r>
      <w:r w:rsidRPr="00991068">
        <w:t>2014)</w:t>
      </w:r>
    </w:p>
    <w:p w:rsidR="00AD5274" w:rsidRPr="004A1BA4" w:rsidRDefault="00AD5274" w:rsidP="00504A6F">
      <w:pPr>
        <w:pStyle w:val="zk-na-vyhl"/>
      </w:pPr>
      <w:r w:rsidRPr="004A1BA4">
        <w:rPr>
          <w:noProof/>
          <w:szCs w:val="24"/>
        </w:rPr>
        <w:t>Nařízení vlády č. 218/2014 Sb.,</w:t>
      </w:r>
      <w:r w:rsidRPr="004A1BA4">
        <w:t xml:space="preserve"> o stanovení rezervy státních pozemků pro uskutečňování rozvojových programů státu</w:t>
      </w:r>
    </w:p>
    <w:p w:rsidR="00AD5274" w:rsidRDefault="00AD5274" w:rsidP="00504A6F">
      <w:pPr>
        <w:pStyle w:val="N-I-pozn"/>
      </w:pPr>
      <w:r w:rsidRPr="004A1BA4">
        <w:t>(pozn</w:t>
      </w:r>
      <w:r>
        <w:t>.:</w:t>
      </w:r>
      <w:r w:rsidRPr="004A1BA4">
        <w:t xml:space="preserve"> účinnost předpisu od 1</w:t>
      </w:r>
      <w:r>
        <w:t xml:space="preserve">. </w:t>
      </w:r>
      <w:r w:rsidRPr="004A1BA4">
        <w:t>11</w:t>
      </w:r>
      <w:r>
        <w:t xml:space="preserve">. </w:t>
      </w:r>
      <w:r w:rsidRPr="004A1BA4">
        <w:t>2014)</w:t>
      </w:r>
    </w:p>
    <w:p w:rsidR="00AD5274" w:rsidRPr="00BB7607" w:rsidRDefault="00AD5274" w:rsidP="00504A6F">
      <w:pPr>
        <w:pStyle w:val="zk-na-vyhl"/>
      </w:pPr>
      <w:r w:rsidRPr="00BB7607">
        <w:rPr>
          <w:noProof/>
          <w:szCs w:val="24"/>
        </w:rPr>
        <w:t>Nařízení vlády č. 269/2014 Sb.,</w:t>
      </w:r>
      <w:r w:rsidRPr="00BB7607">
        <w:t xml:space="preserve"> o některých podmínkách k provádění společné organizace trhu s konopím pěstovaným na vlákno</w:t>
      </w:r>
    </w:p>
    <w:p w:rsidR="00AD5274" w:rsidRDefault="00AD5274" w:rsidP="00504A6F">
      <w:pPr>
        <w:pStyle w:val="N-I-pozn"/>
      </w:pPr>
      <w:r w:rsidRPr="00BB7607">
        <w:t>(pozn</w:t>
      </w:r>
      <w:r>
        <w:t>.:</w:t>
      </w:r>
      <w:r w:rsidRPr="00BB7607">
        <w:t xml:space="preserve"> účinnost předpisu od 1</w:t>
      </w:r>
      <w:r>
        <w:t xml:space="preserve">. </w:t>
      </w:r>
      <w:r w:rsidRPr="00BB7607">
        <w:t>1</w:t>
      </w:r>
      <w:r>
        <w:t xml:space="preserve">. </w:t>
      </w:r>
      <w:r w:rsidRPr="00BB7607">
        <w:t>2015)</w:t>
      </w:r>
    </w:p>
    <w:p w:rsidR="00AD5274" w:rsidRPr="00B51145" w:rsidRDefault="00AD5274" w:rsidP="00504A6F">
      <w:pPr>
        <w:pStyle w:val="zk-na-vyhl"/>
        <w:rPr>
          <w:i/>
        </w:rPr>
      </w:pPr>
      <w:r w:rsidRPr="00B51145">
        <w:rPr>
          <w:noProof/>
          <w:szCs w:val="24"/>
        </w:rPr>
        <w:t>Nařízení vlády č. 282/2014 Sb.,</w:t>
      </w:r>
      <w:r w:rsidRPr="00B51145">
        <w:t xml:space="preserve"> o některých podmínkách k provádění společné organizace trhu v odvětví mléka a mléčných výrobků</w:t>
      </w:r>
    </w:p>
    <w:p w:rsidR="00AD5274" w:rsidRDefault="00AD5274" w:rsidP="00504A6F">
      <w:pPr>
        <w:pStyle w:val="N-I-pozn"/>
      </w:pPr>
      <w:r w:rsidRPr="00B51145">
        <w:t>(pozn</w:t>
      </w:r>
      <w:r>
        <w:t>.:</w:t>
      </w:r>
      <w:r w:rsidRPr="00B51145">
        <w:t xml:space="preserve"> účinnost předpisu od 1</w:t>
      </w:r>
      <w:r>
        <w:t xml:space="preserve">. </w:t>
      </w:r>
      <w:r w:rsidRPr="00B51145">
        <w:t>4</w:t>
      </w:r>
      <w:r>
        <w:t xml:space="preserve">. </w:t>
      </w:r>
      <w:r w:rsidRPr="00B51145">
        <w:t>2015, část od 1</w:t>
      </w:r>
      <w:r>
        <w:t xml:space="preserve">. </w:t>
      </w:r>
      <w:r w:rsidRPr="00B51145">
        <w:t>1</w:t>
      </w:r>
      <w:r>
        <w:t xml:space="preserve">. </w:t>
      </w:r>
      <w:r w:rsidRPr="00B51145">
        <w:t>2015)</w:t>
      </w:r>
    </w:p>
    <w:p w:rsidR="00AD5274" w:rsidRPr="00E8270D" w:rsidRDefault="00AD5274" w:rsidP="00504A6F">
      <w:pPr>
        <w:pStyle w:val="zk-na-vyhl"/>
      </w:pPr>
      <w:r w:rsidRPr="00E8270D">
        <w:rPr>
          <w:noProof/>
          <w:szCs w:val="24"/>
        </w:rPr>
        <w:t xml:space="preserve">Nařízení vlády č. 307/2014 Sb., </w:t>
      </w:r>
      <w:r w:rsidRPr="00E8270D">
        <w:t>o stanovení podrobností evidence využití půdy podle uživatelských vztahů</w:t>
      </w:r>
    </w:p>
    <w:p w:rsidR="00AD5274" w:rsidRDefault="00AD5274" w:rsidP="00504A6F">
      <w:pPr>
        <w:pStyle w:val="N-I-pozn"/>
      </w:pPr>
      <w:r w:rsidRPr="00E8270D">
        <w:t>(pozn</w:t>
      </w:r>
      <w:r>
        <w:t>.:</w:t>
      </w:r>
      <w:r w:rsidRPr="00E8270D">
        <w:t xml:space="preserve"> účinnost předpisu od 1</w:t>
      </w:r>
      <w:r>
        <w:t xml:space="preserve">. </w:t>
      </w:r>
      <w:r w:rsidRPr="00E8270D">
        <w:t>1</w:t>
      </w:r>
      <w:r>
        <w:t xml:space="preserve">. </w:t>
      </w:r>
      <w:r w:rsidRPr="00E8270D">
        <w:t>2015)</w:t>
      </w:r>
    </w:p>
    <w:p w:rsidR="00AD5274" w:rsidRPr="00147829" w:rsidRDefault="00AD5274" w:rsidP="00504A6F">
      <w:pPr>
        <w:pStyle w:val="zk-na-vyhl"/>
      </w:pPr>
      <w:r w:rsidRPr="00147829">
        <w:rPr>
          <w:noProof/>
          <w:szCs w:val="24"/>
        </w:rPr>
        <w:t>Nařízení vlády č. 308/2014 Sb.,</w:t>
      </w:r>
      <w:r w:rsidRPr="00147829">
        <w:t xml:space="preserve"> kterým se mění některá nařízení vlády v souvislosti s přijetím nařízení vlády o stanovení důsledků porušení podmíněnosti poskytování některých zemědělských podpor a nařízení vlády o stanovení podrobností evidence využití půdy podle uživatelských vztahů</w:t>
      </w:r>
    </w:p>
    <w:p w:rsidR="00AD5274" w:rsidRDefault="00AD5274" w:rsidP="00504A6F">
      <w:pPr>
        <w:pStyle w:val="N-I-pozn"/>
      </w:pPr>
      <w:r w:rsidRPr="00147829">
        <w:t>(pozn</w:t>
      </w:r>
      <w:r>
        <w:t>.:</w:t>
      </w:r>
      <w:r w:rsidRPr="00147829">
        <w:t xml:space="preserve"> účinnost předpisu od 1</w:t>
      </w:r>
      <w:r>
        <w:t xml:space="preserve">. </w:t>
      </w:r>
      <w:r w:rsidRPr="00147829">
        <w:t>1</w:t>
      </w:r>
      <w:r>
        <w:t xml:space="preserve">. </w:t>
      </w:r>
      <w:r w:rsidRPr="00147829">
        <w:t>2015)</w:t>
      </w:r>
    </w:p>
    <w:p w:rsidR="00AD5274" w:rsidRPr="00E8270D" w:rsidRDefault="00AD5274" w:rsidP="00504A6F">
      <w:pPr>
        <w:pStyle w:val="zk-na-vyhl"/>
      </w:pPr>
      <w:r w:rsidRPr="00E8270D">
        <w:rPr>
          <w:noProof/>
          <w:szCs w:val="24"/>
        </w:rPr>
        <w:t>Nařízení vlády č. 309/2014 Sb.,</w:t>
      </w:r>
      <w:r w:rsidRPr="00E8270D">
        <w:t xml:space="preserve"> o stanovení důsledků porušení podmíněnosti poskytování některých zemědělských podpor</w:t>
      </w:r>
    </w:p>
    <w:p w:rsidR="00AD5274" w:rsidRDefault="00AD5274" w:rsidP="00504A6F">
      <w:pPr>
        <w:pStyle w:val="N-I-pozn"/>
      </w:pPr>
      <w:r w:rsidRPr="00E8270D">
        <w:t>(pozn</w:t>
      </w:r>
      <w:r>
        <w:t>.:</w:t>
      </w:r>
      <w:r w:rsidRPr="00E8270D">
        <w:t xml:space="preserve"> účinnost předpisu od 1</w:t>
      </w:r>
      <w:r>
        <w:t xml:space="preserve">. </w:t>
      </w:r>
      <w:r w:rsidRPr="00E8270D">
        <w:t>1</w:t>
      </w:r>
      <w:r>
        <w:t xml:space="preserve">. </w:t>
      </w:r>
      <w:r w:rsidRPr="00E8270D">
        <w:t>2015)</w:t>
      </w:r>
    </w:p>
    <w:p w:rsidR="00AD5274" w:rsidRPr="001B1FDF" w:rsidRDefault="00AD5274" w:rsidP="001B1FDF">
      <w:pPr>
        <w:pStyle w:val="Nadpis3"/>
      </w:pPr>
      <w:bookmarkStart w:id="286" w:name="_Toc424307112"/>
      <w:r w:rsidRPr="001B1FDF">
        <w:t>1.1.3</w:t>
      </w:r>
      <w:r w:rsidRPr="001B1FDF">
        <w:tab/>
        <w:t>Vyhlášky</w:t>
      </w:r>
      <w:bookmarkEnd w:id="286"/>
    </w:p>
    <w:p w:rsidR="00AD5274" w:rsidRPr="002E7C26" w:rsidRDefault="00AD5274" w:rsidP="00504A6F">
      <w:pPr>
        <w:pStyle w:val="zk-na-vyhl"/>
      </w:pPr>
      <w:r w:rsidRPr="002E7C26">
        <w:t>Vyhláška č. 13/2014 Sb., o postupu při provádění pozemkových úprav a náležitostech návrhu pozemkových úprav</w:t>
      </w:r>
    </w:p>
    <w:p w:rsidR="00AD5274" w:rsidRDefault="00AD5274" w:rsidP="00504A6F">
      <w:pPr>
        <w:pStyle w:val="N-I-pozn"/>
      </w:pPr>
      <w:r w:rsidRPr="000D464C">
        <w:t>(pozn</w:t>
      </w:r>
      <w:r>
        <w:t>.:</w:t>
      </w:r>
      <w:r w:rsidRPr="000D464C">
        <w:t xml:space="preserve"> účinnost předpisu od 1</w:t>
      </w:r>
      <w:r>
        <w:t xml:space="preserve">. 2. </w:t>
      </w:r>
      <w:r w:rsidRPr="000D464C">
        <w:t>201</w:t>
      </w:r>
      <w:r>
        <w:t>4</w:t>
      </w:r>
      <w:r w:rsidRPr="000D464C">
        <w:t>)</w:t>
      </w:r>
    </w:p>
    <w:p w:rsidR="00AD5274" w:rsidRPr="00CF1D86" w:rsidRDefault="00AD5274" w:rsidP="00504A6F">
      <w:pPr>
        <w:pStyle w:val="zk-na-vyhl"/>
        <w:rPr>
          <w:b/>
        </w:rPr>
      </w:pPr>
      <w:r w:rsidRPr="00CF1D86">
        <w:t>Vyhláška č. 42/2014 Sb., kterou se mění vyhláška č. 378/2010 Sb., o stanovení druhového seznamu pěstovaných rostlin</w:t>
      </w:r>
    </w:p>
    <w:p w:rsidR="00AD5274" w:rsidRDefault="00AD5274" w:rsidP="00504A6F">
      <w:pPr>
        <w:pStyle w:val="N-I-pozn"/>
      </w:pPr>
      <w:r w:rsidRPr="00CF1D86">
        <w:t>(pozn</w:t>
      </w:r>
      <w:r>
        <w:t>.:</w:t>
      </w:r>
      <w:r w:rsidRPr="00CF1D86">
        <w:t xml:space="preserve"> účinnost předpisu od 31</w:t>
      </w:r>
      <w:r>
        <w:t xml:space="preserve">. </w:t>
      </w:r>
      <w:r w:rsidRPr="00CF1D86">
        <w:t>3</w:t>
      </w:r>
      <w:r>
        <w:t xml:space="preserve">. </w:t>
      </w:r>
      <w:r w:rsidRPr="00CF1D86">
        <w:t>2014)</w:t>
      </w:r>
    </w:p>
    <w:p w:rsidR="00AD5274" w:rsidRPr="00CF1D86" w:rsidRDefault="00AD5274" w:rsidP="00504A6F">
      <w:pPr>
        <w:pStyle w:val="zk-na-vyhl"/>
        <w:rPr>
          <w:b/>
        </w:rPr>
      </w:pPr>
      <w:r w:rsidRPr="00CF1D86">
        <w:t>Vyhláška č. 48/2014 Sb., kterou se mění vyhláška č. 428/2001 Sb., kterou se provádí zákon</w:t>
      </w:r>
      <w:r>
        <w:t xml:space="preserve"> č. </w:t>
      </w:r>
      <w:r w:rsidRPr="00CF1D86">
        <w:t>274/2001 Sb., o vodovodech a kanalizacích pro veřejnou potřebu a o změně některých zákonů (zákon o vodovodech a kanalizacích), ve znění pozdějších předpisů</w:t>
      </w:r>
    </w:p>
    <w:p w:rsidR="00AD5274" w:rsidRDefault="00AD5274" w:rsidP="00504A6F">
      <w:pPr>
        <w:pStyle w:val="N-I-pozn"/>
      </w:pPr>
      <w:r w:rsidRPr="00CF1D86">
        <w:t>(pozn</w:t>
      </w:r>
      <w:r>
        <w:t>.:</w:t>
      </w:r>
      <w:r w:rsidRPr="00CF1D86">
        <w:t xml:space="preserve"> účinnost předpisu od 1</w:t>
      </w:r>
      <w:r>
        <w:t xml:space="preserve">. </w:t>
      </w:r>
      <w:r w:rsidRPr="00CF1D86">
        <w:t>4</w:t>
      </w:r>
      <w:r>
        <w:t xml:space="preserve">. </w:t>
      </w:r>
      <w:r w:rsidRPr="00CF1D86">
        <w:t>2014)</w:t>
      </w:r>
    </w:p>
    <w:p w:rsidR="00AD5274" w:rsidRPr="00CF1D86" w:rsidRDefault="00AD5274" w:rsidP="00504A6F">
      <w:pPr>
        <w:pStyle w:val="zk-na-vyhl"/>
        <w:rPr>
          <w:b/>
        </w:rPr>
      </w:pPr>
      <w:r w:rsidRPr="00CF1D86">
        <w:lastRenderedPageBreak/>
        <w:t>Vyhláška č. 49/2014 Sb., kterou se mění vyhláška č. 24/2011 Sb., o plánech povodí a plánech pro zvládání povodňových rizik</w:t>
      </w:r>
    </w:p>
    <w:p w:rsidR="00AD5274" w:rsidRDefault="00AD5274" w:rsidP="00504A6F">
      <w:pPr>
        <w:pStyle w:val="N-I-pozn"/>
      </w:pPr>
      <w:r w:rsidRPr="00CF1D86">
        <w:t>(pozn</w:t>
      </w:r>
      <w:r>
        <w:t>.:</w:t>
      </w:r>
      <w:r w:rsidRPr="00CF1D86">
        <w:t xml:space="preserve"> účinnost předpisu od 1</w:t>
      </w:r>
      <w:r>
        <w:t xml:space="preserve">. </w:t>
      </w:r>
      <w:r w:rsidRPr="00CF1D86">
        <w:t>4</w:t>
      </w:r>
      <w:r>
        <w:t xml:space="preserve">. </w:t>
      </w:r>
      <w:r w:rsidRPr="00CF1D86">
        <w:t>2014)</w:t>
      </w:r>
    </w:p>
    <w:p w:rsidR="00AD5274" w:rsidRPr="00B96789" w:rsidRDefault="00AD5274" w:rsidP="00504A6F">
      <w:pPr>
        <w:pStyle w:val="zk-na-vyhl"/>
      </w:pPr>
      <w:r w:rsidRPr="00B96789">
        <w:t>Vyhláška č. 73/2014 Sb., o požadavcích na národní referenční laboratoře a referenční laboratoře v oblasti činností vymezených zákonem o Ústředním kontrolním a zkušebním ústavu zemědělském</w:t>
      </w:r>
    </w:p>
    <w:p w:rsidR="00AD5274" w:rsidRDefault="00AD5274" w:rsidP="00504A6F">
      <w:pPr>
        <w:pStyle w:val="N-I-pozn"/>
      </w:pPr>
      <w:r w:rsidRPr="00B96789">
        <w:t>(pozn</w:t>
      </w:r>
      <w:r>
        <w:t>.:</w:t>
      </w:r>
      <w:r w:rsidRPr="00B96789">
        <w:t xml:space="preserve"> účinnost předpisu od 29</w:t>
      </w:r>
      <w:r>
        <w:t xml:space="preserve">. </w:t>
      </w:r>
      <w:r w:rsidRPr="00B96789">
        <w:t>4</w:t>
      </w:r>
      <w:r>
        <w:t xml:space="preserve">. </w:t>
      </w:r>
      <w:r w:rsidRPr="00B96789">
        <w:t>2014)</w:t>
      </w:r>
    </w:p>
    <w:p w:rsidR="00AD5274" w:rsidRDefault="00AD5274" w:rsidP="00504A6F">
      <w:pPr>
        <w:pStyle w:val="zk-na-vyhl"/>
      </w:pPr>
      <w:r w:rsidRPr="002C5B75">
        <w:t xml:space="preserve">Vyhláška č. 82/2014 Sb., o </w:t>
      </w:r>
      <w:proofErr w:type="spellStart"/>
      <w:r w:rsidRPr="002C5B75">
        <w:t>kadáverech</w:t>
      </w:r>
      <w:proofErr w:type="spellEnd"/>
      <w:r w:rsidRPr="002C5B75">
        <w:t xml:space="preserve"> zvířat v zájmovém chovu</w:t>
      </w:r>
    </w:p>
    <w:p w:rsidR="00AD5274" w:rsidRDefault="00AD5274" w:rsidP="00504A6F">
      <w:pPr>
        <w:pStyle w:val="N-I-pozn"/>
      </w:pPr>
      <w:r w:rsidRPr="002C5B75">
        <w:t>(pozn</w:t>
      </w:r>
      <w:r>
        <w:t>.:</w:t>
      </w:r>
      <w:r w:rsidRPr="002C5B75">
        <w:t xml:space="preserve"> účinnost předpisu od 1</w:t>
      </w:r>
      <w:r>
        <w:t xml:space="preserve">. </w:t>
      </w:r>
      <w:r w:rsidRPr="002C5B75">
        <w:t>7</w:t>
      </w:r>
      <w:r>
        <w:t xml:space="preserve">. </w:t>
      </w:r>
      <w:r w:rsidRPr="002C5B75">
        <w:t>2014)</w:t>
      </w:r>
    </w:p>
    <w:p w:rsidR="00AD5274" w:rsidRPr="002C5B75" w:rsidRDefault="00AD5274" w:rsidP="00504A6F">
      <w:pPr>
        <w:pStyle w:val="zk-na-vyhl"/>
      </w:pPr>
      <w:r w:rsidRPr="002C5B75">
        <w:t>Vyhláška č. 91/2014 Sb., kterou se mění vyhláška č. 449/2006 Sb., o stanovení metodik zkoušek odlišnosti, uniformity, stálosti a užitné hodnoty odrůd, ve znění pozdějších předpisů</w:t>
      </w:r>
    </w:p>
    <w:p w:rsidR="00AD5274" w:rsidRDefault="00AD5274" w:rsidP="00504A6F">
      <w:pPr>
        <w:pStyle w:val="N-I-pozn"/>
      </w:pPr>
      <w:r w:rsidRPr="002C5B75">
        <w:t>(pozn</w:t>
      </w:r>
      <w:r>
        <w:t>.:</w:t>
      </w:r>
      <w:r w:rsidRPr="002C5B75">
        <w:t xml:space="preserve"> účinnost předpisu od 1</w:t>
      </w:r>
      <w:r>
        <w:t xml:space="preserve">. </w:t>
      </w:r>
      <w:r w:rsidRPr="002C5B75">
        <w:t>7</w:t>
      </w:r>
      <w:r>
        <w:t xml:space="preserve">. </w:t>
      </w:r>
      <w:r w:rsidRPr="002C5B75">
        <w:t>2014)</w:t>
      </w:r>
    </w:p>
    <w:p w:rsidR="00AD5274" w:rsidRPr="003A6BAF" w:rsidRDefault="00AD5274" w:rsidP="00504A6F">
      <w:pPr>
        <w:pStyle w:val="zk-na-vyhl"/>
        <w:rPr>
          <w:i/>
        </w:rPr>
      </w:pPr>
      <w:r w:rsidRPr="003A6BAF">
        <w:t>Vyhláška č. 104/2014 Sb., kterou se mění vyhláška č. 215/2008 Sb., o opatřeních proti zavlékání a rozšiřování škodlivých organismů rostlin a rostlinných produktů, ve znění pozdějších předpisů</w:t>
      </w:r>
    </w:p>
    <w:p w:rsidR="00AD5274" w:rsidRDefault="00AD5274" w:rsidP="00504A6F">
      <w:pPr>
        <w:pStyle w:val="N-I-pozn"/>
      </w:pPr>
      <w:r w:rsidRPr="003A6BAF">
        <w:t>(pozn</w:t>
      </w:r>
      <w:r>
        <w:t>.:</w:t>
      </w:r>
      <w:r w:rsidRPr="003A6BAF">
        <w:t xml:space="preserve"> účinnost předpisu od 9</w:t>
      </w:r>
      <w:r>
        <w:t xml:space="preserve">. </w:t>
      </w:r>
      <w:r w:rsidRPr="003A6BAF">
        <w:t>6</w:t>
      </w:r>
      <w:r>
        <w:t xml:space="preserve">. </w:t>
      </w:r>
      <w:r w:rsidRPr="003A6BAF">
        <w:t>2014)</w:t>
      </w:r>
    </w:p>
    <w:p w:rsidR="00AD5274" w:rsidRPr="00F67140" w:rsidRDefault="00AD5274" w:rsidP="00504A6F">
      <w:pPr>
        <w:pStyle w:val="zk-na-vyhl"/>
      </w:pPr>
      <w:r w:rsidRPr="00F67140">
        <w:t>Vyhláška č. 131/2014 Sb., kterou se mění vyhláška Ministerstva zemědělství č. 474/2000 Sb., o stanovení požadavků na hnojiva, ve znění pozdějších předpisů, a vyhláška č. 377/2013 Sb., o skladování a způsobu používání hnojiv</w:t>
      </w:r>
    </w:p>
    <w:p w:rsidR="00AD5274" w:rsidRDefault="00AD5274" w:rsidP="00504A6F">
      <w:pPr>
        <w:pStyle w:val="N-I-pozn"/>
      </w:pPr>
      <w:r w:rsidRPr="00F67140">
        <w:t>(pozn</w:t>
      </w:r>
      <w:r>
        <w:t>.:</w:t>
      </w:r>
      <w:r w:rsidRPr="00F67140">
        <w:t xml:space="preserve"> účinnost předpisu od 1</w:t>
      </w:r>
      <w:r>
        <w:t xml:space="preserve">. </w:t>
      </w:r>
      <w:r w:rsidRPr="00F67140">
        <w:t>8</w:t>
      </w:r>
      <w:r>
        <w:t xml:space="preserve">. </w:t>
      </w:r>
      <w:r w:rsidRPr="00F67140">
        <w:t>2014)</w:t>
      </w:r>
    </w:p>
    <w:p w:rsidR="00AD5274" w:rsidRPr="00F67140" w:rsidRDefault="00AD5274" w:rsidP="00504A6F">
      <w:pPr>
        <w:pStyle w:val="zk-na-vyhl"/>
      </w:pPr>
      <w:r w:rsidRPr="00F67140">
        <w:t>Vyhláška č. 132/2014 Sb., o ochraně a reprodukci genofondu lesních dřevin</w:t>
      </w:r>
    </w:p>
    <w:p w:rsidR="00AD5274" w:rsidRDefault="00AD5274" w:rsidP="00504A6F">
      <w:pPr>
        <w:pStyle w:val="N-I-pozn"/>
      </w:pPr>
      <w:r w:rsidRPr="00F67140">
        <w:t>(pozn</w:t>
      </w:r>
      <w:r>
        <w:t>.:</w:t>
      </w:r>
      <w:r w:rsidRPr="00F67140">
        <w:t xml:space="preserve"> účinnost předpisu od 1</w:t>
      </w:r>
      <w:r>
        <w:t xml:space="preserve">. </w:t>
      </w:r>
      <w:r w:rsidRPr="00F67140">
        <w:t>8</w:t>
      </w:r>
      <w:r>
        <w:t xml:space="preserve">. </w:t>
      </w:r>
      <w:r w:rsidRPr="00F67140">
        <w:t>2014)</w:t>
      </w:r>
    </w:p>
    <w:p w:rsidR="00AD5274" w:rsidRPr="00F67140" w:rsidRDefault="00AD5274" w:rsidP="00504A6F">
      <w:pPr>
        <w:pStyle w:val="zk-na-vyhl"/>
      </w:pPr>
      <w:r w:rsidRPr="00F67140">
        <w:t>Vyhláška č. 133/2014 Sb., kterou se mění vyhláška č. 377/2003 Sb., o veterinárních kontrolách dovozu a tranzitu zvířat ze třetích zemí, ve znění vyhlášky č. 259/2005 Sb.</w:t>
      </w:r>
    </w:p>
    <w:p w:rsidR="00AD5274" w:rsidRDefault="00AD5274" w:rsidP="00504A6F">
      <w:pPr>
        <w:pStyle w:val="N-I-pozn"/>
      </w:pPr>
      <w:r w:rsidRPr="00F67140">
        <w:t>(pozn</w:t>
      </w:r>
      <w:r>
        <w:t>.:</w:t>
      </w:r>
      <w:r w:rsidRPr="00F67140">
        <w:t xml:space="preserve"> účinnost předpisu od 1</w:t>
      </w:r>
      <w:r>
        <w:t xml:space="preserve">. </w:t>
      </w:r>
      <w:r w:rsidRPr="00F67140">
        <w:t>8</w:t>
      </w:r>
      <w:r>
        <w:t xml:space="preserve">. </w:t>
      </w:r>
      <w:r w:rsidRPr="00F67140">
        <w:t>2014)</w:t>
      </w:r>
    </w:p>
    <w:p w:rsidR="00AD5274" w:rsidRPr="00040CF6" w:rsidRDefault="00AD5274" w:rsidP="00504A6F">
      <w:pPr>
        <w:pStyle w:val="zk-na-vyhl"/>
      </w:pPr>
      <w:r w:rsidRPr="00040CF6">
        <w:t>Vyhláška č. 134/2014 Sb., kterou se mění vyhláška č. 290/2008 Sb., o veterinárních požadavcích na živočichy pocházející z akvakultury a na produkty akvakultury, o opatřeních pro předcházení a zdolávání některých nákaz vodních živočichů, ve znění vyhlášky</w:t>
      </w:r>
      <w:r>
        <w:t xml:space="preserve"> č. </w:t>
      </w:r>
      <w:r w:rsidRPr="00040CF6">
        <w:t>59/2013 Sb.</w:t>
      </w:r>
    </w:p>
    <w:p w:rsidR="00AD5274" w:rsidRDefault="00AD5274" w:rsidP="00504A6F">
      <w:pPr>
        <w:pStyle w:val="N-I-pozn"/>
      </w:pPr>
      <w:r w:rsidRPr="00040CF6">
        <w:t>(pozn</w:t>
      </w:r>
      <w:r>
        <w:t>.:</w:t>
      </w:r>
      <w:r w:rsidRPr="00040CF6">
        <w:t xml:space="preserve"> účinnost předpisu od 16</w:t>
      </w:r>
      <w:r>
        <w:t xml:space="preserve">. </w:t>
      </w:r>
      <w:r w:rsidRPr="00040CF6">
        <w:t>11</w:t>
      </w:r>
      <w:r>
        <w:t xml:space="preserve">. </w:t>
      </w:r>
      <w:r w:rsidRPr="00040CF6">
        <w:t>2014)</w:t>
      </w:r>
    </w:p>
    <w:p w:rsidR="00AD5274" w:rsidRPr="007C10A5" w:rsidRDefault="00AD5274" w:rsidP="00504A6F">
      <w:pPr>
        <w:pStyle w:val="zk-na-vyhl"/>
      </w:pPr>
      <w:r w:rsidRPr="007C10A5">
        <w:lastRenderedPageBreak/>
        <w:t>Vyhláška č. 159/2014 Sb., kterou se mění vyhláška Ministerstva zemědělství č. 326/2001 Sb., kterou se provádí § 18 písm. a), d), g), h), i) a j) zákona č. 110/1997 Sb., o potravinách</w:t>
      </w:r>
      <w:r>
        <w:t xml:space="preserve"> a </w:t>
      </w:r>
      <w:r w:rsidRPr="007C10A5">
        <w:t>tabákových výrobcích a o změně a doplnění některých souvisejících zákonů, ve znění pozdějších předpisů, pro maso, masné výrobky, ryby, osta</w:t>
      </w:r>
      <w:r>
        <w:t>tní vodní živočichy a výrobky z </w:t>
      </w:r>
      <w:r w:rsidRPr="007C10A5">
        <w:t>nich, vejce a výrobky z nich, ve znění pozdějších předpisů</w:t>
      </w:r>
    </w:p>
    <w:p w:rsidR="00AD5274" w:rsidRDefault="00AD5274" w:rsidP="00504A6F">
      <w:pPr>
        <w:pStyle w:val="N-I-pozn"/>
      </w:pPr>
      <w:r w:rsidRPr="007C10A5">
        <w:t>(pozn</w:t>
      </w:r>
      <w:r>
        <w:t>.:</w:t>
      </w:r>
      <w:r w:rsidRPr="007C10A5">
        <w:t xml:space="preserve"> účinnost předpisu od 13</w:t>
      </w:r>
      <w:r>
        <w:t xml:space="preserve">. </w:t>
      </w:r>
      <w:r w:rsidRPr="007C10A5">
        <w:t>12</w:t>
      </w:r>
      <w:r>
        <w:t xml:space="preserve">. </w:t>
      </w:r>
      <w:r w:rsidRPr="007C10A5">
        <w:t>2014)</w:t>
      </w:r>
    </w:p>
    <w:p w:rsidR="00AD5274" w:rsidRPr="00991068" w:rsidRDefault="00AD5274" w:rsidP="00504A6F">
      <w:pPr>
        <w:pStyle w:val="zk-na-vyhl"/>
      </w:pPr>
      <w:r w:rsidRPr="00991068">
        <w:t>Vyhláška č. 202/2014 Sb., o způsobu výpočtu nároku na vrácení daně z minerálních olejů zaplacené v cenách některých minerálních olejů spotřebovaných v zemědělské prvovýrobě</w:t>
      </w:r>
      <w:r>
        <w:t xml:space="preserve"> a </w:t>
      </w:r>
      <w:r w:rsidRPr="00991068">
        <w:t>způsobu a podmínkách vedení dokladů a evidence s nimi souvisejícími</w:t>
      </w:r>
    </w:p>
    <w:p w:rsidR="00AD5274" w:rsidRDefault="00AD5274" w:rsidP="00504A6F">
      <w:pPr>
        <w:pStyle w:val="N-I-pozn"/>
      </w:pPr>
      <w:r w:rsidRPr="00991068">
        <w:t>(pozn</w:t>
      </w:r>
      <w:r>
        <w:t>.:</w:t>
      </w:r>
      <w:r w:rsidRPr="00991068">
        <w:t xml:space="preserve"> účinnost předpisu od 1</w:t>
      </w:r>
      <w:r>
        <w:t xml:space="preserve">. </w:t>
      </w:r>
      <w:r w:rsidRPr="00991068">
        <w:t>10</w:t>
      </w:r>
      <w:r>
        <w:t xml:space="preserve">. </w:t>
      </w:r>
      <w:r w:rsidRPr="00991068">
        <w:t>2014)</w:t>
      </w:r>
    </w:p>
    <w:p w:rsidR="00AD5274" w:rsidRPr="00991068" w:rsidRDefault="00AD5274" w:rsidP="00504A6F">
      <w:pPr>
        <w:pStyle w:val="zk-na-vyhl"/>
      </w:pPr>
      <w:r w:rsidRPr="00991068">
        <w:t>Vyhláška č. 207/2014 Sb., kterou se mění vyhláška č. 215/2008 Sb., o opatřeních proti zavlékání a rozšiřování škodlivých organismů rostlin a rostlinných produktů, ve znění pozdějších předpisů</w:t>
      </w:r>
    </w:p>
    <w:p w:rsidR="00AD5274" w:rsidRDefault="00AD5274" w:rsidP="00504A6F">
      <w:pPr>
        <w:pStyle w:val="N-I-pozn"/>
      </w:pPr>
      <w:r w:rsidRPr="00991068">
        <w:t>(pozn</w:t>
      </w:r>
      <w:r>
        <w:t>.:</w:t>
      </w:r>
      <w:r w:rsidRPr="00991068">
        <w:t xml:space="preserve"> účinnost předpisu od 1</w:t>
      </w:r>
      <w:r>
        <w:t xml:space="preserve">. </w:t>
      </w:r>
      <w:r w:rsidRPr="00991068">
        <w:t>10</w:t>
      </w:r>
      <w:r>
        <w:t xml:space="preserve">. </w:t>
      </w:r>
      <w:r w:rsidRPr="00991068">
        <w:t>2014)</w:t>
      </w:r>
    </w:p>
    <w:p w:rsidR="00AD5274" w:rsidRPr="00BB7607" w:rsidRDefault="00AD5274" w:rsidP="00504A6F">
      <w:pPr>
        <w:pStyle w:val="zk-na-vyhl"/>
      </w:pPr>
      <w:r w:rsidRPr="00BB7607">
        <w:t>Vyhláška č. 286/2014 Sb., kterou se mění vyhláška č. 382/2003 Sb., o veterinárních požadavcích na obchodování se zvířaty a o veterinárních podmínkách jejich dovozu ze třetích zemí, ve znění pozdějších předpisů</w:t>
      </w:r>
    </w:p>
    <w:p w:rsidR="00AD5274" w:rsidRDefault="00AD5274" w:rsidP="00504A6F">
      <w:pPr>
        <w:pStyle w:val="N-I-pozn"/>
      </w:pPr>
      <w:r w:rsidRPr="00BB7607">
        <w:t>(pozn</w:t>
      </w:r>
      <w:r>
        <w:t>.:</w:t>
      </w:r>
      <w:r w:rsidRPr="00BB7607">
        <w:t xml:space="preserve"> účinnost předpisu od 29</w:t>
      </w:r>
      <w:r>
        <w:t xml:space="preserve">. </w:t>
      </w:r>
      <w:r w:rsidRPr="00BB7607">
        <w:t>12</w:t>
      </w:r>
      <w:r>
        <w:t xml:space="preserve">. </w:t>
      </w:r>
      <w:r w:rsidRPr="00BB7607">
        <w:t>2014)</w:t>
      </w:r>
    </w:p>
    <w:p w:rsidR="00AD5274" w:rsidRPr="00FD139F" w:rsidRDefault="00AD5274" w:rsidP="00504A6F">
      <w:pPr>
        <w:pStyle w:val="zk-na-vyhl"/>
      </w:pPr>
      <w:r w:rsidRPr="00FD139F">
        <w:t>Vyhláška č. 298/2014 Sb., o stanovení seznamu katastrálních území s přiřazenými průměrnými základními cenami zemědělských pozemků</w:t>
      </w:r>
    </w:p>
    <w:p w:rsidR="00AD5274" w:rsidRDefault="00AD5274" w:rsidP="00504A6F">
      <w:pPr>
        <w:pStyle w:val="N-I-pozn"/>
      </w:pPr>
      <w:r w:rsidRPr="00FD139F">
        <w:t>(pozn</w:t>
      </w:r>
      <w:r>
        <w:t>.:</w:t>
      </w:r>
      <w:r w:rsidRPr="00FD139F">
        <w:t xml:space="preserve"> účinnost předpisu od 1</w:t>
      </w:r>
      <w:r>
        <w:t xml:space="preserve">. </w:t>
      </w:r>
      <w:r w:rsidRPr="00FD139F">
        <w:t>1</w:t>
      </w:r>
      <w:r>
        <w:t xml:space="preserve">. </w:t>
      </w:r>
      <w:r w:rsidRPr="00FD139F">
        <w:t>2015)</w:t>
      </w:r>
    </w:p>
    <w:p w:rsidR="00AD5274" w:rsidRPr="00FD139F" w:rsidRDefault="00AD5274" w:rsidP="00504A6F">
      <w:pPr>
        <w:pStyle w:val="zk-na-vyhl"/>
      </w:pPr>
      <w:r w:rsidRPr="00FD139F">
        <w:t>Vyhláška č. 299/2014 Sb., kterou se mění vyhláška č. 419/2012 Sb., o ochraně pokusných zvířat</w:t>
      </w:r>
    </w:p>
    <w:p w:rsidR="00AD5274" w:rsidRDefault="00AD5274" w:rsidP="00504A6F">
      <w:pPr>
        <w:pStyle w:val="N-I-pozn"/>
      </w:pPr>
      <w:r w:rsidRPr="00FD139F">
        <w:t>(pozn</w:t>
      </w:r>
      <w:r>
        <w:t>.:</w:t>
      </w:r>
      <w:r w:rsidRPr="00FD139F">
        <w:t xml:space="preserve"> účinnost předpisu od 1</w:t>
      </w:r>
      <w:r>
        <w:t xml:space="preserve">. </w:t>
      </w:r>
      <w:r w:rsidRPr="00FD139F">
        <w:t>1</w:t>
      </w:r>
      <w:r>
        <w:t xml:space="preserve">. </w:t>
      </w:r>
      <w:r w:rsidRPr="00FD139F">
        <w:t>2015)</w:t>
      </w:r>
    </w:p>
    <w:p w:rsidR="00AD5274" w:rsidRPr="00FD139F" w:rsidRDefault="00AD5274" w:rsidP="00504A6F">
      <w:pPr>
        <w:pStyle w:val="zk-na-vyhl"/>
      </w:pPr>
      <w:r w:rsidRPr="00FD139F">
        <w:t>Vyhláška č. 313/2014 Sb., o označování a pasech psů, koček a fretek v zájmovém chovu při jejich neobchodních přesunech</w:t>
      </w:r>
    </w:p>
    <w:p w:rsidR="00AD5274" w:rsidRDefault="00AD5274" w:rsidP="00504A6F">
      <w:pPr>
        <w:pStyle w:val="N-I-pozn"/>
      </w:pPr>
      <w:r w:rsidRPr="00FD139F">
        <w:t>(pozn</w:t>
      </w:r>
      <w:r>
        <w:t>.:</w:t>
      </w:r>
      <w:r w:rsidRPr="00FD139F">
        <w:t xml:space="preserve"> účinnost předpisu od 29</w:t>
      </w:r>
      <w:r>
        <w:t xml:space="preserve">. </w:t>
      </w:r>
      <w:r w:rsidRPr="00FD139F">
        <w:t>12</w:t>
      </w:r>
      <w:r>
        <w:t xml:space="preserve">. </w:t>
      </w:r>
      <w:r w:rsidRPr="00FD139F">
        <w:t>2014)</w:t>
      </w:r>
    </w:p>
    <w:p w:rsidR="00AD5274" w:rsidRPr="009A5F78" w:rsidRDefault="00AD5274" w:rsidP="00504A6F">
      <w:pPr>
        <w:pStyle w:val="zk-na-vyhl"/>
      </w:pPr>
      <w:r w:rsidRPr="009A5F78">
        <w:t>Vyhláška č. 320/2014 Sb., o informační povinnosti příjemce potravin v místě určení ve vztahu k některým druhům potravin</w:t>
      </w:r>
    </w:p>
    <w:p w:rsidR="00AD5274" w:rsidRDefault="00AD5274" w:rsidP="00504A6F">
      <w:pPr>
        <w:pStyle w:val="N-I-pozn"/>
      </w:pPr>
      <w:r w:rsidRPr="009A5F78">
        <w:t>(pozn</w:t>
      </w:r>
      <w:r>
        <w:t>.:</w:t>
      </w:r>
      <w:r w:rsidRPr="009A5F78">
        <w:t xml:space="preserve"> účinnost předpisu od 1</w:t>
      </w:r>
      <w:r>
        <w:t xml:space="preserve">. </w:t>
      </w:r>
      <w:r w:rsidRPr="009A5F78">
        <w:t>1</w:t>
      </w:r>
      <w:r>
        <w:t xml:space="preserve">. </w:t>
      </w:r>
      <w:r w:rsidRPr="009A5F78">
        <w:t>2015)</w:t>
      </w:r>
    </w:p>
    <w:p w:rsidR="00AD5274" w:rsidRPr="00B51145" w:rsidRDefault="00AD5274" w:rsidP="00504A6F">
      <w:pPr>
        <w:pStyle w:val="zk-na-vyhl"/>
      </w:pPr>
      <w:r w:rsidRPr="00B51145">
        <w:t>Vyhláška č. 11/2015 Sb., kterou se mění vyhláška č. 289/2007 Sb., o veterinárních</w:t>
      </w:r>
      <w:r>
        <w:t xml:space="preserve"> a </w:t>
      </w:r>
      <w:r w:rsidRPr="00B51145">
        <w:t>hygienických požadavcích na živočišné produkty, které nejsou upraveny přímo použitelnými předpisy Evropských společenství, ve znění vyhlášky č. 61/2009 Sb.</w:t>
      </w:r>
    </w:p>
    <w:p w:rsidR="00AD5274" w:rsidRDefault="00AD5274" w:rsidP="00504A6F">
      <w:pPr>
        <w:pStyle w:val="N-I-pozn"/>
      </w:pPr>
      <w:r w:rsidRPr="00B51145">
        <w:t>(pozn</w:t>
      </w:r>
      <w:r>
        <w:t>.:</w:t>
      </w:r>
      <w:r w:rsidRPr="00B51145">
        <w:t xml:space="preserve"> účinnost předpisu od 1</w:t>
      </w:r>
      <w:r>
        <w:t xml:space="preserve">. </w:t>
      </w:r>
      <w:r w:rsidRPr="00B51145">
        <w:t>3</w:t>
      </w:r>
      <w:r>
        <w:t xml:space="preserve">. </w:t>
      </w:r>
      <w:r w:rsidRPr="00B51145">
        <w:t>2015)</w:t>
      </w:r>
    </w:p>
    <w:p w:rsidR="00AD5274" w:rsidRPr="001B1FDF" w:rsidRDefault="00AD5274" w:rsidP="001B1FDF">
      <w:pPr>
        <w:pStyle w:val="Nadpis2"/>
      </w:pPr>
      <w:bookmarkStart w:id="287" w:name="_Toc424307113"/>
      <w:r w:rsidRPr="001B1FDF">
        <w:lastRenderedPageBreak/>
        <w:t>1.2</w:t>
      </w:r>
      <w:r w:rsidRPr="001B1FDF">
        <w:tab/>
        <w:t>Připravované právní předpisy v roce 2014</w:t>
      </w:r>
      <w:bookmarkEnd w:id="287"/>
    </w:p>
    <w:p w:rsidR="00AD5274" w:rsidRDefault="00AD5274" w:rsidP="00504A6F">
      <w:r w:rsidRPr="00E853F7">
        <w:t>V roce 201</w:t>
      </w:r>
      <w:r>
        <w:t>4</w:t>
      </w:r>
      <w:r w:rsidRPr="00E853F7">
        <w:t xml:space="preserve"> </w:t>
      </w:r>
      <w:r w:rsidRPr="00B35770">
        <w:t xml:space="preserve">probíhaly legislativní práce na tvorbě právních předpisů vycházející především z usnesení vlády ze dne 12. </w:t>
      </w:r>
      <w:r>
        <w:t xml:space="preserve">března 2014 </w:t>
      </w:r>
      <w:r w:rsidRPr="00B35770">
        <w:t xml:space="preserve">č. </w:t>
      </w:r>
      <w:r>
        <w:t>165</w:t>
      </w:r>
      <w:r w:rsidRPr="00B35770">
        <w:t xml:space="preserve"> o</w:t>
      </w:r>
      <w:r w:rsidRPr="00E853F7">
        <w:t xml:space="preserve"> Plánu legislativních prací vlády</w:t>
      </w:r>
      <w:r>
        <w:t xml:space="preserve"> na zbývající část roku 2014</w:t>
      </w:r>
      <w:r w:rsidRPr="00E853F7">
        <w:t>.</w:t>
      </w:r>
      <w:r>
        <w:t xml:space="preserve"> </w:t>
      </w:r>
      <w:r w:rsidRPr="00E853F7">
        <w:t>M</w:t>
      </w:r>
      <w:r>
        <w:t>Ze</w:t>
      </w:r>
      <w:r w:rsidRPr="00E853F7">
        <w:t xml:space="preserve"> předložilo, mimo legislativní úkoly obsažené v tomto usnesení, několik dalších návrhů právních předpisů k řešení některých aktuálních problémů z oblasti zemědělství a z důvodů i</w:t>
      </w:r>
      <w:r w:rsidRPr="00344D63">
        <w:t>mplementace právních předpisů E</w:t>
      </w:r>
      <w:r>
        <w:t>U</w:t>
      </w:r>
      <w:r w:rsidRPr="00344D63">
        <w:t xml:space="preserve"> do našeho právního prostředí</w:t>
      </w:r>
      <w:r w:rsidRPr="00E853F7">
        <w:t>.</w:t>
      </w:r>
    </w:p>
    <w:p w:rsidR="00AD5274" w:rsidRDefault="00AD5274" w:rsidP="00504A6F">
      <w:r w:rsidRPr="00E853F7">
        <w:t>Mezi některé významné návrhy zákonů připravované v roce 201</w:t>
      </w:r>
      <w:r>
        <w:t>4</w:t>
      </w:r>
      <w:r w:rsidRPr="00E853F7">
        <w:t xml:space="preserve"> patří zejména:</w:t>
      </w:r>
    </w:p>
    <w:p w:rsidR="00AD5274" w:rsidRPr="00A84E47" w:rsidRDefault="00AD5274" w:rsidP="00DF6A39">
      <w:pPr>
        <w:pStyle w:val="vet1"/>
        <w:rPr>
          <w:i/>
          <w:iCs/>
        </w:rPr>
      </w:pPr>
      <w:r w:rsidRPr="00A84E47">
        <w:t>návrh zákona, kterým se mění zákon č. 503/2012 Sb., o Státním pozemkovém úřadu</w:t>
      </w:r>
    </w:p>
    <w:p w:rsidR="00AD5274" w:rsidRPr="00344D63" w:rsidRDefault="00AD5274" w:rsidP="00504A6F">
      <w:pPr>
        <w:pStyle w:val="N-I-pozn-1"/>
      </w:pPr>
      <w:r w:rsidRPr="00344D63">
        <w:t>(pozn. předpokládaný termín nabytí účinnosti – únor 2016),</w:t>
      </w:r>
    </w:p>
    <w:p w:rsidR="00AD5274" w:rsidRPr="00A84E47" w:rsidRDefault="00AD5274" w:rsidP="00DF6A39">
      <w:pPr>
        <w:pStyle w:val="vet1"/>
        <w:rPr>
          <w:i/>
          <w:iCs/>
        </w:rPr>
      </w:pPr>
      <w:r w:rsidRPr="00344D63">
        <w:t>návrh</w:t>
      </w:r>
      <w:r w:rsidRPr="00A84E47">
        <w:t xml:space="preserve"> zákona, kterým se mění zákon č. 110/1997 Sb., o potravinách</w:t>
      </w:r>
      <w:r>
        <w:t xml:space="preserve"> </w:t>
      </w:r>
      <w:r w:rsidRPr="00A84E47">
        <w:t>a tabákových výrobcích</w:t>
      </w:r>
    </w:p>
    <w:p w:rsidR="00AD5274" w:rsidRPr="00344D63" w:rsidRDefault="00AD5274" w:rsidP="00504A6F">
      <w:pPr>
        <w:pStyle w:val="N-I-pozn-1"/>
      </w:pPr>
      <w:r w:rsidRPr="00344D63">
        <w:t>(pozn. předpokládaný termín nabytí účinnosti – květen 2016),</w:t>
      </w:r>
    </w:p>
    <w:p w:rsidR="00AD5274" w:rsidRDefault="00AD5274" w:rsidP="00DF6A39">
      <w:pPr>
        <w:pStyle w:val="vet1"/>
        <w:rPr>
          <w:iCs/>
        </w:rPr>
      </w:pPr>
      <w:r w:rsidRPr="00344D63">
        <w:t>návrh</w:t>
      </w:r>
      <w:r w:rsidRPr="00A84E47">
        <w:rPr>
          <w:iCs/>
          <w:spacing w:val="-6"/>
        </w:rPr>
        <w:t xml:space="preserve"> zákona, </w:t>
      </w:r>
      <w:r w:rsidRPr="00A84E47">
        <w:t xml:space="preserve">kterým se mění zákon č. 154/2000 Sb., o šlechtění, plemenitbě </w:t>
      </w:r>
      <w:r>
        <w:t>a evidenci hospodářských zvířat</w:t>
      </w:r>
    </w:p>
    <w:p w:rsidR="00AD5274" w:rsidRDefault="00AD5274" w:rsidP="00504A6F">
      <w:pPr>
        <w:pStyle w:val="N-I-pozn-1"/>
      </w:pPr>
      <w:r w:rsidRPr="00344D63">
        <w:t>(pozn. předpokládaný termín nabytí účinnosti – červen 2016),</w:t>
      </w:r>
    </w:p>
    <w:p w:rsidR="00AD5274" w:rsidRPr="00A84E47" w:rsidRDefault="00AD5274" w:rsidP="00DF6A39">
      <w:pPr>
        <w:pStyle w:val="vet1"/>
        <w:rPr>
          <w:i/>
          <w:iCs/>
        </w:rPr>
      </w:pPr>
      <w:r w:rsidRPr="00344D63">
        <w:t>návrh</w:t>
      </w:r>
      <w:r w:rsidRPr="00A84E47">
        <w:t xml:space="preserve"> zákona, kterým se mění zákon č. 321/2004 Sb., o vinohradnictví a vinařství</w:t>
      </w:r>
    </w:p>
    <w:p w:rsidR="00AD5274" w:rsidRPr="00344D63" w:rsidRDefault="00AD5274" w:rsidP="00504A6F">
      <w:pPr>
        <w:pStyle w:val="N-I-pozn-1"/>
      </w:pPr>
      <w:r w:rsidRPr="00344D63">
        <w:t xml:space="preserve">(pozn. předpokládaný termín nabytí účinnosti – </w:t>
      </w:r>
      <w:r w:rsidR="00953761">
        <w:t>1. 1. 2016</w:t>
      </w:r>
      <w:r w:rsidRPr="00344D63">
        <w:t>).</w:t>
      </w:r>
    </w:p>
    <w:p w:rsidR="00AD5274" w:rsidRDefault="00AD5274" w:rsidP="00504A6F">
      <w:pPr>
        <w:rPr>
          <w:i/>
        </w:rPr>
      </w:pPr>
      <w:r w:rsidRPr="00E853F7">
        <w:t>K většině z výše uvedených návrhů zákonů byly v roce 201</w:t>
      </w:r>
      <w:r>
        <w:t>4</w:t>
      </w:r>
      <w:r w:rsidRPr="00E853F7">
        <w:t xml:space="preserve"> rovněž souběžně připravovány návrhy prováděcích právních předpisů (</w:t>
      </w:r>
      <w:r>
        <w:t xml:space="preserve">návrhy </w:t>
      </w:r>
      <w:r w:rsidRPr="00E853F7">
        <w:t xml:space="preserve">nařízení vlády a </w:t>
      </w:r>
      <w:r>
        <w:t xml:space="preserve">návrhy </w:t>
      </w:r>
      <w:r w:rsidRPr="00E853F7">
        <w:t>vyhláš</w:t>
      </w:r>
      <w:r>
        <w:t>ek</w:t>
      </w:r>
      <w:r w:rsidRPr="00E853F7">
        <w:t>).</w:t>
      </w:r>
    </w:p>
    <w:p w:rsidR="00997622" w:rsidRDefault="00997622" w:rsidP="00947B86">
      <w:pPr>
        <w:pStyle w:val="Nadpis1-ploha"/>
      </w:pPr>
      <w:bookmarkStart w:id="288" w:name="_Toc170550206"/>
      <w:bookmarkStart w:id="289" w:name="_Toc202588645"/>
      <w:bookmarkStart w:id="290" w:name="_Toc296443188"/>
      <w:bookmarkStart w:id="291" w:name="_Toc424307114"/>
      <w:r w:rsidRPr="00FC1F2A">
        <w:lastRenderedPageBreak/>
        <w:t>P</w:t>
      </w:r>
      <w:r>
        <w:t>2</w:t>
      </w:r>
      <w:r w:rsidRPr="00FC1F2A">
        <w:tab/>
        <w:t xml:space="preserve">Oficiální výsledky šetření FADN zemí </w:t>
      </w:r>
      <w:r>
        <w:t xml:space="preserve">EU </w:t>
      </w:r>
      <w:r w:rsidR="007E322B">
        <w:t xml:space="preserve">27 </w:t>
      </w:r>
      <w:r>
        <w:t>za účetní rok </w:t>
      </w:r>
      <w:r w:rsidRPr="00894A62">
        <w:t>20</w:t>
      </w:r>
      <w:r>
        <w:t>1</w:t>
      </w:r>
      <w:bookmarkEnd w:id="288"/>
      <w:bookmarkEnd w:id="289"/>
      <w:bookmarkEnd w:id="290"/>
      <w:r>
        <w:t>2</w:t>
      </w:r>
      <w:bookmarkEnd w:id="291"/>
    </w:p>
    <w:p w:rsidR="00997622" w:rsidRPr="00DC2E3A" w:rsidRDefault="00997622" w:rsidP="007E322B">
      <w:r w:rsidRPr="00DC2E3A">
        <w:t xml:space="preserve">Oficiální výsledky šetření Zemědělské účetní datové sítě (FADN) v členských státech EU jsou pravidelně publikovány Evropskou komisí – Generálním ředitelstvím pro zemědělství a rozvoj venkova (DG AGRI). Veřejnosti jsou tyto výsledky přístupné mj. na internetové adrese </w:t>
      </w:r>
      <w:hyperlink r:id="rId237" w:history="1">
        <w:r w:rsidRPr="009B0DD5">
          <w:rPr>
            <w:rStyle w:val="Hypertextovodkaz"/>
          </w:rPr>
          <w:t>http://ec.europa.eu/agriculture/rica/</w:t>
        </w:r>
      </w:hyperlink>
      <w:r w:rsidRPr="00DC2E3A">
        <w:t>.</w:t>
      </w:r>
    </w:p>
    <w:p w:rsidR="00997622" w:rsidRPr="00DC2E3A" w:rsidRDefault="00997622" w:rsidP="007E322B">
      <w:r w:rsidRPr="00DC2E3A">
        <w:t>Výsledky jsou prezentovány na základě jednotného metodického postupu ve formě Standardního výstupu FADN. V </w:t>
      </w:r>
      <w:proofErr w:type="spellStart"/>
      <w:r w:rsidRPr="00DC2E3A">
        <w:t>příl</w:t>
      </w:r>
      <w:proofErr w:type="spellEnd"/>
      <w:r w:rsidRPr="00DC2E3A">
        <w:t>. tab. P2/01 a P2/02 jsou uvedeny oficiální výsledky za EU v rozsahu prakticky všech ukazatelů Standardního výstupu. Ve stejné struktuře jsou obdobné výsledky prezentovány Evropskou komisí i za srovnatelné skupiny zemědělských podniků jednak podle jednotlivých kategorií výrobního zaměření (polní výroba, zahradnictví, víno, ostatní trvalé kultury, mléko, chov skotu, chov prasat a drůbeže, smíšená výroba) a jednak podle tříd ekonomické velikosti zemědělských podniků</w:t>
      </w:r>
      <w:r w:rsidRPr="00DC2E3A">
        <w:rPr>
          <w:rStyle w:val="Znakapoznpodarou"/>
        </w:rPr>
        <w:footnoteReference w:id="196"/>
      </w:r>
      <w:r w:rsidRPr="00DC2E3A">
        <w:t>. Standardní výstup FADN obsahuje</w:t>
      </w:r>
      <w:r w:rsidRPr="004C4AC5">
        <w:t xml:space="preserve"> ukazatele popisující základní výrobní strukturu zemědělských podniků</w:t>
      </w:r>
      <w:r w:rsidRPr="00DC2E3A">
        <w:t xml:space="preserve"> v naturálních ukazatelích (v ha, VDJ) a celou řadu </w:t>
      </w:r>
      <w:r w:rsidRPr="004C4AC5">
        <w:t>ekonomických</w:t>
      </w:r>
      <w:r>
        <w:t xml:space="preserve"> </w:t>
      </w:r>
      <w:r w:rsidRPr="00DC2E3A">
        <w:t>i</w:t>
      </w:r>
      <w:r>
        <w:t>ndikátorů. Jmenovitě se jedná o </w:t>
      </w:r>
      <w:r w:rsidRPr="00DC2E3A">
        <w:t>ukazatele hrubé zemědělské produkce v členění na jednotlivé komodity, dále ukazatele podnikových nákladů, podpor do zemědělství, salda podpor a daní, ukazatele důchodové povahy a charakteristiky pasiv a aktiv. Za každý průměrný podnik jsou uvedeny pracovní síly celkem v přepočtu na AWU</w:t>
      </w:r>
      <w:r w:rsidRPr="00DC2E3A">
        <w:rPr>
          <w:rStyle w:val="Znakapoznpodarou"/>
        </w:rPr>
        <w:footnoteReference w:id="197"/>
      </w:r>
      <w:r w:rsidRPr="00DC2E3A">
        <w:t xml:space="preserve"> a neplacené pracovní síly v přepočtu na FWU</w:t>
      </w:r>
      <w:r w:rsidRPr="00DC2E3A">
        <w:rPr>
          <w:rStyle w:val="Znakapoznpodarou"/>
        </w:rPr>
        <w:footnoteReference w:id="198"/>
      </w:r>
      <w:r w:rsidRPr="00DC2E3A">
        <w:t>.</w:t>
      </w:r>
    </w:p>
    <w:p w:rsidR="00997622" w:rsidRPr="00DC2E3A" w:rsidRDefault="00997622" w:rsidP="007E322B">
      <w:r w:rsidRPr="00DC2E3A">
        <w:t>Způsob výpočtu základních ukazatelů hospodářského výsledku zemědělského podniku podle metodiky Standardního výstupu EU zobrazuje schéma na obr. P2/01.</w:t>
      </w:r>
    </w:p>
    <w:p w:rsidR="00997622" w:rsidRPr="00894A62" w:rsidRDefault="00997622" w:rsidP="007E322B">
      <w:r w:rsidRPr="00DC2E3A">
        <w:t>Oficiální výsledky, tak jak jsou prezentované EK (</w:t>
      </w:r>
      <w:proofErr w:type="spellStart"/>
      <w:r w:rsidRPr="00DC2E3A">
        <w:t>příl</w:t>
      </w:r>
      <w:proofErr w:type="spellEnd"/>
      <w:r w:rsidRPr="00DC2E3A">
        <w:t xml:space="preserve">. tab. P2/01), jsou přepočteny na průměrné podniky jednotlivých zemí </w:t>
      </w:r>
      <w:r w:rsidRPr="004C4AC5">
        <w:t>prostřednictvím systému</w:t>
      </w:r>
      <w:r>
        <w:t xml:space="preserve"> </w:t>
      </w:r>
      <w:r w:rsidRPr="00DC2E3A">
        <w:t xml:space="preserve">vážení. Každý podnik souboru FADN má přidělen tzv. </w:t>
      </w:r>
      <w:proofErr w:type="spellStart"/>
      <w:r w:rsidRPr="00DC2E3A">
        <w:t>nápočtový</w:t>
      </w:r>
      <w:proofErr w:type="spellEnd"/>
      <w:r w:rsidRPr="00DC2E3A">
        <w:t xml:space="preserve"> koeficient, který reprezentuje určitý počet podniků téhož výrobního zaměření a velikostní skupiny korespondující s celkovým počtem podniků obdobného zaměření příslušné země. Hodnoty šetření FADN u jednotlivých podniků jsou násobeny tímto koeficientem a tím jsou dosaženy hodnoty za celé zemědělství příslušného státu EU (za část, která je pokryta sítí FADN, tj. tržně orientované farmy). Vydělením těchto hodnot celkovým počtem všech podniků dané země, reprezentovaných sítí FADN, vznikne výsledek za průměrný podnik dané země. Jedná se v podstatě o vážený průměr na jeden </w:t>
      </w:r>
      <w:r w:rsidRPr="00DC2E3A">
        <w:lastRenderedPageBreak/>
        <w:t>podnik, kde jako váhy fungují počty podniků v jednotlivých kategoriích výrobního zaměření (specializace) a velikostní třídy zemědělského podniku, tak jak jsou zjištěny Strukturálním šetřením v zemědělství (FSS). V ČR síť FADN reprezentuje všechny zemědělské</w:t>
      </w:r>
      <w:r w:rsidRPr="00894A62">
        <w:t xml:space="preserve"> </w:t>
      </w:r>
      <w:r>
        <w:t>podniky a </w:t>
      </w:r>
      <w:r w:rsidRPr="00DC2E3A">
        <w:t>farmy zachycené FSS, jejichž</w:t>
      </w:r>
      <w:r>
        <w:t xml:space="preserve"> ekonomická velikost přesahuje </w:t>
      </w:r>
      <w:r w:rsidRPr="00DC2E3A">
        <w:t xml:space="preserve">8 tis. </w:t>
      </w:r>
      <w:r w:rsidR="0099527F">
        <w:t>€</w:t>
      </w:r>
      <w:r w:rsidRPr="00DC2E3A">
        <w:t xml:space="preserve"> (třída ekonomické velikosti IV.-XIV.), tj. 14 800 podniků, které celkově obhospodařují cca 3 400 tis. ha z. p.</w:t>
      </w:r>
    </w:p>
    <w:p w:rsidR="00997622" w:rsidRDefault="00997622" w:rsidP="007E322B">
      <w:r w:rsidRPr="00894A62">
        <w:t xml:space="preserve">Pro lepší srovnatelnost výsledků států </w:t>
      </w:r>
      <w:r>
        <w:t>EU 27</w:t>
      </w:r>
      <w:r w:rsidRPr="00894A62">
        <w:t xml:space="preserve"> jsou uvedeny v </w:t>
      </w:r>
      <w:proofErr w:type="spellStart"/>
      <w:r w:rsidRPr="00894A62">
        <w:t>příl</w:t>
      </w:r>
      <w:proofErr w:type="spellEnd"/>
      <w:r w:rsidRPr="00894A62">
        <w:t>. tab. P</w:t>
      </w:r>
      <w:r>
        <w:t>2</w:t>
      </w:r>
      <w:r w:rsidRPr="00894A62">
        <w:t>/02 stejné ukazatele přepočtené na 1</w:t>
      </w:r>
      <w:r>
        <w:t xml:space="preserve"> ha </w:t>
      </w:r>
      <w:r w:rsidRPr="00894A62">
        <w:t>obhospodařované z. p.</w:t>
      </w:r>
    </w:p>
    <w:p w:rsidR="00997622" w:rsidRDefault="00997622" w:rsidP="00997622">
      <w:pPr>
        <w:pStyle w:val="mezera"/>
      </w:pPr>
    </w:p>
    <w:p w:rsidR="00997622" w:rsidRPr="00FC1F2A" w:rsidRDefault="00997622" w:rsidP="00997622"/>
    <w:p w:rsidR="00997622" w:rsidRPr="00FC1F2A" w:rsidRDefault="00997622" w:rsidP="00997622">
      <w:pPr>
        <w:pStyle w:val="mezera"/>
        <w:sectPr w:rsidR="00997622" w:rsidRPr="00FC1F2A" w:rsidSect="00F44CD4">
          <w:footerReference w:type="even" r:id="rId238"/>
          <w:footerReference w:type="default" r:id="rId239"/>
          <w:pgSz w:w="11906" w:h="16838"/>
          <w:pgMar w:top="1417" w:right="1417" w:bottom="1417" w:left="1417" w:header="708" w:footer="708" w:gutter="0"/>
          <w:pgNumType w:start="1"/>
          <w:cols w:space="708"/>
          <w:docGrid w:linePitch="360"/>
        </w:sectPr>
      </w:pPr>
    </w:p>
    <w:p w:rsidR="00997622" w:rsidRPr="00FC1F2A" w:rsidRDefault="00997622" w:rsidP="00997622">
      <w:pPr>
        <w:pStyle w:val="TabNadpis"/>
      </w:pPr>
      <w:r w:rsidRPr="00FC1F2A">
        <w:lastRenderedPageBreak/>
        <w:t xml:space="preserve">Obr. </w:t>
      </w:r>
      <w:r w:rsidRPr="00894A62">
        <w:t>P</w:t>
      </w:r>
      <w:r>
        <w:t>2/01 –</w:t>
      </w:r>
      <w:r w:rsidRPr="00FC1F2A">
        <w:t xml:space="preserve"> Odvození ukazatelů ekonomických výsledků podle metodiky FADN EU</w:t>
      </w:r>
    </w:p>
    <w:tbl>
      <w:tblPr>
        <w:tblW w:w="0" w:type="auto"/>
        <w:tblLayout w:type="fixed"/>
        <w:tblCellMar>
          <w:left w:w="70" w:type="dxa"/>
          <w:right w:w="70" w:type="dxa"/>
        </w:tblCellMar>
        <w:tblLook w:val="0000" w:firstRow="0" w:lastRow="0" w:firstColumn="0" w:lastColumn="0" w:noHBand="0" w:noVBand="0"/>
      </w:tblPr>
      <w:tblGrid>
        <w:gridCol w:w="838"/>
        <w:gridCol w:w="1856"/>
        <w:gridCol w:w="330"/>
        <w:gridCol w:w="2646"/>
        <w:gridCol w:w="378"/>
        <w:gridCol w:w="1040"/>
        <w:gridCol w:w="1134"/>
        <w:gridCol w:w="851"/>
        <w:gridCol w:w="283"/>
        <w:gridCol w:w="1417"/>
        <w:gridCol w:w="567"/>
        <w:gridCol w:w="2268"/>
      </w:tblGrid>
      <w:tr w:rsidR="00997622" w:rsidRPr="00FC1F2A" w:rsidTr="007E322B">
        <w:trPr>
          <w:gridAfter w:val="1"/>
          <w:wAfter w:w="2268" w:type="dxa"/>
          <w:cantSplit/>
        </w:trPr>
        <w:tc>
          <w:tcPr>
            <w:tcW w:w="9073" w:type="dxa"/>
            <w:gridSpan w:val="8"/>
            <w:tcBorders>
              <w:top w:val="single" w:sz="12" w:space="0" w:color="auto"/>
              <w:left w:val="single" w:sz="12" w:space="0" w:color="auto"/>
              <w:bottom w:val="single" w:sz="12" w:space="0" w:color="auto"/>
              <w:right w:val="single" w:sz="12" w:space="0" w:color="auto"/>
            </w:tcBorders>
          </w:tcPr>
          <w:p w:rsidR="00997622" w:rsidRDefault="00997622" w:rsidP="007E322B">
            <w:pPr>
              <w:pStyle w:val="schmaFADN"/>
              <w:rPr>
                <w:rStyle w:val="schmaFADN-BoldChar"/>
              </w:rPr>
            </w:pPr>
            <w:r w:rsidRPr="009B6354">
              <w:rPr>
                <w:rStyle w:val="schmaFADN-BoldChar"/>
              </w:rPr>
              <w:t>Celková hrubá produkce</w:t>
            </w:r>
          </w:p>
          <w:p w:rsidR="00997622" w:rsidRPr="00557846" w:rsidRDefault="00997622" w:rsidP="007E322B">
            <w:pPr>
              <w:pStyle w:val="schmaFADN"/>
              <w:rPr>
                <w:lang w:val="pt-BR"/>
              </w:rPr>
            </w:pPr>
            <w:r w:rsidRPr="00557846">
              <w:rPr>
                <w:rStyle w:val="schmaFADN-8Char"/>
                <w:lang w:val="pt-BR"/>
              </w:rPr>
              <w:t>(Total output)</w:t>
            </w:r>
          </w:p>
        </w:tc>
        <w:tc>
          <w:tcPr>
            <w:tcW w:w="2267" w:type="dxa"/>
            <w:gridSpan w:val="3"/>
            <w:vMerge w:val="restart"/>
            <w:tcBorders>
              <w:top w:val="single" w:sz="12" w:space="0" w:color="auto"/>
              <w:left w:val="nil"/>
              <w:bottom w:val="single" w:sz="12" w:space="0" w:color="auto"/>
              <w:right w:val="single" w:sz="12" w:space="0" w:color="auto"/>
            </w:tcBorders>
          </w:tcPr>
          <w:p w:rsidR="00997622" w:rsidRDefault="00997622" w:rsidP="007E322B">
            <w:pPr>
              <w:pStyle w:val="schmaFADN"/>
            </w:pPr>
            <w:r w:rsidRPr="009B6354">
              <w:rPr>
                <w:rStyle w:val="schmaFADN-BoldChar"/>
              </w:rPr>
              <w:t>Bilance provozních podpor a daní</w:t>
            </w:r>
          </w:p>
          <w:p w:rsidR="00997622" w:rsidRPr="00FC1F2A" w:rsidRDefault="00997622" w:rsidP="007E322B">
            <w:pPr>
              <w:pStyle w:val="schmaFADN"/>
              <w:rPr>
                <w:lang w:val="en-US"/>
              </w:rPr>
            </w:pPr>
            <w:r w:rsidRPr="0045755B">
              <w:rPr>
                <w:rStyle w:val="schmaFADN-8Char"/>
              </w:rPr>
              <w:t>(Balance current subsidies &amp; taxes)</w:t>
            </w:r>
          </w:p>
        </w:tc>
      </w:tr>
      <w:tr w:rsidR="00997622" w:rsidRPr="00FC1F2A" w:rsidTr="007E322B">
        <w:trPr>
          <w:gridAfter w:val="1"/>
          <w:wAfter w:w="2268" w:type="dxa"/>
          <w:cantSplit/>
          <w:trHeight w:val="665"/>
        </w:trPr>
        <w:tc>
          <w:tcPr>
            <w:tcW w:w="3024" w:type="dxa"/>
            <w:gridSpan w:val="3"/>
            <w:tcBorders>
              <w:top w:val="single" w:sz="12" w:space="0" w:color="auto"/>
              <w:left w:val="single" w:sz="12" w:space="0" w:color="auto"/>
              <w:bottom w:val="single" w:sz="12" w:space="0" w:color="auto"/>
            </w:tcBorders>
          </w:tcPr>
          <w:p w:rsidR="00997622" w:rsidRDefault="00997622" w:rsidP="007E322B">
            <w:pPr>
              <w:pStyle w:val="schmaFADN"/>
              <w:rPr>
                <w:rStyle w:val="schmaFADN-BoldChar"/>
              </w:rPr>
            </w:pPr>
            <w:r w:rsidRPr="009B6354">
              <w:rPr>
                <w:rStyle w:val="schmaFADN-BoldChar"/>
              </w:rPr>
              <w:t>Celková hrubá rostlinná produkce</w:t>
            </w:r>
          </w:p>
          <w:p w:rsidR="00997622" w:rsidRPr="00FC1F2A" w:rsidRDefault="00997622" w:rsidP="007E322B">
            <w:pPr>
              <w:pStyle w:val="schmaFADN"/>
            </w:pPr>
            <w:r w:rsidRPr="00536B55">
              <w:rPr>
                <w:rStyle w:val="schmaFADN-8Char"/>
                <w:lang w:val="cs-CZ"/>
              </w:rPr>
              <w:t>(</w:t>
            </w:r>
            <w:r w:rsidRPr="00B4536E">
              <w:rPr>
                <w:rStyle w:val="schmaFADN-8Char"/>
              </w:rPr>
              <w:t>Output crops &amp; crop products</w:t>
            </w:r>
            <w:r w:rsidRPr="00536B55">
              <w:rPr>
                <w:rStyle w:val="schmaFADN-8Char"/>
                <w:lang w:val="cs-CZ"/>
              </w:rPr>
              <w:t>)</w:t>
            </w:r>
          </w:p>
        </w:tc>
        <w:tc>
          <w:tcPr>
            <w:tcW w:w="3024" w:type="dxa"/>
            <w:gridSpan w:val="2"/>
            <w:tcBorders>
              <w:top w:val="single" w:sz="12" w:space="0" w:color="auto"/>
              <w:left w:val="single" w:sz="6" w:space="0" w:color="auto"/>
              <w:bottom w:val="single" w:sz="12" w:space="0" w:color="auto"/>
            </w:tcBorders>
          </w:tcPr>
          <w:p w:rsidR="00997622" w:rsidRDefault="00997622" w:rsidP="007E322B">
            <w:pPr>
              <w:pStyle w:val="schmaFADN"/>
              <w:rPr>
                <w:rStyle w:val="schmaFADN-BoldChar"/>
              </w:rPr>
            </w:pPr>
            <w:r w:rsidRPr="009B6354">
              <w:rPr>
                <w:rStyle w:val="schmaFADN-BoldChar"/>
              </w:rPr>
              <w:t>Celková hrubá živočišná produkce</w:t>
            </w:r>
          </w:p>
          <w:p w:rsidR="00997622" w:rsidRPr="00FC1F2A" w:rsidRDefault="00997622" w:rsidP="007E322B">
            <w:pPr>
              <w:pStyle w:val="schmaFADN"/>
            </w:pPr>
            <w:r w:rsidRPr="00536B55">
              <w:rPr>
                <w:rStyle w:val="schmaFADN-8Char"/>
                <w:lang w:val="cs-CZ"/>
              </w:rPr>
              <w:t>(</w:t>
            </w:r>
            <w:r w:rsidRPr="00B4536E">
              <w:rPr>
                <w:rStyle w:val="schmaFADN-8Char"/>
              </w:rPr>
              <w:t>Output livestock &amp; livestock products</w:t>
            </w:r>
            <w:r w:rsidRPr="00536B55">
              <w:rPr>
                <w:rStyle w:val="schmaFADN-8Char"/>
                <w:lang w:val="cs-CZ"/>
              </w:rPr>
              <w:t>)</w:t>
            </w:r>
          </w:p>
        </w:tc>
        <w:tc>
          <w:tcPr>
            <w:tcW w:w="3025" w:type="dxa"/>
            <w:gridSpan w:val="3"/>
            <w:tcBorders>
              <w:top w:val="single" w:sz="12" w:space="0" w:color="auto"/>
              <w:left w:val="single" w:sz="6" w:space="0" w:color="auto"/>
              <w:bottom w:val="single" w:sz="12" w:space="0" w:color="auto"/>
              <w:right w:val="single" w:sz="12" w:space="0" w:color="auto"/>
            </w:tcBorders>
          </w:tcPr>
          <w:p w:rsidR="00997622" w:rsidRDefault="00997622" w:rsidP="007E322B">
            <w:pPr>
              <w:pStyle w:val="schmaFADN"/>
              <w:rPr>
                <w:rStyle w:val="schmaFADN-BoldChar"/>
              </w:rPr>
            </w:pPr>
            <w:r w:rsidRPr="009B6354">
              <w:rPr>
                <w:rStyle w:val="schmaFADN-BoldChar"/>
              </w:rPr>
              <w:t>Ostatní hrubá produkce</w:t>
            </w:r>
          </w:p>
          <w:p w:rsidR="00997622" w:rsidRPr="00FC1F2A" w:rsidRDefault="00997622" w:rsidP="007E322B">
            <w:pPr>
              <w:pStyle w:val="schmaFADN"/>
            </w:pPr>
            <w:r w:rsidRPr="0045755B">
              <w:rPr>
                <w:rStyle w:val="schmaFADN-8Char"/>
              </w:rPr>
              <w:t>(Other output)</w:t>
            </w:r>
          </w:p>
        </w:tc>
        <w:tc>
          <w:tcPr>
            <w:tcW w:w="2267" w:type="dxa"/>
            <w:gridSpan w:val="3"/>
            <w:vMerge/>
            <w:tcBorders>
              <w:top w:val="single" w:sz="12" w:space="0" w:color="auto"/>
              <w:left w:val="nil"/>
              <w:bottom w:val="single" w:sz="12" w:space="0" w:color="auto"/>
              <w:right w:val="single" w:sz="12" w:space="0" w:color="auto"/>
            </w:tcBorders>
          </w:tcPr>
          <w:p w:rsidR="00997622" w:rsidRPr="00FC1F2A" w:rsidRDefault="00997622" w:rsidP="007E322B">
            <w:pPr>
              <w:pStyle w:val="schmaFADN"/>
            </w:pPr>
          </w:p>
        </w:tc>
      </w:tr>
      <w:tr w:rsidR="00997622" w:rsidRPr="00FC1F2A" w:rsidTr="007E322B">
        <w:trPr>
          <w:gridAfter w:val="1"/>
          <w:wAfter w:w="2268" w:type="dxa"/>
          <w:cantSplit/>
        </w:trPr>
        <w:tc>
          <w:tcPr>
            <w:tcW w:w="5670" w:type="dxa"/>
            <w:gridSpan w:val="4"/>
            <w:tcBorders>
              <w:top w:val="single" w:sz="12" w:space="0" w:color="auto"/>
              <w:left w:val="single" w:sz="12" w:space="0" w:color="auto"/>
              <w:bottom w:val="single" w:sz="12" w:space="0" w:color="auto"/>
              <w:right w:val="single" w:sz="12" w:space="0" w:color="auto"/>
            </w:tcBorders>
          </w:tcPr>
          <w:p w:rsidR="00997622" w:rsidRDefault="00997622" w:rsidP="007E322B">
            <w:pPr>
              <w:pStyle w:val="schmaFADN"/>
            </w:pPr>
            <w:proofErr w:type="spellStart"/>
            <w:r w:rsidRPr="009B6354">
              <w:rPr>
                <w:rStyle w:val="schmaFADN-BoldChar"/>
              </w:rPr>
              <w:t>Mezispotřeba</w:t>
            </w:r>
            <w:proofErr w:type="spellEnd"/>
            <w:r w:rsidRPr="009B6354">
              <w:rPr>
                <w:rStyle w:val="schmaFADN-BoldChar"/>
              </w:rPr>
              <w:t xml:space="preserve"> celkem</w:t>
            </w:r>
          </w:p>
          <w:p w:rsidR="00997622" w:rsidRPr="00FC1F2A" w:rsidRDefault="00997622" w:rsidP="007E322B">
            <w:pPr>
              <w:pStyle w:val="schmaFADN"/>
            </w:pPr>
            <w:r w:rsidRPr="0045755B">
              <w:rPr>
                <w:rStyle w:val="schmaFADN-8Char"/>
              </w:rPr>
              <w:t>(Intermediate consumption)</w:t>
            </w:r>
          </w:p>
        </w:tc>
        <w:tc>
          <w:tcPr>
            <w:tcW w:w="5670" w:type="dxa"/>
            <w:gridSpan w:val="7"/>
            <w:vMerge w:val="restart"/>
            <w:tcBorders>
              <w:top w:val="single" w:sz="12" w:space="0" w:color="auto"/>
              <w:left w:val="nil"/>
              <w:bottom w:val="single" w:sz="12" w:space="0" w:color="auto"/>
              <w:right w:val="single" w:sz="12" w:space="0" w:color="auto"/>
            </w:tcBorders>
            <w:vAlign w:val="center"/>
          </w:tcPr>
          <w:p w:rsidR="00997622" w:rsidRDefault="00997622" w:rsidP="007E322B">
            <w:pPr>
              <w:pStyle w:val="schmaFADN"/>
            </w:pPr>
            <w:r w:rsidRPr="009B6354">
              <w:rPr>
                <w:rStyle w:val="schmaFADN-BoldChar"/>
              </w:rPr>
              <w:t>Hrubá přidaná hodnota</w:t>
            </w:r>
          </w:p>
          <w:p w:rsidR="00997622" w:rsidRPr="00FC1F2A" w:rsidRDefault="00997622" w:rsidP="007E322B">
            <w:pPr>
              <w:pStyle w:val="schmaFADN"/>
            </w:pPr>
            <w:r w:rsidRPr="0045755B">
              <w:rPr>
                <w:rStyle w:val="schmaFADN-8Char"/>
              </w:rPr>
              <w:t>(Gross Farm Income)</w:t>
            </w:r>
          </w:p>
        </w:tc>
      </w:tr>
      <w:tr w:rsidR="00997622" w:rsidRPr="00FC1F2A" w:rsidTr="007E322B">
        <w:trPr>
          <w:gridAfter w:val="1"/>
          <w:wAfter w:w="2268" w:type="dxa"/>
          <w:cantSplit/>
          <w:trHeight w:val="682"/>
        </w:trPr>
        <w:tc>
          <w:tcPr>
            <w:tcW w:w="2694" w:type="dxa"/>
            <w:gridSpan w:val="2"/>
            <w:tcBorders>
              <w:left w:val="single" w:sz="12" w:space="0" w:color="auto"/>
              <w:bottom w:val="single" w:sz="12" w:space="0" w:color="auto"/>
              <w:right w:val="single" w:sz="6" w:space="0" w:color="auto"/>
            </w:tcBorders>
          </w:tcPr>
          <w:p w:rsidR="00997622" w:rsidRDefault="00997622" w:rsidP="007E322B">
            <w:pPr>
              <w:pStyle w:val="schmaFADN"/>
              <w:rPr>
                <w:rStyle w:val="schmaFADN-BoldChar"/>
              </w:rPr>
            </w:pPr>
            <w:r w:rsidRPr="009B6354">
              <w:rPr>
                <w:rStyle w:val="schmaFADN-BoldChar"/>
              </w:rPr>
              <w:t>Přímé náklady celkem</w:t>
            </w:r>
          </w:p>
          <w:p w:rsidR="00997622" w:rsidRPr="00FC1F2A" w:rsidRDefault="00997622" w:rsidP="007E322B">
            <w:pPr>
              <w:pStyle w:val="schmaFADN"/>
            </w:pPr>
            <w:r w:rsidRPr="0045755B">
              <w:rPr>
                <w:rStyle w:val="schmaFADN-8Char"/>
              </w:rPr>
              <w:t>(Specific costs)</w:t>
            </w:r>
          </w:p>
        </w:tc>
        <w:tc>
          <w:tcPr>
            <w:tcW w:w="2976" w:type="dxa"/>
            <w:gridSpan w:val="2"/>
            <w:tcBorders>
              <w:left w:val="single" w:sz="6" w:space="0" w:color="auto"/>
              <w:bottom w:val="single" w:sz="12" w:space="0" w:color="auto"/>
              <w:right w:val="single" w:sz="12" w:space="0" w:color="auto"/>
            </w:tcBorders>
          </w:tcPr>
          <w:p w:rsidR="00997622" w:rsidRDefault="00997622" w:rsidP="007E322B">
            <w:pPr>
              <w:pStyle w:val="schmaFADN"/>
            </w:pPr>
            <w:r w:rsidRPr="009B6354">
              <w:rPr>
                <w:rStyle w:val="schmaFADN-BoldChar"/>
              </w:rPr>
              <w:t>Režijní náklady celkem</w:t>
            </w:r>
          </w:p>
          <w:p w:rsidR="00997622" w:rsidRPr="00FC1F2A" w:rsidRDefault="00997622" w:rsidP="007E322B">
            <w:pPr>
              <w:pStyle w:val="schmaFADN"/>
            </w:pPr>
            <w:r w:rsidRPr="00536B55">
              <w:rPr>
                <w:rStyle w:val="schmaFADN-8Char"/>
                <w:lang w:val="cs-CZ"/>
              </w:rPr>
              <w:t>(</w:t>
            </w:r>
            <w:r w:rsidRPr="00B4536E">
              <w:rPr>
                <w:rStyle w:val="schmaFADN-8Char"/>
              </w:rPr>
              <w:t>Farming overheads</w:t>
            </w:r>
            <w:r w:rsidRPr="00536B55">
              <w:rPr>
                <w:rStyle w:val="schmaFADN-8Char"/>
                <w:lang w:val="cs-CZ"/>
              </w:rPr>
              <w:t>)</w:t>
            </w:r>
          </w:p>
        </w:tc>
        <w:tc>
          <w:tcPr>
            <w:tcW w:w="5670" w:type="dxa"/>
            <w:gridSpan w:val="7"/>
            <w:vMerge/>
            <w:tcBorders>
              <w:left w:val="nil"/>
              <w:bottom w:val="single" w:sz="12" w:space="0" w:color="auto"/>
              <w:right w:val="single" w:sz="12" w:space="0" w:color="auto"/>
            </w:tcBorders>
          </w:tcPr>
          <w:p w:rsidR="00997622" w:rsidRPr="00FC1F2A" w:rsidRDefault="00997622" w:rsidP="007E322B">
            <w:pPr>
              <w:pStyle w:val="schmaFADN"/>
            </w:pPr>
          </w:p>
        </w:tc>
      </w:tr>
      <w:tr w:rsidR="00997622" w:rsidRPr="00FC1F2A" w:rsidTr="007E322B">
        <w:trPr>
          <w:cantSplit/>
        </w:trPr>
        <w:tc>
          <w:tcPr>
            <w:tcW w:w="5670" w:type="dxa"/>
            <w:gridSpan w:val="4"/>
          </w:tcPr>
          <w:p w:rsidR="00997622" w:rsidRPr="00FC1F2A" w:rsidRDefault="00997622" w:rsidP="007E322B">
            <w:pPr>
              <w:pStyle w:val="schmaFADN"/>
            </w:pPr>
          </w:p>
        </w:tc>
        <w:tc>
          <w:tcPr>
            <w:tcW w:w="1418" w:type="dxa"/>
            <w:gridSpan w:val="2"/>
            <w:tcBorders>
              <w:top w:val="single" w:sz="12" w:space="0" w:color="auto"/>
              <w:left w:val="single" w:sz="12" w:space="0" w:color="auto"/>
              <w:bottom w:val="single" w:sz="12" w:space="0" w:color="auto"/>
              <w:right w:val="single" w:sz="12" w:space="0" w:color="auto"/>
            </w:tcBorders>
          </w:tcPr>
          <w:p w:rsidR="00997622" w:rsidRPr="00FC1F2A" w:rsidRDefault="00997622" w:rsidP="007E322B">
            <w:pPr>
              <w:pStyle w:val="schmaFADN"/>
            </w:pPr>
            <w:r w:rsidRPr="009B6354">
              <w:rPr>
                <w:rStyle w:val="schmaFADN-BoldChar"/>
              </w:rPr>
              <w:t xml:space="preserve">Odpisy </w:t>
            </w:r>
            <w:r w:rsidRPr="0045755B">
              <w:rPr>
                <w:rStyle w:val="schmaFADN-8Char"/>
              </w:rPr>
              <w:t>(Depreciation)</w:t>
            </w:r>
          </w:p>
        </w:tc>
        <w:tc>
          <w:tcPr>
            <w:tcW w:w="4252" w:type="dxa"/>
            <w:gridSpan w:val="5"/>
            <w:tcBorders>
              <w:top w:val="single" w:sz="12" w:space="0" w:color="auto"/>
              <w:left w:val="single" w:sz="12" w:space="0" w:color="auto"/>
              <w:bottom w:val="single" w:sz="12" w:space="0" w:color="auto"/>
              <w:right w:val="single" w:sz="12" w:space="0" w:color="auto"/>
            </w:tcBorders>
          </w:tcPr>
          <w:p w:rsidR="00997622" w:rsidRDefault="00997622" w:rsidP="007E322B">
            <w:pPr>
              <w:pStyle w:val="schmaFADN"/>
            </w:pPr>
            <w:r w:rsidRPr="009B6354">
              <w:rPr>
                <w:rStyle w:val="schmaFADN-BoldChar"/>
              </w:rPr>
              <w:t>Čistá přidaná hodnota</w:t>
            </w:r>
          </w:p>
          <w:p w:rsidR="00997622" w:rsidRPr="00FC1F2A" w:rsidRDefault="00997622" w:rsidP="007E322B">
            <w:pPr>
              <w:pStyle w:val="schmaFADN"/>
            </w:pPr>
            <w:r w:rsidRPr="00536B55">
              <w:rPr>
                <w:rStyle w:val="schmaFADN-8Char"/>
                <w:lang w:val="cs-CZ"/>
              </w:rPr>
              <w:t>(</w:t>
            </w:r>
            <w:r w:rsidRPr="00B4536E">
              <w:rPr>
                <w:rStyle w:val="schmaFADN-8Char"/>
              </w:rPr>
              <w:t>Farm Net Value Added</w:t>
            </w:r>
            <w:r w:rsidRPr="00536B55">
              <w:rPr>
                <w:rStyle w:val="schmaFADN-8Char"/>
                <w:lang w:val="cs-CZ"/>
              </w:rPr>
              <w:t>)</w:t>
            </w:r>
          </w:p>
        </w:tc>
        <w:tc>
          <w:tcPr>
            <w:tcW w:w="2268" w:type="dxa"/>
            <w:tcBorders>
              <w:top w:val="single" w:sz="12" w:space="0" w:color="auto"/>
              <w:left w:val="single" w:sz="12" w:space="0" w:color="auto"/>
              <w:bottom w:val="single" w:sz="12" w:space="0" w:color="auto"/>
              <w:right w:val="single" w:sz="12" w:space="0" w:color="auto"/>
            </w:tcBorders>
          </w:tcPr>
          <w:p w:rsidR="00997622" w:rsidRDefault="00997622" w:rsidP="007E322B">
            <w:pPr>
              <w:pStyle w:val="schmaFADN"/>
              <w:rPr>
                <w:rStyle w:val="schmaFADN-BoldChar"/>
              </w:rPr>
            </w:pPr>
            <w:r w:rsidRPr="009B6354">
              <w:rPr>
                <w:rStyle w:val="schmaFADN-BoldChar"/>
              </w:rPr>
              <w:t>Bil</w:t>
            </w:r>
            <w:r>
              <w:rPr>
                <w:rStyle w:val="schmaFADN-BoldChar"/>
              </w:rPr>
              <w:t>ance investičních podpor a daní</w:t>
            </w:r>
          </w:p>
          <w:p w:rsidR="00997622" w:rsidRPr="00FC1F2A" w:rsidRDefault="00997622" w:rsidP="007E322B">
            <w:pPr>
              <w:pStyle w:val="schmaFADN"/>
            </w:pPr>
            <w:r w:rsidRPr="0045755B">
              <w:rPr>
                <w:rStyle w:val="schmaFADN-8Char"/>
              </w:rPr>
              <w:t>(Balance subsidies &amp; taxes on investment)</w:t>
            </w:r>
          </w:p>
        </w:tc>
      </w:tr>
      <w:tr w:rsidR="00997622" w:rsidRPr="00FC1F2A" w:rsidTr="007E322B">
        <w:trPr>
          <w:gridBefore w:val="1"/>
          <w:wBefore w:w="838" w:type="dxa"/>
          <w:cantSplit/>
          <w:trHeight w:val="693"/>
        </w:trPr>
        <w:tc>
          <w:tcPr>
            <w:tcW w:w="6250" w:type="dxa"/>
            <w:gridSpan w:val="5"/>
          </w:tcPr>
          <w:p w:rsidR="00997622" w:rsidRPr="00F32D1F" w:rsidRDefault="00997622" w:rsidP="007E322B">
            <w:pPr>
              <w:pStyle w:val="schmaFADN"/>
              <w:rPr>
                <w:lang w:val="cs-CZ"/>
              </w:rPr>
            </w:pPr>
          </w:p>
        </w:tc>
        <w:tc>
          <w:tcPr>
            <w:tcW w:w="3685" w:type="dxa"/>
            <w:gridSpan w:val="4"/>
            <w:tcBorders>
              <w:top w:val="single" w:sz="12" w:space="0" w:color="auto"/>
              <w:left w:val="single" w:sz="12" w:space="0" w:color="auto"/>
              <w:right w:val="single" w:sz="12" w:space="0" w:color="auto"/>
            </w:tcBorders>
          </w:tcPr>
          <w:p w:rsidR="00997622" w:rsidRDefault="00997622" w:rsidP="007E322B">
            <w:pPr>
              <w:pStyle w:val="schmaFADN"/>
            </w:pPr>
            <w:r w:rsidRPr="009B6354">
              <w:rPr>
                <w:rStyle w:val="schmaFADN-BoldChar"/>
              </w:rPr>
              <w:t>Externí faktory celkem</w:t>
            </w:r>
          </w:p>
          <w:p w:rsidR="00997622" w:rsidRPr="00FC1F2A" w:rsidRDefault="00997622" w:rsidP="007E322B">
            <w:pPr>
              <w:pStyle w:val="schmaFADN"/>
            </w:pPr>
            <w:r w:rsidRPr="0045755B">
              <w:rPr>
                <w:rStyle w:val="schmaFADN-8Char"/>
              </w:rPr>
              <w:t>(External factors)</w:t>
            </w:r>
          </w:p>
        </w:tc>
        <w:tc>
          <w:tcPr>
            <w:tcW w:w="2835" w:type="dxa"/>
            <w:gridSpan w:val="2"/>
            <w:vMerge w:val="restart"/>
            <w:tcBorders>
              <w:top w:val="single" w:sz="12" w:space="0" w:color="auto"/>
              <w:left w:val="single" w:sz="12" w:space="0" w:color="auto"/>
              <w:right w:val="single" w:sz="12" w:space="0" w:color="auto"/>
            </w:tcBorders>
            <w:vAlign w:val="center"/>
          </w:tcPr>
          <w:p w:rsidR="00997622" w:rsidRDefault="00997622" w:rsidP="007E322B">
            <w:pPr>
              <w:pStyle w:val="schmaFADN"/>
            </w:pPr>
            <w:r w:rsidRPr="009B6354">
              <w:rPr>
                <w:rStyle w:val="schmaFADN-BoldChar"/>
              </w:rPr>
              <w:t>Důchod ze zemědělské činnosti</w:t>
            </w:r>
          </w:p>
          <w:p w:rsidR="00997622" w:rsidRPr="00FC1F2A" w:rsidRDefault="00997622" w:rsidP="007E322B">
            <w:pPr>
              <w:pStyle w:val="schmaFADN"/>
            </w:pPr>
            <w:r w:rsidRPr="00536B55">
              <w:rPr>
                <w:rStyle w:val="schmaFADN-8Char"/>
                <w:lang w:val="cs-CZ"/>
              </w:rPr>
              <w:t>(</w:t>
            </w:r>
            <w:r w:rsidRPr="00B4536E">
              <w:rPr>
                <w:rStyle w:val="schmaFADN-8Char"/>
              </w:rPr>
              <w:t>Family Farm Income</w:t>
            </w:r>
            <w:r w:rsidRPr="00536B55">
              <w:rPr>
                <w:rStyle w:val="schmaFADN-8Char"/>
                <w:lang w:val="cs-CZ"/>
              </w:rPr>
              <w:t>)</w:t>
            </w:r>
          </w:p>
        </w:tc>
      </w:tr>
      <w:tr w:rsidR="00997622" w:rsidRPr="00FC1F2A" w:rsidTr="007E322B">
        <w:trPr>
          <w:gridBefore w:val="1"/>
          <w:wBefore w:w="838" w:type="dxa"/>
          <w:cantSplit/>
        </w:trPr>
        <w:tc>
          <w:tcPr>
            <w:tcW w:w="6250" w:type="dxa"/>
            <w:gridSpan w:val="5"/>
          </w:tcPr>
          <w:p w:rsidR="00997622" w:rsidRPr="00FC1F2A" w:rsidRDefault="00997622" w:rsidP="007E322B">
            <w:pPr>
              <w:pStyle w:val="schmaFADN"/>
            </w:pPr>
          </w:p>
        </w:tc>
        <w:tc>
          <w:tcPr>
            <w:tcW w:w="1134" w:type="dxa"/>
            <w:tcBorders>
              <w:top w:val="single" w:sz="12" w:space="0" w:color="auto"/>
              <w:left w:val="single" w:sz="12" w:space="0" w:color="auto"/>
              <w:bottom w:val="single" w:sz="12" w:space="0" w:color="auto"/>
              <w:right w:val="single" w:sz="6" w:space="0" w:color="auto"/>
            </w:tcBorders>
          </w:tcPr>
          <w:p w:rsidR="00997622" w:rsidRDefault="00997622" w:rsidP="007E322B">
            <w:pPr>
              <w:pStyle w:val="schmaFADN"/>
              <w:rPr>
                <w:rStyle w:val="schmaFADN-BoldChar"/>
              </w:rPr>
            </w:pPr>
            <w:r w:rsidRPr="009B6354">
              <w:rPr>
                <w:rStyle w:val="schmaFADN-BoldChar"/>
              </w:rPr>
              <w:t>Vyplacené mzdy</w:t>
            </w:r>
          </w:p>
          <w:p w:rsidR="00997622" w:rsidRPr="00FC1F2A" w:rsidRDefault="00997622" w:rsidP="007E322B">
            <w:pPr>
              <w:pStyle w:val="schmaFADN"/>
            </w:pPr>
            <w:r w:rsidRPr="0045755B">
              <w:rPr>
                <w:rStyle w:val="schmaFADN-8Char"/>
              </w:rPr>
              <w:t>(Wages)</w:t>
            </w:r>
          </w:p>
        </w:tc>
        <w:tc>
          <w:tcPr>
            <w:tcW w:w="1134" w:type="dxa"/>
            <w:gridSpan w:val="2"/>
            <w:tcBorders>
              <w:top w:val="single" w:sz="12" w:space="0" w:color="auto"/>
              <w:left w:val="single" w:sz="6" w:space="0" w:color="auto"/>
              <w:bottom w:val="single" w:sz="12" w:space="0" w:color="auto"/>
              <w:right w:val="single" w:sz="6" w:space="0" w:color="auto"/>
            </w:tcBorders>
          </w:tcPr>
          <w:p w:rsidR="00997622" w:rsidRDefault="00997622" w:rsidP="007E322B">
            <w:pPr>
              <w:pStyle w:val="schmaFADN"/>
            </w:pPr>
            <w:r w:rsidRPr="009B6354">
              <w:rPr>
                <w:rStyle w:val="schmaFADN-BoldChar"/>
              </w:rPr>
              <w:t xml:space="preserve">Vyplacené </w:t>
            </w:r>
            <w:proofErr w:type="spellStart"/>
            <w:r w:rsidRPr="009B6354">
              <w:rPr>
                <w:rStyle w:val="schmaFADN-BoldChar"/>
              </w:rPr>
              <w:t>pachtovné</w:t>
            </w:r>
            <w:proofErr w:type="spellEnd"/>
          </w:p>
          <w:p w:rsidR="00997622" w:rsidRPr="00FC1F2A" w:rsidRDefault="00997622" w:rsidP="007E322B">
            <w:pPr>
              <w:pStyle w:val="schmaFADN"/>
            </w:pPr>
            <w:r w:rsidRPr="0045755B">
              <w:rPr>
                <w:rStyle w:val="schmaFADN-8Char"/>
              </w:rPr>
              <w:t>(Rent)</w:t>
            </w:r>
          </w:p>
        </w:tc>
        <w:tc>
          <w:tcPr>
            <w:tcW w:w="1417" w:type="dxa"/>
            <w:tcBorders>
              <w:top w:val="single" w:sz="12" w:space="0" w:color="auto"/>
              <w:left w:val="single" w:sz="6" w:space="0" w:color="auto"/>
              <w:bottom w:val="single" w:sz="12" w:space="0" w:color="auto"/>
              <w:right w:val="single" w:sz="12" w:space="0" w:color="auto"/>
            </w:tcBorders>
          </w:tcPr>
          <w:p w:rsidR="00997622" w:rsidRDefault="00997622" w:rsidP="007E322B">
            <w:pPr>
              <w:pStyle w:val="schmaFADN"/>
              <w:rPr>
                <w:rStyle w:val="schmaFADN-BoldChar"/>
              </w:rPr>
            </w:pPr>
            <w:r w:rsidRPr="009B6354">
              <w:rPr>
                <w:rStyle w:val="schmaFADN-BoldChar"/>
              </w:rPr>
              <w:t>Nákladové úroky</w:t>
            </w:r>
          </w:p>
          <w:p w:rsidR="00997622" w:rsidRPr="00FC1F2A" w:rsidRDefault="00997622" w:rsidP="007E322B">
            <w:pPr>
              <w:pStyle w:val="schmaFADN"/>
            </w:pPr>
            <w:r w:rsidRPr="0045755B">
              <w:rPr>
                <w:rStyle w:val="schmaFADN-8Char"/>
              </w:rPr>
              <w:t>(Interest)</w:t>
            </w:r>
          </w:p>
        </w:tc>
        <w:tc>
          <w:tcPr>
            <w:tcW w:w="2835" w:type="dxa"/>
            <w:gridSpan w:val="2"/>
            <w:vMerge/>
            <w:tcBorders>
              <w:left w:val="single" w:sz="12" w:space="0" w:color="auto"/>
              <w:bottom w:val="single" w:sz="12" w:space="0" w:color="auto"/>
              <w:right w:val="single" w:sz="12" w:space="0" w:color="auto"/>
            </w:tcBorders>
          </w:tcPr>
          <w:p w:rsidR="00997622" w:rsidRPr="00FC1F2A" w:rsidRDefault="00997622" w:rsidP="007E322B">
            <w:pPr>
              <w:pStyle w:val="schmaFADN"/>
            </w:pPr>
          </w:p>
        </w:tc>
      </w:tr>
    </w:tbl>
    <w:p w:rsidR="00997622" w:rsidRDefault="00997622" w:rsidP="00997622">
      <w:pPr>
        <w:pStyle w:val="TabPramZprac"/>
      </w:pPr>
      <w:r>
        <w:t>Pramen:</w:t>
      </w:r>
      <w:r>
        <w:tab/>
      </w:r>
      <w:r w:rsidRPr="00FC1F2A">
        <w:rPr>
          <w:lang w:val="en-GB"/>
        </w:rPr>
        <w:t>Farm Accountancy Data Network, Commission of the European Communities, 1984</w:t>
      </w:r>
      <w:r w:rsidRPr="00FC1F2A">
        <w:t>, s. 66, terminologie podle ÚZE</w:t>
      </w:r>
      <w:r>
        <w:t>I</w:t>
      </w:r>
    </w:p>
    <w:p w:rsidR="00997622" w:rsidRDefault="00997622" w:rsidP="00997622">
      <w:pPr>
        <w:pStyle w:val="TabPramZprac"/>
      </w:pPr>
      <w:r>
        <w:t>Zpracoval:</w:t>
      </w:r>
      <w:r>
        <w:tab/>
      </w:r>
      <w:r w:rsidRPr="00FC1F2A">
        <w:t>J. Hanibal</w:t>
      </w:r>
      <w:r>
        <w:t xml:space="preserve"> a kol. </w:t>
      </w:r>
      <w:r w:rsidRPr="00FC1F2A">
        <w:t>(ÚZE</w:t>
      </w:r>
      <w:r>
        <w:t>I</w:t>
      </w:r>
      <w:r w:rsidRPr="00FC1F2A">
        <w:t>)</w:t>
      </w:r>
    </w:p>
    <w:p w:rsidR="00242EDF" w:rsidRDefault="00242EDF" w:rsidP="00997622">
      <w:pPr>
        <w:pStyle w:val="mezera"/>
        <w:sectPr w:rsidR="00242EDF" w:rsidSect="00997622">
          <w:footerReference w:type="default" r:id="rId240"/>
          <w:pgSz w:w="16838" w:h="11906" w:orient="landscape"/>
          <w:pgMar w:top="1417" w:right="1417" w:bottom="1417" w:left="1417" w:header="708" w:footer="708" w:gutter="0"/>
          <w:cols w:space="708"/>
          <w:docGrid w:linePitch="360"/>
        </w:sectPr>
      </w:pPr>
    </w:p>
    <w:p w:rsidR="00242EDF" w:rsidRDefault="00242EDF" w:rsidP="00947B86">
      <w:pPr>
        <w:pStyle w:val="Nadpis1-ploha"/>
      </w:pPr>
      <w:bookmarkStart w:id="292" w:name="_Toc388267757"/>
      <w:bookmarkStart w:id="293" w:name="_Toc424307115"/>
      <w:r w:rsidRPr="009307A1">
        <w:lastRenderedPageBreak/>
        <w:t>P3</w:t>
      </w:r>
      <w:r w:rsidRPr="009307A1">
        <w:tab/>
        <w:t>Tabulková příloha</w:t>
      </w:r>
      <w:bookmarkEnd w:id="292"/>
      <w:bookmarkEnd w:id="293"/>
    </w:p>
    <w:p w:rsidR="00242EDF" w:rsidRDefault="00242EDF" w:rsidP="00242EDF">
      <w:pPr>
        <w:pStyle w:val="mezera-svzan"/>
      </w:pPr>
    </w:p>
    <w:tbl>
      <w:tblPr>
        <w:tblW w:w="9298" w:type="dxa"/>
        <w:tblInd w:w="-5" w:type="dxa"/>
        <w:tblLayout w:type="fixed"/>
        <w:tblLook w:val="0000" w:firstRow="0" w:lastRow="0" w:firstColumn="0" w:lastColumn="0" w:noHBand="0" w:noVBand="0"/>
      </w:tblPr>
      <w:tblGrid>
        <w:gridCol w:w="943"/>
        <w:gridCol w:w="296"/>
        <w:gridCol w:w="8059"/>
      </w:tblGrid>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Podíl zemědělství, lesnictví, rybolovu a potravinářského průmyslu na hrubé přidané hodnotě v základních cenách</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1.3/01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 xml:space="preserve">Daňové zatížení podnikatelů v </w:t>
            </w:r>
            <w:r w:rsidR="00854B54">
              <w:t>rezort</w:t>
            </w:r>
            <w:r w:rsidRPr="007A5D0F">
              <w:t>u zemědělství</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2.1/01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Předmět a výše podpor v ose II</w:t>
            </w:r>
            <w:r w:rsidR="00671A0A">
              <w:t xml:space="preserve"> – PRV</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2.1/02</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425142" w:rsidRPr="007A5D0F" w:rsidRDefault="00242EDF" w:rsidP="00671A0A">
            <w:pPr>
              <w:pStyle w:val="tabulkovploha"/>
            </w:pPr>
            <w:r w:rsidRPr="007A5D0F">
              <w:t xml:space="preserve">Předmět a výše </w:t>
            </w:r>
            <w:r w:rsidR="00671A0A">
              <w:t>podpor v HRDP</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4.1/01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Aplikace průmyslových hnojiv</w:t>
            </w:r>
          </w:p>
        </w:tc>
      </w:tr>
      <w:tr w:rsidR="00F903C3"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F903C3" w:rsidRPr="007A5D0F" w:rsidRDefault="00F903C3" w:rsidP="00242EDF">
            <w:pPr>
              <w:pStyle w:val="tabulkovploha"/>
            </w:pPr>
            <w:r w:rsidRPr="007A5D0F">
              <w:t>5.3/01</w:t>
            </w:r>
          </w:p>
        </w:tc>
        <w:tc>
          <w:tcPr>
            <w:tcW w:w="296" w:type="dxa"/>
            <w:tcBorders>
              <w:top w:val="single" w:sz="4" w:space="0" w:color="000000"/>
              <w:left w:val="single" w:sz="4" w:space="0" w:color="000000"/>
              <w:bottom w:val="single" w:sz="4" w:space="0" w:color="000000"/>
            </w:tcBorders>
            <w:shd w:val="clear" w:color="auto" w:fill="auto"/>
          </w:tcPr>
          <w:p w:rsidR="00F903C3" w:rsidRPr="007A5D0F" w:rsidRDefault="00F903C3"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F903C3" w:rsidRPr="007A5D0F" w:rsidRDefault="00F903C3" w:rsidP="00242EDF">
            <w:pPr>
              <w:pStyle w:val="tabulkovploha"/>
            </w:pPr>
            <w:r w:rsidRPr="007A5D0F">
              <w:t>Podíl jednotlivých druhů vydání na spotřebních vydáních průměrné zpravodajské domácnosti</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5.4/01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Meziroční indexy spotřebitelských cen potravinářského zboží</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6.1/01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32238" w:rsidP="00232238">
            <w:pPr>
              <w:pStyle w:val="tabulkovploha"/>
            </w:pPr>
            <w:r w:rsidRPr="007A5D0F">
              <w:t>Velikostní struktura obchodních korporací obhospodařujících zemědělskou půdu, stav koncem roku 2014</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6.1/02</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32238">
            <w:pPr>
              <w:pStyle w:val="tabulkovploha"/>
            </w:pPr>
            <w:r w:rsidRPr="007A5D0F">
              <w:t>Vývoj podnikatelské struktury zemědělství v období 2000</w:t>
            </w:r>
            <w:r w:rsidRPr="007A5D0F">
              <w:noBreakHyphen/>
              <w:t>201</w:t>
            </w:r>
            <w:r w:rsidR="00232238" w:rsidRPr="007A5D0F">
              <w:t>4</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6.4/01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Pojištění hospodářských zvířat a plodin</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6.7/01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Průměrné hrubé měsíční mzdy podle CZ</w:t>
            </w:r>
            <w:r w:rsidRPr="007A5D0F">
              <w:noBreakHyphen/>
              <w:t>NACE úhrnem na přepočtené počty zaměstnanců</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8.1/01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Produkční plochy, hektarové výnosy a výroba hlavních komodit rostlinné výroby</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8.2/01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Stavy hospodářských zvířat</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8.2/02</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Výroba a užitkovost v odvětví živočišné výroby</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8.2/03</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Porážky hospodářských zvířat</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celkového a agrárního zahraničního obchodu ČR</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9.2/02</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teritoriální skladby agrárního zahraničního obchodu ČR</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9.2/03</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komoditní skladby agrárního vývozu</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9.2/04</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komoditní skladby agrárního dovozu</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9.2/05</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komoditní skladby bilance agrárního zahraničního obchodu ČR</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9.2/06</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agrárního zahraničního obchodu ČR s jednotlivými členskými zeměmi EU 15</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9.2/07</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Vývoj agrárního zahraničního obchodu ČR s jednotlivými členskými zeměmi EU 13</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SZÚ – Celková produkce – rostlinná výroba v základních cenách</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10.1/02</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SZÚ – Celková produkce – živočišná produkce a ostatní zemědělské činnosti v základních cenách</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10.1/03</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SZÚ – Důchod ze zemědělské činnosti v základních cenách</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10.1/04</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SZÚ – Kapitálový účet v základních cenách</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10.2/01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Výsledky hospodaření podniků podle právní formy</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10.2/02</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Výsledky hospodaření podniků podle LFA</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10.2/03</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7A5D0F" w:rsidP="00242EDF">
            <w:pPr>
              <w:pStyle w:val="tabulkovploha"/>
            </w:pPr>
            <w:r w:rsidRPr="007A5D0F">
              <w:t>Charakteristika zemědělských podniků podle provozu BPS za rok 2013 (PPO)</w:t>
            </w:r>
          </w:p>
        </w:tc>
      </w:tr>
      <w:tr w:rsidR="007A5D0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7A5D0F" w:rsidRPr="007A5D0F" w:rsidRDefault="007A5D0F" w:rsidP="007A5D0F">
            <w:pPr>
              <w:pStyle w:val="tabulkovploha"/>
            </w:pPr>
            <w:r w:rsidRPr="007A5D0F">
              <w:t>10.2/04</w:t>
            </w:r>
          </w:p>
        </w:tc>
        <w:tc>
          <w:tcPr>
            <w:tcW w:w="296" w:type="dxa"/>
            <w:tcBorders>
              <w:top w:val="single" w:sz="4" w:space="0" w:color="000000"/>
              <w:left w:val="single" w:sz="4" w:space="0" w:color="000000"/>
              <w:bottom w:val="single" w:sz="4" w:space="0" w:color="000000"/>
            </w:tcBorders>
            <w:shd w:val="clear" w:color="auto" w:fill="auto"/>
          </w:tcPr>
          <w:p w:rsidR="007A5D0F" w:rsidRPr="007A5D0F" w:rsidRDefault="007A5D0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7A5D0F" w:rsidRPr="007A5D0F" w:rsidRDefault="007A5D0F" w:rsidP="00242EDF">
            <w:pPr>
              <w:pStyle w:val="tabulkovploha"/>
            </w:pPr>
            <w:r w:rsidRPr="007A5D0F">
              <w:t>Výsledky hospodaření podniků podle výrobního zaměření</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7A5D0F" w:rsidRPr="007A5D0F" w:rsidRDefault="00242EDF" w:rsidP="007A5D0F">
            <w:pPr>
              <w:pStyle w:val="tabulkovploha"/>
            </w:pPr>
            <w:r w:rsidRPr="007A5D0F">
              <w:t>10.2/0</w:t>
            </w:r>
            <w:r w:rsidR="007A5D0F" w:rsidRPr="007A5D0F">
              <w:t>5</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Pr="007A5D0F" w:rsidRDefault="00242EDF" w:rsidP="00242EDF">
            <w:pPr>
              <w:pStyle w:val="tabulkovploha"/>
            </w:pPr>
            <w:r w:rsidRPr="007A5D0F">
              <w:t>Výsledky hospodaření podniků podle třídy ekonomické velikosti</w:t>
            </w:r>
          </w:p>
        </w:tc>
      </w:tr>
      <w:tr w:rsidR="00242EDF" w:rsidRPr="007A5D0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7A5D0F">
            <w:pPr>
              <w:pStyle w:val="tabulkovploha"/>
            </w:pPr>
            <w:r w:rsidRPr="007A5D0F">
              <w:t>10.2/0</w:t>
            </w:r>
            <w:r w:rsidR="007A5D0F" w:rsidRPr="007A5D0F">
              <w:t>6</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7A5D0F" w:rsidRPr="007A5D0F" w:rsidRDefault="00242EDF" w:rsidP="007A5D0F">
            <w:pPr>
              <w:pStyle w:val="tabulkovploha"/>
            </w:pPr>
            <w:r w:rsidRPr="007A5D0F">
              <w:t xml:space="preserve">Přehled směrů investic v rámci </w:t>
            </w:r>
            <w:proofErr w:type="spellStart"/>
            <w:r w:rsidRPr="007A5D0F">
              <w:t>podopatření</w:t>
            </w:r>
            <w:proofErr w:type="spellEnd"/>
            <w:r w:rsidRPr="007A5D0F">
              <w:t xml:space="preserve"> PRV I.1.1 Modernizace zemědělských podniků v letech 2008-201</w:t>
            </w:r>
            <w:r w:rsidR="007A5D0F" w:rsidRPr="007A5D0F">
              <w:t>4</w:t>
            </w:r>
          </w:p>
        </w:tc>
      </w:tr>
      <w:tr w:rsidR="00242EDF" w:rsidTr="00242EDF">
        <w:trPr>
          <w:cantSplit/>
        </w:trPr>
        <w:tc>
          <w:tcPr>
            <w:tcW w:w="943"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11/01</w:t>
            </w:r>
          </w:p>
        </w:tc>
        <w:tc>
          <w:tcPr>
            <w:tcW w:w="296" w:type="dxa"/>
            <w:tcBorders>
              <w:top w:val="single" w:sz="4" w:space="0" w:color="000000"/>
              <w:left w:val="single" w:sz="4" w:space="0" w:color="000000"/>
              <w:bottom w:val="single" w:sz="4" w:space="0" w:color="000000"/>
            </w:tcBorders>
            <w:shd w:val="clear" w:color="auto" w:fill="auto"/>
          </w:tcPr>
          <w:p w:rsidR="00242EDF" w:rsidRPr="007A5D0F" w:rsidRDefault="00242EDF" w:rsidP="00242EDF">
            <w:pPr>
              <w:pStyle w:val="tabulkovploha"/>
            </w:pPr>
            <w:r w:rsidRPr="007A5D0F">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242EDF" w:rsidRDefault="00242EDF" w:rsidP="00242EDF">
            <w:pPr>
              <w:pStyle w:val="tabulkovploha"/>
            </w:pPr>
            <w:r w:rsidRPr="007A5D0F">
              <w:t>Rekapitulace výdajů do agrokomplexu ČR podle hlavních směrů podpor</w:t>
            </w:r>
          </w:p>
        </w:tc>
      </w:tr>
      <w:tr w:rsidR="003A6749" w:rsidTr="00242EDF">
        <w:trPr>
          <w:cantSplit/>
        </w:trPr>
        <w:tc>
          <w:tcPr>
            <w:tcW w:w="943" w:type="dxa"/>
            <w:tcBorders>
              <w:top w:val="single" w:sz="4" w:space="0" w:color="000000"/>
              <w:left w:val="single" w:sz="4" w:space="0" w:color="000000"/>
              <w:bottom w:val="single" w:sz="4" w:space="0" w:color="000000"/>
            </w:tcBorders>
            <w:shd w:val="clear" w:color="auto" w:fill="auto"/>
          </w:tcPr>
          <w:p w:rsidR="003A6749" w:rsidRPr="007A5D0F" w:rsidRDefault="003A6749" w:rsidP="00242EDF">
            <w:pPr>
              <w:pStyle w:val="tabulkovploha"/>
            </w:pPr>
            <w:r w:rsidRPr="003A6749">
              <w:t>P2/01</w:t>
            </w:r>
          </w:p>
        </w:tc>
        <w:tc>
          <w:tcPr>
            <w:tcW w:w="296" w:type="dxa"/>
            <w:tcBorders>
              <w:top w:val="single" w:sz="4" w:space="0" w:color="000000"/>
              <w:left w:val="single" w:sz="4" w:space="0" w:color="000000"/>
              <w:bottom w:val="single" w:sz="4" w:space="0" w:color="000000"/>
            </w:tcBorders>
            <w:shd w:val="clear" w:color="auto" w:fill="auto"/>
          </w:tcPr>
          <w:p w:rsidR="003A6749" w:rsidRPr="007A5D0F" w:rsidRDefault="003A6749" w:rsidP="00242EDF">
            <w:pPr>
              <w:pStyle w:val="tabulkovploha"/>
            </w:pPr>
            <w:r>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3A6749" w:rsidRPr="007A5D0F" w:rsidRDefault="003A6749" w:rsidP="00242EDF">
            <w:pPr>
              <w:pStyle w:val="tabulkovploha"/>
            </w:pPr>
            <w:r w:rsidRPr="003A6749">
              <w:t>Oficiální výsledky še</w:t>
            </w:r>
            <w:r>
              <w:t>tření FADN zemí EU za rok 2012 –</w:t>
            </w:r>
            <w:r w:rsidRPr="003A6749">
              <w:t xml:space="preserve"> Standardní výstup přepočtený na průměrný podnik</w:t>
            </w:r>
          </w:p>
        </w:tc>
      </w:tr>
      <w:tr w:rsidR="003A6749" w:rsidTr="00242EDF">
        <w:trPr>
          <w:cantSplit/>
        </w:trPr>
        <w:tc>
          <w:tcPr>
            <w:tcW w:w="943" w:type="dxa"/>
            <w:tcBorders>
              <w:top w:val="single" w:sz="4" w:space="0" w:color="000000"/>
              <w:left w:val="single" w:sz="4" w:space="0" w:color="000000"/>
              <w:bottom w:val="single" w:sz="4" w:space="0" w:color="000000"/>
            </w:tcBorders>
            <w:shd w:val="clear" w:color="auto" w:fill="auto"/>
          </w:tcPr>
          <w:p w:rsidR="003A6749" w:rsidRPr="007A5D0F" w:rsidRDefault="003A6749" w:rsidP="00242EDF">
            <w:pPr>
              <w:pStyle w:val="tabulkovploha"/>
            </w:pPr>
            <w:r w:rsidRPr="003A6749">
              <w:t>P2/02</w:t>
            </w:r>
          </w:p>
        </w:tc>
        <w:tc>
          <w:tcPr>
            <w:tcW w:w="296" w:type="dxa"/>
            <w:tcBorders>
              <w:top w:val="single" w:sz="4" w:space="0" w:color="000000"/>
              <w:left w:val="single" w:sz="4" w:space="0" w:color="000000"/>
              <w:bottom w:val="single" w:sz="4" w:space="0" w:color="000000"/>
            </w:tcBorders>
            <w:shd w:val="clear" w:color="auto" w:fill="auto"/>
          </w:tcPr>
          <w:p w:rsidR="003A6749" w:rsidRPr="007A5D0F" w:rsidRDefault="003A6749" w:rsidP="00242EDF">
            <w:pPr>
              <w:pStyle w:val="tabulkovploha"/>
            </w:pPr>
            <w:r>
              <w:t>-</w:t>
            </w:r>
          </w:p>
        </w:tc>
        <w:tc>
          <w:tcPr>
            <w:tcW w:w="8059" w:type="dxa"/>
            <w:tcBorders>
              <w:top w:val="single" w:sz="4" w:space="0" w:color="000000"/>
              <w:left w:val="single" w:sz="4" w:space="0" w:color="000000"/>
              <w:bottom w:val="single" w:sz="4" w:space="0" w:color="000000"/>
              <w:right w:val="single" w:sz="4" w:space="0" w:color="000000"/>
            </w:tcBorders>
            <w:shd w:val="clear" w:color="auto" w:fill="auto"/>
          </w:tcPr>
          <w:p w:rsidR="003A6749" w:rsidRPr="007A5D0F" w:rsidRDefault="003A6749" w:rsidP="00242EDF">
            <w:pPr>
              <w:pStyle w:val="tabulkovploha"/>
            </w:pPr>
            <w:r w:rsidRPr="003A6749">
              <w:t>Oficiální výsledky še</w:t>
            </w:r>
            <w:r>
              <w:t>tření FADN zemí EU za rok 2012 –</w:t>
            </w:r>
            <w:r w:rsidRPr="003A6749">
              <w:t xml:space="preserve"> Standardní výstup přepočtený na 1 ha</w:t>
            </w:r>
          </w:p>
        </w:tc>
      </w:tr>
    </w:tbl>
    <w:p w:rsidR="004D1784" w:rsidRDefault="004D1784" w:rsidP="00234ED0">
      <w:pPr>
        <w:pStyle w:val="mezera"/>
      </w:pPr>
      <w:r w:rsidRPr="00F766EF">
        <w:rPr>
          <w:noProof/>
          <w:lang w:eastAsia="cs-CZ"/>
        </w:rPr>
        <w:lastRenderedPageBreak/>
        <w:drawing>
          <wp:inline distT="0" distB="0" distL="0" distR="0" wp14:anchorId="076F09D9" wp14:editId="49D97E48">
            <wp:extent cx="5426710" cy="44119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26710" cy="441198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14:anchorId="52F680CC" wp14:editId="55B8069F">
            <wp:extent cx="5760720" cy="1669259"/>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60720" cy="1669259"/>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6ABA80B0" wp14:editId="0FE7DB6C">
            <wp:extent cx="5760720" cy="4624853"/>
            <wp:effectExtent l="0" t="0" r="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60720" cy="4624853"/>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11769974" wp14:editId="0DE9BA81">
            <wp:extent cx="5760720" cy="4639785"/>
            <wp:effectExtent l="0" t="0" r="0" b="889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60720" cy="4639785"/>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extent cx="5076825" cy="143129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076825" cy="143129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11AD8868" wp14:editId="4956C5B6">
            <wp:extent cx="5760720" cy="6126836"/>
            <wp:effectExtent l="0" t="0" r="0" b="762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60720" cy="6126836"/>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7D0666F3" wp14:editId="79A8727B">
            <wp:extent cx="5472658" cy="9055509"/>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476908" cy="9062541"/>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14:anchorId="1F4E5812" wp14:editId="1B956A3B">
            <wp:extent cx="5760720" cy="1666824"/>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60720" cy="1666824"/>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14:anchorId="1936528E" wp14:editId="5409DC83">
            <wp:extent cx="5760720" cy="1666756"/>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60720" cy="1666756"/>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14:anchorId="5D28CC78" wp14:editId="01390E49">
            <wp:extent cx="5760720" cy="2267083"/>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60720" cy="2267083"/>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extent cx="5304790" cy="205994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304790" cy="205994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2B750ADA" wp14:editId="442E1E91">
            <wp:extent cx="2711492" cy="8640000"/>
            <wp:effectExtent l="0" t="0" r="0" b="889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11492" cy="864000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245CBE02" wp14:editId="14F207C7">
            <wp:extent cx="5760720" cy="246658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0720" cy="246658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14:anchorId="41E17F4B" wp14:editId="02DD4088">
            <wp:extent cx="5760720" cy="2348744"/>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60720" cy="2348744"/>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drawing>
          <wp:inline distT="0" distB="0" distL="0" distR="0" wp14:anchorId="6D9F45C7" wp14:editId="1244DFC1">
            <wp:extent cx="5760720" cy="2952566"/>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60720" cy="2952566"/>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766EF">
        <w:rPr>
          <w:noProof/>
          <w:lang w:eastAsia="cs-CZ"/>
        </w:rPr>
        <w:lastRenderedPageBreak/>
        <w:drawing>
          <wp:inline distT="0" distB="0" distL="0" distR="0" wp14:anchorId="2A6554B4" wp14:editId="0C6F3A9C">
            <wp:extent cx="5760720" cy="851789"/>
            <wp:effectExtent l="0" t="0" r="0" b="571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760720" cy="851789"/>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drawing>
          <wp:inline distT="0" distB="0" distL="0" distR="0" wp14:anchorId="0E33D113" wp14:editId="74E87FBE">
            <wp:extent cx="5760720" cy="1467059"/>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720" cy="1467059"/>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drawing>
          <wp:inline distT="0" distB="0" distL="0" distR="0" wp14:anchorId="1E744DF8" wp14:editId="6EDFF477">
            <wp:extent cx="5760720" cy="217399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60720" cy="217399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drawing>
          <wp:inline distT="0" distB="0" distL="0" distR="0" wp14:anchorId="60E6023C" wp14:editId="72F0B0E1">
            <wp:extent cx="5760720" cy="2256243"/>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760720" cy="2256243"/>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28E554B4" wp14:editId="00EF54FC">
            <wp:extent cx="5760720" cy="2590346"/>
            <wp:effectExtent l="0" t="0" r="0" b="63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720" cy="2590346"/>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drawing>
          <wp:inline distT="0" distB="0" distL="0" distR="0" wp14:anchorId="47BD2F4D" wp14:editId="3FCC7DEE">
            <wp:extent cx="5760720" cy="2074746"/>
            <wp:effectExtent l="0" t="0" r="0" b="1905"/>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60720" cy="2074746"/>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drawing>
          <wp:inline distT="0" distB="0" distL="0" distR="0" wp14:anchorId="367A99E2" wp14:editId="186E35DE">
            <wp:extent cx="5760720" cy="2508714"/>
            <wp:effectExtent l="0" t="0" r="0" b="635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60720" cy="2508714"/>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B71115">
        <w:rPr>
          <w:noProof/>
          <w:lang w:eastAsia="cs-CZ"/>
        </w:rPr>
        <w:lastRenderedPageBreak/>
        <w:drawing>
          <wp:inline distT="0" distB="0" distL="0" distR="0" wp14:anchorId="792C354C" wp14:editId="3005A1D1">
            <wp:extent cx="5760720" cy="6436540"/>
            <wp:effectExtent l="0" t="0" r="0" b="254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60720" cy="643654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5CDE4FE5" wp14:editId="57ABF029">
            <wp:extent cx="5760720" cy="3704320"/>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60720" cy="370432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4A832E6B" wp14:editId="2598974A">
            <wp:extent cx="5760720" cy="7375372"/>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0720" cy="7375372"/>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7E6F145D" wp14:editId="066D3EA2">
            <wp:extent cx="5760720" cy="7334675"/>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720" cy="7334675"/>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4355EFF4" wp14:editId="52E341F9">
            <wp:extent cx="5760720" cy="5183523"/>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720" cy="5183523"/>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7853CC93" wp14:editId="41DC1BF6">
            <wp:extent cx="5760720" cy="4849178"/>
            <wp:effectExtent l="0" t="0" r="0" b="889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60720" cy="4849178"/>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4C285C42" wp14:editId="43683C66">
            <wp:extent cx="5760720" cy="6329751"/>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60720" cy="6329751"/>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lastRenderedPageBreak/>
        <w:drawing>
          <wp:inline distT="0" distB="0" distL="0" distR="0" wp14:anchorId="5F4A50FD" wp14:editId="4111D865">
            <wp:extent cx="5760720" cy="2855379"/>
            <wp:effectExtent l="0" t="0" r="0" b="2540"/>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0720" cy="2855379"/>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E015AD">
        <w:rPr>
          <w:noProof/>
          <w:lang w:eastAsia="cs-CZ"/>
        </w:rPr>
        <w:drawing>
          <wp:inline distT="0" distB="0" distL="0" distR="0" wp14:anchorId="7164D2D6" wp14:editId="43F949A9">
            <wp:extent cx="5760720" cy="5094043"/>
            <wp:effectExtent l="0" t="0" r="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720" cy="5094043"/>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sectPr w:rsidR="004D1784" w:rsidSect="00F83B43">
          <w:footerReference w:type="default" r:id="rId272"/>
          <w:pgSz w:w="11906" w:h="16838"/>
          <w:pgMar w:top="1417" w:right="1417" w:bottom="1417" w:left="1417" w:header="708" w:footer="708" w:gutter="0"/>
          <w:cols w:space="708"/>
          <w:docGrid w:linePitch="360"/>
        </w:sectPr>
      </w:pPr>
    </w:p>
    <w:p w:rsidR="004D1784" w:rsidRDefault="004D1784" w:rsidP="00234ED0">
      <w:pPr>
        <w:pStyle w:val="mezera"/>
      </w:pPr>
      <w:r w:rsidRPr="00F0474B">
        <w:rPr>
          <w:noProof/>
          <w:lang w:eastAsia="cs-CZ"/>
        </w:rPr>
        <w:lastRenderedPageBreak/>
        <w:drawing>
          <wp:inline distT="0" distB="0" distL="0" distR="0" wp14:anchorId="7A1DC9E6" wp14:editId="63D76BE5">
            <wp:extent cx="8892540" cy="4880664"/>
            <wp:effectExtent l="0" t="0" r="3810" b="0"/>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892540" cy="4880664"/>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0474B">
        <w:rPr>
          <w:noProof/>
          <w:lang w:eastAsia="cs-CZ"/>
        </w:rPr>
        <w:lastRenderedPageBreak/>
        <w:drawing>
          <wp:inline distT="0" distB="0" distL="0" distR="0" wp14:anchorId="5A532D65" wp14:editId="44016989">
            <wp:extent cx="8892540" cy="4910638"/>
            <wp:effectExtent l="0" t="0" r="381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892540" cy="4910638"/>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0474B">
        <w:rPr>
          <w:noProof/>
          <w:lang w:eastAsia="cs-CZ"/>
        </w:rPr>
        <w:lastRenderedPageBreak/>
        <w:drawing>
          <wp:inline distT="0" distB="0" distL="0" distR="0" wp14:anchorId="053A918D" wp14:editId="32EE8D77">
            <wp:extent cx="8424478" cy="5760000"/>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424478" cy="5760000"/>
                    </a:xfrm>
                    <a:prstGeom prst="rect">
                      <a:avLst/>
                    </a:prstGeom>
                    <a:noFill/>
                    <a:ln>
                      <a:noFill/>
                    </a:ln>
                  </pic:spPr>
                </pic:pic>
              </a:graphicData>
            </a:graphic>
          </wp:inline>
        </w:drawing>
      </w:r>
    </w:p>
    <w:p w:rsidR="004D1784" w:rsidRDefault="004D1784" w:rsidP="00234ED0">
      <w:pPr>
        <w:pStyle w:val="mezera"/>
      </w:pPr>
      <w:r w:rsidRPr="00F0474B">
        <w:rPr>
          <w:noProof/>
          <w:lang w:eastAsia="cs-CZ"/>
        </w:rPr>
        <w:lastRenderedPageBreak/>
        <w:drawing>
          <wp:inline distT="0" distB="0" distL="0" distR="0" wp14:anchorId="04B5CD66" wp14:editId="4D957A40">
            <wp:extent cx="8375040" cy="5760000"/>
            <wp:effectExtent l="0" t="0" r="6985"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375040" cy="5760000"/>
                    </a:xfrm>
                    <a:prstGeom prst="rect">
                      <a:avLst/>
                    </a:prstGeom>
                    <a:noFill/>
                    <a:ln>
                      <a:noFill/>
                    </a:ln>
                  </pic:spPr>
                </pic:pic>
              </a:graphicData>
            </a:graphic>
          </wp:inline>
        </w:drawing>
      </w:r>
    </w:p>
    <w:p w:rsidR="004D1784" w:rsidRDefault="004D1784" w:rsidP="00234ED0">
      <w:pPr>
        <w:pStyle w:val="mezera"/>
      </w:pPr>
      <w:r w:rsidRPr="00F0474B">
        <w:rPr>
          <w:noProof/>
          <w:lang w:eastAsia="cs-CZ"/>
        </w:rPr>
        <w:lastRenderedPageBreak/>
        <w:drawing>
          <wp:inline distT="0" distB="0" distL="0" distR="0" wp14:anchorId="7A7FCBED" wp14:editId="13BF4BC5">
            <wp:extent cx="8892540" cy="5688712"/>
            <wp:effectExtent l="0" t="0" r="381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892540" cy="5688712"/>
                    </a:xfrm>
                    <a:prstGeom prst="rect">
                      <a:avLst/>
                    </a:prstGeom>
                    <a:noFill/>
                    <a:ln>
                      <a:noFill/>
                    </a:ln>
                  </pic:spPr>
                </pic:pic>
              </a:graphicData>
            </a:graphic>
          </wp:inline>
        </w:drawing>
      </w:r>
    </w:p>
    <w:p w:rsidR="004D1784" w:rsidRDefault="004D1784" w:rsidP="00234ED0">
      <w:pPr>
        <w:pStyle w:val="mezera"/>
      </w:pPr>
      <w:r w:rsidRPr="00F0474B">
        <w:rPr>
          <w:noProof/>
          <w:lang w:eastAsia="cs-CZ"/>
        </w:rPr>
        <w:lastRenderedPageBreak/>
        <w:drawing>
          <wp:inline distT="0" distB="0" distL="0" distR="0" wp14:anchorId="2CCA8408" wp14:editId="7037FAF9">
            <wp:extent cx="8892540" cy="5725610"/>
            <wp:effectExtent l="0" t="0" r="381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92540" cy="572561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0474B">
        <w:rPr>
          <w:noProof/>
          <w:lang w:eastAsia="cs-CZ"/>
        </w:rPr>
        <w:drawing>
          <wp:inline distT="0" distB="0" distL="0" distR="0" wp14:anchorId="2EA41B05" wp14:editId="68AD4C55">
            <wp:extent cx="8892540" cy="4862835"/>
            <wp:effectExtent l="0" t="0" r="0" b="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892540" cy="4862835"/>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0474B">
        <w:rPr>
          <w:noProof/>
          <w:lang w:eastAsia="cs-CZ"/>
        </w:rPr>
        <w:lastRenderedPageBreak/>
        <w:drawing>
          <wp:inline distT="0" distB="0" distL="0" distR="0" wp14:anchorId="5B563796" wp14:editId="159F661D">
            <wp:extent cx="7197458" cy="5760000"/>
            <wp:effectExtent l="0" t="0" r="3810"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197458" cy="576000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0474B">
        <w:rPr>
          <w:noProof/>
          <w:lang w:eastAsia="cs-CZ"/>
        </w:rPr>
        <w:drawing>
          <wp:inline distT="0" distB="0" distL="0" distR="0" wp14:anchorId="1F1D1A3D" wp14:editId="3A845660">
            <wp:extent cx="8892540" cy="4811039"/>
            <wp:effectExtent l="0" t="0" r="381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892540" cy="4811039"/>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F0474B">
        <w:rPr>
          <w:noProof/>
          <w:lang w:eastAsia="cs-CZ"/>
        </w:rPr>
        <w:lastRenderedPageBreak/>
        <w:drawing>
          <wp:inline distT="0" distB="0" distL="0" distR="0" wp14:anchorId="01F26DE8" wp14:editId="4C6F0644">
            <wp:extent cx="8892540" cy="4811039"/>
            <wp:effectExtent l="0" t="0" r="381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892540" cy="4811039"/>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B43002">
        <w:rPr>
          <w:noProof/>
          <w:lang w:eastAsia="cs-CZ"/>
        </w:rPr>
        <w:lastRenderedPageBreak/>
        <w:drawing>
          <wp:inline distT="0" distB="0" distL="0" distR="0" wp14:anchorId="5A504641" wp14:editId="54A41D81">
            <wp:extent cx="8070511" cy="5616000"/>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070511" cy="561600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B2348D">
        <w:rPr>
          <w:noProof/>
          <w:lang w:eastAsia="cs-CZ"/>
        </w:rPr>
        <w:lastRenderedPageBreak/>
        <w:drawing>
          <wp:inline distT="0" distB="0" distL="0" distR="0" wp14:anchorId="370CBB4D" wp14:editId="7E7A3FDA">
            <wp:extent cx="8225713" cy="5724000"/>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225713" cy="5724000"/>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B2348D">
        <w:rPr>
          <w:noProof/>
          <w:lang w:eastAsia="cs-CZ"/>
        </w:rPr>
        <w:drawing>
          <wp:inline distT="0" distB="0" distL="0" distR="0" wp14:anchorId="32F087F4" wp14:editId="509C7BEC">
            <wp:extent cx="8892540" cy="5640965"/>
            <wp:effectExtent l="0" t="0" r="0"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892540" cy="5640965"/>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B2348D">
        <w:rPr>
          <w:noProof/>
          <w:lang w:eastAsia="cs-CZ"/>
        </w:rPr>
        <w:drawing>
          <wp:inline distT="0" distB="0" distL="0" distR="0" wp14:anchorId="1E4AF63C" wp14:editId="3CD52C0C">
            <wp:extent cx="8892540" cy="5640965"/>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892540" cy="5640965"/>
                    </a:xfrm>
                    <a:prstGeom prst="rect">
                      <a:avLst/>
                    </a:prstGeom>
                    <a:noFill/>
                    <a:ln>
                      <a:noFill/>
                    </a:ln>
                  </pic:spPr>
                </pic:pic>
              </a:graphicData>
            </a:graphic>
          </wp:inline>
        </w:drawing>
      </w:r>
    </w:p>
    <w:p w:rsidR="004D1784" w:rsidRDefault="004D1784" w:rsidP="00234ED0">
      <w:pPr>
        <w:pStyle w:val="mezera"/>
      </w:pPr>
    </w:p>
    <w:p w:rsidR="004D1784" w:rsidRDefault="004D1784" w:rsidP="00234ED0">
      <w:pPr>
        <w:pStyle w:val="mezera"/>
      </w:pPr>
      <w:r w:rsidRPr="00B2348D">
        <w:rPr>
          <w:noProof/>
          <w:lang w:eastAsia="cs-CZ"/>
        </w:rPr>
        <w:drawing>
          <wp:inline distT="0" distB="0" distL="0" distR="0" wp14:anchorId="59079070" wp14:editId="123D0EDA">
            <wp:extent cx="8892540" cy="5049221"/>
            <wp:effectExtent l="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892540" cy="5049221"/>
                    </a:xfrm>
                    <a:prstGeom prst="rect">
                      <a:avLst/>
                    </a:prstGeom>
                    <a:noFill/>
                    <a:ln>
                      <a:noFill/>
                    </a:ln>
                  </pic:spPr>
                </pic:pic>
              </a:graphicData>
            </a:graphic>
          </wp:inline>
        </w:drawing>
      </w:r>
    </w:p>
    <w:p w:rsidR="004D1784" w:rsidRDefault="004D1784" w:rsidP="00234ED0">
      <w:pPr>
        <w:pStyle w:val="mezera"/>
      </w:pPr>
    </w:p>
    <w:p w:rsidR="00242EDF" w:rsidRDefault="004D1784" w:rsidP="00242EDF">
      <w:pPr>
        <w:pStyle w:val="mezera"/>
      </w:pPr>
      <w:r w:rsidRPr="00B2348D">
        <w:rPr>
          <w:noProof/>
          <w:lang w:eastAsia="cs-CZ"/>
        </w:rPr>
        <w:lastRenderedPageBreak/>
        <w:drawing>
          <wp:inline distT="0" distB="0" distL="0" distR="0" wp14:anchorId="4B6F85D4" wp14:editId="106DFE8B">
            <wp:extent cx="7682404" cy="5724000"/>
            <wp:effectExtent l="0" t="0" r="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682404" cy="5724000"/>
                    </a:xfrm>
                    <a:prstGeom prst="rect">
                      <a:avLst/>
                    </a:prstGeom>
                    <a:noFill/>
                    <a:ln>
                      <a:noFill/>
                    </a:ln>
                  </pic:spPr>
                </pic:pic>
              </a:graphicData>
            </a:graphic>
          </wp:inline>
        </w:drawing>
      </w:r>
    </w:p>
    <w:sectPr w:rsidR="00242EDF" w:rsidSect="004D178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4CD" w:rsidRDefault="009D74CD" w:rsidP="00A703A8">
      <w:pPr>
        <w:spacing w:before="0"/>
      </w:pPr>
      <w:r>
        <w:separator/>
      </w:r>
    </w:p>
    <w:p w:rsidR="009D74CD" w:rsidRDefault="009D74CD"/>
  </w:endnote>
  <w:endnote w:type="continuationSeparator" w:id="0">
    <w:p w:rsidR="009D74CD" w:rsidRDefault="009D74CD" w:rsidP="00A703A8">
      <w:pPr>
        <w:spacing w:before="0"/>
      </w:pPr>
      <w:r>
        <w:continuationSeparator/>
      </w:r>
    </w:p>
    <w:p w:rsidR="009D74CD" w:rsidRDefault="009D7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charset w:val="00"/>
    <w:family w:val="auto"/>
    <w:pitch w:val="default"/>
  </w:font>
  <w:font w:name="HelveticaNeueLTPro-MdC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D0" w:rsidRPr="001F053B" w:rsidRDefault="00234ED0" w:rsidP="001F053B">
    <w:pPr>
      <w:pStyle w:val="Zpat"/>
    </w:pPr>
    <w:r w:rsidRPr="001F053B">
      <w:rPr>
        <w:rStyle w:val="slostrnky"/>
      </w:rPr>
      <w:fldChar w:fldCharType="begin"/>
    </w:r>
    <w:r w:rsidRPr="001F053B">
      <w:rPr>
        <w:rStyle w:val="slostrnky"/>
      </w:rPr>
      <w:instrText xml:space="preserve"> PAGE </w:instrText>
    </w:r>
    <w:r w:rsidRPr="001F053B">
      <w:rPr>
        <w:rStyle w:val="slostrnky"/>
      </w:rPr>
      <w:fldChar w:fldCharType="separate"/>
    </w:r>
    <w:r w:rsidR="004A4FBE">
      <w:rPr>
        <w:rStyle w:val="slostrnky"/>
      </w:rPr>
      <w:t>IV</w:t>
    </w:r>
    <w:r w:rsidRPr="001F053B">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D0" w:rsidRDefault="00234ED0">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234ED0" w:rsidRDefault="00234ED0">
    <w:pPr>
      <w:pStyle w:val="Zp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D0" w:rsidRDefault="00234ED0" w:rsidP="00334C9B">
    <w:pPr>
      <w:pStyle w:val="Zpat"/>
      <w:spacing w:line="240" w:lineRule="atLeast"/>
    </w:pPr>
    <w:r>
      <w:rPr>
        <w:rStyle w:val="slostrnky"/>
      </w:rPr>
      <w:fldChar w:fldCharType="begin"/>
    </w:r>
    <w:r>
      <w:rPr>
        <w:rStyle w:val="slostrnky"/>
      </w:rPr>
      <w:instrText xml:space="preserve"> PAGE </w:instrText>
    </w:r>
    <w:r>
      <w:rPr>
        <w:rStyle w:val="slostrnky"/>
      </w:rPr>
      <w:fldChar w:fldCharType="separate"/>
    </w:r>
    <w:r w:rsidR="004A4FBE">
      <w:rPr>
        <w:rStyle w:val="slostrnky"/>
      </w:rPr>
      <w:t>114</w:t>
    </w:r>
    <w:r>
      <w:rPr>
        <w:rStyle w:val="slostrnky"/>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D0" w:rsidRDefault="00234ED0" w:rsidP="00265148">
    <w:pPr>
      <w:pStyle w:val="Zpat"/>
    </w:pPr>
    <w:r>
      <w:fldChar w:fldCharType="begin"/>
    </w:r>
    <w:r>
      <w:instrText xml:space="preserve"> PAGE   \* MERGEFORMAT </w:instrText>
    </w:r>
    <w:r>
      <w:fldChar w:fldCharType="separate"/>
    </w:r>
    <w:r w:rsidR="00A41D8C">
      <w:t>366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ED0" w:rsidRDefault="00234ED0" w:rsidP="00234ED0">
    <w:pPr>
      <w:pStyle w:val="Zpat"/>
    </w:pPr>
    <w:r>
      <w:fldChar w:fldCharType="begin"/>
    </w:r>
    <w:r>
      <w:instrText xml:space="preserve"> PAGE   \* MERGEFORMAT </w:instrText>
    </w:r>
    <w:r>
      <w:fldChar w:fldCharType="separate"/>
    </w:r>
    <w:r w:rsidR="00A41D8C">
      <w:t>401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4CD" w:rsidRDefault="009D74CD" w:rsidP="00C5753C">
      <w:pPr>
        <w:pStyle w:val="Normlnvlevo"/>
      </w:pPr>
      <w:r>
        <w:separator/>
      </w:r>
    </w:p>
  </w:footnote>
  <w:footnote w:type="continuationSeparator" w:id="0">
    <w:p w:rsidR="009D74CD" w:rsidRDefault="009D74CD" w:rsidP="00870243">
      <w:pPr>
        <w:pStyle w:val="Normlnvlevo"/>
      </w:pPr>
      <w:r>
        <w:continuationSeparator/>
      </w:r>
    </w:p>
  </w:footnote>
  <w:footnote w:type="continuationNotice" w:id="1">
    <w:p w:rsidR="009D74CD" w:rsidRPr="004C7027" w:rsidRDefault="009D74CD" w:rsidP="00DF0155">
      <w:pPr>
        <w:pStyle w:val="Normlnvlevo"/>
      </w:pPr>
    </w:p>
  </w:footnote>
  <w:footnote w:id="2">
    <w:p w:rsidR="00234ED0" w:rsidRDefault="00234ED0" w:rsidP="000E5274">
      <w:pPr>
        <w:pStyle w:val="Textpoznpodarou"/>
      </w:pPr>
      <w:r w:rsidRPr="00B50D4D">
        <w:rPr>
          <w:rStyle w:val="Znakapoznpodarou"/>
          <w:i/>
        </w:rPr>
        <w:footnoteRef/>
      </w:r>
      <w:r>
        <w:tab/>
      </w:r>
      <w:r w:rsidRPr="00432D11">
        <w:t>Dle údajů z Registru ekologických podnikatelů (REP) k 31. 12. 2014 (data stažena 8. 4. 2015</w:t>
      </w:r>
      <w:r>
        <w:t>)</w:t>
      </w:r>
      <w:r w:rsidRPr="00432D11">
        <w:t>. Dle údajů MZe bylo 4 023 ekologických zemědělců.</w:t>
      </w:r>
    </w:p>
  </w:footnote>
  <w:footnote w:id="3">
    <w:p w:rsidR="00234ED0" w:rsidRPr="006820AC" w:rsidRDefault="00234ED0" w:rsidP="000E5274">
      <w:pPr>
        <w:pStyle w:val="Textpoznpodarou"/>
      </w:pPr>
      <w:r w:rsidRPr="00B50D4D">
        <w:rPr>
          <w:rStyle w:val="Znakapoznpodarou"/>
          <w:i/>
        </w:rPr>
        <w:footnoteRef/>
      </w:r>
      <w:r w:rsidRPr="006820AC">
        <w:tab/>
      </w:r>
      <w:r w:rsidRPr="00345AF4">
        <w:t>Průměrný</w:t>
      </w:r>
      <w:r w:rsidRPr="006820AC">
        <w:t xml:space="preserve"> evidenční počet pracovníků (ve fyzických osobách)</w:t>
      </w:r>
      <w:r>
        <w:t xml:space="preserve"> v </w:t>
      </w:r>
      <w:r w:rsidRPr="006820AC">
        <w:t>podnicích zemědělské prvovýroby bez souvisejících služeb</w:t>
      </w:r>
      <w:r>
        <w:t xml:space="preserve"> a </w:t>
      </w:r>
      <w:r w:rsidRPr="006820AC">
        <w:t>myslivosti, předběžný údaj.</w:t>
      </w:r>
    </w:p>
  </w:footnote>
  <w:footnote w:id="4">
    <w:p w:rsidR="00234ED0" w:rsidRPr="006820AC" w:rsidRDefault="00234ED0" w:rsidP="000E5274">
      <w:pPr>
        <w:pStyle w:val="Textpoznpodarou"/>
      </w:pPr>
      <w:r w:rsidRPr="00B50D4D">
        <w:rPr>
          <w:rStyle w:val="Znakapoznpodarou"/>
          <w:i/>
        </w:rPr>
        <w:footnoteRef/>
      </w:r>
      <w:r w:rsidRPr="00203E0A">
        <w:rPr>
          <w:i w:val="0"/>
        </w:rPr>
        <w:tab/>
      </w:r>
      <w:r w:rsidRPr="001A35AE">
        <w:t xml:space="preserve">Předběžný údaj, propočty ÚZEI podle: Zaměstnanost a nezaměstnanost v ČR podle výsledků </w:t>
      </w:r>
      <w:proofErr w:type="gramStart"/>
      <w:r w:rsidRPr="001A35AE">
        <w:t>VŠPS (1.</w:t>
      </w:r>
      <w:r>
        <w:noBreakHyphen/>
        <w:t>4. </w:t>
      </w:r>
      <w:r w:rsidRPr="001A35AE">
        <w:t>čtvrtletí</w:t>
      </w:r>
      <w:proofErr w:type="gramEnd"/>
      <w:r w:rsidRPr="001A35AE">
        <w:t xml:space="preserve"> 2014), ČSÚ 2015.</w:t>
      </w:r>
    </w:p>
  </w:footnote>
  <w:footnote w:id="5">
    <w:p w:rsidR="00234ED0" w:rsidRDefault="00234ED0" w:rsidP="000E5274">
      <w:pPr>
        <w:pStyle w:val="Textpoznpodarou"/>
      </w:pPr>
      <w:r w:rsidRPr="00B50D4D">
        <w:rPr>
          <w:rStyle w:val="Znakapoznpodarou"/>
          <w:i/>
        </w:rPr>
        <w:footnoteRef/>
      </w:r>
      <w:r>
        <w:tab/>
      </w:r>
      <w:r w:rsidRPr="005B040F">
        <w:t>Pramen: Struktura</w:t>
      </w:r>
      <w:r w:rsidRPr="006820AC">
        <w:t xml:space="preserve"> mezd zaměstnanců 201</w:t>
      </w:r>
      <w:r>
        <w:t>3</w:t>
      </w:r>
      <w:r w:rsidRPr="006820AC">
        <w:t>, ČSÚ 201</w:t>
      </w:r>
      <w:r>
        <w:t>4</w:t>
      </w:r>
      <w:r w:rsidRPr="006820AC">
        <w:t>.</w:t>
      </w:r>
    </w:p>
  </w:footnote>
  <w:footnote w:id="6">
    <w:p w:rsidR="00234ED0" w:rsidRPr="000E766A" w:rsidRDefault="00234ED0" w:rsidP="00242EDF">
      <w:pPr>
        <w:pStyle w:val="Textpoznpodarou"/>
      </w:pPr>
      <w:r w:rsidRPr="00E10D8F">
        <w:rPr>
          <w:rStyle w:val="Znakapoznpodarou"/>
          <w:i/>
        </w:rPr>
        <w:footnoteRef/>
      </w:r>
      <w:r>
        <w:tab/>
      </w:r>
      <w:r w:rsidRPr="000E766A">
        <w:t>Eurozónu se společnou měnou tvořilo v roce 20</w:t>
      </w:r>
      <w:r>
        <w:t>14</w:t>
      </w:r>
      <w:r w:rsidRPr="000E766A">
        <w:t xml:space="preserve"> </w:t>
      </w:r>
      <w:r>
        <w:t>osm</w:t>
      </w:r>
      <w:r w:rsidRPr="000E766A">
        <w:t>náct států EU - Belgie, Finsko, Francie, Irsko, Itálie, Lucembursko, Německo, Nizozemsko, Portugalsko, Rakousko, Španělsko, Řecko, Slovinsko, Kypr, Malta</w:t>
      </w:r>
      <w:r>
        <w:t>,</w:t>
      </w:r>
      <w:r w:rsidRPr="000E766A">
        <w:t xml:space="preserve"> Slovensko</w:t>
      </w:r>
      <w:r>
        <w:t>, Estonsko a Lotyšsko</w:t>
      </w:r>
      <w:r w:rsidRPr="000E766A">
        <w:t>.</w:t>
      </w:r>
    </w:p>
  </w:footnote>
  <w:footnote w:id="7">
    <w:p w:rsidR="00234ED0" w:rsidRDefault="00234ED0" w:rsidP="00242EDF">
      <w:pPr>
        <w:pStyle w:val="Textpoznpodarou"/>
      </w:pPr>
      <w:r w:rsidRPr="004F1982">
        <w:rPr>
          <w:rStyle w:val="Znakapoznpodarou"/>
          <w:i/>
        </w:rPr>
        <w:footnoteRef/>
      </w:r>
      <w:r>
        <w:tab/>
        <w:t xml:space="preserve">Údaje za dřívější EU 15, tj. členské státy EU před jejím rozšířením k 1. 5. 2004, již </w:t>
      </w:r>
      <w:proofErr w:type="spellStart"/>
      <w:r>
        <w:t>Eurostat</w:t>
      </w:r>
      <w:proofErr w:type="spellEnd"/>
      <w:r>
        <w:t xml:space="preserve"> nezveřejňuje.</w:t>
      </w:r>
    </w:p>
  </w:footnote>
  <w:footnote w:id="8">
    <w:p w:rsidR="00234ED0" w:rsidRDefault="00234ED0" w:rsidP="00242EDF">
      <w:pPr>
        <w:pStyle w:val="Textpoznpodarou"/>
      </w:pPr>
      <w:r w:rsidRPr="002D5C8C">
        <w:rPr>
          <w:rStyle w:val="Znakapoznpodarou"/>
          <w:i/>
        </w:rPr>
        <w:footnoteRef/>
      </w:r>
      <w:r>
        <w:tab/>
        <w:t xml:space="preserve">Na základě údajů ČNB o platební bilanci </w:t>
      </w:r>
      <w:proofErr w:type="gramStart"/>
      <w:r>
        <w:t>za I.</w:t>
      </w:r>
      <w:r>
        <w:noBreakHyphen/>
        <w:t>IV</w:t>
      </w:r>
      <w:proofErr w:type="gramEnd"/>
      <w:r>
        <w:t>. Q 2013 a 2014. Podle statistiky zahraničního obchodu se zbožím v přeshraničním pojetí dosáhla bilance v roce 2014 hodnoty 442 mld. Kč při meziročním zvýšení o 91 mld. Kč. Vývoz se podle údajů ČSÚ zvýšil o 442 mld. Kč a dovoz o 350 mld. Kč (předběžné údaje).</w:t>
      </w:r>
    </w:p>
  </w:footnote>
  <w:footnote w:id="9">
    <w:p w:rsidR="00234ED0" w:rsidRDefault="00234ED0" w:rsidP="00242EDF">
      <w:pPr>
        <w:pStyle w:val="Textpoznpodarou"/>
      </w:pPr>
      <w:r w:rsidRPr="009C640D">
        <w:rPr>
          <w:rStyle w:val="Znakapoznpodarou"/>
          <w:i/>
        </w:rPr>
        <w:footnoteRef/>
      </w:r>
      <w:r>
        <w:tab/>
        <w:t>Na přepočtené počty zaměstnanců v celém národním hospodářství.</w:t>
      </w:r>
    </w:p>
  </w:footnote>
  <w:footnote w:id="10">
    <w:p w:rsidR="00234ED0" w:rsidRDefault="00234ED0">
      <w:pPr>
        <w:pStyle w:val="Textpoznpodarou"/>
      </w:pPr>
      <w:r>
        <w:rPr>
          <w:rStyle w:val="Znakapoznpodarou"/>
        </w:rPr>
        <w:footnoteRef/>
      </w:r>
      <w:r>
        <w:tab/>
        <w:t>Základní cena je cena za jednotku vyrobené produkce bez daně splatné na tuto jednotku v důsledku její výroby nebo prodeje, ale včetně dotace vázané na tuto jednotku (dotace na produkty).</w:t>
      </w:r>
    </w:p>
  </w:footnote>
  <w:footnote w:id="11">
    <w:p w:rsidR="00234ED0" w:rsidRDefault="00234ED0">
      <w:pPr>
        <w:pStyle w:val="Textpoznpodarou"/>
      </w:pPr>
      <w:r w:rsidRPr="00E10D8F">
        <w:rPr>
          <w:rStyle w:val="Znakapoznpodarou"/>
          <w:i/>
        </w:rPr>
        <w:footnoteRef/>
      </w:r>
      <w:r>
        <w:tab/>
        <w:t>Zemědělská výroba včetně ryb.</w:t>
      </w:r>
    </w:p>
  </w:footnote>
  <w:footnote w:id="12">
    <w:p w:rsidR="00234ED0" w:rsidRDefault="00234ED0" w:rsidP="00242EDF">
      <w:pPr>
        <w:pStyle w:val="Textpoznpodarou"/>
      </w:pPr>
      <w:r w:rsidRPr="00E10D8F">
        <w:rPr>
          <w:rStyle w:val="Znakapoznpodarou"/>
          <w:i/>
        </w:rPr>
        <w:footnoteRef/>
      </w:r>
      <w:r>
        <w:tab/>
        <w:t>Celkový počet zaměstnanců a průměrné hrubé mzdy podle CZ NACE za ČR úhrnem (přepočtené osoby) – předběžné údaje.</w:t>
      </w:r>
    </w:p>
  </w:footnote>
  <w:footnote w:id="13">
    <w:p w:rsidR="00234ED0" w:rsidRDefault="00234ED0" w:rsidP="00242EDF">
      <w:pPr>
        <w:pStyle w:val="Textpoznpodarou"/>
      </w:pPr>
      <w:r w:rsidRPr="00E72651">
        <w:rPr>
          <w:rStyle w:val="Znakapoznpodarou"/>
          <w:i/>
        </w:rPr>
        <w:footnoteRef/>
      </w:r>
      <w:r>
        <w:tab/>
        <w:t>Vrácení daně z minerálních olejů osobám užívajícím tyto oleje pro zemědělskou prvovýrobu dle § 57 zákona č. 353/2003 Sb., o spotřebních daních.</w:t>
      </w:r>
    </w:p>
  </w:footnote>
  <w:footnote w:id="14">
    <w:p w:rsidR="00234ED0" w:rsidRDefault="00234ED0" w:rsidP="00242EDF">
      <w:pPr>
        <w:pStyle w:val="Textpoznpodarou"/>
      </w:pPr>
      <w:r w:rsidRPr="002B6991">
        <w:rPr>
          <w:rStyle w:val="Znakapoznpodarou"/>
          <w:i/>
        </w:rPr>
        <w:footnoteRef/>
      </w:r>
      <w:r>
        <w:rPr>
          <w:i w:val="0"/>
        </w:rPr>
        <w:tab/>
      </w:r>
      <w:r>
        <w:t>Zákonem č. 201/2014 Sb. ze dne 10. září 2014, kterým se mění zákon č. 353/2003 Sb., o spotřebních daních, ve znění pozdějších předpisů.</w:t>
      </w:r>
    </w:p>
  </w:footnote>
  <w:footnote w:id="15">
    <w:p w:rsidR="00234ED0" w:rsidRDefault="00234ED0" w:rsidP="00242EDF">
      <w:pPr>
        <w:pStyle w:val="Textpoznpodarou"/>
      </w:pPr>
      <w:r w:rsidRPr="002B6991">
        <w:rPr>
          <w:rStyle w:val="Znakapoznpodarou"/>
          <w:i/>
        </w:rPr>
        <w:footnoteRef/>
      </w:r>
      <w:r>
        <w:tab/>
        <w:t>Podle zákona č. 16/1993 Sb., o dani silniční, § 6, odst. 5.</w:t>
      </w:r>
    </w:p>
  </w:footnote>
  <w:footnote w:id="16">
    <w:p w:rsidR="00234ED0" w:rsidRDefault="00234ED0" w:rsidP="00242EDF">
      <w:pPr>
        <w:pStyle w:val="Textpoznpodarou"/>
      </w:pPr>
      <w:r w:rsidRPr="002B6991">
        <w:rPr>
          <w:rStyle w:val="Znakapoznpodarou"/>
          <w:i/>
        </w:rPr>
        <w:footnoteRef/>
      </w:r>
      <w:r>
        <w:tab/>
        <w:t>Podle zákona č. 586/1992 Sb., o daních z příjmů, § 31, odst. 2.</w:t>
      </w:r>
    </w:p>
  </w:footnote>
  <w:footnote w:id="17">
    <w:p w:rsidR="00234ED0" w:rsidRDefault="00234ED0">
      <w:pPr>
        <w:pStyle w:val="Textpoznpodarou"/>
      </w:pPr>
      <w:r w:rsidRPr="00E10D8F">
        <w:rPr>
          <w:rStyle w:val="Znakapoznpodarou"/>
          <w:i/>
        </w:rPr>
        <w:footnoteRef/>
      </w:r>
      <w:r>
        <w:tab/>
        <w:t>Zákon č. 89/2012 Sb., občanský zákoník, zavedl s účinností od 1. 1. 2014 pojem zemědělský pacht.</w:t>
      </w:r>
    </w:p>
  </w:footnote>
  <w:footnote w:id="18">
    <w:p w:rsidR="00234ED0" w:rsidRPr="00486F1F" w:rsidRDefault="00234ED0" w:rsidP="00242EDF">
      <w:pPr>
        <w:pStyle w:val="Textpoznpodarou"/>
      </w:pPr>
      <w:r w:rsidRPr="00753471">
        <w:rPr>
          <w:rStyle w:val="Znakapoznpodarou"/>
          <w:i/>
        </w:rPr>
        <w:footnoteRef/>
      </w:r>
      <w:r>
        <w:rPr>
          <w:i w:val="0"/>
        </w:rPr>
        <w:tab/>
      </w:r>
      <w:r w:rsidRPr="00486F1F">
        <w:t>Odhad na základě údajů</w:t>
      </w:r>
      <w:r>
        <w:t xml:space="preserve"> ČSÚ </w:t>
      </w:r>
      <w:r w:rsidRPr="00486F1F">
        <w:t>ze Strukturálních výsledků za zemědělství a trendu</w:t>
      </w:r>
      <w:r>
        <w:t xml:space="preserve"> zvyšování podílu vlastní půdy v letech 2000-2013</w:t>
      </w:r>
      <w:r w:rsidRPr="00486F1F">
        <w:t>.</w:t>
      </w:r>
    </w:p>
  </w:footnote>
  <w:footnote w:id="19">
    <w:p w:rsidR="00234ED0" w:rsidRPr="004D1FC7" w:rsidRDefault="00234ED0" w:rsidP="000B7BEE">
      <w:pPr>
        <w:pStyle w:val="Textpoznpodarou"/>
      </w:pPr>
      <w:r w:rsidRPr="00E10D8F">
        <w:rPr>
          <w:rStyle w:val="Znakapoznpodarou"/>
          <w:i/>
        </w:rPr>
        <w:footnoteRef/>
      </w:r>
      <w:r w:rsidRPr="00D53C1E">
        <w:tab/>
        <w:t>Financování opatření z H</w:t>
      </w:r>
      <w:r>
        <w:t>RDP</w:t>
      </w:r>
      <w:r w:rsidRPr="00D53C1E">
        <w:t xml:space="preserve"> bylo </w:t>
      </w:r>
      <w:r>
        <w:t>ukončeno v roce 2008. V roce 2014</w:t>
      </w:r>
      <w:r w:rsidRPr="00D53C1E">
        <w:t xml:space="preserve"> byly v rámci HRDP proplaceny dobíhající víceleté závazky ze zdrojů PRV.</w:t>
      </w:r>
    </w:p>
  </w:footnote>
  <w:footnote w:id="20">
    <w:p w:rsidR="00234ED0" w:rsidRDefault="00234ED0" w:rsidP="000B7BEE">
      <w:pPr>
        <w:pStyle w:val="Textpoznpodarou"/>
      </w:pPr>
      <w:r w:rsidRPr="00E10D8F">
        <w:rPr>
          <w:rStyle w:val="Znakapoznpodarou"/>
          <w:i/>
        </w:rPr>
        <w:footnoteRef/>
      </w:r>
      <w:r>
        <w:tab/>
        <w:t>OP Rybářství byl vypracován na </w:t>
      </w:r>
      <w:r w:rsidRPr="00200A8E">
        <w:t>základě nařízení Rady (ES) č. 1198/2006 o</w:t>
      </w:r>
      <w:r>
        <w:t xml:space="preserve"> </w:t>
      </w:r>
      <w:r w:rsidRPr="00200A8E">
        <w:t>EFF a nařízení Komise (ES) č.</w:t>
      </w:r>
      <w:r>
        <w:t> </w:t>
      </w:r>
      <w:r w:rsidRPr="00200A8E">
        <w:t>498/2007, kterým se stanovují prováděcí pravidla k nařízení Rady (ES) č. 1198/2006 o EFF a</w:t>
      </w:r>
      <w:r>
        <w:t> </w:t>
      </w:r>
      <w:r w:rsidRPr="00200A8E">
        <w:t>byl EK schválen 11. 12. 2007.</w:t>
      </w:r>
    </w:p>
  </w:footnote>
  <w:footnote w:id="21">
    <w:p w:rsidR="00234ED0" w:rsidRPr="008920CB" w:rsidRDefault="00234ED0" w:rsidP="00F90496">
      <w:pPr>
        <w:pStyle w:val="Textpoznpodarou"/>
      </w:pPr>
      <w:r w:rsidRPr="00E10D8F">
        <w:rPr>
          <w:rStyle w:val="Znakapoznpodarou"/>
          <w:i/>
        </w:rPr>
        <w:footnoteRef/>
      </w:r>
      <w:r w:rsidRPr="008920CB">
        <w:rPr>
          <w:i w:val="0"/>
        </w:rPr>
        <w:tab/>
      </w:r>
      <w:r w:rsidRPr="008920CB">
        <w:t>Evropský námořní a rybářský fond (ENRF) se zaměřuje na dlouhodobé strategické cíle Společné rybářské politiky a Integrované námořní politiky včetně udržitelného a konkurenceschopného odvětví rybolovu a akvakultury, konzistentního politického rámce pro další rozvoj integrované námořní politiky a vyváženého územního rozvoje rybolovných oblastí podporujícího začlenění.</w:t>
      </w:r>
    </w:p>
  </w:footnote>
  <w:footnote w:id="22">
    <w:p w:rsidR="00234ED0" w:rsidRDefault="00234ED0" w:rsidP="00BF5C2F">
      <w:pPr>
        <w:pStyle w:val="Textpoznpodarou"/>
      </w:pPr>
      <w:r w:rsidRPr="00F61A8B">
        <w:rPr>
          <w:rStyle w:val="Znakapoznpodarou"/>
          <w:i/>
        </w:rPr>
        <w:footnoteRef/>
      </w:r>
      <w:r>
        <w:tab/>
        <w:t>Základním dokumentem, kterým se použití pravidla n+2 řídí, je Nařízení Rady (ES) č. 1260/1999. Pravidlo n+2 znamená, že každý závazek členské země přijatý vůči Evropské komisi musí být splněn do dvou let od přijetí tohoto závazku.</w:t>
      </w:r>
    </w:p>
  </w:footnote>
  <w:footnote w:id="23">
    <w:p w:rsidR="00234ED0" w:rsidRDefault="00234ED0" w:rsidP="009148B8">
      <w:pPr>
        <w:pStyle w:val="Textpoznpodarou"/>
      </w:pPr>
      <w:r w:rsidRPr="00E10D8F">
        <w:rPr>
          <w:rStyle w:val="Znakapoznpodarou"/>
          <w:i/>
        </w:rPr>
        <w:footnoteRef/>
      </w:r>
      <w:r>
        <w:tab/>
        <w:t xml:space="preserve">Metodicky staví obě typologie na ukazatelích hustoty obyvatelstva, ale OECD metodologie s ní pracuje na úrovni nižších administrativních území (v případě ČR obcí), zatímco EU </w:t>
      </w:r>
      <w:r w:rsidRPr="00423711">
        <w:t xml:space="preserve">metodologie na úrovni </w:t>
      </w:r>
      <w:r>
        <w:t>rastru tvořeného čtvercovými buňkami o</w:t>
      </w:r>
      <w:r w:rsidRPr="00423711">
        <w:t> rozlo</w:t>
      </w:r>
      <w:r>
        <w:t>ze</w:t>
      </w:r>
      <w:r w:rsidRPr="00423711">
        <w:t xml:space="preserve"> 1 km</w:t>
      </w:r>
      <w:r w:rsidRPr="00423711">
        <w:rPr>
          <w:vertAlign w:val="superscript"/>
        </w:rPr>
        <w:t>2</w:t>
      </w:r>
      <w:r w:rsidRPr="00423711">
        <w:t>.</w:t>
      </w:r>
    </w:p>
  </w:footnote>
  <w:footnote w:id="24">
    <w:p w:rsidR="00234ED0" w:rsidRDefault="00234ED0" w:rsidP="009148B8">
      <w:pPr>
        <w:pStyle w:val="Textpoznpodarou"/>
      </w:pPr>
      <w:r w:rsidRPr="00E10D8F">
        <w:rPr>
          <w:rStyle w:val="Znakapoznpodarou"/>
          <w:i/>
        </w:rPr>
        <w:footnoteRef/>
      </w:r>
      <w:r>
        <w:tab/>
        <w:t>Nejaktuálnější dostupné údaje.</w:t>
      </w:r>
    </w:p>
  </w:footnote>
  <w:footnote w:id="25">
    <w:p w:rsidR="00234ED0" w:rsidRDefault="00234ED0" w:rsidP="009148B8">
      <w:pPr>
        <w:pStyle w:val="Textpoznpodarou"/>
      </w:pPr>
      <w:r w:rsidRPr="00E10D8F">
        <w:rPr>
          <w:rStyle w:val="Znakapoznpodarou"/>
          <w:i/>
        </w:rPr>
        <w:footnoteRef/>
      </w:r>
      <w:r>
        <w:tab/>
        <w:t>Včetně bez udání počtu zaměstnanců.</w:t>
      </w:r>
    </w:p>
  </w:footnote>
  <w:footnote w:id="26">
    <w:p w:rsidR="00234ED0" w:rsidRDefault="00234ED0" w:rsidP="009148B8">
      <w:pPr>
        <w:pStyle w:val="Textpoznpodarou"/>
      </w:pPr>
      <w:r w:rsidRPr="00E10D8F">
        <w:rPr>
          <w:rStyle w:val="Znakapoznpodarou"/>
          <w:i/>
        </w:rPr>
        <w:footnoteRef/>
      </w:r>
      <w:r>
        <w:tab/>
        <w:t xml:space="preserve">Na základě doporučení Komise č. 2003/361/ES, o definici </w:t>
      </w:r>
      <w:proofErr w:type="spellStart"/>
      <w:r>
        <w:t>mikropodniků</w:t>
      </w:r>
      <w:proofErr w:type="spellEnd"/>
      <w:r>
        <w:t xml:space="preserve">, malých a středních podniků, je </w:t>
      </w:r>
      <w:proofErr w:type="spellStart"/>
      <w:r>
        <w:t>mikropodnik</w:t>
      </w:r>
      <w:proofErr w:type="spellEnd"/>
      <w:r>
        <w:t xml:space="preserve"> definován jako podnik, který zaměstnává méně než 10 zaměstnanců a jehož roční obrat a/nebo roční celková účetní rozvaha nepřekračují 2 mil. €.</w:t>
      </w:r>
    </w:p>
  </w:footnote>
  <w:footnote w:id="27">
    <w:p w:rsidR="00234ED0" w:rsidRDefault="00234ED0" w:rsidP="009148B8">
      <w:pPr>
        <w:pStyle w:val="Textpoznpodarou"/>
      </w:pPr>
      <w:r w:rsidRPr="00E10D8F">
        <w:rPr>
          <w:rStyle w:val="Znakapoznpodarou"/>
          <w:i/>
        </w:rPr>
        <w:footnoteRef/>
      </w:r>
      <w:r>
        <w:tab/>
        <w:t xml:space="preserve">Viz </w:t>
      </w:r>
      <w:hyperlink r:id="rId1" w:history="1">
        <w:r w:rsidRPr="0047269B">
          <w:rPr>
            <w:rStyle w:val="Hypertextovodkaz"/>
          </w:rPr>
          <w:t>Urban-</w:t>
        </w:r>
        <w:proofErr w:type="spellStart"/>
        <w:r w:rsidRPr="0047269B">
          <w:rPr>
            <w:rStyle w:val="Hypertextovodkaz"/>
          </w:rPr>
          <w:t>rural</w:t>
        </w:r>
        <w:proofErr w:type="spellEnd"/>
        <w:r w:rsidRPr="0047269B">
          <w:rPr>
            <w:rStyle w:val="Hypertextovodkaz"/>
          </w:rPr>
          <w:t xml:space="preserve"> typology</w:t>
        </w:r>
      </w:hyperlink>
      <w:r w:rsidRPr="0047269B">
        <w:t xml:space="preserve">, </w:t>
      </w:r>
      <w:r>
        <w:t>kapitola 3.1.</w:t>
      </w:r>
    </w:p>
  </w:footnote>
  <w:footnote w:id="28">
    <w:p w:rsidR="00234ED0" w:rsidRDefault="00234ED0" w:rsidP="009148B8">
      <w:pPr>
        <w:pStyle w:val="Textpoznpodarou"/>
      </w:pPr>
      <w:r w:rsidRPr="00E10D8F">
        <w:rPr>
          <w:rStyle w:val="Znakapoznpodarou"/>
          <w:i/>
        </w:rPr>
        <w:footnoteRef/>
      </w:r>
      <w:r>
        <w:tab/>
        <w:t>Na základě nové definice malých a středních podniků, která platí od 1. 1. 2005 (§ 2, odst. (2) písm. a), b) a c) Obchodního zákoníku) je malý podnik definován jako podnik s 10</w:t>
      </w:r>
      <w:r>
        <w:noBreakHyphen/>
        <w:t>50 zaměstnanci, ročním obratem v rozmezí 2</w:t>
      </w:r>
      <w:r>
        <w:noBreakHyphen/>
        <w:t>10 mil. € nebo aktivy ve výši 2</w:t>
      </w:r>
      <w:r>
        <w:noBreakHyphen/>
        <w:t>10 mil. €.</w:t>
      </w:r>
    </w:p>
  </w:footnote>
  <w:footnote w:id="29">
    <w:p w:rsidR="00234ED0" w:rsidRDefault="00234ED0" w:rsidP="009148B8">
      <w:pPr>
        <w:pStyle w:val="Textpoznpodarou"/>
      </w:pPr>
      <w:r w:rsidRPr="00E10D8F">
        <w:rPr>
          <w:rStyle w:val="Znakapoznpodarou"/>
          <w:i/>
        </w:rPr>
        <w:footnoteRef/>
      </w:r>
      <w:r>
        <w:tab/>
      </w:r>
      <w:r w:rsidRPr="006832AF">
        <w:t>Podpora cestovního ruchu</w:t>
      </w:r>
      <w:r>
        <w:t xml:space="preserve"> </w:t>
      </w:r>
      <w:r w:rsidRPr="006832AF">
        <w:t>je určena na vybudování pěších a lyžař</w:t>
      </w:r>
      <w:r>
        <w:t>ských tras, vinařských stezek a </w:t>
      </w:r>
      <w:proofErr w:type="spellStart"/>
      <w:r>
        <w:t>hipp</w:t>
      </w:r>
      <w:r w:rsidRPr="006832AF">
        <w:t>ostezek</w:t>
      </w:r>
      <w:proofErr w:type="spellEnd"/>
      <w:r w:rsidRPr="006832AF">
        <w:t xml:space="preserve">, výstavbu ubytovacích </w:t>
      </w:r>
      <w:r>
        <w:t xml:space="preserve">zařízení s malou kapacitou hostů, </w:t>
      </w:r>
      <w:r w:rsidRPr="006832AF">
        <w:t>stravovacích zařízení, půjčoven sportovního vybavení a objektů a ploch pro sportovně rekreační vyžití.</w:t>
      </w:r>
    </w:p>
  </w:footnote>
  <w:footnote w:id="30">
    <w:p w:rsidR="00234ED0" w:rsidRDefault="00234ED0">
      <w:pPr>
        <w:pStyle w:val="Textpoznpodarou"/>
      </w:pPr>
      <w:r w:rsidRPr="001F5275">
        <w:rPr>
          <w:rStyle w:val="Znakapoznpodarou"/>
          <w:i/>
        </w:rPr>
        <w:footnoteRef/>
      </w:r>
      <w:r>
        <w:tab/>
        <w:t xml:space="preserve">Podklady pro 17. zasedání monitorovacího výboru PRV z 18. 11. 2014 jsou dostupné na </w:t>
      </w:r>
      <w:hyperlink r:id="rId2" w:history="1">
        <w:r>
          <w:rPr>
            <w:rStyle w:val="Hypertextovodkaz"/>
          </w:rPr>
          <w:t>http://eagri.cz/public/web/mze/venkov/program-rozvoje-venkova/monitorovaci-vybor/podklady-z-jednani/x17-zasedani-mv-prv-18-11-2014.html</w:t>
        </w:r>
      </w:hyperlink>
      <w:r>
        <w:t>.</w:t>
      </w:r>
    </w:p>
  </w:footnote>
  <w:footnote w:id="31">
    <w:p w:rsidR="00234ED0" w:rsidRPr="00A11D73" w:rsidRDefault="00234ED0" w:rsidP="009148B8">
      <w:pPr>
        <w:pStyle w:val="Textpoznpodarou"/>
      </w:pPr>
      <w:r w:rsidRPr="00E10D8F">
        <w:rPr>
          <w:rStyle w:val="Znakapoznpodarou"/>
          <w:i/>
        </w:rPr>
        <w:footnoteRef/>
      </w:r>
      <w:r>
        <w:tab/>
      </w:r>
      <w:r w:rsidRPr="00A93AD4">
        <w:t xml:space="preserve">Pramen: SLDB 2011, ČSÚ 2013 (poslední údaje k ekonomické aktivitě a jejím strukturám na úrovni obcí). Podrobnější </w:t>
      </w:r>
      <w:proofErr w:type="gramStart"/>
      <w:r w:rsidRPr="00A93AD4">
        <w:t>analýza</w:t>
      </w:r>
      <w:proofErr w:type="gramEnd"/>
      <w:r w:rsidRPr="00A93AD4">
        <w:t xml:space="preserve"> viz </w:t>
      </w:r>
      <w:proofErr w:type="gramStart"/>
      <w:r w:rsidRPr="00A93AD4">
        <w:t>Zpráva</w:t>
      </w:r>
      <w:proofErr w:type="gramEnd"/>
      <w:r w:rsidRPr="00A93AD4">
        <w:t xml:space="preserve"> o stavu zemědělství České republiky za rok 2013, MZe 2014.</w:t>
      </w:r>
    </w:p>
  </w:footnote>
  <w:footnote w:id="32">
    <w:p w:rsidR="00234ED0" w:rsidRDefault="00234ED0" w:rsidP="009148B8">
      <w:pPr>
        <w:pStyle w:val="Textpoznpodarou"/>
      </w:pPr>
      <w:r w:rsidRPr="00E10D8F">
        <w:rPr>
          <w:rStyle w:val="Znakapoznpodarou"/>
          <w:i/>
        </w:rPr>
        <w:footnoteRef/>
      </w:r>
      <w:r>
        <w:tab/>
      </w:r>
      <w:r w:rsidRPr="00307C21">
        <w:t>Pramen: Zaměstnanost a nezaměstnanost v ČR podle výsledků VŠ</w:t>
      </w:r>
      <w:r w:rsidRPr="002120C5">
        <w:t xml:space="preserve">PS </w:t>
      </w:r>
      <w:r w:rsidRPr="00A96FE6">
        <w:t>(4. čtvrtletí 2014),</w:t>
      </w:r>
      <w:r w:rsidRPr="002120C5">
        <w:t xml:space="preserve"> </w:t>
      </w:r>
      <w:r w:rsidRPr="00307C21">
        <w:t>ČSÚ 201</w:t>
      </w:r>
      <w:r>
        <w:t>5.</w:t>
      </w:r>
    </w:p>
  </w:footnote>
  <w:footnote w:id="33">
    <w:p w:rsidR="00234ED0" w:rsidRDefault="00234ED0" w:rsidP="009148B8">
      <w:pPr>
        <w:pStyle w:val="Textpoznpodarou"/>
      </w:pPr>
      <w:r w:rsidRPr="00E10D8F">
        <w:rPr>
          <w:rStyle w:val="Znakapoznpodarou"/>
          <w:i/>
        </w:rPr>
        <w:footnoteRef/>
      </w:r>
      <w:r>
        <w:tab/>
        <w:t xml:space="preserve">Podíl nezaměstnaných osob </w:t>
      </w:r>
      <w:r w:rsidRPr="0071320D">
        <w:t>vyjadřuje podíl dosažitelných uchazečů o zaměstnání ve věku 15–64 let ze všech obyvatel ve stejném věku.</w:t>
      </w:r>
    </w:p>
  </w:footnote>
  <w:footnote w:id="34">
    <w:p w:rsidR="00234ED0" w:rsidRDefault="00234ED0" w:rsidP="009148B8">
      <w:pPr>
        <w:pStyle w:val="Textpoznpodarou"/>
      </w:pPr>
      <w:r w:rsidRPr="00E10D8F">
        <w:rPr>
          <w:rStyle w:val="Znakapoznpodarou"/>
          <w:i/>
        </w:rPr>
        <w:footnoteRef/>
      </w:r>
      <w:r>
        <w:tab/>
      </w:r>
      <w:r w:rsidRPr="00F50C52">
        <w:t>Pramen: Zpráva o stavu zemědělství ČR za rok 201</w:t>
      </w:r>
      <w:r>
        <w:t>3</w:t>
      </w:r>
      <w:r w:rsidRPr="00F50C52">
        <w:t>, MZe 201</w:t>
      </w:r>
      <w:r>
        <w:t>4</w:t>
      </w:r>
      <w:r w:rsidRPr="00F50C52">
        <w:t>.</w:t>
      </w:r>
    </w:p>
  </w:footnote>
  <w:footnote w:id="35">
    <w:p w:rsidR="00234ED0" w:rsidRDefault="00234ED0" w:rsidP="009148B8">
      <w:pPr>
        <w:pStyle w:val="Textpoznpodarou"/>
      </w:pPr>
      <w:r w:rsidRPr="00E10D8F">
        <w:rPr>
          <w:rStyle w:val="Znakapoznpodarou"/>
          <w:i/>
        </w:rPr>
        <w:footnoteRef/>
      </w:r>
      <w:r>
        <w:tab/>
        <w:t>Za prvé, chybí údaje za leden a únor (přitom venkov má v prvních měsících roku vždy vyšší nezaměstnanost než města v důsledku vyššího zastoupení pracovních sil v odvětvích se sezónními výkyvy). Za druhé, počet obyvatel ve věku 15–64 let v případě výpočtu podílu za ČR vychází z </w:t>
      </w:r>
      <w:r w:rsidRPr="00014FC5">
        <w:t>aktuálních</w:t>
      </w:r>
      <w:r>
        <w:t xml:space="preserve"> měsíčních statistik</w:t>
      </w:r>
      <w:r w:rsidRPr="00014FC5">
        <w:t>,</w:t>
      </w:r>
      <w:r>
        <w:t xml:space="preserve"> zatímco výpočty venkovského a městského podílu vycházejí ze statistiky na úrovni obcí, která aktualizuje počet obyvatel jen jednou za rok. Za třetí, v každém okrese menší část uchazečů neuvádí obec pobytu. Z uvedených důvodů také oba vypočítané podíly (6,8 % a 7,6 %) nedosahují průměru ČR (7,7 %).</w:t>
      </w:r>
    </w:p>
  </w:footnote>
  <w:footnote w:id="36">
    <w:p w:rsidR="00234ED0" w:rsidRDefault="00234ED0" w:rsidP="009148B8">
      <w:pPr>
        <w:pStyle w:val="Textpoznpodarou"/>
      </w:pPr>
      <w:r w:rsidRPr="00E10D8F">
        <w:rPr>
          <w:rStyle w:val="Znakapoznpodarou"/>
          <w:i/>
        </w:rPr>
        <w:footnoteRef/>
      </w:r>
      <w:r>
        <w:tab/>
      </w:r>
      <w:r w:rsidRPr="00C35CB8">
        <w:t>Pramen: Vydání a spotřeba domácností statistiky rodinných účtů za rok 201</w:t>
      </w:r>
      <w:r>
        <w:t>3, ČSÚ 2014</w:t>
      </w:r>
      <w:r w:rsidRPr="00C35CB8">
        <w:t>. Kategorie obcí dle počtu obyvatel jsou zde následující: do 1</w:t>
      </w:r>
      <w:r>
        <w:t> </w:t>
      </w:r>
      <w:r w:rsidRPr="00C35CB8">
        <w:t>999, 2</w:t>
      </w:r>
      <w:r>
        <w:t> </w:t>
      </w:r>
      <w:r w:rsidRPr="00C35CB8">
        <w:t>000-9</w:t>
      </w:r>
      <w:r>
        <w:t> </w:t>
      </w:r>
      <w:r w:rsidRPr="00C35CB8">
        <w:t>999, 10</w:t>
      </w:r>
      <w:r>
        <w:t> </w:t>
      </w:r>
      <w:r w:rsidRPr="00C35CB8">
        <w:t>000-49</w:t>
      </w:r>
      <w:r>
        <w:t> </w:t>
      </w:r>
      <w:r w:rsidRPr="00C35CB8">
        <w:t>999 a 50</w:t>
      </w:r>
      <w:r>
        <w:t> </w:t>
      </w:r>
      <w:r w:rsidRPr="00C35CB8">
        <w:t>000 a více. Obce do 1</w:t>
      </w:r>
      <w:r>
        <w:t> </w:t>
      </w:r>
      <w:r w:rsidRPr="00C35CB8">
        <w:t>999</w:t>
      </w:r>
      <w:r>
        <w:t> </w:t>
      </w:r>
      <w:r w:rsidRPr="00C35CB8">
        <w:t>obyvatel jsou v textu pojímány jako venkov, kategorie obcí 50</w:t>
      </w:r>
      <w:r>
        <w:t> </w:t>
      </w:r>
      <w:r w:rsidRPr="00C35CB8">
        <w:t>000 a více</w:t>
      </w:r>
      <w:r>
        <w:t xml:space="preserve"> obyvatel</w:t>
      </w:r>
      <w:r w:rsidRPr="00C35CB8">
        <w:t xml:space="preserve"> je označována jako </w:t>
      </w:r>
      <w:r>
        <w:t>„</w:t>
      </w:r>
      <w:r w:rsidRPr="00C35CB8">
        <w:t>velká města</w:t>
      </w:r>
      <w:r>
        <w:t>“</w:t>
      </w:r>
      <w:r w:rsidRPr="00C35CB8">
        <w:t>.</w:t>
      </w:r>
    </w:p>
  </w:footnote>
  <w:footnote w:id="37">
    <w:p w:rsidR="00234ED0" w:rsidRDefault="00234ED0">
      <w:pPr>
        <w:pStyle w:val="Textpoznpodarou"/>
      </w:pPr>
      <w:r w:rsidRPr="000826EE">
        <w:rPr>
          <w:rStyle w:val="Znakapoznpodarou"/>
          <w:i/>
        </w:rPr>
        <w:footnoteRef/>
      </w:r>
      <w:r>
        <w:tab/>
        <w:t>Č</w:t>
      </w:r>
      <w:r w:rsidRPr="000826EE">
        <w:t>l. 42 a 44 nařízení Evropského parlamentu a Rady (EU) č. 1305/2013 ze dne 17. 12. 2013 o podpoře pro rozvoj venkova z Evropského zemědělského fondu pro rozvoj venkova (EZFRV) a o zrušení nařízení Rady (ES) č. 1698/2005</w:t>
      </w:r>
      <w:r>
        <w:t>.</w:t>
      </w:r>
    </w:p>
  </w:footnote>
  <w:footnote w:id="38">
    <w:p w:rsidR="00234ED0" w:rsidRDefault="00234ED0">
      <w:pPr>
        <w:pStyle w:val="Textpoznpodarou"/>
      </w:pPr>
      <w:r w:rsidRPr="00652B0C">
        <w:rPr>
          <w:rStyle w:val="Znakapoznpodarou"/>
          <w:i/>
        </w:rPr>
        <w:footnoteRef/>
      </w:r>
      <w:r>
        <w:tab/>
      </w:r>
      <w:r w:rsidRPr="00652B0C">
        <w:t>SCLLD</w:t>
      </w:r>
      <w:r>
        <w:t xml:space="preserve"> – </w:t>
      </w:r>
      <w:r w:rsidRPr="00652B0C">
        <w:t xml:space="preserve">strategie komunitně </w:t>
      </w:r>
      <w:r>
        <w:t>vedeného místního rozvoje</w:t>
      </w:r>
      <w:r w:rsidRPr="00684B4A">
        <w:t xml:space="preserve"> (z angl. </w:t>
      </w:r>
      <w:r w:rsidRPr="00684B4A">
        <w:rPr>
          <w:lang w:val="en-GB"/>
        </w:rPr>
        <w:t>Community Led Local Development Strategy</w:t>
      </w:r>
      <w:r>
        <w:t>).</w:t>
      </w:r>
    </w:p>
  </w:footnote>
  <w:footnote w:id="39">
    <w:p w:rsidR="00234ED0" w:rsidRDefault="00234ED0">
      <w:pPr>
        <w:pStyle w:val="Textpoznpodarou"/>
      </w:pPr>
      <w:r w:rsidRPr="00652B0C">
        <w:rPr>
          <w:rStyle w:val="Znakapoznpodarou"/>
          <w:i/>
        </w:rPr>
        <w:footnoteRef/>
      </w:r>
      <w:r>
        <w:tab/>
      </w:r>
      <w:r w:rsidRPr="00652B0C">
        <w:t>CLLD</w:t>
      </w:r>
      <w:r>
        <w:t xml:space="preserve"> – k</w:t>
      </w:r>
      <w:r w:rsidRPr="00684B4A">
        <w:t xml:space="preserve">omunitně vedený místní rozvoj (z angl. </w:t>
      </w:r>
      <w:r w:rsidRPr="00E86ED0">
        <w:rPr>
          <w:lang w:val="en-GB"/>
        </w:rPr>
        <w:t>Community Led Local Development</w:t>
      </w:r>
      <w:r w:rsidRPr="00684B4A">
        <w:t>)</w:t>
      </w:r>
      <w:r>
        <w:t>.</w:t>
      </w:r>
    </w:p>
  </w:footnote>
  <w:footnote w:id="40">
    <w:p w:rsidR="00234ED0" w:rsidRPr="006C0E5D" w:rsidRDefault="00234ED0" w:rsidP="006326CC">
      <w:pPr>
        <w:pStyle w:val="Textpoznpodarou"/>
      </w:pPr>
      <w:r w:rsidRPr="00C01619">
        <w:rPr>
          <w:rStyle w:val="Znakapoznpodarou"/>
          <w:i/>
        </w:rPr>
        <w:footnoteRef/>
      </w:r>
      <w:r>
        <w:tab/>
        <w:t>Pracovníci VÚRV, ISTRO (</w:t>
      </w:r>
      <w:r w:rsidRPr="00E86ED0">
        <w:rPr>
          <w:lang w:val="en-GB"/>
        </w:rPr>
        <w:t>International Soil Tillage Research Organisation</w:t>
      </w:r>
      <w:r>
        <w:t>) atd.</w:t>
      </w:r>
    </w:p>
  </w:footnote>
  <w:footnote w:id="41">
    <w:p w:rsidR="00234ED0" w:rsidRPr="00DD7462" w:rsidRDefault="00234ED0" w:rsidP="00C01619">
      <w:pPr>
        <w:pStyle w:val="Textpoznpodarou"/>
      </w:pPr>
      <w:r w:rsidRPr="00C01619">
        <w:rPr>
          <w:rStyle w:val="Znakapoznpodarou"/>
          <w:i/>
        </w:rPr>
        <w:footnoteRef/>
      </w:r>
      <w:r>
        <w:tab/>
      </w:r>
      <w:r w:rsidRPr="004C62B8">
        <w:t>V roce 2010 vstoupil v platnost systém Kontrol podmíněnosti, a to 10 standardů Dobrého zemědělského a environmentálního stavu (GAEC). Jeden z těchto standardů je zaměřen na prevenci eroze půdy používáním minimalizačních technologií.</w:t>
      </w:r>
    </w:p>
  </w:footnote>
  <w:footnote w:id="42">
    <w:p w:rsidR="00234ED0" w:rsidRDefault="00234ED0" w:rsidP="00242EDF">
      <w:pPr>
        <w:pStyle w:val="Textpoznpodarou"/>
      </w:pPr>
      <w:r w:rsidRPr="00E10D8F">
        <w:rPr>
          <w:rStyle w:val="Znakapoznpodarou"/>
          <w:i/>
        </w:rPr>
        <w:footnoteRef/>
      </w:r>
      <w:r w:rsidRPr="00FA6ABA">
        <w:tab/>
        <w:t>Integrovaným povolením se rozumí rozhodnutí, kterým se stanoví podmínky k provozu zařízení, včetně provozu činností přímo spojených s provozem zařízení v místě a které se vydává namísto rozhodnutí, stanovisek, vyjádření a souhlasů vydávaných podle zvláštních právních předpisů v oblasti ochrany životního prostředí, ochrany veřejného zdraví a v oblasti zemědělství, pokud to tyto předpisy umožňují.</w:t>
      </w:r>
    </w:p>
  </w:footnote>
  <w:footnote w:id="43">
    <w:p w:rsidR="00234ED0" w:rsidRDefault="00234ED0">
      <w:pPr>
        <w:pStyle w:val="Textpoznpodarou"/>
      </w:pPr>
      <w:r w:rsidRPr="00E10D8F">
        <w:rPr>
          <w:rStyle w:val="Znakapoznpodarou"/>
          <w:i/>
        </w:rPr>
        <w:footnoteRef/>
      </w:r>
      <w:r>
        <w:tab/>
      </w:r>
      <w:r w:rsidRPr="00BB57B8">
        <w:t>Na základě požadavku ČHM</w:t>
      </w:r>
      <w:r>
        <w:t>Ú</w:t>
      </w:r>
      <w:r w:rsidRPr="00BB57B8">
        <w:t xml:space="preserve"> došlo v roce 2014 k přehodnocení emisních faktorů používaných pro výpočet národních emisních bilancí amoniaku.</w:t>
      </w:r>
    </w:p>
  </w:footnote>
  <w:footnote w:id="44">
    <w:p w:rsidR="00234ED0" w:rsidRDefault="00234ED0" w:rsidP="00242EDF">
      <w:pPr>
        <w:pStyle w:val="Textpoznpodarou"/>
      </w:pPr>
      <w:r w:rsidRPr="00E10D8F">
        <w:rPr>
          <w:rStyle w:val="Znakapoznpodarou"/>
          <w:i/>
        </w:rPr>
        <w:footnoteRef/>
      </w:r>
      <w:r w:rsidRPr="00FA6ABA">
        <w:tab/>
        <w:t xml:space="preserve">Jedná se o 11 prvků, které ÚKZÚZ pravidelně sleduje: As, </w:t>
      </w:r>
      <w:proofErr w:type="spellStart"/>
      <w:r w:rsidRPr="00FA6ABA">
        <w:t>Be</w:t>
      </w:r>
      <w:proofErr w:type="spellEnd"/>
      <w:r w:rsidRPr="00FA6ABA">
        <w:t xml:space="preserve">, </w:t>
      </w:r>
      <w:proofErr w:type="spellStart"/>
      <w:r w:rsidRPr="00FA6ABA">
        <w:t>Cr</w:t>
      </w:r>
      <w:proofErr w:type="spellEnd"/>
      <w:r w:rsidRPr="00FA6ABA">
        <w:t xml:space="preserve">, Cd, Co, </w:t>
      </w:r>
      <w:proofErr w:type="spellStart"/>
      <w:r w:rsidRPr="00FA6ABA">
        <w:t>Cu</w:t>
      </w:r>
      <w:proofErr w:type="spellEnd"/>
      <w:r w:rsidRPr="00FA6ABA">
        <w:t xml:space="preserve">, </w:t>
      </w:r>
      <w:proofErr w:type="spellStart"/>
      <w:r w:rsidRPr="00FA6ABA">
        <w:t>Hg</w:t>
      </w:r>
      <w:proofErr w:type="spellEnd"/>
      <w:r w:rsidRPr="00FA6ABA">
        <w:t xml:space="preserve">, Ni, </w:t>
      </w:r>
      <w:proofErr w:type="spellStart"/>
      <w:r w:rsidRPr="00FA6ABA">
        <w:t>Pb</w:t>
      </w:r>
      <w:proofErr w:type="spellEnd"/>
      <w:r w:rsidRPr="00FA6ABA">
        <w:t>, V, Zn.</w:t>
      </w:r>
    </w:p>
  </w:footnote>
  <w:footnote w:id="45">
    <w:p w:rsidR="00234ED0" w:rsidRDefault="00234ED0" w:rsidP="00242EDF">
      <w:pPr>
        <w:pStyle w:val="Textpoznpodarou"/>
      </w:pPr>
      <w:r w:rsidRPr="00E10D8F">
        <w:rPr>
          <w:rStyle w:val="Znakapoznpodarou"/>
          <w:i/>
        </w:rPr>
        <w:footnoteRef/>
      </w:r>
      <w:r w:rsidRPr="00FA6ABA">
        <w:tab/>
      </w:r>
      <w:r w:rsidRPr="00C47D8F">
        <w:t>V letech 1990–1992 proběhl v ČR plošný průzkum zemědělských půd na zjištění obsahů rizikových prvků, které byly stanovovány ve výluhu 2M HNO3. Vznikla databáze, která obsahovala cca 35 000 vzorků, postupným doplňováním (tzv. zahušťováním) se databáze rozrostla na téměř 55 000 vzorků. V roce 2009 bylo doplňování této části databáze ukončeno. V roce 1998 započala tvorba 2. části databáze – obsahy prvků byly stanovovány po extrakci lučavkou královskou – a v této činnosti se pokračuje i nadále. Počet vzorků v této části databáze je 11 824. Za účelem rozšiřování Seznamu kontaminovaných ploch bylo v roce 2014 analyzováno 369 půdních vzorků.</w:t>
      </w:r>
    </w:p>
  </w:footnote>
  <w:footnote w:id="46">
    <w:p w:rsidR="00234ED0" w:rsidRDefault="00234ED0" w:rsidP="00242EDF">
      <w:pPr>
        <w:pStyle w:val="Textpoznpodarou"/>
      </w:pPr>
      <w:r w:rsidRPr="00E10D8F">
        <w:rPr>
          <w:rStyle w:val="Znakapoznpodarou"/>
          <w:i/>
        </w:rPr>
        <w:footnoteRef/>
      </w:r>
      <w:r>
        <w:tab/>
      </w:r>
      <w:r w:rsidRPr="00FA6ABA">
        <w:t>Od roku 2011 byla změněna metodika výpočtu větrné eroze. Dle nové metodiky jsou erozí potenciálně ohroženy pouze klimatické regiony 0-4. Regiony 5-9 se považují za nenáchylné.</w:t>
      </w:r>
    </w:p>
  </w:footnote>
  <w:footnote w:id="47">
    <w:p w:rsidR="00234ED0" w:rsidRPr="005B7332" w:rsidRDefault="00234ED0" w:rsidP="00242EDF">
      <w:pPr>
        <w:pStyle w:val="Textpoznpodarou"/>
      </w:pPr>
      <w:r w:rsidRPr="00E10D8F">
        <w:rPr>
          <w:rStyle w:val="Znakapoznpodarou"/>
          <w:i/>
        </w:rPr>
        <w:footnoteRef/>
      </w:r>
      <w:r w:rsidRPr="00FA6ABA">
        <w:tab/>
        <w:t>Jedná se o odhad z roku 20</w:t>
      </w:r>
      <w:r>
        <w:t>09, údaj se dále neaktualizuje.</w:t>
      </w:r>
    </w:p>
  </w:footnote>
  <w:footnote w:id="48">
    <w:p w:rsidR="00234ED0" w:rsidRDefault="00234ED0" w:rsidP="00242EDF">
      <w:pPr>
        <w:pStyle w:val="Textpoznpodarou"/>
      </w:pPr>
      <w:r w:rsidRPr="00E10D8F">
        <w:rPr>
          <w:rStyle w:val="Znakapoznpodarou"/>
          <w:i/>
        </w:rPr>
        <w:footnoteRef/>
      </w:r>
      <w:r w:rsidRPr="00FA6ABA">
        <w:tab/>
        <w:t>P</w:t>
      </w:r>
      <w:r>
        <w:t>lochy ovocných sadů k 31. 8. 2014</w:t>
      </w:r>
      <w:r w:rsidRPr="00FA6ABA">
        <w:t>.</w:t>
      </w:r>
    </w:p>
  </w:footnote>
  <w:footnote w:id="49">
    <w:p w:rsidR="00234ED0" w:rsidRDefault="00234ED0" w:rsidP="00242EDF">
      <w:pPr>
        <w:pStyle w:val="Textpoznpodarou"/>
      </w:pPr>
      <w:r w:rsidRPr="00E10D8F">
        <w:rPr>
          <w:rStyle w:val="Znakapoznpodarou"/>
          <w:i/>
        </w:rPr>
        <w:footnoteRef/>
      </w:r>
      <w:r>
        <w:tab/>
      </w:r>
      <w:r w:rsidRPr="00AA43E6">
        <w:t>Zahrnuje energii vyrobenou z tuhých a kapalných paliv a zemního plynu.</w:t>
      </w:r>
    </w:p>
  </w:footnote>
  <w:footnote w:id="50">
    <w:p w:rsidR="00234ED0" w:rsidRDefault="00234ED0" w:rsidP="00242EDF">
      <w:pPr>
        <w:pStyle w:val="Textpoznpodarou"/>
      </w:pPr>
      <w:r w:rsidRPr="00E10D8F">
        <w:rPr>
          <w:rStyle w:val="Znakapoznpodarou"/>
          <w:i/>
        </w:rPr>
        <w:footnoteRef/>
      </w:r>
      <w:r w:rsidRPr="00FA6ABA">
        <w:tab/>
        <w:t>Do celkové spotřeby motorové nafty není zahrnuta spotřeba služeb poskytovaných zemědělství jinými re</w:t>
      </w:r>
      <w:r>
        <w:t>z</w:t>
      </w:r>
      <w:r w:rsidRPr="00FA6ABA">
        <w:t>orty, zejména v dopravě, a také spotřeba související s nezemědělskými činnostmi podniků.</w:t>
      </w:r>
    </w:p>
  </w:footnote>
  <w:footnote w:id="51">
    <w:p w:rsidR="00234ED0" w:rsidRDefault="00234ED0" w:rsidP="00242EDF">
      <w:pPr>
        <w:pStyle w:val="Textpoznpodarou"/>
      </w:pPr>
      <w:r w:rsidRPr="00E10D8F">
        <w:rPr>
          <w:rStyle w:val="Znakapoznpodarou"/>
          <w:i/>
        </w:rPr>
        <w:footnoteRef/>
      </w:r>
      <w:r w:rsidRPr="00FA6ABA">
        <w:tab/>
        <w:t>Ohlašovatelé do IRZ nemají pevně stanoven termín, do jaké doby je možno zasílat opravy hlášení. Z tohoto důvodu se mohou údaje v průběhu roku měnit.</w:t>
      </w:r>
    </w:p>
  </w:footnote>
  <w:footnote w:id="52">
    <w:p w:rsidR="00234ED0" w:rsidRDefault="00234ED0" w:rsidP="00242EDF">
      <w:pPr>
        <w:pStyle w:val="Textpoznpodarou"/>
      </w:pPr>
      <w:r w:rsidRPr="00E10D8F">
        <w:rPr>
          <w:rStyle w:val="Znakapoznpodarou"/>
          <w:i/>
        </w:rPr>
        <w:footnoteRef/>
      </w:r>
      <w:r>
        <w:tab/>
        <w:t>V ohlašovacím roce 2013 stejně jako v ohlašovacím roce 2012 nebyly překročeny prahové hodnoty pro úniky oxidu dusíku (100 000 kg/rok) ani oxidu uhelnatého (500 000 kg/rok). Ohlášení množství stejného nebo nižšího je dobrovolné, proto jej ohlásilo pouze několik provozoven. Uvedené hodnoty jsou tedy součtem jen několika ohlášení podlimitních hodnot.</w:t>
      </w:r>
    </w:p>
  </w:footnote>
  <w:footnote w:id="53">
    <w:p w:rsidR="00234ED0" w:rsidRDefault="00234ED0" w:rsidP="00242EDF">
      <w:pPr>
        <w:pStyle w:val="Textpoznpodarou"/>
      </w:pPr>
      <w:r w:rsidRPr="00E10D8F">
        <w:rPr>
          <w:rStyle w:val="Znakapoznpodarou"/>
          <w:i/>
        </w:rPr>
        <w:footnoteRef/>
      </w:r>
      <w:r>
        <w:tab/>
      </w:r>
      <w:r w:rsidRPr="007D1492">
        <w:t>Na základě požadavku ČHMU došlo v roce 2014 k přehodnocení emisních faktorů používaných pro výpočet národních emisních bilancí amoniaku.</w:t>
      </w:r>
    </w:p>
  </w:footnote>
  <w:footnote w:id="54">
    <w:p w:rsidR="00234ED0" w:rsidRDefault="00234ED0" w:rsidP="00242EDF">
      <w:pPr>
        <w:pStyle w:val="Textpoznpodarou"/>
      </w:pPr>
      <w:r w:rsidRPr="00E10D8F">
        <w:rPr>
          <w:rStyle w:val="Znakapoznpodarou"/>
          <w:i/>
        </w:rPr>
        <w:footnoteRef/>
      </w:r>
      <w:r w:rsidRPr="00FA6ABA">
        <w:tab/>
      </w:r>
      <w:r>
        <w:t xml:space="preserve">Údaje z roku 2012, kdy proběhlo poslední šetření tohoto ukazatele. </w:t>
      </w:r>
      <w:r w:rsidRPr="00FA6ABA">
        <w:t>Dle dřívějšího hodnocení (vyhláška MZ</w:t>
      </w:r>
      <w:r>
        <w:t> </w:t>
      </w:r>
      <w:r w:rsidRPr="00FA6ABA">
        <w:t xml:space="preserve">53/2002 Sb.) byl limit </w:t>
      </w:r>
      <w:proofErr w:type="spellStart"/>
      <w:r w:rsidRPr="00FA6ABA">
        <w:t>Hg</w:t>
      </w:r>
      <w:proofErr w:type="spellEnd"/>
      <w:r w:rsidRPr="00FA6ABA">
        <w:t xml:space="preserve"> 5mg/kg v sušin. Vyhláška 272/2008 udává limit pouze 0,1mg/kg v sušině.</w:t>
      </w:r>
    </w:p>
  </w:footnote>
  <w:footnote w:id="55">
    <w:p w:rsidR="00234ED0" w:rsidRDefault="00234ED0" w:rsidP="00242EDF">
      <w:pPr>
        <w:pStyle w:val="Textpoznpodarou"/>
      </w:pPr>
      <w:r w:rsidRPr="00E10D8F">
        <w:rPr>
          <w:rStyle w:val="Znakapoznpodarou"/>
          <w:i/>
        </w:rPr>
        <w:footnoteRef/>
      </w:r>
      <w:r w:rsidRPr="00FA6ABA">
        <w:tab/>
        <w:t>Chemická spotřeba kyslíku (manganová).</w:t>
      </w:r>
    </w:p>
  </w:footnote>
  <w:footnote w:id="56">
    <w:p w:rsidR="00234ED0" w:rsidRDefault="00234ED0" w:rsidP="00242EDF">
      <w:pPr>
        <w:pStyle w:val="Textpoznpodarou"/>
      </w:pPr>
      <w:r w:rsidRPr="00E10D8F">
        <w:rPr>
          <w:rStyle w:val="Znakapoznpodarou"/>
          <w:i/>
        </w:rPr>
        <w:footnoteRef/>
      </w:r>
      <w:r w:rsidRPr="00D12EC2">
        <w:tab/>
        <w:t xml:space="preserve">V porovnání výsledků s rokem </w:t>
      </w:r>
      <w:r>
        <w:t xml:space="preserve">2014 </w:t>
      </w:r>
      <w:r w:rsidRPr="00D12EC2">
        <w:t>došlo k mírnému poklesu rozborů překračujících limity stanovené nitrátovou směrnicí.</w:t>
      </w:r>
    </w:p>
  </w:footnote>
  <w:footnote w:id="57">
    <w:p w:rsidR="00234ED0" w:rsidRDefault="00234ED0" w:rsidP="00242EDF">
      <w:pPr>
        <w:pStyle w:val="Textpoznpodarou"/>
      </w:pPr>
      <w:r w:rsidRPr="00E10D8F">
        <w:rPr>
          <w:rStyle w:val="Znakapoznpodarou"/>
          <w:i/>
        </w:rPr>
        <w:footnoteRef/>
      </w:r>
      <w:r w:rsidRPr="00FA6ABA">
        <w:tab/>
        <w:t>Výrazné snížení oproti předchozímu roku bylo způsobeno navýšením požadavků v roce 2011 o 101 mil. Kč. Tyto požadavky byly sice podány formou žádosti za omeze</w:t>
      </w:r>
      <w:r>
        <w:t>ní zemědělského hospodaření na o. p.</w:t>
      </w:r>
      <w:r w:rsidRPr="00FA6ABA">
        <w:t>, ale ve skutečnosti žadatel žádal finanční kompenzací za nemožnost hospodářského výdělku za roky 2008-2011.</w:t>
      </w:r>
    </w:p>
  </w:footnote>
  <w:footnote w:id="58">
    <w:p w:rsidR="00234ED0" w:rsidRDefault="00234ED0" w:rsidP="00274821">
      <w:pPr>
        <w:pStyle w:val="Textpoznpodarou"/>
      </w:pPr>
      <w:r w:rsidRPr="00E10D8F">
        <w:rPr>
          <w:rStyle w:val="Znakapoznpodarou"/>
          <w:i/>
        </w:rPr>
        <w:footnoteRef/>
      </w:r>
      <w:r>
        <w:tab/>
        <w:t>Z toho 4,3 mil. Kč bude proplaceno až v roce 2015.</w:t>
      </w:r>
    </w:p>
  </w:footnote>
  <w:footnote w:id="59">
    <w:p w:rsidR="00234ED0" w:rsidRDefault="00234ED0" w:rsidP="00242EDF">
      <w:pPr>
        <w:pStyle w:val="Textpoznpodarou"/>
      </w:pPr>
      <w:r w:rsidRPr="00E10D8F">
        <w:rPr>
          <w:rStyle w:val="Znakapoznpodarou"/>
          <w:i/>
        </w:rPr>
        <w:footnoteRef/>
      </w:r>
      <w:r>
        <w:tab/>
        <w:t>Jedná se o Operační program – Životní prostředí, který běží v gesci Ministerstva životního prostředí ČR.</w:t>
      </w:r>
    </w:p>
  </w:footnote>
  <w:footnote w:id="60">
    <w:p w:rsidR="00234ED0" w:rsidRDefault="00234ED0" w:rsidP="00242EDF">
      <w:pPr>
        <w:pStyle w:val="Textpoznpodarou"/>
      </w:pPr>
      <w:r w:rsidRPr="00E10D8F">
        <w:rPr>
          <w:rStyle w:val="Znakapoznpodarou"/>
          <w:i/>
        </w:rPr>
        <w:footnoteRef/>
      </w:r>
      <w:r>
        <w:tab/>
        <w:t>Jedná se o finanční nástroj úzce zaměřený na životní prostředí.</w:t>
      </w:r>
      <w:r w:rsidRPr="00B81FE3">
        <w:t xml:space="preserve"> </w:t>
      </w:r>
      <w:r>
        <w:t xml:space="preserve">Program LIFE+ se skládá </w:t>
      </w:r>
      <w:proofErr w:type="gramStart"/>
      <w:r>
        <w:t>ze</w:t>
      </w:r>
      <w:proofErr w:type="gramEnd"/>
      <w:r>
        <w:t xml:space="preserve"> 3 částí nazvaných „LIFE+ Příroda a biologická rozmanitost“, „LIFE+ Politika a správa v oblasti životního prostředí“ a „LIFE+ Informace a komunikace“. Žádosti se předkládají na národní kontaktní místo, kterým je pro ČR Ministerstvo životního prostředí, proces posuzování však probíhá na evropské úrovni.</w:t>
      </w:r>
    </w:p>
  </w:footnote>
  <w:footnote w:id="61">
    <w:p w:rsidR="00234ED0" w:rsidRDefault="00234ED0" w:rsidP="00242EDF">
      <w:pPr>
        <w:pStyle w:val="Textpoznpodarou"/>
      </w:pPr>
      <w:r w:rsidRPr="00E10D8F">
        <w:rPr>
          <w:rStyle w:val="Znakapoznpodarou"/>
          <w:i/>
        </w:rPr>
        <w:footnoteRef/>
      </w:r>
      <w:r>
        <w:tab/>
      </w:r>
      <w:r w:rsidRPr="00432D11">
        <w:t>Dle údajů z Registru ekologických podnikatelů (REP) k 31. 12. 2014 (data stažena 8. 4. 2015</w:t>
      </w:r>
      <w:r>
        <w:t>)</w:t>
      </w:r>
      <w:r w:rsidRPr="00432D11">
        <w:t>. Dle údajů MZe bylo 4 023 ekologických zemědělců.</w:t>
      </w:r>
    </w:p>
  </w:footnote>
  <w:footnote w:id="62">
    <w:p w:rsidR="00234ED0" w:rsidRDefault="00234ED0" w:rsidP="00242EDF">
      <w:pPr>
        <w:pStyle w:val="Textpoznpodarou"/>
      </w:pPr>
      <w:r w:rsidRPr="00E10D8F">
        <w:rPr>
          <w:rStyle w:val="Znakapoznpodarou"/>
          <w:i/>
        </w:rPr>
        <w:footnoteRef/>
      </w:r>
      <w:r>
        <w:tab/>
        <w:t>Údaje o produkci za rok 2014 nejsou ještě k dispozici.</w:t>
      </w:r>
    </w:p>
  </w:footnote>
  <w:footnote w:id="63">
    <w:p w:rsidR="00234ED0" w:rsidRPr="00150738" w:rsidRDefault="00234ED0" w:rsidP="003B7071">
      <w:pPr>
        <w:pStyle w:val="Textpoznpodarou"/>
      </w:pPr>
      <w:r w:rsidRPr="00E10D8F">
        <w:rPr>
          <w:rStyle w:val="Znakapoznpodarou"/>
          <w:i/>
        </w:rPr>
        <w:footnoteRef/>
      </w:r>
      <w:r w:rsidRPr="00150738">
        <w:rPr>
          <w:i w:val="0"/>
        </w:rPr>
        <w:tab/>
      </w:r>
      <w:r>
        <w:t xml:space="preserve">Pramen: </w:t>
      </w:r>
      <w:proofErr w:type="spellStart"/>
      <w:r>
        <w:t>Incoma</w:t>
      </w:r>
      <w:proofErr w:type="spellEnd"/>
      <w:r>
        <w:t xml:space="preserve"> </w:t>
      </w:r>
      <w:proofErr w:type="spellStart"/>
      <w:r>
        <w:t>GfK</w:t>
      </w:r>
      <w:proofErr w:type="spellEnd"/>
      <w:r>
        <w:t>.</w:t>
      </w:r>
    </w:p>
  </w:footnote>
  <w:footnote w:id="64">
    <w:p w:rsidR="00234ED0" w:rsidRPr="00150738" w:rsidRDefault="00234ED0" w:rsidP="003B7071">
      <w:pPr>
        <w:pStyle w:val="Textpoznpodarou"/>
      </w:pPr>
      <w:r w:rsidRPr="00E10D8F">
        <w:rPr>
          <w:rStyle w:val="Znakapoznpodarou"/>
          <w:i/>
        </w:rPr>
        <w:footnoteRef/>
      </w:r>
      <w:r w:rsidRPr="00150738">
        <w:tab/>
        <w:t xml:space="preserve">Pramen: Shopping monitor, </w:t>
      </w:r>
      <w:proofErr w:type="spellStart"/>
      <w:r w:rsidRPr="00150738">
        <w:t>Incoma</w:t>
      </w:r>
      <w:proofErr w:type="spellEnd"/>
      <w:r w:rsidRPr="00150738">
        <w:t xml:space="preserve"> </w:t>
      </w:r>
      <w:proofErr w:type="spellStart"/>
      <w:r w:rsidRPr="00150738">
        <w:t>GfK</w:t>
      </w:r>
      <w:proofErr w:type="spellEnd"/>
      <w:r w:rsidRPr="00150738">
        <w:t>.</w:t>
      </w:r>
    </w:p>
  </w:footnote>
  <w:footnote w:id="65">
    <w:p w:rsidR="00234ED0" w:rsidRPr="00150738" w:rsidRDefault="00234ED0" w:rsidP="003B7071">
      <w:pPr>
        <w:pStyle w:val="Textpoznpodarou"/>
      </w:pPr>
      <w:r w:rsidRPr="00E10D8F">
        <w:rPr>
          <w:rStyle w:val="Znakapoznpodarou"/>
          <w:i/>
        </w:rPr>
        <w:footnoteRef/>
      </w:r>
      <w:r w:rsidRPr="00150738">
        <w:tab/>
        <w:t xml:space="preserve">Zahrnuje hypermarkety, supermarkety i </w:t>
      </w:r>
      <w:proofErr w:type="spellStart"/>
      <w:r w:rsidRPr="00150738">
        <w:t>convenience</w:t>
      </w:r>
      <w:proofErr w:type="spellEnd"/>
      <w:r w:rsidRPr="00150738">
        <w:t xml:space="preserve"> prodejny.</w:t>
      </w:r>
    </w:p>
  </w:footnote>
  <w:footnote w:id="66">
    <w:p w:rsidR="00234ED0" w:rsidRPr="00150738" w:rsidRDefault="00234ED0" w:rsidP="003B7071">
      <w:pPr>
        <w:pStyle w:val="Textpoznpodarou"/>
      </w:pPr>
      <w:r w:rsidRPr="00E10D8F">
        <w:rPr>
          <w:rStyle w:val="Znakapoznpodarou"/>
          <w:i/>
        </w:rPr>
        <w:footnoteRef/>
      </w:r>
      <w:r w:rsidRPr="00150738">
        <w:tab/>
        <w:t>Zahrnuje hypermarkety i supermarkety.</w:t>
      </w:r>
    </w:p>
  </w:footnote>
  <w:footnote w:id="67">
    <w:p w:rsidR="00234ED0" w:rsidRPr="00150738" w:rsidRDefault="00234ED0" w:rsidP="003B7071">
      <w:pPr>
        <w:pStyle w:val="Textpoznpodarou"/>
      </w:pPr>
      <w:r w:rsidRPr="00E10D8F">
        <w:rPr>
          <w:rStyle w:val="Znakapoznpodarou"/>
          <w:i/>
        </w:rPr>
        <w:footnoteRef/>
      </w:r>
      <w:r w:rsidRPr="00150738">
        <w:tab/>
        <w:t>Pramen TOP</w:t>
      </w:r>
      <w:r>
        <w:t xml:space="preserve"> 30 českého obchodu, </w:t>
      </w:r>
      <w:proofErr w:type="spellStart"/>
      <w:r>
        <w:t>Incoma</w:t>
      </w:r>
      <w:proofErr w:type="spellEnd"/>
      <w:r>
        <w:t xml:space="preserve"> </w:t>
      </w:r>
      <w:proofErr w:type="spellStart"/>
      <w:r>
        <w:t>GfK</w:t>
      </w:r>
      <w:proofErr w:type="spellEnd"/>
      <w:r>
        <w:t>, obchodní rejstřík, údaje dostupné k 15. 1. 2015.</w:t>
      </w:r>
    </w:p>
  </w:footnote>
  <w:footnote w:id="68">
    <w:p w:rsidR="00234ED0" w:rsidRPr="00150738" w:rsidRDefault="00234ED0" w:rsidP="003B7071">
      <w:pPr>
        <w:pStyle w:val="Textpoznpodarou"/>
      </w:pPr>
      <w:r w:rsidRPr="00E10D8F">
        <w:rPr>
          <w:rStyle w:val="Znakapoznpodarou"/>
          <w:i/>
        </w:rPr>
        <w:footnoteRef/>
      </w:r>
      <w:r w:rsidRPr="00150738">
        <w:tab/>
        <w:t xml:space="preserve">Za období </w:t>
      </w:r>
      <w:r w:rsidRPr="00150738">
        <w:rPr>
          <w:bCs/>
          <w:color w:val="272627"/>
        </w:rPr>
        <w:t>1. 3. 201</w:t>
      </w:r>
      <w:r>
        <w:rPr>
          <w:bCs/>
          <w:color w:val="272627"/>
        </w:rPr>
        <w:t>3-</w:t>
      </w:r>
      <w:r w:rsidRPr="00150738">
        <w:rPr>
          <w:bCs/>
          <w:color w:val="272627"/>
        </w:rPr>
        <w:t>2</w:t>
      </w:r>
      <w:r>
        <w:rPr>
          <w:bCs/>
          <w:color w:val="272627"/>
        </w:rPr>
        <w:t>8</w:t>
      </w:r>
      <w:r w:rsidRPr="00150738">
        <w:rPr>
          <w:bCs/>
          <w:color w:val="272627"/>
        </w:rPr>
        <w:t>. 2. 201</w:t>
      </w:r>
      <w:r>
        <w:rPr>
          <w:bCs/>
          <w:color w:val="272627"/>
        </w:rPr>
        <w:t>4</w:t>
      </w:r>
      <w:r w:rsidRPr="00150738">
        <w:rPr>
          <w:bCs/>
          <w:color w:val="272627"/>
        </w:rPr>
        <w:t>.</w:t>
      </w:r>
    </w:p>
  </w:footnote>
  <w:footnote w:id="69">
    <w:p w:rsidR="00234ED0" w:rsidRPr="00150738" w:rsidRDefault="00234ED0" w:rsidP="003B7071">
      <w:pPr>
        <w:pStyle w:val="Textpoznpodarou"/>
      </w:pPr>
      <w:r w:rsidRPr="00E10D8F">
        <w:rPr>
          <w:rStyle w:val="Znakapoznpodarou"/>
          <w:i/>
        </w:rPr>
        <w:footnoteRef/>
      </w:r>
      <w:r w:rsidRPr="00150738">
        <w:rPr>
          <w:rFonts w:ascii="HelveticaNeueLTPro-MdCn" w:hAnsi="HelveticaNeueLTPro-MdCn" w:cs="HelveticaNeueLTPro-MdCn"/>
          <w:bCs/>
          <w:color w:val="272627"/>
        </w:rPr>
        <w:tab/>
      </w:r>
      <w:r w:rsidRPr="00150738">
        <w:t xml:space="preserve">Za období </w:t>
      </w:r>
      <w:r>
        <w:rPr>
          <w:bCs/>
          <w:color w:val="272627"/>
        </w:rPr>
        <w:t>1. 3. 2012-</w:t>
      </w:r>
      <w:r w:rsidRPr="00150738">
        <w:rPr>
          <w:bCs/>
          <w:color w:val="272627"/>
        </w:rPr>
        <w:t>28. 2. 2013. Zahrnuje Tesco Expres, Tesco hypermarket, Tesco OD, Tesco supermarket.</w:t>
      </w:r>
    </w:p>
  </w:footnote>
  <w:footnote w:id="70">
    <w:p w:rsidR="00234ED0" w:rsidRPr="00150738" w:rsidRDefault="00234ED0" w:rsidP="003B7071">
      <w:pPr>
        <w:pStyle w:val="Textpoznpodarou"/>
      </w:pPr>
      <w:r w:rsidRPr="00E10D8F">
        <w:rPr>
          <w:rStyle w:val="Znakapoznpodarou"/>
          <w:i/>
        </w:rPr>
        <w:footnoteRef/>
      </w:r>
      <w:r w:rsidRPr="00150738">
        <w:tab/>
        <w:t xml:space="preserve">Za období </w:t>
      </w:r>
      <w:r w:rsidRPr="00150738">
        <w:rPr>
          <w:bCs/>
          <w:color w:val="272627"/>
        </w:rPr>
        <w:t>1. 1. 201</w:t>
      </w:r>
      <w:r>
        <w:rPr>
          <w:bCs/>
          <w:color w:val="272627"/>
        </w:rPr>
        <w:t>3-</w:t>
      </w:r>
      <w:r w:rsidRPr="00150738">
        <w:rPr>
          <w:bCs/>
          <w:color w:val="272627"/>
        </w:rPr>
        <w:t>31. 12. 201</w:t>
      </w:r>
      <w:r>
        <w:rPr>
          <w:bCs/>
          <w:color w:val="272627"/>
        </w:rPr>
        <w:t>3</w:t>
      </w:r>
      <w:r w:rsidRPr="00150738">
        <w:t>. Zahrnuje Albert hypermarket a Albert supermarket.</w:t>
      </w:r>
    </w:p>
  </w:footnote>
  <w:footnote w:id="71">
    <w:p w:rsidR="00234ED0" w:rsidRPr="00150738" w:rsidRDefault="00234ED0" w:rsidP="003B7071">
      <w:pPr>
        <w:pStyle w:val="Textpoznpodarou"/>
      </w:pPr>
      <w:r w:rsidRPr="00E10D8F">
        <w:rPr>
          <w:rStyle w:val="Znakapoznpodarou"/>
          <w:i/>
        </w:rPr>
        <w:footnoteRef/>
      </w:r>
      <w:r w:rsidRPr="00150738">
        <w:tab/>
        <w:t xml:space="preserve">Za období </w:t>
      </w:r>
      <w:r w:rsidRPr="00150738">
        <w:rPr>
          <w:bCs/>
          <w:color w:val="272627"/>
        </w:rPr>
        <w:t>1. 1. 201</w:t>
      </w:r>
      <w:r>
        <w:rPr>
          <w:bCs/>
          <w:color w:val="272627"/>
        </w:rPr>
        <w:t>3</w:t>
      </w:r>
      <w:r w:rsidRPr="00150738">
        <w:rPr>
          <w:bCs/>
          <w:color w:val="272627"/>
        </w:rPr>
        <w:t>–31. 12. 201</w:t>
      </w:r>
      <w:r>
        <w:rPr>
          <w:bCs/>
          <w:color w:val="272627"/>
        </w:rPr>
        <w:t>3</w:t>
      </w:r>
      <w:r>
        <w:t>.</w:t>
      </w:r>
    </w:p>
  </w:footnote>
  <w:footnote w:id="72">
    <w:p w:rsidR="00234ED0" w:rsidRPr="00150738" w:rsidRDefault="00234ED0" w:rsidP="003B7071">
      <w:pPr>
        <w:pStyle w:val="Textpoznpodarou"/>
      </w:pPr>
      <w:r w:rsidRPr="00E10D8F">
        <w:rPr>
          <w:rStyle w:val="Znakapoznpodarou"/>
          <w:i/>
        </w:rPr>
        <w:footnoteRef/>
      </w:r>
      <w:r w:rsidRPr="00150738">
        <w:tab/>
        <w:t xml:space="preserve">Za období </w:t>
      </w:r>
      <w:r w:rsidRPr="00150738">
        <w:rPr>
          <w:bCs/>
          <w:color w:val="272627"/>
        </w:rPr>
        <w:t>1. 1. 201</w:t>
      </w:r>
      <w:r>
        <w:rPr>
          <w:bCs/>
          <w:color w:val="272627"/>
        </w:rPr>
        <w:t>2</w:t>
      </w:r>
      <w:r w:rsidRPr="00150738">
        <w:rPr>
          <w:bCs/>
          <w:color w:val="272627"/>
        </w:rPr>
        <w:t>–31. 12. 201</w:t>
      </w:r>
      <w:r>
        <w:rPr>
          <w:bCs/>
          <w:color w:val="272627"/>
        </w:rPr>
        <w:t>2</w:t>
      </w:r>
      <w:r w:rsidRPr="00150738">
        <w:t xml:space="preserve">. Zahrnuje Makro a Drive </w:t>
      </w:r>
      <w:proofErr w:type="gramStart"/>
      <w:r w:rsidRPr="00150738">
        <w:t>in</w:t>
      </w:r>
      <w:proofErr w:type="gramEnd"/>
      <w:r w:rsidRPr="00150738">
        <w:t>.</w:t>
      </w:r>
    </w:p>
  </w:footnote>
  <w:footnote w:id="73">
    <w:p w:rsidR="00234ED0" w:rsidRPr="00C75201" w:rsidRDefault="00234ED0" w:rsidP="003B7071">
      <w:pPr>
        <w:pStyle w:val="Textpoznpodarou"/>
      </w:pPr>
      <w:r w:rsidRPr="00E10D8F">
        <w:rPr>
          <w:rStyle w:val="Znakapoznpodarou"/>
          <w:i/>
        </w:rPr>
        <w:footnoteRef/>
      </w:r>
      <w:r>
        <w:tab/>
      </w:r>
      <w:r w:rsidRPr="00C75201">
        <w:t xml:space="preserve">Samoobslužná prodejní jednotka s více než </w:t>
      </w:r>
      <w:smartTag w:uri="urn:schemas-microsoft-com:office:smarttags" w:element="metricconverter">
        <w:smartTagPr>
          <w:attr w:name="ProductID" w:val="2ﾠ500ﾠm2"/>
        </w:smartTagPr>
        <w:r w:rsidRPr="00C75201">
          <w:t>2 500 m</w:t>
        </w:r>
        <w:r w:rsidRPr="00C75201">
          <w:rPr>
            <w:vertAlign w:val="superscript"/>
          </w:rPr>
          <w:t>2</w:t>
        </w:r>
      </w:smartTag>
      <w:r w:rsidRPr="00C75201">
        <w:t xml:space="preserve"> prodejní plochy, výrazné zastoupení m</w:t>
      </w:r>
      <w:r>
        <w:t>á</w:t>
      </w:r>
      <w:r w:rsidRPr="00C75201">
        <w:t xml:space="preserve"> nepotravinářsk</w:t>
      </w:r>
      <w:r>
        <w:t>ý</w:t>
      </w:r>
      <w:r w:rsidRPr="00C75201">
        <w:t xml:space="preserve"> sortiment, s více než 18 pokladnami.</w:t>
      </w:r>
    </w:p>
  </w:footnote>
  <w:footnote w:id="74">
    <w:p w:rsidR="00234ED0" w:rsidRPr="00C75201" w:rsidRDefault="00234ED0" w:rsidP="003B7071">
      <w:pPr>
        <w:pStyle w:val="Textpoznpodarou"/>
      </w:pPr>
      <w:r w:rsidRPr="00E10D8F">
        <w:rPr>
          <w:rStyle w:val="Znakapoznpodarou"/>
          <w:i/>
        </w:rPr>
        <w:footnoteRef/>
      </w:r>
      <w:r w:rsidRPr="00C75201">
        <w:tab/>
        <w:t>Samoobslužná prodejní jednotka, zcela převažuje rychloobrátkové zboží, prodejní plocha odpovídá supermarketům, je zde výrazně omezen sortiment a snížená cenová úroveň.</w:t>
      </w:r>
    </w:p>
  </w:footnote>
  <w:footnote w:id="75">
    <w:p w:rsidR="00234ED0" w:rsidRPr="00C75201" w:rsidRDefault="00234ED0" w:rsidP="003B7071">
      <w:pPr>
        <w:pStyle w:val="Textpoznpodarou"/>
        <w:rPr>
          <w:i w:val="0"/>
        </w:rPr>
      </w:pPr>
      <w:r w:rsidRPr="00E10D8F">
        <w:rPr>
          <w:rStyle w:val="Znakapoznpodarou"/>
          <w:i/>
        </w:rPr>
        <w:footnoteRef/>
      </w:r>
      <w:r w:rsidRPr="00C75201">
        <w:tab/>
        <w:t>Samoobslužná prodejní jednotka se 401</w:t>
      </w:r>
      <w:r w:rsidRPr="00C75201">
        <w:noBreakHyphen/>
        <w:t>2 500 m</w:t>
      </w:r>
      <w:r w:rsidRPr="00F61F26">
        <w:rPr>
          <w:vertAlign w:val="superscript"/>
        </w:rPr>
        <w:t>2</w:t>
      </w:r>
      <w:r w:rsidRPr="00C75201">
        <w:t xml:space="preserve"> prodejní plochy, zcela převažuje rychloobrátkové zboží, se 4-18</w:t>
      </w:r>
      <w:r w:rsidRPr="005C4CE1">
        <w:t xml:space="preserve"> pokladnami.</w:t>
      </w:r>
    </w:p>
  </w:footnote>
  <w:footnote w:id="76">
    <w:p w:rsidR="00234ED0" w:rsidRPr="00C75201" w:rsidRDefault="00234ED0" w:rsidP="003B7071">
      <w:pPr>
        <w:pStyle w:val="Textpoznpodarou"/>
        <w:rPr>
          <w:i w:val="0"/>
        </w:rPr>
      </w:pPr>
      <w:r w:rsidRPr="00E10D8F">
        <w:rPr>
          <w:rStyle w:val="Znakapoznpodarou"/>
          <w:i/>
        </w:rPr>
        <w:footnoteRef/>
      </w:r>
      <w:r w:rsidRPr="00C75201">
        <w:rPr>
          <w:i w:val="0"/>
        </w:rPr>
        <w:tab/>
      </w:r>
      <w:r w:rsidRPr="005C4CE1">
        <w:t>Průměrná útrata při jednom nákupu rychloobrátkového zboží v řetězci v průběhu posledních 6 měsíců</w:t>
      </w:r>
      <w:r>
        <w:t>.</w:t>
      </w:r>
    </w:p>
  </w:footnote>
  <w:footnote w:id="77">
    <w:p w:rsidR="00234ED0" w:rsidRPr="003C37E4" w:rsidRDefault="00234ED0" w:rsidP="003B7071">
      <w:pPr>
        <w:pStyle w:val="Textpoznpodarou"/>
        <w:rPr>
          <w:szCs w:val="20"/>
        </w:rPr>
      </w:pPr>
      <w:r w:rsidRPr="00E10D8F">
        <w:rPr>
          <w:rStyle w:val="Znakapoznpodarou"/>
          <w:i/>
        </w:rPr>
        <w:footnoteRef/>
      </w:r>
      <w:r w:rsidRPr="003C37E4">
        <w:rPr>
          <w:szCs w:val="20"/>
        </w:rPr>
        <w:tab/>
      </w:r>
      <w:r w:rsidRPr="003C37E4">
        <w:rPr>
          <w:rFonts w:eastAsia="+mn-ea"/>
          <w:color w:val="000000"/>
          <w:kern w:val="24"/>
          <w:szCs w:val="20"/>
        </w:rPr>
        <w:t xml:space="preserve">Mírou </w:t>
      </w:r>
      <w:r>
        <w:rPr>
          <w:rFonts w:eastAsia="+mn-ea"/>
          <w:color w:val="000000"/>
          <w:kern w:val="24"/>
          <w:szCs w:val="20"/>
        </w:rPr>
        <w:t>„</w:t>
      </w:r>
      <w:r w:rsidRPr="003C37E4">
        <w:rPr>
          <w:rFonts w:eastAsia="+mn-ea"/>
          <w:color w:val="000000"/>
          <w:kern w:val="24"/>
          <w:szCs w:val="20"/>
        </w:rPr>
        <w:t>věrnosti</w:t>
      </w:r>
      <w:r>
        <w:rPr>
          <w:rFonts w:eastAsia="+mn-ea"/>
          <w:color w:val="000000"/>
          <w:kern w:val="24"/>
          <w:szCs w:val="20"/>
        </w:rPr>
        <w:t>“</w:t>
      </w:r>
      <w:r w:rsidRPr="003C37E4">
        <w:rPr>
          <w:rFonts w:eastAsia="+mn-ea"/>
          <w:color w:val="000000"/>
          <w:kern w:val="24"/>
          <w:szCs w:val="20"/>
        </w:rPr>
        <w:t xml:space="preserve"> je podíl z celkových v</w:t>
      </w:r>
      <w:r>
        <w:rPr>
          <w:rFonts w:eastAsia="+mn-ea"/>
          <w:color w:val="000000"/>
          <w:kern w:val="24"/>
          <w:szCs w:val="20"/>
        </w:rPr>
        <w:t>ýdajů za rychloobrátkové zboží.</w:t>
      </w:r>
    </w:p>
  </w:footnote>
  <w:footnote w:id="78">
    <w:p w:rsidR="00234ED0" w:rsidRPr="00313216" w:rsidRDefault="00234ED0" w:rsidP="003B7071">
      <w:pPr>
        <w:pStyle w:val="Textpoznpodarou"/>
      </w:pPr>
      <w:r w:rsidRPr="00E10D8F">
        <w:rPr>
          <w:rStyle w:val="Znakapoznpodarou"/>
          <w:i/>
        </w:rPr>
        <w:footnoteRef/>
      </w:r>
      <w:r w:rsidRPr="00FB5BF8">
        <w:rPr>
          <w:rStyle w:val="Znakapoznpodarou"/>
          <w:sz w:val="20"/>
          <w:szCs w:val="20"/>
          <w:vertAlign w:val="baseline"/>
        </w:rPr>
        <w:tab/>
      </w:r>
      <w:r w:rsidRPr="00313216">
        <w:t>Měří stabilitu značky na trhu (odolnost vůči výkyvům tržního prostředí a tlaku</w:t>
      </w:r>
      <w:r w:rsidRPr="00313216">
        <w:rPr>
          <w:rFonts w:eastAsia="+mn-ea"/>
        </w:rPr>
        <w:t xml:space="preserve"> konkurence) a je měřena pomocí 4 proměnných; z jednotlivých otázek je vypočten </w:t>
      </w:r>
      <w:r>
        <w:rPr>
          <w:rFonts w:eastAsia="+mn-ea"/>
        </w:rPr>
        <w:t>„</w:t>
      </w:r>
      <w:r w:rsidRPr="00313216">
        <w:rPr>
          <w:rFonts w:eastAsia="+mn-ea"/>
        </w:rPr>
        <w:t>Index důvěry</w:t>
      </w:r>
      <w:r>
        <w:rPr>
          <w:rFonts w:eastAsia="+mn-ea"/>
        </w:rPr>
        <w:t>“</w:t>
      </w:r>
      <w:r w:rsidRPr="00313216">
        <w:rPr>
          <w:rFonts w:eastAsia="+mn-ea"/>
        </w:rPr>
        <w:t>.</w:t>
      </w:r>
    </w:p>
  </w:footnote>
  <w:footnote w:id="79">
    <w:p w:rsidR="00234ED0" w:rsidRDefault="00234ED0" w:rsidP="003B7071">
      <w:pPr>
        <w:pStyle w:val="Textpoznpodarou"/>
      </w:pPr>
      <w:r w:rsidRPr="00E10D8F">
        <w:rPr>
          <w:rStyle w:val="Znakapoznpodarou"/>
          <w:i/>
        </w:rPr>
        <w:footnoteRef/>
      </w:r>
      <w:r w:rsidRPr="003C37E4">
        <w:rPr>
          <w:szCs w:val="20"/>
        </w:rPr>
        <w:tab/>
      </w:r>
      <w:proofErr w:type="spellStart"/>
      <w:r w:rsidRPr="003C37E4">
        <w:rPr>
          <w:rFonts w:eastAsia="+mn-ea"/>
          <w:color w:val="000000"/>
          <w:kern w:val="24"/>
          <w:szCs w:val="20"/>
        </w:rPr>
        <w:t>PowerBrand</w:t>
      </w:r>
      <w:proofErr w:type="spellEnd"/>
      <w:r w:rsidRPr="003C37E4">
        <w:rPr>
          <w:rFonts w:eastAsia="+mn-ea"/>
          <w:color w:val="000000"/>
          <w:kern w:val="24"/>
          <w:szCs w:val="20"/>
        </w:rPr>
        <w:t xml:space="preserve"> Index </w:t>
      </w:r>
      <w:r>
        <w:rPr>
          <w:rFonts w:eastAsia="+mn-ea"/>
          <w:color w:val="000000"/>
          <w:kern w:val="24"/>
          <w:szCs w:val="20"/>
        </w:rPr>
        <w:t xml:space="preserve">(PBI) </w:t>
      </w:r>
      <w:r w:rsidRPr="003C37E4">
        <w:rPr>
          <w:rFonts w:eastAsia="+mn-ea"/>
          <w:color w:val="000000"/>
          <w:kern w:val="24"/>
          <w:szCs w:val="20"/>
        </w:rPr>
        <w:t>shrnuje do jednoho čísla nejpodstatnější indikátory znalosti, věrnosti a důvěry. Výsledkem je robustní a srovnatelný indikátor pozice značek řetězců pohledem nakupujících. Maximální hodnota PBI</w:t>
      </w:r>
      <w:r>
        <w:rPr>
          <w:rFonts w:eastAsia="+mn-ea"/>
          <w:color w:val="000000"/>
          <w:kern w:val="24"/>
          <w:szCs w:val="20"/>
        </w:rPr>
        <w:t xml:space="preserve"> </w:t>
      </w:r>
      <w:r w:rsidRPr="003C37E4">
        <w:rPr>
          <w:rFonts w:eastAsia="+mn-ea"/>
          <w:color w:val="000000"/>
          <w:kern w:val="24"/>
          <w:szCs w:val="20"/>
        </w:rPr>
        <w:t>je 10 bodů, minimální je 0 bodů.</w:t>
      </w:r>
    </w:p>
  </w:footnote>
  <w:footnote w:id="80">
    <w:p w:rsidR="00234ED0" w:rsidRPr="00C75201" w:rsidRDefault="00234ED0" w:rsidP="003B7071">
      <w:pPr>
        <w:pStyle w:val="Textpoznpodarou"/>
      </w:pPr>
      <w:r w:rsidRPr="00E10D8F">
        <w:rPr>
          <w:rStyle w:val="Znakapoznpodarou"/>
          <w:i/>
        </w:rPr>
        <w:footnoteRef/>
      </w:r>
      <w:r w:rsidRPr="00C75201">
        <w:tab/>
        <w:t xml:space="preserve">Propočteno z předběžných údajů </w:t>
      </w:r>
      <w:proofErr w:type="gramStart"/>
      <w:r w:rsidRPr="00C75201">
        <w:t>za 1.-4.</w:t>
      </w:r>
      <w:r>
        <w:t> </w:t>
      </w:r>
      <w:r w:rsidRPr="00C75201">
        <w:t>čtvrtletí</w:t>
      </w:r>
      <w:proofErr w:type="gramEnd"/>
      <w:r w:rsidRPr="00C75201">
        <w:t xml:space="preserve"> 201</w:t>
      </w:r>
      <w:r>
        <w:t>4</w:t>
      </w:r>
      <w:r w:rsidRPr="00C75201">
        <w:t>, rodinné účty ČSÚ.</w:t>
      </w:r>
    </w:p>
  </w:footnote>
  <w:footnote w:id="81">
    <w:p w:rsidR="00234ED0" w:rsidRPr="00313216" w:rsidRDefault="00234ED0" w:rsidP="003B7071">
      <w:pPr>
        <w:pStyle w:val="Textpoznpodarou"/>
      </w:pPr>
      <w:r w:rsidRPr="00E10D8F">
        <w:rPr>
          <w:rStyle w:val="Znakapoznpodarou"/>
          <w:i/>
        </w:rPr>
        <w:footnoteRef/>
      </w:r>
      <w:r>
        <w:tab/>
      </w:r>
      <w:r w:rsidRPr="00313216">
        <w:t>Vzhledem k připomínkám o možnosti srovnání výpočtů spotřeby mléka a mléčných výrobků v hodnotě mléka bez másla, vyjádřené v kg/obyv./rok, uvádíme údaje o spotřebě v členění, jaké je publikováno v Eurostatu. Při výrobkové bilanci se vychází z údajů o potravinářské výrobě. Problém přepočtu na surovinu může nastat u přírodních sýrů, a to jak vyrobených v ČR, tak zejména z dovozu. Ve výrobě či dovozu mohou být značné rozdíly v sortimentu, vliv má i zohlednění konečných zásob. Proto EU uvádí jen spotřebu čerstvých mléčných výrobků (tj. veškerých mléčných výrobků bez sýrů, tvarohů a mléčných konzerv přepočtených na potřebu mléka nezbytnou na jejich výrobu) a spotřebu sýrů (včetně tvarohů) v kg/obyv./rok.</w:t>
      </w:r>
    </w:p>
  </w:footnote>
  <w:footnote w:id="82">
    <w:p w:rsidR="00234ED0" w:rsidRPr="00313216" w:rsidRDefault="00234ED0" w:rsidP="003B7071">
      <w:pPr>
        <w:pStyle w:val="Textpoznpodarou"/>
      </w:pPr>
      <w:r w:rsidRPr="00E10D8F">
        <w:rPr>
          <w:rStyle w:val="Znakapoznpodarou"/>
          <w:i/>
        </w:rPr>
        <w:footnoteRef/>
      </w:r>
      <w:r>
        <w:tab/>
        <w:t xml:space="preserve">Údaje statistiky rodinných účtů </w:t>
      </w:r>
      <w:r w:rsidRPr="00313216">
        <w:t xml:space="preserve">ČSÚ </w:t>
      </w:r>
      <w:proofErr w:type="gramStart"/>
      <w:r w:rsidRPr="00313216">
        <w:t>za 1.-4. čtvrtletí</w:t>
      </w:r>
      <w:proofErr w:type="gramEnd"/>
      <w:r w:rsidRPr="00313216">
        <w:t xml:space="preserve"> hmotnou spotřebu potravin neuvádějí. Hmotná spotřeba potravin za daný rok je publikována v ročních datech v polovině roku následujícího. Z tohoto důvodu je spotřeba jednotlivých skupin potravin uvedena za rok 2013.</w:t>
      </w:r>
    </w:p>
  </w:footnote>
  <w:footnote w:id="83">
    <w:p w:rsidR="00234ED0" w:rsidRDefault="00234ED0" w:rsidP="003B7071">
      <w:pPr>
        <w:pStyle w:val="Textpoznpodarou"/>
      </w:pPr>
      <w:r w:rsidRPr="00E10D8F">
        <w:rPr>
          <w:rStyle w:val="Znakapoznpodarou"/>
          <w:i/>
        </w:rPr>
        <w:footnoteRef/>
      </w:r>
      <w:r>
        <w:tab/>
      </w:r>
      <w:proofErr w:type="gramStart"/>
      <w:r w:rsidRPr="00E86ED0">
        <w:rPr>
          <w:lang w:val="en-GB"/>
        </w:rPr>
        <w:t>Agriculture and Rural Development, European Commission 2014</w:t>
      </w:r>
      <w:r>
        <w:t>.</w:t>
      </w:r>
      <w:proofErr w:type="gramEnd"/>
    </w:p>
  </w:footnote>
  <w:footnote w:id="84">
    <w:p w:rsidR="00234ED0" w:rsidRDefault="00234ED0" w:rsidP="003B7071">
      <w:pPr>
        <w:pStyle w:val="Textpoznpodarou"/>
      </w:pPr>
      <w:r w:rsidRPr="00E10D8F">
        <w:rPr>
          <w:rStyle w:val="Znakapoznpodarou"/>
          <w:i/>
        </w:rPr>
        <w:footnoteRef/>
      </w:r>
      <w:r>
        <w:tab/>
        <w:t xml:space="preserve">Harmonizovaný index spotřebitelských cen (HICP) měří srovnatelným způsobem inflaci či cenovou hladinu jednotlivých výdajových skupin členských zemí EU. Mezi strukturou spotřebního koše národního indexu spotřebitelských cen ČR a strukturou </w:t>
      </w:r>
      <w:r w:rsidRPr="00CC1299">
        <w:t>spotřebního</w:t>
      </w:r>
      <w:r>
        <w:t xml:space="preserve"> koše HICP jsou určité </w:t>
      </w:r>
      <w:r w:rsidRPr="00081614">
        <w:t>rozdíly. Z tohoto důvod</w:t>
      </w:r>
      <w:r>
        <w:t xml:space="preserve">u </w:t>
      </w:r>
      <w:r w:rsidRPr="00081614">
        <w:t>ne</w:t>
      </w:r>
      <w:r>
        <w:t xml:space="preserve">musí být </w:t>
      </w:r>
      <w:r w:rsidRPr="00081614">
        <w:t>hodnoty obou</w:t>
      </w:r>
      <w:r>
        <w:t xml:space="preserve"> indexů totožné.</w:t>
      </w:r>
    </w:p>
  </w:footnote>
  <w:footnote w:id="85">
    <w:p w:rsidR="00234ED0" w:rsidRDefault="00234ED0" w:rsidP="003B7071">
      <w:pPr>
        <w:pStyle w:val="Textpoznpodarou"/>
      </w:pPr>
      <w:r w:rsidRPr="00E10D8F">
        <w:rPr>
          <w:rStyle w:val="Znakapoznpodarou"/>
          <w:i/>
        </w:rPr>
        <w:footnoteRef/>
      </w:r>
      <w:r>
        <w:tab/>
        <w:t>V</w:t>
      </w:r>
      <w:r w:rsidRPr="00C64FBD">
        <w:t>ýpočty ÚZEI z údajů Eurostatu</w:t>
      </w:r>
      <w:r>
        <w:t>.</w:t>
      </w:r>
    </w:p>
  </w:footnote>
  <w:footnote w:id="86">
    <w:p w:rsidR="00234ED0" w:rsidRDefault="00234ED0" w:rsidP="003B7071">
      <w:pPr>
        <w:pStyle w:val="Textpoznpodarou"/>
      </w:pPr>
      <w:r w:rsidRPr="00E10D8F">
        <w:rPr>
          <w:rStyle w:val="Znakapoznpodarou"/>
          <w:i/>
        </w:rPr>
        <w:footnoteRef/>
      </w:r>
      <w:r>
        <w:tab/>
        <w:t>V</w:t>
      </w:r>
      <w:r w:rsidRPr="00C64FBD">
        <w:t>ýpočty ÚZEI z údajů Eurostatu</w:t>
      </w:r>
      <w:r>
        <w:t>.</w:t>
      </w:r>
    </w:p>
  </w:footnote>
  <w:footnote w:id="87">
    <w:p w:rsidR="00234ED0" w:rsidRDefault="00234ED0" w:rsidP="00425142">
      <w:pPr>
        <w:pStyle w:val="Textpoznpodarou"/>
      </w:pPr>
      <w:r w:rsidRPr="00DE183A">
        <w:rPr>
          <w:rStyle w:val="Znakapoznpodarou"/>
          <w:i/>
        </w:rPr>
        <w:footnoteRef/>
      </w:r>
      <w:r>
        <w:tab/>
        <w:t>Jedná se o subjekty alespoň s 1 ha vlastní nebo najaté z. </w:t>
      </w:r>
      <w:proofErr w:type="gramStart"/>
      <w:r>
        <w:t>p.</w:t>
      </w:r>
      <w:proofErr w:type="gramEnd"/>
      <w:r>
        <w:t xml:space="preserve"> (základní prahová jednotka zjišťování počínaje </w:t>
      </w:r>
      <w:proofErr w:type="spellStart"/>
      <w:r>
        <w:t>Agrocenzem</w:t>
      </w:r>
      <w:proofErr w:type="spellEnd"/>
      <w:r>
        <w:t xml:space="preserve"> 2000) nebo alespoň s 15 ary intenzivních plodin (sady, zelenina, květiny) nebo 10 ary vinic nebo 3 ary skleníků a pařenišť. Část subjektů (podniků) má výměru z. </w:t>
      </w:r>
      <w:proofErr w:type="gramStart"/>
      <w:r>
        <w:t>p.</w:t>
      </w:r>
      <w:proofErr w:type="gramEnd"/>
      <w:r>
        <w:t xml:space="preserve"> pod uvedenými hodnotami, splňuje však požadavky na prahové hodnoty týkající se chovu hospodářských zvířat: alespoň 1 ks skotu nebo 2 ks prasat nebo 4 ks koz a ovcí nebo 50 ks drůbeže, případně alespoň 100 ks králíků nebo kožešinových zvířat.</w:t>
      </w:r>
    </w:p>
  </w:footnote>
  <w:footnote w:id="88">
    <w:p w:rsidR="00234ED0" w:rsidRDefault="00234ED0" w:rsidP="00425142">
      <w:pPr>
        <w:pStyle w:val="Textpoznpodarou"/>
      </w:pPr>
      <w:r w:rsidRPr="00D11B32">
        <w:rPr>
          <w:rStyle w:val="Znakapoznpodarou"/>
          <w:i/>
        </w:rPr>
        <w:footnoteRef/>
      </w:r>
      <w:r>
        <w:tab/>
        <w:t>Podle početního zastoupení se jedná především o společnosti s ručením omezeným a akciové společnosti; v malé míře jsou zastoupeny i veřejné obchodní společnosti a komanditní společnosti.</w:t>
      </w:r>
    </w:p>
  </w:footnote>
  <w:footnote w:id="89">
    <w:p w:rsidR="00234ED0" w:rsidRDefault="00234ED0" w:rsidP="00425142">
      <w:pPr>
        <w:pStyle w:val="Textpoznpodarou"/>
      </w:pPr>
      <w:r w:rsidRPr="00DE183A">
        <w:rPr>
          <w:rStyle w:val="Znakapoznpodarou"/>
          <w:i/>
        </w:rPr>
        <w:footnoteRef/>
      </w:r>
      <w:r>
        <w:tab/>
        <w:t xml:space="preserve">Z důvodu dlouhodobé srovnatelnosti údajů od roku 1995 (viz Zprávy o stavu zemědělství ČR do roku 2010), kdy byly v </w:t>
      </w:r>
      <w:proofErr w:type="spellStart"/>
      <w:r>
        <w:t>Agrocenzu</w:t>
      </w:r>
      <w:proofErr w:type="spellEnd"/>
      <w:r>
        <w:t xml:space="preserve"> prahovou hodnotou </w:t>
      </w:r>
      <w:smartTag w:uri="urn:schemas-microsoft-com:office:smarttags" w:element="metricconverter">
        <w:smartTagPr>
          <w:attr w:name="ProductID" w:val="3ﾠha"/>
        </w:smartTagPr>
        <w:r>
          <w:t>3 ha</w:t>
        </w:r>
      </w:smartTag>
      <w:r>
        <w:t xml:space="preserve"> obhospodařované z. </w:t>
      </w:r>
      <w:proofErr w:type="gramStart"/>
      <w:r>
        <w:t>p.</w:t>
      </w:r>
      <w:proofErr w:type="gramEnd"/>
      <w:r>
        <w:t xml:space="preserve"> V </w:t>
      </w:r>
      <w:proofErr w:type="spellStart"/>
      <w:r>
        <w:t>Agrocenzu</w:t>
      </w:r>
      <w:proofErr w:type="spellEnd"/>
      <w:r>
        <w:t xml:space="preserve"> </w:t>
      </w:r>
      <w:smartTag w:uri="urn:schemas-microsoft-com:office:smarttags" w:element="metricconverter">
        <w:smartTagPr>
          <w:attr w:name="ProductID" w:val="2000 a"/>
        </w:smartTagPr>
        <w:r>
          <w:t>2000 a</w:t>
        </w:r>
      </w:smartTag>
      <w:r>
        <w:t xml:space="preserve"> v následujících zemědělských strukturálních šetřeních byla základní prahová hodnota snížena na 1 ha z. p., ale v šetřeních z roku 2010 i 2013 byla zvýšena na </w:t>
      </w:r>
      <w:smartTag w:uri="urn:schemas-microsoft-com:office:smarttags" w:element="metricconverter">
        <w:smartTagPr>
          <w:attr w:name="ProductID" w:val="5 ha"/>
        </w:smartTagPr>
        <w:r>
          <w:t>5 ha</w:t>
        </w:r>
      </w:smartTag>
      <w:r>
        <w:t>.</w:t>
      </w:r>
    </w:p>
  </w:footnote>
  <w:footnote w:id="90">
    <w:p w:rsidR="00234ED0" w:rsidRDefault="00234ED0" w:rsidP="00425142">
      <w:pPr>
        <w:pStyle w:val="Textpoznpodarou"/>
      </w:pPr>
      <w:r w:rsidRPr="00203E0A">
        <w:rPr>
          <w:rStyle w:val="Znakapoznpodarou"/>
          <w:i/>
        </w:rPr>
        <w:footnoteRef/>
      </w:r>
      <w:r>
        <w:tab/>
        <w:t xml:space="preserve">Evropská </w:t>
      </w:r>
      <w:r w:rsidRPr="00203E0A">
        <w:t>federace</w:t>
      </w:r>
      <w:r>
        <w:t xml:space="preserve"> výrobců krmiv (</w:t>
      </w:r>
      <w:r w:rsidRPr="00E86ED0">
        <w:rPr>
          <w:lang w:val="en-GB"/>
        </w:rPr>
        <w:t>European Feed Manufacturers' Federation</w:t>
      </w:r>
      <w:r>
        <w:t>).</w:t>
      </w:r>
    </w:p>
  </w:footnote>
  <w:footnote w:id="91">
    <w:p w:rsidR="00234ED0" w:rsidRDefault="00234ED0" w:rsidP="00425142">
      <w:pPr>
        <w:pStyle w:val="Textpoznpodarou"/>
      </w:pPr>
      <w:r w:rsidRPr="00203E0A">
        <w:rPr>
          <w:rStyle w:val="Znakapoznpodarou"/>
          <w:i/>
        </w:rPr>
        <w:footnoteRef/>
      </w:r>
      <w:r>
        <w:tab/>
      </w:r>
      <w:r w:rsidRPr="00203E0A">
        <w:t>Položka</w:t>
      </w:r>
      <w:r>
        <w:t xml:space="preserve"> „Ostatní zvířata“ obsahuje ryby, koně, králíky, ovce, kozy, lesní zvěř a zvířata v ZOO.</w:t>
      </w:r>
    </w:p>
  </w:footnote>
  <w:footnote w:id="92">
    <w:p w:rsidR="00234ED0" w:rsidRPr="00020B8D" w:rsidRDefault="00234ED0" w:rsidP="00425142">
      <w:pPr>
        <w:pStyle w:val="Textpoznpodarou"/>
      </w:pPr>
      <w:r w:rsidRPr="00203E0A">
        <w:rPr>
          <w:rStyle w:val="Znakapoznpodarou"/>
          <w:i/>
        </w:rPr>
        <w:footnoteRef/>
      </w:r>
      <w:r>
        <w:tab/>
      </w:r>
      <w:r w:rsidRPr="00020B8D">
        <w:t>V Kč a cizí měně</w:t>
      </w:r>
      <w:r>
        <w:t>.</w:t>
      </w:r>
    </w:p>
  </w:footnote>
  <w:footnote w:id="93">
    <w:p w:rsidR="00234ED0" w:rsidRPr="009332A1" w:rsidRDefault="00234ED0" w:rsidP="00425142">
      <w:pPr>
        <w:pStyle w:val="Textpoznpodarou"/>
      </w:pPr>
      <w:r w:rsidRPr="00203E0A">
        <w:rPr>
          <w:rStyle w:val="Znakapoznpodarou"/>
          <w:i/>
        </w:rPr>
        <w:footnoteRef/>
      </w:r>
      <w:r>
        <w:tab/>
      </w:r>
      <w:r w:rsidRPr="009332A1">
        <w:t>Stav přímých zahraničních investic k 31. 12.</w:t>
      </w:r>
      <w:r>
        <w:t xml:space="preserve"> </w:t>
      </w:r>
      <w:r w:rsidRPr="009332A1">
        <w:t>2013 v ČR v teritoriální struktuře</w:t>
      </w:r>
      <w:r>
        <w:t>.</w:t>
      </w:r>
    </w:p>
  </w:footnote>
  <w:footnote w:id="94">
    <w:p w:rsidR="00234ED0" w:rsidRPr="00495B7E" w:rsidRDefault="00234ED0" w:rsidP="00425142">
      <w:pPr>
        <w:pStyle w:val="Textpoznpodarou"/>
      </w:pPr>
      <w:r w:rsidRPr="00495B7E">
        <w:rPr>
          <w:rStyle w:val="Znakapoznpodarou"/>
          <w:i/>
        </w:rPr>
        <w:footnoteRef/>
      </w:r>
      <w:r>
        <w:tab/>
      </w:r>
      <w:r w:rsidRPr="00495B7E">
        <w:t xml:space="preserve">Investice od </w:t>
      </w:r>
      <w:r w:rsidRPr="00044F4D">
        <w:t>nerezidentů</w:t>
      </w:r>
      <w:r w:rsidRPr="00495B7E">
        <w:t xml:space="preserve"> směřující do ČR</w:t>
      </w:r>
      <w:r>
        <w:t>.</w:t>
      </w:r>
    </w:p>
  </w:footnote>
  <w:footnote w:id="95">
    <w:p w:rsidR="00234ED0" w:rsidRDefault="00234ED0" w:rsidP="00425142">
      <w:pPr>
        <w:pStyle w:val="Textpoznpodarou"/>
      </w:pPr>
      <w:r w:rsidRPr="00203E0A">
        <w:rPr>
          <w:rStyle w:val="Znakapoznpodarou"/>
          <w:i/>
        </w:rPr>
        <w:footnoteRef/>
      </w:r>
      <w:r>
        <w:tab/>
        <w:t>Záporná hodnota je zde z důvodu, že v roce 2014 dosáhly celkové přímé investice do zahraničí záporné hodnoty, tzn., že převážilo stahování investic ze zahraničí nad jejich odlivem do zahraničí.</w:t>
      </w:r>
    </w:p>
  </w:footnote>
  <w:footnote w:id="96">
    <w:p w:rsidR="00234ED0" w:rsidRDefault="00234ED0" w:rsidP="00425142">
      <w:pPr>
        <w:pStyle w:val="Textpoznpodarou"/>
      </w:pPr>
      <w:r w:rsidRPr="00203E0A">
        <w:rPr>
          <w:rStyle w:val="Znakapoznpodarou"/>
          <w:i/>
        </w:rPr>
        <w:footnoteRef/>
      </w:r>
      <w:r>
        <w:tab/>
      </w:r>
      <w:r w:rsidRPr="00B273F3">
        <w:t xml:space="preserve">Prvních šest pojišťoven jsou členy České asociace pojišťoven, která </w:t>
      </w:r>
      <w:r>
        <w:t>za</w:t>
      </w:r>
      <w:r w:rsidRPr="00B273F3">
        <w:t xml:space="preserve"> n</w:t>
      </w:r>
      <w:r>
        <w:t>ě poskytla údaje o pojistném a </w:t>
      </w:r>
      <w:r w:rsidRPr="00B273F3">
        <w:t>pojistném plnění v členění na pojištění plodin a hospodářských zvířat. Agra pojišťovna tyto údaje neposkytla.</w:t>
      </w:r>
    </w:p>
  </w:footnote>
  <w:footnote w:id="97">
    <w:p w:rsidR="00234ED0" w:rsidRDefault="00234ED0" w:rsidP="00425142">
      <w:pPr>
        <w:pStyle w:val="Textpoznpodarou"/>
      </w:pPr>
      <w:r w:rsidRPr="00203E0A">
        <w:rPr>
          <w:rStyle w:val="Znakapoznpodarou"/>
          <w:i/>
        </w:rPr>
        <w:footnoteRef/>
      </w:r>
      <w:r>
        <w:tab/>
        <w:t>Speciálními plodinami se rozumí réva vinná, chmel, ovoce, jahody, konzumní zelenina, okrasné rostliny vč. školek, LAKR a přadné rostliny (len a konopí).</w:t>
      </w:r>
    </w:p>
  </w:footnote>
  <w:footnote w:id="98">
    <w:p w:rsidR="00234ED0" w:rsidRDefault="00234ED0" w:rsidP="00425142">
      <w:pPr>
        <w:pStyle w:val="Textpoznpodarou"/>
      </w:pPr>
      <w:r w:rsidRPr="00424CCA">
        <w:rPr>
          <w:rStyle w:val="Znakapoznpodarou"/>
          <w:i/>
        </w:rPr>
        <w:footnoteRef/>
      </w:r>
      <w:r>
        <w:tab/>
      </w:r>
      <w:r w:rsidRPr="00203E0A">
        <w:t>Soukromé</w:t>
      </w:r>
      <w:r>
        <w:t xml:space="preserve"> pojištění se vztahuje i na případy utracení nebo nutné poražení zvířat v důsledku nebezpečných nákaz kompenzované státem dle zákona č.166/1999 Sb., o veterinární péči. Kompenzace od státu spolu s případným plněním ze soukromého pojištění tak postiženým chovatelům zpravidla pokrývá jak vlastní škodu na zvířatech, tak i další vznikající škody v důsledku přerušení provozu živočišné produkce.</w:t>
      </w:r>
    </w:p>
  </w:footnote>
  <w:footnote w:id="99">
    <w:p w:rsidR="00234ED0" w:rsidRDefault="00234ED0" w:rsidP="00425142">
      <w:pPr>
        <w:pStyle w:val="Textpoznpodarou"/>
      </w:pPr>
      <w:r w:rsidRPr="00203E0A">
        <w:rPr>
          <w:rStyle w:val="Znakapoznpodarou"/>
          <w:i/>
        </w:rPr>
        <w:footnoteRef/>
      </w:r>
      <w:r>
        <w:tab/>
        <w:t>Propojištěnost zde znamená podíl výměry pojištěných plodin k celkové výměře pěstovaných plodin.</w:t>
      </w:r>
    </w:p>
  </w:footnote>
  <w:footnote w:id="100">
    <w:p w:rsidR="00234ED0" w:rsidRDefault="00234ED0" w:rsidP="00425142">
      <w:pPr>
        <w:pStyle w:val="Textpoznpodarou"/>
      </w:pPr>
      <w:r w:rsidRPr="00203E0A">
        <w:rPr>
          <w:rStyle w:val="Znakapoznpodarou"/>
          <w:i/>
        </w:rPr>
        <w:footnoteRef/>
      </w:r>
      <w:r>
        <w:tab/>
        <w:t>Jde o odhad, zpracovaný na základě údajů z ČAP a údajů PGRLF o výši pojistného uplatněného v žádostech o dotaci.</w:t>
      </w:r>
    </w:p>
  </w:footnote>
  <w:footnote w:id="101">
    <w:p w:rsidR="00234ED0" w:rsidRDefault="00234ED0" w:rsidP="00425142">
      <w:pPr>
        <w:pStyle w:val="Textpoznpodarou"/>
      </w:pPr>
      <w:r w:rsidRPr="00203E0A">
        <w:rPr>
          <w:rStyle w:val="Znakapoznpodarou"/>
          <w:i/>
        </w:rPr>
        <w:footnoteRef/>
      </w:r>
      <w:r>
        <w:tab/>
      </w:r>
      <w:r w:rsidRPr="00EF3DA7">
        <w:t>Agra pojišťovna údaj</w:t>
      </w:r>
      <w:r>
        <w:t xml:space="preserve"> o předepsaném pojistném a vyplaceném plnění za rok 2013 ani 2014</w:t>
      </w:r>
      <w:r w:rsidRPr="00EF3DA7">
        <w:t xml:space="preserve"> neposkyt</w:t>
      </w:r>
      <w:r>
        <w:t>la.</w:t>
      </w:r>
    </w:p>
  </w:footnote>
  <w:footnote w:id="102">
    <w:p w:rsidR="00234ED0" w:rsidRPr="006820AC" w:rsidRDefault="00234ED0" w:rsidP="00425142">
      <w:pPr>
        <w:pStyle w:val="Textpoznpodarou"/>
      </w:pPr>
      <w:r w:rsidRPr="00203E0A">
        <w:rPr>
          <w:rStyle w:val="Znakapoznpodarou"/>
          <w:i/>
        </w:rPr>
        <w:footnoteRef/>
      </w:r>
      <w:r w:rsidRPr="006820AC">
        <w:tab/>
      </w:r>
      <w:r w:rsidRPr="00345AF4">
        <w:t>Průměrný</w:t>
      </w:r>
      <w:r w:rsidRPr="006820AC">
        <w:t xml:space="preserve"> evidenční počet pracovníků (ve fyzických osobách)</w:t>
      </w:r>
      <w:r>
        <w:t xml:space="preserve"> v </w:t>
      </w:r>
      <w:r w:rsidRPr="006820AC">
        <w:t>podnicích zemědělské prvovýroby bez souvisejících služeb</w:t>
      </w:r>
      <w:r>
        <w:t xml:space="preserve"> a </w:t>
      </w:r>
      <w:r w:rsidRPr="006820AC">
        <w:t>myslivosti, předběžný údaj.</w:t>
      </w:r>
    </w:p>
  </w:footnote>
  <w:footnote w:id="103">
    <w:p w:rsidR="00234ED0" w:rsidRPr="006820AC" w:rsidRDefault="00234ED0" w:rsidP="00425142">
      <w:pPr>
        <w:pStyle w:val="Textpoznpodarou"/>
      </w:pPr>
      <w:r w:rsidRPr="00203E0A">
        <w:rPr>
          <w:rStyle w:val="Znakapoznpodarou"/>
          <w:i/>
        </w:rPr>
        <w:footnoteRef/>
      </w:r>
      <w:r w:rsidRPr="00203E0A">
        <w:rPr>
          <w:i w:val="0"/>
        </w:rPr>
        <w:tab/>
      </w:r>
      <w:r w:rsidRPr="001A35AE">
        <w:t xml:space="preserve">Předběžný údaj, propočty ÚZEI podle: Zaměstnanost a nezaměstnanost v ČR podle výsledků </w:t>
      </w:r>
      <w:proofErr w:type="gramStart"/>
      <w:r w:rsidRPr="001A35AE">
        <w:t>VŠPS (1.</w:t>
      </w:r>
      <w:r>
        <w:noBreakHyphen/>
        <w:t>4. </w:t>
      </w:r>
      <w:r w:rsidRPr="001A35AE">
        <w:t>čtvrtletí</w:t>
      </w:r>
      <w:proofErr w:type="gramEnd"/>
      <w:r w:rsidRPr="001A35AE">
        <w:t xml:space="preserve"> 2014), ČSÚ 2015.</w:t>
      </w:r>
    </w:p>
  </w:footnote>
  <w:footnote w:id="104">
    <w:p w:rsidR="00234ED0" w:rsidRPr="006820AC" w:rsidRDefault="00234ED0" w:rsidP="00425142">
      <w:pPr>
        <w:pStyle w:val="Textpoznpodarou"/>
      </w:pPr>
      <w:r w:rsidRPr="00203E0A">
        <w:rPr>
          <w:rStyle w:val="Znakapoznpodarou"/>
          <w:i/>
        </w:rPr>
        <w:footnoteRef/>
      </w:r>
      <w:r w:rsidRPr="006820AC">
        <w:tab/>
        <w:t>Pramen: Zaměstnanost</w:t>
      </w:r>
      <w:r>
        <w:t xml:space="preserve"> a </w:t>
      </w:r>
      <w:r w:rsidRPr="006820AC">
        <w:t>nezaměstnanost</w:t>
      </w:r>
      <w:r>
        <w:t xml:space="preserve"> v </w:t>
      </w:r>
      <w:r w:rsidRPr="006820AC">
        <w:t>ČR podle výsledků VŠPS (4. čtvrtletí 201</w:t>
      </w:r>
      <w:r>
        <w:t>3</w:t>
      </w:r>
      <w:r w:rsidRPr="006820AC">
        <w:t>, 201</w:t>
      </w:r>
      <w:r>
        <w:t>4</w:t>
      </w:r>
      <w:r w:rsidRPr="006820AC">
        <w:t>), ČSÚ 201</w:t>
      </w:r>
      <w:r>
        <w:t>4</w:t>
      </w:r>
      <w:r w:rsidRPr="006820AC">
        <w:t>, 201</w:t>
      </w:r>
      <w:r>
        <w:t>5</w:t>
      </w:r>
      <w:r w:rsidRPr="006820AC">
        <w:t>. Pramen slučuje data za zemědělství, myslivost, lesnictví</w:t>
      </w:r>
      <w:r>
        <w:t xml:space="preserve"> a </w:t>
      </w:r>
      <w:r w:rsidRPr="006820AC">
        <w:t>rybářství.</w:t>
      </w:r>
    </w:p>
  </w:footnote>
  <w:footnote w:id="105">
    <w:p w:rsidR="00234ED0" w:rsidRDefault="00234ED0" w:rsidP="00425142">
      <w:pPr>
        <w:pStyle w:val="Textpoznpodarou"/>
      </w:pPr>
      <w:r w:rsidRPr="00203E0A">
        <w:rPr>
          <w:rStyle w:val="Znakapoznpodarou"/>
          <w:i/>
        </w:rPr>
        <w:footnoteRef/>
      </w:r>
      <w:r>
        <w:tab/>
      </w:r>
      <w:r w:rsidRPr="00B47799">
        <w:t>Pramen: Čtvrtletní výkaz P 3-04 pro ekonomické subjekty vybraných produkčních odvětví (průměrný evidenční počet zaměstnanců ve fyzických osobách, podniky s 50 a více zaměstnanci), 1. až 4. čtvrtletí 201</w:t>
      </w:r>
      <w:r>
        <w:t>4</w:t>
      </w:r>
      <w:r w:rsidRPr="00B47799">
        <w:t>, ČSÚ 201</w:t>
      </w:r>
      <w:r>
        <w:t>5</w:t>
      </w:r>
      <w:r w:rsidRPr="00B47799">
        <w:t>.</w:t>
      </w:r>
    </w:p>
  </w:footnote>
  <w:footnote w:id="106">
    <w:p w:rsidR="00234ED0" w:rsidRPr="006820AC" w:rsidRDefault="00234ED0" w:rsidP="00425142">
      <w:pPr>
        <w:pStyle w:val="Textpoznpodarou"/>
      </w:pPr>
      <w:r w:rsidRPr="00203E0A">
        <w:rPr>
          <w:rStyle w:val="Znakapoznpodarou"/>
          <w:i/>
        </w:rPr>
        <w:footnoteRef/>
      </w:r>
      <w:r w:rsidRPr="006820AC">
        <w:tab/>
        <w:t>Pramen: Zaměstnanost</w:t>
      </w:r>
      <w:r>
        <w:t xml:space="preserve"> a </w:t>
      </w:r>
      <w:r w:rsidRPr="006820AC">
        <w:t>nezaměstnanost</w:t>
      </w:r>
      <w:r>
        <w:t xml:space="preserve"> v </w:t>
      </w:r>
      <w:r w:rsidRPr="006820AC">
        <w:t>ČR podle výsledků VŠPS (4.</w:t>
      </w:r>
      <w:r>
        <w:t> čtvrtletí 2013, 2014), ČSÚ 2014, 2015</w:t>
      </w:r>
      <w:r w:rsidRPr="006820AC">
        <w:t>. Pramen slučuje data za zemědělství, myslivost, lesnictví</w:t>
      </w:r>
      <w:r>
        <w:t xml:space="preserve"> a </w:t>
      </w:r>
      <w:r w:rsidRPr="006820AC">
        <w:t>rybářství.</w:t>
      </w:r>
    </w:p>
  </w:footnote>
  <w:footnote w:id="107">
    <w:p w:rsidR="00234ED0" w:rsidRPr="006820AC" w:rsidRDefault="00234ED0" w:rsidP="00425142">
      <w:pPr>
        <w:pStyle w:val="Textpoznpodarou"/>
      </w:pPr>
      <w:r w:rsidRPr="00203E0A">
        <w:rPr>
          <w:rStyle w:val="Znakapoznpodarou"/>
          <w:i/>
        </w:rPr>
        <w:footnoteRef/>
      </w:r>
      <w:r w:rsidRPr="006820AC">
        <w:tab/>
        <w:t>Pramen: Zaměstnanost</w:t>
      </w:r>
      <w:r>
        <w:t xml:space="preserve"> a </w:t>
      </w:r>
      <w:r w:rsidRPr="006820AC">
        <w:t>nezaměstnanost</w:t>
      </w:r>
      <w:r>
        <w:t xml:space="preserve"> v </w:t>
      </w:r>
      <w:r w:rsidRPr="006820AC">
        <w:t>ČR podle výsledků VŠPS (4.</w:t>
      </w:r>
      <w:r>
        <w:t> </w:t>
      </w:r>
      <w:r w:rsidRPr="006820AC">
        <w:t>čtvrtletí 201</w:t>
      </w:r>
      <w:r>
        <w:t>3</w:t>
      </w:r>
      <w:r w:rsidRPr="006820AC">
        <w:t>, 201</w:t>
      </w:r>
      <w:r>
        <w:t>4</w:t>
      </w:r>
      <w:r w:rsidRPr="006820AC">
        <w:t>), ČSÚ 201</w:t>
      </w:r>
      <w:r>
        <w:t>4</w:t>
      </w:r>
      <w:r w:rsidRPr="006820AC">
        <w:t>, 201</w:t>
      </w:r>
      <w:r>
        <w:t>5</w:t>
      </w:r>
      <w:r w:rsidRPr="006820AC">
        <w:t>. Pramen slučuje data za zemědělství, myslivost, lesnictví</w:t>
      </w:r>
      <w:r>
        <w:t xml:space="preserve"> a </w:t>
      </w:r>
      <w:r w:rsidRPr="006820AC">
        <w:t>rybářství.</w:t>
      </w:r>
    </w:p>
  </w:footnote>
  <w:footnote w:id="108">
    <w:p w:rsidR="00234ED0" w:rsidRPr="006820AC" w:rsidRDefault="00234ED0" w:rsidP="00425142">
      <w:pPr>
        <w:pStyle w:val="Textpoznpodarou"/>
      </w:pPr>
      <w:r w:rsidRPr="00203E0A">
        <w:rPr>
          <w:rStyle w:val="Znakapoznpodarou"/>
          <w:i/>
        </w:rPr>
        <w:footnoteRef/>
      </w:r>
      <w:r w:rsidRPr="006820AC">
        <w:tab/>
        <w:t xml:space="preserve">Pramen: </w:t>
      </w:r>
      <w:proofErr w:type="gramStart"/>
      <w:r w:rsidRPr="003F74AF">
        <w:rPr>
          <w:lang w:val="en-GB"/>
        </w:rPr>
        <w:t>Agriculture in the European Union – Statistical and economic information</w:t>
      </w:r>
      <w:r w:rsidRPr="006820AC">
        <w:t>, EK 201</w:t>
      </w:r>
      <w:r>
        <w:t>3</w:t>
      </w:r>
      <w:r w:rsidRPr="006820AC">
        <w:t>.</w:t>
      </w:r>
      <w:proofErr w:type="gramEnd"/>
    </w:p>
  </w:footnote>
  <w:footnote w:id="109">
    <w:p w:rsidR="00234ED0" w:rsidRDefault="00234ED0" w:rsidP="00425142">
      <w:pPr>
        <w:pStyle w:val="Textpoznpodarou"/>
      </w:pPr>
      <w:r w:rsidRPr="00203E0A">
        <w:rPr>
          <w:rStyle w:val="Znakapoznpodarou"/>
          <w:i/>
        </w:rPr>
        <w:footnoteRef/>
      </w:r>
      <w:r>
        <w:tab/>
      </w:r>
      <w:r w:rsidRPr="005B040F">
        <w:t>Pramen: Struktura</w:t>
      </w:r>
      <w:r w:rsidRPr="006820AC">
        <w:t xml:space="preserve"> mezd zaměstnanců 201</w:t>
      </w:r>
      <w:r>
        <w:t>3</w:t>
      </w:r>
      <w:r w:rsidRPr="006820AC">
        <w:t>, ČSÚ 201</w:t>
      </w:r>
      <w:r>
        <w:t>4</w:t>
      </w:r>
      <w:r w:rsidRPr="006820AC">
        <w:t>.</w:t>
      </w:r>
    </w:p>
  </w:footnote>
  <w:footnote w:id="110">
    <w:p w:rsidR="00234ED0" w:rsidRPr="006820AC" w:rsidRDefault="00234ED0" w:rsidP="00425142">
      <w:pPr>
        <w:pStyle w:val="Textpoznpodarou"/>
      </w:pPr>
      <w:r w:rsidRPr="00203E0A">
        <w:rPr>
          <w:rStyle w:val="Znakapoznpodarou"/>
          <w:i/>
        </w:rPr>
        <w:footnoteRef/>
      </w:r>
      <w:r w:rsidRPr="006820AC">
        <w:tab/>
        <w:t>Pramen: Zaměstnanost</w:t>
      </w:r>
      <w:r>
        <w:t xml:space="preserve"> a </w:t>
      </w:r>
      <w:r w:rsidRPr="006820AC">
        <w:t>nezaměstnanost</w:t>
      </w:r>
      <w:r>
        <w:t xml:space="preserve"> v ČR podle výsledků VŠPS (4. čtvrtletí 2013, 2014), ČSÚ 2014, 2015</w:t>
      </w:r>
      <w:r w:rsidRPr="006820AC">
        <w:t>. Pramen slučuje data za zemědělství, myslivost, lesnictví</w:t>
      </w:r>
      <w:r>
        <w:t xml:space="preserve"> a </w:t>
      </w:r>
      <w:r w:rsidRPr="006820AC">
        <w:t>rybářství.</w:t>
      </w:r>
    </w:p>
  </w:footnote>
  <w:footnote w:id="111">
    <w:p w:rsidR="00234ED0" w:rsidRPr="006820AC" w:rsidRDefault="00234ED0" w:rsidP="00425142">
      <w:pPr>
        <w:pStyle w:val="Textpoznpodarou"/>
      </w:pPr>
      <w:r w:rsidRPr="00203E0A">
        <w:rPr>
          <w:rStyle w:val="Znakapoznpodarou"/>
          <w:i/>
        </w:rPr>
        <w:footnoteRef/>
      </w:r>
      <w:r>
        <w:tab/>
      </w:r>
      <w:r w:rsidRPr="006820AC">
        <w:t>Pramen: Zaměstnanost</w:t>
      </w:r>
      <w:r>
        <w:t xml:space="preserve"> a </w:t>
      </w:r>
      <w:r w:rsidRPr="006820AC">
        <w:t>nezaměstnanost</w:t>
      </w:r>
      <w:r>
        <w:t xml:space="preserve"> v ČR podle výsledků VŠPS (4. </w:t>
      </w:r>
      <w:r w:rsidRPr="006820AC">
        <w:t>čtvrtletí 201</w:t>
      </w:r>
      <w:r>
        <w:t>3</w:t>
      </w:r>
      <w:r w:rsidRPr="006820AC">
        <w:t>, 201</w:t>
      </w:r>
      <w:r>
        <w:t>4</w:t>
      </w:r>
      <w:r w:rsidRPr="006820AC">
        <w:t>), ČSÚ 201</w:t>
      </w:r>
      <w:r>
        <w:t>4</w:t>
      </w:r>
      <w:r w:rsidRPr="006820AC">
        <w:t>, 201</w:t>
      </w:r>
      <w:r>
        <w:t>5</w:t>
      </w:r>
      <w:r w:rsidRPr="006820AC">
        <w:t>. Pramen slučuje data za zemědělství, myslivost, lesnictví</w:t>
      </w:r>
      <w:r>
        <w:t xml:space="preserve"> a </w:t>
      </w:r>
      <w:r w:rsidRPr="006820AC">
        <w:t>rybářství.</w:t>
      </w:r>
    </w:p>
  </w:footnote>
  <w:footnote w:id="112">
    <w:p w:rsidR="00234ED0" w:rsidRPr="006820AC" w:rsidRDefault="00234ED0" w:rsidP="00425142">
      <w:pPr>
        <w:pStyle w:val="Textpoznpodarou"/>
      </w:pPr>
      <w:r w:rsidRPr="00203E0A">
        <w:rPr>
          <w:rStyle w:val="Znakapoznpodarou"/>
          <w:i/>
        </w:rPr>
        <w:footnoteRef/>
      </w:r>
      <w:r>
        <w:tab/>
      </w:r>
      <w:r w:rsidRPr="006820AC">
        <w:t>Signální míry agrární nezaměstnanosti</w:t>
      </w:r>
      <w:r>
        <w:t xml:space="preserve"> i </w:t>
      </w:r>
      <w:r w:rsidRPr="006820AC">
        <w:t>srovnatelně vyjádřené nezaměstnanosti</w:t>
      </w:r>
      <w:r>
        <w:t xml:space="preserve"> v </w:t>
      </w:r>
      <w:r w:rsidRPr="006820AC">
        <w:t>NH uváděné</w:t>
      </w:r>
      <w:r>
        <w:t xml:space="preserve"> v </w:t>
      </w:r>
      <w:r w:rsidRPr="006820AC">
        <w:t>textu mají pouze orientační charakter; ukazatele zahrnují nezaměstnané registrované na úřadech práce</w:t>
      </w:r>
      <w:r>
        <w:t xml:space="preserve"> i </w:t>
      </w:r>
      <w:r w:rsidRPr="006820AC">
        <w:t>zprostředkovatelnách práce</w:t>
      </w:r>
      <w:r>
        <w:t xml:space="preserve"> a </w:t>
      </w:r>
      <w:r w:rsidRPr="006820AC">
        <w:t>neregistrované nezaměstnané, kteří pracovali</w:t>
      </w:r>
      <w:r>
        <w:t xml:space="preserve"> v </w:t>
      </w:r>
      <w:r w:rsidRPr="006820AC">
        <w:t>posledních 8</w:t>
      </w:r>
      <w:r>
        <w:t> </w:t>
      </w:r>
      <w:r w:rsidRPr="006820AC">
        <w:t>letech. Údaje pro výpočet míry agrární nezaměstnanosti srovnatelné</w:t>
      </w:r>
      <w:r>
        <w:t xml:space="preserve"> s </w:t>
      </w:r>
      <w:r w:rsidRPr="006820AC">
        <w:t>mírou nezaměstnanosti dle MPSV nejsou dostupné.</w:t>
      </w:r>
    </w:p>
  </w:footnote>
  <w:footnote w:id="113">
    <w:p w:rsidR="00234ED0" w:rsidRDefault="00234ED0" w:rsidP="00425142">
      <w:pPr>
        <w:pStyle w:val="Textpoznpodarou"/>
      </w:pPr>
      <w:r w:rsidRPr="00203E0A">
        <w:rPr>
          <w:rStyle w:val="Znakapoznpodarou"/>
          <w:i/>
        </w:rPr>
        <w:footnoteRef/>
      </w:r>
      <w:r>
        <w:tab/>
      </w:r>
      <w:r w:rsidRPr="00B01790">
        <w:t>Na přepočtené počty zaměstnanců.</w:t>
      </w:r>
    </w:p>
  </w:footnote>
  <w:footnote w:id="114">
    <w:p w:rsidR="00234ED0" w:rsidRDefault="00234ED0" w:rsidP="00425142">
      <w:pPr>
        <w:pStyle w:val="Textpoznpodarou"/>
      </w:pPr>
      <w:r w:rsidRPr="00203E0A">
        <w:rPr>
          <w:rStyle w:val="Znakapoznpodarou"/>
          <w:i/>
        </w:rPr>
        <w:footnoteRef/>
      </w:r>
      <w:r>
        <w:tab/>
      </w:r>
      <w:r w:rsidRPr="00F61A61">
        <w:t xml:space="preserve">Za samotné zemědělství dosáhla mzdová disparita (ČSÚ </w:t>
      </w:r>
      <w:r w:rsidRPr="00686DB6">
        <w:t>2015, nepublikováno) 79,5</w:t>
      </w:r>
      <w:r w:rsidRPr="00F61A61">
        <w:t xml:space="preserve"> % vůči průmyslu (stejně jako v předchozím roce) a 80,7 % vůči NH.</w:t>
      </w:r>
    </w:p>
  </w:footnote>
  <w:footnote w:id="115">
    <w:p w:rsidR="00234ED0" w:rsidRDefault="00234ED0" w:rsidP="00D26858">
      <w:pPr>
        <w:pStyle w:val="Textpoznpodarou"/>
      </w:pPr>
      <w:r w:rsidRPr="00373A5E">
        <w:rPr>
          <w:rStyle w:val="Znakapoznpodarou"/>
          <w:i/>
        </w:rPr>
        <w:footnoteRef/>
      </w:r>
      <w:r>
        <w:tab/>
        <w:t xml:space="preserve">Vlastní proces v pozemkových úpravách je aktuálně upraven zákonem č. 139/2002 Sb., o pozemkových úpravách a pozemkových úřadech, ve znění pozdějších předpisů, a rozeznává dvě formy pozemkových úprav: jednoduché pozemkové úpravy, které představují řešení zpravidla jen části jednoho katastrálního území, resp. pouze v něm vybraného problému, a komplexní pozemkové úpravy, představující ucelené řešení zpravidla celého </w:t>
      </w:r>
      <w:r w:rsidRPr="004A2DE5">
        <w:t>katastrálního</w:t>
      </w:r>
      <w:r>
        <w:t xml:space="preserve"> území v souladu s požadavky na tvorbu krajiny, životního prostředí, vodohospodářských poměrů včetně zpřístupnění pozemků, protierozní ochrany i ekologické stability území.</w:t>
      </w:r>
    </w:p>
  </w:footnote>
  <w:footnote w:id="116">
    <w:p w:rsidR="00234ED0" w:rsidRPr="009414EF" w:rsidRDefault="00234ED0" w:rsidP="00D26858">
      <w:pPr>
        <w:pStyle w:val="Textpoznpodarou"/>
      </w:pPr>
      <w:r w:rsidRPr="00373A5E">
        <w:rPr>
          <w:rStyle w:val="Znakapoznpodarou"/>
          <w:i/>
        </w:rPr>
        <w:footnoteRef/>
      </w:r>
      <w:r w:rsidRPr="009414EF">
        <w:tab/>
        <w:t>Od roku 1993 VÚZE prováděl každoroční monitoring o transakcích a cenách na trhu se zemědělskou půdou v rámci projektů NAZV. S ohledem na nové požadavky sledování tržních cen a ukončení projektu NAZV došlo k přerušení tohoto monitoringu cen. V roce 2009 probíhalo testování sběru dat prostřednictvím sítě autorizovaných odhadců. V roce 2010 začalo pi</w:t>
      </w:r>
      <w:r>
        <w:t>lotní šetření z databáze ČÚZK u </w:t>
      </w:r>
      <w:r w:rsidRPr="009414EF">
        <w:t>smluv o převodech půdy ve vybraných okresech ČR. Do analýzy jsou zařazeny pouze pozemky pro budoucí zemědělské využití.</w:t>
      </w:r>
    </w:p>
  </w:footnote>
  <w:footnote w:id="117">
    <w:p w:rsidR="00234ED0" w:rsidRDefault="00234ED0" w:rsidP="00D26858">
      <w:pPr>
        <w:pStyle w:val="Textpoznpodarou"/>
      </w:pPr>
      <w:r w:rsidRPr="00373A5E">
        <w:rPr>
          <w:rStyle w:val="Znakapoznpodarou"/>
          <w:i/>
        </w:rPr>
        <w:footnoteRef/>
      </w:r>
      <w:r>
        <w:tab/>
      </w:r>
      <w:r w:rsidRPr="0005389C">
        <w:t>Informace o podaných výzvách a dohodách</w:t>
      </w:r>
      <w:r>
        <w:t xml:space="preserve"> na </w:t>
      </w:r>
      <w:hyperlink r:id="rId3" w:history="1">
        <w:r w:rsidRPr="00FD624B">
          <w:rPr>
            <w:rStyle w:val="Hypertextovodkaz"/>
          </w:rPr>
          <w:t>http://www.spucr.cz/restituce/cirkevni-restituce</w:t>
        </w:r>
      </w:hyperlink>
      <w:r>
        <w:t>.</w:t>
      </w:r>
    </w:p>
  </w:footnote>
  <w:footnote w:id="118">
    <w:p w:rsidR="00234ED0" w:rsidRDefault="00234ED0" w:rsidP="00D26858">
      <w:pPr>
        <w:pStyle w:val="Textpoznpodarou"/>
      </w:pPr>
      <w:r w:rsidRPr="00345AF4">
        <w:rPr>
          <w:rStyle w:val="Znakapoznpodarou"/>
          <w:i/>
        </w:rPr>
        <w:footnoteRef/>
      </w:r>
      <w:r>
        <w:tab/>
      </w:r>
      <w:r w:rsidRPr="00B365AA">
        <w:t>Na rozdílu v údajích o zatravnění podle ČÚZK a LPIS se podílí nedodržování povinnosti vlastníků nemovitostí hlásit katastrálnímu úřadu změny údajů katastru týkající se jejich nemovitostí, a to do 30 dnů ode dne jejich vzniku.</w:t>
      </w:r>
    </w:p>
  </w:footnote>
  <w:footnote w:id="119">
    <w:p w:rsidR="00234ED0" w:rsidRDefault="00234ED0" w:rsidP="00D26858">
      <w:pPr>
        <w:pStyle w:val="Textpoznpodarou"/>
      </w:pPr>
      <w:r w:rsidRPr="0005389C">
        <w:rPr>
          <w:rStyle w:val="Znakapoznpodarou"/>
          <w:i/>
        </w:rPr>
        <w:footnoteRef/>
      </w:r>
      <w:r w:rsidRPr="0005389C">
        <w:tab/>
      </w:r>
      <w:r w:rsidRPr="000248A0">
        <w:t>Výměry jednotlivých druhů chráněných území k 31.</w:t>
      </w:r>
      <w:r>
        <w:t> </w:t>
      </w:r>
      <w:r w:rsidRPr="000248A0">
        <w:t>12.</w:t>
      </w:r>
      <w:r>
        <w:t> </w:t>
      </w:r>
      <w:r w:rsidRPr="000248A0">
        <w:t>201</w:t>
      </w:r>
      <w:r>
        <w:t>4</w:t>
      </w:r>
      <w:r w:rsidRPr="000248A0">
        <w:t xml:space="preserve"> jsou uvedeny v kap</w:t>
      </w:r>
      <w:r>
        <w:t>.</w:t>
      </w:r>
      <w:r w:rsidRPr="000248A0">
        <w:t xml:space="preserve"> 4.</w:t>
      </w:r>
    </w:p>
  </w:footnote>
  <w:footnote w:id="120">
    <w:p w:rsidR="00234ED0" w:rsidRDefault="00234ED0">
      <w:pPr>
        <w:pStyle w:val="Textpoznpodarou"/>
      </w:pPr>
      <w:r w:rsidRPr="00373A5E">
        <w:rPr>
          <w:rStyle w:val="Znakapoznpodarou"/>
          <w:i/>
        </w:rPr>
        <w:footnoteRef/>
      </w:r>
      <w:r>
        <w:tab/>
        <w:t>Od 1. 1. 2015 DZES.</w:t>
      </w:r>
    </w:p>
  </w:footnote>
  <w:footnote w:id="121">
    <w:p w:rsidR="00234ED0" w:rsidRPr="00927DA7" w:rsidRDefault="00234ED0" w:rsidP="00D26858">
      <w:pPr>
        <w:pStyle w:val="Textpoznpodarou"/>
        <w:jc w:val="left"/>
      </w:pPr>
      <w:r w:rsidRPr="0005389C">
        <w:rPr>
          <w:rStyle w:val="Znakapoznpodarou"/>
          <w:i/>
        </w:rPr>
        <w:footnoteRef/>
      </w:r>
      <w:r w:rsidRPr="00FF4EBA">
        <w:tab/>
        <w:t xml:space="preserve">Přesné znění je umístěno na </w:t>
      </w:r>
      <w:hyperlink r:id="rId4" w:history="1">
        <w:r w:rsidRPr="000858DA">
          <w:rPr>
            <w:rStyle w:val="Hypertextovodkaz"/>
          </w:rPr>
          <w:t>http://eagri.cz/public/web/mze/dotace/</w:t>
        </w:r>
        <w:r>
          <w:rPr>
            <w:rStyle w:val="Hypertextovodkaz"/>
          </w:rPr>
          <w:t>kontrol</w:t>
        </w:r>
        <w:r w:rsidRPr="000858DA">
          <w:rPr>
            <w:rStyle w:val="Hypertextovodkaz"/>
          </w:rPr>
          <w:t>y-podminenosti-cross-compliance/dokumenty-ke-stazeni/</w:t>
        </w:r>
      </w:hyperlink>
      <w:r w:rsidRPr="00927DA7">
        <w:t>.</w:t>
      </w:r>
    </w:p>
  </w:footnote>
  <w:footnote w:id="122">
    <w:p w:rsidR="00234ED0" w:rsidRDefault="00234ED0" w:rsidP="00D26858">
      <w:pPr>
        <w:pStyle w:val="Textpoznpodarou"/>
        <w:jc w:val="left"/>
      </w:pPr>
      <w:r w:rsidRPr="0005389C">
        <w:rPr>
          <w:rStyle w:val="Znakapoznpodarou"/>
          <w:i/>
        </w:rPr>
        <w:footnoteRef/>
      </w:r>
      <w:r>
        <w:tab/>
        <w:t xml:space="preserve">Další informace ke kvalitě půdního fondu jsou k dispozici na </w:t>
      </w:r>
      <w:hyperlink r:id="rId5" w:history="1">
        <w:r w:rsidRPr="006D4AE8">
          <w:rPr>
            <w:rStyle w:val="Hypertextovodkaz"/>
          </w:rPr>
          <w:t>http://eagri.cz/public/web/file/293944/MZE_prirucka_vodni_eroze.pdf</w:t>
        </w:r>
      </w:hyperlink>
      <w:r>
        <w:t>.</w:t>
      </w:r>
    </w:p>
  </w:footnote>
  <w:footnote w:id="123">
    <w:p w:rsidR="00234ED0" w:rsidRDefault="00234ED0" w:rsidP="00D26858">
      <w:pPr>
        <w:pStyle w:val="Textpoznpodarou"/>
      </w:pPr>
      <w:r w:rsidRPr="0005389C">
        <w:rPr>
          <w:rStyle w:val="Znakapoznpodarou"/>
          <w:i/>
        </w:rPr>
        <w:footnoteRef/>
      </w:r>
      <w:r>
        <w:tab/>
        <w:t>Přesné hodnoty nejsou k dispozici.</w:t>
      </w:r>
    </w:p>
  </w:footnote>
  <w:footnote w:id="124">
    <w:p w:rsidR="00234ED0" w:rsidRDefault="00234ED0" w:rsidP="00D26858">
      <w:pPr>
        <w:pStyle w:val="Textpoznpodarou"/>
      </w:pPr>
      <w:r w:rsidRPr="0005389C">
        <w:rPr>
          <w:rStyle w:val="Znakapoznpodarou"/>
          <w:i/>
        </w:rPr>
        <w:footnoteRef/>
      </w:r>
      <w:r>
        <w:tab/>
        <w:t>Na základě výsledků projektu NAZV QH72257.</w:t>
      </w:r>
    </w:p>
  </w:footnote>
  <w:footnote w:id="125">
    <w:p w:rsidR="00234ED0" w:rsidRDefault="00234ED0" w:rsidP="00D26858">
      <w:pPr>
        <w:pStyle w:val="Textpoznpodarou"/>
      </w:pPr>
      <w:r w:rsidRPr="0005389C">
        <w:rPr>
          <w:rStyle w:val="Znakapoznpodarou"/>
          <w:i/>
        </w:rPr>
        <w:footnoteRef/>
      </w:r>
      <w:r>
        <w:tab/>
        <w:t>Bez přívodu organického dusíku.</w:t>
      </w:r>
    </w:p>
  </w:footnote>
  <w:footnote w:id="126">
    <w:p w:rsidR="00234ED0" w:rsidRDefault="00234ED0" w:rsidP="00D26858">
      <w:pPr>
        <w:pStyle w:val="Textpoznpodarou"/>
      </w:pPr>
      <w:r w:rsidRPr="00373A5E">
        <w:rPr>
          <w:rStyle w:val="Znakapoznpodarou"/>
          <w:i/>
        </w:rPr>
        <w:footnoteRef/>
      </w:r>
      <w:r>
        <w:tab/>
      </w:r>
      <w:proofErr w:type="spellStart"/>
      <w:r w:rsidRPr="007331E5">
        <w:t>Penetrometrický</w:t>
      </w:r>
      <w:proofErr w:type="spellEnd"/>
      <w:r w:rsidRPr="007331E5">
        <w:t xml:space="preserve"> odpor 1 </w:t>
      </w:r>
      <w:proofErr w:type="spellStart"/>
      <w:r w:rsidRPr="007331E5">
        <w:t>MPa</w:t>
      </w:r>
      <w:proofErr w:type="spellEnd"/>
      <w:r w:rsidRPr="007331E5">
        <w:t xml:space="preserve"> představuje odpor zeminy proti průniku normovaného kužele do půdy. Zpravidla se pohybuje v rozmezí 2</w:t>
      </w:r>
      <w:r>
        <w:noBreakHyphen/>
      </w:r>
      <w:r w:rsidRPr="007331E5">
        <w:t xml:space="preserve">6 </w:t>
      </w:r>
      <w:proofErr w:type="spellStart"/>
      <w:r w:rsidRPr="007331E5">
        <w:t>MPa</w:t>
      </w:r>
      <w:proofErr w:type="spellEnd"/>
      <w:r w:rsidRPr="007331E5">
        <w:t>. Odpor je standardizovaný podle druhu půdy. Nadlimitní odpor představuje zvýšení odporu půdy vůči tomuto standardizovanému (limitnímu) odporu půdy.</w:t>
      </w:r>
    </w:p>
  </w:footnote>
  <w:footnote w:id="127">
    <w:p w:rsidR="00234ED0" w:rsidRDefault="00234ED0" w:rsidP="00DB11C1">
      <w:pPr>
        <w:pStyle w:val="Textpoznpodarou"/>
      </w:pPr>
      <w:r w:rsidRPr="00AB226C">
        <w:rPr>
          <w:rStyle w:val="Znakapoznpodarou"/>
          <w:i/>
        </w:rPr>
        <w:footnoteRef/>
      </w:r>
      <w:r>
        <w:tab/>
        <w:t>EBA – „</w:t>
      </w:r>
      <w:proofErr w:type="spellStart"/>
      <w:r w:rsidRPr="00FB79FD">
        <w:t>Everything</w:t>
      </w:r>
      <w:proofErr w:type="spellEnd"/>
      <w:r w:rsidRPr="00FB79FD">
        <w:t xml:space="preserve"> but </w:t>
      </w:r>
      <w:proofErr w:type="spellStart"/>
      <w:r w:rsidRPr="00FB79FD">
        <w:t>arms</w:t>
      </w:r>
      <w:proofErr w:type="spellEnd"/>
      <w:r>
        <w:t>“ – Jednostranná preferenční obchodní dohoda pro nejchudší země světa.</w:t>
      </w:r>
    </w:p>
  </w:footnote>
  <w:footnote w:id="128">
    <w:p w:rsidR="00234ED0" w:rsidRDefault="00234ED0" w:rsidP="00DB11C1">
      <w:pPr>
        <w:pStyle w:val="Textpoznpodarou"/>
      </w:pPr>
      <w:r w:rsidRPr="00AB226C">
        <w:rPr>
          <w:rStyle w:val="Znakapoznpodarou"/>
          <w:i/>
        </w:rPr>
        <w:footnoteRef/>
      </w:r>
      <w:r>
        <w:tab/>
        <w:t xml:space="preserve">EPA – </w:t>
      </w:r>
      <w:r w:rsidRPr="00F47264">
        <w:rPr>
          <w:lang w:val="en-GB"/>
        </w:rPr>
        <w:t>Economic Partnership Agreements</w:t>
      </w:r>
      <w:r>
        <w:t xml:space="preserve"> – Dohody o ekonomickém partnerství.</w:t>
      </w:r>
    </w:p>
  </w:footnote>
  <w:footnote w:id="129">
    <w:p w:rsidR="00234ED0" w:rsidRPr="002A5C3E" w:rsidRDefault="00234ED0" w:rsidP="00DB11C1">
      <w:pPr>
        <w:pStyle w:val="Textpoznpodarou"/>
        <w:rPr>
          <w:szCs w:val="20"/>
        </w:rPr>
      </w:pPr>
      <w:r w:rsidRPr="00AB226C">
        <w:rPr>
          <w:rStyle w:val="Znakapoznpodarou"/>
          <w:i/>
        </w:rPr>
        <w:footnoteRef/>
      </w:r>
      <w:r>
        <w:tab/>
      </w:r>
      <w:r w:rsidRPr="002A5C3E">
        <w:rPr>
          <w:szCs w:val="20"/>
        </w:rPr>
        <w:t>Na výše uvedené přepočty jsou použity průměrné kurzy ČNB.</w:t>
      </w:r>
    </w:p>
  </w:footnote>
  <w:footnote w:id="130">
    <w:p w:rsidR="00234ED0" w:rsidRPr="00827847" w:rsidRDefault="00234ED0" w:rsidP="00DB11C1">
      <w:pPr>
        <w:pStyle w:val="Textpoznpodarou"/>
      </w:pPr>
      <w:r w:rsidRPr="00AB226C">
        <w:rPr>
          <w:rStyle w:val="Znakapoznpodarou"/>
          <w:i/>
        </w:rPr>
        <w:footnoteRef/>
      </w:r>
      <w:r>
        <w:tab/>
      </w:r>
      <w:r w:rsidRPr="00827847">
        <w:t>Jde o</w:t>
      </w:r>
      <w:r>
        <w:t xml:space="preserve"> </w:t>
      </w:r>
      <w:r w:rsidRPr="00827847">
        <w:t>teoretický výkon.</w:t>
      </w:r>
    </w:p>
  </w:footnote>
  <w:footnote w:id="131">
    <w:p w:rsidR="00234ED0" w:rsidRPr="005B3312" w:rsidRDefault="00234ED0" w:rsidP="00DB11C1">
      <w:pPr>
        <w:pStyle w:val="Textpoznpodarou"/>
        <w:tabs>
          <w:tab w:val="left" w:pos="2880"/>
        </w:tabs>
      </w:pPr>
      <w:r w:rsidRPr="00AB226C">
        <w:rPr>
          <w:rStyle w:val="Znakapoznpodarou"/>
          <w:i/>
        </w:rPr>
        <w:footnoteRef/>
      </w:r>
      <w:r>
        <w:tab/>
        <w:t>Zdroj: MZe</w:t>
      </w:r>
      <w:r w:rsidRPr="005B3312">
        <w:t>.</w:t>
      </w:r>
    </w:p>
  </w:footnote>
  <w:footnote w:id="132">
    <w:p w:rsidR="00234ED0" w:rsidRPr="005B3312" w:rsidRDefault="00234ED0" w:rsidP="00DB11C1">
      <w:pPr>
        <w:pStyle w:val="Textpoznpodarou"/>
      </w:pPr>
      <w:r w:rsidRPr="00AB226C">
        <w:rPr>
          <w:rStyle w:val="Znakapoznpodarou"/>
          <w:i/>
        </w:rPr>
        <w:footnoteRef/>
      </w:r>
      <w:r>
        <w:tab/>
      </w:r>
      <w:r w:rsidRPr="005B3312">
        <w:t>Jde o</w:t>
      </w:r>
      <w:r>
        <w:t xml:space="preserve"> </w:t>
      </w:r>
      <w:r w:rsidRPr="005B3312">
        <w:t>teoretický výkon.</w:t>
      </w:r>
    </w:p>
  </w:footnote>
  <w:footnote w:id="133">
    <w:p w:rsidR="00234ED0" w:rsidRPr="005B3312" w:rsidRDefault="00234ED0" w:rsidP="00DB11C1">
      <w:pPr>
        <w:pStyle w:val="Textpoznpodarou"/>
        <w:tabs>
          <w:tab w:val="left" w:pos="2880"/>
        </w:tabs>
      </w:pPr>
      <w:r w:rsidRPr="00AB226C">
        <w:rPr>
          <w:rStyle w:val="Znakapoznpodarou"/>
          <w:i/>
        </w:rPr>
        <w:footnoteRef/>
      </w:r>
      <w:r>
        <w:tab/>
        <w:t>Zdroj: MZe</w:t>
      </w:r>
      <w:r w:rsidRPr="005B3312">
        <w:t>.</w:t>
      </w:r>
    </w:p>
  </w:footnote>
  <w:footnote w:id="134">
    <w:p w:rsidR="00234ED0" w:rsidRPr="00716512" w:rsidRDefault="00234ED0" w:rsidP="00DB11C1">
      <w:pPr>
        <w:pStyle w:val="Textpoznpodarou"/>
        <w:tabs>
          <w:tab w:val="left" w:pos="2880"/>
        </w:tabs>
        <w:rPr>
          <w:rFonts w:cs="Times New Roman"/>
        </w:rPr>
      </w:pPr>
      <w:r w:rsidRPr="00AB226C">
        <w:rPr>
          <w:rStyle w:val="Znakapoznpodarou"/>
          <w:i/>
        </w:rPr>
        <w:footnoteRef/>
      </w:r>
      <w:r>
        <w:tab/>
      </w:r>
      <w:r w:rsidRPr="00716512">
        <w:rPr>
          <w:rFonts w:cs="Times New Roman"/>
        </w:rPr>
        <w:t>Údaj vypočtený z údajů VUC (jako podíl zpracované cukrové řepy a</w:t>
      </w:r>
      <w:r>
        <w:rPr>
          <w:rFonts w:cs="Times New Roman"/>
        </w:rPr>
        <w:t xml:space="preserve"> </w:t>
      </w:r>
      <w:r w:rsidRPr="00716512">
        <w:rPr>
          <w:rFonts w:cs="Times New Roman"/>
        </w:rPr>
        <w:t>plochy cukrové řepy).</w:t>
      </w:r>
    </w:p>
  </w:footnote>
  <w:footnote w:id="135">
    <w:p w:rsidR="00234ED0" w:rsidRPr="0085551F" w:rsidRDefault="00234ED0" w:rsidP="00DB11C1">
      <w:pPr>
        <w:pStyle w:val="Textpoznpodarou"/>
      </w:pPr>
      <w:r w:rsidRPr="00AB226C">
        <w:rPr>
          <w:rStyle w:val="Znakapoznpodarou"/>
          <w:i/>
        </w:rPr>
        <w:footnoteRef/>
      </w:r>
      <w:r w:rsidRPr="00AB226C">
        <w:rPr>
          <w:rStyle w:val="Znakapoznpodarou"/>
          <w:i/>
        </w:rPr>
        <w:tab/>
      </w:r>
      <w:r w:rsidRPr="0085551F">
        <w:t>Hmotnost veškerého cukru teoreticky získatelného z</w:t>
      </w:r>
      <w:r>
        <w:t xml:space="preserve"> </w:t>
      </w:r>
      <w:r w:rsidRPr="0085551F">
        <w:t>jednotky plochy cukrové řepy (bez zápočtu cukru obsaženého v</w:t>
      </w:r>
      <w:r>
        <w:t> </w:t>
      </w:r>
      <w:r w:rsidRPr="0085551F">
        <w:t>cukrové řepě zpracované ve smlouvě o dílo mimo území ČR).</w:t>
      </w:r>
    </w:p>
  </w:footnote>
  <w:footnote w:id="136">
    <w:p w:rsidR="00234ED0" w:rsidRDefault="00234ED0" w:rsidP="000B7BEE">
      <w:pPr>
        <w:pStyle w:val="Textpoznpodarou"/>
      </w:pPr>
      <w:r w:rsidRPr="00A92442">
        <w:rPr>
          <w:rStyle w:val="Znakapoznpodarou"/>
          <w:i/>
        </w:rPr>
        <w:footnoteRef/>
      </w:r>
      <w:r w:rsidRPr="00A92442">
        <w:tab/>
        <w:t>Hlavní světové olejniny (podle objemu produkce 2014/15): sójové boby, řepkové semeno, bavlníkové semeno, podzemnice olejná, slunečnicové semeno, ořechy palmy olejné a palmy kokosové (USDA).</w:t>
      </w:r>
    </w:p>
  </w:footnote>
  <w:footnote w:id="137">
    <w:p w:rsidR="00234ED0" w:rsidRDefault="00234ED0" w:rsidP="000B7BEE">
      <w:pPr>
        <w:pStyle w:val="Textpoznpodarou"/>
      </w:pPr>
      <w:r w:rsidRPr="00E10D8F">
        <w:rPr>
          <w:rStyle w:val="Znakapoznpodarou"/>
          <w:i/>
        </w:rPr>
        <w:footnoteRef/>
      </w:r>
      <w:r>
        <w:tab/>
        <w:t>Zatřídění jatečného skotu v rámci SEUROP.</w:t>
      </w:r>
    </w:p>
  </w:footnote>
  <w:footnote w:id="138">
    <w:p w:rsidR="00234ED0" w:rsidRDefault="00234ED0" w:rsidP="000B7BEE">
      <w:pPr>
        <w:pStyle w:val="Textpoznpodarou"/>
      </w:pPr>
      <w:r w:rsidRPr="00E10D8F">
        <w:rPr>
          <w:rStyle w:val="Znakapoznpodarou"/>
          <w:i/>
        </w:rPr>
        <w:footnoteRef/>
      </w:r>
      <w:r>
        <w:tab/>
        <w:t>Zatřídění jatečného skotu v rámci SEUROP.</w:t>
      </w:r>
    </w:p>
  </w:footnote>
  <w:footnote w:id="139">
    <w:p w:rsidR="00234ED0" w:rsidRDefault="00234ED0" w:rsidP="000B7BEE">
      <w:pPr>
        <w:pStyle w:val="Textpoznpodarou"/>
      </w:pPr>
      <w:r w:rsidRPr="00E10D8F">
        <w:rPr>
          <w:rStyle w:val="Znakapoznpodarou"/>
          <w:i/>
        </w:rPr>
        <w:footnoteRef/>
      </w:r>
      <w:r w:rsidRPr="00FB5BF8">
        <w:rPr>
          <w:rStyle w:val="Znakapoznpodarou"/>
          <w:vertAlign w:val="baseline"/>
        </w:rPr>
        <w:tab/>
      </w:r>
      <w:r>
        <w:t>Zatřídění jatečného skotu v rámci SEUROP.</w:t>
      </w:r>
    </w:p>
  </w:footnote>
  <w:footnote w:id="140">
    <w:p w:rsidR="00234ED0" w:rsidRDefault="00234ED0" w:rsidP="000B7BEE">
      <w:pPr>
        <w:pStyle w:val="Textpoznpodarou"/>
      </w:pPr>
      <w:r w:rsidRPr="00E10D8F">
        <w:rPr>
          <w:rStyle w:val="Znakapoznpodarou"/>
          <w:i/>
        </w:rPr>
        <w:footnoteRef/>
      </w:r>
      <w:r w:rsidRPr="00FB5BF8">
        <w:rPr>
          <w:rStyle w:val="Znakapoznpodarou"/>
          <w:vertAlign w:val="baseline"/>
        </w:rPr>
        <w:tab/>
      </w:r>
      <w:r>
        <w:t>Přepočítací koeficient na VDJ telete = 0,2.</w:t>
      </w:r>
    </w:p>
  </w:footnote>
  <w:footnote w:id="141">
    <w:p w:rsidR="00234ED0" w:rsidRDefault="00234ED0" w:rsidP="000B7BEE">
      <w:pPr>
        <w:pStyle w:val="Textpoznpodarou"/>
      </w:pPr>
      <w:r w:rsidRPr="00E10D8F">
        <w:rPr>
          <w:rStyle w:val="Znakapoznpodarou"/>
          <w:i/>
        </w:rPr>
        <w:footnoteRef/>
      </w:r>
      <w:r w:rsidRPr="00FB5BF8">
        <w:rPr>
          <w:rStyle w:val="Znakapoznpodarou"/>
          <w:vertAlign w:val="baseline"/>
        </w:rPr>
        <w:tab/>
      </w:r>
      <w:r>
        <w:t>V přepočtu CZV jatečných býků na eura však rovněž došlo k meziročnímu snížení ceny (viz kap. 9.1).</w:t>
      </w:r>
    </w:p>
  </w:footnote>
  <w:footnote w:id="142">
    <w:p w:rsidR="00234ED0" w:rsidRDefault="00234ED0" w:rsidP="000B7BEE">
      <w:pPr>
        <w:pStyle w:val="Textpoznpodarou"/>
      </w:pPr>
      <w:r w:rsidRPr="00E10D8F">
        <w:rPr>
          <w:rStyle w:val="Znakapoznpodarou"/>
          <w:i/>
        </w:rPr>
        <w:footnoteRef/>
      </w:r>
      <w:r>
        <w:tab/>
        <w:t>Podpory podle Zásad, kterými se stanovují podmínky pro poskytování dotací pro rok 2014 na základě § 2a a § 2d zák. č. 252/1997 Sb.</w:t>
      </w:r>
    </w:p>
  </w:footnote>
  <w:footnote w:id="143">
    <w:p w:rsidR="00234ED0" w:rsidRDefault="00234ED0" w:rsidP="000B7BEE">
      <w:pPr>
        <w:pStyle w:val="Textpoznpodarou"/>
      </w:pPr>
      <w:r w:rsidRPr="00E10D8F">
        <w:rPr>
          <w:rStyle w:val="Znakapoznpodarou"/>
          <w:i/>
        </w:rPr>
        <w:footnoteRef/>
      </w:r>
      <w:r w:rsidRPr="004651EE">
        <w:tab/>
        <w:t xml:space="preserve">Dotační program 8. Nákazový </w:t>
      </w:r>
      <w:proofErr w:type="gramStart"/>
      <w:r w:rsidRPr="004651EE">
        <w:t>fond 8.F.a) Podpora</w:t>
      </w:r>
      <w:proofErr w:type="gramEnd"/>
      <w:r w:rsidRPr="004651EE">
        <w:t xml:space="preserve"> vybraných činností zaměřených na ozdrav</w:t>
      </w:r>
      <w:r>
        <w:t>ení</w:t>
      </w:r>
      <w:r w:rsidRPr="004651EE">
        <w:t xml:space="preserve"> chovů prasnic a 8.F.b) Podpora vybraných činností zaměřených na ozdrav</w:t>
      </w:r>
      <w:r>
        <w:t>ení</w:t>
      </w:r>
      <w:r w:rsidRPr="004651EE">
        <w:t xml:space="preserve"> chovů prasat.</w:t>
      </w:r>
    </w:p>
  </w:footnote>
  <w:footnote w:id="144">
    <w:p w:rsidR="00234ED0" w:rsidRDefault="00234ED0" w:rsidP="000B7BEE">
      <w:pPr>
        <w:pStyle w:val="Textpoznpodarou"/>
      </w:pPr>
      <w:r w:rsidRPr="00E10D8F">
        <w:rPr>
          <w:rStyle w:val="Znakapoznpodarou"/>
          <w:i/>
        </w:rPr>
        <w:footnoteRef/>
      </w:r>
      <w:r w:rsidRPr="006A3C1D">
        <w:tab/>
        <w:t>V rámci klasifikační stupnice SEUROP.</w:t>
      </w:r>
    </w:p>
  </w:footnote>
  <w:footnote w:id="145">
    <w:p w:rsidR="00234ED0" w:rsidRDefault="00234ED0" w:rsidP="000B7BEE">
      <w:pPr>
        <w:pStyle w:val="Textpoznpodarou"/>
      </w:pPr>
      <w:r w:rsidRPr="00E10D8F">
        <w:rPr>
          <w:rStyle w:val="Znakapoznpodarou"/>
          <w:i/>
        </w:rPr>
        <w:footnoteRef/>
      </w:r>
      <w:r>
        <w:tab/>
        <w:t>P</w:t>
      </w:r>
      <w:r w:rsidRPr="00DA627A">
        <w:t>ropočet průměrné ceny na roční skladbu 201</w:t>
      </w:r>
      <w:r>
        <w:t>3.</w:t>
      </w:r>
    </w:p>
  </w:footnote>
  <w:footnote w:id="146">
    <w:p w:rsidR="00234ED0" w:rsidRDefault="00234ED0" w:rsidP="000B7BEE">
      <w:pPr>
        <w:pStyle w:val="Textpoznpodarou"/>
      </w:pPr>
      <w:r w:rsidRPr="00E10D8F">
        <w:rPr>
          <w:rStyle w:val="Znakapoznpodarou"/>
          <w:i/>
        </w:rPr>
        <w:footnoteRef/>
      </w:r>
      <w:r>
        <w:tab/>
      </w:r>
      <w:r w:rsidRPr="00514A08">
        <w:t>Dotační</w:t>
      </w:r>
      <w:r w:rsidRPr="004C2815">
        <w:t xml:space="preserve"> program 8. Nákazový </w:t>
      </w:r>
      <w:proofErr w:type="gramStart"/>
      <w:r w:rsidRPr="004C2815">
        <w:t>fond 8.F.c) Podpora</w:t>
      </w:r>
      <w:proofErr w:type="gramEnd"/>
      <w:r w:rsidRPr="004C2815">
        <w:t xml:space="preserve"> vybraných činností zaměřených na preventivní opatření proti výskytu zoonóz v chovech drůbeže</w:t>
      </w:r>
      <w:r>
        <w:t>.</w:t>
      </w:r>
    </w:p>
  </w:footnote>
  <w:footnote w:id="147">
    <w:p w:rsidR="00234ED0" w:rsidRDefault="00234ED0" w:rsidP="000B7BEE">
      <w:pPr>
        <w:pStyle w:val="Textpoznpodarou"/>
      </w:pPr>
      <w:r w:rsidRPr="00E10D8F">
        <w:rPr>
          <w:rStyle w:val="Znakapoznpodarou"/>
          <w:i/>
        </w:rPr>
        <w:footnoteRef/>
      </w:r>
      <w:r>
        <w:tab/>
      </w:r>
      <w:r w:rsidRPr="00116E98">
        <w:t xml:space="preserve">Čerstvá nebo chlazená nedělená drůbež druhu </w:t>
      </w:r>
      <w:proofErr w:type="spellStart"/>
      <w:r w:rsidRPr="00116E98">
        <w:t>Gallus</w:t>
      </w:r>
      <w:proofErr w:type="spellEnd"/>
      <w:r w:rsidRPr="00116E98">
        <w:t xml:space="preserve"> </w:t>
      </w:r>
      <w:proofErr w:type="spellStart"/>
      <w:r w:rsidRPr="00116E98">
        <w:t>domesticus</w:t>
      </w:r>
      <w:proofErr w:type="spellEnd"/>
      <w:r w:rsidRPr="00116E98">
        <w:t xml:space="preserve"> bez drobů</w:t>
      </w:r>
      <w:r>
        <w:t>.</w:t>
      </w:r>
    </w:p>
  </w:footnote>
  <w:footnote w:id="148">
    <w:p w:rsidR="00234ED0" w:rsidRDefault="00234ED0" w:rsidP="000B7BEE">
      <w:pPr>
        <w:pStyle w:val="Textpoznpodarou"/>
      </w:pPr>
      <w:r w:rsidRPr="00E10D8F">
        <w:rPr>
          <w:rStyle w:val="Znakapoznpodarou"/>
          <w:i/>
        </w:rPr>
        <w:footnoteRef/>
      </w:r>
      <w:r>
        <w:tab/>
        <w:t xml:space="preserve">Za </w:t>
      </w:r>
      <w:r w:rsidRPr="007F0201">
        <w:t>profesionální</w:t>
      </w:r>
      <w:r w:rsidRPr="007D66F2">
        <w:t xml:space="preserve"> chovatele</w:t>
      </w:r>
      <w:r>
        <w:t xml:space="preserve"> lze považovat včelaře vlastnícího 150 a více včelstev.</w:t>
      </w:r>
    </w:p>
  </w:footnote>
  <w:footnote w:id="149">
    <w:p w:rsidR="00234ED0" w:rsidRDefault="00234ED0" w:rsidP="000B7BEE">
      <w:pPr>
        <w:pStyle w:val="Textpoznpodarou"/>
      </w:pPr>
      <w:r w:rsidRPr="00E10D8F">
        <w:rPr>
          <w:rStyle w:val="Znakapoznpodarou"/>
          <w:i/>
        </w:rPr>
        <w:footnoteRef/>
      </w:r>
      <w:r>
        <w:tab/>
      </w:r>
      <w:r w:rsidRPr="00216674">
        <w:t xml:space="preserve">Vyhláška </w:t>
      </w:r>
      <w:r>
        <w:t xml:space="preserve">č. 289/2007 Sb., </w:t>
      </w:r>
      <w:r w:rsidRPr="00216674">
        <w:t>o veterinárních a hygienických požadavcích na živočišné produkty, které nejsou</w:t>
      </w:r>
      <w:r>
        <w:t xml:space="preserve"> upraveny přímo použitelnými předpisy Evropských společenství.</w:t>
      </w:r>
    </w:p>
  </w:footnote>
  <w:footnote w:id="150">
    <w:p w:rsidR="00234ED0" w:rsidRDefault="00234ED0" w:rsidP="000B7BEE">
      <w:pPr>
        <w:pStyle w:val="Textpoznpodarou"/>
      </w:pPr>
      <w:r w:rsidRPr="00E10D8F">
        <w:rPr>
          <w:rStyle w:val="Znakapoznpodarou"/>
          <w:i/>
        </w:rPr>
        <w:footnoteRef/>
      </w:r>
      <w:r>
        <w:tab/>
        <w:t>Výkazy o včelařství v ČR za roky 2013 a 2014.</w:t>
      </w:r>
    </w:p>
  </w:footnote>
  <w:footnote w:id="151">
    <w:p w:rsidR="00234ED0" w:rsidRPr="00D65006" w:rsidRDefault="00234ED0" w:rsidP="000B7BEE">
      <w:pPr>
        <w:pStyle w:val="Textpoznpodarou"/>
      </w:pPr>
      <w:r w:rsidRPr="00E10D8F">
        <w:rPr>
          <w:rStyle w:val="Znakapoznpodarou"/>
          <w:i/>
        </w:rPr>
        <w:footnoteRef/>
      </w:r>
      <w:r>
        <w:tab/>
      </w:r>
      <w:r w:rsidRPr="00D65006">
        <w:t xml:space="preserve">Podle prováděcího rozhodnutí Evropské Komise ze dne 12. 8. 2013 celková </w:t>
      </w:r>
      <w:r w:rsidRPr="00477E83">
        <w:t>částka</w:t>
      </w:r>
      <w:r w:rsidRPr="00D65006">
        <w:t xml:space="preserve"> na včelařská o</w:t>
      </w:r>
      <w:r>
        <w:t>patření pro rok 2014 činí 2 331 </w:t>
      </w:r>
      <w:r w:rsidRPr="00D65006">
        <w:t xml:space="preserve">552 </w:t>
      </w:r>
      <w:r>
        <w:t>€</w:t>
      </w:r>
      <w:r w:rsidRPr="00D65006">
        <w:t xml:space="preserve">. Pro stanovení celkové finanční částky v </w:t>
      </w:r>
      <w:r>
        <w:t>korunách</w:t>
      </w:r>
      <w:r w:rsidRPr="00D65006">
        <w:t xml:space="preserve"> byl</w:t>
      </w:r>
      <w:r>
        <w:t>,</w:t>
      </w:r>
      <w:r w:rsidRPr="00D65006">
        <w:t xml:space="preserve"> v souladu s čl. 7 nařízení Komise (ES) č. 1913/2006, v platném znění, </w:t>
      </w:r>
      <w:r>
        <w:t>po</w:t>
      </w:r>
      <w:r w:rsidRPr="00D65006">
        <w:t>užit směnný kurz ECB ze dne 31. 1</w:t>
      </w:r>
      <w:r>
        <w:t>2. 2013 ve výši 27,427 CZK/€.</w:t>
      </w:r>
    </w:p>
  </w:footnote>
  <w:footnote w:id="152">
    <w:p w:rsidR="00234ED0" w:rsidRDefault="00234ED0" w:rsidP="000B7BEE">
      <w:pPr>
        <w:pStyle w:val="Textpoznpodarou"/>
      </w:pPr>
      <w:r w:rsidRPr="00E10D8F">
        <w:rPr>
          <w:rStyle w:val="Znakapoznpodarou"/>
          <w:i/>
        </w:rPr>
        <w:footnoteRef/>
      </w:r>
      <w:r>
        <w:tab/>
        <w:t>Energetický regulační úřad.</w:t>
      </w:r>
    </w:p>
  </w:footnote>
  <w:footnote w:id="153">
    <w:p w:rsidR="00234ED0" w:rsidRDefault="00234ED0" w:rsidP="000B7BEE">
      <w:pPr>
        <w:pStyle w:val="Textpoznpodarou"/>
      </w:pPr>
      <w:r w:rsidRPr="00E10D8F">
        <w:rPr>
          <w:rStyle w:val="Znakapoznpodarou"/>
          <w:i/>
        </w:rPr>
        <w:footnoteRef/>
      </w:r>
      <w:r>
        <w:tab/>
      </w:r>
      <w:r w:rsidRPr="007A6E43">
        <w:t>Výše zeleného bonusu se mění každou hodinu podle vývoje ceny silové elektřiny</w:t>
      </w:r>
      <w:r>
        <w:t xml:space="preserve">. Vzorec pro výpočet hodinového </w:t>
      </w:r>
      <w:r w:rsidRPr="007A6E43">
        <w:t>zeleného bonusu stanoví vyhláška č. 140/2009 Sb</w:t>
      </w:r>
      <w:r>
        <w:t>.</w:t>
      </w:r>
      <w:r w:rsidRPr="007A6E43">
        <w:t xml:space="preserve"> o způsobu regulace cen v energetice.</w:t>
      </w:r>
    </w:p>
  </w:footnote>
  <w:footnote w:id="154">
    <w:p w:rsidR="00234ED0" w:rsidRDefault="00234ED0" w:rsidP="000B7BEE">
      <w:pPr>
        <w:pStyle w:val="Textpoznpodarou"/>
      </w:pPr>
      <w:r w:rsidRPr="00B601C2">
        <w:rPr>
          <w:rStyle w:val="Znakapoznpodarou"/>
          <w:i/>
        </w:rPr>
        <w:footnoteRef/>
      </w:r>
      <w:r>
        <w:tab/>
        <w:t>Poslední dostupné údaje jsou za rok 2013.</w:t>
      </w:r>
    </w:p>
  </w:footnote>
  <w:footnote w:id="155">
    <w:p w:rsidR="00234ED0" w:rsidRDefault="00234ED0" w:rsidP="000B7BEE">
      <w:pPr>
        <w:pStyle w:val="Textpoznpodarou"/>
      </w:pPr>
      <w:r w:rsidRPr="00E10D8F">
        <w:rPr>
          <w:rStyle w:val="Znakapoznpodarou"/>
          <w:i/>
        </w:rPr>
        <w:footnoteRef/>
      </w:r>
      <w:r>
        <w:tab/>
      </w:r>
      <w:r w:rsidRPr="00B02B4C">
        <w:t>CO</w:t>
      </w:r>
      <w:r w:rsidRPr="00B02B4C">
        <w:rPr>
          <w:vertAlign w:val="subscript"/>
        </w:rPr>
        <w:t>2eq</w:t>
      </w:r>
      <w:r>
        <w:t xml:space="preserve"> –</w:t>
      </w:r>
      <w:r w:rsidRPr="00303857">
        <w:t xml:space="preserve"> e</w:t>
      </w:r>
      <w:r>
        <w:t>kvivalent oxidu uhličitého.</w:t>
      </w:r>
    </w:p>
  </w:footnote>
  <w:footnote w:id="156">
    <w:p w:rsidR="00234ED0" w:rsidRDefault="00234ED0" w:rsidP="003B7071">
      <w:pPr>
        <w:pStyle w:val="Textpoznpodarou"/>
      </w:pPr>
      <w:r w:rsidRPr="00E10D8F">
        <w:rPr>
          <w:rStyle w:val="Znakapoznpodarou"/>
          <w:i/>
        </w:rPr>
        <w:footnoteRef/>
      </w:r>
      <w:r>
        <w:tab/>
        <w:t>Agrární zboží je definováno kapitolami 01</w:t>
      </w:r>
      <w:r>
        <w:noBreakHyphen/>
        <w:t>24 celního sazebníku.</w:t>
      </w:r>
    </w:p>
  </w:footnote>
  <w:footnote w:id="157">
    <w:p w:rsidR="00234ED0" w:rsidRDefault="00234ED0" w:rsidP="003B7071">
      <w:pPr>
        <w:pStyle w:val="Textpoznpodarou"/>
      </w:pPr>
      <w:r w:rsidRPr="00E10D8F">
        <w:rPr>
          <w:rStyle w:val="Znakapoznpodarou"/>
          <w:i/>
        </w:rPr>
        <w:footnoteRef/>
      </w:r>
      <w:r>
        <w:tab/>
      </w:r>
      <w:r w:rsidRPr="006A4F04">
        <w:t xml:space="preserve">Povinnost vykazovat data pro </w:t>
      </w:r>
      <w:proofErr w:type="spellStart"/>
      <w:r w:rsidRPr="006A4F04">
        <w:t>Intrastat</w:t>
      </w:r>
      <w:proofErr w:type="spellEnd"/>
      <w:r>
        <w:t xml:space="preserve"> </w:t>
      </w:r>
      <w:r w:rsidRPr="006A4F04">
        <w:t>vzniká osobám (fyzickým i právnickým)</w:t>
      </w:r>
      <w:r>
        <w:t>,</w:t>
      </w:r>
      <w:r w:rsidRPr="006A4F04">
        <w:t xml:space="preserve"> pokud jsou registrován</w:t>
      </w:r>
      <w:r>
        <w:t xml:space="preserve">y či identifikovány k DPH v ČR, </w:t>
      </w:r>
      <w:r w:rsidRPr="006A4F04">
        <w:t>odeslaly zboží do jiného členského státu anebo přijaly zboží z jiného</w:t>
      </w:r>
      <w:r>
        <w:t xml:space="preserve"> </w:t>
      </w:r>
      <w:r w:rsidRPr="006A4F04">
        <w:t>členského</w:t>
      </w:r>
      <w:r>
        <w:t xml:space="preserve"> státu</w:t>
      </w:r>
      <w:r w:rsidRPr="006A4F04">
        <w:t>, a to v hodnotě</w:t>
      </w:r>
      <w:r>
        <w:t xml:space="preserve"> </w:t>
      </w:r>
      <w:r w:rsidRPr="006A4F04">
        <w:t xml:space="preserve">dosahující prahu pro vykazování údajů do </w:t>
      </w:r>
      <w:proofErr w:type="spellStart"/>
      <w:r w:rsidRPr="006A4F04">
        <w:t>Intrastatu</w:t>
      </w:r>
      <w:proofErr w:type="spellEnd"/>
      <w:r w:rsidRPr="006A4F04">
        <w:t xml:space="preserve"> (od roku 2009 je výše prahů stanovena na </w:t>
      </w:r>
      <w:r>
        <w:t>8 mil. Kč pro odeslané a 8 mil. </w:t>
      </w:r>
      <w:r w:rsidRPr="006A4F04">
        <w:t>Kč pro přijaté zboží)</w:t>
      </w:r>
      <w:r>
        <w:t>.</w:t>
      </w:r>
    </w:p>
  </w:footnote>
  <w:footnote w:id="158">
    <w:p w:rsidR="00234ED0" w:rsidRDefault="00234ED0">
      <w:pPr>
        <w:pStyle w:val="Textpoznpodarou"/>
      </w:pPr>
      <w:r w:rsidRPr="00E10D8F">
        <w:rPr>
          <w:rStyle w:val="Znakapoznpodarou"/>
          <w:i/>
        </w:rPr>
        <w:footnoteRef/>
      </w:r>
      <w:r w:rsidRPr="00FB5BF8">
        <w:rPr>
          <w:rStyle w:val="Znakapoznpodarou"/>
          <w:vertAlign w:val="baseline"/>
        </w:rPr>
        <w:tab/>
      </w:r>
      <w:r>
        <w:t>Dopočty jsou ČSÚ prováděny do úrovně 2místných kódů HS. Na podrobnější úrovni jsou k dispozici pouze data bez dopočtů.</w:t>
      </w:r>
    </w:p>
  </w:footnote>
  <w:footnote w:id="159">
    <w:p w:rsidR="00234ED0" w:rsidRDefault="00234ED0">
      <w:pPr>
        <w:pStyle w:val="Textpoznpodarou"/>
      </w:pPr>
      <w:r w:rsidRPr="00E10D8F">
        <w:rPr>
          <w:rStyle w:val="Znakapoznpodarou"/>
          <w:i/>
        </w:rPr>
        <w:footnoteRef/>
      </w:r>
      <w:r w:rsidRPr="00FB5BF8">
        <w:rPr>
          <w:rStyle w:val="Znakapoznpodarou"/>
          <w:vertAlign w:val="baseline"/>
        </w:rPr>
        <w:tab/>
      </w:r>
      <w:r>
        <w:t>Netto-vývoz představuje obchod s aktivní bilancí, netto-dovoz naopak obchod s bilancí pasivní.</w:t>
      </w:r>
    </w:p>
  </w:footnote>
  <w:footnote w:id="160">
    <w:p w:rsidR="00234ED0" w:rsidRDefault="00234ED0">
      <w:pPr>
        <w:pStyle w:val="Textpoznpodarou"/>
      </w:pPr>
      <w:r w:rsidRPr="00E10D8F">
        <w:rPr>
          <w:rStyle w:val="Znakapoznpodarou"/>
          <w:i/>
        </w:rPr>
        <w:footnoteRef/>
      </w:r>
      <w:r>
        <w:tab/>
        <w:t>Dovoz je sledován podle země původu. Při sledování dovozu podle země odeslání činí podíl EU 28 (na základě dat o zahraničním obchodě ČSÚ získaných z interní aplikace MZe) 92,3 %.</w:t>
      </w:r>
    </w:p>
  </w:footnote>
  <w:footnote w:id="161">
    <w:p w:rsidR="00234ED0" w:rsidRDefault="00234ED0">
      <w:pPr>
        <w:pStyle w:val="Textpoznpodarou"/>
      </w:pPr>
      <w:r w:rsidRPr="00E10D8F">
        <w:rPr>
          <w:rStyle w:val="Znakapoznpodarou"/>
          <w:i/>
        </w:rPr>
        <w:footnoteRef/>
      </w:r>
      <w:r>
        <w:tab/>
        <w:t>Rozvojové země se zahrnutím nejméně rozvinutých zemí.</w:t>
      </w:r>
    </w:p>
  </w:footnote>
  <w:footnote w:id="162">
    <w:p w:rsidR="00234ED0" w:rsidRDefault="00234ED0" w:rsidP="003B7071">
      <w:pPr>
        <w:pStyle w:val="Textpoznpodarou"/>
      </w:pPr>
      <w:r w:rsidRPr="00E10D8F">
        <w:rPr>
          <w:rStyle w:val="Znakapoznpodarou"/>
          <w:i/>
        </w:rPr>
        <w:footnoteRef/>
      </w:r>
      <w:r>
        <w:tab/>
        <w:t>Téměř tři čtvrtiny hodnoty vyváženého mléka (bez smetany), tj. HS 0401 10 a 20, tvořila položka „mléko o obsahu tuku více než 3 % a maximálně 6 % v balení nad 2 litry“, která představuje hlavně surové mléko.</w:t>
      </w:r>
    </w:p>
  </w:footnote>
  <w:footnote w:id="163">
    <w:p w:rsidR="00234ED0" w:rsidRDefault="00234ED0" w:rsidP="003B7071">
      <w:pPr>
        <w:pStyle w:val="Textpoznpodarou"/>
      </w:pPr>
      <w:r w:rsidRPr="00E10D8F">
        <w:rPr>
          <w:rStyle w:val="Znakapoznpodarou"/>
          <w:i/>
        </w:rPr>
        <w:footnoteRef/>
      </w:r>
      <w:r>
        <w:tab/>
        <w:t>Dynamicky roste zvláště hodnota vývozu výživy pro psy a kočky v maloobchodním balení.</w:t>
      </w:r>
    </w:p>
  </w:footnote>
  <w:footnote w:id="164">
    <w:p w:rsidR="00234ED0" w:rsidRDefault="00234ED0">
      <w:pPr>
        <w:pStyle w:val="Textpoznpodarou"/>
      </w:pPr>
      <w:r w:rsidRPr="00E10D8F">
        <w:rPr>
          <w:rStyle w:val="Znakapoznpodarou"/>
          <w:i/>
        </w:rPr>
        <w:footnoteRef/>
      </w:r>
      <w:r>
        <w:tab/>
        <w:t>Poprvé byla kladná bilance obchodu s těmito masnými výrobky ve finančním vyjádření. V množstevním vyjádření byla bilance aktivní od roku 2011.</w:t>
      </w:r>
    </w:p>
  </w:footnote>
  <w:footnote w:id="165">
    <w:p w:rsidR="00234ED0" w:rsidRDefault="00234ED0">
      <w:pPr>
        <w:pStyle w:val="Textpoznpodarou"/>
      </w:pPr>
      <w:r w:rsidRPr="00E10D8F">
        <w:rPr>
          <w:rStyle w:val="Znakapoznpodarou"/>
          <w:i/>
        </w:rPr>
        <w:footnoteRef/>
      </w:r>
      <w:r>
        <w:tab/>
        <w:t>V množstevním vyjádření je bilance obchodu s „limonádami“ kladná bez přestávky.</w:t>
      </w:r>
    </w:p>
  </w:footnote>
  <w:footnote w:id="166">
    <w:p w:rsidR="00234ED0" w:rsidRDefault="00234ED0" w:rsidP="000B7BEE">
      <w:pPr>
        <w:pStyle w:val="Textpoznpodarou"/>
      </w:pPr>
      <w:r w:rsidRPr="00E10D8F">
        <w:rPr>
          <w:rStyle w:val="Znakapoznpodarou"/>
          <w:i/>
        </w:rPr>
        <w:footnoteRef/>
      </w:r>
      <w:r w:rsidRPr="00FB5BF8">
        <w:rPr>
          <w:rStyle w:val="Znakapoznpodarou"/>
          <w:vertAlign w:val="baseline"/>
        </w:rPr>
        <w:tab/>
      </w:r>
      <w:r>
        <w:t>Pro odpočet inflace byl zvolen výchozí rok 2010 (na bázi deflátoru vztaženého k celkové roční míře inflace).</w:t>
      </w:r>
    </w:p>
  </w:footnote>
  <w:footnote w:id="167">
    <w:p w:rsidR="00234ED0" w:rsidRDefault="00234ED0">
      <w:pPr>
        <w:pStyle w:val="Textpoznpodarou"/>
      </w:pPr>
      <w:r w:rsidRPr="00E10D8F">
        <w:rPr>
          <w:rStyle w:val="Znakapoznpodarou"/>
          <w:i/>
        </w:rPr>
        <w:footnoteRef/>
      </w:r>
      <w:r>
        <w:tab/>
        <w:t>V podporách zemědělské produkce (ukazatel DOT v tab. T10.1/01) nejsou obsaženy podpory zemědělských bioplynových stanic a výtopen na biomasu, které v roce 2014 představovaly cca 4 mld. Kč, vzhledem k tomu, že nepatří do tzv. nezemědělských neoddělitelných činností.</w:t>
      </w:r>
    </w:p>
  </w:footnote>
  <w:footnote w:id="168">
    <w:p w:rsidR="00234ED0" w:rsidRPr="007B7591" w:rsidRDefault="00234ED0">
      <w:pPr>
        <w:pStyle w:val="Textpoznpodarou"/>
      </w:pPr>
      <w:r w:rsidRPr="00E10D8F">
        <w:rPr>
          <w:rStyle w:val="Znakapoznpodarou"/>
          <w:i/>
        </w:rPr>
        <w:footnoteRef/>
      </w:r>
      <w:r w:rsidRPr="00FB5BF8">
        <w:rPr>
          <w:rStyle w:val="Znakapoznpodarou"/>
          <w:vertAlign w:val="baseline"/>
        </w:rPr>
        <w:tab/>
      </w:r>
      <w:r w:rsidRPr="007B7591">
        <w:t xml:space="preserve">V kapitole 10.2 je používán pojem </w:t>
      </w:r>
      <w:r>
        <w:t>„</w:t>
      </w:r>
      <w:r w:rsidRPr="007B7591">
        <w:t>podnik</w:t>
      </w:r>
      <w:r>
        <w:t>“</w:t>
      </w:r>
      <w:r w:rsidRPr="007B7591">
        <w:t xml:space="preserve">, přestože nový občanský zákoník (NOZ) s účinností od 1. 1. 2014 již tento pojem nahrazuje pojmem </w:t>
      </w:r>
      <w:r>
        <w:t>„</w:t>
      </w:r>
      <w:r w:rsidRPr="007B7591">
        <w:t>obchodní závod</w:t>
      </w:r>
      <w:r>
        <w:t>“</w:t>
      </w:r>
      <w:r w:rsidRPr="007B7591">
        <w:t xml:space="preserve">, který v § 502 NOZ je definován jako </w:t>
      </w:r>
      <w:r>
        <w:t>„</w:t>
      </w:r>
      <w:r w:rsidRPr="007B7591">
        <w:t>organizovaný soubor jmění, který podnikatel vytvořil a který z jeho vůle slouží k provozování jeho činnosti</w:t>
      </w:r>
      <w:r>
        <w:t>“.</w:t>
      </w:r>
      <w:r w:rsidRPr="007B7591">
        <w:t xml:space="preserve"> Pojem podnik je používán proto, že kapitola hodnotí ekonomické výsledky zemědělských podniků za roky 2012 a 2013, kdy ještě pojem podnik byl upraven v § 5 obchodního zákoníku.</w:t>
      </w:r>
    </w:p>
  </w:footnote>
  <w:footnote w:id="169">
    <w:p w:rsidR="00234ED0" w:rsidRPr="00CF2862" w:rsidRDefault="00234ED0" w:rsidP="000B7BEE">
      <w:pPr>
        <w:pStyle w:val="Textpoznpodarou"/>
      </w:pPr>
      <w:r w:rsidRPr="00E10D8F">
        <w:rPr>
          <w:rStyle w:val="Znakapoznpodarou"/>
          <w:i/>
        </w:rPr>
        <w:footnoteRef/>
      </w:r>
      <w:r>
        <w:tab/>
      </w:r>
      <w:r w:rsidRPr="00C83A02">
        <w:t xml:space="preserve">Výchozí bázi </w:t>
      </w:r>
      <w:r>
        <w:t xml:space="preserve">systému vážení dat FADN </w:t>
      </w:r>
      <w:r w:rsidRPr="00C83A02">
        <w:t>tvoří údaje ze Stru</w:t>
      </w:r>
      <w:r>
        <w:t>kturálního šetření v zemědělství</w:t>
      </w:r>
      <w:r w:rsidRPr="00C83A02">
        <w:t xml:space="preserve">, které organizuje </w:t>
      </w:r>
      <w:proofErr w:type="spellStart"/>
      <w:r w:rsidRPr="00C83A02">
        <w:t>E</w:t>
      </w:r>
      <w:r>
        <w:t>urostat</w:t>
      </w:r>
      <w:proofErr w:type="spellEnd"/>
      <w:r w:rsidRPr="00C83A02">
        <w:t xml:space="preserve"> </w:t>
      </w:r>
      <w:r>
        <w:t xml:space="preserve">prostřednictvím národních statistických úřadů </w:t>
      </w:r>
      <w:r w:rsidRPr="00C83A02">
        <w:t xml:space="preserve">ve všech členských státech EU. Každý zemědělský podnik tohoto šetření je </w:t>
      </w:r>
      <w:r>
        <w:t>podle</w:t>
      </w:r>
      <w:r w:rsidRPr="00C83A02">
        <w:t xml:space="preserve"> klasifika</w:t>
      </w:r>
      <w:r>
        <w:t>ce</w:t>
      </w:r>
      <w:r w:rsidRPr="00C83A02">
        <w:t xml:space="preserve"> EU zařazen </w:t>
      </w:r>
      <w:r>
        <w:t xml:space="preserve">do </w:t>
      </w:r>
      <w:r w:rsidRPr="00C83A02">
        <w:t>výrobního zaměření a ekonomické vel</w:t>
      </w:r>
      <w:r>
        <w:t>i</w:t>
      </w:r>
      <w:r w:rsidRPr="00C83A02">
        <w:t>kosti. Podniky výběrového souboru FADN jsou klasifikovány obdobným systémem</w:t>
      </w:r>
      <w:r>
        <w:t>, a</w:t>
      </w:r>
      <w:r w:rsidRPr="00C83A02">
        <w:t xml:space="preserve"> proto </w:t>
      </w:r>
      <w:r>
        <w:t>lze</w:t>
      </w:r>
      <w:r w:rsidRPr="00C83A02">
        <w:t xml:space="preserve"> každému podniku v</w:t>
      </w:r>
      <w:r>
        <w:t> </w:t>
      </w:r>
      <w:r w:rsidRPr="00C83A02">
        <w:t>souboru FADN přidělit tzv. váhový faktor vyjadřující počet podniků, k</w:t>
      </w:r>
      <w:r>
        <w:t>teré tento podnik reprezentuje.</w:t>
      </w:r>
    </w:p>
  </w:footnote>
  <w:footnote w:id="170">
    <w:p w:rsidR="00234ED0" w:rsidRPr="004B1E9D" w:rsidRDefault="00234ED0" w:rsidP="000B7BEE">
      <w:pPr>
        <w:pStyle w:val="Textpoznpodarou"/>
      </w:pPr>
      <w:r w:rsidRPr="00E10D8F">
        <w:rPr>
          <w:rStyle w:val="Znakapoznpodarou"/>
          <w:i/>
        </w:rPr>
        <w:footnoteRef/>
      </w:r>
      <w:r>
        <w:tab/>
      </w:r>
      <w:r w:rsidRPr="00A178EB">
        <w:t xml:space="preserve">Standardní výstup FADN EU je soubor vybraných ukazatelů, </w:t>
      </w:r>
      <w:r>
        <w:t xml:space="preserve">poskytující </w:t>
      </w:r>
      <w:r w:rsidRPr="00A178EB">
        <w:t xml:space="preserve">pohled na strukturální charakteristiky a ekonomickou situaci </w:t>
      </w:r>
      <w:r>
        <w:t xml:space="preserve">šetřených </w:t>
      </w:r>
      <w:r w:rsidRPr="00A178EB">
        <w:t>zemědělských podniků.</w:t>
      </w:r>
      <w:r>
        <w:t xml:space="preserve"> Metodika standardního výstupu do značné míry koresponduje s postupy účtování v ČR, avšak do hodnocení hospodářských výsledků podniků zahrnuje pouze jejich zemědělskou činnost včetně lesní výroby a agroturistiky.</w:t>
      </w:r>
      <w:r w:rsidRPr="004B1E9D">
        <w:t xml:space="preserve"> </w:t>
      </w:r>
      <w:r>
        <w:t>Do ukazatelů produkce i nákladů se započítává vnitropodniková spotřeba vlastního meziproduktu, dotace investiční povahy jsou započteny do důchodu ze zemědělské činnosti.</w:t>
      </w:r>
      <w:r w:rsidRPr="004B1E9D">
        <w:t xml:space="preserve"> </w:t>
      </w:r>
      <w:r>
        <w:t>E</w:t>
      </w:r>
      <w:r w:rsidRPr="004B1E9D">
        <w:t xml:space="preserve">konomické kategorie mají samostatnou metodiku a nejsou </w:t>
      </w:r>
      <w:r>
        <w:t xml:space="preserve">tak </w:t>
      </w:r>
      <w:r w:rsidRPr="004B1E9D">
        <w:t>plně kompatibilní s kategoriemi odvozenými z</w:t>
      </w:r>
      <w:r>
        <w:t> </w:t>
      </w:r>
      <w:r w:rsidRPr="004B1E9D">
        <w:t>celopodnikových účetních výkazů a daňové evidence.</w:t>
      </w:r>
    </w:p>
  </w:footnote>
  <w:footnote w:id="171">
    <w:p w:rsidR="00234ED0" w:rsidRDefault="00234ED0" w:rsidP="000B7BEE">
      <w:pPr>
        <w:pStyle w:val="Textpoznpodarou"/>
      </w:pPr>
      <w:r w:rsidRPr="00E10D8F">
        <w:rPr>
          <w:rStyle w:val="Znakapoznpodarou"/>
          <w:i/>
        </w:rPr>
        <w:footnoteRef/>
      </w:r>
      <w:r>
        <w:tab/>
        <w:t>Standardní produkcí (SP) se rozumí hodnota produkce odpovídající průměrné situaci v daném regionu pro každé zemědělské produkční odvětví. Celková SP podniku odpovídá součtu hodnot získaných za každé produkční odvětví vynásobením standardní produkcí připadající na jednotku počtem odpovídajících jednotek. Hodnoty SP se v produkčních odvětvích rostlinné výroby určují na základě plochy v hektarech. Hodnoty SP se v živočišné výrobě určují na jeden kus hospodářského zvířete s výjimkou drůbeže, u níž se určují na 100 kusů, a včel, u nichž se určují na jedno včelstvo.</w:t>
      </w:r>
    </w:p>
  </w:footnote>
  <w:footnote w:id="172">
    <w:p w:rsidR="00234ED0" w:rsidRPr="006D6E5D" w:rsidRDefault="00234ED0">
      <w:pPr>
        <w:pStyle w:val="Textpoznpodarou"/>
      </w:pPr>
      <w:r w:rsidRPr="00E10D8F">
        <w:rPr>
          <w:rStyle w:val="Znakapoznpodarou"/>
          <w:i/>
        </w:rPr>
        <w:footnoteRef/>
      </w:r>
      <w:r>
        <w:tab/>
      </w:r>
      <w:r w:rsidRPr="00CE3FF0">
        <w:t>ČPH vyjadřuje ekonomický přínos dosažený z produkce po zaúčtování výrobní spotřeby, odpisů dlouhodobého nehmotného a hmotného majetku, provozních dotací a daní a je zdrojem k úhradě nákladů na práci, půdu (nájemné) a kapitál (úroky).</w:t>
      </w:r>
      <w:r>
        <w:t xml:space="preserve"> AWU (</w:t>
      </w:r>
      <w:proofErr w:type="spellStart"/>
      <w:r w:rsidRPr="009471A0">
        <w:t>Annual</w:t>
      </w:r>
      <w:proofErr w:type="spellEnd"/>
      <w:r w:rsidRPr="009471A0">
        <w:t xml:space="preserve"> </w:t>
      </w:r>
      <w:proofErr w:type="spellStart"/>
      <w:r w:rsidRPr="009471A0">
        <w:t>Work</w:t>
      </w:r>
      <w:proofErr w:type="spellEnd"/>
      <w:r w:rsidRPr="009471A0">
        <w:t xml:space="preserve"> Unit</w:t>
      </w:r>
      <w:r>
        <w:t>, roční pracovní jednotka) = 2 000 hodin práce za rok.</w:t>
      </w:r>
    </w:p>
  </w:footnote>
  <w:footnote w:id="173">
    <w:p w:rsidR="00234ED0" w:rsidRPr="007C02B2" w:rsidRDefault="00234ED0" w:rsidP="000B7BEE">
      <w:pPr>
        <w:pStyle w:val="Textpoznpodarou"/>
      </w:pPr>
      <w:r w:rsidRPr="00E10D8F">
        <w:rPr>
          <w:rStyle w:val="Znakapoznpodarou"/>
          <w:i/>
        </w:rPr>
        <w:footnoteRef/>
      </w:r>
      <w:r>
        <w:tab/>
        <w:t>Síť FADN nezohledňuje náklady příležitosti využití vlastní práce, půdy a kapitálu, které snižují reálnou ekonomickou situaci zejména podniků fyzických osob s vyšším podílem vlastní práce a půdy.</w:t>
      </w:r>
    </w:p>
  </w:footnote>
  <w:footnote w:id="174">
    <w:p w:rsidR="00234ED0" w:rsidRDefault="00234ED0">
      <w:pPr>
        <w:pStyle w:val="Textpoznpodarou"/>
      </w:pPr>
      <w:r w:rsidRPr="00E10D8F">
        <w:rPr>
          <w:rStyle w:val="Znakapoznpodarou"/>
          <w:i/>
        </w:rPr>
        <w:footnoteRef/>
      </w:r>
      <w:r>
        <w:tab/>
        <w:t>Ostatní produkci tvoří příjmy za zemědělské služby, výroba elektrické energie, výroba potravin, náhrady z pojištění a příjmy z pronájmu budov a pozemků.</w:t>
      </w:r>
    </w:p>
  </w:footnote>
  <w:footnote w:id="175">
    <w:p w:rsidR="00234ED0" w:rsidRPr="00D0630D" w:rsidRDefault="00234ED0" w:rsidP="000B7BEE">
      <w:pPr>
        <w:pStyle w:val="Textpoznpodarou"/>
      </w:pPr>
      <w:r w:rsidRPr="00E10D8F">
        <w:rPr>
          <w:rStyle w:val="Znakapoznpodarou"/>
          <w:i/>
        </w:rPr>
        <w:footnoteRef/>
      </w:r>
      <w:r>
        <w:tab/>
        <w:t>Hodnota standardní produkce je vyjádřena 5letým průměrem – pro rok 2010 se jedná o období 2008-2012.</w:t>
      </w:r>
    </w:p>
  </w:footnote>
  <w:footnote w:id="176">
    <w:p w:rsidR="00234ED0" w:rsidRDefault="00234ED0" w:rsidP="000B7BEE">
      <w:pPr>
        <w:pStyle w:val="Textpoznpodarou"/>
      </w:pPr>
      <w:r w:rsidRPr="00E10D8F">
        <w:rPr>
          <w:rStyle w:val="Znakapoznpodarou"/>
          <w:i/>
        </w:rPr>
        <w:footnoteRef/>
      </w:r>
      <w:r>
        <w:tab/>
        <w:t>Provozní dotace a podpory v podnicích hospodařících v horských oblastech představovaly 39,5 % hrubého příjmu, tvořeného hodnotou celkové produkce a výší vyplacených provozních dotací. V oblastech převážně mimo LFA byla závislost na dotacích nižší (18,7 %).</w:t>
      </w:r>
    </w:p>
  </w:footnote>
  <w:footnote w:id="177">
    <w:p w:rsidR="00234ED0" w:rsidRPr="008F65AF" w:rsidRDefault="00234ED0" w:rsidP="000B7BEE">
      <w:pPr>
        <w:pStyle w:val="Textpoznpodarou"/>
      </w:pPr>
      <w:r w:rsidRPr="00E10D8F">
        <w:rPr>
          <w:rStyle w:val="Znakapoznpodarou"/>
          <w:i/>
        </w:rPr>
        <w:footnoteRef/>
      </w:r>
      <w:r>
        <w:tab/>
        <w:t xml:space="preserve">V celkové produkci nejsou zahrnuty kompenzační platby za </w:t>
      </w:r>
      <w:proofErr w:type="spellStart"/>
      <w:r>
        <w:t>agro</w:t>
      </w:r>
      <w:proofErr w:type="spellEnd"/>
      <w:r>
        <w:t>-environmentální služby (platby za AEO a ekologické zemědělství), i když sem z metodického hlediska jako platby za produkci veřejného zboží patří. Zahrnutí těchto plateb do produkce by významně měnilo pohled na ekonomickou situaci zejména podniků v horských oblastech LFA s vysokou úrovní plateb za AEO a ekologické zemědělství na TTP.</w:t>
      </w:r>
    </w:p>
  </w:footnote>
  <w:footnote w:id="178">
    <w:p w:rsidR="00234ED0" w:rsidRDefault="00234ED0" w:rsidP="000B7BEE">
      <w:pPr>
        <w:pStyle w:val="Textpoznpodarou"/>
      </w:pPr>
      <w:r w:rsidRPr="00E10D8F">
        <w:rPr>
          <w:rStyle w:val="Znakapoznpodarou"/>
          <w:i/>
        </w:rPr>
        <w:footnoteRef/>
      </w:r>
      <w:r>
        <w:tab/>
        <w:t>Vztaženo k počtu reprezentovaných podniků v daném odvětví (výrobním zaměření) podle údajů ČSÚ.</w:t>
      </w:r>
    </w:p>
  </w:footnote>
  <w:footnote w:id="179">
    <w:p w:rsidR="00234ED0" w:rsidRPr="00201264" w:rsidRDefault="00234ED0">
      <w:pPr>
        <w:pStyle w:val="Textpoznpodarou"/>
      </w:pPr>
      <w:r w:rsidRPr="00E10D8F">
        <w:rPr>
          <w:rStyle w:val="Znakapoznpodarou"/>
          <w:i/>
        </w:rPr>
        <w:footnoteRef/>
      </w:r>
      <w:r>
        <w:tab/>
        <w:t>V kategorii převažující polní výroba dosahují nejvyšší hodnoty ČPH/AWU (828,7 tis. Kč v roce 2013) středně velké podniky se 198,6 ha/podnik a 1,6 AWU/100 ha.</w:t>
      </w:r>
    </w:p>
  </w:footnote>
  <w:footnote w:id="180">
    <w:p w:rsidR="00234ED0" w:rsidRDefault="00234ED0" w:rsidP="000B7BEE">
      <w:pPr>
        <w:pStyle w:val="Textpoznpodarou"/>
      </w:pPr>
      <w:r w:rsidRPr="00E10D8F">
        <w:rPr>
          <w:rStyle w:val="Znakapoznpodarou"/>
          <w:i/>
        </w:rPr>
        <w:footnoteRef/>
      </w:r>
      <w:r>
        <w:tab/>
      </w:r>
      <w:r w:rsidRPr="00D34D61">
        <w:t xml:space="preserve">Pro zajištění vyšší přesnosti výsledků v přepočtu na hektar byl soubor FADN </w:t>
      </w:r>
      <w:r>
        <w:t>ČR</w:t>
      </w:r>
      <w:r w:rsidRPr="00D34D61">
        <w:t xml:space="preserve"> očištěn o podniky bez obhospodařované zemědělské půdy (podniky specializované na chov prasat a drůbeže). Objem investic v těchto podnicích po roce 2006 prudce poklesl, v souladu s dlouhodobým snižováním rozměru chovu prasat v ČR. V letech 2007</w:t>
      </w:r>
      <w:r>
        <w:noBreakHyphen/>
      </w:r>
      <w:r w:rsidRPr="00D34D61">
        <w:t xml:space="preserve">2009 investice nepokryly ani prostou reprodukci dlouhodobého majetku. </w:t>
      </w:r>
      <w:r>
        <w:t>Od roku</w:t>
      </w:r>
      <w:r w:rsidRPr="00D34D61">
        <w:t xml:space="preserve"> 201</w:t>
      </w:r>
      <w:r>
        <w:t>0</w:t>
      </w:r>
      <w:r w:rsidRPr="00D34D61">
        <w:t xml:space="preserve"> se investiční aktivita díky mírně lepším ekonomickým výsledkům podniků sp</w:t>
      </w:r>
      <w:r>
        <w:t>ecializovaných na chov prasat a </w:t>
      </w:r>
      <w:r w:rsidRPr="00D34D61">
        <w:t>drůbeže zvýšila a objem investic již převýšil celkový objem odpisů dlouhodobého nehmotného a hmotného majetku.</w:t>
      </w:r>
    </w:p>
  </w:footnote>
  <w:footnote w:id="181">
    <w:p w:rsidR="00234ED0" w:rsidRPr="00091099" w:rsidRDefault="00234ED0" w:rsidP="000B7BEE">
      <w:pPr>
        <w:pStyle w:val="Textpoznpodarou"/>
      </w:pPr>
      <w:r w:rsidRPr="00E10D8F">
        <w:rPr>
          <w:rStyle w:val="Znakapoznpodarou"/>
          <w:i/>
        </w:rPr>
        <w:footnoteRef/>
      </w:r>
      <w:r w:rsidRPr="00FB5BF8">
        <w:rPr>
          <w:rStyle w:val="Znakapoznpodarou"/>
          <w:vertAlign w:val="baseline"/>
        </w:rPr>
        <w:tab/>
      </w:r>
      <w:r w:rsidRPr="00091099">
        <w:t>Jde o soubor podnikatelských subjektů Výroby potravinářských výrobků a Výroby nápojů všech velikostních kategorií.</w:t>
      </w:r>
    </w:p>
  </w:footnote>
  <w:footnote w:id="182">
    <w:p w:rsidR="00234ED0" w:rsidRPr="00881BE5" w:rsidRDefault="00234ED0" w:rsidP="000B7BEE">
      <w:pPr>
        <w:pStyle w:val="Textpoznpodarou"/>
      </w:pPr>
      <w:r w:rsidRPr="00E10D8F">
        <w:rPr>
          <w:rStyle w:val="Znakapoznpodarou"/>
          <w:i/>
        </w:rPr>
        <w:footnoteRef/>
      </w:r>
      <w:r>
        <w:tab/>
        <w:t>Výkonovou spotřebu tvoří spotřebované nákupy a služby. Spotřebované nákupy představují hodnotu nakoupeného a již spotřebovaného materiálu, energie a neskladovatelných dodávek (např. voda pro technologické účely). Služby představují hodnotu nakoupených externích služeb (opravy a udržování, cestovné, přepravné, nájemné apod.), tj. výkonů od ostatních jednotek.</w:t>
      </w:r>
    </w:p>
  </w:footnote>
  <w:footnote w:id="183">
    <w:p w:rsidR="00234ED0" w:rsidRPr="00DB580A" w:rsidRDefault="00234ED0">
      <w:pPr>
        <w:pStyle w:val="Textpoznpodarou"/>
      </w:pPr>
      <w:r w:rsidRPr="00E10D8F">
        <w:rPr>
          <w:rStyle w:val="Znakapoznpodarou"/>
          <w:i/>
        </w:rPr>
        <w:footnoteRef/>
      </w:r>
      <w:r w:rsidRPr="00FB5BF8">
        <w:rPr>
          <w:rStyle w:val="Znakapoznpodarou"/>
          <w:vertAlign w:val="baseline"/>
        </w:rPr>
        <w:tab/>
      </w:r>
      <w:r>
        <w:t>Účetní přidaná hodnota představuje výkony vč. obchodní marže zmenšené o výkonovou spotřebu.</w:t>
      </w:r>
    </w:p>
  </w:footnote>
  <w:footnote w:id="184">
    <w:p w:rsidR="00234ED0" w:rsidRPr="00417BDA" w:rsidRDefault="00234ED0" w:rsidP="000B7BEE">
      <w:pPr>
        <w:pStyle w:val="Textpoznpodarou"/>
      </w:pPr>
      <w:r w:rsidRPr="00E10D8F">
        <w:rPr>
          <w:rStyle w:val="Znakapoznpodarou"/>
          <w:i/>
        </w:rPr>
        <w:footnoteRef/>
      </w:r>
      <w:r>
        <w:tab/>
        <w:t>Osobní náklady obsahují mzdové náklady, včetně příjmů společníků a členů družstva ze závislé činnosti, odměny členům orgánů společnosti a družstva, náklady na sociální zabezpečení a zdravotní pojištění zákonné i ostatní a sociální náklady zákonné i ostatní, včetně sociálních nákladů fyzické osoby.</w:t>
      </w:r>
    </w:p>
  </w:footnote>
  <w:footnote w:id="185">
    <w:p w:rsidR="00234ED0" w:rsidRPr="00717EEB" w:rsidRDefault="00234ED0">
      <w:pPr>
        <w:pStyle w:val="Textpoznpodarou"/>
      </w:pPr>
      <w:r w:rsidRPr="00E10D8F">
        <w:rPr>
          <w:rStyle w:val="Znakapoznpodarou"/>
          <w:i/>
        </w:rPr>
        <w:footnoteRef/>
      </w:r>
      <w:r>
        <w:tab/>
      </w:r>
      <w:r w:rsidRPr="006F149C">
        <w:rPr>
          <w:szCs w:val="20"/>
        </w:rPr>
        <w:t>Hrubý operační přebytek = účetní přidaná hodnota – osobní náklady</w:t>
      </w:r>
      <w:r>
        <w:rPr>
          <w:szCs w:val="20"/>
        </w:rPr>
        <w:t>.</w:t>
      </w:r>
    </w:p>
  </w:footnote>
  <w:footnote w:id="186">
    <w:p w:rsidR="00234ED0" w:rsidRPr="00144CD0" w:rsidRDefault="00234ED0" w:rsidP="000B7BEE">
      <w:pPr>
        <w:pStyle w:val="Textpoznpodarou"/>
      </w:pPr>
      <w:r w:rsidRPr="00E10D8F">
        <w:rPr>
          <w:rStyle w:val="Znakapoznpodarou"/>
          <w:i/>
        </w:rPr>
        <w:footnoteRef/>
      </w:r>
      <w:r w:rsidRPr="00FB5BF8">
        <w:rPr>
          <w:rStyle w:val="Znakapoznpodarou"/>
          <w:vertAlign w:val="baseline"/>
        </w:rPr>
        <w:tab/>
      </w:r>
      <w:r>
        <w:t>CZ</w:t>
      </w:r>
      <w:r>
        <w:noBreakHyphen/>
        <w:t>NACE</w:t>
      </w:r>
      <w:r w:rsidRPr="00717EEB">
        <w:t xml:space="preserve"> 10.1 – Zpracování a konzervování masa a masných výrobků, </w:t>
      </w:r>
      <w:r>
        <w:t>CZ</w:t>
      </w:r>
      <w:r>
        <w:noBreakHyphen/>
        <w:t>NACE</w:t>
      </w:r>
      <w:r w:rsidRPr="00717EEB">
        <w:t xml:space="preserve"> 10.2 – Zpracování a konzervování ryb, korýšů a měkkýšů, </w:t>
      </w:r>
      <w:r>
        <w:t>CZ</w:t>
      </w:r>
      <w:r>
        <w:noBreakHyphen/>
        <w:t>NACE</w:t>
      </w:r>
      <w:r w:rsidRPr="00717EEB">
        <w:t xml:space="preserve"> 10.3 – Zpracování a konzervování ovoce a zeleniny, </w:t>
      </w:r>
      <w:r>
        <w:t>CZ</w:t>
      </w:r>
      <w:r>
        <w:noBreakHyphen/>
        <w:t>NACE</w:t>
      </w:r>
      <w:r w:rsidRPr="00717EEB">
        <w:t xml:space="preserve"> 10.4 – Výroba rostlinných a živočišných olejů a tuků, </w:t>
      </w:r>
      <w:r>
        <w:t>CZ</w:t>
      </w:r>
      <w:r>
        <w:noBreakHyphen/>
        <w:t>NACE</w:t>
      </w:r>
      <w:r w:rsidRPr="00717EEB">
        <w:t xml:space="preserve"> 10.5 – Výroba mléčných výrobků, </w:t>
      </w:r>
      <w:r>
        <w:t>CZ</w:t>
      </w:r>
      <w:r>
        <w:noBreakHyphen/>
        <w:t>NACE</w:t>
      </w:r>
      <w:r w:rsidRPr="00717EEB">
        <w:t xml:space="preserve"> 10.6 – Výroba mlýnských a škrobárenských výrobků, </w:t>
      </w:r>
      <w:r>
        <w:t>CZ</w:t>
      </w:r>
      <w:r>
        <w:noBreakHyphen/>
        <w:t>NACE</w:t>
      </w:r>
      <w:r w:rsidRPr="00717EEB">
        <w:t xml:space="preserve"> 10.7 – Výroba pekařských, cukrářských a jiných moučných výrobků, </w:t>
      </w:r>
      <w:r>
        <w:t>CZ</w:t>
      </w:r>
      <w:r>
        <w:noBreakHyphen/>
        <w:t>NACE</w:t>
      </w:r>
      <w:r w:rsidRPr="00717EEB">
        <w:t xml:space="preserve"> 10.8 – Výroba ostatních potravinářských výrobků, </w:t>
      </w:r>
      <w:r>
        <w:t>CZ</w:t>
      </w:r>
      <w:r>
        <w:noBreakHyphen/>
        <w:t>NACE</w:t>
      </w:r>
      <w:r w:rsidRPr="00717EEB">
        <w:t xml:space="preserve"> 10.9 – Výroba průmyslových krmiv.</w:t>
      </w:r>
    </w:p>
  </w:footnote>
  <w:footnote w:id="187">
    <w:p w:rsidR="00234ED0" w:rsidRDefault="00234ED0" w:rsidP="000B7BEE">
      <w:pPr>
        <w:pStyle w:val="Textpoznpodarou"/>
      </w:pPr>
      <w:r w:rsidRPr="00E10D8F">
        <w:rPr>
          <w:rStyle w:val="Znakapoznpodarou"/>
          <w:i/>
        </w:rPr>
        <w:footnoteRef/>
      </w:r>
      <w:r>
        <w:tab/>
        <w:t>Výsledky za soubor s 50 a více zaměstnanci mají s ohledem na velikostní heterogennost tohoto souboru omezenou vypovídací schopnost. Jde o průměrný evidenční počet zaměstnanců. (U souboru subjektů s 10 až 49 zaměstnanci nejsou podrobnější údaje, včetně jejich oborové struktury, sledovány).</w:t>
      </w:r>
    </w:p>
  </w:footnote>
  <w:footnote w:id="188">
    <w:p w:rsidR="00234ED0" w:rsidRPr="00331F5F" w:rsidRDefault="00234ED0" w:rsidP="000B7BEE">
      <w:pPr>
        <w:pStyle w:val="Textpoznpodarou"/>
      </w:pPr>
      <w:r w:rsidRPr="00E968B2">
        <w:rPr>
          <w:rStyle w:val="Znakapoznpodarou"/>
          <w:i/>
        </w:rPr>
        <w:footnoteRef/>
      </w:r>
      <w:r w:rsidRPr="00FB5BF8">
        <w:rPr>
          <w:rStyle w:val="Znakapoznpodarou"/>
          <w:vertAlign w:val="baseline"/>
        </w:rPr>
        <w:tab/>
      </w:r>
      <w:r>
        <w:t>T</w:t>
      </w:r>
      <w:r w:rsidRPr="00B6188A">
        <w:t>j. Výroby cukru, Výroby kakaa, čokolády a cukrovinek, Zpracování čaje a kávy, Výroby ko</w:t>
      </w:r>
      <w:r>
        <w:t>ření a </w:t>
      </w:r>
      <w:r w:rsidRPr="00B6188A">
        <w:t>aromatických výtažků, Výroby hotových pokrmů, Výroby homogenizovan</w:t>
      </w:r>
      <w:r>
        <w:t>ých potravinářských přípravků a </w:t>
      </w:r>
      <w:r w:rsidRPr="00B6188A">
        <w:t>dietních potravin, Výroby ostatních potravinářských výrobků j. n.</w:t>
      </w:r>
    </w:p>
  </w:footnote>
  <w:footnote w:id="189">
    <w:p w:rsidR="00234ED0" w:rsidRPr="008D3680" w:rsidRDefault="00234ED0">
      <w:pPr>
        <w:pStyle w:val="Textpoznpodarou"/>
      </w:pPr>
      <w:r w:rsidRPr="00E968B2">
        <w:rPr>
          <w:rStyle w:val="Znakapoznpodarou"/>
          <w:i/>
        </w:rPr>
        <w:footnoteRef/>
      </w:r>
      <w:r>
        <w:tab/>
        <w:t>Hrubá mzda bez ostatních osobních nákladů, která připadla v průměru na jednoho zaměstnance (vedeného v evidenčním počtu zaměstnanců) za jeden měsíc.</w:t>
      </w:r>
    </w:p>
  </w:footnote>
  <w:footnote w:id="190">
    <w:p w:rsidR="00234ED0" w:rsidRPr="00E07EDE" w:rsidRDefault="00234ED0">
      <w:pPr>
        <w:pStyle w:val="Textpoznpodarou"/>
      </w:pPr>
      <w:r w:rsidRPr="00E968B2">
        <w:rPr>
          <w:rStyle w:val="Znakapoznpodarou"/>
          <w:i/>
        </w:rPr>
        <w:footnoteRef/>
      </w:r>
      <w:r>
        <w:tab/>
        <w:t>Do ukazatele se zahrnují všichni stálí i dočasní zaměstnanci, kteří jsou k zaměstnavateli v pracovním poměru.</w:t>
      </w:r>
    </w:p>
  </w:footnote>
  <w:footnote w:id="191">
    <w:p w:rsidR="00234ED0" w:rsidRDefault="00234ED0" w:rsidP="0071343A">
      <w:pPr>
        <w:pStyle w:val="Textpoznpodarou"/>
      </w:pPr>
      <w:r w:rsidRPr="00B601C2">
        <w:rPr>
          <w:rStyle w:val="Znakapoznpodarou"/>
          <w:i/>
        </w:rPr>
        <w:footnoteRef/>
      </w:r>
      <w:r>
        <w:tab/>
        <w:t xml:space="preserve">Nejsou tak zahrnovány podpory zemědělství ze strany spotřebitelů, vyplývající z ochrany agrárního trhu EU vůči třetím zemím. Rovněž podpory tzv. obecných služeb nejsou zatím prezentovány v plné šíři </w:t>
      </w:r>
      <w:r w:rsidRPr="00A82E28">
        <w:t xml:space="preserve">podle požadavků OECD </w:t>
      </w:r>
      <w:r>
        <w:t>(zejména jde o veřejné výdaje na školství a vzdělávání a na veškeré kontrolní činnosti státu v agrárním sektoru).</w:t>
      </w:r>
    </w:p>
  </w:footnote>
  <w:footnote w:id="192">
    <w:p w:rsidR="00234ED0" w:rsidRDefault="00234ED0">
      <w:pPr>
        <w:pStyle w:val="Textpoznpodarou"/>
      </w:pPr>
      <w:r w:rsidRPr="00B601C2">
        <w:rPr>
          <w:rStyle w:val="Znakapoznpodarou"/>
          <w:i/>
        </w:rPr>
        <w:footnoteRef/>
      </w:r>
      <w:r>
        <w:tab/>
        <w:t>Jsou zahrnuty pouze podpory výroby elektřiny a tepla v zemědělských BPS a výtopnách na biomasu. Nejsou (zatím) evidovány další nepřímé dopady podpor OZE v podobě daňových úlev biopaliv (které hradí daňový poplatník), resp. v podobě povinného procenta biosložek v palivech pro dopravu (které hradí spotřebitel paliv).</w:t>
      </w:r>
    </w:p>
  </w:footnote>
  <w:footnote w:id="193">
    <w:p w:rsidR="00234ED0" w:rsidRDefault="00234ED0" w:rsidP="0071343A">
      <w:pPr>
        <w:pStyle w:val="Textpoznpodarou"/>
      </w:pPr>
      <w:r w:rsidRPr="00B601C2">
        <w:rPr>
          <w:rStyle w:val="Znakapoznpodarou"/>
          <w:i/>
        </w:rPr>
        <w:footnoteRef/>
      </w:r>
      <w:r>
        <w:tab/>
        <w:t>Bez uvažování úlev na spotřební dani u biopaliv.</w:t>
      </w:r>
    </w:p>
  </w:footnote>
  <w:footnote w:id="194">
    <w:p w:rsidR="00234ED0" w:rsidRPr="0032098E" w:rsidRDefault="00234ED0" w:rsidP="0071343A">
      <w:pPr>
        <w:pStyle w:val="Textpoznpodarou"/>
      </w:pPr>
      <w:r w:rsidRPr="00B601C2">
        <w:rPr>
          <w:rStyle w:val="Znakapoznpodarou"/>
          <w:i/>
        </w:rPr>
        <w:footnoteRef/>
      </w:r>
      <w:r>
        <w:tab/>
        <w:t xml:space="preserve">Při zahrnutí plateb LFA do podpor příjmů by podíl celkových důchodových podpor vzrostl v obou </w:t>
      </w:r>
      <w:r w:rsidRPr="0032098E">
        <w:t>sledovaných letech na úroveň přes 70 %.</w:t>
      </w:r>
    </w:p>
  </w:footnote>
  <w:footnote w:id="195">
    <w:p w:rsidR="00234ED0" w:rsidRDefault="00234ED0">
      <w:pPr>
        <w:pStyle w:val="Textpoznpodarou"/>
      </w:pPr>
      <w:r w:rsidRPr="003B792B">
        <w:rPr>
          <w:rStyle w:val="Znakapoznpodarou"/>
          <w:i/>
        </w:rPr>
        <w:footnoteRef/>
      </w:r>
      <w:r>
        <w:tab/>
        <w:t>Při uvažování evidovaných podpor OZE, které zatím OECD do podpor zemědělství nezahrnuje.</w:t>
      </w:r>
    </w:p>
  </w:footnote>
  <w:footnote w:id="196">
    <w:p w:rsidR="00234ED0" w:rsidRPr="00DC2E3A" w:rsidRDefault="00234ED0" w:rsidP="007E322B">
      <w:pPr>
        <w:pStyle w:val="Textpoznpodarou"/>
      </w:pPr>
      <w:r w:rsidRPr="00197795">
        <w:rPr>
          <w:rStyle w:val="Znakapoznpodarou"/>
          <w:i/>
        </w:rPr>
        <w:footnoteRef/>
      </w:r>
      <w:r w:rsidRPr="00170E0F">
        <w:tab/>
      </w:r>
      <w:r w:rsidRPr="00DC2E3A">
        <w:t>Ekonomická velikost – klasifikační systém EU definuje podle hodnoty celkové standardní produkce podniku celkem 14 tříd ekonomické velikosti.</w:t>
      </w:r>
    </w:p>
  </w:footnote>
  <w:footnote w:id="197">
    <w:p w:rsidR="00234ED0" w:rsidRPr="00DC2E3A" w:rsidRDefault="00234ED0" w:rsidP="007E322B">
      <w:pPr>
        <w:pStyle w:val="Textpoznpodarou"/>
      </w:pPr>
      <w:r w:rsidRPr="00DC2E3A">
        <w:rPr>
          <w:rStyle w:val="Znakapoznpodarou"/>
          <w:i/>
        </w:rPr>
        <w:footnoteRef/>
      </w:r>
      <w:r w:rsidRPr="00DC2E3A">
        <w:tab/>
        <w:t>AWU – Roční pracovní jednotka (1 AWU je ekvivalent 2 000 hod. práce).</w:t>
      </w:r>
    </w:p>
  </w:footnote>
  <w:footnote w:id="198">
    <w:p w:rsidR="00234ED0" w:rsidRPr="004A043C" w:rsidRDefault="00234ED0" w:rsidP="007E322B">
      <w:pPr>
        <w:pStyle w:val="Textpoznpodarou"/>
      </w:pPr>
      <w:r w:rsidRPr="00DC2E3A">
        <w:rPr>
          <w:rStyle w:val="Znakapoznpodarou"/>
          <w:i/>
        </w:rPr>
        <w:footnoteRef/>
      </w:r>
      <w:r w:rsidRPr="00DC2E3A">
        <w:tab/>
        <w:t>FWU – Roční pracovní jednotka neplacené (rodinné) práce (1 FWU je ekvivalent 2 000 hod. neplacené práce).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105FC0"/>
    <w:lvl w:ilvl="0">
      <w:start w:val="1"/>
      <w:numFmt w:val="decimal"/>
      <w:lvlText w:val="%1."/>
      <w:lvlJc w:val="left"/>
      <w:pPr>
        <w:tabs>
          <w:tab w:val="num" w:pos="1492"/>
        </w:tabs>
        <w:ind w:left="1492" w:hanging="360"/>
      </w:pPr>
    </w:lvl>
  </w:abstractNum>
  <w:abstractNum w:abstractNumId="1">
    <w:nsid w:val="FFFFFF7D"/>
    <w:multiLevelType w:val="singleLevel"/>
    <w:tmpl w:val="9AFC4DFC"/>
    <w:lvl w:ilvl="0">
      <w:start w:val="1"/>
      <w:numFmt w:val="decimal"/>
      <w:lvlText w:val="%1."/>
      <w:lvlJc w:val="left"/>
      <w:pPr>
        <w:tabs>
          <w:tab w:val="num" w:pos="1209"/>
        </w:tabs>
        <w:ind w:left="1209" w:hanging="360"/>
      </w:pPr>
    </w:lvl>
  </w:abstractNum>
  <w:abstractNum w:abstractNumId="2">
    <w:nsid w:val="FFFFFF7E"/>
    <w:multiLevelType w:val="singleLevel"/>
    <w:tmpl w:val="8466B2AA"/>
    <w:lvl w:ilvl="0">
      <w:start w:val="1"/>
      <w:numFmt w:val="decimal"/>
      <w:lvlText w:val="%1."/>
      <w:lvlJc w:val="left"/>
      <w:pPr>
        <w:tabs>
          <w:tab w:val="num" w:pos="926"/>
        </w:tabs>
        <w:ind w:left="926" w:hanging="360"/>
      </w:pPr>
    </w:lvl>
  </w:abstractNum>
  <w:abstractNum w:abstractNumId="3">
    <w:nsid w:val="FFFFFF7F"/>
    <w:multiLevelType w:val="singleLevel"/>
    <w:tmpl w:val="659A2A14"/>
    <w:lvl w:ilvl="0">
      <w:start w:val="1"/>
      <w:numFmt w:val="decimal"/>
      <w:lvlText w:val="%1."/>
      <w:lvlJc w:val="left"/>
      <w:pPr>
        <w:tabs>
          <w:tab w:val="num" w:pos="643"/>
        </w:tabs>
        <w:ind w:left="643" w:hanging="360"/>
      </w:pPr>
    </w:lvl>
  </w:abstractNum>
  <w:abstractNum w:abstractNumId="4">
    <w:nsid w:val="FFFFFF80"/>
    <w:multiLevelType w:val="singleLevel"/>
    <w:tmpl w:val="BCF460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B6E8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D00A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2A858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6A87CF6"/>
    <w:lvl w:ilvl="0">
      <w:start w:val="1"/>
      <w:numFmt w:val="decimal"/>
      <w:lvlText w:val="%1."/>
      <w:lvlJc w:val="left"/>
      <w:pPr>
        <w:tabs>
          <w:tab w:val="num" w:pos="360"/>
        </w:tabs>
        <w:ind w:left="360" w:hanging="360"/>
      </w:pPr>
    </w:lvl>
  </w:abstractNum>
  <w:abstractNum w:abstractNumId="9">
    <w:nsid w:val="FFFFFF89"/>
    <w:multiLevelType w:val="singleLevel"/>
    <w:tmpl w:val="1BA030FA"/>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0000001"/>
    <w:multiLevelType w:val="multilevel"/>
    <w:tmpl w:val="1BD8A220"/>
    <w:lvl w:ilvl="0">
      <w:start w:val="1"/>
      <w:numFmt w:val="none"/>
      <w:pStyle w:val="souhrn-kap"/>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00000002"/>
    <w:multiLevelType w:val="singleLevel"/>
    <w:tmpl w:val="00000002"/>
    <w:name w:val="WW8Num10"/>
    <w:lvl w:ilvl="0">
      <w:start w:val="1"/>
      <w:numFmt w:val="bullet"/>
      <w:pStyle w:val="Seznamsodrkami1"/>
      <w:lvlText w:val=""/>
      <w:lvlJc w:val="left"/>
      <w:pPr>
        <w:tabs>
          <w:tab w:val="num" w:pos="360"/>
        </w:tabs>
        <w:ind w:left="360" w:hanging="360"/>
      </w:pPr>
      <w:rPr>
        <w:rFonts w:ascii="Symbol" w:hAnsi="Symbol"/>
      </w:rPr>
    </w:lvl>
  </w:abstractNum>
  <w:abstractNum w:abstractNumId="12">
    <w:nsid w:val="00000003"/>
    <w:multiLevelType w:val="singleLevel"/>
    <w:tmpl w:val="00000003"/>
    <w:name w:val="WW8Num11"/>
    <w:lvl w:ilvl="0">
      <w:start w:val="9"/>
      <w:numFmt w:val="bullet"/>
      <w:pStyle w:val="odrka"/>
      <w:lvlText w:val="-"/>
      <w:lvlJc w:val="left"/>
      <w:pPr>
        <w:tabs>
          <w:tab w:val="num" w:pos="142"/>
        </w:tabs>
        <w:ind w:left="142" w:hanging="142"/>
      </w:pPr>
      <w:rPr>
        <w:rFonts w:ascii="OpenSymbol" w:hAnsi="OpenSymbol"/>
      </w:rPr>
    </w:lvl>
  </w:abstractNum>
  <w:abstractNum w:abstractNumId="13">
    <w:nsid w:val="00000004"/>
    <w:multiLevelType w:val="multilevel"/>
    <w:tmpl w:val="00000004"/>
    <w:name w:val="WW8Num24"/>
    <w:lvl w:ilvl="0">
      <w:start w:val="1"/>
      <w:numFmt w:val="upperLetter"/>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14">
    <w:nsid w:val="00000005"/>
    <w:multiLevelType w:val="singleLevel"/>
    <w:tmpl w:val="00000005"/>
    <w:name w:val="WW8Num25"/>
    <w:lvl w:ilvl="0">
      <w:start w:val="1"/>
      <w:numFmt w:val="lowerLetter"/>
      <w:pStyle w:val="veta3stpsmeno"/>
      <w:lvlText w:val="%1)"/>
      <w:lvlJc w:val="left"/>
      <w:pPr>
        <w:tabs>
          <w:tab w:val="num" w:pos="0"/>
        </w:tabs>
        <w:ind w:left="720" w:hanging="360"/>
      </w:pPr>
      <w:rPr>
        <w:b w:val="0"/>
        <w:i w:val="0"/>
        <w:sz w:val="24"/>
      </w:rPr>
    </w:lvl>
  </w:abstractNum>
  <w:abstractNum w:abstractNumId="15">
    <w:nsid w:val="00000006"/>
    <w:multiLevelType w:val="singleLevel"/>
    <w:tmpl w:val="767857EA"/>
    <w:lvl w:ilvl="0">
      <w:start w:val="1"/>
      <w:numFmt w:val="bullet"/>
      <w:pStyle w:val="vet1-svzan"/>
      <w:lvlText w:val=""/>
      <w:lvlJc w:val="left"/>
      <w:pPr>
        <w:ind w:left="360" w:hanging="360"/>
      </w:pPr>
      <w:rPr>
        <w:rFonts w:ascii="Symbol" w:hAnsi="Symbol" w:hint="default"/>
      </w:rPr>
    </w:lvl>
  </w:abstractNum>
  <w:abstractNum w:abstractNumId="16">
    <w:nsid w:val="00000007"/>
    <w:multiLevelType w:val="singleLevel"/>
    <w:tmpl w:val="00000007"/>
    <w:name w:val="WW8Num43"/>
    <w:lvl w:ilvl="0">
      <w:start w:val="1"/>
      <w:numFmt w:val="bullet"/>
      <w:pStyle w:val="textpoznp-vet"/>
      <w:lvlText w:val=""/>
      <w:lvlJc w:val="left"/>
      <w:pPr>
        <w:tabs>
          <w:tab w:val="num" w:pos="720"/>
        </w:tabs>
        <w:ind w:left="720" w:hanging="360"/>
      </w:pPr>
      <w:rPr>
        <w:rFonts w:ascii="Symbol" w:hAnsi="Symbol"/>
      </w:rPr>
    </w:lvl>
  </w:abstractNum>
  <w:abstractNum w:abstractNumId="17">
    <w:nsid w:val="00000008"/>
    <w:multiLevelType w:val="singleLevel"/>
    <w:tmpl w:val="00000008"/>
    <w:name w:val="WW8Num48"/>
    <w:lvl w:ilvl="0">
      <w:start w:val="1"/>
      <w:numFmt w:val="decimal"/>
      <w:pStyle w:val="slovn"/>
      <w:lvlText w:val="%1."/>
      <w:lvlJc w:val="left"/>
      <w:pPr>
        <w:tabs>
          <w:tab w:val="num" w:pos="567"/>
        </w:tabs>
        <w:ind w:left="567" w:hanging="567"/>
      </w:pPr>
    </w:lvl>
  </w:abstractNum>
  <w:abstractNum w:abstractNumId="18">
    <w:nsid w:val="036A29C2"/>
    <w:multiLevelType w:val="hybridMultilevel"/>
    <w:tmpl w:val="2B002690"/>
    <w:lvl w:ilvl="0" w:tplc="6CA44088">
      <w:start w:val="9"/>
      <w:numFmt w:val="bullet"/>
      <w:lvlText w:val="-"/>
      <w:lvlJc w:val="left"/>
      <w:pPr>
        <w:tabs>
          <w:tab w:val="num" w:pos="142"/>
        </w:tabs>
        <w:ind w:left="142" w:hanging="142"/>
      </w:pPr>
      <w:rPr>
        <w:rFont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04013982"/>
    <w:multiLevelType w:val="hybridMultilevel"/>
    <w:tmpl w:val="FE047106"/>
    <w:lvl w:ilvl="0" w:tplc="30B03CFC">
      <w:start w:val="1"/>
      <w:numFmt w:val="lowerLetter"/>
      <w:pStyle w:val="veta2stpsmeno"/>
      <w:lvlText w:val="%1)"/>
      <w:lvlJc w:val="left"/>
      <w:pPr>
        <w:ind w:left="1287" w:hanging="360"/>
      </w:pPr>
      <w:rPr>
        <w:rFonts w:ascii="Arial" w:hAnsi="Arial" w:hint="default"/>
        <w:b w:val="0"/>
        <w:i w:val="0"/>
        <w:color w:val="auto"/>
        <w:sz w:val="22"/>
        <w:u w:val="none"/>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nsid w:val="0B920189"/>
    <w:multiLevelType w:val="hybridMultilevel"/>
    <w:tmpl w:val="48A07172"/>
    <w:lvl w:ilvl="0" w:tplc="C5DC186C">
      <w:start w:val="38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0E157E62"/>
    <w:multiLevelType w:val="hybridMultilevel"/>
    <w:tmpl w:val="D8FCDD3A"/>
    <w:lvl w:ilvl="0" w:tplc="04050015">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1A6D70FA"/>
    <w:multiLevelType w:val="hybridMultilevel"/>
    <w:tmpl w:val="CA444C52"/>
    <w:lvl w:ilvl="0" w:tplc="5E9269D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0727901"/>
    <w:multiLevelType w:val="hybridMultilevel"/>
    <w:tmpl w:val="75BAE602"/>
    <w:lvl w:ilvl="0" w:tplc="969A0148">
      <w:start w:val="1"/>
      <w:numFmt w:val="upperLetter"/>
      <w:pStyle w:val="vet1velk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7E11A6E"/>
    <w:multiLevelType w:val="hybridMultilevel"/>
    <w:tmpl w:val="B99053E0"/>
    <w:lvl w:ilvl="0" w:tplc="3C504268">
      <w:start w:val="1"/>
      <w:numFmt w:val="upperLetter"/>
      <w:lvlText w:val="%1."/>
      <w:lvlJc w:val="left"/>
      <w:pPr>
        <w:ind w:left="360" w:hanging="360"/>
      </w:pPr>
      <w:rPr>
        <w:rFonts w:ascii="Times New Roman" w:eastAsia="Times New Roman" w:hAnsi="Times New Roman" w:cs="Times New Roman"/>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317C1843"/>
    <w:multiLevelType w:val="hybridMultilevel"/>
    <w:tmpl w:val="0080771C"/>
    <w:lvl w:ilvl="0" w:tplc="9DC64238">
      <w:start w:val="1"/>
      <w:numFmt w:val="bullet"/>
      <w:pStyle w:val="TabVet"/>
      <w:lvlText w:val=""/>
      <w:lvlJc w:val="left"/>
      <w:pPr>
        <w:tabs>
          <w:tab w:val="num" w:pos="284"/>
        </w:tabs>
        <w:ind w:left="284" w:hanging="284"/>
      </w:pPr>
      <w:rPr>
        <w:rFonts w:ascii="Symbol" w:hAnsi="Symbol" w:cs="Times New Roman" w:hint="default"/>
      </w:rPr>
    </w:lvl>
    <w:lvl w:ilvl="1" w:tplc="E7589EF4" w:tentative="1">
      <w:start w:val="1"/>
      <w:numFmt w:val="bullet"/>
      <w:lvlText w:val="o"/>
      <w:lvlJc w:val="left"/>
      <w:pPr>
        <w:tabs>
          <w:tab w:val="num" w:pos="1440"/>
        </w:tabs>
        <w:ind w:left="1440" w:hanging="360"/>
      </w:pPr>
      <w:rPr>
        <w:rFonts w:ascii="Courier New" w:hAnsi="Courier New" w:cs="Courier New" w:hint="default"/>
      </w:rPr>
    </w:lvl>
    <w:lvl w:ilvl="2" w:tplc="6BFE67FC" w:tentative="1">
      <w:start w:val="1"/>
      <w:numFmt w:val="bullet"/>
      <w:lvlText w:val=""/>
      <w:lvlJc w:val="left"/>
      <w:pPr>
        <w:tabs>
          <w:tab w:val="num" w:pos="2160"/>
        </w:tabs>
        <w:ind w:left="2160" w:hanging="360"/>
      </w:pPr>
      <w:rPr>
        <w:rFonts w:ascii="Wingdings" w:hAnsi="Wingdings" w:hint="default"/>
      </w:rPr>
    </w:lvl>
    <w:lvl w:ilvl="3" w:tplc="87A89D40" w:tentative="1">
      <w:start w:val="1"/>
      <w:numFmt w:val="bullet"/>
      <w:lvlText w:val=""/>
      <w:lvlJc w:val="left"/>
      <w:pPr>
        <w:tabs>
          <w:tab w:val="num" w:pos="2880"/>
        </w:tabs>
        <w:ind w:left="2880" w:hanging="360"/>
      </w:pPr>
      <w:rPr>
        <w:rFonts w:ascii="Symbol" w:hAnsi="Symbol" w:hint="default"/>
      </w:rPr>
    </w:lvl>
    <w:lvl w:ilvl="4" w:tplc="2C1C90D6" w:tentative="1">
      <w:start w:val="1"/>
      <w:numFmt w:val="bullet"/>
      <w:lvlText w:val="o"/>
      <w:lvlJc w:val="left"/>
      <w:pPr>
        <w:tabs>
          <w:tab w:val="num" w:pos="3600"/>
        </w:tabs>
        <w:ind w:left="3600" w:hanging="360"/>
      </w:pPr>
      <w:rPr>
        <w:rFonts w:ascii="Courier New" w:hAnsi="Courier New" w:cs="Courier New" w:hint="default"/>
      </w:rPr>
    </w:lvl>
    <w:lvl w:ilvl="5" w:tplc="D9CCF77E" w:tentative="1">
      <w:start w:val="1"/>
      <w:numFmt w:val="bullet"/>
      <w:lvlText w:val=""/>
      <w:lvlJc w:val="left"/>
      <w:pPr>
        <w:tabs>
          <w:tab w:val="num" w:pos="4320"/>
        </w:tabs>
        <w:ind w:left="4320" w:hanging="360"/>
      </w:pPr>
      <w:rPr>
        <w:rFonts w:ascii="Wingdings" w:hAnsi="Wingdings" w:hint="default"/>
      </w:rPr>
    </w:lvl>
    <w:lvl w:ilvl="6" w:tplc="1E04C48E" w:tentative="1">
      <w:start w:val="1"/>
      <w:numFmt w:val="bullet"/>
      <w:lvlText w:val=""/>
      <w:lvlJc w:val="left"/>
      <w:pPr>
        <w:tabs>
          <w:tab w:val="num" w:pos="5040"/>
        </w:tabs>
        <w:ind w:left="5040" w:hanging="360"/>
      </w:pPr>
      <w:rPr>
        <w:rFonts w:ascii="Symbol" w:hAnsi="Symbol" w:hint="default"/>
      </w:rPr>
    </w:lvl>
    <w:lvl w:ilvl="7" w:tplc="307A093E" w:tentative="1">
      <w:start w:val="1"/>
      <w:numFmt w:val="bullet"/>
      <w:lvlText w:val="o"/>
      <w:lvlJc w:val="left"/>
      <w:pPr>
        <w:tabs>
          <w:tab w:val="num" w:pos="5760"/>
        </w:tabs>
        <w:ind w:left="5760" w:hanging="360"/>
      </w:pPr>
      <w:rPr>
        <w:rFonts w:ascii="Courier New" w:hAnsi="Courier New" w:cs="Courier New" w:hint="default"/>
      </w:rPr>
    </w:lvl>
    <w:lvl w:ilvl="8" w:tplc="0F00EBDC" w:tentative="1">
      <w:start w:val="1"/>
      <w:numFmt w:val="bullet"/>
      <w:lvlText w:val=""/>
      <w:lvlJc w:val="left"/>
      <w:pPr>
        <w:tabs>
          <w:tab w:val="num" w:pos="6480"/>
        </w:tabs>
        <w:ind w:left="6480" w:hanging="360"/>
      </w:pPr>
      <w:rPr>
        <w:rFonts w:ascii="Wingdings" w:hAnsi="Wingdings" w:hint="default"/>
      </w:rPr>
    </w:lvl>
  </w:abstractNum>
  <w:abstractNum w:abstractNumId="26">
    <w:nsid w:val="32FC34FF"/>
    <w:multiLevelType w:val="singleLevel"/>
    <w:tmpl w:val="59D236C6"/>
    <w:lvl w:ilvl="0">
      <w:start w:val="1"/>
      <w:numFmt w:val="bullet"/>
      <w:pStyle w:val="vet3"/>
      <w:lvlText w:val=""/>
      <w:lvlJc w:val="left"/>
      <w:pPr>
        <w:tabs>
          <w:tab w:val="num" w:pos="1417"/>
        </w:tabs>
        <w:ind w:left="1417" w:hanging="283"/>
      </w:pPr>
      <w:rPr>
        <w:rFonts w:ascii="Wingdings 3" w:hAnsi="Wingdings 3" w:hint="default"/>
      </w:rPr>
    </w:lvl>
  </w:abstractNum>
  <w:abstractNum w:abstractNumId="27">
    <w:nsid w:val="35344371"/>
    <w:multiLevelType w:val="hybridMultilevel"/>
    <w:tmpl w:val="B4629E3A"/>
    <w:lvl w:ilvl="0" w:tplc="B018391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A5B72C4"/>
    <w:multiLevelType w:val="singleLevel"/>
    <w:tmpl w:val="AEAC714A"/>
    <w:lvl w:ilvl="0">
      <w:start w:val="1"/>
      <w:numFmt w:val="bullet"/>
      <w:pStyle w:val="vet4"/>
      <w:lvlText w:val=""/>
      <w:lvlJc w:val="left"/>
      <w:pPr>
        <w:tabs>
          <w:tab w:val="num" w:pos="1418"/>
        </w:tabs>
        <w:ind w:left="1418" w:hanging="284"/>
      </w:pPr>
      <w:rPr>
        <w:rFonts w:ascii="Symbol" w:hAnsi="Symbol" w:hint="default"/>
      </w:rPr>
    </w:lvl>
  </w:abstractNum>
  <w:abstractNum w:abstractNumId="29">
    <w:nsid w:val="3B544300"/>
    <w:multiLevelType w:val="hybridMultilevel"/>
    <w:tmpl w:val="FAD093D6"/>
    <w:lvl w:ilvl="0" w:tplc="EDA8CE66">
      <w:start w:val="1"/>
      <w:numFmt w:val="bullet"/>
      <w:pStyle w:val="vet2"/>
      <w:lvlText w:val=""/>
      <w:lvlJc w:val="left"/>
      <w:pPr>
        <w:tabs>
          <w:tab w:val="num" w:pos="851"/>
        </w:tabs>
        <w:ind w:left="851"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3CE55775"/>
    <w:multiLevelType w:val="hybridMultilevel"/>
    <w:tmpl w:val="5C0A6D2A"/>
    <w:lvl w:ilvl="0" w:tplc="49466E0E">
      <w:start w:val="1"/>
      <w:numFmt w:val="bullet"/>
      <w:pStyle w:val="vet1"/>
      <w:lvlText w:val="–"/>
      <w:lvlJc w:val="left"/>
      <w:pPr>
        <w:ind w:left="360" w:hanging="360"/>
      </w:pPr>
      <w:rPr>
        <w:rFonts w:ascii="Times New Roman" w:hAnsi="Times New Roman" w:cs="Times New Roman" w:hint="default"/>
        <w:b w:val="0"/>
        <w:i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44B21B5"/>
    <w:multiLevelType w:val="hybridMultilevel"/>
    <w:tmpl w:val="E8685ACC"/>
    <w:lvl w:ilvl="0" w:tplc="A7867136">
      <w:start w:val="1"/>
      <w:numFmt w:val="bullet"/>
      <w:pStyle w:val="tab-v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CE35633"/>
    <w:multiLevelType w:val="hybridMultilevel"/>
    <w:tmpl w:val="D6DEC2B2"/>
    <w:lvl w:ilvl="0" w:tplc="CFEC3030">
      <w:start w:val="1"/>
      <w:numFmt w:val="lowerLetter"/>
      <w:pStyle w:val="vetapsmeno"/>
      <w:lvlText w:val="%1)"/>
      <w:lvlJc w:val="left"/>
      <w:pPr>
        <w:tabs>
          <w:tab w:val="num" w:pos="567"/>
        </w:tabs>
        <w:ind w:left="567" w:hanging="567"/>
      </w:pPr>
      <w:rPr>
        <w:rFonts w:hint="default"/>
        <w:color w:val="auto"/>
        <w:u w:val="none"/>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4EA01540"/>
    <w:multiLevelType w:val="singleLevel"/>
    <w:tmpl w:val="7AA218DC"/>
    <w:lvl w:ilvl="0">
      <w:numFmt w:val="bullet"/>
      <w:lvlText w:val="-"/>
      <w:lvlJc w:val="left"/>
      <w:pPr>
        <w:tabs>
          <w:tab w:val="num" w:pos="360"/>
        </w:tabs>
        <w:ind w:left="360" w:hanging="360"/>
      </w:pPr>
    </w:lvl>
  </w:abstractNum>
  <w:abstractNum w:abstractNumId="34">
    <w:nsid w:val="52816D39"/>
    <w:multiLevelType w:val="hybridMultilevel"/>
    <w:tmpl w:val="4F18D294"/>
    <w:lvl w:ilvl="0" w:tplc="3294D20C">
      <w:start w:val="1"/>
      <w:numFmt w:val="lowerLetter"/>
      <w:pStyle w:val="veta-I"/>
      <w:lvlText w:val="%1)"/>
      <w:lvlJc w:val="left"/>
      <w:pPr>
        <w:ind w:left="720" w:hanging="360"/>
      </w:pPr>
      <w:rPr>
        <w:rFonts w:ascii="Times New Roman" w:hAnsi="Times New Roman" w:hint="default"/>
        <w:b w:val="0"/>
        <w:i/>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54E64A9"/>
    <w:multiLevelType w:val="multilevel"/>
    <w:tmpl w:val="CACC975C"/>
    <w:lvl w:ilvl="0">
      <w:start w:val="6"/>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E134800"/>
    <w:multiLevelType w:val="hybridMultilevel"/>
    <w:tmpl w:val="0902D39C"/>
    <w:lvl w:ilvl="0" w:tplc="862603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78D6523"/>
    <w:multiLevelType w:val="hybridMultilevel"/>
    <w:tmpl w:val="7C44A99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nsid w:val="6E074CF6"/>
    <w:multiLevelType w:val="hybridMultilevel"/>
    <w:tmpl w:val="81F03E7C"/>
    <w:lvl w:ilvl="0" w:tplc="7752045A">
      <w:numFmt w:val="bullet"/>
      <w:pStyle w:val="opaten-fous"/>
      <w:lvlText w:val="-"/>
      <w:lvlJc w:val="left"/>
      <w:pPr>
        <w:ind w:left="720" w:hanging="360"/>
      </w:pPr>
      <w:rPr>
        <w:rFonts w:ascii="Times New Roman" w:eastAsia="Calibri"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5690CC6"/>
    <w:multiLevelType w:val="hybridMultilevel"/>
    <w:tmpl w:val="FF30735A"/>
    <w:lvl w:ilvl="0" w:tplc="A5DC6C60">
      <w:start w:val="1"/>
      <w:numFmt w:val="decimal"/>
      <w:pStyle w:val="vet1slo"/>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763F254B"/>
    <w:multiLevelType w:val="hybridMultilevel"/>
    <w:tmpl w:val="5BA087D8"/>
    <w:lvl w:ilvl="0" w:tplc="C90C7508">
      <w:start w:val="1"/>
      <w:numFmt w:val="bullet"/>
      <w:lvlText w:val="–"/>
      <w:lvlJc w:val="left"/>
      <w:pPr>
        <w:ind w:left="720" w:hanging="360"/>
      </w:pPr>
      <w:rPr>
        <w:rFonts w:ascii="Times New Roman" w:hAnsi="Times New Roman" w:cs="Times New Roman" w:hint="default"/>
        <w:b w:val="0"/>
        <w:i w:val="0"/>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29"/>
  </w:num>
  <w:num w:numId="4">
    <w:abstractNumId w:val="26"/>
  </w:num>
  <w:num w:numId="5">
    <w:abstractNumId w:val="28"/>
  </w:num>
  <w:num w:numId="6">
    <w:abstractNumId w:val="32"/>
  </w:num>
  <w:num w:numId="7">
    <w:abstractNumId w:val="34"/>
  </w:num>
  <w:num w:numId="8">
    <w:abstractNumId w:val="39"/>
  </w:num>
  <w:num w:numId="9">
    <w:abstractNumId w:val="31"/>
  </w:num>
  <w:num w:numId="10">
    <w:abstractNumId w:val="10"/>
  </w:num>
  <w:num w:numId="11">
    <w:abstractNumId w:val="11"/>
  </w:num>
  <w:num w:numId="12">
    <w:abstractNumId w:val="12"/>
  </w:num>
  <w:num w:numId="13">
    <w:abstractNumId w:val="14"/>
  </w:num>
  <w:num w:numId="14">
    <w:abstractNumId w:val="15"/>
  </w:num>
  <w:num w:numId="15">
    <w:abstractNumId w:val="16"/>
  </w:num>
  <w:num w:numId="16">
    <w:abstractNumId w:val="17"/>
  </w:num>
  <w:num w:numId="17">
    <w:abstractNumId w:val="36"/>
  </w:num>
  <w:num w:numId="18">
    <w:abstractNumId w:val="23"/>
  </w:num>
  <w:num w:numId="19">
    <w:abstractNumId w:val="9"/>
  </w:num>
  <w:num w:numId="20">
    <w:abstractNumId w:val="19"/>
  </w:num>
  <w:num w:numId="21">
    <w:abstractNumId w:val="38"/>
  </w:num>
  <w:num w:numId="22">
    <w:abstractNumId w:val="22"/>
  </w:num>
  <w:num w:numId="23">
    <w:abstractNumId w:val="35"/>
  </w:num>
  <w:num w:numId="24">
    <w:abstractNumId w:val="37"/>
  </w:num>
  <w:num w:numId="25">
    <w:abstractNumId w:val="13"/>
  </w:num>
  <w:num w:numId="26">
    <w:abstractNumId w:val="27"/>
  </w:num>
  <w:num w:numId="27">
    <w:abstractNumId w:val="33"/>
  </w:num>
  <w:num w:numId="28">
    <w:abstractNumId w:val="32"/>
    <w:lvlOverride w:ilvl="0">
      <w:startOverride w:val="1"/>
    </w:lvlOverride>
  </w:num>
  <w:num w:numId="29">
    <w:abstractNumId w:val="18"/>
  </w:num>
  <w:num w:numId="30">
    <w:abstractNumId w:val="8"/>
  </w:num>
  <w:num w:numId="31">
    <w:abstractNumId w:val="3"/>
  </w:num>
  <w:num w:numId="32">
    <w:abstractNumId w:val="2"/>
  </w:num>
  <w:num w:numId="33">
    <w:abstractNumId w:val="1"/>
  </w:num>
  <w:num w:numId="34">
    <w:abstractNumId w:val="0"/>
  </w:num>
  <w:num w:numId="35">
    <w:abstractNumId w:val="7"/>
  </w:num>
  <w:num w:numId="36">
    <w:abstractNumId w:val="6"/>
  </w:num>
  <w:num w:numId="37">
    <w:abstractNumId w:val="5"/>
  </w:num>
  <w:num w:numId="38">
    <w:abstractNumId w:val="4"/>
  </w:num>
  <w:num w:numId="39">
    <w:abstractNumId w:val="20"/>
  </w:num>
  <w:num w:numId="40">
    <w:abstractNumId w:val="24"/>
  </w:num>
  <w:num w:numId="41">
    <w:abstractNumId w:val="21"/>
  </w:num>
  <w:num w:numId="42">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23"/>
    <w:rsid w:val="000001D1"/>
    <w:rsid w:val="00003264"/>
    <w:rsid w:val="0000356E"/>
    <w:rsid w:val="0000362B"/>
    <w:rsid w:val="00010466"/>
    <w:rsid w:val="00011395"/>
    <w:rsid w:val="00012C4A"/>
    <w:rsid w:val="00013671"/>
    <w:rsid w:val="00013713"/>
    <w:rsid w:val="00016B52"/>
    <w:rsid w:val="0001776E"/>
    <w:rsid w:val="00022293"/>
    <w:rsid w:val="00022AA8"/>
    <w:rsid w:val="000230D2"/>
    <w:rsid w:val="00023752"/>
    <w:rsid w:val="00031A15"/>
    <w:rsid w:val="00033E0A"/>
    <w:rsid w:val="00035336"/>
    <w:rsid w:val="00036CE3"/>
    <w:rsid w:val="00041780"/>
    <w:rsid w:val="00043006"/>
    <w:rsid w:val="00044B89"/>
    <w:rsid w:val="00046219"/>
    <w:rsid w:val="00047188"/>
    <w:rsid w:val="000508B4"/>
    <w:rsid w:val="000517BE"/>
    <w:rsid w:val="00052484"/>
    <w:rsid w:val="0005389C"/>
    <w:rsid w:val="00055E06"/>
    <w:rsid w:val="00055F10"/>
    <w:rsid w:val="00060C78"/>
    <w:rsid w:val="00064BFE"/>
    <w:rsid w:val="00070659"/>
    <w:rsid w:val="00072115"/>
    <w:rsid w:val="00080469"/>
    <w:rsid w:val="00081600"/>
    <w:rsid w:val="000826EE"/>
    <w:rsid w:val="00082C58"/>
    <w:rsid w:val="00082FBC"/>
    <w:rsid w:val="00084C61"/>
    <w:rsid w:val="0008699A"/>
    <w:rsid w:val="00086CB9"/>
    <w:rsid w:val="000871AA"/>
    <w:rsid w:val="000906F9"/>
    <w:rsid w:val="000935B1"/>
    <w:rsid w:val="00097D3E"/>
    <w:rsid w:val="00097E36"/>
    <w:rsid w:val="000A1691"/>
    <w:rsid w:val="000A1711"/>
    <w:rsid w:val="000A1E06"/>
    <w:rsid w:val="000A2D01"/>
    <w:rsid w:val="000A34D8"/>
    <w:rsid w:val="000A4846"/>
    <w:rsid w:val="000A6FD3"/>
    <w:rsid w:val="000B100B"/>
    <w:rsid w:val="000B40C7"/>
    <w:rsid w:val="000B4BE7"/>
    <w:rsid w:val="000B7BEE"/>
    <w:rsid w:val="000D0332"/>
    <w:rsid w:val="000E5274"/>
    <w:rsid w:val="000E7F67"/>
    <w:rsid w:val="000F32D1"/>
    <w:rsid w:val="000F4FFE"/>
    <w:rsid w:val="0010563E"/>
    <w:rsid w:val="001074F3"/>
    <w:rsid w:val="0011122B"/>
    <w:rsid w:val="00114285"/>
    <w:rsid w:val="00114319"/>
    <w:rsid w:val="001169D6"/>
    <w:rsid w:val="00116BBB"/>
    <w:rsid w:val="001227C4"/>
    <w:rsid w:val="00122AEE"/>
    <w:rsid w:val="00124550"/>
    <w:rsid w:val="00131F53"/>
    <w:rsid w:val="00132496"/>
    <w:rsid w:val="00136B6D"/>
    <w:rsid w:val="0013736B"/>
    <w:rsid w:val="00142315"/>
    <w:rsid w:val="00143A9F"/>
    <w:rsid w:val="00144CD0"/>
    <w:rsid w:val="00146792"/>
    <w:rsid w:val="001472FC"/>
    <w:rsid w:val="0014785D"/>
    <w:rsid w:val="001513ED"/>
    <w:rsid w:val="0015256F"/>
    <w:rsid w:val="00152C6F"/>
    <w:rsid w:val="00152C8B"/>
    <w:rsid w:val="001567B2"/>
    <w:rsid w:val="00157A63"/>
    <w:rsid w:val="00161B61"/>
    <w:rsid w:val="00162783"/>
    <w:rsid w:val="00165BA9"/>
    <w:rsid w:val="001720E6"/>
    <w:rsid w:val="0017345B"/>
    <w:rsid w:val="00174BCD"/>
    <w:rsid w:val="0017612E"/>
    <w:rsid w:val="00176CAE"/>
    <w:rsid w:val="00177C78"/>
    <w:rsid w:val="00177CED"/>
    <w:rsid w:val="00182669"/>
    <w:rsid w:val="00182EEA"/>
    <w:rsid w:val="00183400"/>
    <w:rsid w:val="001857BF"/>
    <w:rsid w:val="001869A5"/>
    <w:rsid w:val="001879BB"/>
    <w:rsid w:val="00192157"/>
    <w:rsid w:val="00194757"/>
    <w:rsid w:val="001950A8"/>
    <w:rsid w:val="00197026"/>
    <w:rsid w:val="001970D7"/>
    <w:rsid w:val="001A1879"/>
    <w:rsid w:val="001A29D6"/>
    <w:rsid w:val="001A2C18"/>
    <w:rsid w:val="001A3BC2"/>
    <w:rsid w:val="001A42EF"/>
    <w:rsid w:val="001A5757"/>
    <w:rsid w:val="001B1FDF"/>
    <w:rsid w:val="001B3AF4"/>
    <w:rsid w:val="001B65FF"/>
    <w:rsid w:val="001C1C3E"/>
    <w:rsid w:val="001C5567"/>
    <w:rsid w:val="001C6457"/>
    <w:rsid w:val="001C7B3A"/>
    <w:rsid w:val="001D4050"/>
    <w:rsid w:val="001D4671"/>
    <w:rsid w:val="001D4923"/>
    <w:rsid w:val="001D569F"/>
    <w:rsid w:val="001D7ECE"/>
    <w:rsid w:val="001D7FC0"/>
    <w:rsid w:val="001E05FF"/>
    <w:rsid w:val="001E1D04"/>
    <w:rsid w:val="001E2A9A"/>
    <w:rsid w:val="001E2ADA"/>
    <w:rsid w:val="001F053B"/>
    <w:rsid w:val="001F1E47"/>
    <w:rsid w:val="001F215A"/>
    <w:rsid w:val="001F3AEA"/>
    <w:rsid w:val="001F5275"/>
    <w:rsid w:val="001F7031"/>
    <w:rsid w:val="002039FB"/>
    <w:rsid w:val="002059A8"/>
    <w:rsid w:val="00205EC0"/>
    <w:rsid w:val="00206043"/>
    <w:rsid w:val="002074FB"/>
    <w:rsid w:val="00207E7F"/>
    <w:rsid w:val="00210546"/>
    <w:rsid w:val="00213A19"/>
    <w:rsid w:val="002143DC"/>
    <w:rsid w:val="00216CDC"/>
    <w:rsid w:val="00217CAE"/>
    <w:rsid w:val="002208D3"/>
    <w:rsid w:val="0022297F"/>
    <w:rsid w:val="00225381"/>
    <w:rsid w:val="0022585D"/>
    <w:rsid w:val="00232238"/>
    <w:rsid w:val="00233D1E"/>
    <w:rsid w:val="00234ED0"/>
    <w:rsid w:val="00236A47"/>
    <w:rsid w:val="00242846"/>
    <w:rsid w:val="00242EDF"/>
    <w:rsid w:val="00243D27"/>
    <w:rsid w:val="00244CDB"/>
    <w:rsid w:val="0024506D"/>
    <w:rsid w:val="00246E46"/>
    <w:rsid w:val="0024743D"/>
    <w:rsid w:val="0025021D"/>
    <w:rsid w:val="00250B07"/>
    <w:rsid w:val="00254AB2"/>
    <w:rsid w:val="00260791"/>
    <w:rsid w:val="002623D9"/>
    <w:rsid w:val="002633D1"/>
    <w:rsid w:val="00265148"/>
    <w:rsid w:val="00267DAD"/>
    <w:rsid w:val="00270C5C"/>
    <w:rsid w:val="00274821"/>
    <w:rsid w:val="00275B3B"/>
    <w:rsid w:val="002764B3"/>
    <w:rsid w:val="00277640"/>
    <w:rsid w:val="002805E1"/>
    <w:rsid w:val="002823A6"/>
    <w:rsid w:val="00284822"/>
    <w:rsid w:val="002879AD"/>
    <w:rsid w:val="00291B9A"/>
    <w:rsid w:val="002A2518"/>
    <w:rsid w:val="002A283B"/>
    <w:rsid w:val="002A4465"/>
    <w:rsid w:val="002A4808"/>
    <w:rsid w:val="002A4EB3"/>
    <w:rsid w:val="002A68BE"/>
    <w:rsid w:val="002A7DA2"/>
    <w:rsid w:val="002B1280"/>
    <w:rsid w:val="002C0398"/>
    <w:rsid w:val="002C11C7"/>
    <w:rsid w:val="002C32AF"/>
    <w:rsid w:val="002C47FD"/>
    <w:rsid w:val="002C4804"/>
    <w:rsid w:val="002C5495"/>
    <w:rsid w:val="002C5A4F"/>
    <w:rsid w:val="002C67AF"/>
    <w:rsid w:val="002D2510"/>
    <w:rsid w:val="002D25A8"/>
    <w:rsid w:val="002D393D"/>
    <w:rsid w:val="002D3960"/>
    <w:rsid w:val="002D440B"/>
    <w:rsid w:val="002D7CF8"/>
    <w:rsid w:val="002D7EE2"/>
    <w:rsid w:val="002E2997"/>
    <w:rsid w:val="002F2F45"/>
    <w:rsid w:val="002F5B49"/>
    <w:rsid w:val="002F796E"/>
    <w:rsid w:val="00300CFD"/>
    <w:rsid w:val="00300F06"/>
    <w:rsid w:val="00303857"/>
    <w:rsid w:val="00307232"/>
    <w:rsid w:val="003078D8"/>
    <w:rsid w:val="00310602"/>
    <w:rsid w:val="003113E4"/>
    <w:rsid w:val="0031178B"/>
    <w:rsid w:val="00311A6E"/>
    <w:rsid w:val="00316A06"/>
    <w:rsid w:val="0032098E"/>
    <w:rsid w:val="00323E91"/>
    <w:rsid w:val="00325B62"/>
    <w:rsid w:val="003316FD"/>
    <w:rsid w:val="00332C36"/>
    <w:rsid w:val="00332F07"/>
    <w:rsid w:val="0033312F"/>
    <w:rsid w:val="0033367C"/>
    <w:rsid w:val="003338CF"/>
    <w:rsid w:val="00334C9B"/>
    <w:rsid w:val="0033605E"/>
    <w:rsid w:val="00336ACC"/>
    <w:rsid w:val="00340712"/>
    <w:rsid w:val="00341CED"/>
    <w:rsid w:val="003432BD"/>
    <w:rsid w:val="00343A55"/>
    <w:rsid w:val="00345AF4"/>
    <w:rsid w:val="00345E4A"/>
    <w:rsid w:val="003537DC"/>
    <w:rsid w:val="003617D7"/>
    <w:rsid w:val="00362D82"/>
    <w:rsid w:val="00363116"/>
    <w:rsid w:val="00364355"/>
    <w:rsid w:val="003659DF"/>
    <w:rsid w:val="00370902"/>
    <w:rsid w:val="0037531F"/>
    <w:rsid w:val="00382875"/>
    <w:rsid w:val="003872E8"/>
    <w:rsid w:val="00390512"/>
    <w:rsid w:val="003918E7"/>
    <w:rsid w:val="00391FE6"/>
    <w:rsid w:val="00394980"/>
    <w:rsid w:val="0039605F"/>
    <w:rsid w:val="00396FE7"/>
    <w:rsid w:val="003A0BA4"/>
    <w:rsid w:val="003A45C7"/>
    <w:rsid w:val="003A6749"/>
    <w:rsid w:val="003B1068"/>
    <w:rsid w:val="003B2D4C"/>
    <w:rsid w:val="003B610E"/>
    <w:rsid w:val="003B7071"/>
    <w:rsid w:val="003B792B"/>
    <w:rsid w:val="003C1DA5"/>
    <w:rsid w:val="003D0D9A"/>
    <w:rsid w:val="003D1C49"/>
    <w:rsid w:val="003E0B88"/>
    <w:rsid w:val="003E0FB7"/>
    <w:rsid w:val="003E1F70"/>
    <w:rsid w:val="003E2997"/>
    <w:rsid w:val="003E2A94"/>
    <w:rsid w:val="003E34E5"/>
    <w:rsid w:val="003E7B48"/>
    <w:rsid w:val="003F0860"/>
    <w:rsid w:val="003F40E6"/>
    <w:rsid w:val="003F46B1"/>
    <w:rsid w:val="003F4A0F"/>
    <w:rsid w:val="003F70C9"/>
    <w:rsid w:val="003F77C4"/>
    <w:rsid w:val="00402A49"/>
    <w:rsid w:val="004049C1"/>
    <w:rsid w:val="0040667C"/>
    <w:rsid w:val="0040772E"/>
    <w:rsid w:val="00407FAE"/>
    <w:rsid w:val="00410915"/>
    <w:rsid w:val="004115B9"/>
    <w:rsid w:val="004144D3"/>
    <w:rsid w:val="004157BC"/>
    <w:rsid w:val="0041692F"/>
    <w:rsid w:val="00417D5F"/>
    <w:rsid w:val="00420978"/>
    <w:rsid w:val="00421CFA"/>
    <w:rsid w:val="00422163"/>
    <w:rsid w:val="00425142"/>
    <w:rsid w:val="00430E1F"/>
    <w:rsid w:val="00432C39"/>
    <w:rsid w:val="00433610"/>
    <w:rsid w:val="004352FB"/>
    <w:rsid w:val="00436EB7"/>
    <w:rsid w:val="0044012A"/>
    <w:rsid w:val="00441F77"/>
    <w:rsid w:val="00442D46"/>
    <w:rsid w:val="00446D8C"/>
    <w:rsid w:val="00452B2C"/>
    <w:rsid w:val="004559E9"/>
    <w:rsid w:val="004573CB"/>
    <w:rsid w:val="004603EF"/>
    <w:rsid w:val="0046126F"/>
    <w:rsid w:val="00461336"/>
    <w:rsid w:val="00462E28"/>
    <w:rsid w:val="0046343B"/>
    <w:rsid w:val="00464790"/>
    <w:rsid w:val="004652B9"/>
    <w:rsid w:val="0047129F"/>
    <w:rsid w:val="004715A9"/>
    <w:rsid w:val="0047269B"/>
    <w:rsid w:val="00474FEC"/>
    <w:rsid w:val="0047556E"/>
    <w:rsid w:val="004772A0"/>
    <w:rsid w:val="00480ADC"/>
    <w:rsid w:val="00480BE7"/>
    <w:rsid w:val="00481C6C"/>
    <w:rsid w:val="00481E0F"/>
    <w:rsid w:val="00482574"/>
    <w:rsid w:val="00484220"/>
    <w:rsid w:val="004900A9"/>
    <w:rsid w:val="004912D5"/>
    <w:rsid w:val="00494ACD"/>
    <w:rsid w:val="0049500E"/>
    <w:rsid w:val="00495618"/>
    <w:rsid w:val="00496B18"/>
    <w:rsid w:val="004A31D1"/>
    <w:rsid w:val="004A4558"/>
    <w:rsid w:val="004A4FBE"/>
    <w:rsid w:val="004A6628"/>
    <w:rsid w:val="004A775D"/>
    <w:rsid w:val="004A7974"/>
    <w:rsid w:val="004B19E9"/>
    <w:rsid w:val="004B4D97"/>
    <w:rsid w:val="004B5F03"/>
    <w:rsid w:val="004C45C3"/>
    <w:rsid w:val="004C4E49"/>
    <w:rsid w:val="004C53A4"/>
    <w:rsid w:val="004C5755"/>
    <w:rsid w:val="004C62B8"/>
    <w:rsid w:val="004C7027"/>
    <w:rsid w:val="004D1031"/>
    <w:rsid w:val="004D1784"/>
    <w:rsid w:val="004E1776"/>
    <w:rsid w:val="004E29C1"/>
    <w:rsid w:val="004E3117"/>
    <w:rsid w:val="004E3C46"/>
    <w:rsid w:val="004E4DCA"/>
    <w:rsid w:val="004E6349"/>
    <w:rsid w:val="004F723B"/>
    <w:rsid w:val="00500414"/>
    <w:rsid w:val="00500967"/>
    <w:rsid w:val="00500B98"/>
    <w:rsid w:val="00500DCF"/>
    <w:rsid w:val="00501048"/>
    <w:rsid w:val="00504A6F"/>
    <w:rsid w:val="005051C3"/>
    <w:rsid w:val="005055D7"/>
    <w:rsid w:val="0050788B"/>
    <w:rsid w:val="005078DA"/>
    <w:rsid w:val="00514D3B"/>
    <w:rsid w:val="00515B40"/>
    <w:rsid w:val="00516AD4"/>
    <w:rsid w:val="005209A9"/>
    <w:rsid w:val="005227F9"/>
    <w:rsid w:val="00522CB7"/>
    <w:rsid w:val="005317A6"/>
    <w:rsid w:val="0053513A"/>
    <w:rsid w:val="00535A8F"/>
    <w:rsid w:val="00540560"/>
    <w:rsid w:val="005451A0"/>
    <w:rsid w:val="0055062F"/>
    <w:rsid w:val="00550F6E"/>
    <w:rsid w:val="005517E3"/>
    <w:rsid w:val="005561E7"/>
    <w:rsid w:val="0055771D"/>
    <w:rsid w:val="005578A7"/>
    <w:rsid w:val="00561342"/>
    <w:rsid w:val="00566C19"/>
    <w:rsid w:val="00566EC5"/>
    <w:rsid w:val="0056705C"/>
    <w:rsid w:val="00567C4A"/>
    <w:rsid w:val="00570013"/>
    <w:rsid w:val="005701F7"/>
    <w:rsid w:val="0057027E"/>
    <w:rsid w:val="00570313"/>
    <w:rsid w:val="00570DA3"/>
    <w:rsid w:val="00572F3B"/>
    <w:rsid w:val="005800ED"/>
    <w:rsid w:val="005815AE"/>
    <w:rsid w:val="00582E2A"/>
    <w:rsid w:val="00584B4C"/>
    <w:rsid w:val="00584B4E"/>
    <w:rsid w:val="00584C1E"/>
    <w:rsid w:val="005926FC"/>
    <w:rsid w:val="0059598B"/>
    <w:rsid w:val="00595F5D"/>
    <w:rsid w:val="005A312F"/>
    <w:rsid w:val="005A3D09"/>
    <w:rsid w:val="005A42A1"/>
    <w:rsid w:val="005A5DBA"/>
    <w:rsid w:val="005A7E56"/>
    <w:rsid w:val="005B291B"/>
    <w:rsid w:val="005B3BF4"/>
    <w:rsid w:val="005B402E"/>
    <w:rsid w:val="005B4EEC"/>
    <w:rsid w:val="005B4F37"/>
    <w:rsid w:val="005B6CEF"/>
    <w:rsid w:val="005B7332"/>
    <w:rsid w:val="005B77DE"/>
    <w:rsid w:val="005B7B62"/>
    <w:rsid w:val="005C0FFB"/>
    <w:rsid w:val="005D05F5"/>
    <w:rsid w:val="005D176E"/>
    <w:rsid w:val="005D3114"/>
    <w:rsid w:val="005D490A"/>
    <w:rsid w:val="005D62DF"/>
    <w:rsid w:val="005E1AB1"/>
    <w:rsid w:val="005E2D49"/>
    <w:rsid w:val="005E5A37"/>
    <w:rsid w:val="005E5CB9"/>
    <w:rsid w:val="005E75C6"/>
    <w:rsid w:val="005F0C60"/>
    <w:rsid w:val="005F6BBA"/>
    <w:rsid w:val="005F7C25"/>
    <w:rsid w:val="005F7D57"/>
    <w:rsid w:val="00600A28"/>
    <w:rsid w:val="00602329"/>
    <w:rsid w:val="00602FED"/>
    <w:rsid w:val="00603124"/>
    <w:rsid w:val="00605EE6"/>
    <w:rsid w:val="00606BA3"/>
    <w:rsid w:val="00611A6A"/>
    <w:rsid w:val="006120DE"/>
    <w:rsid w:val="006132F5"/>
    <w:rsid w:val="0061358D"/>
    <w:rsid w:val="00614A2D"/>
    <w:rsid w:val="00614CFE"/>
    <w:rsid w:val="00617544"/>
    <w:rsid w:val="00620276"/>
    <w:rsid w:val="00620387"/>
    <w:rsid w:val="00620F0B"/>
    <w:rsid w:val="006232B8"/>
    <w:rsid w:val="00626F95"/>
    <w:rsid w:val="006326CC"/>
    <w:rsid w:val="006349CE"/>
    <w:rsid w:val="00634C0E"/>
    <w:rsid w:val="00634C43"/>
    <w:rsid w:val="006350AA"/>
    <w:rsid w:val="0063518F"/>
    <w:rsid w:val="00640716"/>
    <w:rsid w:val="0064201B"/>
    <w:rsid w:val="00643559"/>
    <w:rsid w:val="00644528"/>
    <w:rsid w:val="00647BEC"/>
    <w:rsid w:val="00647F8D"/>
    <w:rsid w:val="00650703"/>
    <w:rsid w:val="00650AC0"/>
    <w:rsid w:val="00652B0C"/>
    <w:rsid w:val="00663CED"/>
    <w:rsid w:val="006665A6"/>
    <w:rsid w:val="00667549"/>
    <w:rsid w:val="00671A0A"/>
    <w:rsid w:val="00671E74"/>
    <w:rsid w:val="00674EDA"/>
    <w:rsid w:val="00677363"/>
    <w:rsid w:val="006808D6"/>
    <w:rsid w:val="00682A15"/>
    <w:rsid w:val="006832CE"/>
    <w:rsid w:val="00684B4A"/>
    <w:rsid w:val="006853DF"/>
    <w:rsid w:val="00685588"/>
    <w:rsid w:val="006A04FA"/>
    <w:rsid w:val="006A12AB"/>
    <w:rsid w:val="006A13B5"/>
    <w:rsid w:val="006A4507"/>
    <w:rsid w:val="006A6424"/>
    <w:rsid w:val="006A7F34"/>
    <w:rsid w:val="006B6271"/>
    <w:rsid w:val="006B7A24"/>
    <w:rsid w:val="006C043B"/>
    <w:rsid w:val="006C2152"/>
    <w:rsid w:val="006C4B61"/>
    <w:rsid w:val="006C773F"/>
    <w:rsid w:val="006C7D77"/>
    <w:rsid w:val="006D2AFD"/>
    <w:rsid w:val="006D71A6"/>
    <w:rsid w:val="006E2CA8"/>
    <w:rsid w:val="006E5414"/>
    <w:rsid w:val="006E6529"/>
    <w:rsid w:val="006F287F"/>
    <w:rsid w:val="006F6512"/>
    <w:rsid w:val="00702516"/>
    <w:rsid w:val="00702A2C"/>
    <w:rsid w:val="00702E96"/>
    <w:rsid w:val="0070541B"/>
    <w:rsid w:val="00705ACD"/>
    <w:rsid w:val="00706100"/>
    <w:rsid w:val="00707BDE"/>
    <w:rsid w:val="00710BCF"/>
    <w:rsid w:val="00711C49"/>
    <w:rsid w:val="0071343A"/>
    <w:rsid w:val="00713595"/>
    <w:rsid w:val="00713D06"/>
    <w:rsid w:val="007149C3"/>
    <w:rsid w:val="00715FD1"/>
    <w:rsid w:val="0071764E"/>
    <w:rsid w:val="007203EE"/>
    <w:rsid w:val="007207D3"/>
    <w:rsid w:val="007229CD"/>
    <w:rsid w:val="00724B14"/>
    <w:rsid w:val="007250C0"/>
    <w:rsid w:val="00725ED9"/>
    <w:rsid w:val="00731E58"/>
    <w:rsid w:val="00731F6B"/>
    <w:rsid w:val="00732051"/>
    <w:rsid w:val="007320A3"/>
    <w:rsid w:val="007331E5"/>
    <w:rsid w:val="0073328C"/>
    <w:rsid w:val="00733827"/>
    <w:rsid w:val="007429DD"/>
    <w:rsid w:val="00747999"/>
    <w:rsid w:val="00751D86"/>
    <w:rsid w:val="007534EA"/>
    <w:rsid w:val="00753B89"/>
    <w:rsid w:val="00754A1C"/>
    <w:rsid w:val="00754E4D"/>
    <w:rsid w:val="007562C0"/>
    <w:rsid w:val="0075689E"/>
    <w:rsid w:val="00760532"/>
    <w:rsid w:val="00761BC5"/>
    <w:rsid w:val="00762D9D"/>
    <w:rsid w:val="007644B6"/>
    <w:rsid w:val="00766BDE"/>
    <w:rsid w:val="00774D6F"/>
    <w:rsid w:val="00775832"/>
    <w:rsid w:val="00776792"/>
    <w:rsid w:val="00784FAD"/>
    <w:rsid w:val="00787D0C"/>
    <w:rsid w:val="0079228A"/>
    <w:rsid w:val="00793697"/>
    <w:rsid w:val="007937D5"/>
    <w:rsid w:val="00793DE7"/>
    <w:rsid w:val="00793FD0"/>
    <w:rsid w:val="007A3DD9"/>
    <w:rsid w:val="007A4F8B"/>
    <w:rsid w:val="007A5D0F"/>
    <w:rsid w:val="007A664C"/>
    <w:rsid w:val="007A6B38"/>
    <w:rsid w:val="007A75E4"/>
    <w:rsid w:val="007A7DB7"/>
    <w:rsid w:val="007B0E87"/>
    <w:rsid w:val="007B14DD"/>
    <w:rsid w:val="007B2AE8"/>
    <w:rsid w:val="007B3540"/>
    <w:rsid w:val="007B41B7"/>
    <w:rsid w:val="007B620E"/>
    <w:rsid w:val="007C1A38"/>
    <w:rsid w:val="007C2830"/>
    <w:rsid w:val="007C28F0"/>
    <w:rsid w:val="007C45CD"/>
    <w:rsid w:val="007C5121"/>
    <w:rsid w:val="007D1469"/>
    <w:rsid w:val="007D2753"/>
    <w:rsid w:val="007D354E"/>
    <w:rsid w:val="007D4433"/>
    <w:rsid w:val="007E0E7C"/>
    <w:rsid w:val="007E28B3"/>
    <w:rsid w:val="007E322B"/>
    <w:rsid w:val="007E3E26"/>
    <w:rsid w:val="007E4F82"/>
    <w:rsid w:val="007F217C"/>
    <w:rsid w:val="007F41FE"/>
    <w:rsid w:val="007F4634"/>
    <w:rsid w:val="007F5DF8"/>
    <w:rsid w:val="007F5FC7"/>
    <w:rsid w:val="00802443"/>
    <w:rsid w:val="00804D41"/>
    <w:rsid w:val="0080554D"/>
    <w:rsid w:val="008073BD"/>
    <w:rsid w:val="00810AD8"/>
    <w:rsid w:val="008123B8"/>
    <w:rsid w:val="008123EA"/>
    <w:rsid w:val="008138AA"/>
    <w:rsid w:val="00814285"/>
    <w:rsid w:val="008159D3"/>
    <w:rsid w:val="008166A6"/>
    <w:rsid w:val="00817FD1"/>
    <w:rsid w:val="00820515"/>
    <w:rsid w:val="00820F7D"/>
    <w:rsid w:val="008213EC"/>
    <w:rsid w:val="008214C6"/>
    <w:rsid w:val="0082168B"/>
    <w:rsid w:val="00823B4A"/>
    <w:rsid w:val="0083045A"/>
    <w:rsid w:val="00831374"/>
    <w:rsid w:val="00832589"/>
    <w:rsid w:val="008346AB"/>
    <w:rsid w:val="00837090"/>
    <w:rsid w:val="00837696"/>
    <w:rsid w:val="00841CAC"/>
    <w:rsid w:val="00842178"/>
    <w:rsid w:val="00844715"/>
    <w:rsid w:val="00850D71"/>
    <w:rsid w:val="008519F5"/>
    <w:rsid w:val="00851A76"/>
    <w:rsid w:val="008520EA"/>
    <w:rsid w:val="00853222"/>
    <w:rsid w:val="00854B54"/>
    <w:rsid w:val="0085551F"/>
    <w:rsid w:val="00860A3D"/>
    <w:rsid w:val="00861582"/>
    <w:rsid w:val="00863F8E"/>
    <w:rsid w:val="008668D2"/>
    <w:rsid w:val="00867F72"/>
    <w:rsid w:val="0087020D"/>
    <w:rsid w:val="00870243"/>
    <w:rsid w:val="00870BC0"/>
    <w:rsid w:val="0087197D"/>
    <w:rsid w:val="008720C9"/>
    <w:rsid w:val="00877EDA"/>
    <w:rsid w:val="00882060"/>
    <w:rsid w:val="00882263"/>
    <w:rsid w:val="008829BC"/>
    <w:rsid w:val="00887677"/>
    <w:rsid w:val="008933D3"/>
    <w:rsid w:val="00894810"/>
    <w:rsid w:val="0089523C"/>
    <w:rsid w:val="0089547D"/>
    <w:rsid w:val="00896030"/>
    <w:rsid w:val="0089693D"/>
    <w:rsid w:val="008969A9"/>
    <w:rsid w:val="008A0193"/>
    <w:rsid w:val="008A1906"/>
    <w:rsid w:val="008A20D6"/>
    <w:rsid w:val="008A232B"/>
    <w:rsid w:val="008A233C"/>
    <w:rsid w:val="008A4D98"/>
    <w:rsid w:val="008A5B2A"/>
    <w:rsid w:val="008A61EA"/>
    <w:rsid w:val="008A72D1"/>
    <w:rsid w:val="008B0109"/>
    <w:rsid w:val="008B39DC"/>
    <w:rsid w:val="008B573B"/>
    <w:rsid w:val="008C2D08"/>
    <w:rsid w:val="008C3DAB"/>
    <w:rsid w:val="008C5B39"/>
    <w:rsid w:val="008C5FD6"/>
    <w:rsid w:val="008D311D"/>
    <w:rsid w:val="008D33F8"/>
    <w:rsid w:val="008D3FFA"/>
    <w:rsid w:val="008D4240"/>
    <w:rsid w:val="008D5D31"/>
    <w:rsid w:val="008D7953"/>
    <w:rsid w:val="008E05C9"/>
    <w:rsid w:val="008E2721"/>
    <w:rsid w:val="008E4D6C"/>
    <w:rsid w:val="008E684E"/>
    <w:rsid w:val="008E6CF0"/>
    <w:rsid w:val="008E767C"/>
    <w:rsid w:val="008F55C6"/>
    <w:rsid w:val="008F664B"/>
    <w:rsid w:val="0090580F"/>
    <w:rsid w:val="00906E2E"/>
    <w:rsid w:val="009148B8"/>
    <w:rsid w:val="00914D3B"/>
    <w:rsid w:val="00916FB3"/>
    <w:rsid w:val="00917AAD"/>
    <w:rsid w:val="0092783D"/>
    <w:rsid w:val="009303C3"/>
    <w:rsid w:val="009306B0"/>
    <w:rsid w:val="009307A1"/>
    <w:rsid w:val="0093138E"/>
    <w:rsid w:val="00944230"/>
    <w:rsid w:val="00945E23"/>
    <w:rsid w:val="009471A0"/>
    <w:rsid w:val="00947B86"/>
    <w:rsid w:val="00950504"/>
    <w:rsid w:val="00950C49"/>
    <w:rsid w:val="0095108D"/>
    <w:rsid w:val="00951962"/>
    <w:rsid w:val="00952E89"/>
    <w:rsid w:val="00952F6E"/>
    <w:rsid w:val="00953761"/>
    <w:rsid w:val="00955C22"/>
    <w:rsid w:val="009625FE"/>
    <w:rsid w:val="0096314E"/>
    <w:rsid w:val="0097110E"/>
    <w:rsid w:val="00971235"/>
    <w:rsid w:val="00974FBF"/>
    <w:rsid w:val="00975B54"/>
    <w:rsid w:val="0097699B"/>
    <w:rsid w:val="00984139"/>
    <w:rsid w:val="00984917"/>
    <w:rsid w:val="009861D4"/>
    <w:rsid w:val="00986B22"/>
    <w:rsid w:val="00986E25"/>
    <w:rsid w:val="0099226D"/>
    <w:rsid w:val="00994711"/>
    <w:rsid w:val="00994B8D"/>
    <w:rsid w:val="00995184"/>
    <w:rsid w:val="0099527F"/>
    <w:rsid w:val="00997622"/>
    <w:rsid w:val="009B3A00"/>
    <w:rsid w:val="009B5FB9"/>
    <w:rsid w:val="009B6171"/>
    <w:rsid w:val="009C3B11"/>
    <w:rsid w:val="009C3D40"/>
    <w:rsid w:val="009C6AAE"/>
    <w:rsid w:val="009C6D75"/>
    <w:rsid w:val="009D2358"/>
    <w:rsid w:val="009D2D84"/>
    <w:rsid w:val="009D3AA6"/>
    <w:rsid w:val="009D48BC"/>
    <w:rsid w:val="009D60D0"/>
    <w:rsid w:val="009D74CD"/>
    <w:rsid w:val="009D7643"/>
    <w:rsid w:val="009E47A1"/>
    <w:rsid w:val="009F15CD"/>
    <w:rsid w:val="009F3AF0"/>
    <w:rsid w:val="009F40D7"/>
    <w:rsid w:val="009F427B"/>
    <w:rsid w:val="009F77A1"/>
    <w:rsid w:val="00A001C9"/>
    <w:rsid w:val="00A003B0"/>
    <w:rsid w:val="00A05D75"/>
    <w:rsid w:val="00A06EB1"/>
    <w:rsid w:val="00A105A4"/>
    <w:rsid w:val="00A1643F"/>
    <w:rsid w:val="00A303BA"/>
    <w:rsid w:val="00A30AA7"/>
    <w:rsid w:val="00A315F5"/>
    <w:rsid w:val="00A3191B"/>
    <w:rsid w:val="00A32FBA"/>
    <w:rsid w:val="00A34259"/>
    <w:rsid w:val="00A34B36"/>
    <w:rsid w:val="00A36D31"/>
    <w:rsid w:val="00A37A2C"/>
    <w:rsid w:val="00A40877"/>
    <w:rsid w:val="00A40CC5"/>
    <w:rsid w:val="00A41130"/>
    <w:rsid w:val="00A41D8C"/>
    <w:rsid w:val="00A429F0"/>
    <w:rsid w:val="00A44A34"/>
    <w:rsid w:val="00A5263D"/>
    <w:rsid w:val="00A52661"/>
    <w:rsid w:val="00A53276"/>
    <w:rsid w:val="00A5449E"/>
    <w:rsid w:val="00A56F19"/>
    <w:rsid w:val="00A5725D"/>
    <w:rsid w:val="00A575B0"/>
    <w:rsid w:val="00A64200"/>
    <w:rsid w:val="00A67B17"/>
    <w:rsid w:val="00A70048"/>
    <w:rsid w:val="00A703A8"/>
    <w:rsid w:val="00A72040"/>
    <w:rsid w:val="00A746D5"/>
    <w:rsid w:val="00A74CDB"/>
    <w:rsid w:val="00A84614"/>
    <w:rsid w:val="00A8776D"/>
    <w:rsid w:val="00A87D75"/>
    <w:rsid w:val="00A90452"/>
    <w:rsid w:val="00A96B6C"/>
    <w:rsid w:val="00A974AB"/>
    <w:rsid w:val="00AA11D0"/>
    <w:rsid w:val="00AA39BB"/>
    <w:rsid w:val="00AA43E6"/>
    <w:rsid w:val="00AA5C61"/>
    <w:rsid w:val="00AA7501"/>
    <w:rsid w:val="00AB0610"/>
    <w:rsid w:val="00AB0D5E"/>
    <w:rsid w:val="00AB10F8"/>
    <w:rsid w:val="00AB226C"/>
    <w:rsid w:val="00AB42DF"/>
    <w:rsid w:val="00AC7F7B"/>
    <w:rsid w:val="00AD3E59"/>
    <w:rsid w:val="00AD5080"/>
    <w:rsid w:val="00AD5274"/>
    <w:rsid w:val="00AD6594"/>
    <w:rsid w:val="00AD6AA1"/>
    <w:rsid w:val="00AE4C42"/>
    <w:rsid w:val="00AE4EC2"/>
    <w:rsid w:val="00AE6317"/>
    <w:rsid w:val="00AE7AC1"/>
    <w:rsid w:val="00AF1D61"/>
    <w:rsid w:val="00B014A8"/>
    <w:rsid w:val="00B05B4A"/>
    <w:rsid w:val="00B07809"/>
    <w:rsid w:val="00B07D79"/>
    <w:rsid w:val="00B12D1B"/>
    <w:rsid w:val="00B13175"/>
    <w:rsid w:val="00B14879"/>
    <w:rsid w:val="00B150D5"/>
    <w:rsid w:val="00B167BA"/>
    <w:rsid w:val="00B21FA5"/>
    <w:rsid w:val="00B22124"/>
    <w:rsid w:val="00B268AA"/>
    <w:rsid w:val="00B27B00"/>
    <w:rsid w:val="00B304D2"/>
    <w:rsid w:val="00B31581"/>
    <w:rsid w:val="00B328F8"/>
    <w:rsid w:val="00B3352F"/>
    <w:rsid w:val="00B34015"/>
    <w:rsid w:val="00B36FCF"/>
    <w:rsid w:val="00B40E6F"/>
    <w:rsid w:val="00B416F5"/>
    <w:rsid w:val="00B42C7A"/>
    <w:rsid w:val="00B450D3"/>
    <w:rsid w:val="00B4553A"/>
    <w:rsid w:val="00B459FC"/>
    <w:rsid w:val="00B50D4D"/>
    <w:rsid w:val="00B52BF5"/>
    <w:rsid w:val="00B53F90"/>
    <w:rsid w:val="00B56A78"/>
    <w:rsid w:val="00B56D3E"/>
    <w:rsid w:val="00B601C2"/>
    <w:rsid w:val="00B60576"/>
    <w:rsid w:val="00B60780"/>
    <w:rsid w:val="00B60D53"/>
    <w:rsid w:val="00B62C3C"/>
    <w:rsid w:val="00B64F69"/>
    <w:rsid w:val="00B72A9E"/>
    <w:rsid w:val="00B74F18"/>
    <w:rsid w:val="00B75878"/>
    <w:rsid w:val="00B847FA"/>
    <w:rsid w:val="00B84A23"/>
    <w:rsid w:val="00B85481"/>
    <w:rsid w:val="00B85953"/>
    <w:rsid w:val="00B86C06"/>
    <w:rsid w:val="00B87FD6"/>
    <w:rsid w:val="00B91D3C"/>
    <w:rsid w:val="00B91F81"/>
    <w:rsid w:val="00B9213A"/>
    <w:rsid w:val="00B93D9B"/>
    <w:rsid w:val="00BA3932"/>
    <w:rsid w:val="00BA5770"/>
    <w:rsid w:val="00BA5F31"/>
    <w:rsid w:val="00BA74FF"/>
    <w:rsid w:val="00BA7A28"/>
    <w:rsid w:val="00BA7E7B"/>
    <w:rsid w:val="00BB35DC"/>
    <w:rsid w:val="00BB3B37"/>
    <w:rsid w:val="00BB5D66"/>
    <w:rsid w:val="00BB67DB"/>
    <w:rsid w:val="00BC0ECA"/>
    <w:rsid w:val="00BC1EF8"/>
    <w:rsid w:val="00BC2DA2"/>
    <w:rsid w:val="00BC2F28"/>
    <w:rsid w:val="00BC303A"/>
    <w:rsid w:val="00BC4880"/>
    <w:rsid w:val="00BC5899"/>
    <w:rsid w:val="00BC6011"/>
    <w:rsid w:val="00BD1919"/>
    <w:rsid w:val="00BD22E0"/>
    <w:rsid w:val="00BD4039"/>
    <w:rsid w:val="00BD4D26"/>
    <w:rsid w:val="00BD5361"/>
    <w:rsid w:val="00BD6B68"/>
    <w:rsid w:val="00BE4C03"/>
    <w:rsid w:val="00BE6D07"/>
    <w:rsid w:val="00BF2863"/>
    <w:rsid w:val="00BF576B"/>
    <w:rsid w:val="00BF5C2F"/>
    <w:rsid w:val="00BF6C3C"/>
    <w:rsid w:val="00C0149D"/>
    <w:rsid w:val="00C01619"/>
    <w:rsid w:val="00C01758"/>
    <w:rsid w:val="00C02884"/>
    <w:rsid w:val="00C04A68"/>
    <w:rsid w:val="00C07B43"/>
    <w:rsid w:val="00C07BE5"/>
    <w:rsid w:val="00C11791"/>
    <w:rsid w:val="00C12A05"/>
    <w:rsid w:val="00C14470"/>
    <w:rsid w:val="00C145FA"/>
    <w:rsid w:val="00C203B3"/>
    <w:rsid w:val="00C21385"/>
    <w:rsid w:val="00C235EC"/>
    <w:rsid w:val="00C247CE"/>
    <w:rsid w:val="00C25F36"/>
    <w:rsid w:val="00C316E6"/>
    <w:rsid w:val="00C42950"/>
    <w:rsid w:val="00C45159"/>
    <w:rsid w:val="00C46C75"/>
    <w:rsid w:val="00C50E9F"/>
    <w:rsid w:val="00C55976"/>
    <w:rsid w:val="00C56221"/>
    <w:rsid w:val="00C567ED"/>
    <w:rsid w:val="00C5753C"/>
    <w:rsid w:val="00C63E15"/>
    <w:rsid w:val="00C642E6"/>
    <w:rsid w:val="00C658D1"/>
    <w:rsid w:val="00C65DA6"/>
    <w:rsid w:val="00C6623C"/>
    <w:rsid w:val="00C74F1B"/>
    <w:rsid w:val="00C769E9"/>
    <w:rsid w:val="00C76C83"/>
    <w:rsid w:val="00C77CEB"/>
    <w:rsid w:val="00C81DD3"/>
    <w:rsid w:val="00C86BB2"/>
    <w:rsid w:val="00C879F2"/>
    <w:rsid w:val="00C87D0C"/>
    <w:rsid w:val="00C9570D"/>
    <w:rsid w:val="00CA0EA7"/>
    <w:rsid w:val="00CA25A5"/>
    <w:rsid w:val="00CA5DE8"/>
    <w:rsid w:val="00CA5FBB"/>
    <w:rsid w:val="00CA6F87"/>
    <w:rsid w:val="00CB2904"/>
    <w:rsid w:val="00CB40B6"/>
    <w:rsid w:val="00CB4213"/>
    <w:rsid w:val="00CB5270"/>
    <w:rsid w:val="00CB63F5"/>
    <w:rsid w:val="00CB75BB"/>
    <w:rsid w:val="00CB7713"/>
    <w:rsid w:val="00CC0833"/>
    <w:rsid w:val="00CC0A2A"/>
    <w:rsid w:val="00CC1655"/>
    <w:rsid w:val="00CC58CC"/>
    <w:rsid w:val="00CC713D"/>
    <w:rsid w:val="00CC766F"/>
    <w:rsid w:val="00CD04DF"/>
    <w:rsid w:val="00CD078F"/>
    <w:rsid w:val="00CD0A1C"/>
    <w:rsid w:val="00CD15CB"/>
    <w:rsid w:val="00CD2BA3"/>
    <w:rsid w:val="00CD6050"/>
    <w:rsid w:val="00CE0358"/>
    <w:rsid w:val="00CE160F"/>
    <w:rsid w:val="00CE1892"/>
    <w:rsid w:val="00CE7E18"/>
    <w:rsid w:val="00CF0313"/>
    <w:rsid w:val="00CF04B9"/>
    <w:rsid w:val="00CF0C1D"/>
    <w:rsid w:val="00CF2ADC"/>
    <w:rsid w:val="00CF43EC"/>
    <w:rsid w:val="00CF6B37"/>
    <w:rsid w:val="00CF7962"/>
    <w:rsid w:val="00D01F93"/>
    <w:rsid w:val="00D032A0"/>
    <w:rsid w:val="00D03C24"/>
    <w:rsid w:val="00D05354"/>
    <w:rsid w:val="00D07D8F"/>
    <w:rsid w:val="00D12FE6"/>
    <w:rsid w:val="00D156DC"/>
    <w:rsid w:val="00D16391"/>
    <w:rsid w:val="00D212B0"/>
    <w:rsid w:val="00D26427"/>
    <w:rsid w:val="00D26858"/>
    <w:rsid w:val="00D2688C"/>
    <w:rsid w:val="00D316A3"/>
    <w:rsid w:val="00D40B0D"/>
    <w:rsid w:val="00D41951"/>
    <w:rsid w:val="00D420FE"/>
    <w:rsid w:val="00D4383C"/>
    <w:rsid w:val="00D44E87"/>
    <w:rsid w:val="00D45280"/>
    <w:rsid w:val="00D4582E"/>
    <w:rsid w:val="00D47E9B"/>
    <w:rsid w:val="00D50961"/>
    <w:rsid w:val="00D57067"/>
    <w:rsid w:val="00D62D72"/>
    <w:rsid w:val="00D63DEE"/>
    <w:rsid w:val="00D72F10"/>
    <w:rsid w:val="00D73FCC"/>
    <w:rsid w:val="00D741F9"/>
    <w:rsid w:val="00D7472F"/>
    <w:rsid w:val="00D766C8"/>
    <w:rsid w:val="00D77AB0"/>
    <w:rsid w:val="00D8526F"/>
    <w:rsid w:val="00D85A5F"/>
    <w:rsid w:val="00D87656"/>
    <w:rsid w:val="00D91382"/>
    <w:rsid w:val="00D934FE"/>
    <w:rsid w:val="00D94A58"/>
    <w:rsid w:val="00D959B8"/>
    <w:rsid w:val="00D96420"/>
    <w:rsid w:val="00D96E5C"/>
    <w:rsid w:val="00DA0F3E"/>
    <w:rsid w:val="00DA12FB"/>
    <w:rsid w:val="00DA1C20"/>
    <w:rsid w:val="00DA2555"/>
    <w:rsid w:val="00DA3AE6"/>
    <w:rsid w:val="00DA627A"/>
    <w:rsid w:val="00DB1033"/>
    <w:rsid w:val="00DB11C1"/>
    <w:rsid w:val="00DB7724"/>
    <w:rsid w:val="00DC0747"/>
    <w:rsid w:val="00DC1057"/>
    <w:rsid w:val="00DC3392"/>
    <w:rsid w:val="00DC38FE"/>
    <w:rsid w:val="00DC3DB5"/>
    <w:rsid w:val="00DC423C"/>
    <w:rsid w:val="00DC433A"/>
    <w:rsid w:val="00DD10B0"/>
    <w:rsid w:val="00DD1305"/>
    <w:rsid w:val="00DD2AB3"/>
    <w:rsid w:val="00DD3085"/>
    <w:rsid w:val="00DD4A50"/>
    <w:rsid w:val="00DD6CED"/>
    <w:rsid w:val="00DD78A3"/>
    <w:rsid w:val="00DE4E7F"/>
    <w:rsid w:val="00DE50A0"/>
    <w:rsid w:val="00DE5185"/>
    <w:rsid w:val="00DE5D70"/>
    <w:rsid w:val="00DF0155"/>
    <w:rsid w:val="00DF107E"/>
    <w:rsid w:val="00DF13BC"/>
    <w:rsid w:val="00DF2CE5"/>
    <w:rsid w:val="00DF2CEA"/>
    <w:rsid w:val="00DF55E8"/>
    <w:rsid w:val="00DF5A52"/>
    <w:rsid w:val="00DF5FC6"/>
    <w:rsid w:val="00DF6A39"/>
    <w:rsid w:val="00E01848"/>
    <w:rsid w:val="00E0254F"/>
    <w:rsid w:val="00E02F7C"/>
    <w:rsid w:val="00E0327D"/>
    <w:rsid w:val="00E04170"/>
    <w:rsid w:val="00E044A8"/>
    <w:rsid w:val="00E04FB8"/>
    <w:rsid w:val="00E05D31"/>
    <w:rsid w:val="00E06F15"/>
    <w:rsid w:val="00E07762"/>
    <w:rsid w:val="00E102EF"/>
    <w:rsid w:val="00E1084B"/>
    <w:rsid w:val="00E10D8F"/>
    <w:rsid w:val="00E112FD"/>
    <w:rsid w:val="00E124CC"/>
    <w:rsid w:val="00E14173"/>
    <w:rsid w:val="00E22668"/>
    <w:rsid w:val="00E25D14"/>
    <w:rsid w:val="00E26333"/>
    <w:rsid w:val="00E27E5B"/>
    <w:rsid w:val="00E30FCE"/>
    <w:rsid w:val="00E34548"/>
    <w:rsid w:val="00E35132"/>
    <w:rsid w:val="00E361BC"/>
    <w:rsid w:val="00E36CB5"/>
    <w:rsid w:val="00E406EF"/>
    <w:rsid w:val="00E4102F"/>
    <w:rsid w:val="00E41E45"/>
    <w:rsid w:val="00E42ADC"/>
    <w:rsid w:val="00E42D15"/>
    <w:rsid w:val="00E44E58"/>
    <w:rsid w:val="00E45622"/>
    <w:rsid w:val="00E45C09"/>
    <w:rsid w:val="00E53105"/>
    <w:rsid w:val="00E54DAE"/>
    <w:rsid w:val="00E557A8"/>
    <w:rsid w:val="00E57AA4"/>
    <w:rsid w:val="00E57DDF"/>
    <w:rsid w:val="00E62217"/>
    <w:rsid w:val="00E640B1"/>
    <w:rsid w:val="00E6480A"/>
    <w:rsid w:val="00E71928"/>
    <w:rsid w:val="00E745E7"/>
    <w:rsid w:val="00E75D59"/>
    <w:rsid w:val="00E779ED"/>
    <w:rsid w:val="00E77E9A"/>
    <w:rsid w:val="00E81320"/>
    <w:rsid w:val="00E81823"/>
    <w:rsid w:val="00E81E27"/>
    <w:rsid w:val="00E82FF5"/>
    <w:rsid w:val="00E83ECC"/>
    <w:rsid w:val="00E845A5"/>
    <w:rsid w:val="00E85658"/>
    <w:rsid w:val="00E86060"/>
    <w:rsid w:val="00E8638E"/>
    <w:rsid w:val="00E86ED0"/>
    <w:rsid w:val="00E87B7E"/>
    <w:rsid w:val="00E9011A"/>
    <w:rsid w:val="00E9107A"/>
    <w:rsid w:val="00E933EC"/>
    <w:rsid w:val="00E968B2"/>
    <w:rsid w:val="00E96E73"/>
    <w:rsid w:val="00EA0865"/>
    <w:rsid w:val="00EA26C4"/>
    <w:rsid w:val="00EA6666"/>
    <w:rsid w:val="00EA6B4D"/>
    <w:rsid w:val="00EA6BD1"/>
    <w:rsid w:val="00EB2BEF"/>
    <w:rsid w:val="00EB3755"/>
    <w:rsid w:val="00EB5FAD"/>
    <w:rsid w:val="00EB6B34"/>
    <w:rsid w:val="00EC064A"/>
    <w:rsid w:val="00EC32C0"/>
    <w:rsid w:val="00EC53D5"/>
    <w:rsid w:val="00EC5DF5"/>
    <w:rsid w:val="00ED0349"/>
    <w:rsid w:val="00ED387B"/>
    <w:rsid w:val="00ED46E8"/>
    <w:rsid w:val="00ED4916"/>
    <w:rsid w:val="00ED6F49"/>
    <w:rsid w:val="00EE4AD5"/>
    <w:rsid w:val="00EE52D3"/>
    <w:rsid w:val="00EE6B19"/>
    <w:rsid w:val="00EE762A"/>
    <w:rsid w:val="00EF00EE"/>
    <w:rsid w:val="00EF155E"/>
    <w:rsid w:val="00EF1E48"/>
    <w:rsid w:val="00EF4A04"/>
    <w:rsid w:val="00F018D4"/>
    <w:rsid w:val="00F04AE7"/>
    <w:rsid w:val="00F04D29"/>
    <w:rsid w:val="00F05576"/>
    <w:rsid w:val="00F05FFF"/>
    <w:rsid w:val="00F10805"/>
    <w:rsid w:val="00F15A0B"/>
    <w:rsid w:val="00F200B6"/>
    <w:rsid w:val="00F20B6C"/>
    <w:rsid w:val="00F21200"/>
    <w:rsid w:val="00F2163B"/>
    <w:rsid w:val="00F22069"/>
    <w:rsid w:val="00F248B4"/>
    <w:rsid w:val="00F26424"/>
    <w:rsid w:val="00F3226C"/>
    <w:rsid w:val="00F327B0"/>
    <w:rsid w:val="00F35F24"/>
    <w:rsid w:val="00F37986"/>
    <w:rsid w:val="00F40617"/>
    <w:rsid w:val="00F423CC"/>
    <w:rsid w:val="00F44157"/>
    <w:rsid w:val="00F44CD4"/>
    <w:rsid w:val="00F466B2"/>
    <w:rsid w:val="00F47583"/>
    <w:rsid w:val="00F55AF1"/>
    <w:rsid w:val="00F569A4"/>
    <w:rsid w:val="00F57E7B"/>
    <w:rsid w:val="00F60D03"/>
    <w:rsid w:val="00F64F2C"/>
    <w:rsid w:val="00F650F6"/>
    <w:rsid w:val="00F71923"/>
    <w:rsid w:val="00F768EE"/>
    <w:rsid w:val="00F76ECC"/>
    <w:rsid w:val="00F772AA"/>
    <w:rsid w:val="00F83615"/>
    <w:rsid w:val="00F83806"/>
    <w:rsid w:val="00F83B43"/>
    <w:rsid w:val="00F840C8"/>
    <w:rsid w:val="00F868E2"/>
    <w:rsid w:val="00F86C40"/>
    <w:rsid w:val="00F90097"/>
    <w:rsid w:val="00F903C3"/>
    <w:rsid w:val="00F90496"/>
    <w:rsid w:val="00F920C4"/>
    <w:rsid w:val="00F93A75"/>
    <w:rsid w:val="00F941C5"/>
    <w:rsid w:val="00FA0F3B"/>
    <w:rsid w:val="00FA1898"/>
    <w:rsid w:val="00FA2CA5"/>
    <w:rsid w:val="00FA5211"/>
    <w:rsid w:val="00FA5F17"/>
    <w:rsid w:val="00FB2DBA"/>
    <w:rsid w:val="00FB5BF8"/>
    <w:rsid w:val="00FB79FD"/>
    <w:rsid w:val="00FC3AEE"/>
    <w:rsid w:val="00FC3FCC"/>
    <w:rsid w:val="00FC546B"/>
    <w:rsid w:val="00FC798A"/>
    <w:rsid w:val="00FD0484"/>
    <w:rsid w:val="00FD32B0"/>
    <w:rsid w:val="00FD4D0E"/>
    <w:rsid w:val="00FD6767"/>
    <w:rsid w:val="00FD6B8F"/>
    <w:rsid w:val="00FE24AF"/>
    <w:rsid w:val="00FE25F3"/>
    <w:rsid w:val="00FF5C8B"/>
    <w:rsid w:val="00FF6388"/>
    <w:rsid w:val="00FF67EA"/>
    <w:rsid w:val="00FF70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envelope addres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Signature" w:uiPriority="0"/>
    <w:lsdException w:name="Default Paragraph Font" w:uiPriority="0"/>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ln">
    <w:name w:val="Normal"/>
    <w:qFormat/>
    <w:rsid w:val="00382875"/>
    <w:pPr>
      <w:suppressAutoHyphens/>
      <w:spacing w:before="60" w:line="360" w:lineRule="atLeast"/>
      <w:ind w:firstLine="567"/>
      <w:jc w:val="both"/>
    </w:pPr>
    <w:rPr>
      <w:rFonts w:ascii="Times New Roman" w:hAnsi="Times New Roman" w:cs="Calibri"/>
      <w:sz w:val="24"/>
      <w:szCs w:val="23"/>
      <w:lang w:eastAsia="ar-SA"/>
    </w:rPr>
  </w:style>
  <w:style w:type="paragraph" w:styleId="Nadpis1">
    <w:name w:val="heading 1"/>
    <w:basedOn w:val="Normln"/>
    <w:next w:val="Normln"/>
    <w:link w:val="Nadpis1Char"/>
    <w:qFormat/>
    <w:rsid w:val="00AA5C61"/>
    <w:pPr>
      <w:keepNext/>
      <w:spacing w:before="480"/>
      <w:ind w:left="567" w:hanging="567"/>
      <w:jc w:val="left"/>
      <w:outlineLvl w:val="0"/>
    </w:pPr>
    <w:rPr>
      <w:rFonts w:ascii="Arial" w:hAnsi="Arial"/>
      <w:b/>
      <w:caps/>
      <w:kern w:val="28"/>
      <w:sz w:val="28"/>
      <w:szCs w:val="20"/>
    </w:rPr>
  </w:style>
  <w:style w:type="paragraph" w:styleId="Nadpis2">
    <w:name w:val="heading 2"/>
    <w:basedOn w:val="Normln"/>
    <w:next w:val="Normln"/>
    <w:link w:val="Nadpis2Char"/>
    <w:qFormat/>
    <w:rsid w:val="00AA5C61"/>
    <w:pPr>
      <w:keepNext/>
      <w:tabs>
        <w:tab w:val="left" w:pos="567"/>
      </w:tabs>
      <w:spacing w:before="240" w:after="60"/>
      <w:ind w:left="567" w:hanging="567"/>
      <w:jc w:val="left"/>
      <w:outlineLvl w:val="1"/>
    </w:pPr>
    <w:rPr>
      <w:rFonts w:ascii="Arial" w:hAnsi="Arial"/>
      <w:b/>
      <w:i/>
      <w:szCs w:val="20"/>
    </w:rPr>
  </w:style>
  <w:style w:type="paragraph" w:styleId="Nadpis3">
    <w:name w:val="heading 3"/>
    <w:basedOn w:val="Normln"/>
    <w:next w:val="Normln"/>
    <w:link w:val="Nadpis3Char"/>
    <w:qFormat/>
    <w:rsid w:val="00AA5C61"/>
    <w:pPr>
      <w:keepNext/>
      <w:tabs>
        <w:tab w:val="left" w:pos="567"/>
      </w:tabs>
      <w:spacing w:before="240" w:after="60"/>
      <w:ind w:left="567" w:hanging="567"/>
      <w:jc w:val="left"/>
      <w:outlineLvl w:val="2"/>
    </w:pPr>
    <w:rPr>
      <w:b/>
      <w:szCs w:val="20"/>
    </w:rPr>
  </w:style>
  <w:style w:type="paragraph" w:styleId="Nadpis4">
    <w:name w:val="heading 4"/>
    <w:basedOn w:val="Nadpis3"/>
    <w:next w:val="Normln"/>
    <w:link w:val="Nadpis4Char"/>
    <w:qFormat/>
    <w:rsid w:val="00AA5C61"/>
    <w:pPr>
      <w:tabs>
        <w:tab w:val="clear" w:pos="567"/>
        <w:tab w:val="left" w:pos="851"/>
      </w:tabs>
      <w:ind w:left="851" w:hanging="851"/>
      <w:outlineLvl w:val="3"/>
    </w:pPr>
    <w:rPr>
      <w:bCs/>
      <w:i/>
      <w:szCs w:val="24"/>
    </w:rPr>
  </w:style>
  <w:style w:type="paragraph" w:styleId="Nadpis5">
    <w:name w:val="heading 5"/>
    <w:basedOn w:val="Normln"/>
    <w:next w:val="Normln"/>
    <w:link w:val="Nadpis5Char"/>
    <w:qFormat/>
    <w:rsid w:val="00AA5C61"/>
    <w:pPr>
      <w:keepNext/>
      <w:spacing w:before="240" w:after="60"/>
      <w:ind w:firstLine="0"/>
      <w:jc w:val="left"/>
      <w:outlineLvl w:val="4"/>
    </w:pPr>
    <w:rPr>
      <w:rFonts w:ascii="Arial" w:hAnsi="Arial"/>
      <w:sz w:val="22"/>
    </w:rPr>
  </w:style>
  <w:style w:type="paragraph" w:styleId="Nadpis6">
    <w:name w:val="heading 6"/>
    <w:basedOn w:val="Normln"/>
    <w:next w:val="Normln"/>
    <w:link w:val="Nadpis6Char"/>
    <w:qFormat/>
    <w:rsid w:val="00AA5C61"/>
    <w:pPr>
      <w:keepNext/>
      <w:spacing w:before="240" w:after="60"/>
      <w:ind w:firstLine="0"/>
      <w:jc w:val="left"/>
      <w:outlineLvl w:val="5"/>
    </w:pPr>
    <w:rPr>
      <w:rFonts w:ascii="Arial" w:hAnsi="Arial"/>
      <w:i/>
      <w:sz w:val="22"/>
    </w:rPr>
  </w:style>
  <w:style w:type="paragraph" w:styleId="Nadpis7">
    <w:name w:val="heading 7"/>
    <w:basedOn w:val="Normln"/>
    <w:next w:val="Normln"/>
    <w:link w:val="Nadpis7Char"/>
    <w:qFormat/>
    <w:rsid w:val="00AA5C61"/>
    <w:pPr>
      <w:spacing w:before="240" w:after="60"/>
      <w:ind w:firstLine="0"/>
      <w:outlineLvl w:val="6"/>
    </w:pPr>
    <w:rPr>
      <w:rFonts w:ascii="Arial" w:hAnsi="Arial"/>
      <w:sz w:val="20"/>
    </w:rPr>
  </w:style>
  <w:style w:type="paragraph" w:styleId="Nadpis8">
    <w:name w:val="heading 8"/>
    <w:basedOn w:val="Normln"/>
    <w:next w:val="Normln"/>
    <w:link w:val="Nadpis8Char"/>
    <w:qFormat/>
    <w:rsid w:val="00AA5C61"/>
    <w:pPr>
      <w:spacing w:before="240" w:after="60"/>
      <w:ind w:firstLine="0"/>
      <w:outlineLvl w:val="7"/>
    </w:pPr>
    <w:rPr>
      <w:rFonts w:ascii="Arial" w:hAnsi="Arial"/>
      <w:i/>
      <w:sz w:val="20"/>
    </w:rPr>
  </w:style>
  <w:style w:type="paragraph" w:styleId="Nadpis9">
    <w:name w:val="heading 9"/>
    <w:basedOn w:val="Normln"/>
    <w:next w:val="Normln"/>
    <w:link w:val="Nadpis9Char"/>
    <w:qFormat/>
    <w:rsid w:val="00AA5C61"/>
    <w:pPr>
      <w:spacing w:before="240" w:after="60"/>
      <w:ind w:firstLine="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rsid w:val="00AA5C61"/>
    <w:pPr>
      <w:framePr w:w="7920" w:h="1980" w:hRule="exact" w:hSpace="141" w:wrap="auto" w:hAnchor="page" w:xAlign="center" w:yAlign="bottom"/>
      <w:ind w:left="2880" w:firstLine="0"/>
    </w:pPr>
  </w:style>
  <w:style w:type="paragraph" w:customStyle="1" w:styleId="dopln">
    <w:name w:val="doplní"/>
    <w:basedOn w:val="Normln"/>
    <w:next w:val="Normln"/>
    <w:rsid w:val="00E45622"/>
    <w:rPr>
      <w:b/>
      <w:color w:val="FF0000"/>
      <w:szCs w:val="20"/>
      <w:effect w:val="antsRed"/>
    </w:rPr>
  </w:style>
  <w:style w:type="paragraph" w:customStyle="1" w:styleId="Lit-s">
    <w:name w:val="Lit-čís"/>
    <w:basedOn w:val="Normln"/>
    <w:rsid w:val="00AA5C61"/>
    <w:pPr>
      <w:ind w:left="425" w:hanging="425"/>
    </w:pPr>
  </w:style>
  <w:style w:type="paragraph" w:customStyle="1" w:styleId="mezera">
    <w:name w:val="mezera"/>
    <w:basedOn w:val="Normln"/>
    <w:link w:val="mezeraChar"/>
    <w:rsid w:val="0064201B"/>
    <w:pPr>
      <w:spacing w:before="0" w:line="240" w:lineRule="auto"/>
      <w:ind w:firstLine="0"/>
    </w:pPr>
    <w:rPr>
      <w:sz w:val="16"/>
    </w:rPr>
  </w:style>
  <w:style w:type="paragraph" w:customStyle="1" w:styleId="mezera-svzan">
    <w:name w:val="mezera-svázaná"/>
    <w:basedOn w:val="mezera"/>
    <w:rsid w:val="00AA5C61"/>
    <w:pPr>
      <w:keepNext/>
    </w:pPr>
  </w:style>
  <w:style w:type="character" w:customStyle="1" w:styleId="Nadpis1Char">
    <w:name w:val="Nadpis 1 Char"/>
    <w:link w:val="Nadpis1"/>
    <w:rsid w:val="00AA5C61"/>
    <w:rPr>
      <w:rFonts w:ascii="Arial" w:eastAsia="Times New Roman" w:hAnsi="Arial" w:cs="Times New Roman"/>
      <w:b/>
      <w:caps/>
      <w:kern w:val="28"/>
      <w:sz w:val="28"/>
      <w:szCs w:val="20"/>
      <w:lang w:eastAsia="cs-CZ"/>
    </w:rPr>
  </w:style>
  <w:style w:type="character" w:customStyle="1" w:styleId="Nadpis2Char">
    <w:name w:val="Nadpis 2 Char"/>
    <w:link w:val="Nadpis2"/>
    <w:rsid w:val="00AA5C61"/>
    <w:rPr>
      <w:rFonts w:ascii="Arial" w:eastAsia="Times New Roman" w:hAnsi="Arial" w:cs="Times New Roman"/>
      <w:b/>
      <w:i/>
      <w:sz w:val="24"/>
      <w:szCs w:val="20"/>
      <w:lang w:eastAsia="cs-CZ"/>
    </w:rPr>
  </w:style>
  <w:style w:type="character" w:customStyle="1" w:styleId="Nadpis3Char">
    <w:name w:val="Nadpis 3 Char"/>
    <w:link w:val="Nadpis3"/>
    <w:rsid w:val="00AA5C61"/>
    <w:rPr>
      <w:rFonts w:ascii="Times New Roman" w:eastAsia="Times New Roman" w:hAnsi="Times New Roman" w:cs="Times New Roman"/>
      <w:b/>
      <w:sz w:val="24"/>
      <w:szCs w:val="20"/>
      <w:lang w:eastAsia="cs-CZ"/>
    </w:rPr>
  </w:style>
  <w:style w:type="character" w:customStyle="1" w:styleId="Nadpis4Char">
    <w:name w:val="Nadpis 4 Char"/>
    <w:link w:val="Nadpis4"/>
    <w:rsid w:val="00AA5C61"/>
    <w:rPr>
      <w:rFonts w:ascii="Times New Roman" w:eastAsia="Times New Roman" w:hAnsi="Times New Roman" w:cs="Times New Roman"/>
      <w:b/>
      <w:bCs/>
      <w:i/>
      <w:sz w:val="24"/>
      <w:szCs w:val="24"/>
      <w:lang w:eastAsia="cs-CZ"/>
    </w:rPr>
  </w:style>
  <w:style w:type="character" w:customStyle="1" w:styleId="Nadpis5Char">
    <w:name w:val="Nadpis 5 Char"/>
    <w:link w:val="Nadpis5"/>
    <w:rsid w:val="00AA5C61"/>
    <w:rPr>
      <w:rFonts w:ascii="Arial" w:eastAsia="Times New Roman" w:hAnsi="Arial" w:cs="Times New Roman"/>
      <w:szCs w:val="23"/>
      <w:lang w:eastAsia="cs-CZ"/>
    </w:rPr>
  </w:style>
  <w:style w:type="character" w:customStyle="1" w:styleId="Nadpis6Char">
    <w:name w:val="Nadpis 6 Char"/>
    <w:link w:val="Nadpis6"/>
    <w:rsid w:val="00AA5C61"/>
    <w:rPr>
      <w:rFonts w:ascii="Arial" w:eastAsia="Times New Roman" w:hAnsi="Arial" w:cs="Times New Roman"/>
      <w:i/>
      <w:szCs w:val="23"/>
      <w:lang w:eastAsia="cs-CZ"/>
    </w:rPr>
  </w:style>
  <w:style w:type="character" w:customStyle="1" w:styleId="Nadpis7Char">
    <w:name w:val="Nadpis 7 Char"/>
    <w:link w:val="Nadpis7"/>
    <w:rsid w:val="00AA5C61"/>
    <w:rPr>
      <w:rFonts w:ascii="Arial" w:eastAsia="Times New Roman" w:hAnsi="Arial" w:cs="Times New Roman"/>
      <w:sz w:val="20"/>
      <w:szCs w:val="23"/>
      <w:lang w:eastAsia="cs-CZ"/>
    </w:rPr>
  </w:style>
  <w:style w:type="character" w:customStyle="1" w:styleId="Nadpis8Char">
    <w:name w:val="Nadpis 8 Char"/>
    <w:link w:val="Nadpis8"/>
    <w:rsid w:val="00AA5C61"/>
    <w:rPr>
      <w:rFonts w:ascii="Arial" w:eastAsia="Times New Roman" w:hAnsi="Arial" w:cs="Times New Roman"/>
      <w:i/>
      <w:sz w:val="20"/>
      <w:szCs w:val="23"/>
      <w:lang w:eastAsia="cs-CZ"/>
    </w:rPr>
  </w:style>
  <w:style w:type="character" w:customStyle="1" w:styleId="Nadpis9Char">
    <w:name w:val="Nadpis 9 Char"/>
    <w:link w:val="Nadpis9"/>
    <w:rsid w:val="00AA5C61"/>
    <w:rPr>
      <w:rFonts w:ascii="Arial" w:eastAsia="Times New Roman" w:hAnsi="Arial" w:cs="Times New Roman"/>
      <w:i/>
      <w:sz w:val="18"/>
      <w:szCs w:val="23"/>
      <w:lang w:eastAsia="cs-CZ"/>
    </w:rPr>
  </w:style>
  <w:style w:type="paragraph" w:customStyle="1" w:styleId="N-I-pozn">
    <w:name w:val="N-I-pozn"/>
    <w:basedOn w:val="Normln"/>
    <w:link w:val="N-I-poznChar"/>
    <w:rsid w:val="00AA5C61"/>
    <w:pPr>
      <w:spacing w:before="0" w:after="120"/>
      <w:ind w:firstLine="0"/>
    </w:pPr>
    <w:rPr>
      <w:i/>
      <w:szCs w:val="24"/>
    </w:rPr>
  </w:style>
  <w:style w:type="paragraph" w:customStyle="1" w:styleId="N-I-pozn-1">
    <w:name w:val="N-I-pozn-1"/>
    <w:basedOn w:val="Normln"/>
    <w:rsid w:val="00AA5C61"/>
    <w:pPr>
      <w:spacing w:before="0" w:after="120"/>
      <w:ind w:left="567" w:firstLine="0"/>
    </w:pPr>
    <w:rPr>
      <w:bCs/>
      <w:i/>
      <w:iCs/>
      <w:szCs w:val="24"/>
    </w:rPr>
  </w:style>
  <w:style w:type="paragraph" w:customStyle="1" w:styleId="Normlnvlevo">
    <w:name w:val="Normální vlevo"/>
    <w:basedOn w:val="Normln"/>
    <w:link w:val="NormlnvlevoChar"/>
    <w:rsid w:val="00AA5C61"/>
    <w:pPr>
      <w:ind w:firstLine="0"/>
    </w:pPr>
  </w:style>
  <w:style w:type="paragraph" w:customStyle="1" w:styleId="Norm-B-I">
    <w:name w:val="Norm-B-I"/>
    <w:basedOn w:val="Normln"/>
    <w:rsid w:val="00C9570D"/>
    <w:pPr>
      <w:keepNext/>
      <w:spacing w:before="240"/>
      <w:ind w:firstLine="0"/>
    </w:pPr>
    <w:rPr>
      <w:b/>
      <w:bCs/>
      <w:i/>
    </w:rPr>
  </w:style>
  <w:style w:type="paragraph" w:customStyle="1" w:styleId="Norm-Bold">
    <w:name w:val="Norm-Bold"/>
    <w:basedOn w:val="Normln"/>
    <w:next w:val="Normln"/>
    <w:link w:val="Norm-BoldChar"/>
    <w:rsid w:val="00AA5C61"/>
    <w:pPr>
      <w:keepNext/>
      <w:spacing w:before="240"/>
      <w:ind w:firstLine="0"/>
    </w:pPr>
    <w:rPr>
      <w:b/>
    </w:rPr>
  </w:style>
  <w:style w:type="paragraph" w:customStyle="1" w:styleId="Norm-Ital">
    <w:name w:val="Norm-Ital"/>
    <w:basedOn w:val="Normln"/>
    <w:rsid w:val="00AA5C61"/>
    <w:pPr>
      <w:keepNext/>
      <w:keepLines/>
      <w:widowControl w:val="0"/>
      <w:adjustRightInd w:val="0"/>
      <w:spacing w:before="240" w:line="300" w:lineRule="atLeast"/>
      <w:ind w:firstLine="0"/>
      <w:textAlignment w:val="baseline"/>
    </w:pPr>
    <w:rPr>
      <w:bCs/>
      <w:i/>
      <w:iCs/>
    </w:rPr>
  </w:style>
  <w:style w:type="paragraph" w:customStyle="1" w:styleId="N-vl-1">
    <w:name w:val="N-vl-1"/>
    <w:basedOn w:val="Normlnvlevo"/>
    <w:rsid w:val="00AA5C61"/>
    <w:pPr>
      <w:ind w:left="567"/>
    </w:pPr>
  </w:style>
  <w:style w:type="paragraph" w:styleId="Obsah1">
    <w:name w:val="toc 1"/>
    <w:basedOn w:val="Normln"/>
    <w:next w:val="Obsah2"/>
    <w:uiPriority w:val="39"/>
    <w:rsid w:val="00724B14"/>
    <w:pPr>
      <w:keepNext/>
      <w:tabs>
        <w:tab w:val="right" w:leader="dot" w:pos="9071"/>
      </w:tabs>
      <w:spacing w:before="180" w:line="240" w:lineRule="auto"/>
      <w:ind w:left="425" w:right="567" w:hanging="425"/>
      <w:jc w:val="left"/>
    </w:pPr>
    <w:rPr>
      <w:b/>
      <w:noProof/>
    </w:rPr>
  </w:style>
  <w:style w:type="paragraph" w:styleId="Obsah2">
    <w:name w:val="toc 2"/>
    <w:basedOn w:val="Normln"/>
    <w:next w:val="Normln"/>
    <w:uiPriority w:val="39"/>
    <w:rsid w:val="00E77E9A"/>
    <w:pPr>
      <w:tabs>
        <w:tab w:val="left" w:pos="993"/>
        <w:tab w:val="right" w:leader="dot" w:pos="9071"/>
      </w:tabs>
      <w:spacing w:line="240" w:lineRule="auto"/>
      <w:ind w:left="992" w:right="567" w:hanging="567"/>
      <w:jc w:val="left"/>
    </w:pPr>
  </w:style>
  <w:style w:type="paragraph" w:styleId="Obsah3">
    <w:name w:val="toc 3"/>
    <w:basedOn w:val="Normln"/>
    <w:next w:val="Normln"/>
    <w:uiPriority w:val="39"/>
    <w:rsid w:val="00E77E9A"/>
    <w:pPr>
      <w:tabs>
        <w:tab w:val="left" w:pos="1701"/>
        <w:tab w:val="right" w:leader="dot" w:pos="9071"/>
      </w:tabs>
      <w:spacing w:before="0" w:line="240" w:lineRule="auto"/>
      <w:ind w:left="1701" w:right="567" w:hanging="709"/>
      <w:jc w:val="left"/>
    </w:pPr>
    <w:rPr>
      <w:i/>
    </w:rPr>
  </w:style>
  <w:style w:type="paragraph" w:styleId="Obsah4">
    <w:name w:val="toc 4"/>
    <w:basedOn w:val="Normln"/>
    <w:next w:val="Normln"/>
    <w:uiPriority w:val="39"/>
    <w:rsid w:val="00E77E9A"/>
    <w:pPr>
      <w:spacing w:before="0"/>
      <w:ind w:left="1361" w:right="567" w:hanging="652"/>
    </w:pPr>
    <w:rPr>
      <w:i/>
    </w:rPr>
  </w:style>
  <w:style w:type="paragraph" w:styleId="Obsah5">
    <w:name w:val="toc 5"/>
    <w:basedOn w:val="Normln"/>
    <w:next w:val="Normln"/>
    <w:uiPriority w:val="39"/>
    <w:rsid w:val="00E77E9A"/>
    <w:pPr>
      <w:ind w:left="960"/>
    </w:pPr>
  </w:style>
  <w:style w:type="paragraph" w:styleId="Obsah6">
    <w:name w:val="toc 6"/>
    <w:basedOn w:val="Normln"/>
    <w:next w:val="Normln"/>
    <w:autoRedefine/>
    <w:uiPriority w:val="39"/>
    <w:rsid w:val="00AA5C61"/>
    <w:pPr>
      <w:tabs>
        <w:tab w:val="right" w:leader="dot" w:pos="9071"/>
      </w:tabs>
      <w:ind w:left="1200"/>
    </w:pPr>
  </w:style>
  <w:style w:type="paragraph" w:styleId="Obsah7">
    <w:name w:val="toc 7"/>
    <w:basedOn w:val="Normln"/>
    <w:next w:val="Normln"/>
    <w:autoRedefine/>
    <w:uiPriority w:val="39"/>
    <w:rsid w:val="00AA5C61"/>
    <w:pPr>
      <w:tabs>
        <w:tab w:val="right" w:leader="dot" w:pos="9071"/>
      </w:tabs>
      <w:ind w:left="1440"/>
    </w:pPr>
  </w:style>
  <w:style w:type="paragraph" w:styleId="Obsah8">
    <w:name w:val="toc 8"/>
    <w:basedOn w:val="Normln"/>
    <w:next w:val="Normln"/>
    <w:autoRedefine/>
    <w:uiPriority w:val="39"/>
    <w:rsid w:val="00AA5C61"/>
    <w:pPr>
      <w:tabs>
        <w:tab w:val="right" w:leader="dot" w:pos="9071"/>
      </w:tabs>
      <w:ind w:left="1680"/>
    </w:pPr>
  </w:style>
  <w:style w:type="paragraph" w:styleId="Obsah9">
    <w:name w:val="toc 9"/>
    <w:basedOn w:val="Normln"/>
    <w:next w:val="Normln"/>
    <w:autoRedefine/>
    <w:uiPriority w:val="39"/>
    <w:rsid w:val="00AA5C61"/>
    <w:pPr>
      <w:tabs>
        <w:tab w:val="right" w:leader="dot" w:pos="9071"/>
      </w:tabs>
      <w:ind w:left="1920"/>
    </w:pPr>
  </w:style>
  <w:style w:type="paragraph" w:customStyle="1" w:styleId="obsah-nadpis">
    <w:name w:val="obsah-nadpis"/>
    <w:basedOn w:val="Normln"/>
    <w:rsid w:val="00AA5C61"/>
    <w:pPr>
      <w:ind w:firstLine="0"/>
      <w:jc w:val="left"/>
    </w:pPr>
    <w:rPr>
      <w:rFonts w:ascii="Arial" w:hAnsi="Arial" w:cs="Arial"/>
      <w:b/>
      <w:bCs/>
      <w:caps/>
      <w:sz w:val="28"/>
      <w:szCs w:val="28"/>
    </w:rPr>
  </w:style>
  <w:style w:type="character" w:styleId="Odkaznakoment">
    <w:name w:val="annotation reference"/>
    <w:rsid w:val="00AA5C61"/>
    <w:rPr>
      <w:rFonts w:ascii="Times New Roman" w:hAnsi="Times New Roman"/>
      <w:sz w:val="16"/>
    </w:rPr>
  </w:style>
  <w:style w:type="character" w:styleId="Odkaznavysvtlivky">
    <w:name w:val="endnote reference"/>
    <w:rsid w:val="00AA5C61"/>
    <w:rPr>
      <w:vertAlign w:val="superscript"/>
    </w:rPr>
  </w:style>
  <w:style w:type="paragraph" w:customStyle="1" w:styleId="Rozvrendokumentu">
    <w:name w:val="Rozvržení dokumentu"/>
    <w:basedOn w:val="Normln"/>
    <w:link w:val="RozvrendokumentuChar"/>
    <w:rsid w:val="00AA5C61"/>
    <w:pPr>
      <w:shd w:val="clear" w:color="auto" w:fill="000080"/>
    </w:pPr>
    <w:rPr>
      <w:rFonts w:ascii="Tahoma" w:hAnsi="Tahoma"/>
    </w:rPr>
  </w:style>
  <w:style w:type="character" w:customStyle="1" w:styleId="RozvrendokumentuChar">
    <w:name w:val="Rozvržení dokumentu Char"/>
    <w:link w:val="Rozvrendokumentu"/>
    <w:rsid w:val="00AA5C61"/>
    <w:rPr>
      <w:rFonts w:ascii="Tahoma" w:eastAsia="Times New Roman" w:hAnsi="Tahoma" w:cs="Times New Roman"/>
      <w:sz w:val="24"/>
      <w:szCs w:val="23"/>
      <w:shd w:val="clear" w:color="auto" w:fill="000080"/>
      <w:lang w:eastAsia="cs-CZ"/>
    </w:rPr>
  </w:style>
  <w:style w:type="paragraph" w:customStyle="1" w:styleId="Tabslo">
    <w:name w:val="TabČíslo"/>
    <w:basedOn w:val="Normlnvlevo"/>
    <w:rsid w:val="00AA5C61"/>
    <w:pPr>
      <w:spacing w:before="0" w:line="300" w:lineRule="atLeast"/>
      <w:jc w:val="right"/>
    </w:pPr>
  </w:style>
  <w:style w:type="paragraph" w:customStyle="1" w:styleId="TabNadpis">
    <w:name w:val="TabNadpis"/>
    <w:basedOn w:val="Normln"/>
    <w:link w:val="TabNadpisChar"/>
    <w:rsid w:val="00AA5C61"/>
    <w:pPr>
      <w:keepNext/>
      <w:spacing w:after="120" w:line="300" w:lineRule="atLeast"/>
      <w:ind w:left="1021" w:hanging="1021"/>
    </w:pPr>
    <w:rPr>
      <w:rFonts w:ascii="Arial" w:hAnsi="Arial"/>
      <w:b/>
    </w:rPr>
  </w:style>
  <w:style w:type="paragraph" w:customStyle="1" w:styleId="TabPoz">
    <w:name w:val="TabPoz"/>
    <w:basedOn w:val="Normln"/>
    <w:link w:val="TabPozChar"/>
    <w:rsid w:val="00AA5C61"/>
    <w:pPr>
      <w:keepNext/>
      <w:spacing w:before="0" w:line="240" w:lineRule="atLeast"/>
      <w:ind w:left="284" w:hanging="284"/>
    </w:pPr>
    <w:rPr>
      <w:rFonts w:ascii="Arial" w:hAnsi="Arial"/>
      <w:i/>
      <w:sz w:val="15"/>
      <w:szCs w:val="15"/>
    </w:rPr>
  </w:style>
  <w:style w:type="paragraph" w:customStyle="1" w:styleId="TabPramZprac">
    <w:name w:val="TabPramZprac"/>
    <w:basedOn w:val="TabPoz"/>
    <w:next w:val="mezera"/>
    <w:link w:val="TabPramZpracChar"/>
    <w:rsid w:val="00AA5C61"/>
    <w:pPr>
      <w:ind w:left="851" w:hanging="851"/>
    </w:pPr>
    <w:rPr>
      <w:iCs/>
    </w:rPr>
  </w:style>
  <w:style w:type="paragraph" w:customStyle="1" w:styleId="tab-sted">
    <w:name w:val="tab-střed"/>
    <w:basedOn w:val="Normln"/>
    <w:next w:val="mezera"/>
    <w:rsid w:val="00AA5C61"/>
    <w:pPr>
      <w:keepNext/>
      <w:spacing w:before="0"/>
      <w:ind w:firstLine="0"/>
      <w:jc w:val="center"/>
    </w:pPr>
  </w:style>
  <w:style w:type="paragraph" w:customStyle="1" w:styleId="Tabulka">
    <w:name w:val="Tabulka"/>
    <w:basedOn w:val="TabNadpis"/>
    <w:rsid w:val="008520EA"/>
    <w:pPr>
      <w:keepNext w:val="0"/>
      <w:spacing w:after="0" w:line="240" w:lineRule="atLeast"/>
      <w:ind w:left="0" w:firstLine="0"/>
      <w:jc w:val="left"/>
    </w:pPr>
    <w:rPr>
      <w:rFonts w:ascii="Times New Roman" w:hAnsi="Times New Roman"/>
      <w:b w:val="0"/>
    </w:rPr>
  </w:style>
  <w:style w:type="paragraph" w:customStyle="1" w:styleId="TabVet">
    <w:name w:val="TabVýčet"/>
    <w:basedOn w:val="Normln"/>
    <w:rsid w:val="00AA5C61"/>
    <w:pPr>
      <w:numPr>
        <w:numId w:val="1"/>
      </w:numPr>
      <w:spacing w:line="300" w:lineRule="atLeast"/>
    </w:pPr>
  </w:style>
  <w:style w:type="paragraph" w:customStyle="1" w:styleId="TabZhlav">
    <w:name w:val="TabZáhlavíŘ"/>
    <w:basedOn w:val="Normln"/>
    <w:rsid w:val="00AA5C61"/>
    <w:pPr>
      <w:spacing w:before="0" w:line="300" w:lineRule="atLeast"/>
      <w:ind w:firstLine="0"/>
      <w:jc w:val="left"/>
    </w:pPr>
    <w:rPr>
      <w:b/>
    </w:rPr>
  </w:style>
  <w:style w:type="paragraph" w:customStyle="1" w:styleId="TabZhlavS">
    <w:name w:val="TabZáhlavíS"/>
    <w:basedOn w:val="Normln"/>
    <w:rsid w:val="00AA5C61"/>
    <w:pPr>
      <w:keepNext/>
      <w:spacing w:before="0" w:line="300" w:lineRule="atLeast"/>
      <w:ind w:firstLine="0"/>
      <w:jc w:val="center"/>
    </w:pPr>
    <w:rPr>
      <w:b/>
    </w:rPr>
  </w:style>
  <w:style w:type="paragraph" w:customStyle="1" w:styleId="Tab-zkratky">
    <w:name w:val="Tab-zkratky"/>
    <w:basedOn w:val="Tabulka"/>
    <w:rsid w:val="00AA5C61"/>
  </w:style>
  <w:style w:type="paragraph" w:styleId="Textkomente">
    <w:name w:val="annotation text"/>
    <w:basedOn w:val="Normln"/>
    <w:link w:val="TextkomenteChar"/>
    <w:rsid w:val="00AA5C61"/>
    <w:rPr>
      <w:sz w:val="20"/>
    </w:rPr>
  </w:style>
  <w:style w:type="character" w:customStyle="1" w:styleId="TextkomenteChar">
    <w:name w:val="Text komentáře Char"/>
    <w:link w:val="Textkomente"/>
    <w:rsid w:val="00AA5C61"/>
    <w:rPr>
      <w:rFonts w:ascii="Times New Roman" w:eastAsia="Times New Roman" w:hAnsi="Times New Roman" w:cs="Times New Roman"/>
      <w:sz w:val="20"/>
      <w:szCs w:val="23"/>
      <w:lang w:eastAsia="cs-CZ"/>
    </w:rPr>
  </w:style>
  <w:style w:type="paragraph" w:styleId="Textpoznpodarou">
    <w:name w:val="footnote text"/>
    <w:basedOn w:val="Normln"/>
    <w:link w:val="TextpoznpodarouChar"/>
    <w:rsid w:val="00A746D5"/>
    <w:pPr>
      <w:spacing w:before="0" w:line="240" w:lineRule="auto"/>
      <w:ind w:left="284" w:hanging="284"/>
    </w:pPr>
    <w:rPr>
      <w:i/>
      <w:sz w:val="20"/>
    </w:rPr>
  </w:style>
  <w:style w:type="character" w:customStyle="1" w:styleId="TextpoznpodarouChar">
    <w:name w:val="Text pozn. pod čarou Char"/>
    <w:link w:val="Textpoznpodarou"/>
    <w:rsid w:val="00A746D5"/>
    <w:rPr>
      <w:rFonts w:ascii="Times New Roman" w:hAnsi="Times New Roman" w:cs="Calibri"/>
      <w:i/>
      <w:szCs w:val="23"/>
      <w:lang w:eastAsia="ar-SA"/>
    </w:rPr>
  </w:style>
  <w:style w:type="paragraph" w:styleId="Textvysvtlivek">
    <w:name w:val="endnote text"/>
    <w:basedOn w:val="Normln"/>
    <w:link w:val="TextvysvtlivekChar"/>
    <w:rsid w:val="00AA5C61"/>
    <w:rPr>
      <w:sz w:val="20"/>
    </w:rPr>
  </w:style>
  <w:style w:type="character" w:customStyle="1" w:styleId="TextvysvtlivekChar">
    <w:name w:val="Text vysvětlivek Char"/>
    <w:link w:val="Textvysvtlivek"/>
    <w:rsid w:val="00AA5C61"/>
    <w:rPr>
      <w:rFonts w:ascii="Times New Roman" w:eastAsia="Times New Roman" w:hAnsi="Times New Roman" w:cs="Times New Roman"/>
      <w:sz w:val="20"/>
      <w:szCs w:val="23"/>
      <w:lang w:eastAsia="cs-CZ"/>
    </w:rPr>
  </w:style>
  <w:style w:type="paragraph" w:customStyle="1" w:styleId="vet1">
    <w:name w:val="výčet 1"/>
    <w:basedOn w:val="Normln"/>
    <w:link w:val="vet1Char"/>
    <w:uiPriority w:val="99"/>
    <w:rsid w:val="00DF6A39"/>
    <w:pPr>
      <w:numPr>
        <w:numId w:val="2"/>
      </w:numPr>
      <w:tabs>
        <w:tab w:val="left" w:pos="567"/>
      </w:tabs>
      <w:spacing w:before="0"/>
      <w:ind w:left="567" w:hanging="567"/>
    </w:pPr>
  </w:style>
  <w:style w:type="paragraph" w:customStyle="1" w:styleId="vet1slo">
    <w:name w:val="výčet 1. (číslo)"/>
    <w:basedOn w:val="Normln"/>
    <w:qFormat/>
    <w:rsid w:val="005B4F37"/>
    <w:pPr>
      <w:numPr>
        <w:numId w:val="8"/>
      </w:numPr>
      <w:tabs>
        <w:tab w:val="clear" w:pos="720"/>
        <w:tab w:val="num" w:pos="567"/>
      </w:tabs>
      <w:spacing w:before="0"/>
      <w:ind w:left="567" w:hanging="567"/>
    </w:pPr>
  </w:style>
  <w:style w:type="paragraph" w:customStyle="1" w:styleId="vet2">
    <w:name w:val="výčet 2"/>
    <w:basedOn w:val="vet1"/>
    <w:rsid w:val="00A703A8"/>
    <w:pPr>
      <w:numPr>
        <w:numId w:val="3"/>
      </w:numPr>
      <w:tabs>
        <w:tab w:val="clear" w:pos="567"/>
      </w:tabs>
    </w:pPr>
  </w:style>
  <w:style w:type="paragraph" w:customStyle="1" w:styleId="vet3">
    <w:name w:val="výčet 3"/>
    <w:basedOn w:val="vet2"/>
    <w:rsid w:val="00A703A8"/>
    <w:pPr>
      <w:numPr>
        <w:numId w:val="4"/>
      </w:numPr>
      <w:tabs>
        <w:tab w:val="clear" w:pos="1417"/>
        <w:tab w:val="num" w:pos="1134"/>
      </w:tabs>
      <w:ind w:left="1134"/>
    </w:pPr>
  </w:style>
  <w:style w:type="paragraph" w:customStyle="1" w:styleId="vet4">
    <w:name w:val="výčet 4"/>
    <w:basedOn w:val="vet3"/>
    <w:rsid w:val="00A703A8"/>
    <w:pPr>
      <w:numPr>
        <w:numId w:val="5"/>
      </w:numPr>
    </w:pPr>
  </w:style>
  <w:style w:type="paragraph" w:customStyle="1" w:styleId="vetapsmeno">
    <w:name w:val="výčet a) (písmeno)"/>
    <w:basedOn w:val="vet1"/>
    <w:rsid w:val="00AA5C61"/>
    <w:pPr>
      <w:numPr>
        <w:numId w:val="6"/>
      </w:numPr>
    </w:pPr>
  </w:style>
  <w:style w:type="paragraph" w:customStyle="1" w:styleId="veta-I">
    <w:name w:val="výčet a)-I"/>
    <w:basedOn w:val="vetapsmeno"/>
    <w:rsid w:val="00CA0EA7"/>
    <w:pPr>
      <w:numPr>
        <w:numId w:val="7"/>
      </w:numPr>
      <w:tabs>
        <w:tab w:val="left" w:pos="567"/>
      </w:tabs>
      <w:ind w:left="567" w:hanging="567"/>
    </w:pPr>
    <w:rPr>
      <w:i/>
    </w:rPr>
  </w:style>
  <w:style w:type="paragraph" w:customStyle="1" w:styleId="vzorec-1">
    <w:name w:val="vzorec-1"/>
    <w:basedOn w:val="Normln"/>
    <w:rsid w:val="00AA5C61"/>
    <w:pPr>
      <w:tabs>
        <w:tab w:val="center" w:pos="4536"/>
        <w:tab w:val="right" w:pos="9071"/>
      </w:tabs>
      <w:spacing w:after="60"/>
      <w:ind w:firstLine="0"/>
    </w:pPr>
  </w:style>
  <w:style w:type="paragraph" w:customStyle="1" w:styleId="vzorec-2">
    <w:name w:val="vzorec-2"/>
    <w:basedOn w:val="vzorec-1"/>
    <w:rsid w:val="00AA5C61"/>
    <w:pPr>
      <w:tabs>
        <w:tab w:val="clear" w:pos="4536"/>
        <w:tab w:val="center" w:pos="2835"/>
        <w:tab w:val="center" w:pos="6237"/>
      </w:tabs>
    </w:pPr>
  </w:style>
  <w:style w:type="paragraph" w:customStyle="1" w:styleId="ztoho">
    <w:name w:val="z toho"/>
    <w:basedOn w:val="Tabulka"/>
    <w:rsid w:val="00AA5C61"/>
    <w:pPr>
      <w:tabs>
        <w:tab w:val="left" w:pos="567"/>
      </w:tabs>
      <w:ind w:left="567" w:hanging="567"/>
    </w:pPr>
    <w:rPr>
      <w:b/>
    </w:rPr>
  </w:style>
  <w:style w:type="paragraph" w:styleId="Zhlav">
    <w:name w:val="header"/>
    <w:basedOn w:val="Normln"/>
    <w:link w:val="ZhlavChar"/>
    <w:rsid w:val="00AA5C61"/>
    <w:pPr>
      <w:tabs>
        <w:tab w:val="center" w:pos="9923"/>
      </w:tabs>
      <w:spacing w:before="0"/>
      <w:ind w:left="-851" w:right="-851" w:firstLine="0"/>
    </w:pPr>
    <w:rPr>
      <w:sz w:val="20"/>
    </w:rPr>
  </w:style>
  <w:style w:type="character" w:customStyle="1" w:styleId="ZhlavChar">
    <w:name w:val="Záhlaví Char"/>
    <w:link w:val="Zhlav"/>
    <w:rsid w:val="00AA5C61"/>
    <w:rPr>
      <w:rFonts w:ascii="Times New Roman" w:eastAsia="Times New Roman" w:hAnsi="Times New Roman" w:cs="Times New Roman"/>
      <w:sz w:val="20"/>
      <w:szCs w:val="23"/>
      <w:lang w:eastAsia="cs-CZ"/>
    </w:rPr>
  </w:style>
  <w:style w:type="paragraph" w:styleId="Zpat">
    <w:name w:val="footer"/>
    <w:basedOn w:val="Normln"/>
    <w:link w:val="ZpatChar"/>
    <w:uiPriority w:val="99"/>
    <w:rsid w:val="001F053B"/>
    <w:pPr>
      <w:spacing w:before="0"/>
      <w:ind w:left="-851" w:right="-851" w:firstLine="0"/>
      <w:jc w:val="center"/>
    </w:pPr>
    <w:rPr>
      <w:noProof/>
      <w:sz w:val="20"/>
    </w:rPr>
  </w:style>
  <w:style w:type="character" w:customStyle="1" w:styleId="ZpatChar">
    <w:name w:val="Zápatí Char"/>
    <w:link w:val="Zpat"/>
    <w:uiPriority w:val="99"/>
    <w:rsid w:val="001F053B"/>
    <w:rPr>
      <w:rFonts w:ascii="Times New Roman" w:hAnsi="Times New Roman" w:cs="Calibri"/>
      <w:noProof/>
      <w:szCs w:val="23"/>
      <w:lang w:eastAsia="ar-SA"/>
    </w:rPr>
  </w:style>
  <w:style w:type="character" w:styleId="Znakapoznpodarou">
    <w:name w:val="footnote reference"/>
    <w:uiPriority w:val="99"/>
    <w:rsid w:val="00E10D8F"/>
    <w:rPr>
      <w:rFonts w:ascii="Times New Roman" w:hAnsi="Times New Roman"/>
      <w:i/>
      <w:sz w:val="24"/>
      <w:vertAlign w:val="superscript"/>
    </w:rPr>
  </w:style>
  <w:style w:type="paragraph" w:styleId="Pedmtkomente">
    <w:name w:val="annotation subject"/>
    <w:basedOn w:val="Textkomente"/>
    <w:next w:val="Textkomente"/>
    <w:link w:val="PedmtkomenteChar"/>
    <w:uiPriority w:val="99"/>
    <w:unhideWhenUsed/>
    <w:rsid w:val="00E42ADC"/>
    <w:rPr>
      <w:b/>
      <w:bCs/>
      <w:szCs w:val="20"/>
    </w:rPr>
  </w:style>
  <w:style w:type="character" w:customStyle="1" w:styleId="PedmtkomenteChar">
    <w:name w:val="Předmět komentáře Char"/>
    <w:link w:val="Pedmtkomente"/>
    <w:uiPriority w:val="99"/>
    <w:rsid w:val="00E42ADC"/>
    <w:rPr>
      <w:rFonts w:ascii="Times New Roman" w:eastAsia="Times New Roman" w:hAnsi="Times New Roman" w:cs="Times New Roman"/>
      <w:b/>
      <w:bCs/>
      <w:sz w:val="20"/>
      <w:szCs w:val="23"/>
      <w:lang w:eastAsia="cs-CZ"/>
    </w:rPr>
  </w:style>
  <w:style w:type="paragraph" w:styleId="Textbubliny">
    <w:name w:val="Balloon Text"/>
    <w:basedOn w:val="Normln"/>
    <w:link w:val="TextbublinyChar"/>
    <w:uiPriority w:val="99"/>
    <w:unhideWhenUsed/>
    <w:rsid w:val="00E42ADC"/>
    <w:pPr>
      <w:spacing w:before="0"/>
    </w:pPr>
    <w:rPr>
      <w:rFonts w:ascii="Tahoma" w:hAnsi="Tahoma" w:cs="Tahoma"/>
      <w:sz w:val="16"/>
      <w:szCs w:val="16"/>
    </w:rPr>
  </w:style>
  <w:style w:type="character" w:customStyle="1" w:styleId="TextbublinyChar">
    <w:name w:val="Text bubliny Char"/>
    <w:link w:val="Textbubliny"/>
    <w:uiPriority w:val="99"/>
    <w:rsid w:val="00E42ADC"/>
    <w:rPr>
      <w:rFonts w:ascii="Tahoma" w:eastAsia="Times New Roman" w:hAnsi="Tahoma" w:cs="Tahoma"/>
      <w:sz w:val="16"/>
      <w:szCs w:val="16"/>
    </w:rPr>
  </w:style>
  <w:style w:type="paragraph" w:customStyle="1" w:styleId="tab-vet">
    <w:name w:val="tab-výčet"/>
    <w:basedOn w:val="Tabulka"/>
    <w:rsid w:val="00E45622"/>
    <w:pPr>
      <w:keepNext/>
      <w:numPr>
        <w:numId w:val="9"/>
      </w:numPr>
      <w:tabs>
        <w:tab w:val="left" w:pos="284"/>
      </w:tabs>
      <w:spacing w:before="0" w:line="240" w:lineRule="auto"/>
    </w:pPr>
    <w:rPr>
      <w:sz w:val="20"/>
      <w:szCs w:val="20"/>
    </w:rPr>
  </w:style>
  <w:style w:type="paragraph" w:customStyle="1" w:styleId="ra">
    <w:name w:val="čára"/>
    <w:basedOn w:val="Normln"/>
    <w:qFormat/>
    <w:rsid w:val="0064201B"/>
    <w:pPr>
      <w:spacing w:before="0" w:line="240" w:lineRule="auto"/>
      <w:ind w:firstLine="0"/>
      <w:jc w:val="left"/>
    </w:pPr>
    <w:rPr>
      <w:szCs w:val="24"/>
    </w:rPr>
  </w:style>
  <w:style w:type="paragraph" w:customStyle="1" w:styleId="text">
    <w:name w:val="text"/>
    <w:basedOn w:val="Normln"/>
    <w:qFormat/>
    <w:rsid w:val="00044B89"/>
    <w:pPr>
      <w:spacing w:before="120" w:line="240" w:lineRule="auto"/>
      <w:ind w:firstLine="0"/>
    </w:pPr>
    <w:rPr>
      <w:szCs w:val="24"/>
    </w:rPr>
  </w:style>
  <w:style w:type="paragraph" w:customStyle="1" w:styleId="plohy-1">
    <w:name w:val="přílohy-1"/>
    <w:basedOn w:val="Normln"/>
    <w:next w:val="Normln"/>
    <w:qFormat/>
    <w:rsid w:val="00766BDE"/>
    <w:pPr>
      <w:tabs>
        <w:tab w:val="left" w:pos="993"/>
        <w:tab w:val="left" w:pos="1560"/>
      </w:tabs>
      <w:spacing w:before="480" w:line="240" w:lineRule="auto"/>
      <w:ind w:left="1559" w:hanging="1559"/>
    </w:pPr>
    <w:rPr>
      <w:rFonts w:ascii="Arial" w:hAnsi="Arial"/>
      <w:sz w:val="22"/>
      <w:szCs w:val="24"/>
    </w:rPr>
  </w:style>
  <w:style w:type="character" w:customStyle="1" w:styleId="Standardnpsmoodstavce1">
    <w:name w:val="Standardní písmo odstavce1"/>
    <w:rsid w:val="00945E23"/>
  </w:style>
  <w:style w:type="character" w:customStyle="1" w:styleId="Odkaznakoment1">
    <w:name w:val="Odkaz na komentář1"/>
    <w:rsid w:val="00945E23"/>
    <w:rPr>
      <w:rFonts w:ascii="Times New Roman" w:hAnsi="Times New Roman"/>
      <w:sz w:val="16"/>
    </w:rPr>
  </w:style>
  <w:style w:type="character" w:customStyle="1" w:styleId="Znakyprovysvtlivky">
    <w:name w:val="Znaky pro vysvětlivky"/>
    <w:rsid w:val="00945E23"/>
    <w:rPr>
      <w:vertAlign w:val="superscript"/>
    </w:rPr>
  </w:style>
  <w:style w:type="character" w:customStyle="1" w:styleId="Znakypropoznmkupodarou">
    <w:name w:val="Znaky pro poznámku pod čarou"/>
    <w:rsid w:val="00945E23"/>
    <w:rPr>
      <w:i/>
      <w:vertAlign w:val="superscript"/>
    </w:rPr>
  </w:style>
  <w:style w:type="character" w:customStyle="1" w:styleId="form-l-str">
    <w:name w:val="form-l-str"/>
    <w:rsid w:val="00945E23"/>
    <w:rPr>
      <w:b w:val="0"/>
      <w:bCs/>
      <w:sz w:val="22"/>
    </w:rPr>
  </w:style>
  <w:style w:type="character" w:styleId="slostrnky">
    <w:name w:val="page number"/>
    <w:basedOn w:val="Standardnpsmoodstavce1"/>
    <w:rsid w:val="00945E23"/>
  </w:style>
  <w:style w:type="paragraph" w:customStyle="1" w:styleId="TabNadpis-novstrana">
    <w:name w:val="TabNadpis-nová strana"/>
    <w:basedOn w:val="TabNadpis"/>
    <w:qFormat/>
    <w:rsid w:val="00945E23"/>
    <w:pPr>
      <w:pageBreakBefore/>
      <w:ind w:left="1134" w:hanging="1134"/>
    </w:pPr>
  </w:style>
  <w:style w:type="character" w:customStyle="1" w:styleId="TabNadpisChar">
    <w:name w:val="TabNadpis Char"/>
    <w:link w:val="TabNadpis"/>
    <w:rsid w:val="00945E23"/>
    <w:rPr>
      <w:rFonts w:ascii="Arial" w:hAnsi="Arial" w:cs="Calibri"/>
      <w:b/>
      <w:sz w:val="24"/>
      <w:szCs w:val="23"/>
      <w:lang w:eastAsia="ar-SA"/>
    </w:rPr>
  </w:style>
  <w:style w:type="character" w:styleId="Zvraznn">
    <w:name w:val="Emphasis"/>
    <w:qFormat/>
    <w:rsid w:val="00945E23"/>
    <w:rPr>
      <w:i/>
      <w:iCs/>
    </w:rPr>
  </w:style>
  <w:style w:type="character" w:customStyle="1" w:styleId="popis1">
    <w:name w:val="popis1"/>
    <w:rsid w:val="00945E23"/>
    <w:rPr>
      <w:vanish w:val="0"/>
    </w:rPr>
  </w:style>
  <w:style w:type="paragraph" w:customStyle="1" w:styleId="NormlnZarovnatdobloku">
    <w:name w:val="Normální + Zarovnat do bloku"/>
    <w:basedOn w:val="Normln"/>
    <w:rsid w:val="006A7F34"/>
    <w:pPr>
      <w:suppressAutoHyphens w:val="0"/>
      <w:spacing w:before="0" w:line="240" w:lineRule="auto"/>
      <w:ind w:firstLine="0"/>
    </w:pPr>
    <w:rPr>
      <w:rFonts w:cs="Times New Roman"/>
      <w:szCs w:val="24"/>
      <w:lang w:eastAsia="cs-CZ"/>
    </w:rPr>
  </w:style>
  <w:style w:type="character" w:styleId="Hypertextovodkaz">
    <w:name w:val="Hyperlink"/>
    <w:uiPriority w:val="99"/>
    <w:rsid w:val="00945E23"/>
    <w:rPr>
      <w:color w:val="0000FF"/>
      <w:u w:val="single"/>
    </w:rPr>
  </w:style>
  <w:style w:type="character" w:styleId="Sledovanodkaz">
    <w:name w:val="FollowedHyperlink"/>
    <w:uiPriority w:val="99"/>
    <w:rsid w:val="00945E23"/>
    <w:rPr>
      <w:color w:val="800080"/>
      <w:u w:val="single"/>
    </w:rPr>
  </w:style>
  <w:style w:type="paragraph" w:customStyle="1" w:styleId="Nadpis">
    <w:name w:val="Nadpis"/>
    <w:basedOn w:val="Normln"/>
    <w:next w:val="Zkladntext"/>
    <w:rsid w:val="00945E23"/>
    <w:pPr>
      <w:keepNext/>
      <w:spacing w:before="240" w:after="120"/>
    </w:pPr>
    <w:rPr>
      <w:rFonts w:ascii="Arial" w:eastAsia="SimSun" w:hAnsi="Arial" w:cs="Tahoma"/>
      <w:sz w:val="28"/>
      <w:szCs w:val="28"/>
    </w:rPr>
  </w:style>
  <w:style w:type="paragraph" w:styleId="Zkladntext">
    <w:name w:val="Body Text"/>
    <w:basedOn w:val="Normln"/>
    <w:link w:val="ZkladntextChar"/>
    <w:rsid w:val="00945E23"/>
    <w:pPr>
      <w:widowControl w:val="0"/>
      <w:spacing w:before="0" w:line="240" w:lineRule="auto"/>
      <w:ind w:firstLine="0"/>
    </w:pPr>
    <w:rPr>
      <w:szCs w:val="20"/>
    </w:rPr>
  </w:style>
  <w:style w:type="character" w:customStyle="1" w:styleId="ZkladntextChar">
    <w:name w:val="Základní text Char"/>
    <w:basedOn w:val="Standardnpsmoodstavce"/>
    <w:link w:val="Zkladntext"/>
    <w:rsid w:val="00945E23"/>
    <w:rPr>
      <w:rFonts w:ascii="Times New Roman" w:hAnsi="Times New Roman" w:cs="Calibri"/>
      <w:sz w:val="24"/>
      <w:lang w:eastAsia="ar-SA"/>
    </w:rPr>
  </w:style>
  <w:style w:type="paragraph" w:styleId="Seznam">
    <w:name w:val="List"/>
    <w:basedOn w:val="Zkladntext"/>
    <w:rsid w:val="00945E23"/>
    <w:rPr>
      <w:rFonts w:cs="Tahoma"/>
    </w:rPr>
  </w:style>
  <w:style w:type="paragraph" w:customStyle="1" w:styleId="Popisek">
    <w:name w:val="Popisek"/>
    <w:basedOn w:val="Normln"/>
    <w:rsid w:val="00945E23"/>
    <w:pPr>
      <w:suppressLineNumbers/>
      <w:spacing w:before="120" w:after="120"/>
    </w:pPr>
    <w:rPr>
      <w:rFonts w:cs="Tahoma"/>
      <w:i/>
      <w:iCs/>
      <w:szCs w:val="24"/>
    </w:rPr>
  </w:style>
  <w:style w:type="paragraph" w:customStyle="1" w:styleId="Rejstk">
    <w:name w:val="Rejstřík"/>
    <w:basedOn w:val="Normln"/>
    <w:rsid w:val="00945E23"/>
    <w:pPr>
      <w:suppressLineNumbers/>
    </w:pPr>
    <w:rPr>
      <w:rFonts w:cs="Tahoma"/>
    </w:rPr>
  </w:style>
  <w:style w:type="character" w:customStyle="1" w:styleId="mezeraChar">
    <w:name w:val="mezera Char"/>
    <w:link w:val="mezera"/>
    <w:rsid w:val="00945E23"/>
    <w:rPr>
      <w:rFonts w:ascii="Times New Roman" w:hAnsi="Times New Roman" w:cs="Calibri"/>
      <w:sz w:val="16"/>
      <w:szCs w:val="23"/>
      <w:lang w:eastAsia="ar-SA"/>
    </w:rPr>
  </w:style>
  <w:style w:type="character" w:customStyle="1" w:styleId="N-I-poznChar">
    <w:name w:val="N-I-pozn Char"/>
    <w:link w:val="N-I-pozn"/>
    <w:rsid w:val="00945E23"/>
    <w:rPr>
      <w:rFonts w:ascii="Times New Roman" w:hAnsi="Times New Roman" w:cs="Calibri"/>
      <w:i/>
      <w:sz w:val="24"/>
      <w:szCs w:val="24"/>
      <w:lang w:eastAsia="ar-SA"/>
    </w:rPr>
  </w:style>
  <w:style w:type="character" w:customStyle="1" w:styleId="NormlnvlevoChar">
    <w:name w:val="Normální vlevo Char"/>
    <w:link w:val="Normlnvlevo"/>
    <w:rsid w:val="00945E23"/>
    <w:rPr>
      <w:rFonts w:ascii="Times New Roman" w:hAnsi="Times New Roman"/>
      <w:sz w:val="24"/>
      <w:szCs w:val="23"/>
    </w:rPr>
  </w:style>
  <w:style w:type="character" w:customStyle="1" w:styleId="Norm-BoldChar">
    <w:name w:val="Norm-Bold Char"/>
    <w:link w:val="Norm-Bold"/>
    <w:rsid w:val="00945E23"/>
    <w:rPr>
      <w:rFonts w:ascii="Times New Roman" w:hAnsi="Times New Roman" w:cs="Calibri"/>
      <w:b/>
      <w:sz w:val="24"/>
      <w:szCs w:val="23"/>
      <w:lang w:eastAsia="ar-SA"/>
    </w:rPr>
  </w:style>
  <w:style w:type="paragraph" w:customStyle="1" w:styleId="Textkomente1">
    <w:name w:val="Text komentáře1"/>
    <w:basedOn w:val="Normln"/>
    <w:rsid w:val="00945E23"/>
    <w:rPr>
      <w:sz w:val="20"/>
    </w:rPr>
  </w:style>
  <w:style w:type="character" w:customStyle="1" w:styleId="TabPozChar">
    <w:name w:val="TabPoz Char"/>
    <w:link w:val="TabPoz"/>
    <w:rsid w:val="00945E23"/>
    <w:rPr>
      <w:rFonts w:ascii="Arial" w:hAnsi="Arial" w:cs="Calibri"/>
      <w:i/>
      <w:sz w:val="15"/>
      <w:szCs w:val="15"/>
      <w:lang w:eastAsia="ar-SA"/>
    </w:rPr>
  </w:style>
  <w:style w:type="character" w:customStyle="1" w:styleId="TabPramZpracChar">
    <w:name w:val="TabPramZprac Char"/>
    <w:link w:val="TabPramZprac"/>
    <w:rsid w:val="00945E23"/>
    <w:rPr>
      <w:rFonts w:ascii="Arial" w:hAnsi="Arial" w:cs="Calibri"/>
      <w:i/>
      <w:iCs/>
      <w:sz w:val="15"/>
      <w:szCs w:val="15"/>
      <w:lang w:eastAsia="ar-SA"/>
    </w:rPr>
  </w:style>
  <w:style w:type="character" w:customStyle="1" w:styleId="vet1Char">
    <w:name w:val="výčet 1 Char"/>
    <w:link w:val="vet1"/>
    <w:uiPriority w:val="99"/>
    <w:rsid w:val="00DF6A39"/>
    <w:rPr>
      <w:rFonts w:ascii="Times New Roman" w:hAnsi="Times New Roman" w:cs="Calibri"/>
      <w:sz w:val="24"/>
      <w:szCs w:val="23"/>
      <w:lang w:eastAsia="ar-SA"/>
    </w:rPr>
  </w:style>
  <w:style w:type="paragraph" w:customStyle="1" w:styleId="vet2a">
    <w:name w:val="výčet 2 a)"/>
    <w:basedOn w:val="vetapsmeno"/>
    <w:qFormat/>
    <w:rsid w:val="00945E23"/>
    <w:pPr>
      <w:numPr>
        <w:numId w:val="0"/>
      </w:numPr>
      <w:tabs>
        <w:tab w:val="num" w:pos="1134"/>
      </w:tabs>
      <w:spacing w:before="60" w:line="240" w:lineRule="auto"/>
      <w:ind w:left="1134" w:hanging="360"/>
    </w:pPr>
    <w:rPr>
      <w:rFonts w:eastAsia="Calibri"/>
    </w:rPr>
  </w:style>
  <w:style w:type="paragraph" w:customStyle="1" w:styleId="Zkladntext31">
    <w:name w:val="Základní text 31"/>
    <w:basedOn w:val="Normln"/>
    <w:rsid w:val="00945E23"/>
    <w:pPr>
      <w:widowControl w:val="0"/>
      <w:spacing w:before="0" w:line="240" w:lineRule="auto"/>
      <w:ind w:firstLine="0"/>
    </w:pPr>
    <w:rPr>
      <w:i/>
      <w:color w:val="FF0000"/>
      <w:szCs w:val="20"/>
    </w:rPr>
  </w:style>
  <w:style w:type="paragraph" w:styleId="Normlnweb">
    <w:name w:val="Normal (Web)"/>
    <w:basedOn w:val="Normln"/>
    <w:rsid w:val="00945E23"/>
    <w:pPr>
      <w:spacing w:before="280" w:after="280" w:line="240" w:lineRule="auto"/>
      <w:ind w:firstLine="0"/>
      <w:jc w:val="left"/>
    </w:pPr>
    <w:rPr>
      <w:rFonts w:ascii="Arial Unicode MS" w:eastAsia="Arial Unicode MS" w:hAnsi="Arial Unicode MS" w:cs="Arial Unicode MS"/>
      <w:color w:val="000000"/>
      <w:szCs w:val="24"/>
    </w:rPr>
  </w:style>
  <w:style w:type="paragraph" w:customStyle="1" w:styleId="Zkladntextodsazen21">
    <w:name w:val="Základní text odsazený 21"/>
    <w:basedOn w:val="Normln"/>
    <w:rsid w:val="00945E23"/>
    <w:pPr>
      <w:spacing w:before="0" w:line="240" w:lineRule="auto"/>
      <w:ind w:firstLine="708"/>
    </w:pPr>
    <w:rPr>
      <w:color w:val="FF0000"/>
      <w:szCs w:val="20"/>
    </w:rPr>
  </w:style>
  <w:style w:type="paragraph" w:customStyle="1" w:styleId="Zkladntext0">
    <w:name w:val="Z‡kladn’ text"/>
    <w:basedOn w:val="Normln"/>
    <w:rsid w:val="00945E23"/>
    <w:pPr>
      <w:spacing w:before="0" w:line="240" w:lineRule="auto"/>
      <w:ind w:firstLine="0"/>
    </w:pPr>
    <w:rPr>
      <w:szCs w:val="20"/>
    </w:rPr>
  </w:style>
  <w:style w:type="paragraph" w:customStyle="1" w:styleId="Nadpisoddlu">
    <w:name w:val="Nadpis oddílu"/>
    <w:basedOn w:val="Normln"/>
    <w:next w:val="Normln"/>
    <w:rsid w:val="00945E23"/>
    <w:pPr>
      <w:widowControl w:val="0"/>
      <w:spacing w:before="0" w:line="240" w:lineRule="auto"/>
      <w:ind w:firstLine="0"/>
    </w:pPr>
    <w:rPr>
      <w:i/>
      <w:szCs w:val="20"/>
    </w:rPr>
  </w:style>
  <w:style w:type="paragraph" w:customStyle="1" w:styleId="Zkladntextodsazen31">
    <w:name w:val="Základní text odsazený 31"/>
    <w:basedOn w:val="Normln"/>
    <w:rsid w:val="00945E23"/>
    <w:pPr>
      <w:widowControl w:val="0"/>
      <w:spacing w:before="0" w:line="240" w:lineRule="auto"/>
      <w:ind w:firstLine="708"/>
    </w:pPr>
    <w:rPr>
      <w:szCs w:val="20"/>
    </w:rPr>
  </w:style>
  <w:style w:type="paragraph" w:customStyle="1" w:styleId="Vyhlka">
    <w:name w:val="Vyhláška"/>
    <w:basedOn w:val="Normlnvlevo"/>
    <w:rsid w:val="00945E23"/>
    <w:pPr>
      <w:keepNext/>
    </w:pPr>
    <w:rPr>
      <w:iCs/>
      <w:szCs w:val="20"/>
    </w:rPr>
  </w:style>
  <w:style w:type="paragraph" w:customStyle="1" w:styleId="vet1-svzan">
    <w:name w:val="výčet 1 - svázaný"/>
    <w:basedOn w:val="vet1"/>
    <w:qFormat/>
    <w:rsid w:val="00945E23"/>
    <w:pPr>
      <w:keepNext/>
      <w:numPr>
        <w:numId w:val="14"/>
      </w:numPr>
      <w:ind w:left="567" w:hanging="567"/>
    </w:pPr>
    <w:rPr>
      <w:rFonts w:eastAsia="Calibri"/>
      <w:szCs w:val="24"/>
    </w:rPr>
  </w:style>
  <w:style w:type="paragraph" w:customStyle="1" w:styleId="logo-nzev">
    <w:name w:val="logo-název"/>
    <w:basedOn w:val="Nadpis1"/>
    <w:next w:val="UZEI"/>
    <w:qFormat/>
    <w:rsid w:val="00945E23"/>
    <w:pPr>
      <w:spacing w:before="0"/>
      <w:ind w:left="0" w:firstLine="0"/>
      <w:jc w:val="center"/>
      <w:outlineLvl w:val="9"/>
    </w:pPr>
    <w:rPr>
      <w:kern w:val="1"/>
    </w:rPr>
  </w:style>
  <w:style w:type="paragraph" w:customStyle="1" w:styleId="UZEI">
    <w:name w:val="UZEI"/>
    <w:basedOn w:val="logo-nzev"/>
    <w:next w:val="Normln"/>
    <w:qFormat/>
    <w:rsid w:val="00945E23"/>
    <w:rPr>
      <w:sz w:val="24"/>
      <w:szCs w:val="24"/>
    </w:rPr>
  </w:style>
  <w:style w:type="paragraph" w:customStyle="1" w:styleId="pkaz">
    <w:name w:val="příkaz"/>
    <w:basedOn w:val="logo-nzev"/>
    <w:next w:val="Normln"/>
    <w:qFormat/>
    <w:rsid w:val="00945E23"/>
    <w:pPr>
      <w:spacing w:before="480"/>
    </w:pPr>
    <w:rPr>
      <w:caps w:val="0"/>
    </w:rPr>
  </w:style>
  <w:style w:type="paragraph" w:customStyle="1" w:styleId="pkaz-nzev">
    <w:name w:val="příkaz-název"/>
    <w:basedOn w:val="pkaz"/>
    <w:next w:val="Normln"/>
    <w:qFormat/>
    <w:rsid w:val="00945E23"/>
    <w:pPr>
      <w:spacing w:after="360"/>
    </w:pPr>
    <w:rPr>
      <w:caps/>
    </w:rPr>
  </w:style>
  <w:style w:type="paragraph" w:customStyle="1" w:styleId="veta3stpsmeno">
    <w:name w:val="výčet a) 3.st. (písmeno)"/>
    <w:basedOn w:val="Normln"/>
    <w:qFormat/>
    <w:rsid w:val="00945E23"/>
    <w:pPr>
      <w:numPr>
        <w:numId w:val="13"/>
      </w:numPr>
      <w:spacing w:line="240" w:lineRule="auto"/>
      <w:ind w:left="1134" w:hanging="283"/>
    </w:pPr>
  </w:style>
  <w:style w:type="paragraph" w:customStyle="1" w:styleId="Lit-bezs">
    <w:name w:val="Lit-bez čís"/>
    <w:basedOn w:val="Normln"/>
    <w:rsid w:val="00945E23"/>
    <w:pPr>
      <w:spacing w:line="240" w:lineRule="auto"/>
      <w:ind w:left="709" w:right="567" w:hanging="425"/>
    </w:pPr>
    <w:rPr>
      <w:szCs w:val="20"/>
    </w:rPr>
  </w:style>
  <w:style w:type="paragraph" w:customStyle="1" w:styleId="obal-autor">
    <w:name w:val="obal-autor"/>
    <w:basedOn w:val="Normln"/>
    <w:next w:val="Normln"/>
    <w:rsid w:val="00945E23"/>
    <w:pPr>
      <w:spacing w:before="0"/>
      <w:ind w:firstLine="0"/>
      <w:jc w:val="center"/>
    </w:pPr>
    <w:rPr>
      <w:rFonts w:ascii="Arial" w:hAnsi="Arial"/>
      <w:b/>
      <w:sz w:val="36"/>
      <w:szCs w:val="20"/>
    </w:rPr>
  </w:style>
  <w:style w:type="paragraph" w:customStyle="1" w:styleId="obal-slo">
    <w:name w:val="obal-číslo"/>
    <w:basedOn w:val="Normln"/>
    <w:rsid w:val="00945E23"/>
    <w:pPr>
      <w:tabs>
        <w:tab w:val="left" w:pos="1843"/>
      </w:tabs>
      <w:ind w:left="-851" w:firstLine="0"/>
    </w:pPr>
    <w:rPr>
      <w:rFonts w:ascii="Arial" w:hAnsi="Arial"/>
      <w:b/>
      <w:caps/>
      <w:szCs w:val="20"/>
    </w:rPr>
  </w:style>
  <w:style w:type="paragraph" w:customStyle="1" w:styleId="obal-logo">
    <w:name w:val="obal-logo"/>
    <w:basedOn w:val="Normln"/>
    <w:rsid w:val="00945E23"/>
    <w:pPr>
      <w:tabs>
        <w:tab w:val="left" w:pos="5387"/>
      </w:tabs>
      <w:spacing w:before="360" w:line="240" w:lineRule="auto"/>
      <w:ind w:firstLine="0"/>
      <w:jc w:val="center"/>
    </w:pPr>
    <w:rPr>
      <w:szCs w:val="20"/>
    </w:rPr>
  </w:style>
  <w:style w:type="paragraph" w:customStyle="1" w:styleId="obal-nzev">
    <w:name w:val="obal-název"/>
    <w:basedOn w:val="Normln"/>
    <w:next w:val="Normln"/>
    <w:rsid w:val="00945E23"/>
    <w:pPr>
      <w:spacing w:before="0" w:line="240" w:lineRule="auto"/>
      <w:ind w:left="1134" w:right="1134" w:firstLine="0"/>
      <w:jc w:val="center"/>
    </w:pPr>
    <w:rPr>
      <w:rFonts w:ascii="Arial" w:hAnsi="Arial"/>
      <w:b/>
      <w:sz w:val="40"/>
      <w:szCs w:val="20"/>
    </w:rPr>
  </w:style>
  <w:style w:type="paragraph" w:styleId="Podpis">
    <w:name w:val="Signature"/>
    <w:basedOn w:val="Normln"/>
    <w:link w:val="PodpisChar"/>
    <w:rsid w:val="00945E23"/>
    <w:pPr>
      <w:ind w:left="4252"/>
    </w:pPr>
    <w:rPr>
      <w:szCs w:val="20"/>
    </w:rPr>
  </w:style>
  <w:style w:type="character" w:customStyle="1" w:styleId="PodpisChar">
    <w:name w:val="Podpis Char"/>
    <w:basedOn w:val="Standardnpsmoodstavce"/>
    <w:link w:val="Podpis"/>
    <w:rsid w:val="00945E23"/>
    <w:rPr>
      <w:rFonts w:ascii="Times New Roman" w:hAnsi="Times New Roman" w:cs="Calibri"/>
      <w:sz w:val="24"/>
      <w:lang w:eastAsia="ar-SA"/>
    </w:rPr>
  </w:style>
  <w:style w:type="paragraph" w:customStyle="1" w:styleId="prava-autor1">
    <w:name w:val="prava-autor1"/>
    <w:basedOn w:val="Normln"/>
    <w:rsid w:val="00945E23"/>
    <w:pPr>
      <w:spacing w:before="120" w:line="240" w:lineRule="auto"/>
      <w:ind w:left="567" w:firstLine="0"/>
    </w:pPr>
    <w:rPr>
      <w:szCs w:val="20"/>
    </w:rPr>
  </w:style>
  <w:style w:type="paragraph" w:customStyle="1" w:styleId="prava-autor2">
    <w:name w:val="prava-autor2"/>
    <w:basedOn w:val="Normln"/>
    <w:rsid w:val="00945E23"/>
    <w:pPr>
      <w:spacing w:before="0" w:line="240" w:lineRule="auto"/>
      <w:ind w:left="567" w:firstLine="0"/>
    </w:pPr>
    <w:rPr>
      <w:szCs w:val="20"/>
    </w:rPr>
  </w:style>
  <w:style w:type="paragraph" w:customStyle="1" w:styleId="prava-copyright1">
    <w:name w:val="prava-copyright1"/>
    <w:basedOn w:val="Normln"/>
    <w:rsid w:val="00945E23"/>
    <w:pPr>
      <w:tabs>
        <w:tab w:val="left" w:pos="567"/>
      </w:tabs>
      <w:spacing w:before="240"/>
      <w:ind w:firstLine="0"/>
    </w:pPr>
    <w:rPr>
      <w:szCs w:val="20"/>
    </w:rPr>
  </w:style>
  <w:style w:type="paragraph" w:customStyle="1" w:styleId="prava-copyright2">
    <w:name w:val="prava-copyright2"/>
    <w:basedOn w:val="Normln"/>
    <w:rsid w:val="00945E23"/>
    <w:pPr>
      <w:spacing w:before="120" w:line="240" w:lineRule="auto"/>
      <w:ind w:left="567" w:firstLine="0"/>
    </w:pPr>
    <w:rPr>
      <w:szCs w:val="20"/>
    </w:rPr>
  </w:style>
  <w:style w:type="paragraph" w:customStyle="1" w:styleId="prava-ISBN">
    <w:name w:val="prava-ISBN"/>
    <w:basedOn w:val="Normln"/>
    <w:rsid w:val="00945E23"/>
    <w:pPr>
      <w:spacing w:before="120"/>
      <w:ind w:left="567" w:firstLine="0"/>
    </w:pPr>
    <w:rPr>
      <w:szCs w:val="20"/>
    </w:rPr>
  </w:style>
  <w:style w:type="paragraph" w:customStyle="1" w:styleId="prava-odpovida">
    <w:name w:val="prava-odpovida"/>
    <w:basedOn w:val="Normln"/>
    <w:rsid w:val="00945E23"/>
    <w:pPr>
      <w:spacing w:before="0"/>
      <w:ind w:firstLine="0"/>
    </w:pPr>
    <w:rPr>
      <w:szCs w:val="20"/>
    </w:rPr>
  </w:style>
  <w:style w:type="paragraph" w:customStyle="1" w:styleId="prava-oponent">
    <w:name w:val="prava-oponent"/>
    <w:basedOn w:val="Normln"/>
    <w:rsid w:val="00945E23"/>
    <w:pPr>
      <w:tabs>
        <w:tab w:val="left" w:pos="1276"/>
      </w:tabs>
      <w:ind w:firstLine="0"/>
    </w:pPr>
    <w:rPr>
      <w:szCs w:val="20"/>
    </w:rPr>
  </w:style>
  <w:style w:type="paragraph" w:customStyle="1" w:styleId="prava-schvaleni">
    <w:name w:val="prava-schvaleni"/>
    <w:basedOn w:val="Normln"/>
    <w:rsid w:val="00945E23"/>
    <w:pPr>
      <w:spacing w:before="600" w:after="240" w:line="480" w:lineRule="auto"/>
      <w:ind w:firstLine="0"/>
    </w:pPr>
    <w:rPr>
      <w:szCs w:val="20"/>
    </w:rPr>
  </w:style>
  <w:style w:type="paragraph" w:customStyle="1" w:styleId="prava-technik">
    <w:name w:val="prava-technik"/>
    <w:basedOn w:val="Normln"/>
    <w:rsid w:val="00945E23"/>
    <w:pPr>
      <w:spacing w:before="120" w:line="240" w:lineRule="auto"/>
      <w:ind w:left="567" w:firstLine="0"/>
    </w:pPr>
    <w:rPr>
      <w:szCs w:val="20"/>
    </w:rPr>
  </w:style>
  <w:style w:type="paragraph" w:customStyle="1" w:styleId="prava-techspol">
    <w:name w:val="prava-techspol"/>
    <w:basedOn w:val="Normln"/>
    <w:rsid w:val="00945E23"/>
    <w:pPr>
      <w:spacing w:before="120"/>
      <w:ind w:firstLine="0"/>
    </w:pPr>
    <w:rPr>
      <w:szCs w:val="20"/>
    </w:rPr>
  </w:style>
  <w:style w:type="paragraph" w:customStyle="1" w:styleId="Pklad">
    <w:name w:val="Příklad"/>
    <w:basedOn w:val="Normln"/>
    <w:next w:val="Normln"/>
    <w:rsid w:val="00945E23"/>
    <w:pPr>
      <w:keepNext/>
      <w:spacing w:before="240"/>
      <w:ind w:firstLine="0"/>
    </w:pPr>
    <w:rPr>
      <w:rFonts w:ascii="Arial" w:hAnsi="Arial"/>
      <w:b/>
      <w:szCs w:val="20"/>
    </w:rPr>
  </w:style>
  <w:style w:type="paragraph" w:customStyle="1" w:styleId="titul-autor">
    <w:name w:val="titul-autor"/>
    <w:basedOn w:val="Normln"/>
    <w:next w:val="Normln"/>
    <w:rsid w:val="00945E23"/>
    <w:pPr>
      <w:spacing w:before="0" w:line="240" w:lineRule="auto"/>
      <w:ind w:firstLine="0"/>
      <w:jc w:val="center"/>
    </w:pPr>
    <w:rPr>
      <w:b/>
      <w:sz w:val="28"/>
      <w:szCs w:val="20"/>
    </w:rPr>
  </w:style>
  <w:style w:type="paragraph" w:customStyle="1" w:styleId="titul-nzev">
    <w:name w:val="titul-název"/>
    <w:basedOn w:val="Normln"/>
    <w:next w:val="titul-autor"/>
    <w:rsid w:val="00945E23"/>
    <w:pPr>
      <w:spacing w:before="0" w:line="240" w:lineRule="auto"/>
      <w:ind w:left="1134" w:right="1134" w:firstLine="0"/>
      <w:jc w:val="center"/>
    </w:pPr>
    <w:rPr>
      <w:rFonts w:ascii="Arial" w:hAnsi="Arial"/>
      <w:b/>
      <w:sz w:val="32"/>
      <w:szCs w:val="20"/>
    </w:rPr>
  </w:style>
  <w:style w:type="paragraph" w:customStyle="1" w:styleId="titul-rok">
    <w:name w:val="titul-rok"/>
    <w:basedOn w:val="Normln"/>
    <w:rsid w:val="00945E23"/>
    <w:pPr>
      <w:spacing w:line="240" w:lineRule="auto"/>
      <w:ind w:firstLine="0"/>
      <w:jc w:val="center"/>
    </w:pPr>
    <w:rPr>
      <w:b/>
      <w:szCs w:val="20"/>
    </w:rPr>
  </w:style>
  <w:style w:type="paragraph" w:customStyle="1" w:styleId="titul-typ">
    <w:name w:val="titul-typ"/>
    <w:basedOn w:val="titul-autor"/>
    <w:next w:val="titul-autor"/>
    <w:rsid w:val="00945E23"/>
    <w:pPr>
      <w:spacing w:before="120"/>
      <w:ind w:left="1134" w:right="1134"/>
    </w:pPr>
  </w:style>
  <w:style w:type="paragraph" w:customStyle="1" w:styleId="titul-vuze">
    <w:name w:val="titul-vuze"/>
    <w:basedOn w:val="Normln"/>
    <w:rsid w:val="00945E23"/>
    <w:pPr>
      <w:ind w:firstLine="0"/>
      <w:jc w:val="center"/>
    </w:pPr>
    <w:rPr>
      <w:b/>
      <w:sz w:val="28"/>
      <w:szCs w:val="20"/>
    </w:rPr>
  </w:style>
  <w:style w:type="paragraph" w:customStyle="1" w:styleId="vod">
    <w:name w:val="Úvod"/>
    <w:basedOn w:val="Normln"/>
    <w:rsid w:val="00945E23"/>
    <w:rPr>
      <w:i/>
      <w:szCs w:val="20"/>
    </w:rPr>
  </w:style>
  <w:style w:type="paragraph" w:customStyle="1" w:styleId="V-center">
    <w:name w:val="V-center"/>
    <w:basedOn w:val="Normln"/>
    <w:next w:val="Normln"/>
    <w:rsid w:val="00945E23"/>
    <w:pPr>
      <w:spacing w:before="0" w:line="240" w:lineRule="auto"/>
      <w:ind w:firstLine="0"/>
      <w:jc w:val="center"/>
    </w:pPr>
    <w:rPr>
      <w:b/>
      <w:caps/>
      <w:sz w:val="40"/>
      <w:szCs w:val="20"/>
    </w:rPr>
  </w:style>
  <w:style w:type="paragraph" w:styleId="Zkladntextodsazen">
    <w:name w:val="Body Text Indent"/>
    <w:aliases w:val="bti"/>
    <w:basedOn w:val="Normln"/>
    <w:link w:val="ZkladntextodsazenChar"/>
    <w:rsid w:val="00945E23"/>
    <w:rPr>
      <w:szCs w:val="20"/>
    </w:rPr>
  </w:style>
  <w:style w:type="character" w:customStyle="1" w:styleId="ZkladntextodsazenChar">
    <w:name w:val="Základní text odsazený Char"/>
    <w:aliases w:val="bti Char"/>
    <w:basedOn w:val="Standardnpsmoodstavce"/>
    <w:link w:val="Zkladntextodsazen"/>
    <w:uiPriority w:val="99"/>
    <w:rsid w:val="00945E23"/>
    <w:rPr>
      <w:rFonts w:ascii="Times New Roman" w:hAnsi="Times New Roman" w:cs="Calibri"/>
      <w:sz w:val="24"/>
      <w:lang w:eastAsia="ar-SA"/>
    </w:rPr>
  </w:style>
  <w:style w:type="paragraph" w:customStyle="1" w:styleId="Prosttext1">
    <w:name w:val="Prostý text1"/>
    <w:basedOn w:val="Normln"/>
    <w:rsid w:val="00945E23"/>
    <w:pPr>
      <w:spacing w:before="0" w:line="240" w:lineRule="auto"/>
      <w:ind w:firstLine="0"/>
      <w:jc w:val="left"/>
    </w:pPr>
    <w:rPr>
      <w:rFonts w:ascii="Courier New" w:hAnsi="Courier New"/>
      <w:sz w:val="20"/>
      <w:szCs w:val="20"/>
    </w:rPr>
  </w:style>
  <w:style w:type="paragraph" w:customStyle="1" w:styleId="Faita">
    <w:name w:val="Fait a"/>
    <w:basedOn w:val="Normln"/>
    <w:next w:val="Normln"/>
    <w:rsid w:val="00945E23"/>
    <w:pPr>
      <w:widowControl w:val="0"/>
      <w:spacing w:before="120" w:line="240" w:lineRule="auto"/>
      <w:ind w:firstLine="0"/>
    </w:pPr>
    <w:rPr>
      <w:szCs w:val="20"/>
    </w:rPr>
  </w:style>
  <w:style w:type="paragraph" w:customStyle="1" w:styleId="odrka">
    <w:name w:val="odrážka"/>
    <w:basedOn w:val="Normln"/>
    <w:rsid w:val="00945E23"/>
    <w:pPr>
      <w:numPr>
        <w:numId w:val="12"/>
      </w:numPr>
      <w:spacing w:before="0" w:line="240" w:lineRule="atLeast"/>
      <w:jc w:val="left"/>
    </w:pPr>
    <w:rPr>
      <w:sz w:val="20"/>
      <w:szCs w:val="20"/>
    </w:rPr>
  </w:style>
  <w:style w:type="paragraph" w:customStyle="1" w:styleId="Norm-ital0">
    <w:name w:val="Norm-ital"/>
    <w:basedOn w:val="Norm-Bold"/>
    <w:rsid w:val="00945E23"/>
    <w:pPr>
      <w:widowControl w:val="0"/>
      <w:textAlignment w:val="baseline"/>
    </w:pPr>
    <w:rPr>
      <w:b w:val="0"/>
      <w:bCs/>
      <w:i/>
      <w:iCs/>
      <w:szCs w:val="20"/>
    </w:rPr>
  </w:style>
  <w:style w:type="paragraph" w:customStyle="1" w:styleId="Seznamsodrkami1">
    <w:name w:val="Seznam s odrážkami1"/>
    <w:basedOn w:val="Normln"/>
    <w:rsid w:val="00945E23"/>
    <w:pPr>
      <w:numPr>
        <w:numId w:val="11"/>
      </w:numPr>
      <w:spacing w:before="0" w:line="240" w:lineRule="auto"/>
      <w:jc w:val="left"/>
    </w:pPr>
    <w:rPr>
      <w:szCs w:val="24"/>
    </w:rPr>
  </w:style>
  <w:style w:type="paragraph" w:styleId="FormtovanvHTML">
    <w:name w:val="HTML Preformatted"/>
    <w:basedOn w:val="Normln"/>
    <w:link w:val="FormtovanvHTMLChar"/>
    <w:rsid w:val="00945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szCs w:val="20"/>
    </w:rPr>
  </w:style>
  <w:style w:type="character" w:customStyle="1" w:styleId="FormtovanvHTMLChar">
    <w:name w:val="Formátovaný v HTML Char"/>
    <w:basedOn w:val="Standardnpsmoodstavce"/>
    <w:link w:val="FormtovanvHTML"/>
    <w:rsid w:val="00945E23"/>
    <w:rPr>
      <w:rFonts w:ascii="Courier New" w:hAnsi="Courier New" w:cs="Courier New"/>
      <w:lang w:eastAsia="ar-SA"/>
    </w:rPr>
  </w:style>
  <w:style w:type="paragraph" w:customStyle="1" w:styleId="Nadpis-Zprva">
    <w:name w:val="Nadpis-Zpráva"/>
    <w:basedOn w:val="Nadpis1"/>
    <w:next w:val="Nadpis-ZZ"/>
    <w:rsid w:val="00945E23"/>
    <w:pPr>
      <w:keepNext w:val="0"/>
      <w:widowControl w:val="0"/>
      <w:spacing w:before="6000" w:line="300" w:lineRule="atLeast"/>
      <w:ind w:left="0" w:firstLine="0"/>
      <w:jc w:val="center"/>
      <w:textAlignment w:val="baseline"/>
      <w:outlineLvl w:val="9"/>
    </w:pPr>
    <w:rPr>
      <w:rFonts w:cs="Arial"/>
      <w:bCs/>
      <w:kern w:val="1"/>
      <w:sz w:val="50"/>
      <w:szCs w:val="50"/>
    </w:rPr>
  </w:style>
  <w:style w:type="paragraph" w:customStyle="1" w:styleId="Nadpis-ZZ">
    <w:name w:val="Nadpis-ZZ"/>
    <w:basedOn w:val="Nadpis-Zprva"/>
    <w:next w:val="Normln"/>
    <w:rsid w:val="00945E23"/>
    <w:pPr>
      <w:spacing w:before="600"/>
    </w:pPr>
    <w:rPr>
      <w:rFonts w:cs="Times New Roman"/>
    </w:rPr>
  </w:style>
  <w:style w:type="paragraph" w:customStyle="1" w:styleId="Nadpis1-bezodsazen">
    <w:name w:val="Nadpis 1-bez odsazení"/>
    <w:basedOn w:val="Nadpis1"/>
    <w:next w:val="Normln"/>
    <w:rsid w:val="00945E23"/>
    <w:pPr>
      <w:pageBreakBefore/>
      <w:spacing w:before="0"/>
      <w:ind w:left="0" w:firstLine="0"/>
    </w:pPr>
    <w:rPr>
      <w:kern w:val="1"/>
    </w:rPr>
  </w:style>
  <w:style w:type="paragraph" w:customStyle="1" w:styleId="daje">
    <w:name w:val="údaje"/>
    <w:basedOn w:val="Normlnvlevo"/>
    <w:qFormat/>
    <w:rsid w:val="00945E23"/>
    <w:pPr>
      <w:tabs>
        <w:tab w:val="left" w:pos="1134"/>
      </w:tabs>
    </w:pPr>
  </w:style>
  <w:style w:type="paragraph" w:customStyle="1" w:styleId="Odstavecseseznamem1">
    <w:name w:val="Odstavec se seznamem1"/>
    <w:basedOn w:val="Normln"/>
    <w:rsid w:val="00945E23"/>
    <w:pPr>
      <w:spacing w:before="0" w:after="200" w:line="276" w:lineRule="auto"/>
      <w:ind w:left="720" w:firstLine="0"/>
      <w:jc w:val="left"/>
    </w:pPr>
    <w:rPr>
      <w:rFonts w:ascii="Calibri" w:hAnsi="Calibri"/>
      <w:sz w:val="22"/>
      <w:szCs w:val="22"/>
    </w:rPr>
  </w:style>
  <w:style w:type="paragraph" w:customStyle="1" w:styleId="textpoznp-vet">
    <w:name w:val="text pozn pč - výčet"/>
    <w:basedOn w:val="Textpoznpodarou"/>
    <w:qFormat/>
    <w:rsid w:val="00945E23"/>
    <w:pPr>
      <w:widowControl w:val="0"/>
      <w:numPr>
        <w:numId w:val="15"/>
      </w:numPr>
      <w:tabs>
        <w:tab w:val="left" w:pos="360"/>
        <w:tab w:val="left" w:pos="567"/>
      </w:tabs>
      <w:ind w:left="568" w:hanging="284"/>
      <w:textAlignment w:val="baseline"/>
    </w:pPr>
  </w:style>
  <w:style w:type="paragraph" w:customStyle="1" w:styleId="Tabulka-zhlav">
    <w:name w:val="Tabulka-záhlaví"/>
    <w:basedOn w:val="Tabulka"/>
    <w:rsid w:val="00945E23"/>
    <w:pPr>
      <w:spacing w:before="0" w:line="240" w:lineRule="auto"/>
      <w:jc w:val="center"/>
    </w:pPr>
    <w:rPr>
      <w:rFonts w:cs="Arial"/>
      <w:b/>
      <w:bCs/>
      <w:szCs w:val="24"/>
    </w:rPr>
  </w:style>
  <w:style w:type="paragraph" w:customStyle="1" w:styleId="styl">
    <w:name w:val="styl"/>
    <w:basedOn w:val="Nadpis2"/>
    <w:rsid w:val="00945E23"/>
    <w:pPr>
      <w:numPr>
        <w:ilvl w:val="1"/>
      </w:numPr>
      <w:tabs>
        <w:tab w:val="clear" w:pos="567"/>
      </w:tabs>
      <w:spacing w:before="0" w:after="0"/>
      <w:ind w:left="567" w:firstLine="567"/>
      <w:outlineLvl w:val="9"/>
    </w:pPr>
    <w:rPr>
      <w:b w:val="0"/>
      <w:bCs/>
    </w:rPr>
  </w:style>
  <w:style w:type="paragraph" w:customStyle="1" w:styleId="tab-vet1">
    <w:name w:val="tab-výčet1"/>
    <w:basedOn w:val="Tabulka"/>
    <w:rsid w:val="00945E23"/>
    <w:pPr>
      <w:tabs>
        <w:tab w:val="left" w:pos="255"/>
      </w:tabs>
      <w:spacing w:before="0" w:line="240" w:lineRule="auto"/>
      <w:ind w:left="255" w:hanging="255"/>
    </w:pPr>
    <w:rPr>
      <w:sz w:val="20"/>
      <w:szCs w:val="20"/>
    </w:rPr>
  </w:style>
  <w:style w:type="paragraph" w:customStyle="1" w:styleId="slovn">
    <w:name w:val="Číslování"/>
    <w:basedOn w:val="vet1"/>
    <w:rsid w:val="00945E23"/>
    <w:pPr>
      <w:numPr>
        <w:numId w:val="16"/>
      </w:numPr>
      <w:tabs>
        <w:tab w:val="left" w:pos="927"/>
      </w:tabs>
      <w:spacing w:before="120" w:line="240" w:lineRule="atLeast"/>
      <w:ind w:left="851" w:hanging="284"/>
    </w:pPr>
    <w:rPr>
      <w:rFonts w:eastAsia="Calibri"/>
      <w:szCs w:val="20"/>
      <w:lang w:eastAsia="en-US"/>
    </w:rPr>
  </w:style>
  <w:style w:type="paragraph" w:customStyle="1" w:styleId="Zkladntext21">
    <w:name w:val="Základní text 21"/>
    <w:basedOn w:val="Normln"/>
    <w:rsid w:val="00945E23"/>
    <w:pPr>
      <w:spacing w:before="120" w:line="240" w:lineRule="auto"/>
      <w:ind w:firstLine="0"/>
    </w:pPr>
    <w:rPr>
      <w:szCs w:val="20"/>
    </w:rPr>
  </w:style>
  <w:style w:type="paragraph" w:customStyle="1" w:styleId="souhrn-kap">
    <w:name w:val="souhrn-kap"/>
    <w:basedOn w:val="Normln"/>
    <w:qFormat/>
    <w:rsid w:val="00620F0B"/>
    <w:pPr>
      <w:numPr>
        <w:numId w:val="10"/>
      </w:numPr>
      <w:tabs>
        <w:tab w:val="clear" w:pos="432"/>
      </w:tabs>
      <w:spacing w:before="120" w:line="240" w:lineRule="atLeast"/>
      <w:ind w:left="0" w:firstLine="0"/>
    </w:pPr>
    <w:rPr>
      <w:rFonts w:ascii="Arial" w:hAnsi="Arial" w:cs="Arial"/>
      <w:i/>
      <w:sz w:val="22"/>
      <w:szCs w:val="22"/>
    </w:rPr>
  </w:style>
  <w:style w:type="paragraph" w:customStyle="1" w:styleId="vetA">
    <w:name w:val="výčet A."/>
    <w:basedOn w:val="Normln"/>
    <w:rsid w:val="00945E23"/>
    <w:pPr>
      <w:spacing w:line="360" w:lineRule="exact"/>
      <w:ind w:firstLine="0"/>
    </w:pPr>
  </w:style>
  <w:style w:type="paragraph" w:customStyle="1" w:styleId="veta0">
    <w:name w:val="výčet a."/>
    <w:basedOn w:val="veta2stpsmeno"/>
    <w:rsid w:val="00945E23"/>
    <w:pPr>
      <w:numPr>
        <w:numId w:val="0"/>
      </w:numPr>
    </w:pPr>
  </w:style>
  <w:style w:type="paragraph" w:customStyle="1" w:styleId="Default">
    <w:name w:val="Default"/>
    <w:rsid w:val="00945E23"/>
    <w:pPr>
      <w:suppressAutoHyphens/>
      <w:autoSpaceDE w:val="0"/>
    </w:pPr>
    <w:rPr>
      <w:rFonts w:ascii="Verdana" w:eastAsia="Arial" w:hAnsi="Verdana" w:cs="Verdana"/>
      <w:color w:val="000000"/>
      <w:sz w:val="24"/>
      <w:szCs w:val="24"/>
      <w:lang w:eastAsia="ar-SA"/>
    </w:rPr>
  </w:style>
  <w:style w:type="paragraph" w:customStyle="1" w:styleId="font5">
    <w:name w:val="font5"/>
    <w:basedOn w:val="Normln"/>
    <w:rsid w:val="00945E23"/>
    <w:pPr>
      <w:spacing w:before="280" w:after="280" w:line="240" w:lineRule="auto"/>
      <w:ind w:firstLine="0"/>
      <w:jc w:val="left"/>
    </w:pPr>
    <w:rPr>
      <w:rFonts w:ascii="Arial" w:eastAsia="Arial Unicode MS" w:hAnsi="Arial" w:cs="Arial"/>
      <w:i/>
      <w:iCs/>
      <w:sz w:val="16"/>
      <w:szCs w:val="16"/>
    </w:rPr>
  </w:style>
  <w:style w:type="paragraph" w:customStyle="1" w:styleId="font6">
    <w:name w:val="font6"/>
    <w:basedOn w:val="Normln"/>
    <w:rsid w:val="00945E23"/>
    <w:pPr>
      <w:spacing w:before="280" w:after="280" w:line="240" w:lineRule="auto"/>
      <w:ind w:firstLine="0"/>
      <w:jc w:val="left"/>
    </w:pPr>
    <w:rPr>
      <w:rFonts w:ascii="Arial" w:eastAsia="Arial Unicode MS" w:hAnsi="Arial" w:cs="Arial"/>
      <w:i/>
      <w:iCs/>
      <w:sz w:val="16"/>
      <w:szCs w:val="16"/>
    </w:rPr>
  </w:style>
  <w:style w:type="paragraph" w:styleId="Nadpisobsahu">
    <w:name w:val="TOC Heading"/>
    <w:basedOn w:val="Nadpis1"/>
    <w:next w:val="Normln"/>
    <w:qFormat/>
    <w:rsid w:val="00945E23"/>
    <w:pPr>
      <w:keepLines/>
      <w:spacing w:line="276" w:lineRule="auto"/>
      <w:ind w:left="0" w:firstLine="0"/>
      <w:outlineLvl w:val="9"/>
    </w:pPr>
    <w:rPr>
      <w:rFonts w:ascii="Cambria" w:hAnsi="Cambria"/>
      <w:bCs/>
      <w:caps w:val="0"/>
      <w:color w:val="365F91"/>
      <w:kern w:val="1"/>
      <w:szCs w:val="28"/>
    </w:rPr>
  </w:style>
  <w:style w:type="paragraph" w:customStyle="1" w:styleId="schmaFADN-8">
    <w:name w:val="schéma FADN-8"/>
    <w:basedOn w:val="Normln"/>
    <w:link w:val="schmaFADN-8Char"/>
    <w:rsid w:val="00945E23"/>
    <w:pPr>
      <w:keepLines/>
      <w:spacing w:before="120" w:line="240" w:lineRule="auto"/>
      <w:ind w:firstLine="0"/>
      <w:jc w:val="center"/>
    </w:pPr>
    <w:rPr>
      <w:sz w:val="16"/>
      <w:szCs w:val="20"/>
      <w:lang w:val="en-GB"/>
    </w:rPr>
  </w:style>
  <w:style w:type="character" w:customStyle="1" w:styleId="schmaFADN-8Char">
    <w:name w:val="schéma FADN-8 Char"/>
    <w:link w:val="schmaFADN-8"/>
    <w:rsid w:val="00945E23"/>
    <w:rPr>
      <w:rFonts w:ascii="Times New Roman" w:hAnsi="Times New Roman" w:cs="Calibri"/>
      <w:sz w:val="16"/>
      <w:lang w:val="en-GB" w:eastAsia="ar-SA"/>
    </w:rPr>
  </w:style>
  <w:style w:type="paragraph" w:customStyle="1" w:styleId="schmaFADN">
    <w:name w:val="schéma FADN"/>
    <w:basedOn w:val="Normln"/>
    <w:link w:val="schmaFADNChar"/>
    <w:rsid w:val="00945E23"/>
    <w:pPr>
      <w:keepLines/>
      <w:spacing w:before="120" w:line="240" w:lineRule="auto"/>
      <w:ind w:firstLine="0"/>
      <w:jc w:val="center"/>
    </w:pPr>
    <w:rPr>
      <w:sz w:val="20"/>
      <w:szCs w:val="20"/>
      <w:lang w:val="x-none"/>
    </w:rPr>
  </w:style>
  <w:style w:type="character" w:customStyle="1" w:styleId="schmaFADNChar">
    <w:name w:val="schéma FADN Char"/>
    <w:link w:val="schmaFADN"/>
    <w:rsid w:val="00945E23"/>
    <w:rPr>
      <w:rFonts w:ascii="Times New Roman" w:hAnsi="Times New Roman" w:cs="Calibri"/>
      <w:lang w:val="x-none" w:eastAsia="ar-SA"/>
    </w:rPr>
  </w:style>
  <w:style w:type="paragraph" w:customStyle="1" w:styleId="schmaFADN-Bold">
    <w:name w:val="schéma FADN-Bold"/>
    <w:basedOn w:val="schmaFADN"/>
    <w:link w:val="schmaFADN-BoldChar"/>
    <w:rsid w:val="00945E23"/>
    <w:rPr>
      <w:b/>
    </w:rPr>
  </w:style>
  <w:style w:type="character" w:customStyle="1" w:styleId="schmaFADN-BoldChar">
    <w:name w:val="schéma FADN-Bold Char"/>
    <w:link w:val="schmaFADN-Bold"/>
    <w:rsid w:val="00945E23"/>
    <w:rPr>
      <w:rFonts w:ascii="Times New Roman" w:hAnsi="Times New Roman" w:cs="Calibri"/>
      <w:b/>
      <w:lang w:val="x-none" w:eastAsia="ar-SA"/>
    </w:rPr>
  </w:style>
  <w:style w:type="paragraph" w:customStyle="1" w:styleId="Obsah10">
    <w:name w:val="Obsah 10"/>
    <w:basedOn w:val="Rejstk"/>
    <w:rsid w:val="00945E23"/>
    <w:pPr>
      <w:tabs>
        <w:tab w:val="right" w:leader="dot" w:pos="7091"/>
      </w:tabs>
      <w:ind w:left="2547" w:firstLine="0"/>
    </w:pPr>
  </w:style>
  <w:style w:type="paragraph" w:customStyle="1" w:styleId="Obsahtabulky">
    <w:name w:val="Obsah tabulky"/>
    <w:basedOn w:val="Normln"/>
    <w:rsid w:val="00945E23"/>
    <w:pPr>
      <w:suppressLineNumbers/>
    </w:pPr>
  </w:style>
  <w:style w:type="paragraph" w:customStyle="1" w:styleId="Nadpistabulky">
    <w:name w:val="Nadpis tabulky"/>
    <w:basedOn w:val="Obsahtabulky"/>
    <w:rsid w:val="00945E23"/>
    <w:pPr>
      <w:jc w:val="center"/>
    </w:pPr>
    <w:rPr>
      <w:b/>
      <w:bCs/>
    </w:rPr>
  </w:style>
  <w:style w:type="paragraph" w:customStyle="1" w:styleId="Obsahrmce">
    <w:name w:val="Obsah rámce"/>
    <w:basedOn w:val="Zkladntext"/>
    <w:rsid w:val="00945E23"/>
  </w:style>
  <w:style w:type="paragraph" w:styleId="Revize">
    <w:name w:val="Revision"/>
    <w:hidden/>
    <w:uiPriority w:val="99"/>
    <w:semiHidden/>
    <w:rsid w:val="00945E23"/>
    <w:rPr>
      <w:rFonts w:ascii="Times New Roman" w:hAnsi="Times New Roman" w:cs="Calibri"/>
      <w:sz w:val="24"/>
      <w:szCs w:val="23"/>
      <w:lang w:eastAsia="ar-SA"/>
    </w:rPr>
  </w:style>
  <w:style w:type="paragraph" w:styleId="Rozloendokumentu">
    <w:name w:val="Document Map"/>
    <w:basedOn w:val="Normln"/>
    <w:link w:val="RozloendokumentuChar"/>
    <w:rsid w:val="00945E23"/>
    <w:pPr>
      <w:shd w:val="clear" w:color="auto" w:fill="000080"/>
    </w:pPr>
    <w:rPr>
      <w:rFonts w:ascii="Tahoma" w:hAnsi="Tahoma"/>
    </w:rPr>
  </w:style>
  <w:style w:type="character" w:customStyle="1" w:styleId="RozloendokumentuChar">
    <w:name w:val="Rozložení dokumentu Char"/>
    <w:basedOn w:val="Standardnpsmoodstavce"/>
    <w:link w:val="Rozloendokumentu"/>
    <w:rsid w:val="00945E23"/>
    <w:rPr>
      <w:rFonts w:ascii="Tahoma" w:hAnsi="Tahoma" w:cs="Calibri"/>
      <w:sz w:val="24"/>
      <w:szCs w:val="23"/>
      <w:shd w:val="clear" w:color="auto" w:fill="000080"/>
      <w:lang w:eastAsia="ar-SA"/>
    </w:rPr>
  </w:style>
  <w:style w:type="paragraph" w:styleId="Bezmezer">
    <w:name w:val="No Spacing"/>
    <w:qFormat/>
    <w:rsid w:val="00945E23"/>
    <w:pPr>
      <w:spacing w:beforeAutospacing="1" w:afterAutospacing="1"/>
      <w:ind w:left="709" w:hanging="425"/>
    </w:pPr>
    <w:rPr>
      <w:rFonts w:eastAsia="Calibri"/>
      <w:sz w:val="22"/>
      <w:szCs w:val="22"/>
      <w:lang w:eastAsia="en-US"/>
    </w:rPr>
  </w:style>
  <w:style w:type="paragraph" w:customStyle="1" w:styleId="vet1velkpsm">
    <w:name w:val="výčet 1 (velké písm.)"/>
    <w:basedOn w:val="Normlnvlevo"/>
    <w:qFormat/>
    <w:rsid w:val="00945E23"/>
    <w:pPr>
      <w:numPr>
        <w:numId w:val="18"/>
      </w:numPr>
      <w:tabs>
        <w:tab w:val="left" w:pos="567"/>
      </w:tabs>
      <w:ind w:left="567" w:hanging="567"/>
    </w:pPr>
  </w:style>
  <w:style w:type="paragraph" w:customStyle="1" w:styleId="Nadpis1-ploha">
    <w:name w:val="Nadpis 1-příloha"/>
    <w:basedOn w:val="Nadpis1"/>
    <w:qFormat/>
    <w:rsid w:val="00947B86"/>
    <w:pPr>
      <w:pageBreakBefore/>
      <w:tabs>
        <w:tab w:val="left" w:pos="567"/>
      </w:tabs>
    </w:pPr>
    <w:rPr>
      <w:kern w:val="1"/>
    </w:rPr>
  </w:style>
  <w:style w:type="paragraph" w:customStyle="1" w:styleId="N1">
    <w:name w:val="NÚ 1"/>
    <w:basedOn w:val="Zkladntextodsazen"/>
    <w:next w:val="Normln"/>
    <w:qFormat/>
    <w:rsid w:val="00945E23"/>
    <w:pPr>
      <w:keepNext/>
      <w:tabs>
        <w:tab w:val="left" w:pos="851"/>
      </w:tabs>
      <w:suppressAutoHyphens w:val="0"/>
      <w:spacing w:before="0" w:line="360" w:lineRule="auto"/>
      <w:ind w:firstLine="0"/>
    </w:pPr>
    <w:rPr>
      <w:rFonts w:cs="Times New Roman"/>
      <w:bCs/>
      <w:lang w:eastAsia="cs-CZ"/>
    </w:rPr>
  </w:style>
  <w:style w:type="paragraph" w:styleId="Normlnodsazen">
    <w:name w:val="Normal Indent"/>
    <w:basedOn w:val="Normln"/>
    <w:link w:val="NormlnodsazenChar"/>
    <w:rsid w:val="00945E23"/>
    <w:pPr>
      <w:suppressAutoHyphens w:val="0"/>
      <w:spacing w:before="0" w:after="120"/>
      <w:ind w:firstLine="0"/>
    </w:pPr>
    <w:rPr>
      <w:rFonts w:cs="Times New Roman"/>
      <w:szCs w:val="20"/>
      <w:lang w:val="en-GB" w:eastAsia="cs-CZ"/>
    </w:rPr>
  </w:style>
  <w:style w:type="character" w:customStyle="1" w:styleId="NormlnodsazenChar">
    <w:name w:val="Normální odsazený Char"/>
    <w:link w:val="Normlnodsazen"/>
    <w:rsid w:val="00945E23"/>
    <w:rPr>
      <w:rFonts w:ascii="Times New Roman" w:hAnsi="Times New Roman"/>
      <w:sz w:val="24"/>
      <w:lang w:val="en-GB"/>
    </w:rPr>
  </w:style>
  <w:style w:type="paragraph" w:styleId="Prosttext">
    <w:name w:val="Plain Text"/>
    <w:basedOn w:val="Normln"/>
    <w:link w:val="ProsttextChar"/>
    <w:rsid w:val="00945E23"/>
    <w:pPr>
      <w:suppressAutoHyphens w:val="0"/>
      <w:spacing w:before="0" w:line="240" w:lineRule="auto"/>
      <w:ind w:firstLine="0"/>
      <w:jc w:val="left"/>
    </w:pPr>
    <w:rPr>
      <w:rFonts w:ascii="Courier New" w:hAnsi="Courier New" w:cs="Times New Roman"/>
      <w:sz w:val="20"/>
      <w:szCs w:val="20"/>
      <w:lang w:eastAsia="cs-CZ"/>
    </w:rPr>
  </w:style>
  <w:style w:type="character" w:customStyle="1" w:styleId="ProsttextChar">
    <w:name w:val="Prostý text Char"/>
    <w:basedOn w:val="Standardnpsmoodstavce"/>
    <w:link w:val="Prosttext"/>
    <w:rsid w:val="00945E23"/>
    <w:rPr>
      <w:rFonts w:ascii="Courier New" w:hAnsi="Courier New"/>
    </w:rPr>
  </w:style>
  <w:style w:type="paragraph" w:styleId="Zkladntextodsazen2">
    <w:name w:val="Body Text Indent 2"/>
    <w:basedOn w:val="Normln"/>
    <w:link w:val="Zkladntextodsazen2Char"/>
    <w:rsid w:val="00945E23"/>
    <w:pPr>
      <w:suppressAutoHyphens w:val="0"/>
    </w:pPr>
    <w:rPr>
      <w:rFonts w:cs="Times New Roman"/>
      <w:b/>
      <w:i/>
      <w:szCs w:val="20"/>
      <w:lang w:eastAsia="cs-CZ"/>
    </w:rPr>
  </w:style>
  <w:style w:type="character" w:customStyle="1" w:styleId="Zkladntextodsazen2Char">
    <w:name w:val="Základní text odsazený 2 Char"/>
    <w:basedOn w:val="Standardnpsmoodstavce"/>
    <w:link w:val="Zkladntextodsazen2"/>
    <w:rsid w:val="00945E23"/>
    <w:rPr>
      <w:rFonts w:ascii="Times New Roman" w:hAnsi="Times New Roman"/>
      <w:b/>
      <w:i/>
      <w:sz w:val="24"/>
    </w:rPr>
  </w:style>
  <w:style w:type="paragraph" w:styleId="Seznamsodrkami">
    <w:name w:val="List Bullet"/>
    <w:basedOn w:val="Normln"/>
    <w:rsid w:val="00945E23"/>
    <w:pPr>
      <w:numPr>
        <w:numId w:val="19"/>
      </w:numPr>
      <w:suppressAutoHyphens w:val="0"/>
      <w:spacing w:before="0" w:line="240" w:lineRule="auto"/>
      <w:jc w:val="left"/>
    </w:pPr>
    <w:rPr>
      <w:rFonts w:cs="Times New Roman"/>
      <w:szCs w:val="24"/>
      <w:lang w:eastAsia="cs-CZ"/>
    </w:rPr>
  </w:style>
  <w:style w:type="paragraph" w:styleId="Zkladntext2">
    <w:name w:val="Body Text 2"/>
    <w:basedOn w:val="Normln"/>
    <w:link w:val="Zkladntext2Char"/>
    <w:rsid w:val="00945E23"/>
    <w:pPr>
      <w:suppressAutoHyphens w:val="0"/>
      <w:spacing w:before="120" w:line="240" w:lineRule="auto"/>
      <w:ind w:firstLine="0"/>
    </w:pPr>
    <w:rPr>
      <w:rFonts w:cs="Times New Roman"/>
      <w:snapToGrid w:val="0"/>
      <w:szCs w:val="20"/>
      <w:lang w:eastAsia="cs-CZ"/>
    </w:rPr>
  </w:style>
  <w:style w:type="character" w:customStyle="1" w:styleId="Zkladntext2Char">
    <w:name w:val="Základní text 2 Char"/>
    <w:basedOn w:val="Standardnpsmoodstavce"/>
    <w:link w:val="Zkladntext2"/>
    <w:rsid w:val="00945E23"/>
    <w:rPr>
      <w:rFonts w:ascii="Times New Roman" w:hAnsi="Times New Roman"/>
      <w:snapToGrid w:val="0"/>
      <w:sz w:val="24"/>
    </w:rPr>
  </w:style>
  <w:style w:type="paragraph" w:customStyle="1" w:styleId="Normlnvlevo-svzan">
    <w:name w:val="Normální vlevo-svázaný"/>
    <w:basedOn w:val="Normlnvlevo"/>
    <w:rsid w:val="00945E23"/>
    <w:pPr>
      <w:keepNext/>
    </w:pPr>
    <w:rPr>
      <w:iCs/>
      <w:szCs w:val="20"/>
    </w:rPr>
  </w:style>
  <w:style w:type="character" w:customStyle="1" w:styleId="st">
    <w:name w:val="st"/>
    <w:rsid w:val="00945E23"/>
  </w:style>
  <w:style w:type="table" w:styleId="Mkatabulky">
    <w:name w:val="Table Grid"/>
    <w:basedOn w:val="Normlntabulka"/>
    <w:rsid w:val="00945E2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na-vyhl">
    <w:name w:val="zák-nař-vyhl"/>
    <w:basedOn w:val="Normlnvlevo"/>
    <w:rsid w:val="00945E23"/>
    <w:pPr>
      <w:keepNext/>
    </w:pPr>
    <w:rPr>
      <w:iCs/>
      <w:szCs w:val="20"/>
    </w:rPr>
  </w:style>
  <w:style w:type="character" w:styleId="Siln">
    <w:name w:val="Strong"/>
    <w:qFormat/>
    <w:rsid w:val="00945E23"/>
    <w:rPr>
      <w:b/>
      <w:bCs/>
    </w:rPr>
  </w:style>
  <w:style w:type="paragraph" w:customStyle="1" w:styleId="Odstavecseseznamem2">
    <w:name w:val="Odstavec se seznamem2"/>
    <w:basedOn w:val="Normln"/>
    <w:rsid w:val="00945E23"/>
    <w:pPr>
      <w:suppressAutoHyphens w:val="0"/>
      <w:spacing w:before="0" w:after="200" w:line="276" w:lineRule="auto"/>
      <w:ind w:left="720" w:firstLine="0"/>
      <w:contextualSpacing/>
      <w:jc w:val="left"/>
    </w:pPr>
    <w:rPr>
      <w:rFonts w:ascii="Calibri" w:hAnsi="Calibri" w:cs="Times New Roman"/>
      <w:sz w:val="22"/>
      <w:szCs w:val="22"/>
      <w:lang w:eastAsia="en-US"/>
    </w:rPr>
  </w:style>
  <w:style w:type="paragraph" w:customStyle="1" w:styleId="xl22">
    <w:name w:val="xl22"/>
    <w:basedOn w:val="Normln"/>
    <w:rsid w:val="00945E23"/>
    <w:pPr>
      <w:suppressAutoHyphens w:val="0"/>
      <w:spacing w:before="100" w:beforeAutospacing="1" w:after="100" w:afterAutospacing="1" w:line="240" w:lineRule="auto"/>
      <w:ind w:firstLine="0"/>
      <w:jc w:val="left"/>
    </w:pPr>
    <w:rPr>
      <w:rFonts w:eastAsia="Arial Unicode MS" w:cs="Times New Roman"/>
      <w:b/>
      <w:bCs/>
      <w:sz w:val="22"/>
      <w:szCs w:val="22"/>
      <w:lang w:eastAsia="cs-CZ"/>
    </w:rPr>
  </w:style>
  <w:style w:type="paragraph" w:customStyle="1" w:styleId="xl23">
    <w:name w:val="xl23"/>
    <w:basedOn w:val="Normln"/>
    <w:rsid w:val="00945E23"/>
    <w:pPr>
      <w:pBdr>
        <w:top w:val="double" w:sz="6" w:space="0" w:color="auto"/>
        <w:left w:val="double" w:sz="6"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4">
    <w:name w:val="xl24"/>
    <w:basedOn w:val="Normln"/>
    <w:rsid w:val="00945E23"/>
    <w:pPr>
      <w:pBdr>
        <w:left w:val="double" w:sz="6" w:space="0" w:color="auto"/>
        <w:bottom w:val="single" w:sz="12"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5">
    <w:name w:val="xl25"/>
    <w:basedOn w:val="Normln"/>
    <w:rsid w:val="00945E23"/>
    <w:pPr>
      <w:pBdr>
        <w:left w:val="double" w:sz="6" w:space="0" w:color="auto"/>
        <w:bottom w:val="single" w:sz="4"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6">
    <w:name w:val="xl26"/>
    <w:basedOn w:val="Normln"/>
    <w:rsid w:val="00945E23"/>
    <w:pPr>
      <w:pBdr>
        <w:bottom w:val="single" w:sz="4"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color w:val="000000"/>
      <w:sz w:val="18"/>
      <w:szCs w:val="18"/>
      <w:lang w:eastAsia="cs-CZ"/>
    </w:rPr>
  </w:style>
  <w:style w:type="paragraph" w:customStyle="1" w:styleId="xl27">
    <w:name w:val="xl27"/>
    <w:basedOn w:val="Normln"/>
    <w:rsid w:val="00945E23"/>
    <w:pPr>
      <w:pBdr>
        <w:bottom w:val="single" w:sz="4"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8">
    <w:name w:val="xl28"/>
    <w:basedOn w:val="Normln"/>
    <w:rsid w:val="00945E23"/>
    <w:pPr>
      <w:pBdr>
        <w:left w:val="double" w:sz="6" w:space="0" w:color="auto"/>
        <w:bottom w:val="double" w:sz="6"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9">
    <w:name w:val="xl29"/>
    <w:basedOn w:val="Normln"/>
    <w:rsid w:val="00945E23"/>
    <w:pPr>
      <w:pBdr>
        <w:bottom w:val="double" w:sz="6"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color w:val="000000"/>
      <w:sz w:val="18"/>
      <w:szCs w:val="18"/>
      <w:lang w:eastAsia="cs-CZ"/>
    </w:rPr>
  </w:style>
  <w:style w:type="paragraph" w:customStyle="1" w:styleId="xl30">
    <w:name w:val="xl30"/>
    <w:basedOn w:val="Normln"/>
    <w:rsid w:val="00945E23"/>
    <w:pPr>
      <w:pBdr>
        <w:bottom w:val="double" w:sz="6"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1">
    <w:name w:val="xl31"/>
    <w:basedOn w:val="Normln"/>
    <w:rsid w:val="00945E23"/>
    <w:pPr>
      <w:suppressAutoHyphens w:val="0"/>
      <w:spacing w:before="100" w:beforeAutospacing="1" w:after="100" w:afterAutospacing="1" w:line="240" w:lineRule="auto"/>
      <w:ind w:firstLine="0"/>
      <w:jc w:val="right"/>
      <w:textAlignment w:val="top"/>
    </w:pPr>
    <w:rPr>
      <w:rFonts w:eastAsia="Arial Unicode MS" w:cs="Times New Roman"/>
      <w:szCs w:val="24"/>
      <w:lang w:eastAsia="cs-CZ"/>
    </w:rPr>
  </w:style>
  <w:style w:type="paragraph" w:customStyle="1" w:styleId="xl32">
    <w:name w:val="xl32"/>
    <w:basedOn w:val="Normln"/>
    <w:rsid w:val="00945E23"/>
    <w:pPr>
      <w:suppressAutoHyphens w:val="0"/>
      <w:spacing w:before="100" w:beforeAutospacing="1" w:after="100" w:afterAutospacing="1" w:line="240" w:lineRule="auto"/>
      <w:ind w:firstLine="0"/>
      <w:jc w:val="left"/>
    </w:pPr>
    <w:rPr>
      <w:rFonts w:eastAsia="Arial Unicode MS" w:cs="Times New Roman"/>
      <w:i/>
      <w:iCs/>
      <w:sz w:val="18"/>
      <w:szCs w:val="18"/>
      <w:lang w:eastAsia="cs-CZ"/>
    </w:rPr>
  </w:style>
  <w:style w:type="paragraph" w:customStyle="1" w:styleId="xl33">
    <w:name w:val="xl33"/>
    <w:basedOn w:val="Normln"/>
    <w:rsid w:val="00945E23"/>
    <w:pPr>
      <w:suppressAutoHyphens w:val="0"/>
      <w:spacing w:before="100" w:beforeAutospacing="1" w:after="100" w:afterAutospacing="1" w:line="240" w:lineRule="auto"/>
      <w:ind w:firstLine="0"/>
      <w:jc w:val="center"/>
      <w:textAlignment w:val="top"/>
    </w:pPr>
    <w:rPr>
      <w:rFonts w:eastAsia="Arial Unicode MS" w:cs="Times New Roman"/>
      <w:szCs w:val="24"/>
      <w:lang w:eastAsia="cs-CZ"/>
    </w:rPr>
  </w:style>
  <w:style w:type="paragraph" w:customStyle="1" w:styleId="xl34">
    <w:name w:val="xl34"/>
    <w:basedOn w:val="Normln"/>
    <w:rsid w:val="00945E23"/>
    <w:pPr>
      <w:pBdr>
        <w:top w:val="double" w:sz="6" w:space="0" w:color="auto"/>
        <w:left w:val="single" w:sz="12"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5">
    <w:name w:val="xl35"/>
    <w:basedOn w:val="Normln"/>
    <w:rsid w:val="00945E23"/>
    <w:pPr>
      <w:pBdr>
        <w:left w:val="single" w:sz="12" w:space="0" w:color="auto"/>
        <w:bottom w:val="single" w:sz="12"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6">
    <w:name w:val="xl36"/>
    <w:basedOn w:val="Normln"/>
    <w:rsid w:val="00945E23"/>
    <w:pPr>
      <w:pBdr>
        <w:top w:val="double" w:sz="6" w:space="0" w:color="auto"/>
        <w:left w:val="single" w:sz="4"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7">
    <w:name w:val="xl37"/>
    <w:basedOn w:val="Normln"/>
    <w:rsid w:val="00945E23"/>
    <w:pPr>
      <w:pBdr>
        <w:left w:val="single" w:sz="4" w:space="0" w:color="auto"/>
        <w:bottom w:val="single" w:sz="12"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8">
    <w:name w:val="xl38"/>
    <w:basedOn w:val="Normln"/>
    <w:rsid w:val="00945E23"/>
    <w:pPr>
      <w:pBdr>
        <w:top w:val="double" w:sz="6" w:space="0" w:color="auto"/>
        <w:left w:val="single" w:sz="4"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9">
    <w:name w:val="xl39"/>
    <w:basedOn w:val="Normln"/>
    <w:rsid w:val="00945E23"/>
    <w:pPr>
      <w:pBdr>
        <w:left w:val="single" w:sz="4" w:space="0" w:color="auto"/>
        <w:bottom w:val="single" w:sz="12"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40">
    <w:name w:val="xl40"/>
    <w:basedOn w:val="Normln"/>
    <w:rsid w:val="00945E23"/>
    <w:pPr>
      <w:pBdr>
        <w:top w:val="double" w:sz="6" w:space="0" w:color="auto"/>
      </w:pBdr>
      <w:suppressAutoHyphens w:val="0"/>
      <w:spacing w:before="100" w:beforeAutospacing="1" w:after="100" w:afterAutospacing="1" w:line="240" w:lineRule="auto"/>
      <w:ind w:firstLine="0"/>
      <w:jc w:val="left"/>
      <w:textAlignment w:val="top"/>
    </w:pPr>
    <w:rPr>
      <w:rFonts w:ascii="Arial" w:eastAsia="Arial Unicode MS" w:hAnsi="Arial" w:cs="Arial"/>
      <w:i/>
      <w:iCs/>
      <w:sz w:val="16"/>
      <w:szCs w:val="16"/>
      <w:lang w:eastAsia="cs-CZ"/>
    </w:rPr>
  </w:style>
  <w:style w:type="paragraph" w:customStyle="1" w:styleId="xl41">
    <w:name w:val="xl41"/>
    <w:basedOn w:val="Normln"/>
    <w:rsid w:val="00945E23"/>
    <w:pPr>
      <w:pBdr>
        <w:bottom w:val="double" w:sz="6" w:space="0" w:color="auto"/>
      </w:pBdr>
      <w:suppressAutoHyphens w:val="0"/>
      <w:spacing w:before="100" w:beforeAutospacing="1" w:after="100" w:afterAutospacing="1" w:line="240" w:lineRule="auto"/>
      <w:ind w:firstLine="0"/>
      <w:jc w:val="left"/>
      <w:textAlignment w:val="top"/>
    </w:pPr>
    <w:rPr>
      <w:rFonts w:eastAsia="Arial Unicode MS" w:cs="Times New Roman"/>
      <w:b/>
      <w:bCs/>
      <w:sz w:val="22"/>
      <w:szCs w:val="22"/>
      <w:lang w:eastAsia="cs-CZ"/>
    </w:rPr>
  </w:style>
  <w:style w:type="paragraph" w:customStyle="1" w:styleId="xl42">
    <w:name w:val="xl42"/>
    <w:basedOn w:val="Normln"/>
    <w:rsid w:val="00945E23"/>
    <w:pPr>
      <w:pBdr>
        <w:top w:val="double" w:sz="6" w:space="0" w:color="auto"/>
      </w:pBdr>
      <w:suppressAutoHyphens w:val="0"/>
      <w:spacing w:before="100" w:beforeAutospacing="1" w:after="100" w:afterAutospacing="1" w:line="240" w:lineRule="auto"/>
      <w:ind w:firstLine="0"/>
      <w:jc w:val="left"/>
      <w:textAlignment w:val="top"/>
    </w:pPr>
    <w:rPr>
      <w:rFonts w:ascii="Arial" w:eastAsia="Arial Unicode MS" w:hAnsi="Arial" w:cs="Arial"/>
      <w:i/>
      <w:iCs/>
      <w:sz w:val="16"/>
      <w:szCs w:val="16"/>
      <w:lang w:eastAsia="cs-CZ"/>
    </w:rPr>
  </w:style>
  <w:style w:type="paragraph" w:customStyle="1" w:styleId="xl43">
    <w:name w:val="xl43"/>
    <w:basedOn w:val="Normln"/>
    <w:rsid w:val="00945E23"/>
    <w:pPr>
      <w:pBdr>
        <w:bottom w:val="double" w:sz="6" w:space="0" w:color="auto"/>
      </w:pBdr>
      <w:suppressAutoHyphens w:val="0"/>
      <w:spacing w:before="100" w:beforeAutospacing="1" w:after="100" w:afterAutospacing="1" w:line="240" w:lineRule="auto"/>
      <w:ind w:firstLine="0"/>
      <w:jc w:val="left"/>
      <w:textAlignment w:val="top"/>
    </w:pPr>
    <w:rPr>
      <w:rFonts w:eastAsia="Arial Unicode MS" w:cs="Times New Roman"/>
      <w:b/>
      <w:bCs/>
      <w:sz w:val="22"/>
      <w:szCs w:val="22"/>
      <w:lang w:eastAsia="cs-CZ"/>
    </w:rPr>
  </w:style>
  <w:style w:type="paragraph" w:customStyle="1" w:styleId="xl44">
    <w:name w:val="xl44"/>
    <w:basedOn w:val="Normln"/>
    <w:rsid w:val="00945E23"/>
    <w:pPr>
      <w:pBdr>
        <w:bottom w:val="double" w:sz="6"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color w:val="000000"/>
      <w:sz w:val="18"/>
      <w:szCs w:val="18"/>
      <w:lang w:eastAsia="cs-CZ"/>
    </w:rPr>
  </w:style>
  <w:style w:type="numbering" w:customStyle="1" w:styleId="Bezseznamu1">
    <w:name w:val="Bez seznamu1"/>
    <w:next w:val="Bezseznamu"/>
    <w:uiPriority w:val="99"/>
    <w:semiHidden/>
    <w:rsid w:val="00945E23"/>
  </w:style>
  <w:style w:type="numbering" w:customStyle="1" w:styleId="Bezseznamu2">
    <w:name w:val="Bez seznamu2"/>
    <w:next w:val="Bezseznamu"/>
    <w:semiHidden/>
    <w:rsid w:val="00945E23"/>
  </w:style>
  <w:style w:type="paragraph" w:styleId="Nadpispoznmky">
    <w:name w:val="Note Heading"/>
    <w:basedOn w:val="Normln"/>
    <w:next w:val="Normln"/>
    <w:link w:val="NadpispoznmkyChar"/>
    <w:rsid w:val="00945E23"/>
    <w:pPr>
      <w:suppressAutoHyphens w:val="0"/>
      <w:spacing w:line="240" w:lineRule="auto"/>
    </w:pPr>
    <w:rPr>
      <w:rFonts w:cs="Times New Roman"/>
      <w:lang w:eastAsia="cs-CZ"/>
    </w:rPr>
  </w:style>
  <w:style w:type="character" w:customStyle="1" w:styleId="NadpispoznmkyChar">
    <w:name w:val="Nadpis poznámky Char"/>
    <w:basedOn w:val="Standardnpsmoodstavce"/>
    <w:link w:val="Nadpispoznmky"/>
    <w:rsid w:val="00945E23"/>
    <w:rPr>
      <w:rFonts w:ascii="Times New Roman" w:hAnsi="Times New Roman"/>
      <w:sz w:val="24"/>
      <w:szCs w:val="23"/>
    </w:rPr>
  </w:style>
  <w:style w:type="paragraph" w:customStyle="1" w:styleId="veta2stpsmeno">
    <w:name w:val="výčet a) 2.st. (písmeno)"/>
    <w:basedOn w:val="Normln"/>
    <w:rsid w:val="00945E23"/>
    <w:pPr>
      <w:numPr>
        <w:numId w:val="20"/>
      </w:numPr>
    </w:pPr>
  </w:style>
  <w:style w:type="character" w:styleId="Zdraznnjemn">
    <w:name w:val="Subtle Emphasis"/>
    <w:uiPriority w:val="19"/>
    <w:qFormat/>
    <w:rsid w:val="00945E23"/>
    <w:rPr>
      <w:i/>
      <w:iCs/>
      <w:color w:val="808080"/>
    </w:rPr>
  </w:style>
  <w:style w:type="paragraph" w:customStyle="1" w:styleId="souhrn-1puntk">
    <w:name w:val="souhrn - 1. puntík"/>
    <w:basedOn w:val="Normln"/>
    <w:qFormat/>
    <w:rsid w:val="00945E23"/>
    <w:pPr>
      <w:keepNext/>
      <w:suppressAutoHyphens w:val="0"/>
      <w:spacing w:before="240" w:after="200" w:line="276" w:lineRule="auto"/>
      <w:ind w:firstLine="0"/>
      <w:jc w:val="left"/>
    </w:pPr>
    <w:rPr>
      <w:rFonts w:eastAsia="Calibri" w:cs="Times New Roman"/>
      <w:b/>
      <w:i/>
      <w:sz w:val="28"/>
      <w:szCs w:val="28"/>
      <w:u w:val="single"/>
      <w:lang w:eastAsia="en-US"/>
    </w:rPr>
  </w:style>
  <w:style w:type="paragraph" w:customStyle="1" w:styleId="souhrn-podpuntkem">
    <w:name w:val="souhrn - pod puntíkem"/>
    <w:basedOn w:val="Normln"/>
    <w:qFormat/>
    <w:rsid w:val="00945E23"/>
    <w:pPr>
      <w:keepNext/>
      <w:suppressAutoHyphens w:val="0"/>
      <w:spacing w:before="240" w:after="200" w:line="276" w:lineRule="auto"/>
      <w:ind w:firstLine="0"/>
      <w:jc w:val="left"/>
    </w:pPr>
    <w:rPr>
      <w:rFonts w:eastAsia="Calibri" w:cs="Times New Roman"/>
      <w:b/>
      <w:i/>
      <w:szCs w:val="24"/>
      <w:u w:val="single"/>
      <w:lang w:eastAsia="en-US"/>
    </w:rPr>
  </w:style>
  <w:style w:type="paragraph" w:customStyle="1" w:styleId="souhrn-nvrhop">
    <w:name w:val="souhrn - návrh op."/>
    <w:basedOn w:val="Normln"/>
    <w:qFormat/>
    <w:rsid w:val="00945E23"/>
    <w:pPr>
      <w:suppressAutoHyphens w:val="0"/>
      <w:spacing w:before="0" w:after="200" w:line="276" w:lineRule="auto"/>
      <w:ind w:firstLine="0"/>
      <w:jc w:val="left"/>
    </w:pPr>
    <w:rPr>
      <w:rFonts w:eastAsia="Calibri" w:cs="Times New Roman"/>
      <w:b/>
      <w:sz w:val="28"/>
      <w:szCs w:val="28"/>
      <w:lang w:eastAsia="en-US"/>
    </w:rPr>
  </w:style>
  <w:style w:type="paragraph" w:customStyle="1" w:styleId="souhrn-normln">
    <w:name w:val="souhrn - normální"/>
    <w:basedOn w:val="Normln"/>
    <w:qFormat/>
    <w:rsid w:val="00945E23"/>
    <w:pPr>
      <w:suppressAutoHyphens w:val="0"/>
      <w:spacing w:before="200" w:line="276" w:lineRule="auto"/>
      <w:ind w:firstLine="0"/>
    </w:pPr>
    <w:rPr>
      <w:rFonts w:eastAsia="Calibri" w:cs="Times New Roman"/>
      <w:szCs w:val="24"/>
      <w:lang w:eastAsia="en-US"/>
    </w:rPr>
  </w:style>
  <w:style w:type="numbering" w:customStyle="1" w:styleId="Bezseznamu11">
    <w:name w:val="Bez seznamu11"/>
    <w:next w:val="Bezseznamu"/>
    <w:semiHidden/>
    <w:rsid w:val="00334C9B"/>
  </w:style>
  <w:style w:type="numbering" w:customStyle="1" w:styleId="Bezseznamu3">
    <w:name w:val="Bez seznamu3"/>
    <w:next w:val="Bezseznamu"/>
    <w:semiHidden/>
    <w:rsid w:val="00334C9B"/>
  </w:style>
  <w:style w:type="numbering" w:customStyle="1" w:styleId="Bezseznamu4">
    <w:name w:val="Bez seznamu4"/>
    <w:next w:val="Bezseznamu"/>
    <w:semiHidden/>
    <w:rsid w:val="00334C9B"/>
  </w:style>
  <w:style w:type="paragraph" w:customStyle="1" w:styleId="tabulkovploha">
    <w:name w:val="tabulková příloha"/>
    <w:basedOn w:val="Tabulka"/>
    <w:rsid w:val="009307A1"/>
    <w:pPr>
      <w:spacing w:before="0" w:line="240" w:lineRule="auto"/>
    </w:pPr>
    <w:rPr>
      <w:rFonts w:cs="Times New Roman"/>
      <w:szCs w:val="20"/>
    </w:rPr>
  </w:style>
  <w:style w:type="paragraph" w:styleId="Odstavecseseznamem">
    <w:name w:val="List Paragraph"/>
    <w:basedOn w:val="Normln"/>
    <w:uiPriority w:val="34"/>
    <w:qFormat/>
    <w:rsid w:val="00E044A8"/>
    <w:pPr>
      <w:ind w:left="720"/>
      <w:contextualSpacing/>
    </w:pPr>
  </w:style>
  <w:style w:type="paragraph" w:customStyle="1" w:styleId="souhrn-N1">
    <w:name w:val="souhrn-N1"/>
    <w:basedOn w:val="Normln"/>
    <w:qFormat/>
    <w:rsid w:val="00535A8F"/>
    <w:pPr>
      <w:keepNext/>
      <w:spacing w:before="360" w:line="240" w:lineRule="auto"/>
      <w:ind w:left="567" w:hanging="567"/>
      <w:outlineLvl w:val="4"/>
    </w:pPr>
    <w:rPr>
      <w:rFonts w:ascii="Arial" w:hAnsi="Arial" w:cs="Arial"/>
      <w:b/>
      <w:i/>
      <w:szCs w:val="24"/>
      <w:u w:val="single"/>
    </w:rPr>
  </w:style>
  <w:style w:type="paragraph" w:customStyle="1" w:styleId="souhrn-N2">
    <w:name w:val="souhrn-N2"/>
    <w:basedOn w:val="Normln"/>
    <w:qFormat/>
    <w:rsid w:val="0046126F"/>
    <w:pPr>
      <w:keepNext/>
      <w:spacing w:before="240" w:after="60"/>
      <w:ind w:left="567" w:firstLine="0"/>
      <w:outlineLvl w:val="5"/>
    </w:pPr>
    <w:rPr>
      <w:b/>
      <w:i/>
      <w:szCs w:val="24"/>
      <w:u w:val="single"/>
    </w:rPr>
  </w:style>
  <w:style w:type="paragraph" w:customStyle="1" w:styleId="opaten-fous">
    <w:name w:val="opatření-fous"/>
    <w:basedOn w:val="Normln"/>
    <w:qFormat/>
    <w:rsid w:val="00F44CD4"/>
    <w:pPr>
      <w:numPr>
        <w:numId w:val="21"/>
      </w:numPr>
      <w:suppressAutoHyphens w:val="0"/>
      <w:spacing w:before="0" w:after="200" w:line="276" w:lineRule="auto"/>
      <w:ind w:left="567" w:hanging="283"/>
    </w:pPr>
    <w:rPr>
      <w:szCs w:val="24"/>
    </w:rPr>
  </w:style>
  <w:style w:type="paragraph" w:customStyle="1" w:styleId="doplnit">
    <w:name w:val="doplnit"/>
    <w:basedOn w:val="Normln"/>
    <w:qFormat/>
    <w:rsid w:val="007E322B"/>
    <w:rPr>
      <w:i/>
    </w:rPr>
  </w:style>
  <w:style w:type="paragraph" w:customStyle="1" w:styleId="gesce">
    <w:name w:val="gesce"/>
    <w:basedOn w:val="Norm-Ital"/>
    <w:rsid w:val="00710BCF"/>
    <w:pPr>
      <w:pageBreakBefore/>
      <w:jc w:val="left"/>
    </w:pPr>
    <w:rPr>
      <w:rFonts w:cs="Times New Roman"/>
      <w:bCs w:val="0"/>
      <w:szCs w:val="20"/>
    </w:rPr>
  </w:style>
  <w:style w:type="character" w:customStyle="1" w:styleId="StylSilnArialCE9bnenTunern">
    <w:name w:val="Styl Silné + Arial CE 9 b. není Tučné Černá"/>
    <w:rsid w:val="00567C4A"/>
    <w:rPr>
      <w:rFonts w:ascii="Arial" w:hAnsi="Arial"/>
      <w:b/>
      <w:bCs/>
      <w:color w:val="000000"/>
      <w:sz w:val="18"/>
    </w:rPr>
  </w:style>
  <w:style w:type="paragraph" w:customStyle="1" w:styleId="CharChar">
    <w:name w:val="Char Char"/>
    <w:basedOn w:val="Normln"/>
    <w:rsid w:val="00567C4A"/>
    <w:pPr>
      <w:suppressAutoHyphens w:val="0"/>
      <w:spacing w:before="0" w:line="240" w:lineRule="auto"/>
      <w:ind w:firstLine="0"/>
      <w:jc w:val="left"/>
    </w:pPr>
    <w:rPr>
      <w:rFonts w:cs="Times New Roman"/>
      <w:szCs w:val="24"/>
      <w:lang w:val="pl-PL" w:eastAsia="pl-PL"/>
    </w:rPr>
  </w:style>
  <w:style w:type="paragraph" w:customStyle="1" w:styleId="Zkladnodstavec">
    <w:name w:val="[Základní odstavec]"/>
    <w:basedOn w:val="Normln"/>
    <w:rsid w:val="00567C4A"/>
    <w:pPr>
      <w:suppressAutoHyphens w:val="0"/>
      <w:autoSpaceDE w:val="0"/>
      <w:autoSpaceDN w:val="0"/>
      <w:adjustRightInd w:val="0"/>
      <w:spacing w:before="0" w:line="288" w:lineRule="auto"/>
      <w:ind w:firstLine="0"/>
      <w:jc w:val="left"/>
      <w:textAlignment w:val="center"/>
    </w:pPr>
    <w:rPr>
      <w:rFonts w:eastAsia="Calibri" w:cs="Times New Roman"/>
      <w:color w:val="000000"/>
      <w:szCs w:val="24"/>
      <w:lang w:val="en-US" w:eastAsia="en-US"/>
    </w:rPr>
  </w:style>
  <w:style w:type="paragraph" w:customStyle="1" w:styleId="Nadpis1-bezodsazen0">
    <w:name w:val="Nadpis 1 - bez odsazení"/>
    <w:basedOn w:val="Nadpis1"/>
    <w:next w:val="Normln"/>
    <w:qFormat/>
    <w:rsid w:val="00567C4A"/>
    <w:pPr>
      <w:pageBreakBefore/>
      <w:suppressAutoHyphens w:val="0"/>
      <w:spacing w:before="0"/>
      <w:ind w:left="0" w:firstLine="0"/>
    </w:pPr>
    <w:rPr>
      <w:rFonts w:cs="Times New Roman"/>
      <w:lang w:eastAsia="cs-CZ"/>
    </w:rPr>
  </w:style>
  <w:style w:type="character" w:customStyle="1" w:styleId="mezeraCharChar">
    <w:name w:val="mezera Char Char"/>
    <w:rsid w:val="00567C4A"/>
    <w:rPr>
      <w:sz w:val="16"/>
      <w:lang w:val="cs-CZ" w:eastAsia="cs-CZ" w:bidi="ar-SA"/>
    </w:rPr>
  </w:style>
  <w:style w:type="paragraph" w:customStyle="1" w:styleId="Char">
    <w:name w:val="Char"/>
    <w:basedOn w:val="Normln"/>
    <w:rsid w:val="00567C4A"/>
    <w:pPr>
      <w:suppressAutoHyphens w:val="0"/>
      <w:spacing w:before="0" w:line="240" w:lineRule="auto"/>
      <w:ind w:firstLine="0"/>
      <w:jc w:val="left"/>
    </w:pPr>
    <w:rPr>
      <w:rFonts w:cs="Times New Roman"/>
      <w:szCs w:val="24"/>
      <w:lang w:val="pl-PL" w:eastAsia="pl-PL"/>
    </w:rPr>
  </w:style>
  <w:style w:type="character" w:customStyle="1" w:styleId="hps">
    <w:name w:val="hps"/>
    <w:rsid w:val="00567C4A"/>
  </w:style>
  <w:style w:type="character" w:customStyle="1" w:styleId="arial9">
    <w:name w:val="arial9"/>
    <w:basedOn w:val="Standardnpsmoodstavce1"/>
    <w:rsid w:val="00614A2D"/>
  </w:style>
  <w:style w:type="paragraph" w:customStyle="1" w:styleId="1">
    <w:name w:val="1"/>
    <w:basedOn w:val="Normln"/>
    <w:next w:val="Rozvrendokumentu"/>
    <w:rsid w:val="00614A2D"/>
    <w:pPr>
      <w:shd w:val="clear" w:color="auto" w:fill="000080"/>
    </w:pPr>
    <w:rPr>
      <w:rFonts w:ascii="Tahoma" w:hAnsi="Tahoma"/>
      <w:lang w:val="x-none"/>
    </w:rPr>
  </w:style>
  <w:style w:type="paragraph" w:customStyle="1" w:styleId="Nadpis1zleva">
    <w:name w:val="Nadpis 1 zleva"/>
    <w:basedOn w:val="Nadpis1"/>
    <w:qFormat/>
    <w:rsid w:val="000E5274"/>
    <w:pPr>
      <w:suppressAutoHyphens w:val="0"/>
      <w:ind w:left="0" w:firstLine="0"/>
    </w:pPr>
    <w:rPr>
      <w:rFonts w:cs="Times New Roman"/>
      <w:lang w:eastAsia="cs-CZ"/>
    </w:rPr>
  </w:style>
  <w:style w:type="paragraph" w:customStyle="1" w:styleId="opaten-N2">
    <w:name w:val="opatření-N2"/>
    <w:basedOn w:val="souhrn-N2"/>
    <w:qFormat/>
    <w:rsid w:val="00724B14"/>
    <w:pPr>
      <w:ind w:left="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envelope addres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Signature" w:uiPriority="0"/>
    <w:lsdException w:name="Default Paragraph Font" w:uiPriority="0"/>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ln">
    <w:name w:val="Normal"/>
    <w:qFormat/>
    <w:rsid w:val="00382875"/>
    <w:pPr>
      <w:suppressAutoHyphens/>
      <w:spacing w:before="60" w:line="360" w:lineRule="atLeast"/>
      <w:ind w:firstLine="567"/>
      <w:jc w:val="both"/>
    </w:pPr>
    <w:rPr>
      <w:rFonts w:ascii="Times New Roman" w:hAnsi="Times New Roman" w:cs="Calibri"/>
      <w:sz w:val="24"/>
      <w:szCs w:val="23"/>
      <w:lang w:eastAsia="ar-SA"/>
    </w:rPr>
  </w:style>
  <w:style w:type="paragraph" w:styleId="Nadpis1">
    <w:name w:val="heading 1"/>
    <w:basedOn w:val="Normln"/>
    <w:next w:val="Normln"/>
    <w:link w:val="Nadpis1Char"/>
    <w:qFormat/>
    <w:rsid w:val="00AA5C61"/>
    <w:pPr>
      <w:keepNext/>
      <w:spacing w:before="480"/>
      <w:ind w:left="567" w:hanging="567"/>
      <w:jc w:val="left"/>
      <w:outlineLvl w:val="0"/>
    </w:pPr>
    <w:rPr>
      <w:rFonts w:ascii="Arial" w:hAnsi="Arial"/>
      <w:b/>
      <w:caps/>
      <w:kern w:val="28"/>
      <w:sz w:val="28"/>
      <w:szCs w:val="20"/>
    </w:rPr>
  </w:style>
  <w:style w:type="paragraph" w:styleId="Nadpis2">
    <w:name w:val="heading 2"/>
    <w:basedOn w:val="Normln"/>
    <w:next w:val="Normln"/>
    <w:link w:val="Nadpis2Char"/>
    <w:qFormat/>
    <w:rsid w:val="00AA5C61"/>
    <w:pPr>
      <w:keepNext/>
      <w:tabs>
        <w:tab w:val="left" w:pos="567"/>
      </w:tabs>
      <w:spacing w:before="240" w:after="60"/>
      <w:ind w:left="567" w:hanging="567"/>
      <w:jc w:val="left"/>
      <w:outlineLvl w:val="1"/>
    </w:pPr>
    <w:rPr>
      <w:rFonts w:ascii="Arial" w:hAnsi="Arial"/>
      <w:b/>
      <w:i/>
      <w:szCs w:val="20"/>
    </w:rPr>
  </w:style>
  <w:style w:type="paragraph" w:styleId="Nadpis3">
    <w:name w:val="heading 3"/>
    <w:basedOn w:val="Normln"/>
    <w:next w:val="Normln"/>
    <w:link w:val="Nadpis3Char"/>
    <w:qFormat/>
    <w:rsid w:val="00AA5C61"/>
    <w:pPr>
      <w:keepNext/>
      <w:tabs>
        <w:tab w:val="left" w:pos="567"/>
      </w:tabs>
      <w:spacing w:before="240" w:after="60"/>
      <w:ind w:left="567" w:hanging="567"/>
      <w:jc w:val="left"/>
      <w:outlineLvl w:val="2"/>
    </w:pPr>
    <w:rPr>
      <w:b/>
      <w:szCs w:val="20"/>
    </w:rPr>
  </w:style>
  <w:style w:type="paragraph" w:styleId="Nadpis4">
    <w:name w:val="heading 4"/>
    <w:basedOn w:val="Nadpis3"/>
    <w:next w:val="Normln"/>
    <w:link w:val="Nadpis4Char"/>
    <w:qFormat/>
    <w:rsid w:val="00AA5C61"/>
    <w:pPr>
      <w:tabs>
        <w:tab w:val="clear" w:pos="567"/>
        <w:tab w:val="left" w:pos="851"/>
      </w:tabs>
      <w:ind w:left="851" w:hanging="851"/>
      <w:outlineLvl w:val="3"/>
    </w:pPr>
    <w:rPr>
      <w:bCs/>
      <w:i/>
      <w:szCs w:val="24"/>
    </w:rPr>
  </w:style>
  <w:style w:type="paragraph" w:styleId="Nadpis5">
    <w:name w:val="heading 5"/>
    <w:basedOn w:val="Normln"/>
    <w:next w:val="Normln"/>
    <w:link w:val="Nadpis5Char"/>
    <w:qFormat/>
    <w:rsid w:val="00AA5C61"/>
    <w:pPr>
      <w:keepNext/>
      <w:spacing w:before="240" w:after="60"/>
      <w:ind w:firstLine="0"/>
      <w:jc w:val="left"/>
      <w:outlineLvl w:val="4"/>
    </w:pPr>
    <w:rPr>
      <w:rFonts w:ascii="Arial" w:hAnsi="Arial"/>
      <w:sz w:val="22"/>
    </w:rPr>
  </w:style>
  <w:style w:type="paragraph" w:styleId="Nadpis6">
    <w:name w:val="heading 6"/>
    <w:basedOn w:val="Normln"/>
    <w:next w:val="Normln"/>
    <w:link w:val="Nadpis6Char"/>
    <w:qFormat/>
    <w:rsid w:val="00AA5C61"/>
    <w:pPr>
      <w:keepNext/>
      <w:spacing w:before="240" w:after="60"/>
      <w:ind w:firstLine="0"/>
      <w:jc w:val="left"/>
      <w:outlineLvl w:val="5"/>
    </w:pPr>
    <w:rPr>
      <w:rFonts w:ascii="Arial" w:hAnsi="Arial"/>
      <w:i/>
      <w:sz w:val="22"/>
    </w:rPr>
  </w:style>
  <w:style w:type="paragraph" w:styleId="Nadpis7">
    <w:name w:val="heading 7"/>
    <w:basedOn w:val="Normln"/>
    <w:next w:val="Normln"/>
    <w:link w:val="Nadpis7Char"/>
    <w:qFormat/>
    <w:rsid w:val="00AA5C61"/>
    <w:pPr>
      <w:spacing w:before="240" w:after="60"/>
      <w:ind w:firstLine="0"/>
      <w:outlineLvl w:val="6"/>
    </w:pPr>
    <w:rPr>
      <w:rFonts w:ascii="Arial" w:hAnsi="Arial"/>
      <w:sz w:val="20"/>
    </w:rPr>
  </w:style>
  <w:style w:type="paragraph" w:styleId="Nadpis8">
    <w:name w:val="heading 8"/>
    <w:basedOn w:val="Normln"/>
    <w:next w:val="Normln"/>
    <w:link w:val="Nadpis8Char"/>
    <w:qFormat/>
    <w:rsid w:val="00AA5C61"/>
    <w:pPr>
      <w:spacing w:before="240" w:after="60"/>
      <w:ind w:firstLine="0"/>
      <w:outlineLvl w:val="7"/>
    </w:pPr>
    <w:rPr>
      <w:rFonts w:ascii="Arial" w:hAnsi="Arial"/>
      <w:i/>
      <w:sz w:val="20"/>
    </w:rPr>
  </w:style>
  <w:style w:type="paragraph" w:styleId="Nadpis9">
    <w:name w:val="heading 9"/>
    <w:basedOn w:val="Normln"/>
    <w:next w:val="Normln"/>
    <w:link w:val="Nadpis9Char"/>
    <w:qFormat/>
    <w:rsid w:val="00AA5C61"/>
    <w:pPr>
      <w:spacing w:before="240" w:after="60"/>
      <w:ind w:firstLine="0"/>
      <w:outlineLvl w:val="8"/>
    </w:pPr>
    <w:rPr>
      <w:rFonts w:ascii="Arial" w:hAnsi="Arial"/>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rsid w:val="00AA5C61"/>
    <w:pPr>
      <w:framePr w:w="7920" w:h="1980" w:hRule="exact" w:hSpace="141" w:wrap="auto" w:hAnchor="page" w:xAlign="center" w:yAlign="bottom"/>
      <w:ind w:left="2880" w:firstLine="0"/>
    </w:pPr>
  </w:style>
  <w:style w:type="paragraph" w:customStyle="1" w:styleId="dopln">
    <w:name w:val="doplní"/>
    <w:basedOn w:val="Normln"/>
    <w:next w:val="Normln"/>
    <w:rsid w:val="00E45622"/>
    <w:rPr>
      <w:b/>
      <w:color w:val="FF0000"/>
      <w:szCs w:val="20"/>
      <w:effect w:val="antsRed"/>
    </w:rPr>
  </w:style>
  <w:style w:type="paragraph" w:customStyle="1" w:styleId="Lit-s">
    <w:name w:val="Lit-čís"/>
    <w:basedOn w:val="Normln"/>
    <w:rsid w:val="00AA5C61"/>
    <w:pPr>
      <w:ind w:left="425" w:hanging="425"/>
    </w:pPr>
  </w:style>
  <w:style w:type="paragraph" w:customStyle="1" w:styleId="mezera">
    <w:name w:val="mezera"/>
    <w:basedOn w:val="Normln"/>
    <w:link w:val="mezeraChar"/>
    <w:rsid w:val="0064201B"/>
    <w:pPr>
      <w:spacing w:before="0" w:line="240" w:lineRule="auto"/>
      <w:ind w:firstLine="0"/>
    </w:pPr>
    <w:rPr>
      <w:sz w:val="16"/>
    </w:rPr>
  </w:style>
  <w:style w:type="paragraph" w:customStyle="1" w:styleId="mezera-svzan">
    <w:name w:val="mezera-svázaná"/>
    <w:basedOn w:val="mezera"/>
    <w:rsid w:val="00AA5C61"/>
    <w:pPr>
      <w:keepNext/>
    </w:pPr>
  </w:style>
  <w:style w:type="character" w:customStyle="1" w:styleId="Nadpis1Char">
    <w:name w:val="Nadpis 1 Char"/>
    <w:link w:val="Nadpis1"/>
    <w:rsid w:val="00AA5C61"/>
    <w:rPr>
      <w:rFonts w:ascii="Arial" w:eastAsia="Times New Roman" w:hAnsi="Arial" w:cs="Times New Roman"/>
      <w:b/>
      <w:caps/>
      <w:kern w:val="28"/>
      <w:sz w:val="28"/>
      <w:szCs w:val="20"/>
      <w:lang w:eastAsia="cs-CZ"/>
    </w:rPr>
  </w:style>
  <w:style w:type="character" w:customStyle="1" w:styleId="Nadpis2Char">
    <w:name w:val="Nadpis 2 Char"/>
    <w:link w:val="Nadpis2"/>
    <w:rsid w:val="00AA5C61"/>
    <w:rPr>
      <w:rFonts w:ascii="Arial" w:eastAsia="Times New Roman" w:hAnsi="Arial" w:cs="Times New Roman"/>
      <w:b/>
      <w:i/>
      <w:sz w:val="24"/>
      <w:szCs w:val="20"/>
      <w:lang w:eastAsia="cs-CZ"/>
    </w:rPr>
  </w:style>
  <w:style w:type="character" w:customStyle="1" w:styleId="Nadpis3Char">
    <w:name w:val="Nadpis 3 Char"/>
    <w:link w:val="Nadpis3"/>
    <w:rsid w:val="00AA5C61"/>
    <w:rPr>
      <w:rFonts w:ascii="Times New Roman" w:eastAsia="Times New Roman" w:hAnsi="Times New Roman" w:cs="Times New Roman"/>
      <w:b/>
      <w:sz w:val="24"/>
      <w:szCs w:val="20"/>
      <w:lang w:eastAsia="cs-CZ"/>
    </w:rPr>
  </w:style>
  <w:style w:type="character" w:customStyle="1" w:styleId="Nadpis4Char">
    <w:name w:val="Nadpis 4 Char"/>
    <w:link w:val="Nadpis4"/>
    <w:rsid w:val="00AA5C61"/>
    <w:rPr>
      <w:rFonts w:ascii="Times New Roman" w:eastAsia="Times New Roman" w:hAnsi="Times New Roman" w:cs="Times New Roman"/>
      <w:b/>
      <w:bCs/>
      <w:i/>
      <w:sz w:val="24"/>
      <w:szCs w:val="24"/>
      <w:lang w:eastAsia="cs-CZ"/>
    </w:rPr>
  </w:style>
  <w:style w:type="character" w:customStyle="1" w:styleId="Nadpis5Char">
    <w:name w:val="Nadpis 5 Char"/>
    <w:link w:val="Nadpis5"/>
    <w:rsid w:val="00AA5C61"/>
    <w:rPr>
      <w:rFonts w:ascii="Arial" w:eastAsia="Times New Roman" w:hAnsi="Arial" w:cs="Times New Roman"/>
      <w:szCs w:val="23"/>
      <w:lang w:eastAsia="cs-CZ"/>
    </w:rPr>
  </w:style>
  <w:style w:type="character" w:customStyle="1" w:styleId="Nadpis6Char">
    <w:name w:val="Nadpis 6 Char"/>
    <w:link w:val="Nadpis6"/>
    <w:rsid w:val="00AA5C61"/>
    <w:rPr>
      <w:rFonts w:ascii="Arial" w:eastAsia="Times New Roman" w:hAnsi="Arial" w:cs="Times New Roman"/>
      <w:i/>
      <w:szCs w:val="23"/>
      <w:lang w:eastAsia="cs-CZ"/>
    </w:rPr>
  </w:style>
  <w:style w:type="character" w:customStyle="1" w:styleId="Nadpis7Char">
    <w:name w:val="Nadpis 7 Char"/>
    <w:link w:val="Nadpis7"/>
    <w:rsid w:val="00AA5C61"/>
    <w:rPr>
      <w:rFonts w:ascii="Arial" w:eastAsia="Times New Roman" w:hAnsi="Arial" w:cs="Times New Roman"/>
      <w:sz w:val="20"/>
      <w:szCs w:val="23"/>
      <w:lang w:eastAsia="cs-CZ"/>
    </w:rPr>
  </w:style>
  <w:style w:type="character" w:customStyle="1" w:styleId="Nadpis8Char">
    <w:name w:val="Nadpis 8 Char"/>
    <w:link w:val="Nadpis8"/>
    <w:rsid w:val="00AA5C61"/>
    <w:rPr>
      <w:rFonts w:ascii="Arial" w:eastAsia="Times New Roman" w:hAnsi="Arial" w:cs="Times New Roman"/>
      <w:i/>
      <w:sz w:val="20"/>
      <w:szCs w:val="23"/>
      <w:lang w:eastAsia="cs-CZ"/>
    </w:rPr>
  </w:style>
  <w:style w:type="character" w:customStyle="1" w:styleId="Nadpis9Char">
    <w:name w:val="Nadpis 9 Char"/>
    <w:link w:val="Nadpis9"/>
    <w:rsid w:val="00AA5C61"/>
    <w:rPr>
      <w:rFonts w:ascii="Arial" w:eastAsia="Times New Roman" w:hAnsi="Arial" w:cs="Times New Roman"/>
      <w:i/>
      <w:sz w:val="18"/>
      <w:szCs w:val="23"/>
      <w:lang w:eastAsia="cs-CZ"/>
    </w:rPr>
  </w:style>
  <w:style w:type="paragraph" w:customStyle="1" w:styleId="N-I-pozn">
    <w:name w:val="N-I-pozn"/>
    <w:basedOn w:val="Normln"/>
    <w:link w:val="N-I-poznChar"/>
    <w:rsid w:val="00AA5C61"/>
    <w:pPr>
      <w:spacing w:before="0" w:after="120"/>
      <w:ind w:firstLine="0"/>
    </w:pPr>
    <w:rPr>
      <w:i/>
      <w:szCs w:val="24"/>
    </w:rPr>
  </w:style>
  <w:style w:type="paragraph" w:customStyle="1" w:styleId="N-I-pozn-1">
    <w:name w:val="N-I-pozn-1"/>
    <w:basedOn w:val="Normln"/>
    <w:rsid w:val="00AA5C61"/>
    <w:pPr>
      <w:spacing w:before="0" w:after="120"/>
      <w:ind w:left="567" w:firstLine="0"/>
    </w:pPr>
    <w:rPr>
      <w:bCs/>
      <w:i/>
      <w:iCs/>
      <w:szCs w:val="24"/>
    </w:rPr>
  </w:style>
  <w:style w:type="paragraph" w:customStyle="1" w:styleId="Normlnvlevo">
    <w:name w:val="Normální vlevo"/>
    <w:basedOn w:val="Normln"/>
    <w:link w:val="NormlnvlevoChar"/>
    <w:rsid w:val="00AA5C61"/>
    <w:pPr>
      <w:ind w:firstLine="0"/>
    </w:pPr>
  </w:style>
  <w:style w:type="paragraph" w:customStyle="1" w:styleId="Norm-B-I">
    <w:name w:val="Norm-B-I"/>
    <w:basedOn w:val="Normln"/>
    <w:rsid w:val="00C9570D"/>
    <w:pPr>
      <w:keepNext/>
      <w:spacing w:before="240"/>
      <w:ind w:firstLine="0"/>
    </w:pPr>
    <w:rPr>
      <w:b/>
      <w:bCs/>
      <w:i/>
    </w:rPr>
  </w:style>
  <w:style w:type="paragraph" w:customStyle="1" w:styleId="Norm-Bold">
    <w:name w:val="Norm-Bold"/>
    <w:basedOn w:val="Normln"/>
    <w:next w:val="Normln"/>
    <w:link w:val="Norm-BoldChar"/>
    <w:rsid w:val="00AA5C61"/>
    <w:pPr>
      <w:keepNext/>
      <w:spacing w:before="240"/>
      <w:ind w:firstLine="0"/>
    </w:pPr>
    <w:rPr>
      <w:b/>
    </w:rPr>
  </w:style>
  <w:style w:type="paragraph" w:customStyle="1" w:styleId="Norm-Ital">
    <w:name w:val="Norm-Ital"/>
    <w:basedOn w:val="Normln"/>
    <w:rsid w:val="00AA5C61"/>
    <w:pPr>
      <w:keepNext/>
      <w:keepLines/>
      <w:widowControl w:val="0"/>
      <w:adjustRightInd w:val="0"/>
      <w:spacing w:before="240" w:line="300" w:lineRule="atLeast"/>
      <w:ind w:firstLine="0"/>
      <w:textAlignment w:val="baseline"/>
    </w:pPr>
    <w:rPr>
      <w:bCs/>
      <w:i/>
      <w:iCs/>
    </w:rPr>
  </w:style>
  <w:style w:type="paragraph" w:customStyle="1" w:styleId="N-vl-1">
    <w:name w:val="N-vl-1"/>
    <w:basedOn w:val="Normlnvlevo"/>
    <w:rsid w:val="00AA5C61"/>
    <w:pPr>
      <w:ind w:left="567"/>
    </w:pPr>
  </w:style>
  <w:style w:type="paragraph" w:styleId="Obsah1">
    <w:name w:val="toc 1"/>
    <w:basedOn w:val="Normln"/>
    <w:next w:val="Obsah2"/>
    <w:uiPriority w:val="39"/>
    <w:rsid w:val="00724B14"/>
    <w:pPr>
      <w:keepNext/>
      <w:tabs>
        <w:tab w:val="right" w:leader="dot" w:pos="9071"/>
      </w:tabs>
      <w:spacing w:before="180" w:line="240" w:lineRule="auto"/>
      <w:ind w:left="425" w:right="567" w:hanging="425"/>
      <w:jc w:val="left"/>
    </w:pPr>
    <w:rPr>
      <w:b/>
      <w:noProof/>
    </w:rPr>
  </w:style>
  <w:style w:type="paragraph" w:styleId="Obsah2">
    <w:name w:val="toc 2"/>
    <w:basedOn w:val="Normln"/>
    <w:next w:val="Normln"/>
    <w:uiPriority w:val="39"/>
    <w:rsid w:val="00E77E9A"/>
    <w:pPr>
      <w:tabs>
        <w:tab w:val="left" w:pos="993"/>
        <w:tab w:val="right" w:leader="dot" w:pos="9071"/>
      </w:tabs>
      <w:spacing w:line="240" w:lineRule="auto"/>
      <w:ind w:left="992" w:right="567" w:hanging="567"/>
      <w:jc w:val="left"/>
    </w:pPr>
  </w:style>
  <w:style w:type="paragraph" w:styleId="Obsah3">
    <w:name w:val="toc 3"/>
    <w:basedOn w:val="Normln"/>
    <w:next w:val="Normln"/>
    <w:uiPriority w:val="39"/>
    <w:rsid w:val="00E77E9A"/>
    <w:pPr>
      <w:tabs>
        <w:tab w:val="left" w:pos="1701"/>
        <w:tab w:val="right" w:leader="dot" w:pos="9071"/>
      </w:tabs>
      <w:spacing w:before="0" w:line="240" w:lineRule="auto"/>
      <w:ind w:left="1701" w:right="567" w:hanging="709"/>
      <w:jc w:val="left"/>
    </w:pPr>
    <w:rPr>
      <w:i/>
    </w:rPr>
  </w:style>
  <w:style w:type="paragraph" w:styleId="Obsah4">
    <w:name w:val="toc 4"/>
    <w:basedOn w:val="Normln"/>
    <w:next w:val="Normln"/>
    <w:uiPriority w:val="39"/>
    <w:rsid w:val="00E77E9A"/>
    <w:pPr>
      <w:spacing w:before="0"/>
      <w:ind w:left="1361" w:right="567" w:hanging="652"/>
    </w:pPr>
    <w:rPr>
      <w:i/>
    </w:rPr>
  </w:style>
  <w:style w:type="paragraph" w:styleId="Obsah5">
    <w:name w:val="toc 5"/>
    <w:basedOn w:val="Normln"/>
    <w:next w:val="Normln"/>
    <w:uiPriority w:val="39"/>
    <w:rsid w:val="00E77E9A"/>
    <w:pPr>
      <w:ind w:left="960"/>
    </w:pPr>
  </w:style>
  <w:style w:type="paragraph" w:styleId="Obsah6">
    <w:name w:val="toc 6"/>
    <w:basedOn w:val="Normln"/>
    <w:next w:val="Normln"/>
    <w:autoRedefine/>
    <w:uiPriority w:val="39"/>
    <w:rsid w:val="00AA5C61"/>
    <w:pPr>
      <w:tabs>
        <w:tab w:val="right" w:leader="dot" w:pos="9071"/>
      </w:tabs>
      <w:ind w:left="1200"/>
    </w:pPr>
  </w:style>
  <w:style w:type="paragraph" w:styleId="Obsah7">
    <w:name w:val="toc 7"/>
    <w:basedOn w:val="Normln"/>
    <w:next w:val="Normln"/>
    <w:autoRedefine/>
    <w:uiPriority w:val="39"/>
    <w:rsid w:val="00AA5C61"/>
    <w:pPr>
      <w:tabs>
        <w:tab w:val="right" w:leader="dot" w:pos="9071"/>
      </w:tabs>
      <w:ind w:left="1440"/>
    </w:pPr>
  </w:style>
  <w:style w:type="paragraph" w:styleId="Obsah8">
    <w:name w:val="toc 8"/>
    <w:basedOn w:val="Normln"/>
    <w:next w:val="Normln"/>
    <w:autoRedefine/>
    <w:uiPriority w:val="39"/>
    <w:rsid w:val="00AA5C61"/>
    <w:pPr>
      <w:tabs>
        <w:tab w:val="right" w:leader="dot" w:pos="9071"/>
      </w:tabs>
      <w:ind w:left="1680"/>
    </w:pPr>
  </w:style>
  <w:style w:type="paragraph" w:styleId="Obsah9">
    <w:name w:val="toc 9"/>
    <w:basedOn w:val="Normln"/>
    <w:next w:val="Normln"/>
    <w:autoRedefine/>
    <w:uiPriority w:val="39"/>
    <w:rsid w:val="00AA5C61"/>
    <w:pPr>
      <w:tabs>
        <w:tab w:val="right" w:leader="dot" w:pos="9071"/>
      </w:tabs>
      <w:ind w:left="1920"/>
    </w:pPr>
  </w:style>
  <w:style w:type="paragraph" w:customStyle="1" w:styleId="obsah-nadpis">
    <w:name w:val="obsah-nadpis"/>
    <w:basedOn w:val="Normln"/>
    <w:rsid w:val="00AA5C61"/>
    <w:pPr>
      <w:ind w:firstLine="0"/>
      <w:jc w:val="left"/>
    </w:pPr>
    <w:rPr>
      <w:rFonts w:ascii="Arial" w:hAnsi="Arial" w:cs="Arial"/>
      <w:b/>
      <w:bCs/>
      <w:caps/>
      <w:sz w:val="28"/>
      <w:szCs w:val="28"/>
    </w:rPr>
  </w:style>
  <w:style w:type="character" w:styleId="Odkaznakoment">
    <w:name w:val="annotation reference"/>
    <w:rsid w:val="00AA5C61"/>
    <w:rPr>
      <w:rFonts w:ascii="Times New Roman" w:hAnsi="Times New Roman"/>
      <w:sz w:val="16"/>
    </w:rPr>
  </w:style>
  <w:style w:type="character" w:styleId="Odkaznavysvtlivky">
    <w:name w:val="endnote reference"/>
    <w:rsid w:val="00AA5C61"/>
    <w:rPr>
      <w:vertAlign w:val="superscript"/>
    </w:rPr>
  </w:style>
  <w:style w:type="paragraph" w:customStyle="1" w:styleId="Rozvrendokumentu">
    <w:name w:val="Rozvržení dokumentu"/>
    <w:basedOn w:val="Normln"/>
    <w:link w:val="RozvrendokumentuChar"/>
    <w:rsid w:val="00AA5C61"/>
    <w:pPr>
      <w:shd w:val="clear" w:color="auto" w:fill="000080"/>
    </w:pPr>
    <w:rPr>
      <w:rFonts w:ascii="Tahoma" w:hAnsi="Tahoma"/>
    </w:rPr>
  </w:style>
  <w:style w:type="character" w:customStyle="1" w:styleId="RozvrendokumentuChar">
    <w:name w:val="Rozvržení dokumentu Char"/>
    <w:link w:val="Rozvrendokumentu"/>
    <w:rsid w:val="00AA5C61"/>
    <w:rPr>
      <w:rFonts w:ascii="Tahoma" w:eastAsia="Times New Roman" w:hAnsi="Tahoma" w:cs="Times New Roman"/>
      <w:sz w:val="24"/>
      <w:szCs w:val="23"/>
      <w:shd w:val="clear" w:color="auto" w:fill="000080"/>
      <w:lang w:eastAsia="cs-CZ"/>
    </w:rPr>
  </w:style>
  <w:style w:type="paragraph" w:customStyle="1" w:styleId="Tabslo">
    <w:name w:val="TabČíslo"/>
    <w:basedOn w:val="Normlnvlevo"/>
    <w:rsid w:val="00AA5C61"/>
    <w:pPr>
      <w:spacing w:before="0" w:line="300" w:lineRule="atLeast"/>
      <w:jc w:val="right"/>
    </w:pPr>
  </w:style>
  <w:style w:type="paragraph" w:customStyle="1" w:styleId="TabNadpis">
    <w:name w:val="TabNadpis"/>
    <w:basedOn w:val="Normln"/>
    <w:link w:val="TabNadpisChar"/>
    <w:rsid w:val="00AA5C61"/>
    <w:pPr>
      <w:keepNext/>
      <w:spacing w:after="120" w:line="300" w:lineRule="atLeast"/>
      <w:ind w:left="1021" w:hanging="1021"/>
    </w:pPr>
    <w:rPr>
      <w:rFonts w:ascii="Arial" w:hAnsi="Arial"/>
      <w:b/>
    </w:rPr>
  </w:style>
  <w:style w:type="paragraph" w:customStyle="1" w:styleId="TabPoz">
    <w:name w:val="TabPoz"/>
    <w:basedOn w:val="Normln"/>
    <w:link w:val="TabPozChar"/>
    <w:rsid w:val="00AA5C61"/>
    <w:pPr>
      <w:keepNext/>
      <w:spacing w:before="0" w:line="240" w:lineRule="atLeast"/>
      <w:ind w:left="284" w:hanging="284"/>
    </w:pPr>
    <w:rPr>
      <w:rFonts w:ascii="Arial" w:hAnsi="Arial"/>
      <w:i/>
      <w:sz w:val="15"/>
      <w:szCs w:val="15"/>
    </w:rPr>
  </w:style>
  <w:style w:type="paragraph" w:customStyle="1" w:styleId="TabPramZprac">
    <w:name w:val="TabPramZprac"/>
    <w:basedOn w:val="TabPoz"/>
    <w:next w:val="mezera"/>
    <w:link w:val="TabPramZpracChar"/>
    <w:rsid w:val="00AA5C61"/>
    <w:pPr>
      <w:ind w:left="851" w:hanging="851"/>
    </w:pPr>
    <w:rPr>
      <w:iCs/>
    </w:rPr>
  </w:style>
  <w:style w:type="paragraph" w:customStyle="1" w:styleId="tab-sted">
    <w:name w:val="tab-střed"/>
    <w:basedOn w:val="Normln"/>
    <w:next w:val="mezera"/>
    <w:rsid w:val="00AA5C61"/>
    <w:pPr>
      <w:keepNext/>
      <w:spacing w:before="0"/>
      <w:ind w:firstLine="0"/>
      <w:jc w:val="center"/>
    </w:pPr>
  </w:style>
  <w:style w:type="paragraph" w:customStyle="1" w:styleId="Tabulka">
    <w:name w:val="Tabulka"/>
    <w:basedOn w:val="TabNadpis"/>
    <w:rsid w:val="008520EA"/>
    <w:pPr>
      <w:keepNext w:val="0"/>
      <w:spacing w:after="0" w:line="240" w:lineRule="atLeast"/>
      <w:ind w:left="0" w:firstLine="0"/>
      <w:jc w:val="left"/>
    </w:pPr>
    <w:rPr>
      <w:rFonts w:ascii="Times New Roman" w:hAnsi="Times New Roman"/>
      <w:b w:val="0"/>
    </w:rPr>
  </w:style>
  <w:style w:type="paragraph" w:customStyle="1" w:styleId="TabVet">
    <w:name w:val="TabVýčet"/>
    <w:basedOn w:val="Normln"/>
    <w:rsid w:val="00AA5C61"/>
    <w:pPr>
      <w:numPr>
        <w:numId w:val="1"/>
      </w:numPr>
      <w:spacing w:line="300" w:lineRule="atLeast"/>
    </w:pPr>
  </w:style>
  <w:style w:type="paragraph" w:customStyle="1" w:styleId="TabZhlav">
    <w:name w:val="TabZáhlavíŘ"/>
    <w:basedOn w:val="Normln"/>
    <w:rsid w:val="00AA5C61"/>
    <w:pPr>
      <w:spacing w:before="0" w:line="300" w:lineRule="atLeast"/>
      <w:ind w:firstLine="0"/>
      <w:jc w:val="left"/>
    </w:pPr>
    <w:rPr>
      <w:b/>
    </w:rPr>
  </w:style>
  <w:style w:type="paragraph" w:customStyle="1" w:styleId="TabZhlavS">
    <w:name w:val="TabZáhlavíS"/>
    <w:basedOn w:val="Normln"/>
    <w:rsid w:val="00AA5C61"/>
    <w:pPr>
      <w:keepNext/>
      <w:spacing w:before="0" w:line="300" w:lineRule="atLeast"/>
      <w:ind w:firstLine="0"/>
      <w:jc w:val="center"/>
    </w:pPr>
    <w:rPr>
      <w:b/>
    </w:rPr>
  </w:style>
  <w:style w:type="paragraph" w:customStyle="1" w:styleId="Tab-zkratky">
    <w:name w:val="Tab-zkratky"/>
    <w:basedOn w:val="Tabulka"/>
    <w:rsid w:val="00AA5C61"/>
  </w:style>
  <w:style w:type="paragraph" w:styleId="Textkomente">
    <w:name w:val="annotation text"/>
    <w:basedOn w:val="Normln"/>
    <w:link w:val="TextkomenteChar"/>
    <w:rsid w:val="00AA5C61"/>
    <w:rPr>
      <w:sz w:val="20"/>
    </w:rPr>
  </w:style>
  <w:style w:type="character" w:customStyle="1" w:styleId="TextkomenteChar">
    <w:name w:val="Text komentáře Char"/>
    <w:link w:val="Textkomente"/>
    <w:rsid w:val="00AA5C61"/>
    <w:rPr>
      <w:rFonts w:ascii="Times New Roman" w:eastAsia="Times New Roman" w:hAnsi="Times New Roman" w:cs="Times New Roman"/>
      <w:sz w:val="20"/>
      <w:szCs w:val="23"/>
      <w:lang w:eastAsia="cs-CZ"/>
    </w:rPr>
  </w:style>
  <w:style w:type="paragraph" w:styleId="Textpoznpodarou">
    <w:name w:val="footnote text"/>
    <w:basedOn w:val="Normln"/>
    <w:link w:val="TextpoznpodarouChar"/>
    <w:rsid w:val="00A746D5"/>
    <w:pPr>
      <w:spacing w:before="0" w:line="240" w:lineRule="auto"/>
      <w:ind w:left="284" w:hanging="284"/>
    </w:pPr>
    <w:rPr>
      <w:i/>
      <w:sz w:val="20"/>
    </w:rPr>
  </w:style>
  <w:style w:type="character" w:customStyle="1" w:styleId="TextpoznpodarouChar">
    <w:name w:val="Text pozn. pod čarou Char"/>
    <w:link w:val="Textpoznpodarou"/>
    <w:rsid w:val="00A746D5"/>
    <w:rPr>
      <w:rFonts w:ascii="Times New Roman" w:hAnsi="Times New Roman" w:cs="Calibri"/>
      <w:i/>
      <w:szCs w:val="23"/>
      <w:lang w:eastAsia="ar-SA"/>
    </w:rPr>
  </w:style>
  <w:style w:type="paragraph" w:styleId="Textvysvtlivek">
    <w:name w:val="endnote text"/>
    <w:basedOn w:val="Normln"/>
    <w:link w:val="TextvysvtlivekChar"/>
    <w:rsid w:val="00AA5C61"/>
    <w:rPr>
      <w:sz w:val="20"/>
    </w:rPr>
  </w:style>
  <w:style w:type="character" w:customStyle="1" w:styleId="TextvysvtlivekChar">
    <w:name w:val="Text vysvětlivek Char"/>
    <w:link w:val="Textvysvtlivek"/>
    <w:rsid w:val="00AA5C61"/>
    <w:rPr>
      <w:rFonts w:ascii="Times New Roman" w:eastAsia="Times New Roman" w:hAnsi="Times New Roman" w:cs="Times New Roman"/>
      <w:sz w:val="20"/>
      <w:szCs w:val="23"/>
      <w:lang w:eastAsia="cs-CZ"/>
    </w:rPr>
  </w:style>
  <w:style w:type="paragraph" w:customStyle="1" w:styleId="vet1">
    <w:name w:val="výčet 1"/>
    <w:basedOn w:val="Normln"/>
    <w:link w:val="vet1Char"/>
    <w:uiPriority w:val="99"/>
    <w:rsid w:val="00DF6A39"/>
    <w:pPr>
      <w:numPr>
        <w:numId w:val="2"/>
      </w:numPr>
      <w:tabs>
        <w:tab w:val="left" w:pos="567"/>
      </w:tabs>
      <w:spacing w:before="0"/>
      <w:ind w:left="567" w:hanging="567"/>
    </w:pPr>
  </w:style>
  <w:style w:type="paragraph" w:customStyle="1" w:styleId="vet1slo">
    <w:name w:val="výčet 1. (číslo)"/>
    <w:basedOn w:val="Normln"/>
    <w:qFormat/>
    <w:rsid w:val="005B4F37"/>
    <w:pPr>
      <w:numPr>
        <w:numId w:val="8"/>
      </w:numPr>
      <w:tabs>
        <w:tab w:val="clear" w:pos="720"/>
        <w:tab w:val="num" w:pos="567"/>
      </w:tabs>
      <w:spacing w:before="0"/>
      <w:ind w:left="567" w:hanging="567"/>
    </w:pPr>
  </w:style>
  <w:style w:type="paragraph" w:customStyle="1" w:styleId="vet2">
    <w:name w:val="výčet 2"/>
    <w:basedOn w:val="vet1"/>
    <w:rsid w:val="00A703A8"/>
    <w:pPr>
      <w:numPr>
        <w:numId w:val="3"/>
      </w:numPr>
      <w:tabs>
        <w:tab w:val="clear" w:pos="567"/>
      </w:tabs>
    </w:pPr>
  </w:style>
  <w:style w:type="paragraph" w:customStyle="1" w:styleId="vet3">
    <w:name w:val="výčet 3"/>
    <w:basedOn w:val="vet2"/>
    <w:rsid w:val="00A703A8"/>
    <w:pPr>
      <w:numPr>
        <w:numId w:val="4"/>
      </w:numPr>
      <w:tabs>
        <w:tab w:val="clear" w:pos="1417"/>
        <w:tab w:val="num" w:pos="1134"/>
      </w:tabs>
      <w:ind w:left="1134"/>
    </w:pPr>
  </w:style>
  <w:style w:type="paragraph" w:customStyle="1" w:styleId="vet4">
    <w:name w:val="výčet 4"/>
    <w:basedOn w:val="vet3"/>
    <w:rsid w:val="00A703A8"/>
    <w:pPr>
      <w:numPr>
        <w:numId w:val="5"/>
      </w:numPr>
    </w:pPr>
  </w:style>
  <w:style w:type="paragraph" w:customStyle="1" w:styleId="vetapsmeno">
    <w:name w:val="výčet a) (písmeno)"/>
    <w:basedOn w:val="vet1"/>
    <w:rsid w:val="00AA5C61"/>
    <w:pPr>
      <w:numPr>
        <w:numId w:val="6"/>
      </w:numPr>
    </w:pPr>
  </w:style>
  <w:style w:type="paragraph" w:customStyle="1" w:styleId="veta-I">
    <w:name w:val="výčet a)-I"/>
    <w:basedOn w:val="vetapsmeno"/>
    <w:rsid w:val="00CA0EA7"/>
    <w:pPr>
      <w:numPr>
        <w:numId w:val="7"/>
      </w:numPr>
      <w:tabs>
        <w:tab w:val="left" w:pos="567"/>
      </w:tabs>
      <w:ind w:left="567" w:hanging="567"/>
    </w:pPr>
    <w:rPr>
      <w:i/>
    </w:rPr>
  </w:style>
  <w:style w:type="paragraph" w:customStyle="1" w:styleId="vzorec-1">
    <w:name w:val="vzorec-1"/>
    <w:basedOn w:val="Normln"/>
    <w:rsid w:val="00AA5C61"/>
    <w:pPr>
      <w:tabs>
        <w:tab w:val="center" w:pos="4536"/>
        <w:tab w:val="right" w:pos="9071"/>
      </w:tabs>
      <w:spacing w:after="60"/>
      <w:ind w:firstLine="0"/>
    </w:pPr>
  </w:style>
  <w:style w:type="paragraph" w:customStyle="1" w:styleId="vzorec-2">
    <w:name w:val="vzorec-2"/>
    <w:basedOn w:val="vzorec-1"/>
    <w:rsid w:val="00AA5C61"/>
    <w:pPr>
      <w:tabs>
        <w:tab w:val="clear" w:pos="4536"/>
        <w:tab w:val="center" w:pos="2835"/>
        <w:tab w:val="center" w:pos="6237"/>
      </w:tabs>
    </w:pPr>
  </w:style>
  <w:style w:type="paragraph" w:customStyle="1" w:styleId="ztoho">
    <w:name w:val="z toho"/>
    <w:basedOn w:val="Tabulka"/>
    <w:rsid w:val="00AA5C61"/>
    <w:pPr>
      <w:tabs>
        <w:tab w:val="left" w:pos="567"/>
      </w:tabs>
      <w:ind w:left="567" w:hanging="567"/>
    </w:pPr>
    <w:rPr>
      <w:b/>
    </w:rPr>
  </w:style>
  <w:style w:type="paragraph" w:styleId="Zhlav">
    <w:name w:val="header"/>
    <w:basedOn w:val="Normln"/>
    <w:link w:val="ZhlavChar"/>
    <w:rsid w:val="00AA5C61"/>
    <w:pPr>
      <w:tabs>
        <w:tab w:val="center" w:pos="9923"/>
      </w:tabs>
      <w:spacing w:before="0"/>
      <w:ind w:left="-851" w:right="-851" w:firstLine="0"/>
    </w:pPr>
    <w:rPr>
      <w:sz w:val="20"/>
    </w:rPr>
  </w:style>
  <w:style w:type="character" w:customStyle="1" w:styleId="ZhlavChar">
    <w:name w:val="Záhlaví Char"/>
    <w:link w:val="Zhlav"/>
    <w:rsid w:val="00AA5C61"/>
    <w:rPr>
      <w:rFonts w:ascii="Times New Roman" w:eastAsia="Times New Roman" w:hAnsi="Times New Roman" w:cs="Times New Roman"/>
      <w:sz w:val="20"/>
      <w:szCs w:val="23"/>
      <w:lang w:eastAsia="cs-CZ"/>
    </w:rPr>
  </w:style>
  <w:style w:type="paragraph" w:styleId="Zpat">
    <w:name w:val="footer"/>
    <w:basedOn w:val="Normln"/>
    <w:link w:val="ZpatChar"/>
    <w:uiPriority w:val="99"/>
    <w:rsid w:val="001F053B"/>
    <w:pPr>
      <w:spacing w:before="0"/>
      <w:ind w:left="-851" w:right="-851" w:firstLine="0"/>
      <w:jc w:val="center"/>
    </w:pPr>
    <w:rPr>
      <w:noProof/>
      <w:sz w:val="20"/>
    </w:rPr>
  </w:style>
  <w:style w:type="character" w:customStyle="1" w:styleId="ZpatChar">
    <w:name w:val="Zápatí Char"/>
    <w:link w:val="Zpat"/>
    <w:uiPriority w:val="99"/>
    <w:rsid w:val="001F053B"/>
    <w:rPr>
      <w:rFonts w:ascii="Times New Roman" w:hAnsi="Times New Roman" w:cs="Calibri"/>
      <w:noProof/>
      <w:szCs w:val="23"/>
      <w:lang w:eastAsia="ar-SA"/>
    </w:rPr>
  </w:style>
  <w:style w:type="character" w:styleId="Znakapoznpodarou">
    <w:name w:val="footnote reference"/>
    <w:uiPriority w:val="99"/>
    <w:rsid w:val="00E10D8F"/>
    <w:rPr>
      <w:rFonts w:ascii="Times New Roman" w:hAnsi="Times New Roman"/>
      <w:i/>
      <w:sz w:val="24"/>
      <w:vertAlign w:val="superscript"/>
    </w:rPr>
  </w:style>
  <w:style w:type="paragraph" w:styleId="Pedmtkomente">
    <w:name w:val="annotation subject"/>
    <w:basedOn w:val="Textkomente"/>
    <w:next w:val="Textkomente"/>
    <w:link w:val="PedmtkomenteChar"/>
    <w:uiPriority w:val="99"/>
    <w:unhideWhenUsed/>
    <w:rsid w:val="00E42ADC"/>
    <w:rPr>
      <w:b/>
      <w:bCs/>
      <w:szCs w:val="20"/>
    </w:rPr>
  </w:style>
  <w:style w:type="character" w:customStyle="1" w:styleId="PedmtkomenteChar">
    <w:name w:val="Předmět komentáře Char"/>
    <w:link w:val="Pedmtkomente"/>
    <w:uiPriority w:val="99"/>
    <w:rsid w:val="00E42ADC"/>
    <w:rPr>
      <w:rFonts w:ascii="Times New Roman" w:eastAsia="Times New Roman" w:hAnsi="Times New Roman" w:cs="Times New Roman"/>
      <w:b/>
      <w:bCs/>
      <w:sz w:val="20"/>
      <w:szCs w:val="23"/>
      <w:lang w:eastAsia="cs-CZ"/>
    </w:rPr>
  </w:style>
  <w:style w:type="paragraph" w:styleId="Textbubliny">
    <w:name w:val="Balloon Text"/>
    <w:basedOn w:val="Normln"/>
    <w:link w:val="TextbublinyChar"/>
    <w:uiPriority w:val="99"/>
    <w:unhideWhenUsed/>
    <w:rsid w:val="00E42ADC"/>
    <w:pPr>
      <w:spacing w:before="0"/>
    </w:pPr>
    <w:rPr>
      <w:rFonts w:ascii="Tahoma" w:hAnsi="Tahoma" w:cs="Tahoma"/>
      <w:sz w:val="16"/>
      <w:szCs w:val="16"/>
    </w:rPr>
  </w:style>
  <w:style w:type="character" w:customStyle="1" w:styleId="TextbublinyChar">
    <w:name w:val="Text bubliny Char"/>
    <w:link w:val="Textbubliny"/>
    <w:uiPriority w:val="99"/>
    <w:rsid w:val="00E42ADC"/>
    <w:rPr>
      <w:rFonts w:ascii="Tahoma" w:eastAsia="Times New Roman" w:hAnsi="Tahoma" w:cs="Tahoma"/>
      <w:sz w:val="16"/>
      <w:szCs w:val="16"/>
    </w:rPr>
  </w:style>
  <w:style w:type="paragraph" w:customStyle="1" w:styleId="tab-vet">
    <w:name w:val="tab-výčet"/>
    <w:basedOn w:val="Tabulka"/>
    <w:rsid w:val="00E45622"/>
    <w:pPr>
      <w:keepNext/>
      <w:numPr>
        <w:numId w:val="9"/>
      </w:numPr>
      <w:tabs>
        <w:tab w:val="left" w:pos="284"/>
      </w:tabs>
      <w:spacing w:before="0" w:line="240" w:lineRule="auto"/>
    </w:pPr>
    <w:rPr>
      <w:sz w:val="20"/>
      <w:szCs w:val="20"/>
    </w:rPr>
  </w:style>
  <w:style w:type="paragraph" w:customStyle="1" w:styleId="ra">
    <w:name w:val="čára"/>
    <w:basedOn w:val="Normln"/>
    <w:qFormat/>
    <w:rsid w:val="0064201B"/>
    <w:pPr>
      <w:spacing w:before="0" w:line="240" w:lineRule="auto"/>
      <w:ind w:firstLine="0"/>
      <w:jc w:val="left"/>
    </w:pPr>
    <w:rPr>
      <w:szCs w:val="24"/>
    </w:rPr>
  </w:style>
  <w:style w:type="paragraph" w:customStyle="1" w:styleId="text">
    <w:name w:val="text"/>
    <w:basedOn w:val="Normln"/>
    <w:qFormat/>
    <w:rsid w:val="00044B89"/>
    <w:pPr>
      <w:spacing w:before="120" w:line="240" w:lineRule="auto"/>
      <w:ind w:firstLine="0"/>
    </w:pPr>
    <w:rPr>
      <w:szCs w:val="24"/>
    </w:rPr>
  </w:style>
  <w:style w:type="paragraph" w:customStyle="1" w:styleId="plohy-1">
    <w:name w:val="přílohy-1"/>
    <w:basedOn w:val="Normln"/>
    <w:next w:val="Normln"/>
    <w:qFormat/>
    <w:rsid w:val="00766BDE"/>
    <w:pPr>
      <w:tabs>
        <w:tab w:val="left" w:pos="993"/>
        <w:tab w:val="left" w:pos="1560"/>
      </w:tabs>
      <w:spacing w:before="480" w:line="240" w:lineRule="auto"/>
      <w:ind w:left="1559" w:hanging="1559"/>
    </w:pPr>
    <w:rPr>
      <w:rFonts w:ascii="Arial" w:hAnsi="Arial"/>
      <w:sz w:val="22"/>
      <w:szCs w:val="24"/>
    </w:rPr>
  </w:style>
  <w:style w:type="character" w:customStyle="1" w:styleId="Standardnpsmoodstavce1">
    <w:name w:val="Standardní písmo odstavce1"/>
    <w:rsid w:val="00945E23"/>
  </w:style>
  <w:style w:type="character" w:customStyle="1" w:styleId="Odkaznakoment1">
    <w:name w:val="Odkaz na komentář1"/>
    <w:rsid w:val="00945E23"/>
    <w:rPr>
      <w:rFonts w:ascii="Times New Roman" w:hAnsi="Times New Roman"/>
      <w:sz w:val="16"/>
    </w:rPr>
  </w:style>
  <w:style w:type="character" w:customStyle="1" w:styleId="Znakyprovysvtlivky">
    <w:name w:val="Znaky pro vysvětlivky"/>
    <w:rsid w:val="00945E23"/>
    <w:rPr>
      <w:vertAlign w:val="superscript"/>
    </w:rPr>
  </w:style>
  <w:style w:type="character" w:customStyle="1" w:styleId="Znakypropoznmkupodarou">
    <w:name w:val="Znaky pro poznámku pod čarou"/>
    <w:rsid w:val="00945E23"/>
    <w:rPr>
      <w:i/>
      <w:vertAlign w:val="superscript"/>
    </w:rPr>
  </w:style>
  <w:style w:type="character" w:customStyle="1" w:styleId="form-l-str">
    <w:name w:val="form-l-str"/>
    <w:rsid w:val="00945E23"/>
    <w:rPr>
      <w:b w:val="0"/>
      <w:bCs/>
      <w:sz w:val="22"/>
    </w:rPr>
  </w:style>
  <w:style w:type="character" w:styleId="slostrnky">
    <w:name w:val="page number"/>
    <w:basedOn w:val="Standardnpsmoodstavce1"/>
    <w:rsid w:val="00945E23"/>
  </w:style>
  <w:style w:type="paragraph" w:customStyle="1" w:styleId="TabNadpis-novstrana">
    <w:name w:val="TabNadpis-nová strana"/>
    <w:basedOn w:val="TabNadpis"/>
    <w:qFormat/>
    <w:rsid w:val="00945E23"/>
    <w:pPr>
      <w:pageBreakBefore/>
      <w:ind w:left="1134" w:hanging="1134"/>
    </w:pPr>
  </w:style>
  <w:style w:type="character" w:customStyle="1" w:styleId="TabNadpisChar">
    <w:name w:val="TabNadpis Char"/>
    <w:link w:val="TabNadpis"/>
    <w:rsid w:val="00945E23"/>
    <w:rPr>
      <w:rFonts w:ascii="Arial" w:hAnsi="Arial" w:cs="Calibri"/>
      <w:b/>
      <w:sz w:val="24"/>
      <w:szCs w:val="23"/>
      <w:lang w:eastAsia="ar-SA"/>
    </w:rPr>
  </w:style>
  <w:style w:type="character" w:styleId="Zvraznn">
    <w:name w:val="Emphasis"/>
    <w:qFormat/>
    <w:rsid w:val="00945E23"/>
    <w:rPr>
      <w:i/>
      <w:iCs/>
    </w:rPr>
  </w:style>
  <w:style w:type="character" w:customStyle="1" w:styleId="popis1">
    <w:name w:val="popis1"/>
    <w:rsid w:val="00945E23"/>
    <w:rPr>
      <w:vanish w:val="0"/>
    </w:rPr>
  </w:style>
  <w:style w:type="paragraph" w:customStyle="1" w:styleId="NormlnZarovnatdobloku">
    <w:name w:val="Normální + Zarovnat do bloku"/>
    <w:basedOn w:val="Normln"/>
    <w:rsid w:val="006A7F34"/>
    <w:pPr>
      <w:suppressAutoHyphens w:val="0"/>
      <w:spacing w:before="0" w:line="240" w:lineRule="auto"/>
      <w:ind w:firstLine="0"/>
    </w:pPr>
    <w:rPr>
      <w:rFonts w:cs="Times New Roman"/>
      <w:szCs w:val="24"/>
      <w:lang w:eastAsia="cs-CZ"/>
    </w:rPr>
  </w:style>
  <w:style w:type="character" w:styleId="Hypertextovodkaz">
    <w:name w:val="Hyperlink"/>
    <w:uiPriority w:val="99"/>
    <w:rsid w:val="00945E23"/>
    <w:rPr>
      <w:color w:val="0000FF"/>
      <w:u w:val="single"/>
    </w:rPr>
  </w:style>
  <w:style w:type="character" w:styleId="Sledovanodkaz">
    <w:name w:val="FollowedHyperlink"/>
    <w:uiPriority w:val="99"/>
    <w:rsid w:val="00945E23"/>
    <w:rPr>
      <w:color w:val="800080"/>
      <w:u w:val="single"/>
    </w:rPr>
  </w:style>
  <w:style w:type="paragraph" w:customStyle="1" w:styleId="Nadpis">
    <w:name w:val="Nadpis"/>
    <w:basedOn w:val="Normln"/>
    <w:next w:val="Zkladntext"/>
    <w:rsid w:val="00945E23"/>
    <w:pPr>
      <w:keepNext/>
      <w:spacing w:before="240" w:after="120"/>
    </w:pPr>
    <w:rPr>
      <w:rFonts w:ascii="Arial" w:eastAsia="SimSun" w:hAnsi="Arial" w:cs="Tahoma"/>
      <w:sz w:val="28"/>
      <w:szCs w:val="28"/>
    </w:rPr>
  </w:style>
  <w:style w:type="paragraph" w:styleId="Zkladntext">
    <w:name w:val="Body Text"/>
    <w:basedOn w:val="Normln"/>
    <w:link w:val="ZkladntextChar"/>
    <w:rsid w:val="00945E23"/>
    <w:pPr>
      <w:widowControl w:val="0"/>
      <w:spacing w:before="0" w:line="240" w:lineRule="auto"/>
      <w:ind w:firstLine="0"/>
    </w:pPr>
    <w:rPr>
      <w:szCs w:val="20"/>
    </w:rPr>
  </w:style>
  <w:style w:type="character" w:customStyle="1" w:styleId="ZkladntextChar">
    <w:name w:val="Základní text Char"/>
    <w:basedOn w:val="Standardnpsmoodstavce"/>
    <w:link w:val="Zkladntext"/>
    <w:rsid w:val="00945E23"/>
    <w:rPr>
      <w:rFonts w:ascii="Times New Roman" w:hAnsi="Times New Roman" w:cs="Calibri"/>
      <w:sz w:val="24"/>
      <w:lang w:eastAsia="ar-SA"/>
    </w:rPr>
  </w:style>
  <w:style w:type="paragraph" w:styleId="Seznam">
    <w:name w:val="List"/>
    <w:basedOn w:val="Zkladntext"/>
    <w:rsid w:val="00945E23"/>
    <w:rPr>
      <w:rFonts w:cs="Tahoma"/>
    </w:rPr>
  </w:style>
  <w:style w:type="paragraph" w:customStyle="1" w:styleId="Popisek">
    <w:name w:val="Popisek"/>
    <w:basedOn w:val="Normln"/>
    <w:rsid w:val="00945E23"/>
    <w:pPr>
      <w:suppressLineNumbers/>
      <w:spacing w:before="120" w:after="120"/>
    </w:pPr>
    <w:rPr>
      <w:rFonts w:cs="Tahoma"/>
      <w:i/>
      <w:iCs/>
      <w:szCs w:val="24"/>
    </w:rPr>
  </w:style>
  <w:style w:type="paragraph" w:customStyle="1" w:styleId="Rejstk">
    <w:name w:val="Rejstřík"/>
    <w:basedOn w:val="Normln"/>
    <w:rsid w:val="00945E23"/>
    <w:pPr>
      <w:suppressLineNumbers/>
    </w:pPr>
    <w:rPr>
      <w:rFonts w:cs="Tahoma"/>
    </w:rPr>
  </w:style>
  <w:style w:type="character" w:customStyle="1" w:styleId="mezeraChar">
    <w:name w:val="mezera Char"/>
    <w:link w:val="mezera"/>
    <w:rsid w:val="00945E23"/>
    <w:rPr>
      <w:rFonts w:ascii="Times New Roman" w:hAnsi="Times New Roman" w:cs="Calibri"/>
      <w:sz w:val="16"/>
      <w:szCs w:val="23"/>
      <w:lang w:eastAsia="ar-SA"/>
    </w:rPr>
  </w:style>
  <w:style w:type="character" w:customStyle="1" w:styleId="N-I-poznChar">
    <w:name w:val="N-I-pozn Char"/>
    <w:link w:val="N-I-pozn"/>
    <w:rsid w:val="00945E23"/>
    <w:rPr>
      <w:rFonts w:ascii="Times New Roman" w:hAnsi="Times New Roman" w:cs="Calibri"/>
      <w:i/>
      <w:sz w:val="24"/>
      <w:szCs w:val="24"/>
      <w:lang w:eastAsia="ar-SA"/>
    </w:rPr>
  </w:style>
  <w:style w:type="character" w:customStyle="1" w:styleId="NormlnvlevoChar">
    <w:name w:val="Normální vlevo Char"/>
    <w:link w:val="Normlnvlevo"/>
    <w:rsid w:val="00945E23"/>
    <w:rPr>
      <w:rFonts w:ascii="Times New Roman" w:hAnsi="Times New Roman"/>
      <w:sz w:val="24"/>
      <w:szCs w:val="23"/>
    </w:rPr>
  </w:style>
  <w:style w:type="character" w:customStyle="1" w:styleId="Norm-BoldChar">
    <w:name w:val="Norm-Bold Char"/>
    <w:link w:val="Norm-Bold"/>
    <w:rsid w:val="00945E23"/>
    <w:rPr>
      <w:rFonts w:ascii="Times New Roman" w:hAnsi="Times New Roman" w:cs="Calibri"/>
      <w:b/>
      <w:sz w:val="24"/>
      <w:szCs w:val="23"/>
      <w:lang w:eastAsia="ar-SA"/>
    </w:rPr>
  </w:style>
  <w:style w:type="paragraph" w:customStyle="1" w:styleId="Textkomente1">
    <w:name w:val="Text komentáře1"/>
    <w:basedOn w:val="Normln"/>
    <w:rsid w:val="00945E23"/>
    <w:rPr>
      <w:sz w:val="20"/>
    </w:rPr>
  </w:style>
  <w:style w:type="character" w:customStyle="1" w:styleId="TabPozChar">
    <w:name w:val="TabPoz Char"/>
    <w:link w:val="TabPoz"/>
    <w:rsid w:val="00945E23"/>
    <w:rPr>
      <w:rFonts w:ascii="Arial" w:hAnsi="Arial" w:cs="Calibri"/>
      <w:i/>
      <w:sz w:val="15"/>
      <w:szCs w:val="15"/>
      <w:lang w:eastAsia="ar-SA"/>
    </w:rPr>
  </w:style>
  <w:style w:type="character" w:customStyle="1" w:styleId="TabPramZpracChar">
    <w:name w:val="TabPramZprac Char"/>
    <w:link w:val="TabPramZprac"/>
    <w:rsid w:val="00945E23"/>
    <w:rPr>
      <w:rFonts w:ascii="Arial" w:hAnsi="Arial" w:cs="Calibri"/>
      <w:i/>
      <w:iCs/>
      <w:sz w:val="15"/>
      <w:szCs w:val="15"/>
      <w:lang w:eastAsia="ar-SA"/>
    </w:rPr>
  </w:style>
  <w:style w:type="character" w:customStyle="1" w:styleId="vet1Char">
    <w:name w:val="výčet 1 Char"/>
    <w:link w:val="vet1"/>
    <w:uiPriority w:val="99"/>
    <w:rsid w:val="00DF6A39"/>
    <w:rPr>
      <w:rFonts w:ascii="Times New Roman" w:hAnsi="Times New Roman" w:cs="Calibri"/>
      <w:sz w:val="24"/>
      <w:szCs w:val="23"/>
      <w:lang w:eastAsia="ar-SA"/>
    </w:rPr>
  </w:style>
  <w:style w:type="paragraph" w:customStyle="1" w:styleId="vet2a">
    <w:name w:val="výčet 2 a)"/>
    <w:basedOn w:val="vetapsmeno"/>
    <w:qFormat/>
    <w:rsid w:val="00945E23"/>
    <w:pPr>
      <w:numPr>
        <w:numId w:val="0"/>
      </w:numPr>
      <w:tabs>
        <w:tab w:val="num" w:pos="1134"/>
      </w:tabs>
      <w:spacing w:before="60" w:line="240" w:lineRule="auto"/>
      <w:ind w:left="1134" w:hanging="360"/>
    </w:pPr>
    <w:rPr>
      <w:rFonts w:eastAsia="Calibri"/>
    </w:rPr>
  </w:style>
  <w:style w:type="paragraph" w:customStyle="1" w:styleId="Zkladntext31">
    <w:name w:val="Základní text 31"/>
    <w:basedOn w:val="Normln"/>
    <w:rsid w:val="00945E23"/>
    <w:pPr>
      <w:widowControl w:val="0"/>
      <w:spacing w:before="0" w:line="240" w:lineRule="auto"/>
      <w:ind w:firstLine="0"/>
    </w:pPr>
    <w:rPr>
      <w:i/>
      <w:color w:val="FF0000"/>
      <w:szCs w:val="20"/>
    </w:rPr>
  </w:style>
  <w:style w:type="paragraph" w:styleId="Normlnweb">
    <w:name w:val="Normal (Web)"/>
    <w:basedOn w:val="Normln"/>
    <w:rsid w:val="00945E23"/>
    <w:pPr>
      <w:spacing w:before="280" w:after="280" w:line="240" w:lineRule="auto"/>
      <w:ind w:firstLine="0"/>
      <w:jc w:val="left"/>
    </w:pPr>
    <w:rPr>
      <w:rFonts w:ascii="Arial Unicode MS" w:eastAsia="Arial Unicode MS" w:hAnsi="Arial Unicode MS" w:cs="Arial Unicode MS"/>
      <w:color w:val="000000"/>
      <w:szCs w:val="24"/>
    </w:rPr>
  </w:style>
  <w:style w:type="paragraph" w:customStyle="1" w:styleId="Zkladntextodsazen21">
    <w:name w:val="Základní text odsazený 21"/>
    <w:basedOn w:val="Normln"/>
    <w:rsid w:val="00945E23"/>
    <w:pPr>
      <w:spacing w:before="0" w:line="240" w:lineRule="auto"/>
      <w:ind w:firstLine="708"/>
    </w:pPr>
    <w:rPr>
      <w:color w:val="FF0000"/>
      <w:szCs w:val="20"/>
    </w:rPr>
  </w:style>
  <w:style w:type="paragraph" w:customStyle="1" w:styleId="Zkladntext0">
    <w:name w:val="Z‡kladn’ text"/>
    <w:basedOn w:val="Normln"/>
    <w:rsid w:val="00945E23"/>
    <w:pPr>
      <w:spacing w:before="0" w:line="240" w:lineRule="auto"/>
      <w:ind w:firstLine="0"/>
    </w:pPr>
    <w:rPr>
      <w:szCs w:val="20"/>
    </w:rPr>
  </w:style>
  <w:style w:type="paragraph" w:customStyle="1" w:styleId="Nadpisoddlu">
    <w:name w:val="Nadpis oddílu"/>
    <w:basedOn w:val="Normln"/>
    <w:next w:val="Normln"/>
    <w:rsid w:val="00945E23"/>
    <w:pPr>
      <w:widowControl w:val="0"/>
      <w:spacing w:before="0" w:line="240" w:lineRule="auto"/>
      <w:ind w:firstLine="0"/>
    </w:pPr>
    <w:rPr>
      <w:i/>
      <w:szCs w:val="20"/>
    </w:rPr>
  </w:style>
  <w:style w:type="paragraph" w:customStyle="1" w:styleId="Zkladntextodsazen31">
    <w:name w:val="Základní text odsazený 31"/>
    <w:basedOn w:val="Normln"/>
    <w:rsid w:val="00945E23"/>
    <w:pPr>
      <w:widowControl w:val="0"/>
      <w:spacing w:before="0" w:line="240" w:lineRule="auto"/>
      <w:ind w:firstLine="708"/>
    </w:pPr>
    <w:rPr>
      <w:szCs w:val="20"/>
    </w:rPr>
  </w:style>
  <w:style w:type="paragraph" w:customStyle="1" w:styleId="Vyhlka">
    <w:name w:val="Vyhláška"/>
    <w:basedOn w:val="Normlnvlevo"/>
    <w:rsid w:val="00945E23"/>
    <w:pPr>
      <w:keepNext/>
    </w:pPr>
    <w:rPr>
      <w:iCs/>
      <w:szCs w:val="20"/>
    </w:rPr>
  </w:style>
  <w:style w:type="paragraph" w:customStyle="1" w:styleId="vet1-svzan">
    <w:name w:val="výčet 1 - svázaný"/>
    <w:basedOn w:val="vet1"/>
    <w:qFormat/>
    <w:rsid w:val="00945E23"/>
    <w:pPr>
      <w:keepNext/>
      <w:numPr>
        <w:numId w:val="14"/>
      </w:numPr>
      <w:ind w:left="567" w:hanging="567"/>
    </w:pPr>
    <w:rPr>
      <w:rFonts w:eastAsia="Calibri"/>
      <w:szCs w:val="24"/>
    </w:rPr>
  </w:style>
  <w:style w:type="paragraph" w:customStyle="1" w:styleId="logo-nzev">
    <w:name w:val="logo-název"/>
    <w:basedOn w:val="Nadpis1"/>
    <w:next w:val="UZEI"/>
    <w:qFormat/>
    <w:rsid w:val="00945E23"/>
    <w:pPr>
      <w:spacing w:before="0"/>
      <w:ind w:left="0" w:firstLine="0"/>
      <w:jc w:val="center"/>
      <w:outlineLvl w:val="9"/>
    </w:pPr>
    <w:rPr>
      <w:kern w:val="1"/>
    </w:rPr>
  </w:style>
  <w:style w:type="paragraph" w:customStyle="1" w:styleId="UZEI">
    <w:name w:val="UZEI"/>
    <w:basedOn w:val="logo-nzev"/>
    <w:next w:val="Normln"/>
    <w:qFormat/>
    <w:rsid w:val="00945E23"/>
    <w:rPr>
      <w:sz w:val="24"/>
      <w:szCs w:val="24"/>
    </w:rPr>
  </w:style>
  <w:style w:type="paragraph" w:customStyle="1" w:styleId="pkaz">
    <w:name w:val="příkaz"/>
    <w:basedOn w:val="logo-nzev"/>
    <w:next w:val="Normln"/>
    <w:qFormat/>
    <w:rsid w:val="00945E23"/>
    <w:pPr>
      <w:spacing w:before="480"/>
    </w:pPr>
    <w:rPr>
      <w:caps w:val="0"/>
    </w:rPr>
  </w:style>
  <w:style w:type="paragraph" w:customStyle="1" w:styleId="pkaz-nzev">
    <w:name w:val="příkaz-název"/>
    <w:basedOn w:val="pkaz"/>
    <w:next w:val="Normln"/>
    <w:qFormat/>
    <w:rsid w:val="00945E23"/>
    <w:pPr>
      <w:spacing w:after="360"/>
    </w:pPr>
    <w:rPr>
      <w:caps/>
    </w:rPr>
  </w:style>
  <w:style w:type="paragraph" w:customStyle="1" w:styleId="veta3stpsmeno">
    <w:name w:val="výčet a) 3.st. (písmeno)"/>
    <w:basedOn w:val="Normln"/>
    <w:qFormat/>
    <w:rsid w:val="00945E23"/>
    <w:pPr>
      <w:numPr>
        <w:numId w:val="13"/>
      </w:numPr>
      <w:spacing w:line="240" w:lineRule="auto"/>
      <w:ind w:left="1134" w:hanging="283"/>
    </w:pPr>
  </w:style>
  <w:style w:type="paragraph" w:customStyle="1" w:styleId="Lit-bezs">
    <w:name w:val="Lit-bez čís"/>
    <w:basedOn w:val="Normln"/>
    <w:rsid w:val="00945E23"/>
    <w:pPr>
      <w:spacing w:line="240" w:lineRule="auto"/>
      <w:ind w:left="709" w:right="567" w:hanging="425"/>
    </w:pPr>
    <w:rPr>
      <w:szCs w:val="20"/>
    </w:rPr>
  </w:style>
  <w:style w:type="paragraph" w:customStyle="1" w:styleId="obal-autor">
    <w:name w:val="obal-autor"/>
    <w:basedOn w:val="Normln"/>
    <w:next w:val="Normln"/>
    <w:rsid w:val="00945E23"/>
    <w:pPr>
      <w:spacing w:before="0"/>
      <w:ind w:firstLine="0"/>
      <w:jc w:val="center"/>
    </w:pPr>
    <w:rPr>
      <w:rFonts w:ascii="Arial" w:hAnsi="Arial"/>
      <w:b/>
      <w:sz w:val="36"/>
      <w:szCs w:val="20"/>
    </w:rPr>
  </w:style>
  <w:style w:type="paragraph" w:customStyle="1" w:styleId="obal-slo">
    <w:name w:val="obal-číslo"/>
    <w:basedOn w:val="Normln"/>
    <w:rsid w:val="00945E23"/>
    <w:pPr>
      <w:tabs>
        <w:tab w:val="left" w:pos="1843"/>
      </w:tabs>
      <w:ind w:left="-851" w:firstLine="0"/>
    </w:pPr>
    <w:rPr>
      <w:rFonts w:ascii="Arial" w:hAnsi="Arial"/>
      <w:b/>
      <w:caps/>
      <w:szCs w:val="20"/>
    </w:rPr>
  </w:style>
  <w:style w:type="paragraph" w:customStyle="1" w:styleId="obal-logo">
    <w:name w:val="obal-logo"/>
    <w:basedOn w:val="Normln"/>
    <w:rsid w:val="00945E23"/>
    <w:pPr>
      <w:tabs>
        <w:tab w:val="left" w:pos="5387"/>
      </w:tabs>
      <w:spacing w:before="360" w:line="240" w:lineRule="auto"/>
      <w:ind w:firstLine="0"/>
      <w:jc w:val="center"/>
    </w:pPr>
    <w:rPr>
      <w:szCs w:val="20"/>
    </w:rPr>
  </w:style>
  <w:style w:type="paragraph" w:customStyle="1" w:styleId="obal-nzev">
    <w:name w:val="obal-název"/>
    <w:basedOn w:val="Normln"/>
    <w:next w:val="Normln"/>
    <w:rsid w:val="00945E23"/>
    <w:pPr>
      <w:spacing w:before="0" w:line="240" w:lineRule="auto"/>
      <w:ind w:left="1134" w:right="1134" w:firstLine="0"/>
      <w:jc w:val="center"/>
    </w:pPr>
    <w:rPr>
      <w:rFonts w:ascii="Arial" w:hAnsi="Arial"/>
      <w:b/>
      <w:sz w:val="40"/>
      <w:szCs w:val="20"/>
    </w:rPr>
  </w:style>
  <w:style w:type="paragraph" w:styleId="Podpis">
    <w:name w:val="Signature"/>
    <w:basedOn w:val="Normln"/>
    <w:link w:val="PodpisChar"/>
    <w:rsid w:val="00945E23"/>
    <w:pPr>
      <w:ind w:left="4252"/>
    </w:pPr>
    <w:rPr>
      <w:szCs w:val="20"/>
    </w:rPr>
  </w:style>
  <w:style w:type="character" w:customStyle="1" w:styleId="PodpisChar">
    <w:name w:val="Podpis Char"/>
    <w:basedOn w:val="Standardnpsmoodstavce"/>
    <w:link w:val="Podpis"/>
    <w:rsid w:val="00945E23"/>
    <w:rPr>
      <w:rFonts w:ascii="Times New Roman" w:hAnsi="Times New Roman" w:cs="Calibri"/>
      <w:sz w:val="24"/>
      <w:lang w:eastAsia="ar-SA"/>
    </w:rPr>
  </w:style>
  <w:style w:type="paragraph" w:customStyle="1" w:styleId="prava-autor1">
    <w:name w:val="prava-autor1"/>
    <w:basedOn w:val="Normln"/>
    <w:rsid w:val="00945E23"/>
    <w:pPr>
      <w:spacing w:before="120" w:line="240" w:lineRule="auto"/>
      <w:ind w:left="567" w:firstLine="0"/>
    </w:pPr>
    <w:rPr>
      <w:szCs w:val="20"/>
    </w:rPr>
  </w:style>
  <w:style w:type="paragraph" w:customStyle="1" w:styleId="prava-autor2">
    <w:name w:val="prava-autor2"/>
    <w:basedOn w:val="Normln"/>
    <w:rsid w:val="00945E23"/>
    <w:pPr>
      <w:spacing w:before="0" w:line="240" w:lineRule="auto"/>
      <w:ind w:left="567" w:firstLine="0"/>
    </w:pPr>
    <w:rPr>
      <w:szCs w:val="20"/>
    </w:rPr>
  </w:style>
  <w:style w:type="paragraph" w:customStyle="1" w:styleId="prava-copyright1">
    <w:name w:val="prava-copyright1"/>
    <w:basedOn w:val="Normln"/>
    <w:rsid w:val="00945E23"/>
    <w:pPr>
      <w:tabs>
        <w:tab w:val="left" w:pos="567"/>
      </w:tabs>
      <w:spacing w:before="240"/>
      <w:ind w:firstLine="0"/>
    </w:pPr>
    <w:rPr>
      <w:szCs w:val="20"/>
    </w:rPr>
  </w:style>
  <w:style w:type="paragraph" w:customStyle="1" w:styleId="prava-copyright2">
    <w:name w:val="prava-copyright2"/>
    <w:basedOn w:val="Normln"/>
    <w:rsid w:val="00945E23"/>
    <w:pPr>
      <w:spacing w:before="120" w:line="240" w:lineRule="auto"/>
      <w:ind w:left="567" w:firstLine="0"/>
    </w:pPr>
    <w:rPr>
      <w:szCs w:val="20"/>
    </w:rPr>
  </w:style>
  <w:style w:type="paragraph" w:customStyle="1" w:styleId="prava-ISBN">
    <w:name w:val="prava-ISBN"/>
    <w:basedOn w:val="Normln"/>
    <w:rsid w:val="00945E23"/>
    <w:pPr>
      <w:spacing w:before="120"/>
      <w:ind w:left="567" w:firstLine="0"/>
    </w:pPr>
    <w:rPr>
      <w:szCs w:val="20"/>
    </w:rPr>
  </w:style>
  <w:style w:type="paragraph" w:customStyle="1" w:styleId="prava-odpovida">
    <w:name w:val="prava-odpovida"/>
    <w:basedOn w:val="Normln"/>
    <w:rsid w:val="00945E23"/>
    <w:pPr>
      <w:spacing w:before="0"/>
      <w:ind w:firstLine="0"/>
    </w:pPr>
    <w:rPr>
      <w:szCs w:val="20"/>
    </w:rPr>
  </w:style>
  <w:style w:type="paragraph" w:customStyle="1" w:styleId="prava-oponent">
    <w:name w:val="prava-oponent"/>
    <w:basedOn w:val="Normln"/>
    <w:rsid w:val="00945E23"/>
    <w:pPr>
      <w:tabs>
        <w:tab w:val="left" w:pos="1276"/>
      </w:tabs>
      <w:ind w:firstLine="0"/>
    </w:pPr>
    <w:rPr>
      <w:szCs w:val="20"/>
    </w:rPr>
  </w:style>
  <w:style w:type="paragraph" w:customStyle="1" w:styleId="prava-schvaleni">
    <w:name w:val="prava-schvaleni"/>
    <w:basedOn w:val="Normln"/>
    <w:rsid w:val="00945E23"/>
    <w:pPr>
      <w:spacing w:before="600" w:after="240" w:line="480" w:lineRule="auto"/>
      <w:ind w:firstLine="0"/>
    </w:pPr>
    <w:rPr>
      <w:szCs w:val="20"/>
    </w:rPr>
  </w:style>
  <w:style w:type="paragraph" w:customStyle="1" w:styleId="prava-technik">
    <w:name w:val="prava-technik"/>
    <w:basedOn w:val="Normln"/>
    <w:rsid w:val="00945E23"/>
    <w:pPr>
      <w:spacing w:before="120" w:line="240" w:lineRule="auto"/>
      <w:ind w:left="567" w:firstLine="0"/>
    </w:pPr>
    <w:rPr>
      <w:szCs w:val="20"/>
    </w:rPr>
  </w:style>
  <w:style w:type="paragraph" w:customStyle="1" w:styleId="prava-techspol">
    <w:name w:val="prava-techspol"/>
    <w:basedOn w:val="Normln"/>
    <w:rsid w:val="00945E23"/>
    <w:pPr>
      <w:spacing w:before="120"/>
      <w:ind w:firstLine="0"/>
    </w:pPr>
    <w:rPr>
      <w:szCs w:val="20"/>
    </w:rPr>
  </w:style>
  <w:style w:type="paragraph" w:customStyle="1" w:styleId="Pklad">
    <w:name w:val="Příklad"/>
    <w:basedOn w:val="Normln"/>
    <w:next w:val="Normln"/>
    <w:rsid w:val="00945E23"/>
    <w:pPr>
      <w:keepNext/>
      <w:spacing w:before="240"/>
      <w:ind w:firstLine="0"/>
    </w:pPr>
    <w:rPr>
      <w:rFonts w:ascii="Arial" w:hAnsi="Arial"/>
      <w:b/>
      <w:szCs w:val="20"/>
    </w:rPr>
  </w:style>
  <w:style w:type="paragraph" w:customStyle="1" w:styleId="titul-autor">
    <w:name w:val="titul-autor"/>
    <w:basedOn w:val="Normln"/>
    <w:next w:val="Normln"/>
    <w:rsid w:val="00945E23"/>
    <w:pPr>
      <w:spacing w:before="0" w:line="240" w:lineRule="auto"/>
      <w:ind w:firstLine="0"/>
      <w:jc w:val="center"/>
    </w:pPr>
    <w:rPr>
      <w:b/>
      <w:sz w:val="28"/>
      <w:szCs w:val="20"/>
    </w:rPr>
  </w:style>
  <w:style w:type="paragraph" w:customStyle="1" w:styleId="titul-nzev">
    <w:name w:val="titul-název"/>
    <w:basedOn w:val="Normln"/>
    <w:next w:val="titul-autor"/>
    <w:rsid w:val="00945E23"/>
    <w:pPr>
      <w:spacing w:before="0" w:line="240" w:lineRule="auto"/>
      <w:ind w:left="1134" w:right="1134" w:firstLine="0"/>
      <w:jc w:val="center"/>
    </w:pPr>
    <w:rPr>
      <w:rFonts w:ascii="Arial" w:hAnsi="Arial"/>
      <w:b/>
      <w:sz w:val="32"/>
      <w:szCs w:val="20"/>
    </w:rPr>
  </w:style>
  <w:style w:type="paragraph" w:customStyle="1" w:styleId="titul-rok">
    <w:name w:val="titul-rok"/>
    <w:basedOn w:val="Normln"/>
    <w:rsid w:val="00945E23"/>
    <w:pPr>
      <w:spacing w:line="240" w:lineRule="auto"/>
      <w:ind w:firstLine="0"/>
      <w:jc w:val="center"/>
    </w:pPr>
    <w:rPr>
      <w:b/>
      <w:szCs w:val="20"/>
    </w:rPr>
  </w:style>
  <w:style w:type="paragraph" w:customStyle="1" w:styleId="titul-typ">
    <w:name w:val="titul-typ"/>
    <w:basedOn w:val="titul-autor"/>
    <w:next w:val="titul-autor"/>
    <w:rsid w:val="00945E23"/>
    <w:pPr>
      <w:spacing w:before="120"/>
      <w:ind w:left="1134" w:right="1134"/>
    </w:pPr>
  </w:style>
  <w:style w:type="paragraph" w:customStyle="1" w:styleId="titul-vuze">
    <w:name w:val="titul-vuze"/>
    <w:basedOn w:val="Normln"/>
    <w:rsid w:val="00945E23"/>
    <w:pPr>
      <w:ind w:firstLine="0"/>
      <w:jc w:val="center"/>
    </w:pPr>
    <w:rPr>
      <w:b/>
      <w:sz w:val="28"/>
      <w:szCs w:val="20"/>
    </w:rPr>
  </w:style>
  <w:style w:type="paragraph" w:customStyle="1" w:styleId="vod">
    <w:name w:val="Úvod"/>
    <w:basedOn w:val="Normln"/>
    <w:rsid w:val="00945E23"/>
    <w:rPr>
      <w:i/>
      <w:szCs w:val="20"/>
    </w:rPr>
  </w:style>
  <w:style w:type="paragraph" w:customStyle="1" w:styleId="V-center">
    <w:name w:val="V-center"/>
    <w:basedOn w:val="Normln"/>
    <w:next w:val="Normln"/>
    <w:rsid w:val="00945E23"/>
    <w:pPr>
      <w:spacing w:before="0" w:line="240" w:lineRule="auto"/>
      <w:ind w:firstLine="0"/>
      <w:jc w:val="center"/>
    </w:pPr>
    <w:rPr>
      <w:b/>
      <w:caps/>
      <w:sz w:val="40"/>
      <w:szCs w:val="20"/>
    </w:rPr>
  </w:style>
  <w:style w:type="paragraph" w:styleId="Zkladntextodsazen">
    <w:name w:val="Body Text Indent"/>
    <w:aliases w:val="bti"/>
    <w:basedOn w:val="Normln"/>
    <w:link w:val="ZkladntextodsazenChar"/>
    <w:rsid w:val="00945E23"/>
    <w:rPr>
      <w:szCs w:val="20"/>
    </w:rPr>
  </w:style>
  <w:style w:type="character" w:customStyle="1" w:styleId="ZkladntextodsazenChar">
    <w:name w:val="Základní text odsazený Char"/>
    <w:aliases w:val="bti Char"/>
    <w:basedOn w:val="Standardnpsmoodstavce"/>
    <w:link w:val="Zkladntextodsazen"/>
    <w:uiPriority w:val="99"/>
    <w:rsid w:val="00945E23"/>
    <w:rPr>
      <w:rFonts w:ascii="Times New Roman" w:hAnsi="Times New Roman" w:cs="Calibri"/>
      <w:sz w:val="24"/>
      <w:lang w:eastAsia="ar-SA"/>
    </w:rPr>
  </w:style>
  <w:style w:type="paragraph" w:customStyle="1" w:styleId="Prosttext1">
    <w:name w:val="Prostý text1"/>
    <w:basedOn w:val="Normln"/>
    <w:rsid w:val="00945E23"/>
    <w:pPr>
      <w:spacing w:before="0" w:line="240" w:lineRule="auto"/>
      <w:ind w:firstLine="0"/>
      <w:jc w:val="left"/>
    </w:pPr>
    <w:rPr>
      <w:rFonts w:ascii="Courier New" w:hAnsi="Courier New"/>
      <w:sz w:val="20"/>
      <w:szCs w:val="20"/>
    </w:rPr>
  </w:style>
  <w:style w:type="paragraph" w:customStyle="1" w:styleId="Faita">
    <w:name w:val="Fait a"/>
    <w:basedOn w:val="Normln"/>
    <w:next w:val="Normln"/>
    <w:rsid w:val="00945E23"/>
    <w:pPr>
      <w:widowControl w:val="0"/>
      <w:spacing w:before="120" w:line="240" w:lineRule="auto"/>
      <w:ind w:firstLine="0"/>
    </w:pPr>
    <w:rPr>
      <w:szCs w:val="20"/>
    </w:rPr>
  </w:style>
  <w:style w:type="paragraph" w:customStyle="1" w:styleId="odrka">
    <w:name w:val="odrážka"/>
    <w:basedOn w:val="Normln"/>
    <w:rsid w:val="00945E23"/>
    <w:pPr>
      <w:numPr>
        <w:numId w:val="12"/>
      </w:numPr>
      <w:spacing w:before="0" w:line="240" w:lineRule="atLeast"/>
      <w:jc w:val="left"/>
    </w:pPr>
    <w:rPr>
      <w:sz w:val="20"/>
      <w:szCs w:val="20"/>
    </w:rPr>
  </w:style>
  <w:style w:type="paragraph" w:customStyle="1" w:styleId="Norm-ital0">
    <w:name w:val="Norm-ital"/>
    <w:basedOn w:val="Norm-Bold"/>
    <w:rsid w:val="00945E23"/>
    <w:pPr>
      <w:widowControl w:val="0"/>
      <w:textAlignment w:val="baseline"/>
    </w:pPr>
    <w:rPr>
      <w:b w:val="0"/>
      <w:bCs/>
      <w:i/>
      <w:iCs/>
      <w:szCs w:val="20"/>
    </w:rPr>
  </w:style>
  <w:style w:type="paragraph" w:customStyle="1" w:styleId="Seznamsodrkami1">
    <w:name w:val="Seznam s odrážkami1"/>
    <w:basedOn w:val="Normln"/>
    <w:rsid w:val="00945E23"/>
    <w:pPr>
      <w:numPr>
        <w:numId w:val="11"/>
      </w:numPr>
      <w:spacing w:before="0" w:line="240" w:lineRule="auto"/>
      <w:jc w:val="left"/>
    </w:pPr>
    <w:rPr>
      <w:szCs w:val="24"/>
    </w:rPr>
  </w:style>
  <w:style w:type="paragraph" w:styleId="FormtovanvHTML">
    <w:name w:val="HTML Preformatted"/>
    <w:basedOn w:val="Normln"/>
    <w:link w:val="FormtovanvHTMLChar"/>
    <w:rsid w:val="00945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szCs w:val="20"/>
    </w:rPr>
  </w:style>
  <w:style w:type="character" w:customStyle="1" w:styleId="FormtovanvHTMLChar">
    <w:name w:val="Formátovaný v HTML Char"/>
    <w:basedOn w:val="Standardnpsmoodstavce"/>
    <w:link w:val="FormtovanvHTML"/>
    <w:rsid w:val="00945E23"/>
    <w:rPr>
      <w:rFonts w:ascii="Courier New" w:hAnsi="Courier New" w:cs="Courier New"/>
      <w:lang w:eastAsia="ar-SA"/>
    </w:rPr>
  </w:style>
  <w:style w:type="paragraph" w:customStyle="1" w:styleId="Nadpis-Zprva">
    <w:name w:val="Nadpis-Zpráva"/>
    <w:basedOn w:val="Nadpis1"/>
    <w:next w:val="Nadpis-ZZ"/>
    <w:rsid w:val="00945E23"/>
    <w:pPr>
      <w:keepNext w:val="0"/>
      <w:widowControl w:val="0"/>
      <w:spacing w:before="6000" w:line="300" w:lineRule="atLeast"/>
      <w:ind w:left="0" w:firstLine="0"/>
      <w:jc w:val="center"/>
      <w:textAlignment w:val="baseline"/>
      <w:outlineLvl w:val="9"/>
    </w:pPr>
    <w:rPr>
      <w:rFonts w:cs="Arial"/>
      <w:bCs/>
      <w:kern w:val="1"/>
      <w:sz w:val="50"/>
      <w:szCs w:val="50"/>
    </w:rPr>
  </w:style>
  <w:style w:type="paragraph" w:customStyle="1" w:styleId="Nadpis-ZZ">
    <w:name w:val="Nadpis-ZZ"/>
    <w:basedOn w:val="Nadpis-Zprva"/>
    <w:next w:val="Normln"/>
    <w:rsid w:val="00945E23"/>
    <w:pPr>
      <w:spacing w:before="600"/>
    </w:pPr>
    <w:rPr>
      <w:rFonts w:cs="Times New Roman"/>
    </w:rPr>
  </w:style>
  <w:style w:type="paragraph" w:customStyle="1" w:styleId="Nadpis1-bezodsazen">
    <w:name w:val="Nadpis 1-bez odsazení"/>
    <w:basedOn w:val="Nadpis1"/>
    <w:next w:val="Normln"/>
    <w:rsid w:val="00945E23"/>
    <w:pPr>
      <w:pageBreakBefore/>
      <w:spacing w:before="0"/>
      <w:ind w:left="0" w:firstLine="0"/>
    </w:pPr>
    <w:rPr>
      <w:kern w:val="1"/>
    </w:rPr>
  </w:style>
  <w:style w:type="paragraph" w:customStyle="1" w:styleId="daje">
    <w:name w:val="údaje"/>
    <w:basedOn w:val="Normlnvlevo"/>
    <w:qFormat/>
    <w:rsid w:val="00945E23"/>
    <w:pPr>
      <w:tabs>
        <w:tab w:val="left" w:pos="1134"/>
      </w:tabs>
    </w:pPr>
  </w:style>
  <w:style w:type="paragraph" w:customStyle="1" w:styleId="Odstavecseseznamem1">
    <w:name w:val="Odstavec se seznamem1"/>
    <w:basedOn w:val="Normln"/>
    <w:rsid w:val="00945E23"/>
    <w:pPr>
      <w:spacing w:before="0" w:after="200" w:line="276" w:lineRule="auto"/>
      <w:ind w:left="720" w:firstLine="0"/>
      <w:jc w:val="left"/>
    </w:pPr>
    <w:rPr>
      <w:rFonts w:ascii="Calibri" w:hAnsi="Calibri"/>
      <w:sz w:val="22"/>
      <w:szCs w:val="22"/>
    </w:rPr>
  </w:style>
  <w:style w:type="paragraph" w:customStyle="1" w:styleId="textpoznp-vet">
    <w:name w:val="text pozn pč - výčet"/>
    <w:basedOn w:val="Textpoznpodarou"/>
    <w:qFormat/>
    <w:rsid w:val="00945E23"/>
    <w:pPr>
      <w:widowControl w:val="0"/>
      <w:numPr>
        <w:numId w:val="15"/>
      </w:numPr>
      <w:tabs>
        <w:tab w:val="left" w:pos="360"/>
        <w:tab w:val="left" w:pos="567"/>
      </w:tabs>
      <w:ind w:left="568" w:hanging="284"/>
      <w:textAlignment w:val="baseline"/>
    </w:pPr>
  </w:style>
  <w:style w:type="paragraph" w:customStyle="1" w:styleId="Tabulka-zhlav">
    <w:name w:val="Tabulka-záhlaví"/>
    <w:basedOn w:val="Tabulka"/>
    <w:rsid w:val="00945E23"/>
    <w:pPr>
      <w:spacing w:before="0" w:line="240" w:lineRule="auto"/>
      <w:jc w:val="center"/>
    </w:pPr>
    <w:rPr>
      <w:rFonts w:cs="Arial"/>
      <w:b/>
      <w:bCs/>
      <w:szCs w:val="24"/>
    </w:rPr>
  </w:style>
  <w:style w:type="paragraph" w:customStyle="1" w:styleId="styl">
    <w:name w:val="styl"/>
    <w:basedOn w:val="Nadpis2"/>
    <w:rsid w:val="00945E23"/>
    <w:pPr>
      <w:numPr>
        <w:ilvl w:val="1"/>
      </w:numPr>
      <w:tabs>
        <w:tab w:val="clear" w:pos="567"/>
      </w:tabs>
      <w:spacing w:before="0" w:after="0"/>
      <w:ind w:left="567" w:firstLine="567"/>
      <w:outlineLvl w:val="9"/>
    </w:pPr>
    <w:rPr>
      <w:b w:val="0"/>
      <w:bCs/>
    </w:rPr>
  </w:style>
  <w:style w:type="paragraph" w:customStyle="1" w:styleId="tab-vet1">
    <w:name w:val="tab-výčet1"/>
    <w:basedOn w:val="Tabulka"/>
    <w:rsid w:val="00945E23"/>
    <w:pPr>
      <w:tabs>
        <w:tab w:val="left" w:pos="255"/>
      </w:tabs>
      <w:spacing w:before="0" w:line="240" w:lineRule="auto"/>
      <w:ind w:left="255" w:hanging="255"/>
    </w:pPr>
    <w:rPr>
      <w:sz w:val="20"/>
      <w:szCs w:val="20"/>
    </w:rPr>
  </w:style>
  <w:style w:type="paragraph" w:customStyle="1" w:styleId="slovn">
    <w:name w:val="Číslování"/>
    <w:basedOn w:val="vet1"/>
    <w:rsid w:val="00945E23"/>
    <w:pPr>
      <w:numPr>
        <w:numId w:val="16"/>
      </w:numPr>
      <w:tabs>
        <w:tab w:val="left" w:pos="927"/>
      </w:tabs>
      <w:spacing w:before="120" w:line="240" w:lineRule="atLeast"/>
      <w:ind w:left="851" w:hanging="284"/>
    </w:pPr>
    <w:rPr>
      <w:rFonts w:eastAsia="Calibri"/>
      <w:szCs w:val="20"/>
      <w:lang w:eastAsia="en-US"/>
    </w:rPr>
  </w:style>
  <w:style w:type="paragraph" w:customStyle="1" w:styleId="Zkladntext21">
    <w:name w:val="Základní text 21"/>
    <w:basedOn w:val="Normln"/>
    <w:rsid w:val="00945E23"/>
    <w:pPr>
      <w:spacing w:before="120" w:line="240" w:lineRule="auto"/>
      <w:ind w:firstLine="0"/>
    </w:pPr>
    <w:rPr>
      <w:szCs w:val="20"/>
    </w:rPr>
  </w:style>
  <w:style w:type="paragraph" w:customStyle="1" w:styleId="souhrn-kap">
    <w:name w:val="souhrn-kap"/>
    <w:basedOn w:val="Normln"/>
    <w:qFormat/>
    <w:rsid w:val="00620F0B"/>
    <w:pPr>
      <w:numPr>
        <w:numId w:val="10"/>
      </w:numPr>
      <w:tabs>
        <w:tab w:val="clear" w:pos="432"/>
      </w:tabs>
      <w:spacing w:before="120" w:line="240" w:lineRule="atLeast"/>
      <w:ind w:left="0" w:firstLine="0"/>
    </w:pPr>
    <w:rPr>
      <w:rFonts w:ascii="Arial" w:hAnsi="Arial" w:cs="Arial"/>
      <w:i/>
      <w:sz w:val="22"/>
      <w:szCs w:val="22"/>
    </w:rPr>
  </w:style>
  <w:style w:type="paragraph" w:customStyle="1" w:styleId="vetA">
    <w:name w:val="výčet A."/>
    <w:basedOn w:val="Normln"/>
    <w:rsid w:val="00945E23"/>
    <w:pPr>
      <w:spacing w:line="360" w:lineRule="exact"/>
      <w:ind w:firstLine="0"/>
    </w:pPr>
  </w:style>
  <w:style w:type="paragraph" w:customStyle="1" w:styleId="veta0">
    <w:name w:val="výčet a."/>
    <w:basedOn w:val="veta2stpsmeno"/>
    <w:rsid w:val="00945E23"/>
    <w:pPr>
      <w:numPr>
        <w:numId w:val="0"/>
      </w:numPr>
    </w:pPr>
  </w:style>
  <w:style w:type="paragraph" w:customStyle="1" w:styleId="Default">
    <w:name w:val="Default"/>
    <w:rsid w:val="00945E23"/>
    <w:pPr>
      <w:suppressAutoHyphens/>
      <w:autoSpaceDE w:val="0"/>
    </w:pPr>
    <w:rPr>
      <w:rFonts w:ascii="Verdana" w:eastAsia="Arial" w:hAnsi="Verdana" w:cs="Verdana"/>
      <w:color w:val="000000"/>
      <w:sz w:val="24"/>
      <w:szCs w:val="24"/>
      <w:lang w:eastAsia="ar-SA"/>
    </w:rPr>
  </w:style>
  <w:style w:type="paragraph" w:customStyle="1" w:styleId="font5">
    <w:name w:val="font5"/>
    <w:basedOn w:val="Normln"/>
    <w:rsid w:val="00945E23"/>
    <w:pPr>
      <w:spacing w:before="280" w:after="280" w:line="240" w:lineRule="auto"/>
      <w:ind w:firstLine="0"/>
      <w:jc w:val="left"/>
    </w:pPr>
    <w:rPr>
      <w:rFonts w:ascii="Arial" w:eastAsia="Arial Unicode MS" w:hAnsi="Arial" w:cs="Arial"/>
      <w:i/>
      <w:iCs/>
      <w:sz w:val="16"/>
      <w:szCs w:val="16"/>
    </w:rPr>
  </w:style>
  <w:style w:type="paragraph" w:customStyle="1" w:styleId="font6">
    <w:name w:val="font6"/>
    <w:basedOn w:val="Normln"/>
    <w:rsid w:val="00945E23"/>
    <w:pPr>
      <w:spacing w:before="280" w:after="280" w:line="240" w:lineRule="auto"/>
      <w:ind w:firstLine="0"/>
      <w:jc w:val="left"/>
    </w:pPr>
    <w:rPr>
      <w:rFonts w:ascii="Arial" w:eastAsia="Arial Unicode MS" w:hAnsi="Arial" w:cs="Arial"/>
      <w:i/>
      <w:iCs/>
      <w:sz w:val="16"/>
      <w:szCs w:val="16"/>
    </w:rPr>
  </w:style>
  <w:style w:type="paragraph" w:styleId="Nadpisobsahu">
    <w:name w:val="TOC Heading"/>
    <w:basedOn w:val="Nadpis1"/>
    <w:next w:val="Normln"/>
    <w:qFormat/>
    <w:rsid w:val="00945E23"/>
    <w:pPr>
      <w:keepLines/>
      <w:spacing w:line="276" w:lineRule="auto"/>
      <w:ind w:left="0" w:firstLine="0"/>
      <w:outlineLvl w:val="9"/>
    </w:pPr>
    <w:rPr>
      <w:rFonts w:ascii="Cambria" w:hAnsi="Cambria"/>
      <w:bCs/>
      <w:caps w:val="0"/>
      <w:color w:val="365F91"/>
      <w:kern w:val="1"/>
      <w:szCs w:val="28"/>
    </w:rPr>
  </w:style>
  <w:style w:type="paragraph" w:customStyle="1" w:styleId="schmaFADN-8">
    <w:name w:val="schéma FADN-8"/>
    <w:basedOn w:val="Normln"/>
    <w:link w:val="schmaFADN-8Char"/>
    <w:rsid w:val="00945E23"/>
    <w:pPr>
      <w:keepLines/>
      <w:spacing w:before="120" w:line="240" w:lineRule="auto"/>
      <w:ind w:firstLine="0"/>
      <w:jc w:val="center"/>
    </w:pPr>
    <w:rPr>
      <w:sz w:val="16"/>
      <w:szCs w:val="20"/>
      <w:lang w:val="en-GB"/>
    </w:rPr>
  </w:style>
  <w:style w:type="character" w:customStyle="1" w:styleId="schmaFADN-8Char">
    <w:name w:val="schéma FADN-8 Char"/>
    <w:link w:val="schmaFADN-8"/>
    <w:rsid w:val="00945E23"/>
    <w:rPr>
      <w:rFonts w:ascii="Times New Roman" w:hAnsi="Times New Roman" w:cs="Calibri"/>
      <w:sz w:val="16"/>
      <w:lang w:val="en-GB" w:eastAsia="ar-SA"/>
    </w:rPr>
  </w:style>
  <w:style w:type="paragraph" w:customStyle="1" w:styleId="schmaFADN">
    <w:name w:val="schéma FADN"/>
    <w:basedOn w:val="Normln"/>
    <w:link w:val="schmaFADNChar"/>
    <w:rsid w:val="00945E23"/>
    <w:pPr>
      <w:keepLines/>
      <w:spacing w:before="120" w:line="240" w:lineRule="auto"/>
      <w:ind w:firstLine="0"/>
      <w:jc w:val="center"/>
    </w:pPr>
    <w:rPr>
      <w:sz w:val="20"/>
      <w:szCs w:val="20"/>
      <w:lang w:val="x-none"/>
    </w:rPr>
  </w:style>
  <w:style w:type="character" w:customStyle="1" w:styleId="schmaFADNChar">
    <w:name w:val="schéma FADN Char"/>
    <w:link w:val="schmaFADN"/>
    <w:rsid w:val="00945E23"/>
    <w:rPr>
      <w:rFonts w:ascii="Times New Roman" w:hAnsi="Times New Roman" w:cs="Calibri"/>
      <w:lang w:val="x-none" w:eastAsia="ar-SA"/>
    </w:rPr>
  </w:style>
  <w:style w:type="paragraph" w:customStyle="1" w:styleId="schmaFADN-Bold">
    <w:name w:val="schéma FADN-Bold"/>
    <w:basedOn w:val="schmaFADN"/>
    <w:link w:val="schmaFADN-BoldChar"/>
    <w:rsid w:val="00945E23"/>
    <w:rPr>
      <w:b/>
    </w:rPr>
  </w:style>
  <w:style w:type="character" w:customStyle="1" w:styleId="schmaFADN-BoldChar">
    <w:name w:val="schéma FADN-Bold Char"/>
    <w:link w:val="schmaFADN-Bold"/>
    <w:rsid w:val="00945E23"/>
    <w:rPr>
      <w:rFonts w:ascii="Times New Roman" w:hAnsi="Times New Roman" w:cs="Calibri"/>
      <w:b/>
      <w:lang w:val="x-none" w:eastAsia="ar-SA"/>
    </w:rPr>
  </w:style>
  <w:style w:type="paragraph" w:customStyle="1" w:styleId="Obsah10">
    <w:name w:val="Obsah 10"/>
    <w:basedOn w:val="Rejstk"/>
    <w:rsid w:val="00945E23"/>
    <w:pPr>
      <w:tabs>
        <w:tab w:val="right" w:leader="dot" w:pos="7091"/>
      </w:tabs>
      <w:ind w:left="2547" w:firstLine="0"/>
    </w:pPr>
  </w:style>
  <w:style w:type="paragraph" w:customStyle="1" w:styleId="Obsahtabulky">
    <w:name w:val="Obsah tabulky"/>
    <w:basedOn w:val="Normln"/>
    <w:rsid w:val="00945E23"/>
    <w:pPr>
      <w:suppressLineNumbers/>
    </w:pPr>
  </w:style>
  <w:style w:type="paragraph" w:customStyle="1" w:styleId="Nadpistabulky">
    <w:name w:val="Nadpis tabulky"/>
    <w:basedOn w:val="Obsahtabulky"/>
    <w:rsid w:val="00945E23"/>
    <w:pPr>
      <w:jc w:val="center"/>
    </w:pPr>
    <w:rPr>
      <w:b/>
      <w:bCs/>
    </w:rPr>
  </w:style>
  <w:style w:type="paragraph" w:customStyle="1" w:styleId="Obsahrmce">
    <w:name w:val="Obsah rámce"/>
    <w:basedOn w:val="Zkladntext"/>
    <w:rsid w:val="00945E23"/>
  </w:style>
  <w:style w:type="paragraph" w:styleId="Revize">
    <w:name w:val="Revision"/>
    <w:hidden/>
    <w:uiPriority w:val="99"/>
    <w:semiHidden/>
    <w:rsid w:val="00945E23"/>
    <w:rPr>
      <w:rFonts w:ascii="Times New Roman" w:hAnsi="Times New Roman" w:cs="Calibri"/>
      <w:sz w:val="24"/>
      <w:szCs w:val="23"/>
      <w:lang w:eastAsia="ar-SA"/>
    </w:rPr>
  </w:style>
  <w:style w:type="paragraph" w:styleId="Rozloendokumentu">
    <w:name w:val="Document Map"/>
    <w:basedOn w:val="Normln"/>
    <w:link w:val="RozloendokumentuChar"/>
    <w:rsid w:val="00945E23"/>
    <w:pPr>
      <w:shd w:val="clear" w:color="auto" w:fill="000080"/>
    </w:pPr>
    <w:rPr>
      <w:rFonts w:ascii="Tahoma" w:hAnsi="Tahoma"/>
    </w:rPr>
  </w:style>
  <w:style w:type="character" w:customStyle="1" w:styleId="RozloendokumentuChar">
    <w:name w:val="Rozložení dokumentu Char"/>
    <w:basedOn w:val="Standardnpsmoodstavce"/>
    <w:link w:val="Rozloendokumentu"/>
    <w:rsid w:val="00945E23"/>
    <w:rPr>
      <w:rFonts w:ascii="Tahoma" w:hAnsi="Tahoma" w:cs="Calibri"/>
      <w:sz w:val="24"/>
      <w:szCs w:val="23"/>
      <w:shd w:val="clear" w:color="auto" w:fill="000080"/>
      <w:lang w:eastAsia="ar-SA"/>
    </w:rPr>
  </w:style>
  <w:style w:type="paragraph" w:styleId="Bezmezer">
    <w:name w:val="No Spacing"/>
    <w:qFormat/>
    <w:rsid w:val="00945E23"/>
    <w:pPr>
      <w:spacing w:beforeAutospacing="1" w:afterAutospacing="1"/>
      <w:ind w:left="709" w:hanging="425"/>
    </w:pPr>
    <w:rPr>
      <w:rFonts w:eastAsia="Calibri"/>
      <w:sz w:val="22"/>
      <w:szCs w:val="22"/>
      <w:lang w:eastAsia="en-US"/>
    </w:rPr>
  </w:style>
  <w:style w:type="paragraph" w:customStyle="1" w:styleId="vet1velkpsm">
    <w:name w:val="výčet 1 (velké písm.)"/>
    <w:basedOn w:val="Normlnvlevo"/>
    <w:qFormat/>
    <w:rsid w:val="00945E23"/>
    <w:pPr>
      <w:numPr>
        <w:numId w:val="18"/>
      </w:numPr>
      <w:tabs>
        <w:tab w:val="left" w:pos="567"/>
      </w:tabs>
      <w:ind w:left="567" w:hanging="567"/>
    </w:pPr>
  </w:style>
  <w:style w:type="paragraph" w:customStyle="1" w:styleId="Nadpis1-ploha">
    <w:name w:val="Nadpis 1-příloha"/>
    <w:basedOn w:val="Nadpis1"/>
    <w:qFormat/>
    <w:rsid w:val="00947B86"/>
    <w:pPr>
      <w:pageBreakBefore/>
      <w:tabs>
        <w:tab w:val="left" w:pos="567"/>
      </w:tabs>
    </w:pPr>
    <w:rPr>
      <w:kern w:val="1"/>
    </w:rPr>
  </w:style>
  <w:style w:type="paragraph" w:customStyle="1" w:styleId="N1">
    <w:name w:val="NÚ 1"/>
    <w:basedOn w:val="Zkladntextodsazen"/>
    <w:next w:val="Normln"/>
    <w:qFormat/>
    <w:rsid w:val="00945E23"/>
    <w:pPr>
      <w:keepNext/>
      <w:tabs>
        <w:tab w:val="left" w:pos="851"/>
      </w:tabs>
      <w:suppressAutoHyphens w:val="0"/>
      <w:spacing w:before="0" w:line="360" w:lineRule="auto"/>
      <w:ind w:firstLine="0"/>
    </w:pPr>
    <w:rPr>
      <w:rFonts w:cs="Times New Roman"/>
      <w:bCs/>
      <w:lang w:eastAsia="cs-CZ"/>
    </w:rPr>
  </w:style>
  <w:style w:type="paragraph" w:styleId="Normlnodsazen">
    <w:name w:val="Normal Indent"/>
    <w:basedOn w:val="Normln"/>
    <w:link w:val="NormlnodsazenChar"/>
    <w:rsid w:val="00945E23"/>
    <w:pPr>
      <w:suppressAutoHyphens w:val="0"/>
      <w:spacing w:before="0" w:after="120"/>
      <w:ind w:firstLine="0"/>
    </w:pPr>
    <w:rPr>
      <w:rFonts w:cs="Times New Roman"/>
      <w:szCs w:val="20"/>
      <w:lang w:val="en-GB" w:eastAsia="cs-CZ"/>
    </w:rPr>
  </w:style>
  <w:style w:type="character" w:customStyle="1" w:styleId="NormlnodsazenChar">
    <w:name w:val="Normální odsazený Char"/>
    <w:link w:val="Normlnodsazen"/>
    <w:rsid w:val="00945E23"/>
    <w:rPr>
      <w:rFonts w:ascii="Times New Roman" w:hAnsi="Times New Roman"/>
      <w:sz w:val="24"/>
      <w:lang w:val="en-GB"/>
    </w:rPr>
  </w:style>
  <w:style w:type="paragraph" w:styleId="Prosttext">
    <w:name w:val="Plain Text"/>
    <w:basedOn w:val="Normln"/>
    <w:link w:val="ProsttextChar"/>
    <w:rsid w:val="00945E23"/>
    <w:pPr>
      <w:suppressAutoHyphens w:val="0"/>
      <w:spacing w:before="0" w:line="240" w:lineRule="auto"/>
      <w:ind w:firstLine="0"/>
      <w:jc w:val="left"/>
    </w:pPr>
    <w:rPr>
      <w:rFonts w:ascii="Courier New" w:hAnsi="Courier New" w:cs="Times New Roman"/>
      <w:sz w:val="20"/>
      <w:szCs w:val="20"/>
      <w:lang w:eastAsia="cs-CZ"/>
    </w:rPr>
  </w:style>
  <w:style w:type="character" w:customStyle="1" w:styleId="ProsttextChar">
    <w:name w:val="Prostý text Char"/>
    <w:basedOn w:val="Standardnpsmoodstavce"/>
    <w:link w:val="Prosttext"/>
    <w:rsid w:val="00945E23"/>
    <w:rPr>
      <w:rFonts w:ascii="Courier New" w:hAnsi="Courier New"/>
    </w:rPr>
  </w:style>
  <w:style w:type="paragraph" w:styleId="Zkladntextodsazen2">
    <w:name w:val="Body Text Indent 2"/>
    <w:basedOn w:val="Normln"/>
    <w:link w:val="Zkladntextodsazen2Char"/>
    <w:rsid w:val="00945E23"/>
    <w:pPr>
      <w:suppressAutoHyphens w:val="0"/>
    </w:pPr>
    <w:rPr>
      <w:rFonts w:cs="Times New Roman"/>
      <w:b/>
      <w:i/>
      <w:szCs w:val="20"/>
      <w:lang w:eastAsia="cs-CZ"/>
    </w:rPr>
  </w:style>
  <w:style w:type="character" w:customStyle="1" w:styleId="Zkladntextodsazen2Char">
    <w:name w:val="Základní text odsazený 2 Char"/>
    <w:basedOn w:val="Standardnpsmoodstavce"/>
    <w:link w:val="Zkladntextodsazen2"/>
    <w:rsid w:val="00945E23"/>
    <w:rPr>
      <w:rFonts w:ascii="Times New Roman" w:hAnsi="Times New Roman"/>
      <w:b/>
      <w:i/>
      <w:sz w:val="24"/>
    </w:rPr>
  </w:style>
  <w:style w:type="paragraph" w:styleId="Seznamsodrkami">
    <w:name w:val="List Bullet"/>
    <w:basedOn w:val="Normln"/>
    <w:rsid w:val="00945E23"/>
    <w:pPr>
      <w:numPr>
        <w:numId w:val="19"/>
      </w:numPr>
      <w:suppressAutoHyphens w:val="0"/>
      <w:spacing w:before="0" w:line="240" w:lineRule="auto"/>
      <w:jc w:val="left"/>
    </w:pPr>
    <w:rPr>
      <w:rFonts w:cs="Times New Roman"/>
      <w:szCs w:val="24"/>
      <w:lang w:eastAsia="cs-CZ"/>
    </w:rPr>
  </w:style>
  <w:style w:type="paragraph" w:styleId="Zkladntext2">
    <w:name w:val="Body Text 2"/>
    <w:basedOn w:val="Normln"/>
    <w:link w:val="Zkladntext2Char"/>
    <w:rsid w:val="00945E23"/>
    <w:pPr>
      <w:suppressAutoHyphens w:val="0"/>
      <w:spacing w:before="120" w:line="240" w:lineRule="auto"/>
      <w:ind w:firstLine="0"/>
    </w:pPr>
    <w:rPr>
      <w:rFonts w:cs="Times New Roman"/>
      <w:snapToGrid w:val="0"/>
      <w:szCs w:val="20"/>
      <w:lang w:eastAsia="cs-CZ"/>
    </w:rPr>
  </w:style>
  <w:style w:type="character" w:customStyle="1" w:styleId="Zkladntext2Char">
    <w:name w:val="Základní text 2 Char"/>
    <w:basedOn w:val="Standardnpsmoodstavce"/>
    <w:link w:val="Zkladntext2"/>
    <w:rsid w:val="00945E23"/>
    <w:rPr>
      <w:rFonts w:ascii="Times New Roman" w:hAnsi="Times New Roman"/>
      <w:snapToGrid w:val="0"/>
      <w:sz w:val="24"/>
    </w:rPr>
  </w:style>
  <w:style w:type="paragraph" w:customStyle="1" w:styleId="Normlnvlevo-svzan">
    <w:name w:val="Normální vlevo-svázaný"/>
    <w:basedOn w:val="Normlnvlevo"/>
    <w:rsid w:val="00945E23"/>
    <w:pPr>
      <w:keepNext/>
    </w:pPr>
    <w:rPr>
      <w:iCs/>
      <w:szCs w:val="20"/>
    </w:rPr>
  </w:style>
  <w:style w:type="character" w:customStyle="1" w:styleId="st">
    <w:name w:val="st"/>
    <w:rsid w:val="00945E23"/>
  </w:style>
  <w:style w:type="table" w:styleId="Mkatabulky">
    <w:name w:val="Table Grid"/>
    <w:basedOn w:val="Normlntabulka"/>
    <w:rsid w:val="00945E2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na-vyhl">
    <w:name w:val="zák-nař-vyhl"/>
    <w:basedOn w:val="Normlnvlevo"/>
    <w:rsid w:val="00945E23"/>
    <w:pPr>
      <w:keepNext/>
    </w:pPr>
    <w:rPr>
      <w:iCs/>
      <w:szCs w:val="20"/>
    </w:rPr>
  </w:style>
  <w:style w:type="character" w:styleId="Siln">
    <w:name w:val="Strong"/>
    <w:qFormat/>
    <w:rsid w:val="00945E23"/>
    <w:rPr>
      <w:b/>
      <w:bCs/>
    </w:rPr>
  </w:style>
  <w:style w:type="paragraph" w:customStyle="1" w:styleId="Odstavecseseznamem2">
    <w:name w:val="Odstavec se seznamem2"/>
    <w:basedOn w:val="Normln"/>
    <w:rsid w:val="00945E23"/>
    <w:pPr>
      <w:suppressAutoHyphens w:val="0"/>
      <w:spacing w:before="0" w:after="200" w:line="276" w:lineRule="auto"/>
      <w:ind w:left="720" w:firstLine="0"/>
      <w:contextualSpacing/>
      <w:jc w:val="left"/>
    </w:pPr>
    <w:rPr>
      <w:rFonts w:ascii="Calibri" w:hAnsi="Calibri" w:cs="Times New Roman"/>
      <w:sz w:val="22"/>
      <w:szCs w:val="22"/>
      <w:lang w:eastAsia="en-US"/>
    </w:rPr>
  </w:style>
  <w:style w:type="paragraph" w:customStyle="1" w:styleId="xl22">
    <w:name w:val="xl22"/>
    <w:basedOn w:val="Normln"/>
    <w:rsid w:val="00945E23"/>
    <w:pPr>
      <w:suppressAutoHyphens w:val="0"/>
      <w:spacing w:before="100" w:beforeAutospacing="1" w:after="100" w:afterAutospacing="1" w:line="240" w:lineRule="auto"/>
      <w:ind w:firstLine="0"/>
      <w:jc w:val="left"/>
    </w:pPr>
    <w:rPr>
      <w:rFonts w:eastAsia="Arial Unicode MS" w:cs="Times New Roman"/>
      <w:b/>
      <w:bCs/>
      <w:sz w:val="22"/>
      <w:szCs w:val="22"/>
      <w:lang w:eastAsia="cs-CZ"/>
    </w:rPr>
  </w:style>
  <w:style w:type="paragraph" w:customStyle="1" w:styleId="xl23">
    <w:name w:val="xl23"/>
    <w:basedOn w:val="Normln"/>
    <w:rsid w:val="00945E23"/>
    <w:pPr>
      <w:pBdr>
        <w:top w:val="double" w:sz="6" w:space="0" w:color="auto"/>
        <w:left w:val="double" w:sz="6"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4">
    <w:name w:val="xl24"/>
    <w:basedOn w:val="Normln"/>
    <w:rsid w:val="00945E23"/>
    <w:pPr>
      <w:pBdr>
        <w:left w:val="double" w:sz="6" w:space="0" w:color="auto"/>
        <w:bottom w:val="single" w:sz="12"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5">
    <w:name w:val="xl25"/>
    <w:basedOn w:val="Normln"/>
    <w:rsid w:val="00945E23"/>
    <w:pPr>
      <w:pBdr>
        <w:left w:val="double" w:sz="6" w:space="0" w:color="auto"/>
        <w:bottom w:val="single" w:sz="4"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6">
    <w:name w:val="xl26"/>
    <w:basedOn w:val="Normln"/>
    <w:rsid w:val="00945E23"/>
    <w:pPr>
      <w:pBdr>
        <w:bottom w:val="single" w:sz="4"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color w:val="000000"/>
      <w:sz w:val="18"/>
      <w:szCs w:val="18"/>
      <w:lang w:eastAsia="cs-CZ"/>
    </w:rPr>
  </w:style>
  <w:style w:type="paragraph" w:customStyle="1" w:styleId="xl27">
    <w:name w:val="xl27"/>
    <w:basedOn w:val="Normln"/>
    <w:rsid w:val="00945E23"/>
    <w:pPr>
      <w:pBdr>
        <w:bottom w:val="single" w:sz="4"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8">
    <w:name w:val="xl28"/>
    <w:basedOn w:val="Normln"/>
    <w:rsid w:val="00945E23"/>
    <w:pPr>
      <w:pBdr>
        <w:left w:val="double" w:sz="6" w:space="0" w:color="auto"/>
        <w:bottom w:val="double" w:sz="6" w:space="0" w:color="auto"/>
        <w:right w:val="single" w:sz="12"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29">
    <w:name w:val="xl29"/>
    <w:basedOn w:val="Normln"/>
    <w:rsid w:val="00945E23"/>
    <w:pPr>
      <w:pBdr>
        <w:bottom w:val="double" w:sz="6"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color w:val="000000"/>
      <w:sz w:val="18"/>
      <w:szCs w:val="18"/>
      <w:lang w:eastAsia="cs-CZ"/>
    </w:rPr>
  </w:style>
  <w:style w:type="paragraph" w:customStyle="1" w:styleId="xl30">
    <w:name w:val="xl30"/>
    <w:basedOn w:val="Normln"/>
    <w:rsid w:val="00945E23"/>
    <w:pPr>
      <w:pBdr>
        <w:bottom w:val="double" w:sz="6"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1">
    <w:name w:val="xl31"/>
    <w:basedOn w:val="Normln"/>
    <w:rsid w:val="00945E23"/>
    <w:pPr>
      <w:suppressAutoHyphens w:val="0"/>
      <w:spacing w:before="100" w:beforeAutospacing="1" w:after="100" w:afterAutospacing="1" w:line="240" w:lineRule="auto"/>
      <w:ind w:firstLine="0"/>
      <w:jc w:val="right"/>
      <w:textAlignment w:val="top"/>
    </w:pPr>
    <w:rPr>
      <w:rFonts w:eastAsia="Arial Unicode MS" w:cs="Times New Roman"/>
      <w:szCs w:val="24"/>
      <w:lang w:eastAsia="cs-CZ"/>
    </w:rPr>
  </w:style>
  <w:style w:type="paragraph" w:customStyle="1" w:styleId="xl32">
    <w:name w:val="xl32"/>
    <w:basedOn w:val="Normln"/>
    <w:rsid w:val="00945E23"/>
    <w:pPr>
      <w:suppressAutoHyphens w:val="0"/>
      <w:spacing w:before="100" w:beforeAutospacing="1" w:after="100" w:afterAutospacing="1" w:line="240" w:lineRule="auto"/>
      <w:ind w:firstLine="0"/>
      <w:jc w:val="left"/>
    </w:pPr>
    <w:rPr>
      <w:rFonts w:eastAsia="Arial Unicode MS" w:cs="Times New Roman"/>
      <w:i/>
      <w:iCs/>
      <w:sz w:val="18"/>
      <w:szCs w:val="18"/>
      <w:lang w:eastAsia="cs-CZ"/>
    </w:rPr>
  </w:style>
  <w:style w:type="paragraph" w:customStyle="1" w:styleId="xl33">
    <w:name w:val="xl33"/>
    <w:basedOn w:val="Normln"/>
    <w:rsid w:val="00945E23"/>
    <w:pPr>
      <w:suppressAutoHyphens w:val="0"/>
      <w:spacing w:before="100" w:beforeAutospacing="1" w:after="100" w:afterAutospacing="1" w:line="240" w:lineRule="auto"/>
      <w:ind w:firstLine="0"/>
      <w:jc w:val="center"/>
      <w:textAlignment w:val="top"/>
    </w:pPr>
    <w:rPr>
      <w:rFonts w:eastAsia="Arial Unicode MS" w:cs="Times New Roman"/>
      <w:szCs w:val="24"/>
      <w:lang w:eastAsia="cs-CZ"/>
    </w:rPr>
  </w:style>
  <w:style w:type="paragraph" w:customStyle="1" w:styleId="xl34">
    <w:name w:val="xl34"/>
    <w:basedOn w:val="Normln"/>
    <w:rsid w:val="00945E23"/>
    <w:pPr>
      <w:pBdr>
        <w:top w:val="double" w:sz="6" w:space="0" w:color="auto"/>
        <w:left w:val="single" w:sz="12"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5">
    <w:name w:val="xl35"/>
    <w:basedOn w:val="Normln"/>
    <w:rsid w:val="00945E23"/>
    <w:pPr>
      <w:pBdr>
        <w:left w:val="single" w:sz="12" w:space="0" w:color="auto"/>
        <w:bottom w:val="single" w:sz="12"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6">
    <w:name w:val="xl36"/>
    <w:basedOn w:val="Normln"/>
    <w:rsid w:val="00945E23"/>
    <w:pPr>
      <w:pBdr>
        <w:top w:val="double" w:sz="6" w:space="0" w:color="auto"/>
        <w:left w:val="single" w:sz="4"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7">
    <w:name w:val="xl37"/>
    <w:basedOn w:val="Normln"/>
    <w:rsid w:val="00945E23"/>
    <w:pPr>
      <w:pBdr>
        <w:left w:val="single" w:sz="4" w:space="0" w:color="auto"/>
        <w:bottom w:val="single" w:sz="12"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8">
    <w:name w:val="xl38"/>
    <w:basedOn w:val="Normln"/>
    <w:rsid w:val="00945E23"/>
    <w:pPr>
      <w:pBdr>
        <w:top w:val="double" w:sz="6" w:space="0" w:color="auto"/>
        <w:left w:val="single" w:sz="4"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39">
    <w:name w:val="xl39"/>
    <w:basedOn w:val="Normln"/>
    <w:rsid w:val="00945E23"/>
    <w:pPr>
      <w:pBdr>
        <w:left w:val="single" w:sz="4" w:space="0" w:color="auto"/>
        <w:bottom w:val="single" w:sz="12" w:space="0" w:color="auto"/>
        <w:right w:val="double" w:sz="6" w:space="0" w:color="auto"/>
      </w:pBdr>
      <w:suppressAutoHyphens w:val="0"/>
      <w:spacing w:before="100" w:beforeAutospacing="1" w:after="100" w:afterAutospacing="1" w:line="240" w:lineRule="auto"/>
      <w:ind w:firstLine="0"/>
      <w:jc w:val="center"/>
      <w:textAlignment w:val="top"/>
    </w:pPr>
    <w:rPr>
      <w:rFonts w:ascii="Arial" w:eastAsia="Arial Unicode MS" w:hAnsi="Arial" w:cs="Arial"/>
      <w:b/>
      <w:bCs/>
      <w:color w:val="000000"/>
      <w:sz w:val="18"/>
      <w:szCs w:val="18"/>
      <w:lang w:eastAsia="cs-CZ"/>
    </w:rPr>
  </w:style>
  <w:style w:type="paragraph" w:customStyle="1" w:styleId="xl40">
    <w:name w:val="xl40"/>
    <w:basedOn w:val="Normln"/>
    <w:rsid w:val="00945E23"/>
    <w:pPr>
      <w:pBdr>
        <w:top w:val="double" w:sz="6" w:space="0" w:color="auto"/>
      </w:pBdr>
      <w:suppressAutoHyphens w:val="0"/>
      <w:spacing w:before="100" w:beforeAutospacing="1" w:after="100" w:afterAutospacing="1" w:line="240" w:lineRule="auto"/>
      <w:ind w:firstLine="0"/>
      <w:jc w:val="left"/>
      <w:textAlignment w:val="top"/>
    </w:pPr>
    <w:rPr>
      <w:rFonts w:ascii="Arial" w:eastAsia="Arial Unicode MS" w:hAnsi="Arial" w:cs="Arial"/>
      <w:i/>
      <w:iCs/>
      <w:sz w:val="16"/>
      <w:szCs w:val="16"/>
      <w:lang w:eastAsia="cs-CZ"/>
    </w:rPr>
  </w:style>
  <w:style w:type="paragraph" w:customStyle="1" w:styleId="xl41">
    <w:name w:val="xl41"/>
    <w:basedOn w:val="Normln"/>
    <w:rsid w:val="00945E23"/>
    <w:pPr>
      <w:pBdr>
        <w:bottom w:val="double" w:sz="6" w:space="0" w:color="auto"/>
      </w:pBdr>
      <w:suppressAutoHyphens w:val="0"/>
      <w:spacing w:before="100" w:beforeAutospacing="1" w:after="100" w:afterAutospacing="1" w:line="240" w:lineRule="auto"/>
      <w:ind w:firstLine="0"/>
      <w:jc w:val="left"/>
      <w:textAlignment w:val="top"/>
    </w:pPr>
    <w:rPr>
      <w:rFonts w:eastAsia="Arial Unicode MS" w:cs="Times New Roman"/>
      <w:b/>
      <w:bCs/>
      <w:sz w:val="22"/>
      <w:szCs w:val="22"/>
      <w:lang w:eastAsia="cs-CZ"/>
    </w:rPr>
  </w:style>
  <w:style w:type="paragraph" w:customStyle="1" w:styleId="xl42">
    <w:name w:val="xl42"/>
    <w:basedOn w:val="Normln"/>
    <w:rsid w:val="00945E23"/>
    <w:pPr>
      <w:pBdr>
        <w:top w:val="double" w:sz="6" w:space="0" w:color="auto"/>
      </w:pBdr>
      <w:suppressAutoHyphens w:val="0"/>
      <w:spacing w:before="100" w:beforeAutospacing="1" w:after="100" w:afterAutospacing="1" w:line="240" w:lineRule="auto"/>
      <w:ind w:firstLine="0"/>
      <w:jc w:val="left"/>
      <w:textAlignment w:val="top"/>
    </w:pPr>
    <w:rPr>
      <w:rFonts w:ascii="Arial" w:eastAsia="Arial Unicode MS" w:hAnsi="Arial" w:cs="Arial"/>
      <w:i/>
      <w:iCs/>
      <w:sz w:val="16"/>
      <w:szCs w:val="16"/>
      <w:lang w:eastAsia="cs-CZ"/>
    </w:rPr>
  </w:style>
  <w:style w:type="paragraph" w:customStyle="1" w:styleId="xl43">
    <w:name w:val="xl43"/>
    <w:basedOn w:val="Normln"/>
    <w:rsid w:val="00945E23"/>
    <w:pPr>
      <w:pBdr>
        <w:bottom w:val="double" w:sz="6" w:space="0" w:color="auto"/>
      </w:pBdr>
      <w:suppressAutoHyphens w:val="0"/>
      <w:spacing w:before="100" w:beforeAutospacing="1" w:after="100" w:afterAutospacing="1" w:line="240" w:lineRule="auto"/>
      <w:ind w:firstLine="0"/>
      <w:jc w:val="left"/>
      <w:textAlignment w:val="top"/>
    </w:pPr>
    <w:rPr>
      <w:rFonts w:eastAsia="Arial Unicode MS" w:cs="Times New Roman"/>
      <w:b/>
      <w:bCs/>
      <w:sz w:val="22"/>
      <w:szCs w:val="22"/>
      <w:lang w:eastAsia="cs-CZ"/>
    </w:rPr>
  </w:style>
  <w:style w:type="paragraph" w:customStyle="1" w:styleId="xl44">
    <w:name w:val="xl44"/>
    <w:basedOn w:val="Normln"/>
    <w:rsid w:val="00945E23"/>
    <w:pPr>
      <w:pBdr>
        <w:bottom w:val="double" w:sz="6" w:space="0" w:color="auto"/>
        <w:right w:val="single" w:sz="4" w:space="0" w:color="auto"/>
      </w:pBdr>
      <w:suppressAutoHyphens w:val="0"/>
      <w:spacing w:before="100" w:beforeAutospacing="1" w:after="100" w:afterAutospacing="1" w:line="240" w:lineRule="auto"/>
      <w:ind w:firstLine="0"/>
      <w:jc w:val="center"/>
      <w:textAlignment w:val="top"/>
    </w:pPr>
    <w:rPr>
      <w:rFonts w:ascii="Arial" w:eastAsia="Arial Unicode MS" w:hAnsi="Arial" w:cs="Arial"/>
      <w:color w:val="000000"/>
      <w:sz w:val="18"/>
      <w:szCs w:val="18"/>
      <w:lang w:eastAsia="cs-CZ"/>
    </w:rPr>
  </w:style>
  <w:style w:type="numbering" w:customStyle="1" w:styleId="Bezseznamu1">
    <w:name w:val="Bez seznamu1"/>
    <w:next w:val="Bezseznamu"/>
    <w:uiPriority w:val="99"/>
    <w:semiHidden/>
    <w:rsid w:val="00945E23"/>
  </w:style>
  <w:style w:type="numbering" w:customStyle="1" w:styleId="Bezseznamu2">
    <w:name w:val="Bez seznamu2"/>
    <w:next w:val="Bezseznamu"/>
    <w:semiHidden/>
    <w:rsid w:val="00945E23"/>
  </w:style>
  <w:style w:type="paragraph" w:styleId="Nadpispoznmky">
    <w:name w:val="Note Heading"/>
    <w:basedOn w:val="Normln"/>
    <w:next w:val="Normln"/>
    <w:link w:val="NadpispoznmkyChar"/>
    <w:rsid w:val="00945E23"/>
    <w:pPr>
      <w:suppressAutoHyphens w:val="0"/>
      <w:spacing w:line="240" w:lineRule="auto"/>
    </w:pPr>
    <w:rPr>
      <w:rFonts w:cs="Times New Roman"/>
      <w:lang w:eastAsia="cs-CZ"/>
    </w:rPr>
  </w:style>
  <w:style w:type="character" w:customStyle="1" w:styleId="NadpispoznmkyChar">
    <w:name w:val="Nadpis poznámky Char"/>
    <w:basedOn w:val="Standardnpsmoodstavce"/>
    <w:link w:val="Nadpispoznmky"/>
    <w:rsid w:val="00945E23"/>
    <w:rPr>
      <w:rFonts w:ascii="Times New Roman" w:hAnsi="Times New Roman"/>
      <w:sz w:val="24"/>
      <w:szCs w:val="23"/>
    </w:rPr>
  </w:style>
  <w:style w:type="paragraph" w:customStyle="1" w:styleId="veta2stpsmeno">
    <w:name w:val="výčet a) 2.st. (písmeno)"/>
    <w:basedOn w:val="Normln"/>
    <w:rsid w:val="00945E23"/>
    <w:pPr>
      <w:numPr>
        <w:numId w:val="20"/>
      </w:numPr>
    </w:pPr>
  </w:style>
  <w:style w:type="character" w:styleId="Zdraznnjemn">
    <w:name w:val="Subtle Emphasis"/>
    <w:uiPriority w:val="19"/>
    <w:qFormat/>
    <w:rsid w:val="00945E23"/>
    <w:rPr>
      <w:i/>
      <w:iCs/>
      <w:color w:val="808080"/>
    </w:rPr>
  </w:style>
  <w:style w:type="paragraph" w:customStyle="1" w:styleId="souhrn-1puntk">
    <w:name w:val="souhrn - 1. puntík"/>
    <w:basedOn w:val="Normln"/>
    <w:qFormat/>
    <w:rsid w:val="00945E23"/>
    <w:pPr>
      <w:keepNext/>
      <w:suppressAutoHyphens w:val="0"/>
      <w:spacing w:before="240" w:after="200" w:line="276" w:lineRule="auto"/>
      <w:ind w:firstLine="0"/>
      <w:jc w:val="left"/>
    </w:pPr>
    <w:rPr>
      <w:rFonts w:eastAsia="Calibri" w:cs="Times New Roman"/>
      <w:b/>
      <w:i/>
      <w:sz w:val="28"/>
      <w:szCs w:val="28"/>
      <w:u w:val="single"/>
      <w:lang w:eastAsia="en-US"/>
    </w:rPr>
  </w:style>
  <w:style w:type="paragraph" w:customStyle="1" w:styleId="souhrn-podpuntkem">
    <w:name w:val="souhrn - pod puntíkem"/>
    <w:basedOn w:val="Normln"/>
    <w:qFormat/>
    <w:rsid w:val="00945E23"/>
    <w:pPr>
      <w:keepNext/>
      <w:suppressAutoHyphens w:val="0"/>
      <w:spacing w:before="240" w:after="200" w:line="276" w:lineRule="auto"/>
      <w:ind w:firstLine="0"/>
      <w:jc w:val="left"/>
    </w:pPr>
    <w:rPr>
      <w:rFonts w:eastAsia="Calibri" w:cs="Times New Roman"/>
      <w:b/>
      <w:i/>
      <w:szCs w:val="24"/>
      <w:u w:val="single"/>
      <w:lang w:eastAsia="en-US"/>
    </w:rPr>
  </w:style>
  <w:style w:type="paragraph" w:customStyle="1" w:styleId="souhrn-nvrhop">
    <w:name w:val="souhrn - návrh op."/>
    <w:basedOn w:val="Normln"/>
    <w:qFormat/>
    <w:rsid w:val="00945E23"/>
    <w:pPr>
      <w:suppressAutoHyphens w:val="0"/>
      <w:spacing w:before="0" w:after="200" w:line="276" w:lineRule="auto"/>
      <w:ind w:firstLine="0"/>
      <w:jc w:val="left"/>
    </w:pPr>
    <w:rPr>
      <w:rFonts w:eastAsia="Calibri" w:cs="Times New Roman"/>
      <w:b/>
      <w:sz w:val="28"/>
      <w:szCs w:val="28"/>
      <w:lang w:eastAsia="en-US"/>
    </w:rPr>
  </w:style>
  <w:style w:type="paragraph" w:customStyle="1" w:styleId="souhrn-normln">
    <w:name w:val="souhrn - normální"/>
    <w:basedOn w:val="Normln"/>
    <w:qFormat/>
    <w:rsid w:val="00945E23"/>
    <w:pPr>
      <w:suppressAutoHyphens w:val="0"/>
      <w:spacing w:before="200" w:line="276" w:lineRule="auto"/>
      <w:ind w:firstLine="0"/>
    </w:pPr>
    <w:rPr>
      <w:rFonts w:eastAsia="Calibri" w:cs="Times New Roman"/>
      <w:szCs w:val="24"/>
      <w:lang w:eastAsia="en-US"/>
    </w:rPr>
  </w:style>
  <w:style w:type="numbering" w:customStyle="1" w:styleId="Bezseznamu11">
    <w:name w:val="Bez seznamu11"/>
    <w:next w:val="Bezseznamu"/>
    <w:semiHidden/>
    <w:rsid w:val="00334C9B"/>
  </w:style>
  <w:style w:type="numbering" w:customStyle="1" w:styleId="Bezseznamu3">
    <w:name w:val="Bez seznamu3"/>
    <w:next w:val="Bezseznamu"/>
    <w:semiHidden/>
    <w:rsid w:val="00334C9B"/>
  </w:style>
  <w:style w:type="numbering" w:customStyle="1" w:styleId="Bezseznamu4">
    <w:name w:val="Bez seznamu4"/>
    <w:next w:val="Bezseznamu"/>
    <w:semiHidden/>
    <w:rsid w:val="00334C9B"/>
  </w:style>
  <w:style w:type="paragraph" w:customStyle="1" w:styleId="tabulkovploha">
    <w:name w:val="tabulková příloha"/>
    <w:basedOn w:val="Tabulka"/>
    <w:rsid w:val="009307A1"/>
    <w:pPr>
      <w:spacing w:before="0" w:line="240" w:lineRule="auto"/>
    </w:pPr>
    <w:rPr>
      <w:rFonts w:cs="Times New Roman"/>
      <w:szCs w:val="20"/>
    </w:rPr>
  </w:style>
  <w:style w:type="paragraph" w:styleId="Odstavecseseznamem">
    <w:name w:val="List Paragraph"/>
    <w:basedOn w:val="Normln"/>
    <w:uiPriority w:val="34"/>
    <w:qFormat/>
    <w:rsid w:val="00E044A8"/>
    <w:pPr>
      <w:ind w:left="720"/>
      <w:contextualSpacing/>
    </w:pPr>
  </w:style>
  <w:style w:type="paragraph" w:customStyle="1" w:styleId="souhrn-N1">
    <w:name w:val="souhrn-N1"/>
    <w:basedOn w:val="Normln"/>
    <w:qFormat/>
    <w:rsid w:val="00535A8F"/>
    <w:pPr>
      <w:keepNext/>
      <w:spacing w:before="360" w:line="240" w:lineRule="auto"/>
      <w:ind w:left="567" w:hanging="567"/>
      <w:outlineLvl w:val="4"/>
    </w:pPr>
    <w:rPr>
      <w:rFonts w:ascii="Arial" w:hAnsi="Arial" w:cs="Arial"/>
      <w:b/>
      <w:i/>
      <w:szCs w:val="24"/>
      <w:u w:val="single"/>
    </w:rPr>
  </w:style>
  <w:style w:type="paragraph" w:customStyle="1" w:styleId="souhrn-N2">
    <w:name w:val="souhrn-N2"/>
    <w:basedOn w:val="Normln"/>
    <w:qFormat/>
    <w:rsid w:val="0046126F"/>
    <w:pPr>
      <w:keepNext/>
      <w:spacing w:before="240" w:after="60"/>
      <w:ind w:left="567" w:firstLine="0"/>
      <w:outlineLvl w:val="5"/>
    </w:pPr>
    <w:rPr>
      <w:b/>
      <w:i/>
      <w:szCs w:val="24"/>
      <w:u w:val="single"/>
    </w:rPr>
  </w:style>
  <w:style w:type="paragraph" w:customStyle="1" w:styleId="opaten-fous">
    <w:name w:val="opatření-fous"/>
    <w:basedOn w:val="Normln"/>
    <w:qFormat/>
    <w:rsid w:val="00F44CD4"/>
    <w:pPr>
      <w:numPr>
        <w:numId w:val="21"/>
      </w:numPr>
      <w:suppressAutoHyphens w:val="0"/>
      <w:spacing w:before="0" w:after="200" w:line="276" w:lineRule="auto"/>
      <w:ind w:left="567" w:hanging="283"/>
    </w:pPr>
    <w:rPr>
      <w:szCs w:val="24"/>
    </w:rPr>
  </w:style>
  <w:style w:type="paragraph" w:customStyle="1" w:styleId="doplnit">
    <w:name w:val="doplnit"/>
    <w:basedOn w:val="Normln"/>
    <w:qFormat/>
    <w:rsid w:val="007E322B"/>
    <w:rPr>
      <w:i/>
    </w:rPr>
  </w:style>
  <w:style w:type="paragraph" w:customStyle="1" w:styleId="gesce">
    <w:name w:val="gesce"/>
    <w:basedOn w:val="Norm-Ital"/>
    <w:rsid w:val="00710BCF"/>
    <w:pPr>
      <w:pageBreakBefore/>
      <w:jc w:val="left"/>
    </w:pPr>
    <w:rPr>
      <w:rFonts w:cs="Times New Roman"/>
      <w:bCs w:val="0"/>
      <w:szCs w:val="20"/>
    </w:rPr>
  </w:style>
  <w:style w:type="character" w:customStyle="1" w:styleId="StylSilnArialCE9bnenTunern">
    <w:name w:val="Styl Silné + Arial CE 9 b. není Tučné Černá"/>
    <w:rsid w:val="00567C4A"/>
    <w:rPr>
      <w:rFonts w:ascii="Arial" w:hAnsi="Arial"/>
      <w:b/>
      <w:bCs/>
      <w:color w:val="000000"/>
      <w:sz w:val="18"/>
    </w:rPr>
  </w:style>
  <w:style w:type="paragraph" w:customStyle="1" w:styleId="CharChar">
    <w:name w:val="Char Char"/>
    <w:basedOn w:val="Normln"/>
    <w:rsid w:val="00567C4A"/>
    <w:pPr>
      <w:suppressAutoHyphens w:val="0"/>
      <w:spacing w:before="0" w:line="240" w:lineRule="auto"/>
      <w:ind w:firstLine="0"/>
      <w:jc w:val="left"/>
    </w:pPr>
    <w:rPr>
      <w:rFonts w:cs="Times New Roman"/>
      <w:szCs w:val="24"/>
      <w:lang w:val="pl-PL" w:eastAsia="pl-PL"/>
    </w:rPr>
  </w:style>
  <w:style w:type="paragraph" w:customStyle="1" w:styleId="Zkladnodstavec">
    <w:name w:val="[Základní odstavec]"/>
    <w:basedOn w:val="Normln"/>
    <w:rsid w:val="00567C4A"/>
    <w:pPr>
      <w:suppressAutoHyphens w:val="0"/>
      <w:autoSpaceDE w:val="0"/>
      <w:autoSpaceDN w:val="0"/>
      <w:adjustRightInd w:val="0"/>
      <w:spacing w:before="0" w:line="288" w:lineRule="auto"/>
      <w:ind w:firstLine="0"/>
      <w:jc w:val="left"/>
      <w:textAlignment w:val="center"/>
    </w:pPr>
    <w:rPr>
      <w:rFonts w:eastAsia="Calibri" w:cs="Times New Roman"/>
      <w:color w:val="000000"/>
      <w:szCs w:val="24"/>
      <w:lang w:val="en-US" w:eastAsia="en-US"/>
    </w:rPr>
  </w:style>
  <w:style w:type="paragraph" w:customStyle="1" w:styleId="Nadpis1-bezodsazen0">
    <w:name w:val="Nadpis 1 - bez odsazení"/>
    <w:basedOn w:val="Nadpis1"/>
    <w:next w:val="Normln"/>
    <w:qFormat/>
    <w:rsid w:val="00567C4A"/>
    <w:pPr>
      <w:pageBreakBefore/>
      <w:suppressAutoHyphens w:val="0"/>
      <w:spacing w:before="0"/>
      <w:ind w:left="0" w:firstLine="0"/>
    </w:pPr>
    <w:rPr>
      <w:rFonts w:cs="Times New Roman"/>
      <w:lang w:eastAsia="cs-CZ"/>
    </w:rPr>
  </w:style>
  <w:style w:type="character" w:customStyle="1" w:styleId="mezeraCharChar">
    <w:name w:val="mezera Char Char"/>
    <w:rsid w:val="00567C4A"/>
    <w:rPr>
      <w:sz w:val="16"/>
      <w:lang w:val="cs-CZ" w:eastAsia="cs-CZ" w:bidi="ar-SA"/>
    </w:rPr>
  </w:style>
  <w:style w:type="paragraph" w:customStyle="1" w:styleId="Char">
    <w:name w:val="Char"/>
    <w:basedOn w:val="Normln"/>
    <w:rsid w:val="00567C4A"/>
    <w:pPr>
      <w:suppressAutoHyphens w:val="0"/>
      <w:spacing w:before="0" w:line="240" w:lineRule="auto"/>
      <w:ind w:firstLine="0"/>
      <w:jc w:val="left"/>
    </w:pPr>
    <w:rPr>
      <w:rFonts w:cs="Times New Roman"/>
      <w:szCs w:val="24"/>
      <w:lang w:val="pl-PL" w:eastAsia="pl-PL"/>
    </w:rPr>
  </w:style>
  <w:style w:type="character" w:customStyle="1" w:styleId="hps">
    <w:name w:val="hps"/>
    <w:rsid w:val="00567C4A"/>
  </w:style>
  <w:style w:type="character" w:customStyle="1" w:styleId="arial9">
    <w:name w:val="arial9"/>
    <w:basedOn w:val="Standardnpsmoodstavce1"/>
    <w:rsid w:val="00614A2D"/>
  </w:style>
  <w:style w:type="paragraph" w:customStyle="1" w:styleId="1">
    <w:name w:val="1"/>
    <w:basedOn w:val="Normln"/>
    <w:next w:val="Rozvrendokumentu"/>
    <w:rsid w:val="00614A2D"/>
    <w:pPr>
      <w:shd w:val="clear" w:color="auto" w:fill="000080"/>
    </w:pPr>
    <w:rPr>
      <w:rFonts w:ascii="Tahoma" w:hAnsi="Tahoma"/>
      <w:lang w:val="x-none"/>
    </w:rPr>
  </w:style>
  <w:style w:type="paragraph" w:customStyle="1" w:styleId="Nadpis1zleva">
    <w:name w:val="Nadpis 1 zleva"/>
    <w:basedOn w:val="Nadpis1"/>
    <w:qFormat/>
    <w:rsid w:val="000E5274"/>
    <w:pPr>
      <w:suppressAutoHyphens w:val="0"/>
      <w:ind w:left="0" w:firstLine="0"/>
    </w:pPr>
    <w:rPr>
      <w:rFonts w:cs="Times New Roman"/>
      <w:lang w:eastAsia="cs-CZ"/>
    </w:rPr>
  </w:style>
  <w:style w:type="paragraph" w:customStyle="1" w:styleId="opaten-N2">
    <w:name w:val="opatření-N2"/>
    <w:basedOn w:val="souhrn-N2"/>
    <w:qFormat/>
    <w:rsid w:val="00724B14"/>
    <w:pPr>
      <w:ind w:left="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72932">
      <w:bodyDiv w:val="1"/>
      <w:marLeft w:val="0"/>
      <w:marRight w:val="0"/>
      <w:marTop w:val="0"/>
      <w:marBottom w:val="0"/>
      <w:divBdr>
        <w:top w:val="none" w:sz="0" w:space="0" w:color="auto"/>
        <w:left w:val="none" w:sz="0" w:space="0" w:color="auto"/>
        <w:bottom w:val="none" w:sz="0" w:space="0" w:color="auto"/>
        <w:right w:val="none" w:sz="0" w:space="0" w:color="auto"/>
      </w:divBdr>
    </w:div>
    <w:div w:id="288323107">
      <w:bodyDiv w:val="1"/>
      <w:marLeft w:val="0"/>
      <w:marRight w:val="0"/>
      <w:marTop w:val="0"/>
      <w:marBottom w:val="0"/>
      <w:divBdr>
        <w:top w:val="none" w:sz="0" w:space="0" w:color="auto"/>
        <w:left w:val="none" w:sz="0" w:space="0" w:color="auto"/>
        <w:bottom w:val="none" w:sz="0" w:space="0" w:color="auto"/>
        <w:right w:val="none" w:sz="0" w:space="0" w:color="auto"/>
      </w:divBdr>
    </w:div>
    <w:div w:id="340084030">
      <w:bodyDiv w:val="1"/>
      <w:marLeft w:val="0"/>
      <w:marRight w:val="0"/>
      <w:marTop w:val="0"/>
      <w:marBottom w:val="0"/>
      <w:divBdr>
        <w:top w:val="none" w:sz="0" w:space="0" w:color="auto"/>
        <w:left w:val="none" w:sz="0" w:space="0" w:color="auto"/>
        <w:bottom w:val="none" w:sz="0" w:space="0" w:color="auto"/>
        <w:right w:val="none" w:sz="0" w:space="0" w:color="auto"/>
      </w:divBdr>
    </w:div>
    <w:div w:id="375616983">
      <w:bodyDiv w:val="1"/>
      <w:marLeft w:val="0"/>
      <w:marRight w:val="0"/>
      <w:marTop w:val="0"/>
      <w:marBottom w:val="0"/>
      <w:divBdr>
        <w:top w:val="none" w:sz="0" w:space="0" w:color="auto"/>
        <w:left w:val="none" w:sz="0" w:space="0" w:color="auto"/>
        <w:bottom w:val="none" w:sz="0" w:space="0" w:color="auto"/>
        <w:right w:val="none" w:sz="0" w:space="0" w:color="auto"/>
      </w:divBdr>
    </w:div>
    <w:div w:id="400102185">
      <w:bodyDiv w:val="1"/>
      <w:marLeft w:val="0"/>
      <w:marRight w:val="0"/>
      <w:marTop w:val="0"/>
      <w:marBottom w:val="0"/>
      <w:divBdr>
        <w:top w:val="none" w:sz="0" w:space="0" w:color="auto"/>
        <w:left w:val="none" w:sz="0" w:space="0" w:color="auto"/>
        <w:bottom w:val="none" w:sz="0" w:space="0" w:color="auto"/>
        <w:right w:val="none" w:sz="0" w:space="0" w:color="auto"/>
      </w:divBdr>
    </w:div>
    <w:div w:id="719865839">
      <w:bodyDiv w:val="1"/>
      <w:marLeft w:val="0"/>
      <w:marRight w:val="0"/>
      <w:marTop w:val="0"/>
      <w:marBottom w:val="0"/>
      <w:divBdr>
        <w:top w:val="none" w:sz="0" w:space="0" w:color="auto"/>
        <w:left w:val="none" w:sz="0" w:space="0" w:color="auto"/>
        <w:bottom w:val="none" w:sz="0" w:space="0" w:color="auto"/>
        <w:right w:val="none" w:sz="0" w:space="0" w:color="auto"/>
      </w:divBdr>
      <w:divsChild>
        <w:div w:id="1685280248">
          <w:marLeft w:val="0"/>
          <w:marRight w:val="0"/>
          <w:marTop w:val="0"/>
          <w:marBottom w:val="0"/>
          <w:divBdr>
            <w:top w:val="none" w:sz="0" w:space="0" w:color="auto"/>
            <w:left w:val="none" w:sz="0" w:space="0" w:color="auto"/>
            <w:bottom w:val="none" w:sz="0" w:space="0" w:color="auto"/>
            <w:right w:val="none" w:sz="0" w:space="0" w:color="auto"/>
          </w:divBdr>
        </w:div>
      </w:divsChild>
    </w:div>
    <w:div w:id="1146359404">
      <w:bodyDiv w:val="1"/>
      <w:marLeft w:val="0"/>
      <w:marRight w:val="0"/>
      <w:marTop w:val="0"/>
      <w:marBottom w:val="0"/>
      <w:divBdr>
        <w:top w:val="none" w:sz="0" w:space="0" w:color="auto"/>
        <w:left w:val="none" w:sz="0" w:space="0" w:color="auto"/>
        <w:bottom w:val="none" w:sz="0" w:space="0" w:color="auto"/>
        <w:right w:val="none" w:sz="0" w:space="0" w:color="auto"/>
      </w:divBdr>
    </w:div>
    <w:div w:id="1451583576">
      <w:bodyDiv w:val="1"/>
      <w:marLeft w:val="0"/>
      <w:marRight w:val="0"/>
      <w:marTop w:val="0"/>
      <w:marBottom w:val="0"/>
      <w:divBdr>
        <w:top w:val="none" w:sz="0" w:space="0" w:color="auto"/>
        <w:left w:val="none" w:sz="0" w:space="0" w:color="auto"/>
        <w:bottom w:val="none" w:sz="0" w:space="0" w:color="auto"/>
        <w:right w:val="none" w:sz="0" w:space="0" w:color="auto"/>
      </w:divBdr>
    </w:div>
    <w:div w:id="1484933749">
      <w:bodyDiv w:val="1"/>
      <w:marLeft w:val="0"/>
      <w:marRight w:val="0"/>
      <w:marTop w:val="0"/>
      <w:marBottom w:val="0"/>
      <w:divBdr>
        <w:top w:val="none" w:sz="0" w:space="0" w:color="auto"/>
        <w:left w:val="none" w:sz="0" w:space="0" w:color="auto"/>
        <w:bottom w:val="none" w:sz="0" w:space="0" w:color="auto"/>
        <w:right w:val="none" w:sz="0" w:space="0" w:color="auto"/>
      </w:divBdr>
    </w:div>
    <w:div w:id="1588924156">
      <w:bodyDiv w:val="1"/>
      <w:marLeft w:val="0"/>
      <w:marRight w:val="0"/>
      <w:marTop w:val="0"/>
      <w:marBottom w:val="0"/>
      <w:divBdr>
        <w:top w:val="none" w:sz="0" w:space="0" w:color="auto"/>
        <w:left w:val="none" w:sz="0" w:space="0" w:color="auto"/>
        <w:bottom w:val="none" w:sz="0" w:space="0" w:color="auto"/>
        <w:right w:val="none" w:sz="0" w:space="0" w:color="auto"/>
      </w:divBdr>
    </w:div>
    <w:div w:id="186766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agri.cz" TargetMode="External"/><Relationship Id="rId21" Type="http://schemas.openxmlformats.org/officeDocument/2006/relationships/image" Target="media/image9.emf"/><Relationship Id="rId42" Type="http://schemas.openxmlformats.org/officeDocument/2006/relationships/hyperlink" Target="http://portal.mpsv.cz/sz" TargetMode="External"/><Relationship Id="rId63" Type="http://schemas.openxmlformats.org/officeDocument/2006/relationships/hyperlink" Target="http://www.strukturalni-fondy.cz/cs/Fondy-EU/Narodni-organ-pro-koordinaci/Predbezne-podminky" TargetMode="External"/><Relationship Id="rId84" Type="http://schemas.openxmlformats.org/officeDocument/2006/relationships/hyperlink" Target="http://www.ukzuz.cz" TargetMode="External"/><Relationship Id="rId138" Type="http://schemas.openxmlformats.org/officeDocument/2006/relationships/image" Target="media/image70.emf"/><Relationship Id="rId159" Type="http://schemas.openxmlformats.org/officeDocument/2006/relationships/image" Target="media/image91.emf"/><Relationship Id="rId170" Type="http://schemas.openxmlformats.org/officeDocument/2006/relationships/image" Target="media/image102.emf"/><Relationship Id="rId191" Type="http://schemas.openxmlformats.org/officeDocument/2006/relationships/image" Target="media/image123.emf"/><Relationship Id="rId205" Type="http://schemas.openxmlformats.org/officeDocument/2006/relationships/image" Target="media/image137.emf"/><Relationship Id="rId226" Type="http://schemas.openxmlformats.org/officeDocument/2006/relationships/image" Target="media/image158.emf"/><Relationship Id="rId247" Type="http://schemas.openxmlformats.org/officeDocument/2006/relationships/image" Target="media/image175.emf"/><Relationship Id="rId107" Type="http://schemas.openxmlformats.org/officeDocument/2006/relationships/image" Target="media/image54.emf"/><Relationship Id="rId268" Type="http://schemas.openxmlformats.org/officeDocument/2006/relationships/image" Target="media/image196.emf"/><Relationship Id="rId289" Type="http://schemas.openxmlformats.org/officeDocument/2006/relationships/fontTable" Target="fontTable.xml"/><Relationship Id="rId11" Type="http://schemas.openxmlformats.org/officeDocument/2006/relationships/hyperlink" Target="http://ec.europa.eu/eurostat" TargetMode="External"/><Relationship Id="rId32" Type="http://schemas.openxmlformats.org/officeDocument/2006/relationships/hyperlink" Target="http://ec.europa.eu/eurostat/statistics-explained/index.php/Urban-rural_typology_update" TargetMode="External"/><Relationship Id="rId53" Type="http://schemas.openxmlformats.org/officeDocument/2006/relationships/hyperlink" Target="http://www.strukturalni-fondy.cz/cs/Fondy-EU/2014-2020/Operacni-programy/OP-Sasko-%E2%80%93-CR" TargetMode="External"/><Relationship Id="rId74" Type="http://schemas.openxmlformats.org/officeDocument/2006/relationships/image" Target="media/image40.emf"/><Relationship Id="rId128" Type="http://schemas.openxmlformats.org/officeDocument/2006/relationships/image" Target="media/image61.emf"/><Relationship Id="rId149" Type="http://schemas.openxmlformats.org/officeDocument/2006/relationships/image" Target="media/image81.emf"/><Relationship Id="rId5" Type="http://schemas.openxmlformats.org/officeDocument/2006/relationships/settings" Target="settings.xml"/><Relationship Id="rId95" Type="http://schemas.openxmlformats.org/officeDocument/2006/relationships/hyperlink" Target="http://www.viscojis.cz" TargetMode="External"/><Relationship Id="rId160" Type="http://schemas.openxmlformats.org/officeDocument/2006/relationships/image" Target="media/image92.emf"/><Relationship Id="rId181" Type="http://schemas.openxmlformats.org/officeDocument/2006/relationships/image" Target="media/image113.emf"/><Relationship Id="rId216" Type="http://schemas.openxmlformats.org/officeDocument/2006/relationships/image" Target="media/image148.emf"/><Relationship Id="rId237" Type="http://schemas.openxmlformats.org/officeDocument/2006/relationships/hyperlink" Target="http://ec.europa.eu/agriculture/rica/" TargetMode="External"/><Relationship Id="rId258" Type="http://schemas.openxmlformats.org/officeDocument/2006/relationships/image" Target="media/image186.emf"/><Relationship Id="rId279" Type="http://schemas.openxmlformats.org/officeDocument/2006/relationships/image" Target="media/image206.emf"/><Relationship Id="rId22" Type="http://schemas.openxmlformats.org/officeDocument/2006/relationships/image" Target="media/image10.emf"/><Relationship Id="rId43" Type="http://schemas.openxmlformats.org/officeDocument/2006/relationships/hyperlink" Target="http://portal.mpsv.cz/sz/stat/nz/zmena_metodiky" TargetMode="External"/><Relationship Id="rId64" Type="http://schemas.openxmlformats.org/officeDocument/2006/relationships/hyperlink" Target="http://www.strukturalni-fondy.cz/cs/Fondy-EU/2014-2020/Operacni-programy" TargetMode="External"/><Relationship Id="rId118" Type="http://schemas.openxmlformats.org/officeDocument/2006/relationships/hyperlink" Target="http://www.agroporadenstvi.cz" TargetMode="External"/><Relationship Id="rId139" Type="http://schemas.openxmlformats.org/officeDocument/2006/relationships/image" Target="media/image71.emf"/><Relationship Id="rId290" Type="http://schemas.openxmlformats.org/officeDocument/2006/relationships/theme" Target="theme/theme1.xml"/><Relationship Id="rId85" Type="http://schemas.openxmlformats.org/officeDocument/2006/relationships/hyperlink" Target="http://www.vumop.cz" TargetMode="External"/><Relationship Id="rId150" Type="http://schemas.openxmlformats.org/officeDocument/2006/relationships/image" Target="media/image82.emf"/><Relationship Id="rId171" Type="http://schemas.openxmlformats.org/officeDocument/2006/relationships/image" Target="media/image103.emf"/><Relationship Id="rId192" Type="http://schemas.openxmlformats.org/officeDocument/2006/relationships/image" Target="media/image124.emf"/><Relationship Id="rId206" Type="http://schemas.openxmlformats.org/officeDocument/2006/relationships/image" Target="media/image138.emf"/><Relationship Id="rId227" Type="http://schemas.openxmlformats.org/officeDocument/2006/relationships/image" Target="media/image159.emf"/><Relationship Id="rId248" Type="http://schemas.openxmlformats.org/officeDocument/2006/relationships/image" Target="media/image176.emf"/><Relationship Id="rId269" Type="http://schemas.openxmlformats.org/officeDocument/2006/relationships/image" Target="media/image197.emf"/><Relationship Id="rId12" Type="http://schemas.openxmlformats.org/officeDocument/2006/relationships/footer" Target="footer1.xml"/><Relationship Id="rId33" Type="http://schemas.openxmlformats.org/officeDocument/2006/relationships/image" Target="media/image19.emf"/><Relationship Id="rId108" Type="http://schemas.openxmlformats.org/officeDocument/2006/relationships/image" Target="media/image55.emf"/><Relationship Id="rId129" Type="http://schemas.openxmlformats.org/officeDocument/2006/relationships/hyperlink" Target="http://www.czso.cz/csu/klasifik.nsf/i/klasifikace_zamestnani_%28cz_isco%29" TargetMode="External"/><Relationship Id="rId280" Type="http://schemas.openxmlformats.org/officeDocument/2006/relationships/image" Target="media/image207.emf"/><Relationship Id="rId54" Type="http://schemas.openxmlformats.org/officeDocument/2006/relationships/hyperlink" Target="http://www.strukturalni-fondy.cz/cs/Fondy-EU/Kohezni-politika-EU/Operacni-programy/OP-nadnarodni-spoluprace" TargetMode="External"/><Relationship Id="rId75" Type="http://schemas.openxmlformats.org/officeDocument/2006/relationships/image" Target="media/image41.emf"/><Relationship Id="rId96" Type="http://schemas.openxmlformats.org/officeDocument/2006/relationships/hyperlink" Target="http://www.viscojis.cz/teens" TargetMode="External"/><Relationship Id="rId140" Type="http://schemas.openxmlformats.org/officeDocument/2006/relationships/image" Target="media/image72.emf"/><Relationship Id="rId161" Type="http://schemas.openxmlformats.org/officeDocument/2006/relationships/image" Target="media/image93.emf"/><Relationship Id="rId182" Type="http://schemas.openxmlformats.org/officeDocument/2006/relationships/image" Target="media/image114.emf"/><Relationship Id="rId217" Type="http://schemas.openxmlformats.org/officeDocument/2006/relationships/image" Target="media/image149.emf"/><Relationship Id="rId6" Type="http://schemas.openxmlformats.org/officeDocument/2006/relationships/webSettings" Target="webSettings.xml"/><Relationship Id="rId238" Type="http://schemas.openxmlformats.org/officeDocument/2006/relationships/footer" Target="footer2.xml"/><Relationship Id="rId259" Type="http://schemas.openxmlformats.org/officeDocument/2006/relationships/image" Target="media/image187.emf"/><Relationship Id="rId23" Type="http://schemas.openxmlformats.org/officeDocument/2006/relationships/image" Target="media/image11.emf"/><Relationship Id="rId119" Type="http://schemas.openxmlformats.org/officeDocument/2006/relationships/hyperlink" Target="http://www.agrocr.cz" TargetMode="External"/><Relationship Id="rId270" Type="http://schemas.openxmlformats.org/officeDocument/2006/relationships/image" Target="media/image198.emf"/><Relationship Id="rId44" Type="http://schemas.openxmlformats.org/officeDocument/2006/relationships/hyperlink" Target="http://www.strukturalni-fondy.cz/cs/Fondy-EU/2014-2020/Operacni-programy" TargetMode="External"/><Relationship Id="rId65" Type="http://schemas.openxmlformats.org/officeDocument/2006/relationships/hyperlink" Target="http://www.strukturalni-fondy.cz/cs/Jak-na-projekt/Elektronicka-zadost" TargetMode="External"/><Relationship Id="rId86" Type="http://schemas.openxmlformats.org/officeDocument/2006/relationships/hyperlink" Target="http://www.vurv.cz" TargetMode="External"/><Relationship Id="rId130" Type="http://schemas.openxmlformats.org/officeDocument/2006/relationships/image" Target="media/image62.emf"/><Relationship Id="rId151" Type="http://schemas.openxmlformats.org/officeDocument/2006/relationships/image" Target="media/image83.emf"/><Relationship Id="rId172" Type="http://schemas.openxmlformats.org/officeDocument/2006/relationships/image" Target="media/image104.emf"/><Relationship Id="rId193" Type="http://schemas.openxmlformats.org/officeDocument/2006/relationships/image" Target="media/image125.emf"/><Relationship Id="rId207" Type="http://schemas.openxmlformats.org/officeDocument/2006/relationships/image" Target="media/image139.emf"/><Relationship Id="rId228" Type="http://schemas.openxmlformats.org/officeDocument/2006/relationships/image" Target="media/image160.emf"/><Relationship Id="rId249" Type="http://schemas.openxmlformats.org/officeDocument/2006/relationships/image" Target="media/image177.emf"/><Relationship Id="rId13" Type="http://schemas.openxmlformats.org/officeDocument/2006/relationships/image" Target="media/image1.emf"/><Relationship Id="rId109" Type="http://schemas.openxmlformats.org/officeDocument/2006/relationships/image" Target="media/image56.emf"/><Relationship Id="rId260" Type="http://schemas.openxmlformats.org/officeDocument/2006/relationships/image" Target="media/image188.emf"/><Relationship Id="rId281" Type="http://schemas.openxmlformats.org/officeDocument/2006/relationships/image" Target="media/image208.emf"/><Relationship Id="rId34" Type="http://schemas.openxmlformats.org/officeDocument/2006/relationships/image" Target="media/image20.emf"/><Relationship Id="rId50" Type="http://schemas.openxmlformats.org/officeDocument/2006/relationships/hyperlink" Target="http://www.strukturalni-fondy.cz/cs/Fondy-EU/2014-2020/Operacni-programy/OP-Slovensko-%E2%80%93-CR" TargetMode="External"/><Relationship Id="rId55" Type="http://schemas.openxmlformats.org/officeDocument/2006/relationships/hyperlink" Target="http://www.strukturalni-fondy.cz/cs/Fondy-EU/Kohezni-politika-EU/Operacni-programy/OP-nadnarodni-spoluprace-Danube" TargetMode="External"/><Relationship Id="rId76" Type="http://schemas.openxmlformats.org/officeDocument/2006/relationships/hyperlink" Target="http://www.regionalnipotravina.cz" TargetMode="External"/><Relationship Id="rId97" Type="http://schemas.openxmlformats.org/officeDocument/2006/relationships/image" Target="media/image44.emf"/><Relationship Id="rId104" Type="http://schemas.openxmlformats.org/officeDocument/2006/relationships/image" Target="media/image51.emf"/><Relationship Id="rId120" Type="http://schemas.openxmlformats.org/officeDocument/2006/relationships/hyperlink" Target="http://www.asz.cz" TargetMode="External"/><Relationship Id="rId125" Type="http://schemas.openxmlformats.org/officeDocument/2006/relationships/hyperlink" Target="http://www.lfa.cz" TargetMode="External"/><Relationship Id="rId141" Type="http://schemas.openxmlformats.org/officeDocument/2006/relationships/image" Target="media/image73.emf"/><Relationship Id="rId146" Type="http://schemas.openxmlformats.org/officeDocument/2006/relationships/image" Target="media/image78.emf"/><Relationship Id="rId167" Type="http://schemas.openxmlformats.org/officeDocument/2006/relationships/image" Target="media/image99.emf"/><Relationship Id="rId188" Type="http://schemas.openxmlformats.org/officeDocument/2006/relationships/image" Target="media/image120.emf"/><Relationship Id="rId7" Type="http://schemas.openxmlformats.org/officeDocument/2006/relationships/footnotes" Target="footnotes.xml"/><Relationship Id="rId71" Type="http://schemas.openxmlformats.org/officeDocument/2006/relationships/image" Target="media/image37.emf"/><Relationship Id="rId92" Type="http://schemas.openxmlformats.org/officeDocument/2006/relationships/hyperlink" Target="http://www.bezpecnostpotravin.cz" TargetMode="External"/><Relationship Id="rId162" Type="http://schemas.openxmlformats.org/officeDocument/2006/relationships/image" Target="media/image94.emf"/><Relationship Id="rId183" Type="http://schemas.openxmlformats.org/officeDocument/2006/relationships/image" Target="media/image115.emf"/><Relationship Id="rId213" Type="http://schemas.openxmlformats.org/officeDocument/2006/relationships/image" Target="media/image145.emf"/><Relationship Id="rId218" Type="http://schemas.openxmlformats.org/officeDocument/2006/relationships/image" Target="media/image150.emf"/><Relationship Id="rId234" Type="http://schemas.openxmlformats.org/officeDocument/2006/relationships/image" Target="media/image166.emf"/><Relationship Id="rId23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7.emf"/><Relationship Id="rId250" Type="http://schemas.openxmlformats.org/officeDocument/2006/relationships/image" Target="media/image178.emf"/><Relationship Id="rId255" Type="http://schemas.openxmlformats.org/officeDocument/2006/relationships/image" Target="media/image183.emf"/><Relationship Id="rId271" Type="http://schemas.openxmlformats.org/officeDocument/2006/relationships/image" Target="media/image199.emf"/><Relationship Id="rId276" Type="http://schemas.openxmlformats.org/officeDocument/2006/relationships/image" Target="media/image203.emf"/><Relationship Id="rId24" Type="http://schemas.openxmlformats.org/officeDocument/2006/relationships/image" Target="media/image12.emf"/><Relationship Id="rId40" Type="http://schemas.openxmlformats.org/officeDocument/2006/relationships/image" Target="media/image26.emf"/><Relationship Id="rId45" Type="http://schemas.openxmlformats.org/officeDocument/2006/relationships/hyperlink" Target="http://www.strukturalni-fondy.cz/cs/Fondy-EU/2014-2020/Dohoda-o-partnerstvi" TargetMode="External"/><Relationship Id="rId66" Type="http://schemas.openxmlformats.org/officeDocument/2006/relationships/image" Target="media/image32.emf"/><Relationship Id="rId87" Type="http://schemas.openxmlformats.org/officeDocument/2006/relationships/hyperlink" Target="http://www.vulhm.cz" TargetMode="External"/><Relationship Id="rId110" Type="http://schemas.openxmlformats.org/officeDocument/2006/relationships/image" Target="media/image57.emf"/><Relationship Id="rId115" Type="http://schemas.openxmlformats.org/officeDocument/2006/relationships/hyperlink" Target="http://www.vyzkum.cz" TargetMode="External"/><Relationship Id="rId131" Type="http://schemas.openxmlformats.org/officeDocument/2006/relationships/image" Target="media/image63.emf"/><Relationship Id="rId136" Type="http://schemas.openxmlformats.org/officeDocument/2006/relationships/image" Target="media/image68.emf"/><Relationship Id="rId157" Type="http://schemas.openxmlformats.org/officeDocument/2006/relationships/image" Target="media/image89.emf"/><Relationship Id="rId178" Type="http://schemas.openxmlformats.org/officeDocument/2006/relationships/image" Target="media/image110.emf"/><Relationship Id="rId61" Type="http://schemas.openxmlformats.org/officeDocument/2006/relationships/image" Target="media/image30.emf"/><Relationship Id="rId82" Type="http://schemas.openxmlformats.org/officeDocument/2006/relationships/hyperlink" Target="http://www.svscr.cz" TargetMode="External"/><Relationship Id="rId152" Type="http://schemas.openxmlformats.org/officeDocument/2006/relationships/image" Target="media/image84.emf"/><Relationship Id="rId173" Type="http://schemas.openxmlformats.org/officeDocument/2006/relationships/image" Target="media/image105.emf"/><Relationship Id="rId194" Type="http://schemas.openxmlformats.org/officeDocument/2006/relationships/image" Target="media/image126.emf"/><Relationship Id="rId199" Type="http://schemas.openxmlformats.org/officeDocument/2006/relationships/image" Target="media/image131.emf"/><Relationship Id="rId203" Type="http://schemas.openxmlformats.org/officeDocument/2006/relationships/image" Target="media/image135.emf"/><Relationship Id="rId208" Type="http://schemas.openxmlformats.org/officeDocument/2006/relationships/image" Target="media/image140.emf"/><Relationship Id="rId229" Type="http://schemas.openxmlformats.org/officeDocument/2006/relationships/image" Target="media/image161.emf"/><Relationship Id="rId19" Type="http://schemas.openxmlformats.org/officeDocument/2006/relationships/image" Target="media/image7.emf"/><Relationship Id="rId224" Type="http://schemas.openxmlformats.org/officeDocument/2006/relationships/image" Target="media/image156.emf"/><Relationship Id="rId240" Type="http://schemas.openxmlformats.org/officeDocument/2006/relationships/footer" Target="footer4.xml"/><Relationship Id="rId245" Type="http://schemas.openxmlformats.org/officeDocument/2006/relationships/image" Target="media/image173.emf"/><Relationship Id="rId261" Type="http://schemas.openxmlformats.org/officeDocument/2006/relationships/image" Target="media/image189.emf"/><Relationship Id="rId266" Type="http://schemas.openxmlformats.org/officeDocument/2006/relationships/image" Target="media/image194.emf"/><Relationship Id="rId287" Type="http://schemas.openxmlformats.org/officeDocument/2006/relationships/image" Target="media/image214.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1.emf"/><Relationship Id="rId56" Type="http://schemas.openxmlformats.org/officeDocument/2006/relationships/hyperlink" Target="http://www.strukturalni-fondy.cz/cs/Fondy-EU/2014-2020/Operacni-programy/OP-INTERREG-EUROPE" TargetMode="External"/><Relationship Id="rId77" Type="http://schemas.openxmlformats.org/officeDocument/2006/relationships/hyperlink" Target="http://www.mesicbiopotravin.cz" TargetMode="External"/><Relationship Id="rId100" Type="http://schemas.openxmlformats.org/officeDocument/2006/relationships/image" Target="media/image47.emf"/><Relationship Id="rId105" Type="http://schemas.openxmlformats.org/officeDocument/2006/relationships/image" Target="media/image52.emf"/><Relationship Id="rId126" Type="http://schemas.openxmlformats.org/officeDocument/2006/relationships/hyperlink" Target="http://www.svazvlastnikupudy.cz" TargetMode="External"/><Relationship Id="rId147" Type="http://schemas.openxmlformats.org/officeDocument/2006/relationships/image" Target="media/image79.emf"/><Relationship Id="rId168" Type="http://schemas.openxmlformats.org/officeDocument/2006/relationships/image" Target="media/image100.emf"/><Relationship Id="rId282" Type="http://schemas.openxmlformats.org/officeDocument/2006/relationships/image" Target="media/image209.emf"/><Relationship Id="rId8" Type="http://schemas.openxmlformats.org/officeDocument/2006/relationships/endnotes" Target="endnotes.xml"/><Relationship Id="rId51" Type="http://schemas.openxmlformats.org/officeDocument/2006/relationships/hyperlink" Target="http://www.strukturalni-fondy.cz/cs/Fondy-EU/2014-2020/Operacni-programy/OP-Rakousko-%E2%80%93-CR" TargetMode="External"/><Relationship Id="rId72" Type="http://schemas.openxmlformats.org/officeDocument/2006/relationships/image" Target="media/image38.emf"/><Relationship Id="rId93" Type="http://schemas.openxmlformats.org/officeDocument/2006/relationships/hyperlink" Target="http://www.bezpecnostpotravin.cz" TargetMode="External"/><Relationship Id="rId98" Type="http://schemas.openxmlformats.org/officeDocument/2006/relationships/image" Target="media/image45.emf"/><Relationship Id="rId121" Type="http://schemas.openxmlformats.org/officeDocument/2006/relationships/hyperlink" Target="http://www.cmszp.cz" TargetMode="External"/><Relationship Id="rId142" Type="http://schemas.openxmlformats.org/officeDocument/2006/relationships/image" Target="media/image74.emf"/><Relationship Id="rId163" Type="http://schemas.openxmlformats.org/officeDocument/2006/relationships/image" Target="media/image95.emf"/><Relationship Id="rId184" Type="http://schemas.openxmlformats.org/officeDocument/2006/relationships/image" Target="media/image116.emf"/><Relationship Id="rId189" Type="http://schemas.openxmlformats.org/officeDocument/2006/relationships/image" Target="media/image121.emf"/><Relationship Id="rId219" Type="http://schemas.openxmlformats.org/officeDocument/2006/relationships/image" Target="media/image151.emf"/><Relationship Id="rId3" Type="http://schemas.openxmlformats.org/officeDocument/2006/relationships/styles" Target="styles.xml"/><Relationship Id="rId214" Type="http://schemas.openxmlformats.org/officeDocument/2006/relationships/image" Target="media/image146.emf"/><Relationship Id="rId230" Type="http://schemas.openxmlformats.org/officeDocument/2006/relationships/image" Target="media/image162.emf"/><Relationship Id="rId235" Type="http://schemas.openxmlformats.org/officeDocument/2006/relationships/image" Target="media/image167.emf"/><Relationship Id="rId251" Type="http://schemas.openxmlformats.org/officeDocument/2006/relationships/image" Target="media/image179.emf"/><Relationship Id="rId256" Type="http://schemas.openxmlformats.org/officeDocument/2006/relationships/image" Target="media/image184.emf"/><Relationship Id="rId277" Type="http://schemas.openxmlformats.org/officeDocument/2006/relationships/image" Target="media/image204.emf"/><Relationship Id="rId25" Type="http://schemas.openxmlformats.org/officeDocument/2006/relationships/image" Target="media/image13.emf"/><Relationship Id="rId46" Type="http://schemas.openxmlformats.org/officeDocument/2006/relationships/hyperlink" Target="http://www.strukturalni-fondy.cz/cs/Fondy-EU/2014-2020/Operacni-programy" TargetMode="External"/><Relationship Id="rId67" Type="http://schemas.openxmlformats.org/officeDocument/2006/relationships/image" Target="media/image33.emf"/><Relationship Id="rId116" Type="http://schemas.openxmlformats.org/officeDocument/2006/relationships/hyperlink" Target="http://www.vyzkum.cz" TargetMode="External"/><Relationship Id="rId137" Type="http://schemas.openxmlformats.org/officeDocument/2006/relationships/image" Target="media/image69.emf"/><Relationship Id="rId158" Type="http://schemas.openxmlformats.org/officeDocument/2006/relationships/image" Target="media/image90.emf"/><Relationship Id="rId272"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image" Target="media/image27.emf"/><Relationship Id="rId62" Type="http://schemas.openxmlformats.org/officeDocument/2006/relationships/image" Target="media/image31.emf"/><Relationship Id="rId83" Type="http://schemas.openxmlformats.org/officeDocument/2006/relationships/image" Target="media/image43.emf"/><Relationship Id="rId88" Type="http://schemas.openxmlformats.org/officeDocument/2006/relationships/hyperlink" Target="http://www.vetcommittee.org" TargetMode="External"/><Relationship Id="rId111" Type="http://schemas.openxmlformats.org/officeDocument/2006/relationships/image" Target="media/image58.emf"/><Relationship Id="rId132" Type="http://schemas.openxmlformats.org/officeDocument/2006/relationships/image" Target="media/image64.emf"/><Relationship Id="rId153" Type="http://schemas.openxmlformats.org/officeDocument/2006/relationships/image" Target="media/image85.emf"/><Relationship Id="rId174" Type="http://schemas.openxmlformats.org/officeDocument/2006/relationships/image" Target="media/image106.emf"/><Relationship Id="rId179" Type="http://schemas.openxmlformats.org/officeDocument/2006/relationships/image" Target="media/image111.emf"/><Relationship Id="rId195" Type="http://schemas.openxmlformats.org/officeDocument/2006/relationships/image" Target="media/image127.emf"/><Relationship Id="rId209" Type="http://schemas.openxmlformats.org/officeDocument/2006/relationships/image" Target="media/image141.emf"/><Relationship Id="rId190" Type="http://schemas.openxmlformats.org/officeDocument/2006/relationships/image" Target="media/image122.emf"/><Relationship Id="rId204" Type="http://schemas.openxmlformats.org/officeDocument/2006/relationships/image" Target="media/image136.emf"/><Relationship Id="rId220" Type="http://schemas.openxmlformats.org/officeDocument/2006/relationships/image" Target="media/image152.emf"/><Relationship Id="rId225" Type="http://schemas.openxmlformats.org/officeDocument/2006/relationships/image" Target="media/image157.emf"/><Relationship Id="rId241" Type="http://schemas.openxmlformats.org/officeDocument/2006/relationships/image" Target="media/image169.emf"/><Relationship Id="rId246" Type="http://schemas.openxmlformats.org/officeDocument/2006/relationships/image" Target="media/image174.emf"/><Relationship Id="rId267" Type="http://schemas.openxmlformats.org/officeDocument/2006/relationships/image" Target="media/image195.emf"/><Relationship Id="rId288" Type="http://schemas.openxmlformats.org/officeDocument/2006/relationships/image" Target="media/image215.emf"/><Relationship Id="rId15" Type="http://schemas.openxmlformats.org/officeDocument/2006/relationships/image" Target="media/image3.emf"/><Relationship Id="rId36" Type="http://schemas.openxmlformats.org/officeDocument/2006/relationships/image" Target="media/image22.emf"/><Relationship Id="rId57" Type="http://schemas.openxmlformats.org/officeDocument/2006/relationships/hyperlink" Target="http://www.strukturalni-fondy.cz/cs/Fondy-EU/Kohezni-politika-EU/Operacni-programy/ESPON-2020" TargetMode="External"/><Relationship Id="rId106" Type="http://schemas.openxmlformats.org/officeDocument/2006/relationships/image" Target="media/image53.emf"/><Relationship Id="rId127" Type="http://schemas.openxmlformats.org/officeDocument/2006/relationships/hyperlink" Target="http://www.zscr.cz" TargetMode="External"/><Relationship Id="rId262" Type="http://schemas.openxmlformats.org/officeDocument/2006/relationships/image" Target="media/image190.emf"/><Relationship Id="rId283" Type="http://schemas.openxmlformats.org/officeDocument/2006/relationships/image" Target="media/image210.emf"/><Relationship Id="rId10" Type="http://schemas.openxmlformats.org/officeDocument/2006/relationships/hyperlink" Target="http://cs.wikipedia.org/wiki/DDT" TargetMode="External"/><Relationship Id="rId31" Type="http://schemas.openxmlformats.org/officeDocument/2006/relationships/hyperlink" Target="http://www.oecd.org/regional/regional-policy/42392595.pdf" TargetMode="External"/><Relationship Id="rId52" Type="http://schemas.openxmlformats.org/officeDocument/2006/relationships/hyperlink" Target="http://www.strukturalni-fondy.cz/cs/Fondy-EU/2014-2020/Operacni-programy/Program-preshranicni-spoluprace-Ceska-republik" TargetMode="External"/><Relationship Id="rId73" Type="http://schemas.openxmlformats.org/officeDocument/2006/relationships/image" Target="media/image39.emf"/><Relationship Id="rId78" Type="http://schemas.openxmlformats.org/officeDocument/2006/relationships/hyperlink" Target="http://www.eagri.cz" TargetMode="External"/><Relationship Id="rId94" Type="http://schemas.openxmlformats.org/officeDocument/2006/relationships/hyperlink" Target="http://www.bezpecnostpotravin.cz" TargetMode="External"/><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hyperlink" Target="http://www.foodnet.cz" TargetMode="External"/><Relationship Id="rId143" Type="http://schemas.openxmlformats.org/officeDocument/2006/relationships/image" Target="media/image75.emf"/><Relationship Id="rId148" Type="http://schemas.openxmlformats.org/officeDocument/2006/relationships/image" Target="media/image80.emf"/><Relationship Id="rId164" Type="http://schemas.openxmlformats.org/officeDocument/2006/relationships/image" Target="media/image96.emf"/><Relationship Id="rId169" Type="http://schemas.openxmlformats.org/officeDocument/2006/relationships/image" Target="media/image101.emf"/><Relationship Id="rId185" Type="http://schemas.openxmlformats.org/officeDocument/2006/relationships/image" Target="media/image117.emf"/><Relationship Id="rId4" Type="http://schemas.microsoft.com/office/2007/relationships/stylesWithEffects" Target="stylesWithEffects.xml"/><Relationship Id="rId9" Type="http://schemas.openxmlformats.org/officeDocument/2006/relationships/hyperlink" Target="http://en.wikipedia.org/wiki/Dichlorodiphenyldichloroethylene" TargetMode="External"/><Relationship Id="rId180" Type="http://schemas.openxmlformats.org/officeDocument/2006/relationships/image" Target="media/image112.emf"/><Relationship Id="rId210" Type="http://schemas.openxmlformats.org/officeDocument/2006/relationships/image" Target="media/image142.emf"/><Relationship Id="rId215" Type="http://schemas.openxmlformats.org/officeDocument/2006/relationships/image" Target="media/image147.emf"/><Relationship Id="rId236" Type="http://schemas.openxmlformats.org/officeDocument/2006/relationships/image" Target="media/image168.emf"/><Relationship Id="rId257" Type="http://schemas.openxmlformats.org/officeDocument/2006/relationships/image" Target="media/image185.emf"/><Relationship Id="rId278" Type="http://schemas.openxmlformats.org/officeDocument/2006/relationships/image" Target="media/image205.emf"/><Relationship Id="rId26" Type="http://schemas.openxmlformats.org/officeDocument/2006/relationships/image" Target="media/image14.emf"/><Relationship Id="rId231" Type="http://schemas.openxmlformats.org/officeDocument/2006/relationships/image" Target="media/image163.emf"/><Relationship Id="rId252" Type="http://schemas.openxmlformats.org/officeDocument/2006/relationships/image" Target="media/image180.emf"/><Relationship Id="rId273" Type="http://schemas.openxmlformats.org/officeDocument/2006/relationships/image" Target="media/image200.emf"/><Relationship Id="rId47" Type="http://schemas.openxmlformats.org/officeDocument/2006/relationships/image" Target="media/image28.emf"/><Relationship Id="rId68" Type="http://schemas.openxmlformats.org/officeDocument/2006/relationships/image" Target="media/image34.emf"/><Relationship Id="rId89" Type="http://schemas.openxmlformats.org/officeDocument/2006/relationships/hyperlink" Target="http://www.vuzv.cz" TargetMode="External"/><Relationship Id="rId112" Type="http://schemas.openxmlformats.org/officeDocument/2006/relationships/image" Target="media/image59.emf"/><Relationship Id="rId133" Type="http://schemas.openxmlformats.org/officeDocument/2006/relationships/image" Target="media/image65.emf"/><Relationship Id="rId154" Type="http://schemas.openxmlformats.org/officeDocument/2006/relationships/image" Target="media/image86.emf"/><Relationship Id="rId175" Type="http://schemas.openxmlformats.org/officeDocument/2006/relationships/image" Target="media/image107.emf"/><Relationship Id="rId196" Type="http://schemas.openxmlformats.org/officeDocument/2006/relationships/image" Target="media/image128.emf"/><Relationship Id="rId200" Type="http://schemas.openxmlformats.org/officeDocument/2006/relationships/image" Target="media/image132.emf"/><Relationship Id="rId16" Type="http://schemas.openxmlformats.org/officeDocument/2006/relationships/image" Target="media/image4.emf"/><Relationship Id="rId221" Type="http://schemas.openxmlformats.org/officeDocument/2006/relationships/image" Target="media/image153.emf"/><Relationship Id="rId242" Type="http://schemas.openxmlformats.org/officeDocument/2006/relationships/image" Target="media/image170.emf"/><Relationship Id="rId263" Type="http://schemas.openxmlformats.org/officeDocument/2006/relationships/image" Target="media/image191.emf"/><Relationship Id="rId284" Type="http://schemas.openxmlformats.org/officeDocument/2006/relationships/image" Target="media/image211.emf"/><Relationship Id="rId37" Type="http://schemas.openxmlformats.org/officeDocument/2006/relationships/image" Target="media/image23.emf"/><Relationship Id="rId58" Type="http://schemas.openxmlformats.org/officeDocument/2006/relationships/hyperlink" Target="http://www.strukturalni-fondy.cz/cs/Fondy-EU/Kohezni-politika-EU/Operacni-programy/OP-INTERACT-III" TargetMode="External"/><Relationship Id="rId79" Type="http://schemas.openxmlformats.org/officeDocument/2006/relationships/hyperlink" Target="http://www.bezpecnostpotravin.cz" TargetMode="External"/><Relationship Id="rId102" Type="http://schemas.openxmlformats.org/officeDocument/2006/relationships/image" Target="media/image49.emf"/><Relationship Id="rId123" Type="http://schemas.openxmlformats.org/officeDocument/2006/relationships/hyperlink" Target="http://www.pro-bio.cz" TargetMode="External"/><Relationship Id="rId144" Type="http://schemas.openxmlformats.org/officeDocument/2006/relationships/image" Target="media/image76.emf"/><Relationship Id="rId90" Type="http://schemas.openxmlformats.org/officeDocument/2006/relationships/hyperlink" Target="http://www.phytosanitary.org" TargetMode="External"/><Relationship Id="rId165" Type="http://schemas.openxmlformats.org/officeDocument/2006/relationships/image" Target="media/image97.emf"/><Relationship Id="rId186" Type="http://schemas.openxmlformats.org/officeDocument/2006/relationships/image" Target="media/image118.emf"/><Relationship Id="rId211" Type="http://schemas.openxmlformats.org/officeDocument/2006/relationships/image" Target="media/image143.emf"/><Relationship Id="rId232" Type="http://schemas.openxmlformats.org/officeDocument/2006/relationships/image" Target="media/image164.emf"/><Relationship Id="rId253" Type="http://schemas.openxmlformats.org/officeDocument/2006/relationships/image" Target="media/image181.emf"/><Relationship Id="rId274" Type="http://schemas.openxmlformats.org/officeDocument/2006/relationships/image" Target="media/image201.emf"/><Relationship Id="rId27" Type="http://schemas.openxmlformats.org/officeDocument/2006/relationships/image" Target="media/image15.emf"/><Relationship Id="rId48" Type="http://schemas.openxmlformats.org/officeDocument/2006/relationships/hyperlink" Target="http://www.strukturalni-fondy.cz/cs/Fondy-EU/2014-2020/Operacni-programy/OP-CR-%E2%80%93-Polsko" TargetMode="External"/><Relationship Id="rId69" Type="http://schemas.openxmlformats.org/officeDocument/2006/relationships/image" Target="media/image35.emf"/><Relationship Id="rId113" Type="http://schemas.openxmlformats.org/officeDocument/2006/relationships/image" Target="media/image60.emf"/><Relationship Id="rId134" Type="http://schemas.openxmlformats.org/officeDocument/2006/relationships/image" Target="media/image66.emf"/><Relationship Id="rId80" Type="http://schemas.openxmlformats.org/officeDocument/2006/relationships/hyperlink" Target="http://www.szpi.gov.cz" TargetMode="External"/><Relationship Id="rId155" Type="http://schemas.openxmlformats.org/officeDocument/2006/relationships/image" Target="media/image87.emf"/><Relationship Id="rId176" Type="http://schemas.openxmlformats.org/officeDocument/2006/relationships/image" Target="media/image108.emf"/><Relationship Id="rId197" Type="http://schemas.openxmlformats.org/officeDocument/2006/relationships/image" Target="media/image129.emf"/><Relationship Id="rId201" Type="http://schemas.openxmlformats.org/officeDocument/2006/relationships/image" Target="media/image133.emf"/><Relationship Id="rId222" Type="http://schemas.openxmlformats.org/officeDocument/2006/relationships/image" Target="media/image154.emf"/><Relationship Id="rId243" Type="http://schemas.openxmlformats.org/officeDocument/2006/relationships/image" Target="media/image171.emf"/><Relationship Id="rId264" Type="http://schemas.openxmlformats.org/officeDocument/2006/relationships/image" Target="media/image192.emf"/><Relationship Id="rId285" Type="http://schemas.openxmlformats.org/officeDocument/2006/relationships/image" Target="media/image212.emf"/><Relationship Id="rId17" Type="http://schemas.openxmlformats.org/officeDocument/2006/relationships/image" Target="media/image5.emf"/><Relationship Id="rId38" Type="http://schemas.openxmlformats.org/officeDocument/2006/relationships/image" Target="media/image24.emf"/><Relationship Id="rId59" Type="http://schemas.openxmlformats.org/officeDocument/2006/relationships/hyperlink" Target="https://apps.odok.cz/djv-agenda?p_p_id=agenda_WAR_odokkpl&amp;p_p_lifecycle=2&amp;p_p_state=normal&amp;p_p_mode=view&amp;p_p_resource_id=downloadAttachment&amp;p_p_cacheability=cacheLevelPage&amp;p_p_col_id=column-2&amp;p_p_col_count=1&amp;_agenda_WAR_odokkpl_attachmentPid=KORN97BU47D0" TargetMode="External"/><Relationship Id="rId103" Type="http://schemas.openxmlformats.org/officeDocument/2006/relationships/image" Target="media/image50.emf"/><Relationship Id="rId124" Type="http://schemas.openxmlformats.org/officeDocument/2006/relationships/hyperlink" Target="http://www.smacr.cz" TargetMode="External"/><Relationship Id="rId70" Type="http://schemas.openxmlformats.org/officeDocument/2006/relationships/image" Target="media/image36.emf"/><Relationship Id="rId91" Type="http://schemas.openxmlformats.org/officeDocument/2006/relationships/hyperlink" Target="http://www.scgmff.cz" TargetMode="External"/><Relationship Id="rId145" Type="http://schemas.openxmlformats.org/officeDocument/2006/relationships/image" Target="media/image77.emf"/><Relationship Id="rId166" Type="http://schemas.openxmlformats.org/officeDocument/2006/relationships/image" Target="media/image98.emf"/><Relationship Id="rId187" Type="http://schemas.openxmlformats.org/officeDocument/2006/relationships/image" Target="media/image119.emf"/><Relationship Id="rId1" Type="http://schemas.openxmlformats.org/officeDocument/2006/relationships/customXml" Target="../customXml/item1.xml"/><Relationship Id="rId212" Type="http://schemas.openxmlformats.org/officeDocument/2006/relationships/image" Target="media/image144.emf"/><Relationship Id="rId233" Type="http://schemas.openxmlformats.org/officeDocument/2006/relationships/image" Target="media/image165.emf"/><Relationship Id="rId254" Type="http://schemas.openxmlformats.org/officeDocument/2006/relationships/image" Target="media/image182.emf"/><Relationship Id="rId28" Type="http://schemas.openxmlformats.org/officeDocument/2006/relationships/image" Target="media/image16.emf"/><Relationship Id="rId49" Type="http://schemas.openxmlformats.org/officeDocument/2006/relationships/hyperlink" Target="http://www.strukturalni-fondy.cz/cs/Fondy-EU/Kohezni-politika-EU/Operacni-programy/OP-CR-%E2%80%93-Polsko-%281%29" TargetMode="External"/><Relationship Id="rId114" Type="http://schemas.openxmlformats.org/officeDocument/2006/relationships/hyperlink" Target="http://www.vyzkum.cz" TargetMode="External"/><Relationship Id="rId275" Type="http://schemas.openxmlformats.org/officeDocument/2006/relationships/image" Target="media/image202.emf"/><Relationship Id="rId60" Type="http://schemas.openxmlformats.org/officeDocument/2006/relationships/image" Target="media/image29.emf"/><Relationship Id="rId81" Type="http://schemas.openxmlformats.org/officeDocument/2006/relationships/image" Target="media/image42.emf"/><Relationship Id="rId135" Type="http://schemas.openxmlformats.org/officeDocument/2006/relationships/image" Target="media/image67.emf"/><Relationship Id="rId156" Type="http://schemas.openxmlformats.org/officeDocument/2006/relationships/image" Target="media/image88.emf"/><Relationship Id="rId177" Type="http://schemas.openxmlformats.org/officeDocument/2006/relationships/image" Target="media/image109.emf"/><Relationship Id="rId198" Type="http://schemas.openxmlformats.org/officeDocument/2006/relationships/image" Target="media/image130.emf"/><Relationship Id="rId202" Type="http://schemas.openxmlformats.org/officeDocument/2006/relationships/image" Target="media/image134.emf"/><Relationship Id="rId223" Type="http://schemas.openxmlformats.org/officeDocument/2006/relationships/image" Target="media/image155.emf"/><Relationship Id="rId244" Type="http://schemas.openxmlformats.org/officeDocument/2006/relationships/image" Target="media/image172.emf"/><Relationship Id="rId18" Type="http://schemas.openxmlformats.org/officeDocument/2006/relationships/image" Target="media/image6.emf"/><Relationship Id="rId39" Type="http://schemas.openxmlformats.org/officeDocument/2006/relationships/image" Target="media/image25.emf"/><Relationship Id="rId265" Type="http://schemas.openxmlformats.org/officeDocument/2006/relationships/image" Target="media/image193.emf"/><Relationship Id="rId286" Type="http://schemas.openxmlformats.org/officeDocument/2006/relationships/image" Target="media/image213.emf"/></Relationships>
</file>

<file path=word/_rels/footnotes.xml.rels><?xml version="1.0" encoding="UTF-8" standalone="yes"?>
<Relationships xmlns="http://schemas.openxmlformats.org/package/2006/relationships"><Relationship Id="rId3" Type="http://schemas.openxmlformats.org/officeDocument/2006/relationships/hyperlink" Target="http://www.spucr.cz/restituce/cirkevni-restituce" TargetMode="External"/><Relationship Id="rId2" Type="http://schemas.openxmlformats.org/officeDocument/2006/relationships/hyperlink" Target="http://eagri.cz/public/web/mze/venkov/program-rozvoje-venkova/monitorovaci-vybor/podklady-z-jednani/x17-zasedani-mv-prv-18-11-2014.html" TargetMode="External"/><Relationship Id="rId1" Type="http://schemas.openxmlformats.org/officeDocument/2006/relationships/hyperlink" Target="http://epp.eurostat.ec.europa.eu/statistics_explained/index.php/Urban-rural_typology" TargetMode="External"/><Relationship Id="rId5" Type="http://schemas.openxmlformats.org/officeDocument/2006/relationships/hyperlink" Target="http://eagri.cz/public/web/file/293944/MZE_prirucka_vodni_eroze.pdf" TargetMode="External"/><Relationship Id="rId4" Type="http://schemas.openxmlformats.org/officeDocument/2006/relationships/hyperlink" Target="http://eagri.cz/public/web/mze/dotace/kontroly-podminenosti-cross-compliance/dokumenty-ke-stazeni/"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E314E-782C-4338-B7AE-0A37F540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413</Pages>
  <Words>115278</Words>
  <Characters>680146</Characters>
  <Application>Microsoft Office Word</Application>
  <DocSecurity>0</DocSecurity>
  <Lines>5667</Lines>
  <Paragraphs>1587</Paragraphs>
  <ScaleCrop>false</ScaleCrop>
  <HeadingPairs>
    <vt:vector size="2" baseType="variant">
      <vt:variant>
        <vt:lpstr>Název</vt:lpstr>
      </vt:variant>
      <vt:variant>
        <vt:i4>1</vt:i4>
      </vt:variant>
    </vt:vector>
  </HeadingPairs>
  <TitlesOfParts>
    <vt:vector size="1" baseType="lpstr">
      <vt:lpstr>ZZ14</vt:lpstr>
    </vt:vector>
  </TitlesOfParts>
  <Company>ÚZEI</Company>
  <LinksUpToDate>false</LinksUpToDate>
  <CharactersWithSpaces>793837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ZZ14</dc:title>
  <dc:creator>Matalová Vladimíra</dc:creator>
  <cp:lastModifiedBy>Šindlerová Helena</cp:lastModifiedBy>
  <cp:revision>3</cp:revision>
  <cp:lastPrinted>2015-07-21T08:55:00Z</cp:lastPrinted>
  <dcterms:created xsi:type="dcterms:W3CDTF">2015-07-22T13:15:00Z</dcterms:created>
  <dcterms:modified xsi:type="dcterms:W3CDTF">2015-08-17T12:14:00Z</dcterms:modified>
</cp:coreProperties>
</file>