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49115" w14:textId="77777777" w:rsidR="00B049EB" w:rsidRDefault="00B049EB">
      <w:bookmarkStart w:id="0" w:name="_GoBack"/>
      <w:bookmarkEnd w:id="0"/>
    </w:p>
    <w:p w14:paraId="71EEC9E9" w14:textId="77777777" w:rsidR="00B049EB" w:rsidRDefault="00B049EB"/>
    <w:p w14:paraId="70C4F670" w14:textId="77777777" w:rsidR="00B049EB" w:rsidRDefault="00B049EB"/>
    <w:p w14:paraId="4F2F1E33" w14:textId="77777777" w:rsidR="00B049EB" w:rsidRDefault="00B049EB"/>
    <w:p w14:paraId="51C74E71" w14:textId="77777777" w:rsidR="00B049EB" w:rsidRDefault="00B049EB"/>
    <w:p w14:paraId="6619306C" w14:textId="77777777" w:rsidR="003C12C4" w:rsidRDefault="003C12C4" w:rsidP="00B049EB">
      <w:pPr>
        <w:jc w:val="center"/>
        <w:rPr>
          <w:b/>
          <w:sz w:val="36"/>
        </w:rPr>
      </w:pPr>
    </w:p>
    <w:p w14:paraId="6F63843C" w14:textId="77777777" w:rsidR="003C12C4" w:rsidRDefault="003C12C4" w:rsidP="00B049EB">
      <w:pPr>
        <w:jc w:val="center"/>
        <w:rPr>
          <w:b/>
          <w:sz w:val="36"/>
        </w:rPr>
      </w:pPr>
    </w:p>
    <w:p w14:paraId="57D4EC4E" w14:textId="77777777" w:rsidR="003C12C4" w:rsidRDefault="003C12C4" w:rsidP="00B049EB">
      <w:pPr>
        <w:jc w:val="center"/>
        <w:rPr>
          <w:b/>
          <w:sz w:val="36"/>
        </w:rPr>
      </w:pPr>
    </w:p>
    <w:p w14:paraId="1E7A4594" w14:textId="77777777" w:rsidR="003C12C4" w:rsidRDefault="003C12C4" w:rsidP="00B049EB">
      <w:pPr>
        <w:jc w:val="center"/>
        <w:rPr>
          <w:b/>
          <w:sz w:val="36"/>
        </w:rPr>
      </w:pPr>
    </w:p>
    <w:p w14:paraId="53CBFF0E" w14:textId="77777777" w:rsidR="003C12C4" w:rsidRDefault="003C12C4" w:rsidP="00B049EB">
      <w:pPr>
        <w:jc w:val="center"/>
        <w:rPr>
          <w:b/>
          <w:sz w:val="36"/>
        </w:rPr>
      </w:pPr>
    </w:p>
    <w:p w14:paraId="54049014" w14:textId="317986ED" w:rsidR="003C12C4" w:rsidRPr="0060464F" w:rsidRDefault="0060464F" w:rsidP="00B049EB">
      <w:pPr>
        <w:jc w:val="center"/>
        <w:rPr>
          <w:rFonts w:ascii="Calibri" w:hAnsi="Calibri" w:cs="Calibri"/>
          <w:b/>
          <w:sz w:val="48"/>
          <w:szCs w:val="48"/>
        </w:rPr>
      </w:pPr>
      <w:r w:rsidRPr="0060464F">
        <w:rPr>
          <w:rFonts w:ascii="Calibri" w:hAnsi="Calibri" w:cs="Calibri"/>
          <w:b/>
          <w:sz w:val="48"/>
          <w:szCs w:val="48"/>
        </w:rPr>
        <w:t>ZPRÁVA O REALIZACI OPATŘENÍ SOUHRNNÝCH AKČNÍCH PLÁNŮ HOSPODÁŘSKÉ RESTRUKTURALIZACE ÚK, MSK A KVK</w:t>
      </w:r>
    </w:p>
    <w:p w14:paraId="4E1840DB" w14:textId="1802CEBF" w:rsidR="00B049EB" w:rsidRPr="0060464F" w:rsidRDefault="001F5B35" w:rsidP="00B049EB">
      <w:pPr>
        <w:jc w:val="center"/>
        <w:rPr>
          <w:rFonts w:ascii="Calibri" w:hAnsi="Calibri" w:cs="Calibri"/>
          <w:b/>
          <w:sz w:val="48"/>
          <w:szCs w:val="48"/>
        </w:rPr>
      </w:pPr>
      <w:r w:rsidRPr="0060464F">
        <w:rPr>
          <w:rFonts w:ascii="Calibri" w:hAnsi="Calibri" w:cs="Calibri"/>
          <w:b/>
          <w:sz w:val="48"/>
          <w:szCs w:val="48"/>
        </w:rPr>
        <w:t xml:space="preserve">01. 01. </w:t>
      </w:r>
      <w:r w:rsidR="001E27C3">
        <w:rPr>
          <w:rFonts w:ascii="Calibri" w:hAnsi="Calibri" w:cs="Calibri"/>
          <w:b/>
          <w:sz w:val="48"/>
          <w:szCs w:val="48"/>
        </w:rPr>
        <w:t>2</w:t>
      </w:r>
      <w:r w:rsidRPr="0060464F">
        <w:rPr>
          <w:rFonts w:ascii="Calibri" w:hAnsi="Calibri" w:cs="Calibri"/>
          <w:b/>
          <w:sz w:val="48"/>
          <w:szCs w:val="48"/>
        </w:rPr>
        <w:t xml:space="preserve">018 - </w:t>
      </w:r>
      <w:r w:rsidR="00B049EB" w:rsidRPr="0060464F">
        <w:rPr>
          <w:rFonts w:ascii="Calibri" w:hAnsi="Calibri" w:cs="Calibri"/>
          <w:b/>
          <w:sz w:val="48"/>
          <w:szCs w:val="48"/>
        </w:rPr>
        <w:t>31. 12. 2018</w:t>
      </w:r>
    </w:p>
    <w:p w14:paraId="137CF97D" w14:textId="77777777" w:rsidR="00B049EB" w:rsidRDefault="00B049EB">
      <w:pPr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</w:rPr>
      </w:pPr>
    </w:p>
    <w:p w14:paraId="3C7BE16A" w14:textId="77777777" w:rsidR="00B049EB" w:rsidRDefault="00B049EB">
      <w:pPr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325628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837167" w14:textId="77777777" w:rsidR="00B049EB" w:rsidRDefault="00B049EB">
          <w:pPr>
            <w:pStyle w:val="Nadpisobsahu"/>
          </w:pPr>
          <w:r>
            <w:t>Obsah</w:t>
          </w:r>
        </w:p>
        <w:p w14:paraId="6C0834B4" w14:textId="7EC6B8A8" w:rsidR="00313A97" w:rsidRDefault="00B049E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0488755" w:history="1">
            <w:r w:rsidR="00313A97" w:rsidRPr="00F34292">
              <w:rPr>
                <w:rStyle w:val="Hypertextovodkaz"/>
                <w:noProof/>
              </w:rPr>
              <w:t>Úvod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_Toc10488755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2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11DABD3A" w14:textId="2786E2E4" w:rsidR="00313A97" w:rsidRDefault="000475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56" w:history="1">
            <w:r w:rsidR="00313A97" w:rsidRPr="00F34292">
              <w:rPr>
                <w:rStyle w:val="Hypertextovodkaz"/>
                <w:noProof/>
              </w:rPr>
              <w:t>Aktuální stav naplňování akčních plánů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_Toc10488756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3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0F9A19D6" w14:textId="308903D2" w:rsidR="00313A97" w:rsidRDefault="0004759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57" w:history="1">
            <w:r w:rsidR="00313A97" w:rsidRPr="00F34292">
              <w:rPr>
                <w:rStyle w:val="Hypertextovodkaz"/>
                <w:noProof/>
              </w:rPr>
              <w:t>Realizace opatření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_Toc10488757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4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25DDF053" w14:textId="0E0529F5" w:rsidR="00313A97" w:rsidRDefault="0004759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58" w:history="1">
            <w:r w:rsidR="00313A97" w:rsidRPr="00F34292">
              <w:rPr>
                <w:rStyle w:val="Hypertextovodkaz"/>
                <w:noProof/>
              </w:rPr>
              <w:t>Realizace projektů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_Toc10488758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6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4E5961DD" w14:textId="3A7CEF38" w:rsidR="00313A97" w:rsidRDefault="0004759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59" w:history="1">
            <w:r w:rsidR="00313A97" w:rsidRPr="00F34292">
              <w:rPr>
                <w:rStyle w:val="Hypertextovodkaz"/>
                <w:noProof/>
              </w:rPr>
              <w:t>Bariéry a rizika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_Toc10488759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7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560C4096" w14:textId="0FFAA73C" w:rsidR="00313A97" w:rsidRDefault="000475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60" w:history="1">
            <w:r w:rsidR="00313A97" w:rsidRPr="00F34292">
              <w:rPr>
                <w:rStyle w:val="Hypertextovodkaz"/>
                <w:noProof/>
              </w:rPr>
              <w:t>Platforma pro uhelné regiony v transformaci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_Toc10488760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8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2F16AA83" w14:textId="5F19DB49" w:rsidR="00313A97" w:rsidRDefault="000475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61" w:history="1">
            <w:r w:rsidR="00313A97" w:rsidRPr="00F34292">
              <w:rPr>
                <w:rStyle w:val="Hypertextovodkaz"/>
                <w:noProof/>
              </w:rPr>
              <w:t>Výhled pro rok 2019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_Toc10488761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9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13982C46" w14:textId="24F2CADA" w:rsidR="00313A97" w:rsidRDefault="0004759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62" w:history="1">
            <w:r w:rsidR="00313A97" w:rsidRPr="00F34292">
              <w:rPr>
                <w:rStyle w:val="Hypertextovodkaz"/>
                <w:noProof/>
              </w:rPr>
              <w:t>Plánované výzvy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_Toc10488762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9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4FE7343F" w14:textId="2EA8D489" w:rsidR="00313A97" w:rsidRDefault="0004759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63" w:history="1">
            <w:r w:rsidR="00313A97" w:rsidRPr="00F34292">
              <w:rPr>
                <w:rStyle w:val="Hypertextovodkaz"/>
                <w:noProof/>
              </w:rPr>
              <w:t>ESIF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_Toc10488763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9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73CC4547" w14:textId="5DA024A3" w:rsidR="00313A97" w:rsidRDefault="0004759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64" w:history="1">
            <w:r w:rsidR="00313A97" w:rsidRPr="00F34292">
              <w:rPr>
                <w:rStyle w:val="Hypertextovodkaz"/>
                <w:noProof/>
              </w:rPr>
              <w:t>Národní dotační tituly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_Toc10488764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10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7E8AA050" w14:textId="19CFF59F" w:rsidR="00313A97" w:rsidRDefault="0004759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65" w:history="1">
            <w:r w:rsidR="00313A97" w:rsidRPr="00F34292">
              <w:rPr>
                <w:rStyle w:val="Hypertextovodkaz"/>
                <w:noProof/>
              </w:rPr>
              <w:t>Výhled připravovaných opatření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_Toc10488765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10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27351014" w14:textId="7DB7F95C" w:rsidR="00313A97" w:rsidRDefault="0004759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66" w:history="1">
            <w:r w:rsidR="00313A97" w:rsidRPr="00F34292">
              <w:rPr>
                <w:rStyle w:val="Hypertextovodkaz"/>
                <w:noProof/>
              </w:rPr>
              <w:t>Doporučení pro rok 2019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_Toc10488766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11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39B6A236" w14:textId="3B3CE60C" w:rsidR="00313A97" w:rsidRDefault="000475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67" w:history="1">
            <w:r w:rsidR="00313A97" w:rsidRPr="00F34292">
              <w:rPr>
                <w:rStyle w:val="Hypertextovodkaz"/>
                <w:noProof/>
              </w:rPr>
              <w:t>Závěr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_Toc10488767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12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2E79CE61" w14:textId="2E3EFEFC" w:rsidR="00313A97" w:rsidRDefault="000475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68" w:history="1">
            <w:r w:rsidR="00313A97" w:rsidRPr="00F34292">
              <w:rPr>
                <w:rStyle w:val="Hypertextovodkaz"/>
                <w:noProof/>
              </w:rPr>
              <w:t>Seznam použitých zkratek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_Toc10488768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13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11EF3423" w14:textId="52918118" w:rsidR="00313A97" w:rsidRDefault="000475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69" w:history="1">
            <w:r w:rsidR="00313A97" w:rsidRPr="00F34292">
              <w:rPr>
                <w:rStyle w:val="Hypertextovodkaz"/>
                <w:noProof/>
              </w:rPr>
              <w:t>Seznam tabulek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_Toc10488769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13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20AFCE7A" w14:textId="60AE10AE" w:rsidR="00313A97" w:rsidRDefault="000475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488770" w:history="1">
            <w:r w:rsidR="00313A97" w:rsidRPr="00F34292">
              <w:rPr>
                <w:rStyle w:val="Hypertextovodkaz"/>
                <w:noProof/>
              </w:rPr>
              <w:t>Přílohy</w:t>
            </w:r>
            <w:r w:rsidR="00313A97">
              <w:rPr>
                <w:noProof/>
                <w:webHidden/>
              </w:rPr>
              <w:tab/>
            </w:r>
            <w:r w:rsidR="00313A97">
              <w:rPr>
                <w:noProof/>
                <w:webHidden/>
              </w:rPr>
              <w:fldChar w:fldCharType="begin"/>
            </w:r>
            <w:r w:rsidR="00313A97">
              <w:rPr>
                <w:noProof/>
                <w:webHidden/>
              </w:rPr>
              <w:instrText xml:space="preserve"> PAGEREF _Toc10488770 \h </w:instrText>
            </w:r>
            <w:r w:rsidR="00313A97">
              <w:rPr>
                <w:noProof/>
                <w:webHidden/>
              </w:rPr>
            </w:r>
            <w:r w:rsidR="00313A97">
              <w:rPr>
                <w:noProof/>
                <w:webHidden/>
              </w:rPr>
              <w:fldChar w:fldCharType="separate"/>
            </w:r>
            <w:r w:rsidR="006404A0">
              <w:rPr>
                <w:noProof/>
                <w:webHidden/>
              </w:rPr>
              <w:t>13</w:t>
            </w:r>
            <w:r w:rsidR="00313A97">
              <w:rPr>
                <w:noProof/>
                <w:webHidden/>
              </w:rPr>
              <w:fldChar w:fldCharType="end"/>
            </w:r>
          </w:hyperlink>
        </w:p>
        <w:p w14:paraId="74200880" w14:textId="77329EEF" w:rsidR="00B049EB" w:rsidRDefault="00B049EB">
          <w:r>
            <w:rPr>
              <w:b/>
              <w:bCs/>
            </w:rPr>
            <w:fldChar w:fldCharType="end"/>
          </w:r>
        </w:p>
      </w:sdtContent>
    </w:sdt>
    <w:p w14:paraId="0BF317AE" w14:textId="79A38027" w:rsidR="00FA1F7C" w:rsidRDefault="005A3D47" w:rsidP="0099699B">
      <w:pPr>
        <w:pStyle w:val="Nadpis1"/>
      </w:pPr>
      <w:bookmarkStart w:id="1" w:name="_Toc10488755"/>
      <w:r w:rsidRPr="005A3D47">
        <w:t>Úvod</w:t>
      </w:r>
      <w:bookmarkEnd w:id="1"/>
    </w:p>
    <w:p w14:paraId="07E02763" w14:textId="3C94ECF0" w:rsidR="003846E7" w:rsidRDefault="002A40D7" w:rsidP="00DA75D6">
      <w:pPr>
        <w:jc w:val="both"/>
      </w:pPr>
      <w:r w:rsidRPr="00EA0FAD">
        <w:t xml:space="preserve">Předložená Zpráva o realizaci opatření </w:t>
      </w:r>
      <w:r w:rsidR="00C9535A">
        <w:t xml:space="preserve">Souhrnné </w:t>
      </w:r>
      <w:r w:rsidRPr="00EA0FAD">
        <w:t xml:space="preserve">Akčního plánu (dále jen Zpráva o realizaci) se vztahuje </w:t>
      </w:r>
      <w:r w:rsidR="003846E7">
        <w:t xml:space="preserve">k již schváleným </w:t>
      </w:r>
      <w:r w:rsidR="00C9535A">
        <w:t>Souhrnným a</w:t>
      </w:r>
      <w:r w:rsidRPr="00EA0FAD">
        <w:t>kčním plán</w:t>
      </w:r>
      <w:r w:rsidR="003846E7">
        <w:t>ům</w:t>
      </w:r>
      <w:r w:rsidRPr="00EA0FAD">
        <w:t xml:space="preserve"> hospodářské restrukturalizace Moravskoslezského, Ústeckého </w:t>
      </w:r>
      <w:r>
        <w:t>a Karlovarského kraje (dále jen „Akční plán</w:t>
      </w:r>
      <w:r w:rsidR="003846E7">
        <w:t>y</w:t>
      </w:r>
      <w:r>
        <w:t xml:space="preserve">“), </w:t>
      </w:r>
      <w:r w:rsidRPr="00EA0FAD">
        <w:t>kter</w:t>
      </w:r>
      <w:r w:rsidR="003846E7">
        <w:t>é</w:t>
      </w:r>
      <w:r w:rsidRPr="00EA0FAD">
        <w:t xml:space="preserve"> byl</w:t>
      </w:r>
      <w:r w:rsidR="00134242">
        <w:t>y</w:t>
      </w:r>
      <w:r w:rsidRPr="00EA0FAD">
        <w:t xml:space="preserve"> </w:t>
      </w:r>
      <w:r w:rsidR="001F5B35">
        <w:t>potvrzeny</w:t>
      </w:r>
      <w:r w:rsidRPr="00EA0FAD">
        <w:t xml:space="preserve"> vládou ČR na základě usnesení ze dne </w:t>
      </w:r>
      <w:r w:rsidR="003846E7">
        <w:t xml:space="preserve">10. 7. 2017 č. 503 a </w:t>
      </w:r>
      <w:r>
        <w:t>4. 9. 2018 č. 562</w:t>
      </w:r>
      <w:r w:rsidRPr="00EA0FAD">
        <w:t xml:space="preserve">. </w:t>
      </w:r>
      <w:r>
        <w:t xml:space="preserve">Společně se schválením </w:t>
      </w:r>
      <w:r w:rsidR="003846E7">
        <w:t xml:space="preserve">2. </w:t>
      </w:r>
      <w:r>
        <w:t xml:space="preserve">Akčního plánu došlo také k aktualizaci implementačních zásad, které vstoupily v platnost 1. ledna 2019. Na jejich základě došlo k transformaci organizační struktury a přechodu řízení programu </w:t>
      </w:r>
      <w:proofErr w:type="gramStart"/>
      <w:r>
        <w:t>RE:START</w:t>
      </w:r>
      <w:proofErr w:type="gramEnd"/>
      <w:r>
        <w:t xml:space="preserve"> z Úřadu </w:t>
      </w:r>
      <w:r w:rsidR="001F5B35">
        <w:t xml:space="preserve">zmocněnce </w:t>
      </w:r>
      <w:r>
        <w:t>vlád</w:t>
      </w:r>
      <w:r w:rsidR="001F5B35">
        <w:t>y</w:t>
      </w:r>
      <w:r>
        <w:t xml:space="preserve"> do gesce Ministerstva pro místní rozvoj</w:t>
      </w:r>
      <w:r w:rsidR="001F5B35">
        <w:t xml:space="preserve"> a jím zřízeného Národního výkonného týmu RE:START</w:t>
      </w:r>
      <w:r>
        <w:t>. V</w:t>
      </w:r>
      <w:r w:rsidRPr="00EA0FAD">
        <w:t xml:space="preserve"> souladu se schválenými </w:t>
      </w:r>
      <w:r>
        <w:t xml:space="preserve">novými </w:t>
      </w:r>
      <w:r w:rsidRPr="00EA0FAD">
        <w:t xml:space="preserve">implementačními zásadami </w:t>
      </w:r>
      <w:r>
        <w:t xml:space="preserve">byla tato Zpráva o realizaci již </w:t>
      </w:r>
      <w:r w:rsidRPr="00EA0FAD">
        <w:t xml:space="preserve">zpracována </w:t>
      </w:r>
      <w:r>
        <w:t xml:space="preserve">Národním výkonným týmem programu </w:t>
      </w:r>
      <w:proofErr w:type="gramStart"/>
      <w:r>
        <w:t>RE:START</w:t>
      </w:r>
      <w:proofErr w:type="gramEnd"/>
      <w:r w:rsidRPr="00EA0FAD">
        <w:t xml:space="preserve"> (dále jen </w:t>
      </w:r>
      <w:r>
        <w:t>NVT RE:START</w:t>
      </w:r>
      <w:r w:rsidRPr="00EA0FAD">
        <w:t>).</w:t>
      </w:r>
      <w:r>
        <w:t xml:space="preserve"> </w:t>
      </w:r>
    </w:p>
    <w:p w14:paraId="3D53A4C8" w14:textId="77777777" w:rsidR="00DA75D6" w:rsidRPr="00EA0FAD" w:rsidRDefault="00DA75D6" w:rsidP="00DA75D6">
      <w:pPr>
        <w:jc w:val="both"/>
      </w:pPr>
      <w:r>
        <w:t xml:space="preserve">2. </w:t>
      </w:r>
      <w:r w:rsidRPr="00EA0FAD">
        <w:t xml:space="preserve">Akční plán </w:t>
      </w:r>
      <w:r>
        <w:t>2018</w:t>
      </w:r>
      <w:r w:rsidRPr="00EA0FAD">
        <w:t xml:space="preserve"> – 201</w:t>
      </w:r>
      <w:r>
        <w:t>9</w:t>
      </w:r>
      <w:r w:rsidRPr="00EA0FAD">
        <w:t xml:space="preserve"> je </w:t>
      </w:r>
      <w:r w:rsidR="00094387">
        <w:t>navazujícím dokumentem na 1.</w:t>
      </w:r>
      <w:r w:rsidR="00D6768A">
        <w:t xml:space="preserve"> </w:t>
      </w:r>
      <w:r w:rsidR="00094387">
        <w:t>Akční plán 2017 - 2018</w:t>
      </w:r>
      <w:r w:rsidRPr="00EA0FAD">
        <w:t xml:space="preserve"> procesu hospodářské restrukturalizace (dále jen program </w:t>
      </w:r>
      <w:proofErr w:type="gramStart"/>
      <w:r w:rsidRPr="00EA0FAD">
        <w:t>RE:START</w:t>
      </w:r>
      <w:proofErr w:type="gramEnd"/>
      <w:r w:rsidRPr="00EA0FAD">
        <w:t>), který byl vládou ČR zahájen v roce 2015.</w:t>
      </w:r>
    </w:p>
    <w:p w14:paraId="4CE55FC0" w14:textId="77777777" w:rsidR="00D6768A" w:rsidRDefault="00DA75D6" w:rsidP="00DA75D6">
      <w:pPr>
        <w:jc w:val="both"/>
      </w:pPr>
      <w:r w:rsidRPr="00EA0FAD">
        <w:t xml:space="preserve">Zpráva o realizaci hodnotí období od </w:t>
      </w:r>
      <w:r w:rsidR="00094387">
        <w:t>1. 1. 2018 k 31. 12. 2018</w:t>
      </w:r>
      <w:r w:rsidRPr="00EA0FAD">
        <w:t xml:space="preserve">. </w:t>
      </w:r>
      <w:r w:rsidR="00D6768A">
        <w:t>Postupně dochází k realizaci jednotlivých opatření, kdy je již možné sledovat dílčí indikátory zatím ve vazb</w:t>
      </w:r>
      <w:r w:rsidR="00AF6A14">
        <w:t xml:space="preserve">ě na počty předložených žádostí případně </w:t>
      </w:r>
      <w:r w:rsidR="00D6768A">
        <w:t>počty úspěšných žádostí</w:t>
      </w:r>
      <w:r w:rsidR="00AF6A14">
        <w:t xml:space="preserve"> </w:t>
      </w:r>
      <w:r w:rsidR="00E02099">
        <w:t xml:space="preserve">o dotaci </w:t>
      </w:r>
      <w:r w:rsidR="00AF6A14">
        <w:t xml:space="preserve">nebo zpracovaných analýz. </w:t>
      </w:r>
      <w:r w:rsidR="00D6768A">
        <w:t xml:space="preserve">Projekty jsou ve fázi zahájení </w:t>
      </w:r>
      <w:r w:rsidR="00D6768A">
        <w:lastRenderedPageBreak/>
        <w:t>realizace a teprve po jejich faktické realizaci lze naplno posuzovat naplnění těchto opatření co do počtu revitalizovaného území, navýšení počtu studentů a dalších sledovaných indikátorů. V této fázi lze pouze předjímat, že v případě úspěšné realizace dojde k naplnění strategických cílů Strategického rámce</w:t>
      </w:r>
      <w:r w:rsidR="005A79E2">
        <w:t xml:space="preserve"> s ohledem na nastavené ukazatele jednotlivých projektů</w:t>
      </w:r>
      <w:r w:rsidR="00D6768A">
        <w:t>.</w:t>
      </w:r>
    </w:p>
    <w:p w14:paraId="16973373" w14:textId="1E6EF4F1" w:rsidR="00DA75D6" w:rsidRPr="00EA0FAD" w:rsidRDefault="00DA75D6" w:rsidP="00DA75D6">
      <w:pPr>
        <w:jc w:val="both"/>
      </w:pPr>
      <w:r w:rsidRPr="00EA0FAD">
        <w:t>Zpráva o realizaci se proto zaměřuje na aktuální stav rozpracovanosti schválených opatření, dále na nastavení implementačních mechanismů</w:t>
      </w:r>
      <w:r w:rsidR="005A79E2">
        <w:t>.</w:t>
      </w:r>
    </w:p>
    <w:p w14:paraId="419D8F6E" w14:textId="77777777" w:rsidR="0099699B" w:rsidRPr="00A93172" w:rsidRDefault="00D7458B" w:rsidP="0099699B">
      <w:pPr>
        <w:pStyle w:val="Nadpis1"/>
        <w:shd w:val="clear" w:color="auto" w:fill="C9C9C9" w:themeFill="accent3" w:themeFillTint="99"/>
      </w:pPr>
      <w:bookmarkStart w:id="2" w:name="_Toc10488756"/>
      <w:r>
        <w:rPr>
          <w:rStyle w:val="Nadpis1Char"/>
        </w:rPr>
        <w:t>Aktuální stav naplňování akčních plánů</w:t>
      </w:r>
      <w:bookmarkEnd w:id="2"/>
      <w:r>
        <w:rPr>
          <w:rStyle w:val="Nadpis1Char"/>
        </w:rPr>
        <w:t xml:space="preserve"> </w:t>
      </w:r>
    </w:p>
    <w:p w14:paraId="549441D5" w14:textId="77777777" w:rsidR="0099699B" w:rsidRDefault="0099699B" w:rsidP="0099699B">
      <w:pPr>
        <w:jc w:val="both"/>
      </w:pPr>
      <w:r>
        <w:t xml:space="preserve">Program </w:t>
      </w:r>
      <w:proofErr w:type="gramStart"/>
      <w:r>
        <w:t>RE:START</w:t>
      </w:r>
      <w:proofErr w:type="gramEnd"/>
      <w:r>
        <w:t xml:space="preserve"> neboli proces </w:t>
      </w:r>
      <w:r w:rsidRPr="003539E5">
        <w:t>restrukturalizace výše uvedených regionů je vymezen 7 tematickými pilíři</w:t>
      </w:r>
      <w:r>
        <w:t>:</w:t>
      </w:r>
    </w:p>
    <w:p w14:paraId="56AE5E2C" w14:textId="77777777" w:rsidR="0099699B" w:rsidRDefault="0099699B" w:rsidP="0099699B">
      <w:pPr>
        <w:pStyle w:val="Odstavecseseznamem"/>
        <w:numPr>
          <w:ilvl w:val="0"/>
          <w:numId w:val="5"/>
        </w:numPr>
        <w:jc w:val="both"/>
      </w:pPr>
      <w:r>
        <w:t xml:space="preserve">Podnikání a inovace, </w:t>
      </w:r>
    </w:p>
    <w:p w14:paraId="7A5F96FF" w14:textId="77777777" w:rsidR="0099699B" w:rsidRDefault="0099699B" w:rsidP="0099699B">
      <w:pPr>
        <w:pStyle w:val="Odstavecseseznamem"/>
        <w:numPr>
          <w:ilvl w:val="0"/>
          <w:numId w:val="5"/>
        </w:numPr>
        <w:jc w:val="both"/>
      </w:pPr>
      <w:r>
        <w:t xml:space="preserve">Přímé investice, </w:t>
      </w:r>
    </w:p>
    <w:p w14:paraId="4030ACBF" w14:textId="77777777" w:rsidR="0099699B" w:rsidRDefault="0099699B" w:rsidP="0099699B">
      <w:pPr>
        <w:pStyle w:val="Odstavecseseznamem"/>
        <w:numPr>
          <w:ilvl w:val="0"/>
          <w:numId w:val="5"/>
        </w:numPr>
        <w:jc w:val="both"/>
      </w:pPr>
      <w:r>
        <w:t xml:space="preserve">Výzkum a vývoj, </w:t>
      </w:r>
    </w:p>
    <w:p w14:paraId="265FFBD2" w14:textId="77777777" w:rsidR="0099699B" w:rsidRDefault="0099699B" w:rsidP="0099699B">
      <w:pPr>
        <w:pStyle w:val="Odstavecseseznamem"/>
        <w:numPr>
          <w:ilvl w:val="0"/>
          <w:numId w:val="5"/>
        </w:numPr>
        <w:jc w:val="both"/>
      </w:pPr>
      <w:r>
        <w:t xml:space="preserve">Lidské zdroje, </w:t>
      </w:r>
    </w:p>
    <w:p w14:paraId="4B4C785C" w14:textId="77777777" w:rsidR="0099699B" w:rsidRDefault="0099699B" w:rsidP="0099699B">
      <w:pPr>
        <w:pStyle w:val="Odstavecseseznamem"/>
        <w:numPr>
          <w:ilvl w:val="0"/>
          <w:numId w:val="5"/>
        </w:numPr>
        <w:jc w:val="both"/>
      </w:pPr>
      <w:r>
        <w:t xml:space="preserve">Sociální stabilizace, </w:t>
      </w:r>
    </w:p>
    <w:p w14:paraId="4FB24FCA" w14:textId="77777777" w:rsidR="0099699B" w:rsidRDefault="0099699B" w:rsidP="0099699B">
      <w:pPr>
        <w:pStyle w:val="Odstavecseseznamem"/>
        <w:numPr>
          <w:ilvl w:val="0"/>
          <w:numId w:val="5"/>
        </w:numPr>
        <w:jc w:val="both"/>
      </w:pPr>
      <w:r>
        <w:t xml:space="preserve">Životní prostředí, </w:t>
      </w:r>
    </w:p>
    <w:p w14:paraId="06ABE795" w14:textId="77777777" w:rsidR="0099699B" w:rsidRDefault="0099699B" w:rsidP="0099699B">
      <w:pPr>
        <w:pStyle w:val="Odstavecseseznamem"/>
        <w:numPr>
          <w:ilvl w:val="0"/>
          <w:numId w:val="5"/>
        </w:numPr>
        <w:jc w:val="both"/>
      </w:pPr>
      <w:r>
        <w:t>Infrastruktura a veřejná správa</w:t>
      </w:r>
    </w:p>
    <w:p w14:paraId="0BDFE186" w14:textId="312C7483" w:rsidR="00CA61FB" w:rsidRDefault="0099699B" w:rsidP="0099699B">
      <w:pPr>
        <w:jc w:val="both"/>
        <w:rPr>
          <w:rFonts w:ascii="Calibri" w:hAnsi="Calibri"/>
        </w:rPr>
      </w:pPr>
      <w:r>
        <w:t>V rámci těchto pilířů je</w:t>
      </w:r>
      <w:r w:rsidRPr="003539E5">
        <w:t xml:space="preserve"> </w:t>
      </w:r>
      <w:r>
        <w:t>na základě 1.</w:t>
      </w:r>
      <w:r w:rsidR="00CA61FB">
        <w:t xml:space="preserve"> a 2.</w:t>
      </w:r>
      <w:r>
        <w:t xml:space="preserve"> Akčního plánu </w:t>
      </w:r>
      <w:r w:rsidRPr="003539E5">
        <w:t xml:space="preserve">realizováno </w:t>
      </w:r>
      <w:r w:rsidR="00CA61FB">
        <w:t>92</w:t>
      </w:r>
      <w:r w:rsidRPr="003539E5">
        <w:t xml:space="preserve"> opatření</w:t>
      </w:r>
      <w:r>
        <w:t xml:space="preserve">. </w:t>
      </w:r>
      <w:r w:rsidR="00F73CFF">
        <w:rPr>
          <w:rFonts w:ascii="Calibri" w:hAnsi="Calibri"/>
        </w:rPr>
        <w:t>K datu 31. 12. 2018</w:t>
      </w:r>
      <w:r w:rsidRPr="00AF2351">
        <w:rPr>
          <w:rFonts w:ascii="Calibri" w:hAnsi="Calibri"/>
        </w:rPr>
        <w:t xml:space="preserve"> se podařilo posunout </w:t>
      </w:r>
      <w:r w:rsidR="00CA61FB">
        <w:rPr>
          <w:rFonts w:ascii="Calibri" w:hAnsi="Calibri"/>
        </w:rPr>
        <w:t>2</w:t>
      </w:r>
      <w:r w:rsidR="003C12C4">
        <w:rPr>
          <w:rFonts w:ascii="Calibri" w:hAnsi="Calibri"/>
        </w:rPr>
        <w:t>3</w:t>
      </w:r>
      <w:r w:rsidRPr="00AF2351">
        <w:rPr>
          <w:rFonts w:ascii="Calibri" w:hAnsi="Calibri"/>
        </w:rPr>
        <w:t xml:space="preserve"> opatření do fáze finalizace a </w:t>
      </w:r>
      <w:r w:rsidR="00CA61FB">
        <w:rPr>
          <w:rFonts w:ascii="Calibri" w:hAnsi="Calibri"/>
        </w:rPr>
        <w:t>3</w:t>
      </w:r>
      <w:r w:rsidR="003C12C4">
        <w:rPr>
          <w:rFonts w:ascii="Calibri" w:hAnsi="Calibri"/>
        </w:rPr>
        <w:t>6</w:t>
      </w:r>
      <w:r w:rsidRPr="00AF2351">
        <w:rPr>
          <w:rFonts w:ascii="Calibri" w:hAnsi="Calibri"/>
        </w:rPr>
        <w:t xml:space="preserve"> opatření do fáze rozpracování. </w:t>
      </w:r>
      <w:r w:rsidR="00CA61FB">
        <w:rPr>
          <w:rFonts w:ascii="Calibri" w:hAnsi="Calibri"/>
        </w:rPr>
        <w:t>Dále</w:t>
      </w:r>
      <w:r w:rsidRPr="00AF2351">
        <w:rPr>
          <w:rFonts w:ascii="Calibri" w:hAnsi="Calibri"/>
        </w:rPr>
        <w:t xml:space="preserve"> </w:t>
      </w:r>
      <w:r w:rsidR="00CA61FB">
        <w:rPr>
          <w:rFonts w:ascii="Calibri" w:hAnsi="Calibri"/>
        </w:rPr>
        <w:t>22</w:t>
      </w:r>
      <w:r w:rsidRPr="00AF2351">
        <w:rPr>
          <w:rFonts w:ascii="Calibri" w:hAnsi="Calibri"/>
        </w:rPr>
        <w:t xml:space="preserve"> opatření je ve fázi </w:t>
      </w:r>
      <w:r w:rsidR="00E02099">
        <w:rPr>
          <w:rFonts w:ascii="Calibri" w:hAnsi="Calibri"/>
        </w:rPr>
        <w:t xml:space="preserve">zahájení </w:t>
      </w:r>
      <w:r w:rsidRPr="00AF2351">
        <w:rPr>
          <w:rFonts w:ascii="Calibri" w:hAnsi="Calibri"/>
        </w:rPr>
        <w:t>přípravy</w:t>
      </w:r>
      <w:r w:rsidR="00CA61FB">
        <w:rPr>
          <w:rFonts w:ascii="Calibri" w:hAnsi="Calibri"/>
        </w:rPr>
        <w:t xml:space="preserve">. Bohužel je nutné </w:t>
      </w:r>
      <w:r w:rsidR="00E02099">
        <w:rPr>
          <w:rFonts w:ascii="Calibri" w:hAnsi="Calibri"/>
        </w:rPr>
        <w:t>konstatovat</w:t>
      </w:r>
      <w:r w:rsidR="00CA61FB">
        <w:rPr>
          <w:rFonts w:ascii="Calibri" w:hAnsi="Calibri"/>
        </w:rPr>
        <w:t>, že 5</w:t>
      </w:r>
      <w:r w:rsidRPr="00AF2351">
        <w:rPr>
          <w:rFonts w:ascii="Calibri" w:hAnsi="Calibri"/>
        </w:rPr>
        <w:t xml:space="preserve"> opatření </w:t>
      </w:r>
      <w:r w:rsidR="00CA61FB">
        <w:rPr>
          <w:rFonts w:ascii="Calibri" w:hAnsi="Calibri"/>
        </w:rPr>
        <w:t xml:space="preserve">se nedaří realizovat a je </w:t>
      </w:r>
      <w:r w:rsidR="00E02099">
        <w:rPr>
          <w:rFonts w:ascii="Calibri" w:hAnsi="Calibri"/>
        </w:rPr>
        <w:t>nepravděpodobná</w:t>
      </w:r>
      <w:r w:rsidR="00CA61FB">
        <w:rPr>
          <w:rFonts w:ascii="Calibri" w:hAnsi="Calibri"/>
        </w:rPr>
        <w:t xml:space="preserve"> jejich realizace ve stávající podobě (i s ohledem na změny legislativy a celkové strategie vlády v těchto oblastech)</w:t>
      </w:r>
      <w:r w:rsidRPr="00AF2351">
        <w:rPr>
          <w:rFonts w:ascii="Calibri" w:hAnsi="Calibri"/>
        </w:rPr>
        <w:t>.</w:t>
      </w:r>
      <w:r w:rsidR="00CA61FB">
        <w:rPr>
          <w:rFonts w:ascii="Calibri" w:hAnsi="Calibri"/>
        </w:rPr>
        <w:t xml:space="preserve"> Zbývajících 6 opatření bylo z důvodu efektivnější realizace navrženo k aktualizaci </w:t>
      </w:r>
      <w:r w:rsidR="00F73CFF">
        <w:rPr>
          <w:rFonts w:ascii="Calibri" w:hAnsi="Calibri"/>
        </w:rPr>
        <w:t xml:space="preserve">obsahu </w:t>
      </w:r>
      <w:r w:rsidR="00CA61FB">
        <w:rPr>
          <w:rFonts w:ascii="Calibri" w:hAnsi="Calibri"/>
        </w:rPr>
        <w:t>či sloučení do nových opatření</w:t>
      </w:r>
      <w:r w:rsidR="00CB0471">
        <w:rPr>
          <w:rFonts w:ascii="Calibri" w:hAnsi="Calibri"/>
        </w:rPr>
        <w:t xml:space="preserve"> a 3 opatření byla aktualizována a nově začleněna do </w:t>
      </w:r>
      <w:r w:rsidR="00F73CFF">
        <w:rPr>
          <w:rFonts w:ascii="Calibri" w:hAnsi="Calibri"/>
        </w:rPr>
        <w:t xml:space="preserve">návrhu </w:t>
      </w:r>
      <w:r w:rsidR="00CA61FB">
        <w:rPr>
          <w:rFonts w:ascii="Calibri" w:hAnsi="Calibri"/>
        </w:rPr>
        <w:t xml:space="preserve">3. Akčního plánu </w:t>
      </w:r>
      <w:proofErr w:type="gramStart"/>
      <w:r w:rsidR="00CA61FB">
        <w:rPr>
          <w:rFonts w:ascii="Calibri" w:hAnsi="Calibri"/>
        </w:rPr>
        <w:t>2019 – 2020</w:t>
      </w:r>
      <w:proofErr w:type="gramEnd"/>
      <w:r w:rsidR="00CA61FB">
        <w:rPr>
          <w:rFonts w:ascii="Calibri" w:hAnsi="Calibri"/>
        </w:rPr>
        <w:t>.</w:t>
      </w:r>
    </w:p>
    <w:p w14:paraId="26DB9378" w14:textId="65B3F484" w:rsidR="0099699B" w:rsidRPr="00134242" w:rsidRDefault="00F73CFF" w:rsidP="0099699B">
      <w:pPr>
        <w:jc w:val="both"/>
        <w:rPr>
          <w:rFonts w:ascii="Calibri" w:hAnsi="Calibri"/>
        </w:rPr>
      </w:pPr>
      <w:r>
        <w:rPr>
          <w:rFonts w:ascii="Calibri" w:hAnsi="Calibri"/>
        </w:rPr>
        <w:t>Celková a</w:t>
      </w:r>
      <w:r w:rsidR="0099699B" w:rsidRPr="00134242">
        <w:rPr>
          <w:rFonts w:ascii="Calibri" w:hAnsi="Calibri"/>
        </w:rPr>
        <w:t xml:space="preserve">lokace </w:t>
      </w:r>
      <w:proofErr w:type="spellStart"/>
      <w:r w:rsidR="00E02099" w:rsidRPr="00134242">
        <w:rPr>
          <w:rFonts w:ascii="Calibri" w:hAnsi="Calibri"/>
        </w:rPr>
        <w:t>finalizovaných</w:t>
      </w:r>
      <w:proofErr w:type="spellEnd"/>
      <w:r w:rsidR="00E02099" w:rsidRPr="00134242">
        <w:rPr>
          <w:rFonts w:ascii="Calibri" w:hAnsi="Calibri"/>
        </w:rPr>
        <w:t xml:space="preserve"> </w:t>
      </w:r>
      <w:r w:rsidR="00777314" w:rsidRPr="00134242">
        <w:rPr>
          <w:rFonts w:ascii="Calibri" w:hAnsi="Calibri"/>
        </w:rPr>
        <w:t>23</w:t>
      </w:r>
      <w:r w:rsidR="0099699B" w:rsidRPr="00134242">
        <w:rPr>
          <w:rFonts w:ascii="Calibri" w:hAnsi="Calibri"/>
        </w:rPr>
        <w:t xml:space="preserve"> opatření je v objemu téměř </w:t>
      </w:r>
      <w:r w:rsidR="00777314" w:rsidRPr="00134242">
        <w:rPr>
          <w:rFonts w:ascii="Calibri" w:hAnsi="Calibri"/>
        </w:rPr>
        <w:t>2</w:t>
      </w:r>
      <w:r w:rsidR="003D1E35">
        <w:rPr>
          <w:rFonts w:ascii="Calibri" w:hAnsi="Calibri"/>
        </w:rPr>
        <w:t>4</w:t>
      </w:r>
      <w:r w:rsidR="0099699B" w:rsidRPr="00134242">
        <w:rPr>
          <w:rFonts w:ascii="Calibri" w:hAnsi="Calibri"/>
        </w:rPr>
        <w:t xml:space="preserve"> miliard Kč. Další dvě opatření s alokací v objemu 4,</w:t>
      </w:r>
      <w:r w:rsidR="00FA4A66">
        <w:rPr>
          <w:rFonts w:ascii="Calibri" w:hAnsi="Calibri"/>
        </w:rPr>
        <w:t>1</w:t>
      </w:r>
      <w:r w:rsidR="0099699B" w:rsidRPr="00134242">
        <w:rPr>
          <w:rFonts w:ascii="Calibri" w:hAnsi="Calibri"/>
        </w:rPr>
        <w:t xml:space="preserve"> mld. sice nejsou uvedena v</w:t>
      </w:r>
      <w:r w:rsidR="00E02099" w:rsidRPr="00134242">
        <w:rPr>
          <w:rFonts w:ascii="Calibri" w:hAnsi="Calibri"/>
        </w:rPr>
        <w:t> Akčních plánech</w:t>
      </w:r>
      <w:r w:rsidR="0099699B" w:rsidRPr="00134242">
        <w:rPr>
          <w:rFonts w:ascii="Calibri" w:hAnsi="Calibri"/>
        </w:rPr>
        <w:t xml:space="preserve">, ale byla přijata vládou jako součást procesu </w:t>
      </w:r>
      <w:proofErr w:type="gramStart"/>
      <w:r w:rsidR="0099699B" w:rsidRPr="00134242">
        <w:rPr>
          <w:rFonts w:ascii="Calibri" w:hAnsi="Calibri"/>
        </w:rPr>
        <w:t>RE:START</w:t>
      </w:r>
      <w:proofErr w:type="gramEnd"/>
      <w:r>
        <w:rPr>
          <w:rFonts w:ascii="Calibri" w:hAnsi="Calibri"/>
        </w:rPr>
        <w:t xml:space="preserve"> (jde o </w:t>
      </w:r>
      <w:r w:rsidR="00885B24">
        <w:rPr>
          <w:rFonts w:ascii="Calibri" w:hAnsi="Calibri"/>
        </w:rPr>
        <w:t>Program Revitalizace Krušných hor</w:t>
      </w:r>
      <w:r w:rsidR="00FA4A66">
        <w:rPr>
          <w:rFonts w:ascii="Calibri" w:hAnsi="Calibri"/>
        </w:rPr>
        <w:t>)</w:t>
      </w:r>
      <w:r w:rsidR="00885B24">
        <w:rPr>
          <w:rFonts w:ascii="Calibri" w:hAnsi="Calibri"/>
        </w:rPr>
        <w:t>.</w:t>
      </w:r>
    </w:p>
    <w:p w14:paraId="50B52880" w14:textId="1D4B1AAB" w:rsidR="0099699B" w:rsidRDefault="0099699B" w:rsidP="0099699B">
      <w:pPr>
        <w:jc w:val="both"/>
        <w:rPr>
          <w:rFonts w:ascii="Calibri" w:hAnsi="Calibri"/>
        </w:rPr>
      </w:pPr>
      <w:r w:rsidRPr="00134242">
        <w:rPr>
          <w:rFonts w:ascii="Calibri" w:hAnsi="Calibri"/>
        </w:rPr>
        <w:t xml:space="preserve">Jednotlivé úkoly uložené vládou k naplnění Akčního plánu realizují věcně příslušné resorty. </w:t>
      </w:r>
      <w:r w:rsidR="00E02099" w:rsidRPr="00134242">
        <w:rPr>
          <w:rFonts w:ascii="Calibri" w:hAnsi="Calibri"/>
        </w:rPr>
        <w:t xml:space="preserve">Národní výkonný tým </w:t>
      </w:r>
      <w:proofErr w:type="gramStart"/>
      <w:r w:rsidR="00E02099" w:rsidRPr="00134242">
        <w:rPr>
          <w:rFonts w:ascii="Calibri" w:hAnsi="Calibri"/>
        </w:rPr>
        <w:t>RE:START</w:t>
      </w:r>
      <w:proofErr w:type="gramEnd"/>
      <w:r w:rsidR="00E02099" w:rsidRPr="00134242">
        <w:rPr>
          <w:rFonts w:ascii="Calibri" w:hAnsi="Calibri"/>
        </w:rPr>
        <w:t xml:space="preserve"> plní</w:t>
      </w:r>
      <w:r w:rsidRPr="00134242">
        <w:rPr>
          <w:rFonts w:ascii="Calibri" w:hAnsi="Calibri"/>
        </w:rPr>
        <w:t xml:space="preserve"> zejména koordinační a podpůrnou roli. Na realizaci se pak podílí subjekty z území strukturálně postižených krajů, skrze jejichž konkrétní projekty dochází k naplňování příslušných opatření.</w:t>
      </w:r>
    </w:p>
    <w:p w14:paraId="654ACF1C" w14:textId="056C684F" w:rsidR="004963C6" w:rsidRDefault="004963C6" w:rsidP="0099699B">
      <w:pPr>
        <w:jc w:val="both"/>
        <w:rPr>
          <w:rFonts w:ascii="Calibri" w:hAnsi="Calibri"/>
        </w:rPr>
      </w:pPr>
    </w:p>
    <w:p w14:paraId="2AEA60DD" w14:textId="77777777" w:rsidR="00CB0471" w:rsidRDefault="00CB0471" w:rsidP="0099699B">
      <w:pPr>
        <w:jc w:val="both"/>
        <w:rPr>
          <w:rFonts w:ascii="Calibri" w:hAnsi="Calibri"/>
        </w:rPr>
      </w:pPr>
    </w:p>
    <w:p w14:paraId="61221706" w14:textId="611B8E9B" w:rsidR="00D46903" w:rsidRDefault="00D46903" w:rsidP="0099699B">
      <w:pPr>
        <w:jc w:val="both"/>
        <w:rPr>
          <w:rFonts w:ascii="Calibri" w:hAnsi="Calibri"/>
        </w:rPr>
      </w:pPr>
    </w:p>
    <w:p w14:paraId="793AC15F" w14:textId="77777777" w:rsidR="00D46903" w:rsidRPr="00B322F9" w:rsidRDefault="00D46903" w:rsidP="0099699B">
      <w:pPr>
        <w:jc w:val="both"/>
        <w:rPr>
          <w:rFonts w:ascii="Calibri" w:hAnsi="Calibri"/>
        </w:rPr>
      </w:pPr>
    </w:p>
    <w:p w14:paraId="50DFA265" w14:textId="4E48FD86" w:rsidR="0099699B" w:rsidRPr="004523EB" w:rsidRDefault="0099699B" w:rsidP="0099699B">
      <w:pPr>
        <w:spacing w:after="0" w:line="240" w:lineRule="auto"/>
        <w:jc w:val="both"/>
      </w:pPr>
      <w:r w:rsidRPr="004523EB">
        <w:lastRenderedPageBreak/>
        <w:t>Následující tabulka prezentuje stav finančních zdrojů na realizaci opatření</w:t>
      </w:r>
      <w:r w:rsidR="00777314" w:rsidRPr="004523EB">
        <w:t xml:space="preserve">, které </w:t>
      </w:r>
      <w:r w:rsidR="00FA4A66">
        <w:t>byl</w:t>
      </w:r>
      <w:r w:rsidR="00777314" w:rsidRPr="004523EB">
        <w:t xml:space="preserve"> finalizována</w:t>
      </w:r>
      <w:r w:rsidRPr="004523EB">
        <w:t>.</w:t>
      </w:r>
    </w:p>
    <w:p w14:paraId="2E65EC1C" w14:textId="049210A3" w:rsidR="0099699B" w:rsidRDefault="0099699B" w:rsidP="0099699B">
      <w:pPr>
        <w:pStyle w:val="Titulek"/>
        <w:spacing w:after="0"/>
      </w:pPr>
      <w:bookmarkStart w:id="3" w:name="_Toc508898589"/>
      <w:bookmarkStart w:id="4" w:name="_Toc10488747"/>
      <w:r w:rsidRPr="004523EB">
        <w:t xml:space="preserve">Tabulka </w:t>
      </w:r>
      <w:r w:rsidR="0069266A">
        <w:rPr>
          <w:noProof/>
        </w:rPr>
        <w:fldChar w:fldCharType="begin"/>
      </w:r>
      <w:r w:rsidR="0069266A">
        <w:rPr>
          <w:noProof/>
        </w:rPr>
        <w:instrText xml:space="preserve"> SEQ Tabulka \* ARABIC </w:instrText>
      </w:r>
      <w:r w:rsidR="0069266A">
        <w:rPr>
          <w:noProof/>
        </w:rPr>
        <w:fldChar w:fldCharType="separate"/>
      </w:r>
      <w:r w:rsidR="006404A0">
        <w:rPr>
          <w:noProof/>
        </w:rPr>
        <w:t>1</w:t>
      </w:r>
      <w:r w:rsidR="0069266A">
        <w:rPr>
          <w:noProof/>
        </w:rPr>
        <w:fldChar w:fldCharType="end"/>
      </w:r>
      <w:r w:rsidRPr="004523EB">
        <w:t xml:space="preserve"> – Přehled finančních zdrojů související s realizací opatření</w:t>
      </w:r>
      <w:bookmarkEnd w:id="3"/>
      <w:bookmarkEnd w:id="4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76"/>
        <w:gridCol w:w="1418"/>
        <w:gridCol w:w="1275"/>
        <w:gridCol w:w="1370"/>
        <w:gridCol w:w="1324"/>
      </w:tblGrid>
      <w:tr w:rsidR="00DE7B31" w:rsidRPr="00DE7B31" w14:paraId="4E3EA7C0" w14:textId="77777777" w:rsidTr="00DE7B31">
        <w:trPr>
          <w:trHeight w:val="11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E386A" w14:textId="77777777" w:rsidR="00DE7B31" w:rsidRPr="00DE7B31" w:rsidRDefault="00DE7B31" w:rsidP="00DE7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B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270A74" w14:textId="77777777" w:rsidR="00DE7B31" w:rsidRPr="00DE7B31" w:rsidRDefault="00DE7B31" w:rsidP="00DE7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B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Alokace daného opatření v mil.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25C8FD14" w14:textId="043D9836" w:rsidR="00DE7B31" w:rsidRPr="00DE7B31" w:rsidRDefault="00DE7B31" w:rsidP="00FA4A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B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Již bylo přiřazeno </w:t>
            </w:r>
            <w:r w:rsidR="00FA4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ke konkrétním projektům</w:t>
            </w:r>
            <w:r w:rsidRPr="00DE7B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v mil. Kč v roce 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2AA1A230" w14:textId="2E68D642" w:rsidR="00DE7B31" w:rsidRPr="00DE7B31" w:rsidRDefault="00DE7B31" w:rsidP="00FA4A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B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Již bylo přiřazeno </w:t>
            </w:r>
            <w:r w:rsidR="00FA4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ke konkrétním projektům</w:t>
            </w:r>
            <w:r w:rsidRPr="00DE7B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v mil. Kč v roce 2018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15D7CE93" w14:textId="28514319" w:rsidR="00DE7B31" w:rsidRPr="00DE7B31" w:rsidRDefault="00DE7B31" w:rsidP="00DE7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B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Výzvy s vyhlášením 2018 a vyhodnocením v</w:t>
            </w:r>
            <w:r w:rsidR="00FA4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DE7B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  <w:r w:rsidR="00FA4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mil. Kč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131CADA7" w14:textId="2EE93178" w:rsidR="00DE7B31" w:rsidRPr="00DE7B31" w:rsidRDefault="00DE7B31" w:rsidP="00DE7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B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Celková zbývající alokace opatření v mil. Kč </w:t>
            </w:r>
            <w:r w:rsidR="00FA4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na </w:t>
            </w:r>
            <w:r w:rsidRPr="00DE7B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2019+</w:t>
            </w:r>
          </w:p>
        </w:tc>
      </w:tr>
      <w:tr w:rsidR="00DE7B31" w:rsidRPr="00DE7B31" w14:paraId="391DBC93" w14:textId="77777777" w:rsidTr="00DE7B31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B6408C" w14:textId="1F290BB7" w:rsidR="00DE7B31" w:rsidRPr="00DE7B31" w:rsidRDefault="00DE7B31" w:rsidP="00DE7B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B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Realizovaných 23 opatření</w:t>
            </w:r>
            <w:r w:rsidR="00DD54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25DB" w14:textId="60B402FC" w:rsidR="00DE7B31" w:rsidRPr="00DE7B31" w:rsidRDefault="00DE7B31" w:rsidP="00DD54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E7B31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24 106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2B15" w14:textId="33D80CAF" w:rsidR="00DE7B31" w:rsidRPr="00DE7B31" w:rsidRDefault="00DE7B31" w:rsidP="00DD54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E7B31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2 </w:t>
            </w:r>
            <w:r w:rsidR="00DD54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AD74" w14:textId="46C3A44F" w:rsidR="00DE7B31" w:rsidRPr="00DE7B31" w:rsidRDefault="00DD54A4" w:rsidP="004736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3 7</w:t>
            </w:r>
            <w:r w:rsidR="0047364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1966" w14:textId="3BD695BA" w:rsidR="00DE7B31" w:rsidRPr="00DE7B31" w:rsidRDefault="00DD54A4" w:rsidP="00DE7B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4B3A" w14:textId="04E27305" w:rsidR="00DE7B31" w:rsidRPr="00DE7B31" w:rsidRDefault="00DE7B31" w:rsidP="00DF57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E7B31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17 </w:t>
            </w:r>
            <w:r w:rsidR="00DF578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455</w:t>
            </w:r>
          </w:p>
        </w:tc>
      </w:tr>
      <w:tr w:rsidR="00837C4C" w:rsidRPr="00DE7B31" w14:paraId="19B252C9" w14:textId="77777777" w:rsidTr="00DE7B31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774B16B" w14:textId="544202D7" w:rsidR="00837C4C" w:rsidRPr="00DE7B31" w:rsidRDefault="00837C4C" w:rsidP="004F60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Z </w:t>
            </w:r>
            <w:r w:rsidR="004F60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toho I. G.1.1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20E1" w14:textId="1A4378D6" w:rsidR="00837C4C" w:rsidRPr="00DE7B31" w:rsidRDefault="00837C4C" w:rsidP="00DE7B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0464" w14:textId="75BC4665" w:rsidR="00837C4C" w:rsidRPr="00DE7B31" w:rsidRDefault="00837C4C" w:rsidP="00DE7B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2 840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67A6B" w14:textId="1412E470" w:rsidR="00837C4C" w:rsidRPr="00DE7B31" w:rsidRDefault="00837C4C" w:rsidP="00DE7B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1 146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5216" w14:textId="406F23DE" w:rsidR="00837C4C" w:rsidRPr="00DE7B31" w:rsidRDefault="00837C4C" w:rsidP="00DE7B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0C92B" w14:textId="78767955" w:rsidR="00837C4C" w:rsidRPr="00DE7B31" w:rsidRDefault="00837C4C" w:rsidP="00DE7B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7 314</w:t>
            </w:r>
          </w:p>
        </w:tc>
      </w:tr>
      <w:tr w:rsidR="00DE7B31" w:rsidRPr="00DE7B31" w14:paraId="4F4A6835" w14:textId="77777777" w:rsidTr="00DD54A4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D81856" w14:textId="77777777" w:rsidR="00DE7B31" w:rsidRPr="00DE7B31" w:rsidRDefault="00DE7B31" w:rsidP="00DE7B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B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 toho program Revitalizace Krušných hor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7947" w14:textId="1F38DB2B" w:rsidR="00DD54A4" w:rsidRPr="00DE7B31" w:rsidRDefault="00DD54A4" w:rsidP="00DD54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4 100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710F" w14:textId="4FB4DAF4" w:rsidR="00DE7B31" w:rsidRPr="00DE7B31" w:rsidRDefault="00DD54A4" w:rsidP="00DE7B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253E" w14:textId="6E48F23B" w:rsidR="00DE7B31" w:rsidRPr="00DE7B31" w:rsidRDefault="00DD54A4" w:rsidP="00DE7B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785E" w14:textId="2330F6B5" w:rsidR="00DE7B31" w:rsidRPr="00DE7B31" w:rsidRDefault="00DD54A4" w:rsidP="00DE7B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7481" w14:textId="77777777" w:rsidR="00DE7B31" w:rsidRPr="00DE7B31" w:rsidRDefault="00DE7B31" w:rsidP="00DE7B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E7B31">
              <w:rPr>
                <w:rFonts w:eastAsia="Times New Roman" w:cstheme="minorHAnsi"/>
                <w:sz w:val="20"/>
                <w:szCs w:val="20"/>
                <w:lang w:eastAsia="cs-CZ"/>
              </w:rPr>
              <w:t>3 841</w:t>
            </w:r>
          </w:p>
        </w:tc>
      </w:tr>
      <w:tr w:rsidR="00DD54A4" w:rsidRPr="00DE7B31" w14:paraId="0F7A81E1" w14:textId="77777777" w:rsidTr="00DD54A4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B2BF3ED" w14:textId="07D7C068" w:rsidR="00DD54A4" w:rsidRPr="00DD54A4" w:rsidRDefault="00295186" w:rsidP="00DE7B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Přímá vazba na schválené opatření v SAP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96C6" w14:textId="4FACF6A4" w:rsidR="00DD54A4" w:rsidRPr="00DD54A4" w:rsidRDefault="00DD54A4" w:rsidP="00DD54A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D54A4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A154D" w14:textId="39E8CE7A" w:rsidR="00DD54A4" w:rsidRPr="00DD54A4" w:rsidRDefault="00DD54A4" w:rsidP="00DE7B31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DD54A4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00FFA" w14:textId="222401AA" w:rsidR="00DD54A4" w:rsidRPr="00DD54A4" w:rsidRDefault="00DD54A4" w:rsidP="0047364B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DD54A4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2 </w:t>
            </w:r>
            <w:r w:rsidR="0047364B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560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1BDF7" w14:textId="5F0D800A" w:rsidR="00DD54A4" w:rsidRPr="00DD54A4" w:rsidRDefault="00C9535A" w:rsidP="00DE7B31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85E6" w14:textId="77D01294" w:rsidR="00DD54A4" w:rsidRPr="00DD54A4" w:rsidRDefault="00DD54A4" w:rsidP="00DE7B31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DD54A4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-</w:t>
            </w:r>
          </w:p>
        </w:tc>
      </w:tr>
    </w:tbl>
    <w:p w14:paraId="01B6A3BE" w14:textId="42B2EB0B" w:rsidR="0099699B" w:rsidRPr="004F6019" w:rsidRDefault="00837C4C" w:rsidP="00FA4A66">
      <w:pPr>
        <w:jc w:val="both"/>
        <w:rPr>
          <w:i/>
        </w:rPr>
      </w:pPr>
      <w:r w:rsidRPr="004F6019">
        <w:rPr>
          <w:i/>
        </w:rPr>
        <w:t>P</w:t>
      </w:r>
      <w:r w:rsidR="00FA4A66" w:rsidRPr="004F6019">
        <w:rPr>
          <w:i/>
        </w:rPr>
        <w:t xml:space="preserve">rostředky určené na </w:t>
      </w:r>
      <w:r w:rsidR="004F6019" w:rsidRPr="004F6019">
        <w:rPr>
          <w:i/>
        </w:rPr>
        <w:t>I.</w:t>
      </w:r>
      <w:r w:rsidRPr="004F6019">
        <w:rPr>
          <w:i/>
        </w:rPr>
        <w:t xml:space="preserve">G.1.1 Komplex opatření k dobudování významných dopravních úseků – dálnic a silnic I. třídy </w:t>
      </w:r>
      <w:r w:rsidR="00FA4A66" w:rsidRPr="004F6019">
        <w:rPr>
          <w:i/>
        </w:rPr>
        <w:t>dopravní infrastruktury</w:t>
      </w:r>
      <w:r w:rsidR="004F6019" w:rsidRPr="004F6019">
        <w:rPr>
          <w:i/>
        </w:rPr>
        <w:t xml:space="preserve"> jsou realizovány v souladu s aktuálně platnou Dopravní sektorovou strategií 2. fáze. </w:t>
      </w:r>
      <w:r w:rsidR="004F6019" w:rsidRPr="004F6019">
        <w:rPr>
          <w:i/>
          <w:u w:val="single"/>
        </w:rPr>
        <w:t xml:space="preserve">U ostatních opatření se </w:t>
      </w:r>
      <w:r w:rsidR="00FA4A66" w:rsidRPr="004F6019">
        <w:rPr>
          <w:i/>
          <w:u w:val="single"/>
        </w:rPr>
        <w:t xml:space="preserve">jedná o prostředky, o které se ucházeli žadatelé ve vyhlášených dotačních výzvách vyhlášených pod záštitnou programu </w:t>
      </w:r>
      <w:proofErr w:type="gramStart"/>
      <w:r w:rsidR="00FA4A66" w:rsidRPr="004F6019">
        <w:rPr>
          <w:i/>
          <w:u w:val="single"/>
        </w:rPr>
        <w:t>RE:START</w:t>
      </w:r>
      <w:proofErr w:type="gramEnd"/>
      <w:r w:rsidR="00FA4A66" w:rsidRPr="004F6019">
        <w:rPr>
          <w:i/>
        </w:rPr>
        <w:t>.</w:t>
      </w:r>
    </w:p>
    <w:p w14:paraId="56561650" w14:textId="5A8C040D" w:rsidR="00D7458B" w:rsidRDefault="00FA4A66" w:rsidP="00D7458B">
      <w:pPr>
        <w:pStyle w:val="Nadpis2"/>
      </w:pPr>
      <w:bookmarkStart w:id="5" w:name="_Toc10488757"/>
      <w:r>
        <w:t>R</w:t>
      </w:r>
      <w:r w:rsidR="00D7458B">
        <w:t>ealizace opatření</w:t>
      </w:r>
      <w:bookmarkEnd w:id="5"/>
    </w:p>
    <w:p w14:paraId="3FA2E097" w14:textId="3A48B195" w:rsidR="00D7458B" w:rsidRDefault="00FA4A66" w:rsidP="00D7458B">
      <w:pPr>
        <w:jc w:val="both"/>
      </w:pPr>
      <w:r>
        <w:t>Podrobný p</w:t>
      </w:r>
      <w:r w:rsidR="009807C4">
        <w:t xml:space="preserve">opis realizace jednotlivých opatření 1. a 2. Akčního plánu je uveden v tabulce </w:t>
      </w:r>
      <w:r w:rsidR="00D7458B">
        <w:t>„</w:t>
      </w:r>
      <w:r w:rsidR="00777314">
        <w:t xml:space="preserve">Příloha </w:t>
      </w:r>
      <w:r w:rsidR="00F55BCF">
        <w:t>Tabulka II</w:t>
      </w:r>
      <w:r w:rsidR="00777314">
        <w:t xml:space="preserve"> - </w:t>
      </w:r>
      <w:r w:rsidR="00D7458B">
        <w:t xml:space="preserve">Přehled aktuálního stavu naplňování akčních plánů programu </w:t>
      </w:r>
      <w:proofErr w:type="gramStart"/>
      <w:r w:rsidR="00D7458B">
        <w:t>RE:START</w:t>
      </w:r>
      <w:proofErr w:type="gramEnd"/>
      <w:r w:rsidR="00D7458B">
        <w:t>“ Reflektuje aktuální stav 92 opatření, kdy již bylo:</w:t>
      </w:r>
    </w:p>
    <w:p w14:paraId="668EDF6A" w14:textId="3B3C2142" w:rsidR="00D7458B" w:rsidRDefault="00D7458B" w:rsidP="00D7458B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 w:rsidRPr="00C116A8">
        <w:rPr>
          <w:b/>
        </w:rPr>
        <w:t>Naplněno 2</w:t>
      </w:r>
      <w:r w:rsidR="00777314">
        <w:rPr>
          <w:b/>
        </w:rPr>
        <w:t>3</w:t>
      </w:r>
      <w:r>
        <w:t xml:space="preserve"> </w:t>
      </w:r>
      <w:r w:rsidRPr="00C116A8">
        <w:rPr>
          <w:b/>
        </w:rPr>
        <w:t>opatření</w:t>
      </w:r>
      <w:r>
        <w:t xml:space="preserve"> - tj. byly připraveny dotační programy a vyhlášen</w:t>
      </w:r>
      <w:r w:rsidR="009807C4">
        <w:t>y</w:t>
      </w:r>
      <w:r>
        <w:t xml:space="preserve"> výzvy a žadatelé začali čerpat prostředky z těchto dotačních programů</w:t>
      </w:r>
      <w:r w:rsidR="009807C4">
        <w:t>.D</w:t>
      </w:r>
      <w:r>
        <w:t>ále došlo k realizaci aktivit, které měl</w:t>
      </w:r>
      <w:r w:rsidR="00134242">
        <w:t>y</w:t>
      </w:r>
      <w:r>
        <w:t xml:space="preserve"> za úkol jednotlivé resorty např. v rámci systémových změn či řešení konkrétních problémů v daných regionech.</w:t>
      </w:r>
    </w:p>
    <w:p w14:paraId="121DC831" w14:textId="184923B9" w:rsidR="00D7458B" w:rsidRDefault="003775A6" w:rsidP="00D80BD6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>
        <w:rPr>
          <w:b/>
        </w:rPr>
        <w:t>Návrh na s</w:t>
      </w:r>
      <w:r w:rsidR="00D7458B">
        <w:rPr>
          <w:b/>
        </w:rPr>
        <w:t>loučen</w:t>
      </w:r>
      <w:r>
        <w:rPr>
          <w:b/>
        </w:rPr>
        <w:t>í</w:t>
      </w:r>
      <w:r w:rsidR="00D7458B">
        <w:rPr>
          <w:b/>
        </w:rPr>
        <w:t xml:space="preserve"> 6 opatření </w:t>
      </w:r>
      <w:r w:rsidR="00D7458B" w:rsidRPr="00D80BD6">
        <w:t xml:space="preserve">– </w:t>
      </w:r>
      <w:r w:rsidR="00D80BD6" w:rsidRPr="00D80BD6">
        <w:t>jedná se o opatření, která se nedařilo efektivně naplňovat proto jsou u nich navrhovány obsahové změny, současně j</w:t>
      </w:r>
      <w:r w:rsidR="00DD54FC">
        <w:t>e v rámci zefektivnění navrženo</w:t>
      </w:r>
      <w:r w:rsidR="00D80BD6" w:rsidRPr="00D80BD6">
        <w:t xml:space="preserve"> sloučení těchto opatření do 3. Akčního plánu</w:t>
      </w:r>
      <w:r w:rsidR="00D80BD6">
        <w:rPr>
          <w:b/>
        </w:rPr>
        <w:t xml:space="preserve">. </w:t>
      </w:r>
      <w:r w:rsidR="000009A7">
        <w:t>V p</w:t>
      </w:r>
      <w:r w:rsidR="00DD54FC">
        <w:t>řípadě schválení návrhu na slouč</w:t>
      </w:r>
      <w:r w:rsidR="000009A7">
        <w:t xml:space="preserve">ení </w:t>
      </w:r>
      <w:r w:rsidR="009807C4">
        <w:t xml:space="preserve"> jsou </w:t>
      </w:r>
      <w:r w:rsidR="000009A7">
        <w:t>současně</w:t>
      </w:r>
      <w:r w:rsidR="009807C4">
        <w:t xml:space="preserve"> navržena na vyjmutí z původního výčtu úkolů 1.a 2. Akčního plánu.</w:t>
      </w:r>
    </w:p>
    <w:p w14:paraId="2BCA98A2" w14:textId="7ED9093C" w:rsidR="00332CAD" w:rsidRDefault="003775A6" w:rsidP="0018199A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 w:rsidRPr="00332CAD">
        <w:rPr>
          <w:b/>
        </w:rPr>
        <w:t>Návrh a</w:t>
      </w:r>
      <w:r w:rsidR="00D7458B" w:rsidRPr="00332CAD">
        <w:rPr>
          <w:b/>
        </w:rPr>
        <w:t>ktualizace 3 opatření –</w:t>
      </w:r>
      <w:r w:rsidR="00D7458B">
        <w:t xml:space="preserve"> v rámci realizace dvou opatření z AP1 </w:t>
      </w:r>
      <w:r w:rsidR="00D80BD6">
        <w:t xml:space="preserve"> a jednoho z AP2 </w:t>
      </w:r>
      <w:r w:rsidR="00D7458B">
        <w:t>byl</w:t>
      </w:r>
      <w:r w:rsidR="00134242">
        <w:t>a</w:t>
      </w:r>
      <w:r w:rsidR="00D7458B">
        <w:t xml:space="preserve"> na základě podnětů z regionu navržena jejich </w:t>
      </w:r>
      <w:r w:rsidR="00D80BD6">
        <w:t xml:space="preserve">obsahová </w:t>
      </w:r>
      <w:r w:rsidR="00D7458B">
        <w:t xml:space="preserve">aktualizace umožňující zefektivnění realizace těchto opatření. Stávající opatření tak budou přenesena do </w:t>
      </w:r>
      <w:r w:rsidR="00CB0471">
        <w:t>3</w:t>
      </w:r>
      <w:r w:rsidR="00D80BD6">
        <w:t>. Akčního plánu</w:t>
      </w:r>
      <w:r w:rsidR="00D7458B">
        <w:t>.</w:t>
      </w:r>
      <w:r w:rsidR="009807C4" w:rsidRPr="009807C4">
        <w:t xml:space="preserve"> </w:t>
      </w:r>
      <w:r w:rsidR="00332CAD">
        <w:t xml:space="preserve">V případě schválení návrhu na </w:t>
      </w:r>
      <w:r w:rsidR="00D80BD6">
        <w:t>aktualizaci</w:t>
      </w:r>
      <w:r w:rsidR="00332CAD">
        <w:t xml:space="preserve">  jsou současně navržena na vyjmutí z původního výčtu úkolů 1.a 2. Akčního plánu.</w:t>
      </w:r>
    </w:p>
    <w:p w14:paraId="5A504DDA" w14:textId="6176F60F" w:rsidR="00D7458B" w:rsidRDefault="00D7458B" w:rsidP="0018199A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 w:rsidRPr="00332CAD">
        <w:rPr>
          <w:b/>
        </w:rPr>
        <w:t>Beze změny 5</w:t>
      </w:r>
      <w:r w:rsidR="00777314" w:rsidRPr="00332CAD">
        <w:rPr>
          <w:b/>
        </w:rPr>
        <w:t>5</w:t>
      </w:r>
      <w:r w:rsidRPr="00332CAD">
        <w:rPr>
          <w:b/>
        </w:rPr>
        <w:t xml:space="preserve"> opatření –</w:t>
      </w:r>
      <w:r>
        <w:t xml:space="preserve"> u těchto opatření se zatím jejich realizace postupně rozbíhá, či běží, ale cíle opatření ještě nebyly naplněny. Zůstávají tak v platnosti v nezměněné podobě.</w:t>
      </w:r>
    </w:p>
    <w:p w14:paraId="605D9AE6" w14:textId="709BDB83" w:rsidR="00777314" w:rsidRDefault="00D7458B" w:rsidP="00FA3B43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>
        <w:rPr>
          <w:b/>
        </w:rPr>
        <w:t>Návrh na zrušení 5 opatření –</w:t>
      </w:r>
      <w:r>
        <w:t xml:space="preserve"> u těchto opatření došlo ke změně legislativních podmínek, či se připravuje systémová změna platná pro celou ČR, která v některých případech umožní realizaci těchto aktivit i mimo rámec těchto opatření a proto jsou navržena ke zrušení, případně se je s ohledem na reálné možnosti státního rozpočtu a požadavky zbývajících regionů nedaří </w:t>
      </w:r>
      <w:r>
        <w:lastRenderedPageBreak/>
        <w:t xml:space="preserve">naplnit a v rámci </w:t>
      </w:r>
      <w:r w:rsidR="00D80BD6">
        <w:t>3. Akčního plánu</w:t>
      </w:r>
      <w:r>
        <w:t xml:space="preserve"> jsou po dohodě s resorty navržen</w:t>
      </w:r>
      <w:r w:rsidR="00134242">
        <w:t>a</w:t>
      </w:r>
      <w:r>
        <w:t xml:space="preserve"> opatření nová, která odpovídají aktuální situaci v oblasti přijaté legislativy.</w:t>
      </w:r>
    </w:p>
    <w:p w14:paraId="264125C8" w14:textId="61EE8E82" w:rsidR="00F55BCF" w:rsidRPr="00F55BCF" w:rsidRDefault="00F55BCF" w:rsidP="00F55BCF">
      <w:pPr>
        <w:jc w:val="both"/>
      </w:pPr>
      <w:r w:rsidRPr="00F55BCF">
        <w:t xml:space="preserve">Příloha Tabulka III dává </w:t>
      </w:r>
      <w:r w:rsidRPr="00F55BCF">
        <w:rPr>
          <w:rFonts w:ascii="Calibri" w:eastAsia="Times New Roman" w:hAnsi="Calibri" w:cs="Times New Roman"/>
          <w:iCs/>
          <w:color w:val="000000"/>
          <w:szCs w:val="18"/>
          <w:lang w:eastAsia="cs-CZ"/>
        </w:rPr>
        <w:t>přehled o stavu přípravy dopravních staveb ve vlastnictví státu na území Moravskoslezského, Ústeckého a Karlovarského kraje v rámci plnění opatření II.F.1.1 Zlepšit kvalitu ovzduší.</w:t>
      </w:r>
    </w:p>
    <w:p w14:paraId="62BE3BE2" w14:textId="6E066FE4" w:rsidR="00FA3B43" w:rsidRPr="00EC04C8" w:rsidRDefault="00FA3B43" w:rsidP="00FA3B43">
      <w:p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EC04C8">
        <w:rPr>
          <w:rFonts w:ascii="Calibri" w:hAnsi="Calibri"/>
          <w:b/>
        </w:rPr>
        <w:t>Výčet 2</w:t>
      </w:r>
      <w:r>
        <w:rPr>
          <w:rFonts w:ascii="Calibri" w:hAnsi="Calibri"/>
          <w:b/>
        </w:rPr>
        <w:t>3</w:t>
      </w:r>
      <w:r w:rsidRPr="00EC04C8">
        <w:rPr>
          <w:rFonts w:ascii="Calibri" w:hAnsi="Calibri"/>
          <w:b/>
        </w:rPr>
        <w:t xml:space="preserve"> opatření, jež lze označit za splněné či v</w:t>
      </w:r>
      <w:r>
        <w:rPr>
          <w:rFonts w:ascii="Calibri" w:hAnsi="Calibri"/>
          <w:b/>
        </w:rPr>
        <w:t xml:space="preserve"> probíhající</w:t>
      </w:r>
      <w:r w:rsidRPr="00EC04C8">
        <w:rPr>
          <w:rFonts w:ascii="Calibri" w:hAnsi="Calibri"/>
          <w:b/>
        </w:rPr>
        <w:t xml:space="preserve"> realizaci: </w:t>
      </w:r>
    </w:p>
    <w:p w14:paraId="370C41C4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I.B.2.1</w:t>
      </w:r>
      <w:r w:rsidRPr="00B322F9">
        <w:rPr>
          <w:rFonts w:ascii="Calibri" w:hAnsi="Calibri"/>
          <w:b/>
        </w:rPr>
        <w:tab/>
        <w:t>Program na regeneraci a podnikatelské využití brownfieldů vč. navýšení alokace tohoto programu</w:t>
      </w:r>
    </w:p>
    <w:p w14:paraId="6C43CEEC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I.C.1.3</w:t>
      </w:r>
      <w:r w:rsidRPr="00B322F9">
        <w:rPr>
          <w:rFonts w:ascii="Calibri" w:hAnsi="Calibri"/>
          <w:b/>
        </w:rPr>
        <w:tab/>
        <w:t>Podpora bilaterární a multilaterální spolupráce v aplikovaném výzkumu (program EPSILON)</w:t>
      </w:r>
    </w:p>
    <w:p w14:paraId="006621F5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I.C.1.9</w:t>
      </w:r>
      <w:r w:rsidRPr="00B322F9">
        <w:rPr>
          <w:rFonts w:ascii="Calibri" w:hAnsi="Calibri"/>
          <w:b/>
        </w:rPr>
        <w:tab/>
        <w:t>Vytvoření Národní inovační platformy pro chemii (NIP VIII. Chemie)</w:t>
      </w:r>
    </w:p>
    <w:p w14:paraId="69316EF8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I.C.2.1</w:t>
      </w:r>
      <w:r w:rsidRPr="00B322F9">
        <w:rPr>
          <w:rFonts w:ascii="Calibri" w:hAnsi="Calibri"/>
          <w:b/>
        </w:rPr>
        <w:tab/>
        <w:t>Program na podporu aplikovaného společenskovědního a humanitního výzkumu, experimentálního vývoje a inovací (program ÉTA)</w:t>
      </w:r>
    </w:p>
    <w:p w14:paraId="287B1E6D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I.C.2.3</w:t>
      </w:r>
      <w:r w:rsidRPr="00B322F9">
        <w:rPr>
          <w:rFonts w:ascii="Calibri" w:hAnsi="Calibri"/>
          <w:b/>
        </w:rPr>
        <w:tab/>
        <w:t>Program získávání expertů pro krajskou VaV excelenci</w:t>
      </w:r>
    </w:p>
    <w:p w14:paraId="164B06E7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I.C.2.5</w:t>
      </w:r>
      <w:r w:rsidRPr="00B322F9">
        <w:rPr>
          <w:rFonts w:ascii="Calibri" w:hAnsi="Calibri"/>
          <w:b/>
        </w:rPr>
        <w:tab/>
        <w:t>Testování autonomních silničních vozidel v reálném (nebo téměř reálném) silničním provozu města Ústí nad Labem - U "SMART" ZONE</w:t>
      </w:r>
    </w:p>
    <w:p w14:paraId="57549473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I.D.1.3</w:t>
      </w:r>
      <w:r w:rsidRPr="00B322F9">
        <w:rPr>
          <w:rFonts w:ascii="Calibri" w:hAnsi="Calibri"/>
          <w:b/>
        </w:rPr>
        <w:tab/>
        <w:t>Cílené komplementární výzvy z Operačního programu Výzkum, vývoj a vzdělávání pro VŠ ve strukturálně postižených regionech</w:t>
      </w:r>
    </w:p>
    <w:p w14:paraId="62CFD305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I.D.2.4</w:t>
      </w:r>
      <w:r w:rsidRPr="00B322F9">
        <w:rPr>
          <w:rFonts w:ascii="Calibri" w:hAnsi="Calibri"/>
          <w:b/>
        </w:rPr>
        <w:tab/>
        <w:t>Rozvoj predikčního systému trhu práce prostřednictvím projektu KOMPAS</w:t>
      </w:r>
    </w:p>
    <w:p w14:paraId="59DF5F73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I.D.2.6</w:t>
      </w:r>
      <w:r w:rsidRPr="00B322F9">
        <w:rPr>
          <w:rFonts w:ascii="Calibri" w:hAnsi="Calibri"/>
          <w:b/>
        </w:rPr>
        <w:tab/>
        <w:t>Intenzivní využívání NSP v činnosti ÚP ČR (zprostředkování, poradenství, rekvalifikace)</w:t>
      </w:r>
    </w:p>
    <w:p w14:paraId="695DA98C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I.D.2.7</w:t>
      </w:r>
      <w:r w:rsidRPr="00B322F9">
        <w:rPr>
          <w:rFonts w:ascii="Calibri" w:hAnsi="Calibri"/>
          <w:b/>
        </w:rPr>
        <w:tab/>
        <w:t>V souladu se zákonnými postupy při zadávání veřejných zakázek bude ÚP ČR při výběru dodavatelů poradenských služeb akceptovat nabídky a aktivně oslovovat řemeslné inkubátory</w:t>
      </w:r>
    </w:p>
    <w:p w14:paraId="493E59D8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I.D.2.8</w:t>
      </w:r>
      <w:r w:rsidRPr="00B322F9">
        <w:rPr>
          <w:rFonts w:ascii="Calibri" w:hAnsi="Calibri"/>
          <w:b/>
        </w:rPr>
        <w:tab/>
        <w:t>Intenzifikace využití zvolené rekvalifikace – cílené využívání ustanovení § 109a Zákona o zaměstnanosti</w:t>
      </w:r>
    </w:p>
    <w:p w14:paraId="78098237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I.D.2.9</w:t>
      </w:r>
      <w:r w:rsidRPr="00B322F9">
        <w:rPr>
          <w:rFonts w:ascii="Calibri" w:hAnsi="Calibri"/>
          <w:b/>
        </w:rPr>
        <w:tab/>
        <w:t>Zpracování analýzy možnosti zavedení podpory v rekvalifikaci i v případě § 109a Zákona o zaměstnanosti</w:t>
      </w:r>
    </w:p>
    <w:p w14:paraId="1FD57483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I.D.2.10</w:t>
      </w:r>
      <w:r>
        <w:rPr>
          <w:rFonts w:ascii="Calibri" w:hAnsi="Calibri"/>
          <w:b/>
        </w:rPr>
        <w:t xml:space="preserve"> </w:t>
      </w:r>
      <w:r w:rsidRPr="00B322F9">
        <w:rPr>
          <w:rFonts w:ascii="Calibri" w:hAnsi="Calibri"/>
          <w:b/>
        </w:rPr>
        <w:t>Realizace stávajících preventivních opatření v MSK a vyhodnocení jejich účinnosti na cílovou skupinu</w:t>
      </w:r>
    </w:p>
    <w:p w14:paraId="5AE39B3B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I.D.2.11</w:t>
      </w:r>
      <w:r>
        <w:rPr>
          <w:rFonts w:ascii="Calibri" w:hAnsi="Calibri"/>
          <w:b/>
        </w:rPr>
        <w:t xml:space="preserve"> </w:t>
      </w:r>
      <w:r w:rsidRPr="00B322F9">
        <w:rPr>
          <w:rFonts w:ascii="Calibri" w:hAnsi="Calibri"/>
          <w:b/>
        </w:rPr>
        <w:t>Zpracování analýzy možnosti vytvoření nových či přizpůsobení stávajících nástrojů podporujících přizpůsobení podniků a jejich zaměstnanců technologickým změnám v prostředí 4. průmyslové revoluce při zachování maximální možné míry zaměstnanosti</w:t>
      </w:r>
    </w:p>
    <w:p w14:paraId="68C717DF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I.D.3.6</w:t>
      </w:r>
      <w:r w:rsidRPr="00B322F9">
        <w:rPr>
          <w:rFonts w:ascii="Calibri" w:hAnsi="Calibri"/>
          <w:b/>
        </w:rPr>
        <w:tab/>
        <w:t>Realizovat a průběžně vyhodnocovat příspěvek na podporu regionální mobility</w:t>
      </w:r>
    </w:p>
    <w:p w14:paraId="38EBC65D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I.E.1.4</w:t>
      </w:r>
      <w:r w:rsidRPr="00B322F9">
        <w:rPr>
          <w:rFonts w:ascii="Calibri" w:hAnsi="Calibri"/>
          <w:b/>
        </w:rPr>
        <w:tab/>
        <w:t xml:space="preserve">Analýza potenciálu stříbrné ekonomiky pro rozvoj Ústeckého, Karlovarského a Moravskoslezského kraje  </w:t>
      </w:r>
    </w:p>
    <w:p w14:paraId="4825BD65" w14:textId="77777777" w:rsidR="00FA3B43" w:rsidRPr="00B322F9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B322F9">
        <w:rPr>
          <w:rFonts w:ascii="Calibri" w:hAnsi="Calibri"/>
          <w:b/>
        </w:rPr>
        <w:t>I.F.2.1</w:t>
      </w:r>
      <w:r w:rsidRPr="00B322F9">
        <w:rPr>
          <w:rFonts w:ascii="Calibri" w:hAnsi="Calibri"/>
          <w:b/>
        </w:rPr>
        <w:tab/>
        <w:t>Zhodnocení a případná úprava podmínek programu Demolice v sociálně vyloučených lokalitách vč. navýšení alokace tohoto programu</w:t>
      </w:r>
    </w:p>
    <w:p w14:paraId="6ADF9CD6" w14:textId="77777777" w:rsidR="00FA3B43" w:rsidRPr="003D1197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3D1197">
        <w:rPr>
          <w:rFonts w:ascii="Calibri" w:hAnsi="Calibri"/>
          <w:b/>
        </w:rPr>
        <w:lastRenderedPageBreak/>
        <w:t>I.F.2.2</w:t>
      </w:r>
      <w:r w:rsidRPr="003D1197">
        <w:rPr>
          <w:rFonts w:ascii="Calibri" w:hAnsi="Calibri"/>
          <w:b/>
        </w:rPr>
        <w:tab/>
        <w:t xml:space="preserve">Vznik programu zaměřeného na regeneraci brownfieldů v intravilánech měst a obcí s cílem prostřednictvím jeho prostřednictvím podporovat nepodnikatelské využití regenerovaných ploch </w:t>
      </w:r>
    </w:p>
    <w:p w14:paraId="1F90B315" w14:textId="77777777" w:rsidR="00FA3B43" w:rsidRPr="003D1197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3D1197">
        <w:rPr>
          <w:rFonts w:ascii="Calibri" w:hAnsi="Calibri"/>
          <w:b/>
        </w:rPr>
        <w:t>I.F.1.5</w:t>
      </w:r>
      <w:r w:rsidRPr="003D1197">
        <w:rPr>
          <w:rFonts w:ascii="Calibri" w:hAnsi="Calibri"/>
          <w:b/>
        </w:rPr>
        <w:tab/>
        <w:t>Akcelerace a urychlení čerpání alokace programu na řešení ekologických škod dle Usnesení vlády ČR č. 50/2002 Sb. na území Ústeckého a Karlovarského kraje</w:t>
      </w:r>
    </w:p>
    <w:p w14:paraId="0D32F17E" w14:textId="77777777" w:rsidR="00FA3B43" w:rsidRPr="003D1197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3D1197">
        <w:rPr>
          <w:rFonts w:ascii="Calibri" w:hAnsi="Calibri"/>
          <w:b/>
        </w:rPr>
        <w:t>I.F.1.6</w:t>
      </w:r>
      <w:r w:rsidRPr="003D1197">
        <w:rPr>
          <w:rFonts w:ascii="Calibri" w:hAnsi="Calibri"/>
          <w:b/>
        </w:rPr>
        <w:tab/>
        <w:t>Podpora programu Revitalizace Krušných hor (Ústecký i Karlovarský kraj)</w:t>
      </w:r>
    </w:p>
    <w:p w14:paraId="76671F79" w14:textId="45F0DD3C" w:rsidR="00FA3B43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777314">
        <w:rPr>
          <w:rFonts w:ascii="Calibri" w:hAnsi="Calibri"/>
          <w:b/>
        </w:rPr>
        <w:t>I.F.2.4</w:t>
      </w:r>
      <w:r w:rsidRPr="00777314">
        <w:rPr>
          <w:rFonts w:ascii="Calibri" w:hAnsi="Calibri"/>
          <w:b/>
        </w:rPr>
        <w:tab/>
        <w:t>Analýza rozvojových příležitostí a výsledů dosavadních rozvojových projektů města Terezín</w:t>
      </w:r>
    </w:p>
    <w:p w14:paraId="6D2F67B4" w14:textId="77777777" w:rsidR="00FA3B43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777314">
        <w:rPr>
          <w:rFonts w:ascii="Calibri" w:hAnsi="Calibri"/>
          <w:b/>
        </w:rPr>
        <w:t>G.1.1 Komplex opatření k dobudování významných dopravních úseků - dálnic a silnic I. třídy</w:t>
      </w:r>
    </w:p>
    <w:p w14:paraId="4EAA633E" w14:textId="77777777" w:rsidR="00FA3B43" w:rsidRPr="00777314" w:rsidRDefault="00FA3B43" w:rsidP="00FA3B43">
      <w:pPr>
        <w:pStyle w:val="Odstavecseseznamem"/>
        <w:numPr>
          <w:ilvl w:val="0"/>
          <w:numId w:val="6"/>
        </w:numPr>
        <w:shd w:val="clear" w:color="auto" w:fill="EDEDED" w:themeFill="accent3" w:themeFillTint="33"/>
        <w:jc w:val="both"/>
        <w:rPr>
          <w:rFonts w:ascii="Calibri" w:hAnsi="Calibri"/>
          <w:b/>
        </w:rPr>
      </w:pPr>
      <w:r w:rsidRPr="00777314">
        <w:rPr>
          <w:rFonts w:ascii="Calibri" w:hAnsi="Calibri"/>
          <w:b/>
        </w:rPr>
        <w:t>G.1.3 Komplex opatření ke zkapacitnění a modernizaci železničních tratí</w:t>
      </w:r>
    </w:p>
    <w:p w14:paraId="79AE2F4A" w14:textId="77777777" w:rsidR="00FA3B43" w:rsidRDefault="00FA3B43" w:rsidP="00FA3B43">
      <w:pPr>
        <w:jc w:val="both"/>
      </w:pPr>
      <w:r>
        <w:t>Výstupy z jednotlivých výše uvedených opatření jsou blíže popsány v příloze č. 1 Přehled aktuálního stavu naplňování akčních plánů.</w:t>
      </w:r>
    </w:p>
    <w:p w14:paraId="2A592E0F" w14:textId="78AC7D68" w:rsidR="00FA3B43" w:rsidRDefault="00FA3B43" w:rsidP="00FA3B43">
      <w:pPr>
        <w:jc w:val="both"/>
      </w:pPr>
      <w:r w:rsidRPr="007767B7">
        <w:t xml:space="preserve">Jedná se o základní výčet aktivit </w:t>
      </w:r>
      <w:proofErr w:type="gramStart"/>
      <w:r w:rsidRPr="007767B7">
        <w:t>s  termínem</w:t>
      </w:r>
      <w:proofErr w:type="gramEnd"/>
      <w:r w:rsidRPr="007767B7">
        <w:t xml:space="preserve"> realizace v průběhu roku 2018 případně vyhlášených na </w:t>
      </w:r>
      <w:r>
        <w:t xml:space="preserve">úplném </w:t>
      </w:r>
      <w:r w:rsidRPr="007767B7">
        <w:t>počátku roku 2019.</w:t>
      </w:r>
      <w:r>
        <w:t xml:space="preserve"> Přičemž jsou zahrnuta opatření, u nichž bude další fáze realizace probíhat i v příštích letech, protože se jedná o úkoly dlouhodobé</w:t>
      </w:r>
      <w:r w:rsidR="00D80BD6">
        <w:t xml:space="preserve"> a budou i nadále sledována a průběžně vyhodnocována</w:t>
      </w:r>
      <w:r>
        <w:t xml:space="preserve">. </w:t>
      </w:r>
    </w:p>
    <w:p w14:paraId="5799B4A4" w14:textId="77777777" w:rsidR="00FA3B43" w:rsidRDefault="00FA3B4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020C4D5D" w14:textId="77777777" w:rsidR="00D7458B" w:rsidRDefault="00D7458B" w:rsidP="00D7458B">
      <w:pPr>
        <w:pStyle w:val="Nadpis2"/>
      </w:pPr>
      <w:bookmarkStart w:id="6" w:name="_Toc10488758"/>
      <w:r>
        <w:t>Realizace projektů</w:t>
      </w:r>
      <w:bookmarkEnd w:id="6"/>
    </w:p>
    <w:p w14:paraId="2D009A2A" w14:textId="3886A1A8" w:rsidR="003D1197" w:rsidRDefault="003775A6" w:rsidP="0099699B">
      <w:pPr>
        <w:jc w:val="both"/>
      </w:pPr>
      <w:r>
        <w:t>K datu 31.</w:t>
      </w:r>
      <w:r w:rsidR="00D80BD6">
        <w:t xml:space="preserve"> </w:t>
      </w:r>
      <w:r>
        <w:t>12.</w:t>
      </w:r>
      <w:r w:rsidR="00D80BD6">
        <w:t xml:space="preserve"> </w:t>
      </w:r>
      <w:r>
        <w:t>2018</w:t>
      </w:r>
      <w:r w:rsidR="003D1197">
        <w:t xml:space="preserve"> byla v regionech podpořena řada projektů</w:t>
      </w:r>
      <w:r w:rsidR="00D7458B">
        <w:t xml:space="preserve"> v rámci již vyhlášených výzev z výše uvedených programů a opatření a došlo k čerpání na konkrétní projekty</w:t>
      </w:r>
      <w:r w:rsidR="003D1197">
        <w:t>.</w:t>
      </w:r>
    </w:p>
    <w:p w14:paraId="0B270BA4" w14:textId="262A935E" w:rsidR="00F72D5A" w:rsidRDefault="00F72D5A" w:rsidP="00F72D5A">
      <w:pPr>
        <w:pStyle w:val="Titulek"/>
      </w:pPr>
      <w:bookmarkStart w:id="7" w:name="_Toc10488748"/>
      <w:r>
        <w:t xml:space="preserve">Tabulka </w:t>
      </w:r>
      <w:r w:rsidR="00783FF1">
        <w:rPr>
          <w:noProof/>
        </w:rPr>
        <w:fldChar w:fldCharType="begin"/>
      </w:r>
      <w:r w:rsidR="00783FF1">
        <w:rPr>
          <w:noProof/>
        </w:rPr>
        <w:instrText xml:space="preserve"> SEQ Tabulka \* ARABIC </w:instrText>
      </w:r>
      <w:r w:rsidR="00783FF1">
        <w:rPr>
          <w:noProof/>
        </w:rPr>
        <w:fldChar w:fldCharType="separate"/>
      </w:r>
      <w:r w:rsidR="006404A0">
        <w:rPr>
          <w:noProof/>
        </w:rPr>
        <w:t>2</w:t>
      </w:r>
      <w:r w:rsidR="00783FF1">
        <w:rPr>
          <w:noProof/>
        </w:rPr>
        <w:fldChar w:fldCharType="end"/>
      </w:r>
      <w:r>
        <w:t xml:space="preserve"> – Přehled čerpání dotačních prostředků v regionech od zahájení programu </w:t>
      </w:r>
      <w:proofErr w:type="gramStart"/>
      <w:r>
        <w:t>RE:START</w:t>
      </w:r>
      <w:proofErr w:type="gramEnd"/>
      <w:r w:rsidR="003775A6">
        <w:t xml:space="preserve"> do </w:t>
      </w:r>
      <w:r w:rsidR="00FA3B43">
        <w:t>31. 12. 2018</w:t>
      </w:r>
      <w:r w:rsidR="000172AA">
        <w:t xml:space="preserve"> v Kč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62"/>
        <w:gridCol w:w="1569"/>
        <w:gridCol w:w="1331"/>
        <w:gridCol w:w="1525"/>
        <w:gridCol w:w="1318"/>
        <w:gridCol w:w="1557"/>
      </w:tblGrid>
      <w:tr w:rsidR="000172AA" w:rsidRPr="003D1197" w14:paraId="7BDD933B" w14:textId="77777777" w:rsidTr="00CD5319">
        <w:trPr>
          <w:trHeight w:val="1203"/>
        </w:trPr>
        <w:tc>
          <w:tcPr>
            <w:tcW w:w="990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F6368A" w14:textId="77777777" w:rsidR="003D1197" w:rsidRPr="000172AA" w:rsidRDefault="003D1197" w:rsidP="00F72D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172AA">
              <w:rPr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866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975387" w14:textId="77777777" w:rsidR="003D1197" w:rsidRPr="000172AA" w:rsidRDefault="003D1197" w:rsidP="00F72D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172AA">
              <w:rPr>
                <w:b/>
                <w:bCs/>
                <w:sz w:val="18"/>
                <w:szCs w:val="18"/>
              </w:rPr>
              <w:t>NUTS II</w:t>
            </w:r>
          </w:p>
          <w:p w14:paraId="136C4494" w14:textId="77777777" w:rsidR="003D1197" w:rsidRPr="000172AA" w:rsidRDefault="003D1197" w:rsidP="00F72D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172AA">
              <w:rPr>
                <w:b/>
                <w:bCs/>
                <w:sz w:val="18"/>
                <w:szCs w:val="18"/>
              </w:rPr>
              <w:t>Moravskoslezsko</w:t>
            </w:r>
            <w:proofErr w:type="spellEnd"/>
          </w:p>
        </w:tc>
        <w:tc>
          <w:tcPr>
            <w:tcW w:w="769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8F8FC6" w14:textId="77777777" w:rsidR="003D1197" w:rsidRPr="000172AA" w:rsidRDefault="003D1197" w:rsidP="00F72D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172AA">
              <w:rPr>
                <w:b/>
                <w:bCs/>
                <w:sz w:val="18"/>
                <w:szCs w:val="18"/>
              </w:rPr>
              <w:t>NUTS II</w:t>
            </w:r>
          </w:p>
          <w:p w14:paraId="0D8B66A4" w14:textId="77777777" w:rsidR="003D1197" w:rsidRPr="000172AA" w:rsidRDefault="003D1197" w:rsidP="00F72D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172AA">
              <w:rPr>
                <w:b/>
                <w:bCs/>
                <w:sz w:val="18"/>
                <w:szCs w:val="18"/>
              </w:rPr>
              <w:t>Severozápad</w:t>
            </w:r>
          </w:p>
        </w:tc>
        <w:tc>
          <w:tcPr>
            <w:tcW w:w="859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ED4E89" w14:textId="110B4480" w:rsidR="003D1197" w:rsidRPr="000172AA" w:rsidRDefault="0047364B" w:rsidP="00F72D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Ústecký</w:t>
            </w:r>
          </w:p>
        </w:tc>
        <w:tc>
          <w:tcPr>
            <w:tcW w:w="745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AB703" w14:textId="76B2707A" w:rsidR="003D1197" w:rsidRPr="000172AA" w:rsidRDefault="0047364B" w:rsidP="00F72D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Karlovarský</w:t>
            </w:r>
          </w:p>
        </w:tc>
        <w:tc>
          <w:tcPr>
            <w:tcW w:w="771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7BAE61" w14:textId="248804DA" w:rsidR="003D1197" w:rsidRPr="000172AA" w:rsidRDefault="0047364B" w:rsidP="00F72D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Moravskoslezský</w:t>
            </w:r>
          </w:p>
        </w:tc>
      </w:tr>
      <w:tr w:rsidR="0047364B" w:rsidRPr="003D1197" w14:paraId="27C4C311" w14:textId="77777777" w:rsidTr="00CD5319">
        <w:trPr>
          <w:trHeight w:val="346"/>
        </w:trPr>
        <w:tc>
          <w:tcPr>
            <w:tcW w:w="99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663005" w14:textId="68A398BD" w:rsidR="0047364B" w:rsidRPr="000172AA" w:rsidRDefault="0047364B" w:rsidP="0047364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172AA">
              <w:rPr>
                <w:b/>
                <w:bCs/>
                <w:sz w:val="18"/>
                <w:szCs w:val="18"/>
              </w:rPr>
              <w:t>Celkem v Kč</w:t>
            </w:r>
          </w:p>
        </w:tc>
        <w:tc>
          <w:tcPr>
            <w:tcW w:w="8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14D3E1B" w14:textId="71122FFB" w:rsidR="0047364B" w:rsidRPr="00CD5319" w:rsidRDefault="0047364B" w:rsidP="0047364B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D5319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450 169 458</w:t>
            </w:r>
            <w:r w:rsidRPr="00CD5319">
              <w:rPr>
                <w:vertAlign w:val="superscript"/>
              </w:rPr>
              <w:footnoteReference w:id="1"/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B54693F" w14:textId="68AA6F37" w:rsidR="0047364B" w:rsidRPr="00CD5319" w:rsidRDefault="0047364B" w:rsidP="0047364B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47364B">
              <w:rPr>
                <w:b/>
                <w:bCs/>
                <w:sz w:val="18"/>
                <w:szCs w:val="18"/>
              </w:rPr>
              <w:t>1 342 850 411</w:t>
            </w:r>
          </w:p>
        </w:tc>
        <w:tc>
          <w:tcPr>
            <w:tcW w:w="85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056951D" w14:textId="673A3DFE" w:rsidR="0047364B" w:rsidRPr="00CD5319" w:rsidRDefault="0047364B" w:rsidP="0047364B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47364B">
              <w:rPr>
                <w:b/>
                <w:bCs/>
                <w:sz w:val="18"/>
                <w:szCs w:val="18"/>
              </w:rPr>
              <w:t>1 231 521 770</w:t>
            </w:r>
          </w:p>
        </w:tc>
        <w:tc>
          <w:tcPr>
            <w:tcW w:w="74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4A363DC" w14:textId="1C4DF758" w:rsidR="0047364B" w:rsidRPr="00CD5319" w:rsidRDefault="0047364B" w:rsidP="0047364B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47364B">
              <w:rPr>
                <w:b/>
                <w:bCs/>
                <w:sz w:val="18"/>
                <w:szCs w:val="18"/>
              </w:rPr>
              <w:t>111 328 641</w:t>
            </w:r>
          </w:p>
        </w:tc>
        <w:tc>
          <w:tcPr>
            <w:tcW w:w="77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B3ABF2B" w14:textId="5FAEEBB8" w:rsidR="0047364B" w:rsidRPr="00CD5319" w:rsidRDefault="0047364B" w:rsidP="0047364B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47364B">
              <w:rPr>
                <w:b/>
                <w:bCs/>
                <w:sz w:val="18"/>
                <w:szCs w:val="18"/>
              </w:rPr>
              <w:t>1 450 169 458</w:t>
            </w:r>
          </w:p>
        </w:tc>
      </w:tr>
      <w:tr w:rsidR="0047364B" w:rsidRPr="003D1197" w14:paraId="6C70E3F2" w14:textId="77777777" w:rsidTr="00CD5319">
        <w:trPr>
          <w:trHeight w:val="346"/>
        </w:trPr>
        <w:tc>
          <w:tcPr>
            <w:tcW w:w="99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61E889" w14:textId="0AA42F43" w:rsidR="0047364B" w:rsidRPr="000172AA" w:rsidRDefault="0047364B" w:rsidP="0047364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0172AA">
              <w:rPr>
                <w:b/>
                <w:bCs/>
                <w:sz w:val="18"/>
                <w:szCs w:val="18"/>
              </w:rPr>
              <w:t xml:space="preserve">římá vazba </w:t>
            </w:r>
            <w:r>
              <w:rPr>
                <w:b/>
                <w:bCs/>
                <w:sz w:val="18"/>
                <w:szCs w:val="18"/>
              </w:rPr>
              <w:t>schválené opatření v SAP</w:t>
            </w:r>
          </w:p>
        </w:tc>
        <w:tc>
          <w:tcPr>
            <w:tcW w:w="8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D229AFE" w14:textId="43B87A93" w:rsidR="0047364B" w:rsidRPr="000172AA" w:rsidRDefault="0047364B" w:rsidP="0047364B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47364B">
              <w:rPr>
                <w:b/>
                <w:bCs/>
                <w:sz w:val="18"/>
                <w:szCs w:val="18"/>
              </w:rPr>
              <w:t>1 416 064 674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3A11090" w14:textId="0A4DA977" w:rsidR="0047364B" w:rsidRPr="000172AA" w:rsidRDefault="0047364B" w:rsidP="0047364B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47364B">
              <w:rPr>
                <w:b/>
                <w:bCs/>
                <w:sz w:val="18"/>
                <w:szCs w:val="18"/>
              </w:rPr>
              <w:t>1 239 639 618</w:t>
            </w:r>
          </w:p>
        </w:tc>
        <w:tc>
          <w:tcPr>
            <w:tcW w:w="85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5053BC1" w14:textId="7EF20428" w:rsidR="0047364B" w:rsidRPr="000172AA" w:rsidRDefault="0047364B" w:rsidP="0047364B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47364B">
              <w:rPr>
                <w:b/>
                <w:bCs/>
                <w:sz w:val="18"/>
                <w:szCs w:val="18"/>
              </w:rPr>
              <w:t>1 141 370 452</w:t>
            </w:r>
          </w:p>
        </w:tc>
        <w:tc>
          <w:tcPr>
            <w:tcW w:w="74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4D233FA" w14:textId="19D5EFF0" w:rsidR="0047364B" w:rsidRPr="000172AA" w:rsidRDefault="0047364B" w:rsidP="0047364B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47364B">
              <w:rPr>
                <w:b/>
                <w:bCs/>
                <w:sz w:val="18"/>
                <w:szCs w:val="18"/>
              </w:rPr>
              <w:t>98 269 166</w:t>
            </w:r>
          </w:p>
        </w:tc>
        <w:tc>
          <w:tcPr>
            <w:tcW w:w="77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F20E7FE" w14:textId="41FFC2F9" w:rsidR="0047364B" w:rsidRPr="000172AA" w:rsidRDefault="0047364B" w:rsidP="0047364B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47364B">
              <w:rPr>
                <w:b/>
                <w:bCs/>
                <w:sz w:val="18"/>
                <w:szCs w:val="18"/>
              </w:rPr>
              <w:t>1 416 064 674</w:t>
            </w:r>
          </w:p>
        </w:tc>
      </w:tr>
      <w:tr w:rsidR="000172AA" w:rsidRPr="003D1197" w14:paraId="2BA98974" w14:textId="77777777" w:rsidTr="00CD5319">
        <w:trPr>
          <w:trHeight w:val="346"/>
        </w:trPr>
        <w:tc>
          <w:tcPr>
            <w:tcW w:w="99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F092CD" w14:textId="58BF42C3" w:rsidR="000172AA" w:rsidRPr="000172AA" w:rsidRDefault="000172AA" w:rsidP="000172AA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0172AA">
              <w:rPr>
                <w:b/>
                <w:bCs/>
                <w:sz w:val="18"/>
                <w:szCs w:val="18"/>
              </w:rPr>
              <w:t>Demolice budov v SVL</w:t>
            </w:r>
            <w:r>
              <w:rPr>
                <w:rStyle w:val="Znakapoznpodarou"/>
                <w:b/>
                <w:bCs/>
                <w:sz w:val="18"/>
                <w:szCs w:val="18"/>
              </w:rPr>
              <w:footnoteReference w:id="2"/>
            </w:r>
            <w:r w:rsidRPr="000172A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F3CA693" w14:textId="30621726" w:rsidR="000172AA" w:rsidRPr="000172AA" w:rsidRDefault="000172AA" w:rsidP="000172AA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0172AA">
              <w:rPr>
                <w:b/>
                <w:bCs/>
                <w:sz w:val="18"/>
                <w:szCs w:val="18"/>
              </w:rPr>
              <w:t>34 104 784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4CF4905" w14:textId="3E1EE825" w:rsidR="000172AA" w:rsidRPr="000172AA" w:rsidRDefault="000172AA" w:rsidP="000172AA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0172AA">
              <w:rPr>
                <w:b/>
                <w:bCs/>
                <w:sz w:val="18"/>
                <w:szCs w:val="18"/>
              </w:rPr>
              <w:t>96 324 480</w:t>
            </w:r>
          </w:p>
        </w:tc>
        <w:tc>
          <w:tcPr>
            <w:tcW w:w="85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1F3102C9" w14:textId="42BC9707" w:rsidR="000172AA" w:rsidRPr="000172AA" w:rsidRDefault="000172AA" w:rsidP="000172AA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0172AA">
              <w:rPr>
                <w:b/>
                <w:bCs/>
                <w:sz w:val="18"/>
                <w:szCs w:val="18"/>
              </w:rPr>
              <w:t>83 265 005</w:t>
            </w:r>
          </w:p>
        </w:tc>
        <w:tc>
          <w:tcPr>
            <w:tcW w:w="74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64494D0" w14:textId="57FABB3D" w:rsidR="000172AA" w:rsidRPr="000172AA" w:rsidRDefault="000172AA" w:rsidP="000172AA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0172AA">
              <w:rPr>
                <w:b/>
                <w:bCs/>
                <w:sz w:val="18"/>
                <w:szCs w:val="18"/>
              </w:rPr>
              <w:t>13 059 475</w:t>
            </w:r>
          </w:p>
        </w:tc>
        <w:tc>
          <w:tcPr>
            <w:tcW w:w="77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00DC775" w14:textId="48EDE8E1" w:rsidR="000172AA" w:rsidRPr="000172AA" w:rsidRDefault="000172AA" w:rsidP="000172AA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0172AA">
              <w:rPr>
                <w:b/>
                <w:bCs/>
                <w:sz w:val="18"/>
                <w:szCs w:val="18"/>
              </w:rPr>
              <w:t>34 104 784</w:t>
            </w:r>
          </w:p>
        </w:tc>
      </w:tr>
    </w:tbl>
    <w:p w14:paraId="427C32F9" w14:textId="77777777" w:rsidR="003D1197" w:rsidRDefault="003D1197" w:rsidP="0099699B">
      <w:pPr>
        <w:jc w:val="both"/>
      </w:pPr>
    </w:p>
    <w:p w14:paraId="31BC6575" w14:textId="5201002E" w:rsidR="00D7458B" w:rsidRDefault="00F72D5A" w:rsidP="0099699B">
      <w:pPr>
        <w:jc w:val="both"/>
      </w:pPr>
      <w:r>
        <w:t xml:space="preserve">Podrobnější přehled </w:t>
      </w:r>
      <w:r w:rsidR="00D7458B">
        <w:t xml:space="preserve">podpořených </w:t>
      </w:r>
      <w:r>
        <w:t xml:space="preserve">projektů a úspěšných žadatelů </w:t>
      </w:r>
      <w:r w:rsidR="00D7458B">
        <w:t xml:space="preserve">viz </w:t>
      </w:r>
      <w:r w:rsidR="00FA3B43">
        <w:t>„P</w:t>
      </w:r>
      <w:r>
        <w:t>říloha</w:t>
      </w:r>
      <w:r w:rsidR="00777314">
        <w:t xml:space="preserve"> č. 2</w:t>
      </w:r>
      <w:r w:rsidR="00DD54FC">
        <w:t xml:space="preserve"> </w:t>
      </w:r>
      <w:r w:rsidR="003D4EC2">
        <w:t>–</w:t>
      </w:r>
      <w:r w:rsidR="00DD54FC">
        <w:t xml:space="preserve"> </w:t>
      </w:r>
      <w:r w:rsidR="003D4EC2">
        <w:t>Seznam příjemců</w:t>
      </w:r>
      <w:r w:rsidR="00324830">
        <w:t xml:space="preserve"> </w:t>
      </w:r>
      <w:proofErr w:type="gramStart"/>
      <w:r w:rsidR="00324830">
        <w:t>RE:START</w:t>
      </w:r>
      <w:proofErr w:type="gramEnd"/>
      <w:r w:rsidR="00DD54FC">
        <w:t>“</w:t>
      </w:r>
      <w:r w:rsidR="00324830">
        <w:t>.</w:t>
      </w:r>
      <w:r>
        <w:t xml:space="preserve"> </w:t>
      </w:r>
      <w:r w:rsidR="008F704F">
        <w:t xml:space="preserve">Výše uvedená disproporce v čerpání dotačních prostředků v rámci jednotlivých krajů </w:t>
      </w:r>
      <w:proofErr w:type="gramStart"/>
      <w:r w:rsidR="008F704F">
        <w:t>vedla</w:t>
      </w:r>
      <w:proofErr w:type="gramEnd"/>
      <w:r w:rsidR="008F704F">
        <w:t xml:space="preserve"> k již zmínění změně implementačních zásad zejména pro posílení a zajištění individuálního přístupu při zlepšování absorpční kapacity v regionech.</w:t>
      </w:r>
    </w:p>
    <w:p w14:paraId="42C98C67" w14:textId="77777777" w:rsidR="00FA4A66" w:rsidRDefault="00FA4A66" w:rsidP="00FA4A66">
      <w:pPr>
        <w:pStyle w:val="Nadpis2"/>
      </w:pPr>
      <w:bookmarkStart w:id="8" w:name="_Toc10488759"/>
      <w:r>
        <w:t>Bariéry a rizika</w:t>
      </w:r>
      <w:bookmarkEnd w:id="8"/>
    </w:p>
    <w:p w14:paraId="3F26E56D" w14:textId="77777777" w:rsidR="00FB3EFA" w:rsidRPr="00AD0D4D" w:rsidRDefault="00FB3EFA" w:rsidP="00FB3EFA">
      <w:pPr>
        <w:rPr>
          <w:bCs/>
          <w:u w:val="single"/>
        </w:rPr>
      </w:pPr>
      <w:r w:rsidRPr="00AD0D4D">
        <w:rPr>
          <w:bCs/>
          <w:u w:val="single"/>
        </w:rPr>
        <w:t>Oblasti, na něž je třeba se zaměřit:</w:t>
      </w:r>
    </w:p>
    <w:p w14:paraId="523C4E01" w14:textId="77777777" w:rsidR="00FB3EFA" w:rsidRDefault="00FB3EFA" w:rsidP="00FB3EFA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 w:rsidRPr="00675B49">
        <w:rPr>
          <w:b/>
        </w:rPr>
        <w:t>Některá opatření nejsou ze strany příslušných rezortů plněna</w:t>
      </w:r>
      <w:r w:rsidRPr="00AD0D4D">
        <w:t>.</w:t>
      </w:r>
      <w:r w:rsidRPr="00675B49">
        <w:rPr>
          <w:b/>
        </w:rPr>
        <w:t xml:space="preserve"> </w:t>
      </w:r>
      <w:r>
        <w:t xml:space="preserve">Hlavním problémem je </w:t>
      </w:r>
      <w:r w:rsidRPr="00AD0D4D">
        <w:t xml:space="preserve">delší časová prodleva či </w:t>
      </w:r>
      <w:r>
        <w:t>ne</w:t>
      </w:r>
      <w:r w:rsidRPr="00AD0D4D">
        <w:t>poskytnutí zpětné vazby od resortů k nastavení harmonogramu</w:t>
      </w:r>
      <w:r>
        <w:t xml:space="preserve">. V některých případech dochází k odmítnutí splnění úkolu vyplývajícího z usnesení vlády a s odvoláním na nedostatek finančních zdrojů, či jiné důvody. Nejsou-li tyto důvody ze strany rezortů objektivně popsány a potvrzeny vládou v rámci schválení Zprávy o realizaci, nejsou pro další sledování relevantní. </w:t>
      </w:r>
    </w:p>
    <w:p w14:paraId="6E895A2C" w14:textId="77777777" w:rsidR="00FB3EFA" w:rsidRPr="00675B49" w:rsidRDefault="00FB3EFA" w:rsidP="00FB3EFA">
      <w:pPr>
        <w:pStyle w:val="Odstavecseseznamem"/>
        <w:jc w:val="both"/>
        <w:rPr>
          <w:b/>
        </w:rPr>
      </w:pPr>
      <w:r w:rsidRPr="00AD0D4D">
        <w:t>Návrh řešení: vláda bude průběžně informována a bude vyhodnocovat schopnost naplňování. Současně bude díky posílení výkonné role v území průběžně vyhodnocováno naplňování</w:t>
      </w:r>
      <w:r>
        <w:t xml:space="preserve"> i na úrovni konkrétních projektů</w:t>
      </w:r>
      <w:r w:rsidRPr="00AD0D4D">
        <w:t>.</w:t>
      </w:r>
    </w:p>
    <w:p w14:paraId="265533B6" w14:textId="77777777" w:rsidR="00FB3EFA" w:rsidRPr="00AD0D4D" w:rsidRDefault="00FB3EFA" w:rsidP="00FB3EFA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 w:rsidRPr="00675B49">
        <w:rPr>
          <w:b/>
        </w:rPr>
        <w:t>Ve výzvách přetrvávají bariéry, které snižují možnost čerpání i efekty v území</w:t>
      </w:r>
      <w:r w:rsidRPr="00AD0D4D">
        <w:t xml:space="preserve">.           </w:t>
      </w:r>
    </w:p>
    <w:p w14:paraId="2DAD8BFC" w14:textId="77777777" w:rsidR="00FB3EFA" w:rsidRPr="00AD0D4D" w:rsidRDefault="00FB3EFA" w:rsidP="00FB3EFA">
      <w:pPr>
        <w:pStyle w:val="Odstavecseseznamem"/>
        <w:jc w:val="both"/>
      </w:pPr>
      <w:r w:rsidRPr="00AD0D4D">
        <w:t>Návrh řešení: Bude dle možností OP kladen důraz na specifické výzvy</w:t>
      </w:r>
      <w:r>
        <w:t>, které umožní zohlednění potřeb dotčených krajů a efektivnější zacílení prostředků.</w:t>
      </w:r>
    </w:p>
    <w:p w14:paraId="75E0053B" w14:textId="77777777" w:rsidR="00FB3EFA" w:rsidRPr="00675B49" w:rsidRDefault="00FB3EFA" w:rsidP="00FB3EFA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b/>
        </w:rPr>
      </w:pPr>
      <w:r w:rsidRPr="00675B49">
        <w:rPr>
          <w:b/>
        </w:rPr>
        <w:t xml:space="preserve">Návrhy z území pro aktualizace akčních plánů mnohdy nesouvisí s cíli hospodářské restrukturalizace nebo jsou poptávána řešení, která již dostatečně nabízí stávající celoplošné programy. </w:t>
      </w:r>
    </w:p>
    <w:p w14:paraId="2E359B9A" w14:textId="77777777" w:rsidR="00FB3EFA" w:rsidRPr="00AD0D4D" w:rsidRDefault="00FB3EFA" w:rsidP="00FB3EFA">
      <w:pPr>
        <w:pStyle w:val="Odstavecseseznamem"/>
        <w:jc w:val="both"/>
      </w:pPr>
      <w:r w:rsidRPr="00AD0D4D">
        <w:t>Návrh řešení: díky posílení výkonné role v území bude zlepšena komunikace a posílena informovanost regionálních aktérů.</w:t>
      </w:r>
    </w:p>
    <w:p w14:paraId="599F1D77" w14:textId="77777777" w:rsidR="00FB3EFA" w:rsidRPr="00AD0D4D" w:rsidRDefault="00FB3EFA" w:rsidP="00FB3EFA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 w:rsidRPr="00675B49">
        <w:rPr>
          <w:b/>
        </w:rPr>
        <w:t>Nedostatečná připravenost konkrétních projektů v území</w:t>
      </w:r>
      <w:r w:rsidRPr="00AD0D4D">
        <w:t>.</w:t>
      </w:r>
    </w:p>
    <w:p w14:paraId="483A32C0" w14:textId="02CFE63E" w:rsidR="00FB3EFA" w:rsidRPr="00AD0D4D" w:rsidRDefault="00FB3EFA" w:rsidP="00FB3EFA">
      <w:pPr>
        <w:pStyle w:val="Odstavecseseznamem"/>
        <w:jc w:val="both"/>
      </w:pPr>
      <w:r w:rsidRPr="00AD0D4D">
        <w:t xml:space="preserve">Návrh řešení: zajistit finanční i lidské zdroje na přípravu a development </w:t>
      </w:r>
      <w:r>
        <w:t xml:space="preserve">projektů </w:t>
      </w:r>
      <w:r w:rsidRPr="00AD0D4D">
        <w:t>přímo v</w:t>
      </w:r>
      <w:r w:rsidR="00DD54FC">
        <w:t> </w:t>
      </w:r>
      <w:r w:rsidRPr="00AD0D4D">
        <w:t>území</w:t>
      </w:r>
      <w:r w:rsidR="00DD54FC">
        <w:t>.</w:t>
      </w:r>
    </w:p>
    <w:p w14:paraId="7BB9C564" w14:textId="77777777" w:rsidR="00FB3EFA" w:rsidRPr="00AD0D4D" w:rsidRDefault="00FB3EFA" w:rsidP="00FB3EFA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 w:rsidRPr="00675B49">
        <w:rPr>
          <w:b/>
        </w:rPr>
        <w:t>Stávající pravidla evropských dotačních programů neumožňující realizaci některých typů aktivit</w:t>
      </w:r>
      <w:r w:rsidRPr="00AD0D4D">
        <w:t>.</w:t>
      </w:r>
    </w:p>
    <w:p w14:paraId="20D67EC6" w14:textId="105E4F0E" w:rsidR="00FB3EFA" w:rsidRDefault="00FB3EFA" w:rsidP="00FB3EFA">
      <w:pPr>
        <w:pStyle w:val="Odstavecseseznamem"/>
        <w:jc w:val="both"/>
      </w:pPr>
      <w:r w:rsidRPr="00AD0D4D">
        <w:t>Návrh řešení: větší aktivita řídících orgánů</w:t>
      </w:r>
      <w:r>
        <w:t xml:space="preserve"> </w:t>
      </w:r>
      <w:r w:rsidR="0060612D">
        <w:t>(</w:t>
      </w:r>
      <w:r w:rsidR="00C7621D">
        <w:t xml:space="preserve">v koordinaci s </w:t>
      </w:r>
      <w:r>
        <w:t>Národní</w:t>
      </w:r>
      <w:r w:rsidR="00C7621D">
        <w:t>m</w:t>
      </w:r>
      <w:r>
        <w:t xml:space="preserve"> orgán</w:t>
      </w:r>
      <w:r w:rsidR="00C7621D">
        <w:t>em</w:t>
      </w:r>
      <w:r>
        <w:t xml:space="preserve"> pro koordinaci</w:t>
      </w:r>
      <w:r w:rsidR="0060612D">
        <w:t>)</w:t>
      </w:r>
      <w:r>
        <w:t xml:space="preserve"> s cílem v odůvodněných případech </w:t>
      </w:r>
      <w:r w:rsidRPr="00AD0D4D">
        <w:t>vyjednat s EK změnu podmínek i v průběhu probíhajícího programového období</w:t>
      </w:r>
      <w:r>
        <w:t xml:space="preserve"> a adekvátně zohlednit implementaci programu RE:START v programovém období 2021+.</w:t>
      </w:r>
    </w:p>
    <w:p w14:paraId="5FCA25B4" w14:textId="77777777" w:rsidR="00FB3EFA" w:rsidRPr="00AD0D4D" w:rsidRDefault="00FB3EFA" w:rsidP="00FB3EFA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 w:rsidRPr="00675B49">
        <w:rPr>
          <w:b/>
        </w:rPr>
        <w:t>Skrze RESTART není možné podporovat konkrétní projekty, šlo by o formu účelové dotace.</w:t>
      </w:r>
      <w:r w:rsidRPr="00BE61C1">
        <w:t xml:space="preserve"> Návrh řešení: Národní výkonný tým navrhne novou metodiku pro hodnocení a výběr konkrétních projektů, po konzultaci v Poradním týmu bude předložena vládě v příštím roce.</w:t>
      </w:r>
    </w:p>
    <w:p w14:paraId="691557EF" w14:textId="77777777" w:rsidR="00FB3EFA" w:rsidRPr="00AD0D4D" w:rsidRDefault="00FB3EFA" w:rsidP="00FB3EFA">
      <w:pPr>
        <w:jc w:val="both"/>
        <w:rPr>
          <w:u w:val="single"/>
        </w:rPr>
      </w:pPr>
      <w:r w:rsidRPr="00AD0D4D">
        <w:rPr>
          <w:u w:val="single"/>
        </w:rPr>
        <w:t>Za nejvýznamnější rizika procesu hospodářské restrukturalizace lze považovat:</w:t>
      </w:r>
    </w:p>
    <w:p w14:paraId="72DB5B17" w14:textId="77777777" w:rsidR="00FB3EFA" w:rsidRPr="00AD0D4D" w:rsidRDefault="00FB3EFA" w:rsidP="00FB3EFA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 w:rsidRPr="00675B49">
        <w:rPr>
          <w:b/>
        </w:rPr>
        <w:lastRenderedPageBreak/>
        <w:t>Přerušení procesu hospodářské restrukturalizace</w:t>
      </w:r>
      <w:r w:rsidRPr="00AD0D4D">
        <w:t xml:space="preserve">, zvláště když se již podařilo vzbudit zájem krajských </w:t>
      </w:r>
      <w:r>
        <w:t>aktérů</w:t>
      </w:r>
      <w:r w:rsidRPr="00AD0D4D">
        <w:t xml:space="preserve"> a </w:t>
      </w:r>
      <w:r>
        <w:t>aktivovat</w:t>
      </w:r>
      <w:r w:rsidRPr="00AD0D4D">
        <w:t xml:space="preserve"> je. Znovuzískání důvěry by bylo velice obtížné.</w:t>
      </w:r>
    </w:p>
    <w:p w14:paraId="5A0A42C1" w14:textId="77777777" w:rsidR="00FB3EFA" w:rsidRDefault="00FB3EFA" w:rsidP="00FB3EFA">
      <w:pPr>
        <w:jc w:val="both"/>
      </w:pPr>
      <w:r w:rsidRPr="00675B49">
        <w:rPr>
          <w:b/>
        </w:rPr>
        <w:t>Nezajištění potřebných finančních zdrojů</w:t>
      </w:r>
      <w:r w:rsidRPr="00AD0D4D">
        <w:t xml:space="preserve"> nebo poskytování finančních zdrojů opatřením ad hoc či významné výkyvy v dostupnosti finančních zdrojů. Všechny tři případy </w:t>
      </w:r>
      <w:r>
        <w:t xml:space="preserve">by měly </w:t>
      </w:r>
      <w:r w:rsidRPr="00AD0D4D">
        <w:t>za následek ztrátu důvěry krajských subjektů</w:t>
      </w:r>
      <w:r>
        <w:t xml:space="preserve"> a rozmělnění celého procesu restrukturalizace.</w:t>
      </w:r>
    </w:p>
    <w:p w14:paraId="238CFBAB" w14:textId="567177B5" w:rsidR="00D7458B" w:rsidRDefault="00D7458B" w:rsidP="00FB3EFA">
      <w:pPr>
        <w:pStyle w:val="Nadpis1"/>
      </w:pPr>
      <w:bookmarkStart w:id="9" w:name="_Toc10488760"/>
      <w:r>
        <w:t>Platforma pro uhelné regiony v transformaci</w:t>
      </w:r>
      <w:bookmarkEnd w:id="9"/>
    </w:p>
    <w:p w14:paraId="729F9181" w14:textId="77777777" w:rsidR="00D7458B" w:rsidRPr="009671DE" w:rsidRDefault="00D7458B" w:rsidP="00D7458B">
      <w:pPr>
        <w:tabs>
          <w:tab w:val="num" w:pos="1440"/>
        </w:tabs>
        <w:jc w:val="both"/>
      </w:pPr>
      <w:r w:rsidRPr="009671DE">
        <w:rPr>
          <w:bCs/>
        </w:rPr>
        <w:t>Téma restrukturalizace uhelných regionů se stalo významným i na úrovni EU.</w:t>
      </w:r>
    </w:p>
    <w:p w14:paraId="4B226C2A" w14:textId="42CFD7FF" w:rsidR="001913EE" w:rsidRDefault="001913EE" w:rsidP="001913EE">
      <w:pPr>
        <w:tabs>
          <w:tab w:val="num" w:pos="1440"/>
        </w:tabs>
        <w:jc w:val="both"/>
      </w:pPr>
      <w:r>
        <w:t xml:space="preserve">Činnost Platformy pro uhelné regiony v transformaci (nově označované též jako </w:t>
      </w:r>
      <w:r w:rsidRPr="00CE4C63">
        <w:t>Platform</w:t>
      </w:r>
      <w:r>
        <w:t>a</w:t>
      </w:r>
      <w:r w:rsidRPr="00CE4C63">
        <w:t xml:space="preserve"> pro uhelné a uhlíkově-intenzivní regiony v</w:t>
      </w:r>
      <w:r>
        <w:t> </w:t>
      </w:r>
      <w:r w:rsidRPr="00CE4C63">
        <w:t>transformaci</w:t>
      </w:r>
      <w:r>
        <w:t>, dále jen „Platforma“) byla zahájena při Evropské komisi v prosinci 2017. Její činnost vychází z premisy, že v současné době se stále celkem v 41 regionech 12 členských států Evropské unie aktivně těží uhlí a průmysl těžby spolu s návaznými obory zaměstnává statisíce zaměstnanců, přičemž v poslední</w:t>
      </w:r>
      <w:r w:rsidRPr="00620488">
        <w:t>ch několika desetiletích však</w:t>
      </w:r>
      <w:r>
        <w:t xml:space="preserve"> produkce i spotřeba uhlí v Evropské unii setrvale klesá</w:t>
      </w:r>
      <w:r w:rsidR="003775A6">
        <w:t>.</w:t>
      </w:r>
      <w:r>
        <w:t xml:space="preserve"> </w:t>
      </w:r>
      <w:r w:rsidR="003775A6">
        <w:t>O</w:t>
      </w:r>
      <w:r>
        <w:t xml:space="preserve">čekává se, že v kontextu závazků spojených s postupným uzavíráním uhelných dolů a využívání uhlí pro energetické účely, ke kterým se Evropská unie i její vybrané členské státy zavázaly, bude i nadále </w:t>
      </w:r>
      <w:r w:rsidRPr="00620488">
        <w:t>produkce i</w:t>
      </w:r>
      <w:r>
        <w:t xml:space="preserve"> spotřeba uhlí klesat – tento </w:t>
      </w:r>
      <w:proofErr w:type="gramStart"/>
      <w:r>
        <w:t>trend  </w:t>
      </w:r>
      <w:r w:rsidR="00DD54FC">
        <w:t>s</w:t>
      </w:r>
      <w:proofErr w:type="gramEnd"/>
      <w:r w:rsidR="00DD54FC">
        <w:t xml:space="preserve"> </w:t>
      </w:r>
      <w:r>
        <w:t xml:space="preserve">sebou přinese řadu výzev, kterým musí a budou muset uhelné regiony čelit. Smyslem činnosti Platformy je pomoc členským státům a jejím uhelným regionům tak, aby v kontextu těchto výzev mohly i v budoucích změněných podmínkách hospodářsky růst a zajišťovat zázemí pro kvalitní život svých obyvatel. </w:t>
      </w:r>
      <w:r w:rsidRPr="00465C2C">
        <w:t>Platforma je</w:t>
      </w:r>
      <w:r>
        <w:t xml:space="preserve"> jedním z hlavních doprovodných opatření balíčku „Čistá energie pro všechny Evropany (</w:t>
      </w:r>
      <w:r w:rsidRPr="00465C2C">
        <w:t>IP/16/4009)</w:t>
      </w:r>
      <w:r w:rsidR="00DD54FC">
        <w:t>“</w:t>
      </w:r>
      <w:r>
        <w:t>, který byl představen v listopadu 2016.</w:t>
      </w:r>
    </w:p>
    <w:p w14:paraId="029C6320" w14:textId="125B67BC" w:rsidR="001913EE" w:rsidRDefault="001913EE" w:rsidP="001913EE">
      <w:pPr>
        <w:tabs>
          <w:tab w:val="num" w:pos="1440"/>
        </w:tabs>
        <w:jc w:val="both"/>
      </w:pPr>
      <w:r>
        <w:t>V praxi jsou aktivity Platformy doposud naplňovány především realizac</w:t>
      </w:r>
      <w:r w:rsidR="003775A6">
        <w:t>í</w:t>
      </w:r>
      <w:r>
        <w:t xml:space="preserve"> multilaterálních i bilaterálních dialogů na půdě Evropské komise i přímo v jednotlivých uhelných regionech, v jejichž rámci je významná pozornost věnována především strategiím, které umožní budoucí prosperitu uhelných regionů budovat a podmínkám pro možnosti jejich implementace vč. realizace konkrétních projektů restrukturalizačního charakteru. </w:t>
      </w:r>
    </w:p>
    <w:p w14:paraId="44936A43" w14:textId="053739A3" w:rsidR="001913EE" w:rsidRDefault="001913EE" w:rsidP="001913EE">
      <w:pPr>
        <w:tabs>
          <w:tab w:val="num" w:pos="1440"/>
        </w:tabs>
        <w:jc w:val="both"/>
      </w:pPr>
      <w:r w:rsidRPr="00465C2C">
        <w:t>Č</w:t>
      </w:r>
      <w:r>
        <w:t>eská republika</w:t>
      </w:r>
      <w:r w:rsidRPr="00465C2C">
        <w:t xml:space="preserve"> byla zařazena mezi pilotní země</w:t>
      </w:r>
      <w:r>
        <w:t xml:space="preserve"> Platformy</w:t>
      </w:r>
      <w:r w:rsidRPr="00465C2C">
        <w:t xml:space="preserve"> na jaře 2018</w:t>
      </w:r>
      <w:r>
        <w:t xml:space="preserve"> a to</w:t>
      </w:r>
      <w:r w:rsidRPr="00465C2C">
        <w:t xml:space="preserve"> </w:t>
      </w:r>
      <w:r>
        <w:t xml:space="preserve">právě na </w:t>
      </w:r>
      <w:r w:rsidRPr="00465C2C">
        <w:t>základě</w:t>
      </w:r>
      <w:r w:rsidR="003775A6">
        <w:t xml:space="preserve"> realizované </w:t>
      </w:r>
      <w:r>
        <w:t>Strategie hospodářské restrukturalizace Moravskoslezského, Ústeckého a Karlovarského kraje</w:t>
      </w:r>
      <w:r w:rsidRPr="00465C2C">
        <w:t xml:space="preserve">, </w:t>
      </w:r>
      <w:r>
        <w:t>pilotními regiony se staly všechny tři kraje řešené touto strategií (resp. 2 regiony na úrovni NUTS II – N</w:t>
      </w:r>
      <w:r w:rsidRPr="00465C2C">
        <w:t>UTS</w:t>
      </w:r>
      <w:r>
        <w:t xml:space="preserve"> II</w:t>
      </w:r>
      <w:r w:rsidRPr="00465C2C">
        <w:t xml:space="preserve"> Severozápad a NUTS</w:t>
      </w:r>
      <w:r>
        <w:t xml:space="preserve"> II</w:t>
      </w:r>
      <w:r w:rsidRPr="00465C2C">
        <w:t xml:space="preserve"> </w:t>
      </w:r>
      <w:proofErr w:type="spellStart"/>
      <w:r w:rsidRPr="00465C2C">
        <w:t>Moravskoslezsko</w:t>
      </w:r>
      <w:proofErr w:type="spellEnd"/>
      <w:r>
        <w:t>)</w:t>
      </w:r>
      <w:r w:rsidRPr="00465C2C">
        <w:t>.</w:t>
      </w:r>
      <w:r>
        <w:t xml:space="preserve"> Zástupci Národního výkonného týmu programu </w:t>
      </w:r>
      <w:proofErr w:type="gramStart"/>
      <w:r>
        <w:t>RE:START</w:t>
      </w:r>
      <w:proofErr w:type="gramEnd"/>
      <w:r>
        <w:t xml:space="preserve"> se účastní všech relevantních jednání organizovaných Platformou.</w:t>
      </w:r>
    </w:p>
    <w:p w14:paraId="6660698D" w14:textId="77777777" w:rsidR="001913EE" w:rsidRDefault="001913EE" w:rsidP="001913EE">
      <w:pPr>
        <w:tabs>
          <w:tab w:val="num" w:pos="1440"/>
        </w:tabs>
        <w:jc w:val="both"/>
      </w:pPr>
      <w:r>
        <w:t>Význam programu RE:START v kontextu této Platformy a kohezní politiky v rámci stávajícího programového období EU 2014 – 2020 potvrdil mj. Průvodní dokument k Sdělení Komise Evropskému parlamentu, Evropské Radě, Radě, Evropské centrální bance a Euroskupině „Evropský semestr 2019: Posouzení pokroku ve strukturálních reformách a v předcházení a nápravě makroekonomické nerovnováhy a výsledky hloubkových přezkumů strukturálních reforem podle nařízení (EU) č. 1176/2011“ (tzv. country report), ve kterém je uvedeno, že „</w:t>
      </w:r>
      <w:r w:rsidRPr="009B71FB">
        <w:rPr>
          <w:i/>
        </w:rPr>
        <w:t xml:space="preserve">…Iniciativa Evropské komise týkající se transformace uhelných regionů, která se na vnitrostátní úrovni provádí v rámci strategického rámce </w:t>
      </w:r>
      <w:r w:rsidRPr="009B71FB">
        <w:rPr>
          <w:i/>
        </w:rPr>
        <w:lastRenderedPageBreak/>
        <w:t>pro hospodářskou restrukturalizaci (RE:START), je příjemcem významné podpory z ESI fondů na posílení socioekonomické a technologické transformace ve třech regionech s velkým podílem uhelného průmyslu.</w:t>
      </w:r>
      <w:r>
        <w:t>“.</w:t>
      </w:r>
    </w:p>
    <w:p w14:paraId="1BBE3592" w14:textId="77777777" w:rsidR="001913EE" w:rsidRPr="009671DE" w:rsidRDefault="001913EE" w:rsidP="001913EE">
      <w:pPr>
        <w:tabs>
          <w:tab w:val="num" w:pos="1440"/>
        </w:tabs>
        <w:jc w:val="both"/>
      </w:pPr>
      <w:r>
        <w:t xml:space="preserve">Hlavní a očekávané přínosy zařazení českých strukturálně postižených / uhelných regionů: </w:t>
      </w:r>
    </w:p>
    <w:p w14:paraId="6B19D25E" w14:textId="4CD52E87" w:rsidR="001913EE" w:rsidRPr="00D81430" w:rsidRDefault="001913EE" w:rsidP="001913EE">
      <w:pPr>
        <w:numPr>
          <w:ilvl w:val="0"/>
          <w:numId w:val="11"/>
        </w:numPr>
        <w:tabs>
          <w:tab w:val="num" w:pos="1440"/>
        </w:tabs>
        <w:spacing w:after="0" w:line="240" w:lineRule="auto"/>
        <w:jc w:val="both"/>
      </w:pPr>
      <w:r w:rsidRPr="00D81430">
        <w:t>Větší podpora ze strany E</w:t>
      </w:r>
      <w:r>
        <w:t>vropské komise</w:t>
      </w:r>
      <w:r w:rsidRPr="00D81430">
        <w:t xml:space="preserve"> celému </w:t>
      </w:r>
      <w:r>
        <w:t xml:space="preserve">transformačnímu </w:t>
      </w:r>
      <w:r w:rsidRPr="00D81430">
        <w:t xml:space="preserve">procesu </w:t>
      </w:r>
      <w:r>
        <w:t>prostřednictvím</w:t>
      </w:r>
      <w:r w:rsidRPr="00D81430">
        <w:t xml:space="preserve"> </w:t>
      </w:r>
      <w:r>
        <w:t xml:space="preserve">– a to jak nepřímá prostřednictvím intenzivní konzultační podpory na úrovni jednotlivých opatření programu RE:START (především těch vyžadující integrovaná systémová řešení a vyžadující tedy i </w:t>
      </w:r>
      <w:proofErr w:type="spellStart"/>
      <w:r>
        <w:t>multizdrojové</w:t>
      </w:r>
      <w:proofErr w:type="spellEnd"/>
      <w:r>
        <w:t xml:space="preserve"> financování), tak přímá prostřednictvím finanční podpory z úrovně </w:t>
      </w:r>
      <w:r w:rsidRPr="00D81430">
        <w:t xml:space="preserve">ESIF (viz </w:t>
      </w:r>
      <w:r>
        <w:t xml:space="preserve">dále v tomto materiálu řešená problematika </w:t>
      </w:r>
      <w:r w:rsidRPr="00D81430">
        <w:t>realokac</w:t>
      </w:r>
      <w:r>
        <w:t xml:space="preserve">í, kdy z úrovně EK byly na konci roku 2018 </w:t>
      </w:r>
      <w:r w:rsidRPr="009B71FB">
        <w:t>potvrzeny realokace ESIF</w:t>
      </w:r>
      <w:r>
        <w:t xml:space="preserve"> z nevyužitých prostředků na podporu rozvoje vysokorychlostního internetu ve prospěch strukturálně postižených regionů a to prostřednictvím IROP, OPPIK a OPŽP</w:t>
      </w:r>
      <w:r w:rsidRPr="00D81430">
        <w:t>)</w:t>
      </w:r>
      <w:r w:rsidR="00DD54FC">
        <w:t>.</w:t>
      </w:r>
    </w:p>
    <w:p w14:paraId="58A8400E" w14:textId="72D65B62" w:rsidR="001913EE" w:rsidRPr="00D81430" w:rsidRDefault="001913EE" w:rsidP="001913EE">
      <w:pPr>
        <w:numPr>
          <w:ilvl w:val="0"/>
          <w:numId w:val="11"/>
        </w:numPr>
        <w:tabs>
          <w:tab w:val="num" w:pos="1440"/>
        </w:tabs>
        <w:spacing w:after="0" w:line="240" w:lineRule="auto"/>
        <w:jc w:val="both"/>
      </w:pPr>
      <w:r>
        <w:t>Možnost aktivní v</w:t>
      </w:r>
      <w:r w:rsidRPr="00D81430">
        <w:t>ýměn</w:t>
      </w:r>
      <w:r>
        <w:t>y</w:t>
      </w:r>
      <w:r w:rsidRPr="00D81430">
        <w:t xml:space="preserve"> zkušeností mezi regiony</w:t>
      </w:r>
      <w:r>
        <w:t>, rozvoj vzájemné spolupráce a možnost tvorby společných projektů</w:t>
      </w:r>
      <w:r w:rsidR="00DD54FC">
        <w:t>.</w:t>
      </w:r>
    </w:p>
    <w:p w14:paraId="49AE461B" w14:textId="3E4F5D9E" w:rsidR="001913EE" w:rsidRPr="00D81430" w:rsidRDefault="001913EE" w:rsidP="001913EE">
      <w:pPr>
        <w:numPr>
          <w:ilvl w:val="0"/>
          <w:numId w:val="11"/>
        </w:numPr>
        <w:tabs>
          <w:tab w:val="num" w:pos="1440"/>
        </w:tabs>
        <w:spacing w:after="0" w:line="240" w:lineRule="auto"/>
        <w:jc w:val="both"/>
      </w:pPr>
      <w:r w:rsidRPr="00D81430">
        <w:t>Posílení schopnosti ČR využí</w:t>
      </w:r>
      <w:r>
        <w:t>va</w:t>
      </w:r>
      <w:r w:rsidRPr="00D81430">
        <w:t xml:space="preserve">t </w:t>
      </w:r>
      <w:r>
        <w:t xml:space="preserve">potenciál tzv. </w:t>
      </w:r>
      <w:r w:rsidRPr="00D81430">
        <w:t>komunitární</w:t>
      </w:r>
      <w:r>
        <w:t>ch</w:t>
      </w:r>
      <w:r w:rsidRPr="00D81430">
        <w:t xml:space="preserve"> program</w:t>
      </w:r>
      <w:r>
        <w:t>ů</w:t>
      </w:r>
      <w:r w:rsidR="00DD54FC">
        <w:t>.</w:t>
      </w:r>
    </w:p>
    <w:p w14:paraId="3DC45EAA" w14:textId="77777777" w:rsidR="001913EE" w:rsidRPr="00D81430" w:rsidRDefault="001913EE" w:rsidP="001913EE">
      <w:pPr>
        <w:numPr>
          <w:ilvl w:val="0"/>
          <w:numId w:val="11"/>
        </w:numPr>
        <w:tabs>
          <w:tab w:val="num" w:pos="1440"/>
        </w:tabs>
        <w:spacing w:after="120" w:line="240" w:lineRule="auto"/>
        <w:ind w:left="714" w:hanging="357"/>
        <w:jc w:val="both"/>
      </w:pPr>
      <w:r w:rsidRPr="00D81430">
        <w:t xml:space="preserve">Vytvoření nových nástrojů přímo zaměřených na uhelné regiony včetně vyčlenění finančních </w:t>
      </w:r>
      <w:proofErr w:type="gramStart"/>
      <w:r w:rsidRPr="00D81430">
        <w:t>prostředků</w:t>
      </w:r>
      <w:proofErr w:type="gramEnd"/>
      <w:r>
        <w:t xml:space="preserve"> a to se specifickým důrazem na potenciál na úrovni programového období EU 2021 – 2027, ve vztahu k němuž lze identifikovat potenciál pro navýšení celkového objemu finančních prostředků, které by – právě ve prospěch strukturálně postižených, resp. uhelných regionů – měla mít Česká republika šanci v tomto příštím programovém období čerpat.</w:t>
      </w:r>
    </w:p>
    <w:p w14:paraId="71E4F782" w14:textId="7313B962" w:rsidR="00DA2962" w:rsidRDefault="001913EE" w:rsidP="001913EE">
      <w:pPr>
        <w:tabs>
          <w:tab w:val="num" w:pos="1440"/>
        </w:tabs>
        <w:jc w:val="both"/>
      </w:pPr>
      <w:r>
        <w:t xml:space="preserve">V únoru 2019 byla realizována </w:t>
      </w:r>
      <w:r w:rsidRPr="00465C2C">
        <w:t xml:space="preserve">návštěva zástupců </w:t>
      </w:r>
      <w:r>
        <w:t xml:space="preserve">Platformy, resp. </w:t>
      </w:r>
      <w:r w:rsidRPr="00465C2C">
        <w:t>EK v Moravskoslezském kraji</w:t>
      </w:r>
      <w:r>
        <w:t>,</w:t>
      </w:r>
      <w:r w:rsidRPr="00465C2C">
        <w:t xml:space="preserve"> návštěva Ústeckého a Karlovarského kraje je naplánována na květen</w:t>
      </w:r>
      <w:r>
        <w:t xml:space="preserve"> 2019</w:t>
      </w:r>
      <w:r w:rsidRPr="00465C2C">
        <w:t>.</w:t>
      </w:r>
      <w:r>
        <w:t xml:space="preserve"> Cíl</w:t>
      </w:r>
      <w:r w:rsidR="00DD54FC">
        <w:t>em návštěv zástupců EK, resp. zástupců Platformy</w:t>
      </w:r>
      <w:r>
        <w:t xml:space="preserve"> v regionech je především prezentovat realitu strukturálně postižených / uhelných regionů v České republice, výzvy kterým čelí a potřeby, které je v přímé provázanosti se systémovým přístupem programu </w:t>
      </w:r>
      <w:proofErr w:type="gramStart"/>
      <w:r>
        <w:t>RE:START</w:t>
      </w:r>
      <w:proofErr w:type="gramEnd"/>
      <w:r>
        <w:t xml:space="preserve"> </w:t>
      </w:r>
      <w:r w:rsidR="000A360E">
        <w:t xml:space="preserve">nutné </w:t>
      </w:r>
      <w:r>
        <w:t>řešit.</w:t>
      </w:r>
    </w:p>
    <w:p w14:paraId="1374EB1C" w14:textId="77777777" w:rsidR="00E02099" w:rsidRDefault="00E02099" w:rsidP="00E02099">
      <w:pPr>
        <w:pStyle w:val="Nadpis1"/>
      </w:pPr>
      <w:bookmarkStart w:id="10" w:name="_Toc10488761"/>
      <w:r>
        <w:t>Výhled pro rok 2019</w:t>
      </w:r>
      <w:bookmarkEnd w:id="10"/>
    </w:p>
    <w:p w14:paraId="558A3FB7" w14:textId="4F1F5871" w:rsidR="00DA2962" w:rsidRDefault="00DA2962" w:rsidP="00DA2962">
      <w:pPr>
        <w:pStyle w:val="Nadpis2"/>
      </w:pPr>
      <w:bookmarkStart w:id="11" w:name="_Toc10488762"/>
      <w:r>
        <w:t>Plánované výzvy</w:t>
      </w:r>
      <w:bookmarkEnd w:id="11"/>
      <w:r>
        <w:t xml:space="preserve"> </w:t>
      </w:r>
    </w:p>
    <w:p w14:paraId="33BB3FA6" w14:textId="75D944C8" w:rsidR="00DA2962" w:rsidRDefault="00DA2962" w:rsidP="00DA2962">
      <w:r>
        <w:t>V současné době je také celá řada opatření v p</w:t>
      </w:r>
      <w:r w:rsidR="00DD54FC">
        <w:t>řípravě či v průběžné realizaci.</w:t>
      </w:r>
      <w:r>
        <w:t xml:space="preserve"> V rámci programu </w:t>
      </w:r>
      <w:proofErr w:type="gramStart"/>
      <w:r>
        <w:t>RE:START</w:t>
      </w:r>
      <w:proofErr w:type="gramEnd"/>
      <w:r>
        <w:t xml:space="preserve"> jsou v roce 2019 otevřeny či plánovány.</w:t>
      </w:r>
    </w:p>
    <w:p w14:paraId="126BA351" w14:textId="7252E8CC" w:rsidR="00DA2962" w:rsidRPr="001D7C2D" w:rsidRDefault="00DA2962" w:rsidP="001D7C2D">
      <w:pPr>
        <w:pStyle w:val="Nadpis3"/>
      </w:pPr>
      <w:bookmarkStart w:id="12" w:name="_Toc10488763"/>
      <w:r w:rsidRPr="001D7C2D">
        <w:t>ESIF</w:t>
      </w:r>
      <w:bookmarkEnd w:id="12"/>
    </w:p>
    <w:p w14:paraId="6D6ECBAC" w14:textId="2A856A29" w:rsidR="00DA2962" w:rsidRPr="008F704F" w:rsidRDefault="00DA2962" w:rsidP="00DA2962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641CB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Operační program Životní prostředí (OP </w:t>
      </w:r>
      <w:proofErr w:type="gramStart"/>
      <w:r w:rsidRPr="007641CB">
        <w:rPr>
          <w:rFonts w:ascii="Calibri" w:hAnsi="Calibri" w:cs="Calibri"/>
          <w:b/>
          <w:color w:val="auto"/>
          <w:sz w:val="22"/>
          <w:szCs w:val="22"/>
          <w:u w:val="single"/>
        </w:rPr>
        <w:t>ŽP)</w:t>
      </w:r>
      <w:r w:rsidR="001D7C2D">
        <w:rPr>
          <w:rFonts w:ascii="Calibri" w:hAnsi="Calibri" w:cs="Calibri"/>
          <w:b/>
          <w:color w:val="auto"/>
          <w:sz w:val="22"/>
          <w:szCs w:val="22"/>
          <w:u w:val="single"/>
        </w:rPr>
        <w:t>/</w:t>
      </w:r>
      <w:proofErr w:type="gramEnd"/>
      <w:r w:rsidR="001D7C2D">
        <w:rPr>
          <w:rFonts w:ascii="Calibri" w:hAnsi="Calibri" w:cs="Calibri"/>
          <w:b/>
          <w:color w:val="auto"/>
          <w:sz w:val="22"/>
          <w:szCs w:val="22"/>
          <w:u w:val="single"/>
        </w:rPr>
        <w:t>realokace</w:t>
      </w:r>
      <w:r w:rsidRPr="007641CB">
        <w:rPr>
          <w:rFonts w:ascii="Calibri" w:hAnsi="Calibri" w:cs="Calibri"/>
          <w:color w:val="auto"/>
          <w:sz w:val="22"/>
          <w:szCs w:val="22"/>
        </w:rPr>
        <w:t xml:space="preserve"> – výzva zaměřená na snížení emisí stacionárních zdrojů podílející se na expozici obyvatelstva nadlimitním koncentracím znečišťujících látek ve strukturálně postižených/uhelných regionech. </w:t>
      </w:r>
      <w:r w:rsidRPr="007641CB">
        <w:rPr>
          <w:rFonts w:ascii="Calibri" w:hAnsi="Calibri" w:cs="Calibri"/>
          <w:b/>
          <w:bCs/>
          <w:color w:val="auto"/>
          <w:sz w:val="22"/>
          <w:szCs w:val="22"/>
        </w:rPr>
        <w:t>Termín pro předkládání žádostí – 29. 3. 2019.</w:t>
      </w:r>
    </w:p>
    <w:p w14:paraId="4E8876A0" w14:textId="761EF835" w:rsidR="00DA2962" w:rsidRPr="00087EA7" w:rsidRDefault="00DA2962" w:rsidP="00DA2962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F704F">
        <w:rPr>
          <w:rFonts w:ascii="Calibri" w:hAnsi="Calibri" w:cs="Calibri"/>
          <w:b/>
          <w:color w:val="auto"/>
          <w:sz w:val="22"/>
          <w:szCs w:val="22"/>
          <w:u w:val="single"/>
        </w:rPr>
        <w:t>OP VVV –</w:t>
      </w:r>
      <w:r w:rsidRPr="008F704F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 xml:space="preserve"> Smart </w:t>
      </w:r>
      <w:proofErr w:type="spellStart"/>
      <w:r w:rsidRPr="008F704F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Acelerátor</w:t>
      </w:r>
      <w:proofErr w:type="spellEnd"/>
      <w:r w:rsidRPr="008F704F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 xml:space="preserve"> II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– </w:t>
      </w:r>
      <w:r>
        <w:rPr>
          <w:rFonts w:ascii="Calibri" w:hAnsi="Calibri" w:cs="Calibri"/>
          <w:bCs/>
          <w:color w:val="auto"/>
          <w:sz w:val="22"/>
          <w:szCs w:val="22"/>
        </w:rPr>
        <w:t>v této výzvě došlo ke specifickému zvýhodnění strukturálně postižených krajů navýšením maximální výše dotace pro každý kraj o 20 mil. Kč.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7641CB">
        <w:rPr>
          <w:rFonts w:ascii="Calibri" w:hAnsi="Calibri" w:cs="Calibri"/>
          <w:b/>
          <w:bCs/>
          <w:color w:val="auto"/>
          <w:sz w:val="22"/>
          <w:szCs w:val="22"/>
        </w:rPr>
        <w:t xml:space="preserve">Termín pro předkládání žádostí –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31</w:t>
      </w:r>
      <w:r w:rsidRPr="007641CB">
        <w:rPr>
          <w:rFonts w:ascii="Calibri" w:hAnsi="Calibri" w:cs="Calibri"/>
          <w:b/>
          <w:bCs/>
          <w:color w:val="auto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10</w:t>
      </w:r>
      <w:r w:rsidRPr="007641CB">
        <w:rPr>
          <w:rFonts w:ascii="Calibri" w:hAnsi="Calibri" w:cs="Calibri"/>
          <w:b/>
          <w:bCs/>
          <w:color w:val="auto"/>
          <w:sz w:val="22"/>
          <w:szCs w:val="22"/>
        </w:rPr>
        <w:t>. 2019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(průběžná výzva)</w:t>
      </w:r>
      <w:r w:rsidRPr="007641CB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41054F78" w14:textId="77777777" w:rsidR="00087EA7" w:rsidRPr="00CA2F32" w:rsidRDefault="00087EA7" w:rsidP="00087E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  <w:lang w:eastAsia="cs-CZ"/>
        </w:rPr>
      </w:pPr>
      <w:r w:rsidRPr="00087EA7">
        <w:rPr>
          <w:rFonts w:ascii="Calibri" w:hAnsi="Calibri" w:cs="Calibri"/>
          <w:b/>
          <w:bCs/>
          <w:u w:val="single"/>
          <w:lang w:eastAsia="cs-CZ"/>
        </w:rPr>
        <w:t xml:space="preserve">OP </w:t>
      </w:r>
      <w:proofErr w:type="gramStart"/>
      <w:r w:rsidRPr="00087EA7">
        <w:rPr>
          <w:rFonts w:ascii="Calibri" w:hAnsi="Calibri" w:cs="Calibri"/>
          <w:b/>
          <w:bCs/>
          <w:u w:val="single"/>
          <w:lang w:eastAsia="cs-CZ"/>
        </w:rPr>
        <w:t>VVV - Implementace</w:t>
      </w:r>
      <w:proofErr w:type="gramEnd"/>
      <w:r w:rsidRPr="00087EA7">
        <w:rPr>
          <w:rFonts w:ascii="Calibri" w:hAnsi="Calibri" w:cs="Calibri"/>
          <w:b/>
          <w:bCs/>
          <w:u w:val="single"/>
          <w:lang w:eastAsia="cs-CZ"/>
        </w:rPr>
        <w:t xml:space="preserve"> krajských akčních plánů II</w:t>
      </w:r>
      <w:r w:rsidRPr="00CA2F32">
        <w:rPr>
          <w:rFonts w:ascii="Calibri" w:hAnsi="Calibri" w:cs="Calibri"/>
          <w:bCs/>
          <w:lang w:eastAsia="cs-CZ"/>
        </w:rPr>
        <w:t xml:space="preserve"> – v této výzvě dojde ke specifickému zvýhodnění strukturálně postižených krajů navýšením maximální výše dotace na jednoho žáka </w:t>
      </w:r>
      <w:r w:rsidRPr="00CA2F32">
        <w:rPr>
          <w:rFonts w:ascii="Calibri" w:hAnsi="Calibri" w:cs="Calibri"/>
          <w:bCs/>
          <w:lang w:eastAsia="cs-CZ"/>
        </w:rPr>
        <w:lastRenderedPageBreak/>
        <w:t>oproti ostatním krajům. Termín pro předkládání žádostí je plánovaný od 31. 10. 2019 do 31. 5. 2021 (průběžná výzva).</w:t>
      </w:r>
    </w:p>
    <w:p w14:paraId="5D3CF7D9" w14:textId="3AB9C097" w:rsidR="007767B7" w:rsidRPr="007767B7" w:rsidRDefault="00DA2962" w:rsidP="001D7C2D">
      <w:pPr>
        <w:numPr>
          <w:ilvl w:val="0"/>
          <w:numId w:val="16"/>
        </w:numPr>
        <w:spacing w:after="0" w:line="240" w:lineRule="auto"/>
        <w:ind w:left="714" w:hanging="357"/>
        <w:jc w:val="both"/>
      </w:pPr>
      <w:r w:rsidRPr="00DA2962">
        <w:rPr>
          <w:b/>
        </w:rPr>
        <w:t>Integrovaný regionální operační program (</w:t>
      </w:r>
      <w:r w:rsidR="007767B7" w:rsidRPr="00DA2962">
        <w:rPr>
          <w:b/>
        </w:rPr>
        <w:t>IROP</w:t>
      </w:r>
      <w:r w:rsidRPr="00DA2962">
        <w:rPr>
          <w:b/>
        </w:rPr>
        <w:t>)</w:t>
      </w:r>
      <w:r w:rsidR="001D7C2D">
        <w:rPr>
          <w:b/>
        </w:rPr>
        <w:t>/realokace</w:t>
      </w:r>
      <w:r w:rsidR="007767B7" w:rsidRPr="007767B7">
        <w:t xml:space="preserve"> – připravovaná výzva na Nízkoemisní a bezemisní vozidla – ve výši 1,8 mld. Kč a také uspokojení zásobníku předchozí výzvy č. 20 s žádostmi </w:t>
      </w:r>
      <w:proofErr w:type="gramStart"/>
      <w:r w:rsidR="007767B7" w:rsidRPr="007767B7">
        <w:t>ze</w:t>
      </w:r>
      <w:proofErr w:type="gramEnd"/>
      <w:r w:rsidR="007767B7" w:rsidRPr="007767B7">
        <w:t xml:space="preserve"> strukturálně postižených regionů za cca 150 mil. Kč. </w:t>
      </w:r>
    </w:p>
    <w:p w14:paraId="06FD1C13" w14:textId="0654C416" w:rsidR="007767B7" w:rsidRPr="007767B7" w:rsidRDefault="00DA2962" w:rsidP="001D7C2D">
      <w:pPr>
        <w:numPr>
          <w:ilvl w:val="0"/>
          <w:numId w:val="16"/>
        </w:numPr>
        <w:spacing w:after="0" w:line="240" w:lineRule="auto"/>
        <w:ind w:left="714" w:hanging="357"/>
        <w:jc w:val="both"/>
      </w:pPr>
      <w:r w:rsidRPr="00DA2962">
        <w:rPr>
          <w:b/>
        </w:rPr>
        <w:t>Integrovaný regionální operační program (IROP)</w:t>
      </w:r>
      <w:r w:rsidR="001D7C2D">
        <w:rPr>
          <w:b/>
        </w:rPr>
        <w:t>/realokace</w:t>
      </w:r>
      <w:r w:rsidRPr="007767B7">
        <w:t xml:space="preserve"> </w:t>
      </w:r>
      <w:r w:rsidR="007767B7" w:rsidRPr="007767B7">
        <w:t>– připravovaná výzva na Modernizaci Základních škol s předpokládanou alokací 265 mil. Kč a uspokojení části zásobníků z výzvy č. 46 a 47 ve výši 44 mil. Kč pro projekty ze strukturálně postižených krajů.</w:t>
      </w:r>
    </w:p>
    <w:p w14:paraId="372AA905" w14:textId="75F2D13F" w:rsidR="007767B7" w:rsidRPr="007767B7" w:rsidRDefault="00DA2962" w:rsidP="001D7C2D">
      <w:pPr>
        <w:numPr>
          <w:ilvl w:val="0"/>
          <w:numId w:val="16"/>
        </w:numPr>
        <w:spacing w:after="0" w:line="240" w:lineRule="auto"/>
        <w:ind w:left="714" w:hanging="357"/>
        <w:jc w:val="both"/>
      </w:pPr>
      <w:r w:rsidRPr="00DA2962">
        <w:rPr>
          <w:b/>
        </w:rPr>
        <w:t>Integrovaný regionální operační program (IROP)</w:t>
      </w:r>
      <w:r w:rsidR="001D7C2D">
        <w:rPr>
          <w:b/>
        </w:rPr>
        <w:t>/realokace</w:t>
      </w:r>
      <w:r w:rsidRPr="007767B7">
        <w:t xml:space="preserve"> </w:t>
      </w:r>
      <w:r w:rsidR="007767B7" w:rsidRPr="007767B7">
        <w:t>– uspokojení zásobníků z výzvy Zvýšení kvality návazné péče ve výši 872 mil. Kč v případě zájmu všech žadatelů ze strukturálně postižených regionů, kteří mají své projekty v zásobnících.</w:t>
      </w:r>
    </w:p>
    <w:p w14:paraId="35F318E5" w14:textId="03B59CAA" w:rsidR="001D7C2D" w:rsidRPr="001D7C2D" w:rsidRDefault="00DA2962" w:rsidP="001D7C2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1D7C2D">
        <w:rPr>
          <w:b/>
        </w:rPr>
        <w:t>Operační program Podnikání a inovace pro konkurenceschopnost (</w:t>
      </w:r>
      <w:r w:rsidR="007767B7" w:rsidRPr="001D7C2D">
        <w:rPr>
          <w:b/>
        </w:rPr>
        <w:t>OP PIK</w:t>
      </w:r>
      <w:r w:rsidRPr="001D7C2D">
        <w:rPr>
          <w:b/>
        </w:rPr>
        <w:t>)</w:t>
      </w:r>
      <w:r w:rsidR="00DB7E11">
        <w:rPr>
          <w:b/>
        </w:rPr>
        <w:t>/realokace</w:t>
      </w:r>
      <w:r w:rsidR="007767B7" w:rsidRPr="007767B7">
        <w:t xml:space="preserve"> -  program NEMOVITOSTI je připravovaná výzva pouze pro strukturálně postižené regiony v min. výši 1,4 mld. Kč a 600mil. Kč bude směřovat na projekty v končící výzvě programu NEMOVITOSTI III pro projekty ze strukturálně postižených regionů. Celkem tak v OP PIK se jedná o 2 mld. Kč.</w:t>
      </w:r>
      <w:r w:rsidR="001D7C2D" w:rsidRPr="001D7C2D">
        <w:rPr>
          <w:rFonts w:ascii="Calibri" w:hAnsi="Calibri" w:cs="Calibri"/>
          <w:b/>
          <w:u w:val="single"/>
        </w:rPr>
        <w:t xml:space="preserve"> </w:t>
      </w:r>
    </w:p>
    <w:p w14:paraId="7AA2ED6B" w14:textId="069F080E" w:rsidR="0099699B" w:rsidRPr="007767B7" w:rsidRDefault="001D7C2D" w:rsidP="001D7C2D">
      <w:pPr>
        <w:pStyle w:val="Odstavecseseznamem"/>
        <w:numPr>
          <w:ilvl w:val="0"/>
          <w:numId w:val="16"/>
        </w:numPr>
        <w:spacing w:after="0" w:line="240" w:lineRule="auto"/>
        <w:ind w:left="714" w:hanging="357"/>
        <w:jc w:val="both"/>
      </w:pPr>
      <w:r w:rsidRPr="001D7C2D">
        <w:rPr>
          <w:rFonts w:ascii="Calibri" w:hAnsi="Calibri" w:cs="Calibri"/>
          <w:b/>
          <w:u w:val="single"/>
        </w:rPr>
        <w:t xml:space="preserve">Operační program Zaměstnanost (OP Z) </w:t>
      </w:r>
      <w:r w:rsidRPr="001D7C2D">
        <w:rPr>
          <w:rFonts w:ascii="Calibri" w:hAnsi="Calibri" w:cs="Calibri"/>
          <w:b/>
          <w:bCs/>
          <w:u w:val="single"/>
        </w:rPr>
        <w:t>- Specifická výzva na vybrané cílové skupiny IP 1.1</w:t>
      </w:r>
      <w:r w:rsidRPr="001D7C2D">
        <w:rPr>
          <w:rFonts w:ascii="Calibri" w:hAnsi="Calibri" w:cs="Calibri"/>
          <w:bCs/>
        </w:rPr>
        <w:t xml:space="preserve"> – </w:t>
      </w:r>
      <w:r w:rsidR="00C7621D">
        <w:rPr>
          <w:rFonts w:ascii="Calibri" w:hAnsi="Calibri" w:cs="Calibri"/>
          <w:bCs/>
        </w:rPr>
        <w:t xml:space="preserve">Celková alokace výzvy 400 mil. Kč a z toho část </w:t>
      </w:r>
      <w:r w:rsidRPr="001D7C2D">
        <w:rPr>
          <w:rFonts w:ascii="Calibri" w:hAnsi="Calibri" w:cs="Calibri"/>
          <w:bCs/>
        </w:rPr>
        <w:t xml:space="preserve">finanční alokace </w:t>
      </w:r>
      <w:r w:rsidR="00C7621D">
        <w:rPr>
          <w:rFonts w:ascii="Calibri" w:hAnsi="Calibri" w:cs="Calibri"/>
          <w:bCs/>
        </w:rPr>
        <w:t xml:space="preserve">je určena přímo </w:t>
      </w:r>
      <w:r w:rsidRPr="001D7C2D">
        <w:rPr>
          <w:rFonts w:ascii="Calibri" w:hAnsi="Calibri" w:cs="Calibri"/>
          <w:bCs/>
        </w:rPr>
        <w:t>pro strukturálně postižené regiony ve výši 200 mil. Kč. Výzva je zaměřené na poradenské, motivační aktivity rekvalifikace atp. Daná výzva směřuje naplňování dílčích aktivit několika opatření v gesci MPSV z 1. Akčního plánu .</w:t>
      </w:r>
      <w:r w:rsidRPr="001D7C2D">
        <w:rPr>
          <w:rFonts w:ascii="Calibri" w:hAnsi="Calibri" w:cs="Calibri"/>
          <w:b/>
          <w:bCs/>
        </w:rPr>
        <w:t xml:space="preserve"> Termín pro předkládání žádostí – 10. 5. 2019.</w:t>
      </w:r>
    </w:p>
    <w:p w14:paraId="6FECDD98" w14:textId="77777777" w:rsidR="001D7C2D" w:rsidRDefault="001D7C2D" w:rsidP="00DA2962">
      <w:pPr>
        <w:pStyle w:val="Default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0FD9AAF7" w14:textId="4309F445" w:rsidR="008F704F" w:rsidRPr="008A2202" w:rsidRDefault="00DA2962" w:rsidP="001D7C2D">
      <w:pPr>
        <w:pStyle w:val="Nadpis3"/>
      </w:pPr>
      <w:bookmarkStart w:id="13" w:name="_Toc10488764"/>
      <w:r>
        <w:t>Národní dotační tituly</w:t>
      </w:r>
      <w:bookmarkEnd w:id="13"/>
    </w:p>
    <w:p w14:paraId="2F8F2C7F" w14:textId="77777777" w:rsidR="00FA3B43" w:rsidRPr="007641CB" w:rsidRDefault="00FA3B43" w:rsidP="00FA3B43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641CB">
        <w:rPr>
          <w:rFonts w:ascii="Calibri" w:hAnsi="Calibri" w:cs="Calibri"/>
          <w:b/>
          <w:color w:val="auto"/>
          <w:sz w:val="22"/>
          <w:szCs w:val="22"/>
          <w:u w:val="single"/>
        </w:rPr>
        <w:t>Program Regenerace a podnikatelské využití brownfieldů</w:t>
      </w:r>
      <w:r w:rsidRPr="007641CB">
        <w:rPr>
          <w:rFonts w:ascii="Calibri" w:hAnsi="Calibri" w:cs="Calibri"/>
          <w:color w:val="auto"/>
          <w:sz w:val="22"/>
          <w:szCs w:val="22"/>
        </w:rPr>
        <w:t xml:space="preserve"> – národní dotační program Ministerstva průmyslu a obchodu – aktuálně se připravuje vyhlášení III. výzvy (cca </w:t>
      </w:r>
      <w:proofErr w:type="gramStart"/>
      <w:r w:rsidRPr="007641CB">
        <w:rPr>
          <w:rFonts w:ascii="Calibri" w:hAnsi="Calibri" w:cs="Calibri"/>
          <w:color w:val="auto"/>
          <w:sz w:val="22"/>
          <w:szCs w:val="22"/>
        </w:rPr>
        <w:t>květen – červen</w:t>
      </w:r>
      <w:proofErr w:type="gramEnd"/>
      <w:r w:rsidRPr="007641CB">
        <w:rPr>
          <w:rFonts w:ascii="Calibri" w:hAnsi="Calibri" w:cs="Calibri"/>
          <w:color w:val="auto"/>
          <w:sz w:val="22"/>
          <w:szCs w:val="22"/>
        </w:rPr>
        <w:t xml:space="preserve"> 2019). </w:t>
      </w:r>
    </w:p>
    <w:p w14:paraId="2E473948" w14:textId="0E7197D3" w:rsidR="008F704F" w:rsidRDefault="008F704F" w:rsidP="00FA3B43">
      <w:pPr>
        <w:pStyle w:val="Odstavecseseznamem"/>
        <w:numPr>
          <w:ilvl w:val="0"/>
          <w:numId w:val="12"/>
        </w:numPr>
        <w:jc w:val="both"/>
      </w:pPr>
      <w:r>
        <w:rPr>
          <w:b/>
          <w:u w:val="single"/>
        </w:rPr>
        <w:t>Program Demolice v sociálně vyloučených lokalitách –</w:t>
      </w:r>
      <w:r>
        <w:t xml:space="preserve"> 2. výzva s předběžným termínem vyhlášení konec roku 2019</w:t>
      </w:r>
      <w:r w:rsidR="00DD54FC">
        <w:t>.</w:t>
      </w:r>
    </w:p>
    <w:p w14:paraId="44681A8D" w14:textId="20B6F903" w:rsidR="008A2202" w:rsidRPr="008A2202" w:rsidRDefault="008F704F" w:rsidP="000009A7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  <w:bCs/>
        </w:rPr>
      </w:pPr>
      <w:r w:rsidRPr="008A2202">
        <w:rPr>
          <w:rFonts w:ascii="Calibri" w:hAnsi="Calibri" w:cs="Calibri"/>
          <w:b/>
          <w:u w:val="single"/>
        </w:rPr>
        <w:t xml:space="preserve">Program Regenerace brownfieldů pro nepodnikatelské využití - </w:t>
      </w:r>
      <w:r>
        <w:t>2. výzva s předběžným termínem vyhlášení konec roku 2019</w:t>
      </w:r>
      <w:r w:rsidR="00DD54FC">
        <w:t>.</w:t>
      </w:r>
    </w:p>
    <w:p w14:paraId="7388724D" w14:textId="77777777" w:rsidR="00FA3B43" w:rsidRPr="00FA3B43" w:rsidRDefault="00FA3B43" w:rsidP="008A2202"/>
    <w:p w14:paraId="577B2272" w14:textId="2011CBF5" w:rsidR="003D1197" w:rsidRDefault="00B049EB" w:rsidP="00B049EB">
      <w:pPr>
        <w:pStyle w:val="Nadpis2"/>
      </w:pPr>
      <w:bookmarkStart w:id="14" w:name="_Toc10488765"/>
      <w:r>
        <w:t>Výhled připravovaných opatření</w:t>
      </w:r>
      <w:bookmarkEnd w:id="14"/>
    </w:p>
    <w:p w14:paraId="07DE2399" w14:textId="333E7C0F" w:rsidR="007641CB" w:rsidRDefault="00134242" w:rsidP="00134242">
      <w:pPr>
        <w:jc w:val="both"/>
      </w:pPr>
      <w:r>
        <w:t xml:space="preserve">Dále probíhají přípravy opatření v souladu s harmonogram. Mezi klíčová </w:t>
      </w:r>
      <w:r w:rsidR="00FA3B43">
        <w:t>opatření, na</w:t>
      </w:r>
      <w:r w:rsidR="006D1DBA">
        <w:t xml:space="preserve"> jejichž realizaci se bude </w:t>
      </w:r>
      <w:r>
        <w:t xml:space="preserve">v roce 2019 </w:t>
      </w:r>
      <w:r w:rsidR="006D1DBA">
        <w:t>primárně pracovat</w:t>
      </w:r>
      <w:r w:rsidR="00FA3B43">
        <w:t>,</w:t>
      </w:r>
      <w:r w:rsidR="006D1DBA">
        <w:t xml:space="preserve"> </w:t>
      </w:r>
      <w:r>
        <w:t>patří příprava následujících.</w:t>
      </w:r>
    </w:p>
    <w:p w14:paraId="0B944436" w14:textId="77777777" w:rsidR="00134242" w:rsidRDefault="006D1DBA" w:rsidP="00134242">
      <w:pPr>
        <w:pStyle w:val="Odstavecseseznamem"/>
        <w:numPr>
          <w:ilvl w:val="0"/>
          <w:numId w:val="13"/>
        </w:numPr>
        <w:jc w:val="both"/>
      </w:pPr>
      <w:r>
        <w:t xml:space="preserve">I. </w:t>
      </w:r>
      <w:r w:rsidR="00134242" w:rsidRPr="00134242">
        <w:t>F.1.3 Připravit návrh programu revitalizace / resocializace již dříve rekultivovaných ploch a území po těžbě</w:t>
      </w:r>
    </w:p>
    <w:p w14:paraId="52097B7F" w14:textId="47DC59F2" w:rsidR="00134242" w:rsidRDefault="00134242" w:rsidP="00134242">
      <w:pPr>
        <w:pStyle w:val="Odstavecseseznamem"/>
        <w:numPr>
          <w:ilvl w:val="0"/>
          <w:numId w:val="13"/>
        </w:numPr>
        <w:jc w:val="both"/>
      </w:pPr>
      <w:r w:rsidRPr="00134242">
        <w:t>II.A.2.1 Zvýšení hospodářského přínosu cestovního ruchu ve specifických lokalitách strukturálně postižených regionů</w:t>
      </w:r>
    </w:p>
    <w:p w14:paraId="19DFE19D" w14:textId="77777777" w:rsidR="00FA3B43" w:rsidRPr="00FA3B43" w:rsidRDefault="00FA3B43" w:rsidP="00FA3B43">
      <w:pPr>
        <w:pStyle w:val="Odstavecseseznamem"/>
        <w:numPr>
          <w:ilvl w:val="0"/>
          <w:numId w:val="14"/>
        </w:numPr>
      </w:pPr>
      <w:r w:rsidRPr="00FA3B43">
        <w:t>II.E.3.2 Komplexní obnova sídlišť</w:t>
      </w:r>
    </w:p>
    <w:p w14:paraId="5FD233F7" w14:textId="77777777" w:rsidR="006D1DBA" w:rsidRPr="006D1DBA" w:rsidRDefault="006D1DBA" w:rsidP="006D1DBA">
      <w:pPr>
        <w:pStyle w:val="Odstavecseseznamem"/>
        <w:numPr>
          <w:ilvl w:val="0"/>
          <w:numId w:val="14"/>
        </w:numPr>
        <w:jc w:val="both"/>
      </w:pPr>
      <w:r w:rsidRPr="006D1DBA">
        <w:lastRenderedPageBreak/>
        <w:t>II.B.2.1 Příprava programu zaměřeného na regenerace specifických brownfieldů ve městech a obcích směřujících k jejich dalšímu efektivnímu využití</w:t>
      </w:r>
    </w:p>
    <w:p w14:paraId="5D0F5794" w14:textId="77777777" w:rsidR="00134242" w:rsidRDefault="00134242" w:rsidP="00134242">
      <w:pPr>
        <w:pStyle w:val="Odstavecseseznamem"/>
        <w:numPr>
          <w:ilvl w:val="0"/>
          <w:numId w:val="13"/>
        </w:numPr>
        <w:jc w:val="both"/>
      </w:pPr>
      <w:r w:rsidRPr="00134242">
        <w:t>II.E.2.1 Podpora zdravotnictví ve strukturálně postižených regionech – obnova rozvoje materiálně-technické základny – část A</w:t>
      </w:r>
    </w:p>
    <w:p w14:paraId="7997EA2C" w14:textId="77777777" w:rsidR="00134242" w:rsidRDefault="00134242" w:rsidP="00134242">
      <w:pPr>
        <w:pStyle w:val="Odstavecseseznamem"/>
        <w:numPr>
          <w:ilvl w:val="0"/>
          <w:numId w:val="13"/>
        </w:numPr>
        <w:jc w:val="both"/>
      </w:pPr>
      <w:r w:rsidRPr="00134242">
        <w:t>II.E.4. 1 Navýšení alokace programu Podpora rozvoje a obnovy materiálně technické základny regionálních kulturních zařízení, církví a náboženských společností, který má ve správě Ministerstvo kultury</w:t>
      </w:r>
    </w:p>
    <w:p w14:paraId="53FF9611" w14:textId="77777777" w:rsidR="00134242" w:rsidRDefault="00134242" w:rsidP="00134242">
      <w:pPr>
        <w:pStyle w:val="Odstavecseseznamem"/>
        <w:numPr>
          <w:ilvl w:val="0"/>
          <w:numId w:val="13"/>
        </w:numPr>
        <w:jc w:val="both"/>
      </w:pPr>
      <w:r w:rsidRPr="00134242">
        <w:t>II.E.4. 2 Navýšení alokace programu 134 130 – Rozvoj a obnova materiálně technické základny státních kulturních zařízení spravovaným Ministerstvem kultury.</w:t>
      </w:r>
    </w:p>
    <w:p w14:paraId="0F2CDC3A" w14:textId="6A61FFDD" w:rsidR="00134242" w:rsidRDefault="00134242" w:rsidP="00134242">
      <w:pPr>
        <w:pStyle w:val="Odstavecseseznamem"/>
        <w:numPr>
          <w:ilvl w:val="0"/>
          <w:numId w:val="13"/>
        </w:numPr>
        <w:jc w:val="both"/>
      </w:pPr>
      <w:r w:rsidRPr="00134242">
        <w:t>II.E.4.3 Navýšení alokace Programu záchrany architektonického dědictví Ministerstva kultury a úprava zásad programu s ohledem na potřeby specifických nemovitých kulturních památek ve strukturálně postižených krajích</w:t>
      </w:r>
    </w:p>
    <w:p w14:paraId="5310278B" w14:textId="788E146B" w:rsidR="00837C4C" w:rsidRPr="00837C4C" w:rsidRDefault="00837C4C" w:rsidP="00837C4C">
      <w:pPr>
        <w:pStyle w:val="Odstavecseseznamem"/>
        <w:numPr>
          <w:ilvl w:val="0"/>
          <w:numId w:val="13"/>
        </w:numPr>
      </w:pPr>
      <w:r>
        <w:t>II.</w:t>
      </w:r>
      <w:r w:rsidRPr="00837C4C">
        <w:t>A.3.1 Podprogram programu TREND pro strukturálně postižené kraje</w:t>
      </w:r>
    </w:p>
    <w:p w14:paraId="47094C93" w14:textId="62ED4A13" w:rsidR="00B049EB" w:rsidRPr="00B049EB" w:rsidRDefault="00B049EB" w:rsidP="00B049EB">
      <w:pPr>
        <w:pStyle w:val="Nadpis2"/>
      </w:pPr>
      <w:bookmarkStart w:id="15" w:name="_Toc10488766"/>
      <w:r>
        <w:t>Doporučení pro rok 2019</w:t>
      </w:r>
      <w:bookmarkEnd w:id="15"/>
    </w:p>
    <w:p w14:paraId="734C77C0" w14:textId="77777777" w:rsidR="00FB3EFA" w:rsidRPr="00AD0D4D" w:rsidRDefault="00FB3EFA" w:rsidP="00FB3EFA">
      <w:r w:rsidRPr="00AD0D4D">
        <w:t xml:space="preserve">Na základě dosavadního hodnocení </w:t>
      </w:r>
      <w:r>
        <w:t xml:space="preserve">je pro další pokračování procesu restrukturalizace naprosto zásadní: </w:t>
      </w:r>
    </w:p>
    <w:p w14:paraId="579AFA82" w14:textId="342EE658" w:rsidR="00FB3EFA" w:rsidRDefault="00FB3EFA" w:rsidP="00FB3EFA">
      <w:pPr>
        <w:numPr>
          <w:ilvl w:val="0"/>
          <w:numId w:val="10"/>
        </w:numPr>
        <w:jc w:val="both"/>
      </w:pPr>
      <w:r w:rsidRPr="00AD0D4D">
        <w:t>Pokračovat v průběžném zpřesňování finančních nároků na období 2019+, a to zejména podrobnými analýzami absorpčních kapacit a průběžnou aktualizací a zpřesňováním jednotlivých opatření</w:t>
      </w:r>
      <w:r>
        <w:t xml:space="preserve"> tak, aby prostředky byly vynakládány efektivně</w:t>
      </w:r>
      <w:r w:rsidR="00DD54FC">
        <w:t>.</w:t>
      </w:r>
    </w:p>
    <w:p w14:paraId="6F892D82" w14:textId="5CFFB23F" w:rsidR="00FB3EFA" w:rsidRPr="00AD0D4D" w:rsidRDefault="00FB3EFA" w:rsidP="00FB3EFA">
      <w:pPr>
        <w:numPr>
          <w:ilvl w:val="0"/>
          <w:numId w:val="10"/>
        </w:numPr>
        <w:jc w:val="both"/>
      </w:pPr>
      <w:r>
        <w:t>Dodržovat uvolňování dostatečných</w:t>
      </w:r>
      <w:r w:rsidR="00DD54FC">
        <w:t xml:space="preserve"> prostředků</w:t>
      </w:r>
      <w:r>
        <w:t xml:space="preserve"> na schválená opatření dle harmonogramu, aby nedocházelo k výkyvům či stagnaci implementace</w:t>
      </w:r>
      <w:r w:rsidR="00DD54FC">
        <w:t>.</w:t>
      </w:r>
    </w:p>
    <w:p w14:paraId="7CA3BDB9" w14:textId="50DAB258" w:rsidR="00FB3EFA" w:rsidRPr="00AD0D4D" w:rsidRDefault="00FB3EFA" w:rsidP="00FB3EFA">
      <w:pPr>
        <w:numPr>
          <w:ilvl w:val="0"/>
          <w:numId w:val="10"/>
        </w:numPr>
        <w:jc w:val="both"/>
      </w:pPr>
      <w:r w:rsidRPr="00AD0D4D">
        <w:t>Věcné podněty i finanční nároky promítnout do přípravy operačních programů v programovém období 2020+</w:t>
      </w:r>
      <w:r w:rsidR="00DD54FC">
        <w:t>.</w:t>
      </w:r>
    </w:p>
    <w:p w14:paraId="30B258D2" w14:textId="77777777" w:rsidR="00FB3EFA" w:rsidRPr="00AD0D4D" w:rsidRDefault="00FB3EFA" w:rsidP="00FB3EFA">
      <w:pPr>
        <w:numPr>
          <w:ilvl w:val="0"/>
          <w:numId w:val="10"/>
        </w:numPr>
        <w:jc w:val="both"/>
      </w:pPr>
      <w:r w:rsidRPr="00AD0D4D">
        <w:t>Zvážit možnost vytvoření zvláštní rozpočtové kapitoly na financování takových opatření, která není možné realizovat v rámci stávajících podmínek evropských či národních dotačních programů</w:t>
      </w:r>
      <w:r>
        <w:t>. Pro tento úkol je možné využít debatu o evropském transformačním fondu či změnu přerozdělování daní.</w:t>
      </w:r>
    </w:p>
    <w:p w14:paraId="45063872" w14:textId="1D9CA0A5" w:rsidR="00FB3EFA" w:rsidRPr="00AD0D4D" w:rsidRDefault="00FB3EFA" w:rsidP="00FB3EFA">
      <w:pPr>
        <w:numPr>
          <w:ilvl w:val="0"/>
          <w:numId w:val="10"/>
        </w:numPr>
        <w:jc w:val="both"/>
      </w:pPr>
      <w:r w:rsidRPr="00AD0D4D">
        <w:t>Provázat finanční podporu procesu restrukturalizace s nezbytnou tvorbou systémových a legislativních opatření tak, aby se posílil efekt a zajistila se dlouhodobá udržitelnost výsledků procesu restrukturalizace</w:t>
      </w:r>
      <w:r w:rsidR="00DD54FC">
        <w:t>.</w:t>
      </w:r>
    </w:p>
    <w:p w14:paraId="1AB0442F" w14:textId="57BD25FA" w:rsidR="00FB3EFA" w:rsidRDefault="00FB3EFA" w:rsidP="00FB3EFA">
      <w:pPr>
        <w:numPr>
          <w:ilvl w:val="0"/>
          <w:numId w:val="10"/>
        </w:numPr>
        <w:jc w:val="both"/>
      </w:pPr>
      <w:r w:rsidRPr="00AD0D4D">
        <w:t xml:space="preserve">Posílit zapojení veřejnosti – laické i odborné – do celého procesu hospodářské restrukturalizace </w:t>
      </w:r>
      <w:proofErr w:type="gramStart"/>
      <w:r w:rsidRPr="00AD0D4D">
        <w:t>RE:START</w:t>
      </w:r>
      <w:proofErr w:type="gramEnd"/>
      <w:r w:rsidRPr="00AD0D4D">
        <w:t>.</w:t>
      </w:r>
      <w:r w:rsidR="00DD54FC">
        <w:t xml:space="preserve"> </w:t>
      </w:r>
      <w:r w:rsidRPr="00AD0D4D">
        <w:t xml:space="preserve">Krátký čas </w:t>
      </w:r>
      <w:r>
        <w:t xml:space="preserve">na zpracování akčních plánů v jednoletých </w:t>
      </w:r>
      <w:r w:rsidRPr="00AD0D4D">
        <w:t>neumožňuje poskytnout dostatečný časový prostor pro sběr, vyhodnocení a podání n</w:t>
      </w:r>
      <w:r>
        <w:t>ávrhů z území jakož i brání</w:t>
      </w:r>
      <w:r w:rsidRPr="00AD0D4D">
        <w:t xml:space="preserve"> Národnímu výkonnému týmu </w:t>
      </w:r>
      <w:r>
        <w:t xml:space="preserve">důkladněji </w:t>
      </w:r>
      <w:r w:rsidRPr="00AD0D4D">
        <w:t xml:space="preserve">konzultovat tyto návrhy s jejich nositeli, příslušnými resorty a dotčenými organizacemi. Z výše uvedeného důvodu navrhujeme </w:t>
      </w:r>
      <w:r w:rsidRPr="00AD0D4D">
        <w:lastRenderedPageBreak/>
        <w:t>prodloužit interval zpracování akčních plánů na dvouleté období s termínem předkládání vládě 31.</w:t>
      </w:r>
      <w:r w:rsidR="00DD54FC">
        <w:t xml:space="preserve"> </w:t>
      </w:r>
      <w:r w:rsidRPr="00AD0D4D">
        <w:t xml:space="preserve">5. každý lichý rok. </w:t>
      </w:r>
    </w:p>
    <w:p w14:paraId="38A23FE9" w14:textId="745AF2B5" w:rsidR="003A3D14" w:rsidRDefault="00FB3EFA" w:rsidP="00FB3EFA">
      <w:pPr>
        <w:numPr>
          <w:ilvl w:val="0"/>
          <w:numId w:val="10"/>
        </w:numPr>
        <w:jc w:val="both"/>
      </w:pPr>
      <w:r>
        <w:t>V rámci aktualizace Strategického rámce hospodářské restrukturalizace MSK, ÚK a KVK zpracovat metodiku pro předkládání, hodnocení a výběr konkrétních projektů, jejichž realizace by tak mohla být uložena vládou formou účelové dotace.</w:t>
      </w:r>
    </w:p>
    <w:p w14:paraId="62E2645F" w14:textId="77777777" w:rsidR="003D1197" w:rsidRPr="003D1197" w:rsidRDefault="003D1197" w:rsidP="003D1197">
      <w:pPr>
        <w:pStyle w:val="Nadpis1"/>
      </w:pPr>
      <w:bookmarkStart w:id="16" w:name="_Toc10488767"/>
      <w:r>
        <w:t>Závěr</w:t>
      </w:r>
      <w:bookmarkEnd w:id="16"/>
    </w:p>
    <w:p w14:paraId="22316EB3" w14:textId="42A7E381" w:rsidR="005B3763" w:rsidRDefault="005B3763" w:rsidP="005B3763">
      <w:pPr>
        <w:jc w:val="both"/>
      </w:pPr>
      <w:bookmarkStart w:id="17" w:name="_Toc4760948"/>
      <w:r>
        <w:t xml:space="preserve">Realizace opatření 1. Akčního plánu a 2. Akčního plánu Strategie hospodářské restrukturalizace </w:t>
      </w:r>
      <w:r w:rsidRPr="00EA0FAD">
        <w:t xml:space="preserve">Moravskoslezského, Ústeckého </w:t>
      </w:r>
      <w:r>
        <w:t xml:space="preserve">a Karlovarského kraje </w:t>
      </w:r>
      <w:r w:rsidR="008C14C5">
        <w:t xml:space="preserve">ve sledovaném období </w:t>
      </w:r>
      <w:r>
        <w:t>probíhá v souladu s harmonogramem implementace bez zásadních problémů.</w:t>
      </w:r>
    </w:p>
    <w:p w14:paraId="468894EC" w14:textId="591EED68" w:rsidR="008C14C5" w:rsidRDefault="008C14C5" w:rsidP="005B3763">
      <w:pPr>
        <w:jc w:val="both"/>
      </w:pPr>
      <w:r w:rsidRPr="008C14C5">
        <w:rPr>
          <w:i/>
        </w:rPr>
        <w:t xml:space="preserve">Od 10. července 2017 jsou realizována konkrétní opatření skrze dva dosud Schválené Akční plány. Celkem se jedná o 92 opatření </w:t>
      </w:r>
      <w:r>
        <w:rPr>
          <w:i/>
        </w:rPr>
        <w:t xml:space="preserve">s plánovanou realizací </w:t>
      </w:r>
      <w:r w:rsidRPr="008C14C5">
        <w:rPr>
          <w:i/>
        </w:rPr>
        <w:t>do roku 2030 s předpokládanou hodnotou 62 mld. Kč. Dosud se podařil</w:t>
      </w:r>
      <w:r>
        <w:rPr>
          <w:i/>
        </w:rPr>
        <w:t xml:space="preserve">o zpřístupnit programy s alokací cca </w:t>
      </w:r>
      <w:r w:rsidR="00603807">
        <w:rPr>
          <w:i/>
        </w:rPr>
        <w:t>2</w:t>
      </w:r>
      <w:r w:rsidR="00FB3EFA">
        <w:rPr>
          <w:i/>
        </w:rPr>
        <w:t>4</w:t>
      </w:r>
      <w:r w:rsidRPr="008C14C5">
        <w:rPr>
          <w:i/>
        </w:rPr>
        <w:t xml:space="preserve"> mld. Kč, z nich </w:t>
      </w:r>
      <w:r>
        <w:rPr>
          <w:i/>
        </w:rPr>
        <w:t>byly do regionů k 31.</w:t>
      </w:r>
      <w:r w:rsidR="00603807">
        <w:rPr>
          <w:i/>
        </w:rPr>
        <w:t xml:space="preserve"> </w:t>
      </w:r>
      <w:r>
        <w:rPr>
          <w:i/>
        </w:rPr>
        <w:t>12.</w:t>
      </w:r>
      <w:r w:rsidR="00603807">
        <w:rPr>
          <w:i/>
        </w:rPr>
        <w:t xml:space="preserve"> </w:t>
      </w:r>
      <w:r>
        <w:rPr>
          <w:i/>
        </w:rPr>
        <w:t xml:space="preserve">2018 uvolněny téměř </w:t>
      </w:r>
      <w:r w:rsidR="00FB3EFA">
        <w:rPr>
          <w:i/>
        </w:rPr>
        <w:t>4</w:t>
      </w:r>
      <w:r w:rsidRPr="008C14C5">
        <w:rPr>
          <w:i/>
        </w:rPr>
        <w:t xml:space="preserve"> mld. Kč. Další výzvy jsou průběžně připravovány jak z fondů EU, tak z národních dotačních programů.</w:t>
      </w:r>
      <w:r>
        <w:rPr>
          <w:i/>
        </w:rPr>
        <w:t xml:space="preserve"> </w:t>
      </w:r>
    </w:p>
    <w:p w14:paraId="5D7088DD" w14:textId="422FC1B6" w:rsidR="005B3763" w:rsidRDefault="005B3763" w:rsidP="005B3763">
      <w:pPr>
        <w:jc w:val="both"/>
      </w:pPr>
      <w:r>
        <w:t>Vyzdvihnout lze funkční spolupráci se zástupci všech tří krajů, kde se podařilo navázat komunikaci mezi stakeholdery nejen v konkrétním území, ale i napříč všemi regiony. Tato spolupráce a vzájemná participace na naplňování Strategie přispívá k přínosné kooperaci při plnění jednotlivých opatření a též k následnému čerpání připravených výzev.</w:t>
      </w:r>
      <w:r w:rsidR="008C14C5">
        <w:t xml:space="preserve"> Úspěšně byla aplikována změna Implementačních zásad schválených vládou</w:t>
      </w:r>
      <w:r w:rsidR="00603807">
        <w:t xml:space="preserve"> 4. 9. 2018 č. 562. </w:t>
      </w:r>
      <w:r w:rsidR="008C14C5">
        <w:t xml:space="preserve">Nové výkonné složky </w:t>
      </w:r>
      <w:proofErr w:type="gramStart"/>
      <w:r w:rsidR="008C14C5">
        <w:t>-  Národní</w:t>
      </w:r>
      <w:proofErr w:type="gramEnd"/>
      <w:r w:rsidR="008C14C5">
        <w:t xml:space="preserve"> výkonný tým programu RE:START při MMR i posílené sekretariáty Regionálních stálých konferencí všech tří krajů jsou již plně etablovány, což se promítlo i v přípravě Návrhu 3. Akčního plánu 2019 – 2020. Náklady na novou implementační strukturu jsou díky změně Operačního programu technická pomoc</w:t>
      </w:r>
      <w:r w:rsidR="00901506">
        <w:t xml:space="preserve"> schválené Evropskou komisí</w:t>
      </w:r>
      <w:r w:rsidR="008C14C5">
        <w:t xml:space="preserve"> hrazeny z evropských fondů.</w:t>
      </w:r>
    </w:p>
    <w:p w14:paraId="3BB2CB1E" w14:textId="6D932645" w:rsidR="005B3763" w:rsidRDefault="005B3763" w:rsidP="005B3763">
      <w:pPr>
        <w:jc w:val="both"/>
      </w:pPr>
      <w:r>
        <w:t xml:space="preserve">Pozitivně lze hodnotit i přístup Evropské komise, která vnímá program </w:t>
      </w:r>
      <w:proofErr w:type="gramStart"/>
      <w:r>
        <w:t>RE:START</w:t>
      </w:r>
      <w:proofErr w:type="gramEnd"/>
      <w:r>
        <w:t xml:space="preserve"> jako příklad dobré praxe pro ostatní evropské státy a aktivně prezentuje tuto činnost České republiky jako vzor pro ostatní země.</w:t>
      </w:r>
    </w:p>
    <w:p w14:paraId="41301875" w14:textId="153AECA8" w:rsidR="00901506" w:rsidRDefault="00901506" w:rsidP="005B3763">
      <w:pPr>
        <w:jc w:val="both"/>
      </w:pPr>
      <w:r>
        <w:t xml:space="preserve">Národní výkonný tým programu </w:t>
      </w:r>
      <w:proofErr w:type="gramStart"/>
      <w:r>
        <w:t>RE:START</w:t>
      </w:r>
      <w:proofErr w:type="gramEnd"/>
      <w:r w:rsidR="00DD54FC">
        <w:t>,</w:t>
      </w:r>
      <w:r>
        <w:t xml:space="preserve"> i přes relativně úspěšnou implementaci programu</w:t>
      </w:r>
      <w:r w:rsidR="00DD54FC">
        <w:t>,</w:t>
      </w:r>
      <w:r>
        <w:t xml:space="preserve"> </w:t>
      </w:r>
      <w:r w:rsidR="00DD54FC">
        <w:t>identifikoval</w:t>
      </w:r>
      <w:r>
        <w:t xml:space="preserve"> aktuální bariéry a b</w:t>
      </w:r>
      <w:r w:rsidR="00FA3B43">
        <w:t>u</w:t>
      </w:r>
      <w:r>
        <w:t>doucí rizika včetně návrhu jejich řešení.</w:t>
      </w:r>
    </w:p>
    <w:p w14:paraId="55272393" w14:textId="03D56F4B" w:rsidR="005B3763" w:rsidRDefault="005B3763" w:rsidP="00FA3B43">
      <w:pPr>
        <w:jc w:val="both"/>
      </w:pPr>
      <w:r>
        <w:t xml:space="preserve">Následující období bude věnováno pokračování naplňování vládních úkolů dle nastavených postupů, prohlubování spolupráce v rámci regionů a příslušných resortů, identifikaci rizik a návrhům na jejich eliminaci. Dále bude </w:t>
      </w:r>
      <w:r w:rsidR="00FB3EFA">
        <w:t xml:space="preserve">s vládním usnesením č. </w:t>
      </w:r>
      <w:r w:rsidR="00A032B9">
        <w:t xml:space="preserve">3/2017 </w:t>
      </w:r>
      <w:r>
        <w:t>připravena aktualizace Stra</w:t>
      </w:r>
      <w:r w:rsidR="00901506">
        <w:t>tegického rámce</w:t>
      </w:r>
      <w:r w:rsidR="00FA3B43">
        <w:t xml:space="preserve"> hospodářské restrukturalizace Ústeckého, Moravskoslezského a Karlovarského kraje</w:t>
      </w:r>
      <w:r w:rsidR="00901506">
        <w:t>.</w:t>
      </w:r>
      <w:r>
        <w:t xml:space="preserve"> </w:t>
      </w:r>
    </w:p>
    <w:p w14:paraId="598CAAE6" w14:textId="68D5B249" w:rsidR="005B3763" w:rsidRDefault="005B3763" w:rsidP="005B3763">
      <w:pPr>
        <w:jc w:val="both"/>
      </w:pPr>
      <w:r>
        <w:t xml:space="preserve">Obecně lze konstatovat, že </w:t>
      </w:r>
      <w:r w:rsidR="00901506">
        <w:t xml:space="preserve">implementace programu </w:t>
      </w:r>
      <w:proofErr w:type="gramStart"/>
      <w:r w:rsidR="00901506">
        <w:t>RE:START</w:t>
      </w:r>
      <w:proofErr w:type="gramEnd"/>
      <w:r w:rsidR="00901506">
        <w:t xml:space="preserve"> probíhá až na dílčí výše uvedené v</w:t>
      </w:r>
      <w:r w:rsidR="00FB3EFA">
        <w:t>ý</w:t>
      </w:r>
      <w:r w:rsidR="00901506">
        <w:t>j</w:t>
      </w:r>
      <w:r w:rsidR="00FA3B43">
        <w:t>i</w:t>
      </w:r>
      <w:r w:rsidR="00901506">
        <w:t xml:space="preserve">mky v souladu s plánovaných harmonogramem a Implementačními zásadami. </w:t>
      </w:r>
      <w:r>
        <w:t xml:space="preserve"> </w:t>
      </w:r>
    </w:p>
    <w:p w14:paraId="048513FF" w14:textId="77777777" w:rsidR="006D1DBA" w:rsidRDefault="006D1DBA">
      <w:pPr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</w:rPr>
      </w:pPr>
      <w:r>
        <w:br w:type="page"/>
      </w:r>
    </w:p>
    <w:p w14:paraId="005CDA55" w14:textId="77777777" w:rsidR="00134242" w:rsidRDefault="00134242" w:rsidP="00134242">
      <w:pPr>
        <w:pStyle w:val="Nadpis1"/>
      </w:pPr>
      <w:bookmarkStart w:id="18" w:name="_Toc10488768"/>
      <w:r>
        <w:lastRenderedPageBreak/>
        <w:t>Seznam použitých zkratek</w:t>
      </w:r>
      <w:bookmarkEnd w:id="17"/>
      <w:bookmarkEnd w:id="18"/>
    </w:p>
    <w:tbl>
      <w:tblPr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40"/>
      </w:tblGrid>
      <w:tr w:rsidR="00134242" w:rsidRPr="008055BD" w14:paraId="27ED907B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30A74E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Zkratka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68F0633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Význam</w:t>
            </w:r>
          </w:p>
        </w:tc>
      </w:tr>
      <w:tr w:rsidR="00134242" w:rsidRPr="008055BD" w14:paraId="72B0FD4B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5FCC89FC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AOPK</w:t>
            </w:r>
          </w:p>
        </w:tc>
        <w:tc>
          <w:tcPr>
            <w:tcW w:w="4540" w:type="dxa"/>
            <w:shd w:val="clear" w:color="auto" w:fill="auto"/>
            <w:noWrap/>
            <w:vAlign w:val="bottom"/>
          </w:tcPr>
          <w:p w14:paraId="44D67771" w14:textId="77777777" w:rsidR="00134242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Agentura ochrany přírody a krajiny</w:t>
            </w:r>
          </w:p>
        </w:tc>
      </w:tr>
      <w:tr w:rsidR="00134242" w:rsidRPr="008055BD" w14:paraId="21629CF4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F21EE2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AP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059788AA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Akční plán</w:t>
            </w:r>
          </w:p>
        </w:tc>
      </w:tr>
      <w:tr w:rsidR="00134242" w:rsidRPr="008055BD" w14:paraId="25D94AA9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2C0326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ESIF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6819FB9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Evropské strukturální a investiční fondy</w:t>
            </w:r>
          </w:p>
        </w:tc>
      </w:tr>
      <w:tr w:rsidR="00134242" w:rsidRPr="008055BD" w14:paraId="6539AB03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1C11EFB1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IROP</w:t>
            </w:r>
          </w:p>
        </w:tc>
        <w:tc>
          <w:tcPr>
            <w:tcW w:w="4540" w:type="dxa"/>
            <w:shd w:val="clear" w:color="auto" w:fill="auto"/>
            <w:noWrap/>
            <w:vAlign w:val="bottom"/>
          </w:tcPr>
          <w:p w14:paraId="772518E9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Integrovaný regionální operační program</w:t>
            </w:r>
          </w:p>
        </w:tc>
      </w:tr>
      <w:tr w:rsidR="00134242" w:rsidRPr="008055BD" w14:paraId="23E01818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628268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KVK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0E31B457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Karlovarský kraj</w:t>
            </w:r>
          </w:p>
        </w:tc>
      </w:tr>
      <w:tr w:rsidR="00134242" w:rsidRPr="008055BD" w14:paraId="57EFB0AD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0903D1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MD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5FE4647B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dopravy</w:t>
            </w:r>
          </w:p>
        </w:tc>
      </w:tr>
      <w:tr w:rsidR="00134242" w:rsidRPr="008055BD" w14:paraId="01C640C4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59CF91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MF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0D7CA4AD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financí</w:t>
            </w:r>
          </w:p>
        </w:tc>
      </w:tr>
      <w:tr w:rsidR="00134242" w:rsidRPr="008055BD" w14:paraId="5FD231E2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AF505C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MK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9AA92E5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kultury</w:t>
            </w:r>
          </w:p>
        </w:tc>
      </w:tr>
      <w:tr w:rsidR="00134242" w:rsidRPr="008055BD" w14:paraId="79C95C3D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D08B03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MMR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6471B8BF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pro místní rozvoj</w:t>
            </w:r>
          </w:p>
        </w:tc>
      </w:tr>
      <w:tr w:rsidR="00134242" w:rsidRPr="008055BD" w14:paraId="0E340F6A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E47CBB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MPO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2491F36B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průmyslu a obchodu</w:t>
            </w:r>
          </w:p>
        </w:tc>
      </w:tr>
      <w:tr w:rsidR="00134242" w:rsidRPr="008055BD" w14:paraId="41284522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400A2E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MPSV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79D37B25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práce a sociálních věcí</w:t>
            </w:r>
          </w:p>
        </w:tc>
      </w:tr>
      <w:tr w:rsidR="00134242" w:rsidRPr="008055BD" w14:paraId="57C88F1A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F10B95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MSK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7A5631FC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Moravskoslezský kraj</w:t>
            </w:r>
          </w:p>
        </w:tc>
      </w:tr>
      <w:tr w:rsidR="00134242" w:rsidRPr="008055BD" w14:paraId="322594C8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26AA58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MŠMT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1A61B9E7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školství mládeže a tělovýchovy</w:t>
            </w:r>
          </w:p>
        </w:tc>
      </w:tr>
      <w:tr w:rsidR="00134242" w:rsidRPr="008055BD" w14:paraId="1C62EA82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C98988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MZ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5CAE0E2E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zdravotnictví</w:t>
            </w:r>
          </w:p>
        </w:tc>
      </w:tr>
      <w:tr w:rsidR="00134242" w:rsidRPr="008055BD" w14:paraId="2CB855C4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CB3101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MZ</w:t>
            </w: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</w:t>
            </w:r>
            <w:proofErr w:type="spellEnd"/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2323BA8C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zemědělství</w:t>
            </w:r>
          </w:p>
        </w:tc>
      </w:tr>
      <w:tr w:rsidR="00134242" w:rsidRPr="008055BD" w14:paraId="662D4745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BF0FED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MŽP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5AD2DB20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životního prostředí</w:t>
            </w:r>
          </w:p>
        </w:tc>
      </w:tr>
      <w:tr w:rsidR="00134242" w:rsidRPr="008055BD" w14:paraId="33F3DCD2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72140A70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NVT</w:t>
            </w:r>
          </w:p>
        </w:tc>
        <w:tc>
          <w:tcPr>
            <w:tcW w:w="4540" w:type="dxa"/>
            <w:shd w:val="clear" w:color="auto" w:fill="auto"/>
            <w:noWrap/>
            <w:vAlign w:val="bottom"/>
          </w:tcPr>
          <w:p w14:paraId="05E16BDE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Národní výkonný tým</w:t>
            </w:r>
          </w:p>
        </w:tc>
      </w:tr>
      <w:tr w:rsidR="00134242" w:rsidRPr="008055BD" w14:paraId="24093EA3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2D6B2E78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OPPIK</w:t>
            </w:r>
          </w:p>
        </w:tc>
        <w:tc>
          <w:tcPr>
            <w:tcW w:w="4540" w:type="dxa"/>
            <w:shd w:val="clear" w:color="auto" w:fill="auto"/>
            <w:noWrap/>
            <w:vAlign w:val="bottom"/>
          </w:tcPr>
          <w:p w14:paraId="03E284B1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Operační program podnikání a inovace</w:t>
            </w:r>
          </w:p>
        </w:tc>
      </w:tr>
      <w:tr w:rsidR="00134242" w:rsidRPr="008055BD" w14:paraId="2B36161C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11B4BFDF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OPŽP</w:t>
            </w:r>
          </w:p>
        </w:tc>
        <w:tc>
          <w:tcPr>
            <w:tcW w:w="4540" w:type="dxa"/>
            <w:shd w:val="clear" w:color="auto" w:fill="auto"/>
            <w:noWrap/>
            <w:vAlign w:val="bottom"/>
          </w:tcPr>
          <w:p w14:paraId="5E317A85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Operační program životní prostředí</w:t>
            </w:r>
          </w:p>
        </w:tc>
      </w:tr>
      <w:tr w:rsidR="00134242" w:rsidRPr="008055BD" w14:paraId="2F8A136F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FB0930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SFDI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D9C482F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Státní fond dopravní infrastruktury</w:t>
            </w:r>
          </w:p>
        </w:tc>
      </w:tr>
      <w:tr w:rsidR="00134242" w:rsidRPr="008055BD" w14:paraId="59C38DCF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18536D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TAČR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43456F17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Technologická agentura České republiky</w:t>
            </w:r>
          </w:p>
        </w:tc>
      </w:tr>
      <w:tr w:rsidR="00134242" w:rsidRPr="008055BD" w14:paraId="7C6BB888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2430D7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ÚK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0D727E80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Ústecký kraj</w:t>
            </w:r>
          </w:p>
        </w:tc>
      </w:tr>
      <w:tr w:rsidR="00134242" w:rsidRPr="008055BD" w14:paraId="6374F02A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9336E9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ÚP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69AE6C12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úřad práce</w:t>
            </w:r>
          </w:p>
        </w:tc>
      </w:tr>
      <w:tr w:rsidR="00134242" w:rsidRPr="008055BD" w14:paraId="0F3E492B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2E5E3E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UV RVVI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45E221FA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Úřad vlády – Rada pro výzkum, vývoj a inovace</w:t>
            </w:r>
          </w:p>
        </w:tc>
      </w:tr>
      <w:tr w:rsidR="00134242" w:rsidRPr="008055BD" w14:paraId="7778FBBB" w14:textId="77777777" w:rsidTr="009807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89A5D3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ŽP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2AB7A20" w14:textId="77777777" w:rsidR="00134242" w:rsidRPr="008055BD" w:rsidRDefault="00134242" w:rsidP="009807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55BD">
              <w:rPr>
                <w:rFonts w:ascii="Calibri" w:eastAsia="Times New Roman" w:hAnsi="Calibri" w:cs="Times New Roman"/>
                <w:color w:val="000000"/>
                <w:lang w:eastAsia="cs-CZ"/>
              </w:rPr>
              <w:t>životní prostředí</w:t>
            </w:r>
          </w:p>
        </w:tc>
      </w:tr>
    </w:tbl>
    <w:p w14:paraId="775E3A87" w14:textId="77777777" w:rsidR="00134242" w:rsidRPr="00F73765" w:rsidRDefault="00134242" w:rsidP="00134242">
      <w:pPr>
        <w:pStyle w:val="Nadpis1"/>
      </w:pPr>
      <w:bookmarkStart w:id="19" w:name="_Toc10488769"/>
      <w:r>
        <w:t>Seznam tabulek</w:t>
      </w:r>
      <w:bookmarkEnd w:id="19"/>
      <w:r>
        <w:t xml:space="preserve"> </w:t>
      </w:r>
    </w:p>
    <w:bookmarkStart w:id="20" w:name="_Toc4760949"/>
    <w:p w14:paraId="3386D0A6" w14:textId="10A1D981" w:rsidR="00313A97" w:rsidRDefault="00134242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10488747" w:history="1">
        <w:r w:rsidR="00313A97" w:rsidRPr="008B6E3B">
          <w:rPr>
            <w:rStyle w:val="Hypertextovodkaz"/>
            <w:noProof/>
          </w:rPr>
          <w:t>Tabulka 1 – Přehled finančních zdrojů související s realizací opatření</w:t>
        </w:r>
        <w:r w:rsidR="00313A97">
          <w:rPr>
            <w:noProof/>
            <w:webHidden/>
          </w:rPr>
          <w:tab/>
        </w:r>
        <w:r w:rsidR="00313A97">
          <w:rPr>
            <w:noProof/>
            <w:webHidden/>
          </w:rPr>
          <w:fldChar w:fldCharType="begin"/>
        </w:r>
        <w:r w:rsidR="00313A97">
          <w:rPr>
            <w:noProof/>
            <w:webHidden/>
          </w:rPr>
          <w:instrText xml:space="preserve"> PAGEREF _Toc10488747 \h </w:instrText>
        </w:r>
        <w:r w:rsidR="00313A97">
          <w:rPr>
            <w:noProof/>
            <w:webHidden/>
          </w:rPr>
        </w:r>
        <w:r w:rsidR="00313A97">
          <w:rPr>
            <w:noProof/>
            <w:webHidden/>
          </w:rPr>
          <w:fldChar w:fldCharType="separate"/>
        </w:r>
        <w:r w:rsidR="006404A0">
          <w:rPr>
            <w:noProof/>
            <w:webHidden/>
          </w:rPr>
          <w:t>4</w:t>
        </w:r>
        <w:r w:rsidR="00313A97">
          <w:rPr>
            <w:noProof/>
            <w:webHidden/>
          </w:rPr>
          <w:fldChar w:fldCharType="end"/>
        </w:r>
      </w:hyperlink>
    </w:p>
    <w:p w14:paraId="55FF4892" w14:textId="29A56ABF" w:rsidR="00313A97" w:rsidRDefault="00047592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0488748" w:history="1">
        <w:r w:rsidR="00313A97" w:rsidRPr="008B6E3B">
          <w:rPr>
            <w:rStyle w:val="Hypertextovodkaz"/>
            <w:noProof/>
          </w:rPr>
          <w:t>Tabulka 2 – Přehled čerpání dotačních prostředků v regionech od zahájení programu RE:START do 31. 12. 2018 v Kč</w:t>
        </w:r>
        <w:r w:rsidR="00313A97">
          <w:rPr>
            <w:noProof/>
            <w:webHidden/>
          </w:rPr>
          <w:tab/>
        </w:r>
        <w:r w:rsidR="00313A97">
          <w:rPr>
            <w:noProof/>
            <w:webHidden/>
          </w:rPr>
          <w:fldChar w:fldCharType="begin"/>
        </w:r>
        <w:r w:rsidR="00313A97">
          <w:rPr>
            <w:noProof/>
            <w:webHidden/>
          </w:rPr>
          <w:instrText xml:space="preserve"> PAGEREF _Toc10488748 \h </w:instrText>
        </w:r>
        <w:r w:rsidR="00313A97">
          <w:rPr>
            <w:noProof/>
            <w:webHidden/>
          </w:rPr>
        </w:r>
        <w:r w:rsidR="00313A97">
          <w:rPr>
            <w:noProof/>
            <w:webHidden/>
          </w:rPr>
          <w:fldChar w:fldCharType="separate"/>
        </w:r>
        <w:r w:rsidR="006404A0">
          <w:rPr>
            <w:noProof/>
            <w:webHidden/>
          </w:rPr>
          <w:t>6</w:t>
        </w:r>
        <w:r w:rsidR="00313A97">
          <w:rPr>
            <w:noProof/>
            <w:webHidden/>
          </w:rPr>
          <w:fldChar w:fldCharType="end"/>
        </w:r>
      </w:hyperlink>
    </w:p>
    <w:p w14:paraId="102075B9" w14:textId="5623B941" w:rsidR="00134242" w:rsidRDefault="00134242" w:rsidP="00134242">
      <w:pPr>
        <w:pStyle w:val="Nadpis1"/>
      </w:pPr>
      <w:r>
        <w:fldChar w:fldCharType="end"/>
      </w:r>
      <w:bookmarkStart w:id="21" w:name="_Toc4760950"/>
      <w:bookmarkStart w:id="22" w:name="_Toc10488770"/>
      <w:bookmarkEnd w:id="20"/>
      <w:r w:rsidRPr="004E01F5">
        <w:t>Přílohy</w:t>
      </w:r>
      <w:bookmarkEnd w:id="21"/>
      <w:bookmarkEnd w:id="22"/>
    </w:p>
    <w:p w14:paraId="39C442B5" w14:textId="527D0F74" w:rsidR="00ED3B5F" w:rsidRDefault="00ED3B5F" w:rsidP="00ED3B5F">
      <w:r>
        <w:t xml:space="preserve">Tabulka I – Příjemci dotací v rámci programu </w:t>
      </w:r>
      <w:proofErr w:type="gramStart"/>
      <w:r>
        <w:t>RE:START</w:t>
      </w:r>
      <w:proofErr w:type="gramEnd"/>
      <w:r w:rsidRPr="00ED3B5F">
        <w:t xml:space="preserve"> </w:t>
      </w:r>
      <w:r>
        <w:t>za období 2016 -2019</w:t>
      </w:r>
    </w:p>
    <w:p w14:paraId="09185E85" w14:textId="47CF8FFF" w:rsidR="00ED3B5F" w:rsidRDefault="00ED3B5F" w:rsidP="00ED3B5F">
      <w:r>
        <w:t>Tabulka II – Přehled aktuálního stavu naplňování akčních plánů programu</w:t>
      </w:r>
    </w:p>
    <w:p w14:paraId="3CD18827" w14:textId="4393342D" w:rsidR="003D1197" w:rsidRPr="003D1197" w:rsidRDefault="00F55BCF" w:rsidP="00313A97">
      <w:r>
        <w:t xml:space="preserve">Tabulka </w:t>
      </w:r>
      <w:proofErr w:type="gramStart"/>
      <w:r>
        <w:t xml:space="preserve">III - </w:t>
      </w:r>
      <w:r w:rsidR="00313A97">
        <w:t>Přehled</w:t>
      </w:r>
      <w:proofErr w:type="gramEnd"/>
      <w:r w:rsidR="00313A97">
        <w:t xml:space="preserve"> staveb vyvádějí tranzitní dopravu z obydlené zástavby ve vlastnictví státu na území Moravskoslezského, Ústeckého a Karlovarského kraje</w:t>
      </w:r>
    </w:p>
    <w:sectPr w:rsidR="003D1197" w:rsidRPr="003D11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19734" w14:textId="77777777" w:rsidR="00047592" w:rsidRDefault="00047592" w:rsidP="0099699B">
      <w:pPr>
        <w:spacing w:after="0" w:line="240" w:lineRule="auto"/>
      </w:pPr>
      <w:r>
        <w:separator/>
      </w:r>
    </w:p>
  </w:endnote>
  <w:endnote w:type="continuationSeparator" w:id="0">
    <w:p w14:paraId="2E7ED963" w14:textId="77777777" w:rsidR="00047592" w:rsidRDefault="00047592" w:rsidP="0099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3458236"/>
      <w:docPartObj>
        <w:docPartGallery w:val="Page Numbers (Bottom of Page)"/>
        <w:docPartUnique/>
      </w:docPartObj>
    </w:sdtPr>
    <w:sdtEndPr/>
    <w:sdtContent>
      <w:p w14:paraId="6471CC82" w14:textId="77777777" w:rsidR="000009A7" w:rsidRDefault="000009A7" w:rsidP="009807C4">
        <w:pPr>
          <w:pStyle w:val="Zpat"/>
        </w:pPr>
      </w:p>
      <w:p w14:paraId="7CBF7196" w14:textId="77777777" w:rsidR="000009A7" w:rsidRDefault="000009A7" w:rsidP="009807C4">
        <w:pPr>
          <w:pStyle w:val="Zpat"/>
          <w:jc w:val="center"/>
          <w:rPr>
            <w:b/>
            <w:color w:val="002060"/>
          </w:rPr>
        </w:pPr>
        <w:r w:rsidRPr="00317AEB">
          <w:rPr>
            <w:b/>
            <w:color w:val="002060"/>
            <w:lang w:eastAsia="cs-CZ"/>
          </w:rPr>
          <w:drawing>
            <wp:inline distT="0" distB="0" distL="0" distR="0" wp14:anchorId="400684CF" wp14:editId="5521C0D4">
              <wp:extent cx="3295650" cy="568920"/>
              <wp:effectExtent l="0" t="0" r="0" b="3175"/>
              <wp:docPr id="1" name="Obrázek 1" descr="C:\Users\soumil\Documents\!!!SR a AP\!!2018\AP3\Prezentace_loga MMR\RESTART_NVT - formuláře_final\Logolink-OPTP-Logo-MMR\RGB\JPG\OPTP_CZ_RO_B_C 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oumil\Documents\!!!SR a AP\!!2018\AP3\Prezentace_loga MMR\RESTART_NVT - formuláře_final\Logolink-OPTP-Logo-MMR\RGB\JPG\OPTP_CZ_RO_B_C 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06952" cy="5708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77589F1" w14:textId="77777777" w:rsidR="000009A7" w:rsidRDefault="00047592" w:rsidP="009807C4">
        <w:pPr>
          <w:pStyle w:val="Zpat"/>
          <w:jc w:val="center"/>
          <w:rPr>
            <w:b/>
            <w:color w:val="002060"/>
          </w:rPr>
        </w:pPr>
        <w:hyperlink r:id="rId2" w:history="1">
          <w:r w:rsidR="000009A7" w:rsidRPr="004267DF">
            <w:rPr>
              <w:rStyle w:val="Hypertextovodkaz"/>
              <w:b/>
            </w:rPr>
            <w:t>www.restartregionu.cz</w:t>
          </w:r>
        </w:hyperlink>
        <w:r w:rsidR="000009A7">
          <w:rPr>
            <w:b/>
            <w:color w:val="002060"/>
          </w:rPr>
          <w:t xml:space="preserve"> </w:t>
        </w:r>
      </w:p>
      <w:p w14:paraId="5339C588" w14:textId="769B2CD7" w:rsidR="000009A7" w:rsidRDefault="00047592" w:rsidP="009807C4">
        <w:pPr>
          <w:pStyle w:val="Zpat"/>
          <w:jc w:val="right"/>
        </w:pPr>
        <w:sdt>
          <w:sdtPr>
            <w:id w:val="-1131168681"/>
            <w:docPartObj>
              <w:docPartGallery w:val="Page Numbers (Top of Page)"/>
              <w:docPartUnique/>
            </w:docPartObj>
          </w:sdtPr>
          <w:sdtEndPr/>
          <w:sdtContent>
            <w:r w:rsidR="000009A7">
              <w:rPr>
                <w:b/>
                <w:bCs/>
                <w:sz w:val="24"/>
                <w:szCs w:val="24"/>
              </w:rPr>
              <w:fldChar w:fldCharType="begin"/>
            </w:r>
            <w:r w:rsidR="000009A7">
              <w:rPr>
                <w:b/>
                <w:bCs/>
              </w:rPr>
              <w:instrText>PAGE</w:instrText>
            </w:r>
            <w:r w:rsidR="000009A7">
              <w:rPr>
                <w:b/>
                <w:bCs/>
                <w:sz w:val="24"/>
                <w:szCs w:val="24"/>
              </w:rPr>
              <w:fldChar w:fldCharType="separate"/>
            </w:r>
            <w:r w:rsidR="006404A0">
              <w:rPr>
                <w:b/>
                <w:bCs/>
              </w:rPr>
              <w:t>1</w:t>
            </w:r>
            <w:r w:rsidR="000009A7">
              <w:rPr>
                <w:b/>
                <w:bCs/>
                <w:sz w:val="24"/>
                <w:szCs w:val="24"/>
              </w:rPr>
              <w:fldChar w:fldCharType="end"/>
            </w:r>
            <w:r w:rsidR="000009A7">
              <w:t xml:space="preserve"> / </w:t>
            </w:r>
            <w:r w:rsidR="000009A7">
              <w:rPr>
                <w:b/>
                <w:bCs/>
                <w:sz w:val="24"/>
                <w:szCs w:val="24"/>
              </w:rPr>
              <w:fldChar w:fldCharType="begin"/>
            </w:r>
            <w:r w:rsidR="000009A7">
              <w:rPr>
                <w:b/>
                <w:bCs/>
              </w:rPr>
              <w:instrText>NUMPAGES</w:instrText>
            </w:r>
            <w:r w:rsidR="000009A7">
              <w:rPr>
                <w:b/>
                <w:bCs/>
                <w:sz w:val="24"/>
                <w:szCs w:val="24"/>
              </w:rPr>
              <w:fldChar w:fldCharType="separate"/>
            </w:r>
            <w:r w:rsidR="006404A0">
              <w:rPr>
                <w:b/>
                <w:bCs/>
              </w:rPr>
              <w:t>13</w:t>
            </w:r>
            <w:r w:rsidR="000009A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CB02B" w14:textId="77777777" w:rsidR="000009A7" w:rsidRDefault="000009A7" w:rsidP="009807C4">
    <w:pPr>
      <w:pStyle w:val="Zpat"/>
      <w:jc w:val="center"/>
      <w:rPr>
        <w:b/>
        <w:color w:val="002060"/>
      </w:rPr>
    </w:pPr>
    <w:r w:rsidRPr="00DA7B41">
      <w:rPr>
        <w:lang w:eastAsia="cs-CZ"/>
      </w:rPr>
      <w:drawing>
        <wp:anchor distT="0" distB="0" distL="114300" distR="114300" simplePos="0" relativeHeight="251659264" behindDoc="1" locked="0" layoutInCell="1" allowOverlap="1" wp14:anchorId="34840986" wp14:editId="486E3132">
          <wp:simplePos x="0" y="0"/>
          <wp:positionH relativeFrom="margin">
            <wp:align>center</wp:align>
          </wp:positionH>
          <wp:positionV relativeFrom="paragraph">
            <wp:posOffset>177165</wp:posOffset>
          </wp:positionV>
          <wp:extent cx="3759200" cy="648335"/>
          <wp:effectExtent l="0" t="0" r="0" b="0"/>
          <wp:wrapTight wrapText="bothSides">
            <wp:wrapPolygon edited="0">
              <wp:start x="0" y="0"/>
              <wp:lineTo x="0" y="20944"/>
              <wp:lineTo x="21454" y="20944"/>
              <wp:lineTo x="21454" y="0"/>
              <wp:lineTo x="0" y="0"/>
            </wp:wrapPolygon>
          </wp:wrapTight>
          <wp:docPr id="28" name="Obrázek 28" descr="C:\Users\lanand\AppData\Local\Temp\7zO8335775A\OPT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nand\AppData\Local\Temp\7zO8335775A\OPTP_CZ_RO_B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40DA" w14:textId="77777777" w:rsidR="000009A7" w:rsidRPr="005F34A6" w:rsidRDefault="000009A7" w:rsidP="005F34A6">
    <w:pPr>
      <w:pStyle w:val="Zhlav"/>
      <w:tabs>
        <w:tab w:val="left" w:pos="1920"/>
      </w:tabs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5F34A6">
      <w:rPr>
        <w:rStyle w:val="Hypertextovodkaz"/>
        <w:rFonts w:ascii="Arial" w:hAnsi="Arial" w:cs="Arial"/>
        <w:b/>
        <w:color w:val="2E74B5" w:themeColor="accent1" w:themeShade="BF"/>
        <w:sz w:val="16"/>
        <w:szCs w:val="16"/>
        <w:u w:val="none"/>
      </w:rPr>
      <w:t>www.restartregionu.cz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CBEDD" w14:textId="77777777" w:rsidR="00047592" w:rsidRDefault="00047592" w:rsidP="0099699B">
      <w:pPr>
        <w:spacing w:after="0" w:line="240" w:lineRule="auto"/>
      </w:pPr>
      <w:r>
        <w:separator/>
      </w:r>
    </w:p>
  </w:footnote>
  <w:footnote w:type="continuationSeparator" w:id="0">
    <w:p w14:paraId="4280745E" w14:textId="77777777" w:rsidR="00047592" w:rsidRDefault="00047592" w:rsidP="0099699B">
      <w:pPr>
        <w:spacing w:after="0" w:line="240" w:lineRule="auto"/>
      </w:pPr>
      <w:r>
        <w:continuationSeparator/>
      </w:r>
    </w:p>
  </w:footnote>
  <w:footnote w:id="1">
    <w:p w14:paraId="72A298DD" w14:textId="463B2C80" w:rsidR="0047364B" w:rsidRPr="00CD5319" w:rsidRDefault="0047364B">
      <w:pPr>
        <w:pStyle w:val="Textpoznpodarou"/>
        <w:rPr>
          <w:sz w:val="18"/>
          <w:szCs w:val="18"/>
        </w:rPr>
      </w:pPr>
      <w:r w:rsidRPr="00CD5319">
        <w:rPr>
          <w:rStyle w:val="Znakapoznpodarou"/>
          <w:sz w:val="18"/>
          <w:szCs w:val="18"/>
        </w:rPr>
        <w:footnoteRef/>
      </w:r>
      <w:r w:rsidRPr="00CD53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 program </w:t>
      </w:r>
      <w:r w:rsidRPr="00CD5319">
        <w:rPr>
          <w:sz w:val="18"/>
          <w:szCs w:val="18"/>
        </w:rPr>
        <w:t>ETA</w:t>
      </w:r>
      <w:r>
        <w:rPr>
          <w:sz w:val="18"/>
          <w:szCs w:val="18"/>
        </w:rPr>
        <w:t xml:space="preserve"> je několik kritérí a to členění dle místa realizace a také dle PVC (prioritních výzkumných cílů programu RE:START, zde uvedená částka odpovídá počtu projektů s místem realizace ve strukturálně postižených regionech</w:t>
      </w:r>
      <w:r w:rsidRPr="00CD5319">
        <w:rPr>
          <w:sz w:val="18"/>
          <w:szCs w:val="18"/>
        </w:rPr>
        <w:t>.</w:t>
      </w:r>
    </w:p>
  </w:footnote>
  <w:footnote w:id="2">
    <w:p w14:paraId="3C710590" w14:textId="33134276" w:rsidR="000172AA" w:rsidRDefault="000172AA">
      <w:pPr>
        <w:pStyle w:val="Textpoznpodarou"/>
      </w:pPr>
      <w:r w:rsidRPr="00CD5319">
        <w:rPr>
          <w:rStyle w:val="Znakapoznpodarou"/>
          <w:sz w:val="18"/>
          <w:szCs w:val="18"/>
        </w:rPr>
        <w:footnoteRef/>
      </w:r>
      <w:r w:rsidRPr="00CD5319">
        <w:rPr>
          <w:sz w:val="18"/>
          <w:szCs w:val="18"/>
        </w:rPr>
        <w:t xml:space="preserve"> Původní podoba programu byla schválena ještě před prvním SAP ve vazbě na již schválený Strategický rámec hospodářské restrukturalizace Ústeckého, Moravskoslezského a Karlovarského kraje.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D9B4F" w14:textId="43136127" w:rsidR="000009A7" w:rsidRDefault="000009A7" w:rsidP="00317AEB">
    <w:pPr>
      <w:pStyle w:val="Zhlav"/>
      <w:tabs>
        <w:tab w:val="clear" w:pos="9072"/>
        <w:tab w:val="left" w:pos="6585"/>
      </w:tabs>
      <w:jc w:val="center"/>
    </w:pPr>
    <w:r w:rsidRPr="00604B21">
      <w:rPr>
        <w:lang w:eastAsia="cs-CZ"/>
      </w:rPr>
      <w:drawing>
        <wp:inline distT="0" distB="0" distL="0" distR="0" wp14:anchorId="69D5160C" wp14:editId="7241F0EB">
          <wp:extent cx="2324100" cy="781156"/>
          <wp:effectExtent l="0" t="0" r="0" b="0"/>
          <wp:docPr id="2" name="Obrázek 2" descr="C:\Users\soumil\Documents\!!!SR a AP\!!2018\AP3\Prezentace_loga MMR\RESTART_NVT - formuláře_final\RESTART v3_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umil\Documents\!!!SR a AP\!!2018\AP3\Prezentace_loga MMR\RESTART_NVT - formuláře_final\RESTART v3_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024" cy="789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</w:p>
  <w:p w14:paraId="6C1C0E86" w14:textId="77777777" w:rsidR="000009A7" w:rsidRDefault="000009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9C20C" w14:textId="77777777" w:rsidR="000009A7" w:rsidRDefault="000009A7" w:rsidP="005F34A6">
    <w:pPr>
      <w:pStyle w:val="Zhlav"/>
      <w:tabs>
        <w:tab w:val="clear" w:pos="9072"/>
        <w:tab w:val="left" w:pos="6585"/>
      </w:tabs>
      <w:jc w:val="center"/>
    </w:pPr>
    <w:r w:rsidRPr="00BA0E8F">
      <w:rPr>
        <w:lang w:eastAsia="cs-CZ"/>
      </w:rPr>
      <w:drawing>
        <wp:inline distT="0" distB="0" distL="0" distR="0" wp14:anchorId="0AEF77BC" wp14:editId="1FD11E4C">
          <wp:extent cx="1924050" cy="826272"/>
          <wp:effectExtent l="0" t="0" r="0" b="0"/>
          <wp:docPr id="27" name="Obrázek 27" descr="C:\Users\lanand\Desktop\MMMR - formuláře\NVT - návrh formulářů\NT RESTART v3_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nand\Desktop\MMMR - formuláře\NVT - návrh formulářů\NT RESTART v3_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148" cy="857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</w:p>
  <w:p w14:paraId="1A46424B" w14:textId="77777777" w:rsidR="000009A7" w:rsidRPr="00D32E95" w:rsidRDefault="000009A7" w:rsidP="009807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36069B0"/>
    <w:lvl w:ilvl="0">
      <w:numFmt w:val="bullet"/>
      <w:lvlText w:val="*"/>
      <w:lvlJc w:val="left"/>
    </w:lvl>
  </w:abstractNum>
  <w:abstractNum w:abstractNumId="1" w15:restartNumberingAfterBreak="0">
    <w:nsid w:val="01FC4B6E"/>
    <w:multiLevelType w:val="hybridMultilevel"/>
    <w:tmpl w:val="19927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22B5E"/>
    <w:multiLevelType w:val="hybridMultilevel"/>
    <w:tmpl w:val="E0244B8E"/>
    <w:lvl w:ilvl="0" w:tplc="0C02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C5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0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07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E8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48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0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5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8B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F863E6"/>
    <w:multiLevelType w:val="hybridMultilevel"/>
    <w:tmpl w:val="FB049522"/>
    <w:lvl w:ilvl="0" w:tplc="5420D1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011EE4"/>
    <w:multiLevelType w:val="hybridMultilevel"/>
    <w:tmpl w:val="3E2EF6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07F29"/>
    <w:multiLevelType w:val="hybridMultilevel"/>
    <w:tmpl w:val="4C862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B1518"/>
    <w:multiLevelType w:val="hybridMultilevel"/>
    <w:tmpl w:val="A53210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00D7C"/>
    <w:multiLevelType w:val="hybridMultilevel"/>
    <w:tmpl w:val="FBAA3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01D36"/>
    <w:multiLevelType w:val="hybridMultilevel"/>
    <w:tmpl w:val="154EB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0CC3"/>
    <w:multiLevelType w:val="hybridMultilevel"/>
    <w:tmpl w:val="1CF07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5700D"/>
    <w:multiLevelType w:val="hybridMultilevel"/>
    <w:tmpl w:val="E40EA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209DE"/>
    <w:multiLevelType w:val="hybridMultilevel"/>
    <w:tmpl w:val="68748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526EA"/>
    <w:multiLevelType w:val="hybridMultilevel"/>
    <w:tmpl w:val="2E04CBD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0013C"/>
    <w:multiLevelType w:val="hybridMultilevel"/>
    <w:tmpl w:val="1E308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471E7"/>
    <w:multiLevelType w:val="hybridMultilevel"/>
    <w:tmpl w:val="E3E670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833FD"/>
    <w:multiLevelType w:val="hybridMultilevel"/>
    <w:tmpl w:val="52702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74E43"/>
    <w:multiLevelType w:val="hybridMultilevel"/>
    <w:tmpl w:val="043CD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14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8">
    <w:abstractNumId w:val="12"/>
  </w:num>
  <w:num w:numId="9">
    <w:abstractNumId w:val="13"/>
  </w:num>
  <w:num w:numId="10">
    <w:abstractNumId w:val="7"/>
  </w:num>
  <w:num w:numId="11">
    <w:abstractNumId w:val="2"/>
  </w:num>
  <w:num w:numId="12">
    <w:abstractNumId w:val="16"/>
  </w:num>
  <w:num w:numId="13">
    <w:abstractNumId w:val="15"/>
  </w:num>
  <w:num w:numId="14">
    <w:abstractNumId w:val="5"/>
  </w:num>
  <w:num w:numId="15">
    <w:abstractNumId w:val="1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98"/>
    <w:rsid w:val="000009A7"/>
    <w:rsid w:val="000172AA"/>
    <w:rsid w:val="00047592"/>
    <w:rsid w:val="0005176C"/>
    <w:rsid w:val="00056D95"/>
    <w:rsid w:val="00087EA7"/>
    <w:rsid w:val="00094387"/>
    <w:rsid w:val="000A360E"/>
    <w:rsid w:val="000B7ABE"/>
    <w:rsid w:val="000D1AA3"/>
    <w:rsid w:val="00114F5C"/>
    <w:rsid w:val="00134242"/>
    <w:rsid w:val="00163518"/>
    <w:rsid w:val="0017039D"/>
    <w:rsid w:val="001913EE"/>
    <w:rsid w:val="001A39A2"/>
    <w:rsid w:val="001B502F"/>
    <w:rsid w:val="001D7C2D"/>
    <w:rsid w:val="001E27C3"/>
    <w:rsid w:val="001F02E7"/>
    <w:rsid w:val="001F5B35"/>
    <w:rsid w:val="00246698"/>
    <w:rsid w:val="00295186"/>
    <w:rsid w:val="002A40D7"/>
    <w:rsid w:val="002A7EE5"/>
    <w:rsid w:val="002C311C"/>
    <w:rsid w:val="00313A97"/>
    <w:rsid w:val="00317AEB"/>
    <w:rsid w:val="00324830"/>
    <w:rsid w:val="00332CAD"/>
    <w:rsid w:val="003775A6"/>
    <w:rsid w:val="003846E7"/>
    <w:rsid w:val="003A3D14"/>
    <w:rsid w:val="003B3809"/>
    <w:rsid w:val="003C12C4"/>
    <w:rsid w:val="003D1197"/>
    <w:rsid w:val="003D1E35"/>
    <w:rsid w:val="003D4EC2"/>
    <w:rsid w:val="00433F51"/>
    <w:rsid w:val="004523EB"/>
    <w:rsid w:val="00465B51"/>
    <w:rsid w:val="00470230"/>
    <w:rsid w:val="0047364B"/>
    <w:rsid w:val="004963C6"/>
    <w:rsid w:val="004C26B0"/>
    <w:rsid w:val="004F6019"/>
    <w:rsid w:val="005065F6"/>
    <w:rsid w:val="00507D10"/>
    <w:rsid w:val="005508CC"/>
    <w:rsid w:val="00553E53"/>
    <w:rsid w:val="00584723"/>
    <w:rsid w:val="005A3D47"/>
    <w:rsid w:val="005A79E2"/>
    <w:rsid w:val="005B3763"/>
    <w:rsid w:val="005F34A6"/>
    <w:rsid w:val="00603807"/>
    <w:rsid w:val="006038FA"/>
    <w:rsid w:val="0060464F"/>
    <w:rsid w:val="00604B21"/>
    <w:rsid w:val="0060612D"/>
    <w:rsid w:val="00607F1C"/>
    <w:rsid w:val="00637251"/>
    <w:rsid w:val="006404A0"/>
    <w:rsid w:val="00645870"/>
    <w:rsid w:val="00656498"/>
    <w:rsid w:val="00676B26"/>
    <w:rsid w:val="00690AD0"/>
    <w:rsid w:val="0069266A"/>
    <w:rsid w:val="00692A68"/>
    <w:rsid w:val="006A3122"/>
    <w:rsid w:val="006D1DBA"/>
    <w:rsid w:val="007641CB"/>
    <w:rsid w:val="007767B7"/>
    <w:rsid w:val="00777314"/>
    <w:rsid w:val="00783FF1"/>
    <w:rsid w:val="007F056D"/>
    <w:rsid w:val="008043D0"/>
    <w:rsid w:val="00804AD6"/>
    <w:rsid w:val="00813DA0"/>
    <w:rsid w:val="00837C4C"/>
    <w:rsid w:val="00885B24"/>
    <w:rsid w:val="008A2202"/>
    <w:rsid w:val="008A5738"/>
    <w:rsid w:val="008C14C5"/>
    <w:rsid w:val="008F704F"/>
    <w:rsid w:val="00901506"/>
    <w:rsid w:val="009807C4"/>
    <w:rsid w:val="009845B0"/>
    <w:rsid w:val="009932B0"/>
    <w:rsid w:val="0099699B"/>
    <w:rsid w:val="009B5590"/>
    <w:rsid w:val="009F061D"/>
    <w:rsid w:val="00A032B9"/>
    <w:rsid w:val="00A05FF2"/>
    <w:rsid w:val="00A51167"/>
    <w:rsid w:val="00A62831"/>
    <w:rsid w:val="00AD013A"/>
    <w:rsid w:val="00AF6A14"/>
    <w:rsid w:val="00B049EB"/>
    <w:rsid w:val="00B10AC4"/>
    <w:rsid w:val="00B322F9"/>
    <w:rsid w:val="00B948C5"/>
    <w:rsid w:val="00C34629"/>
    <w:rsid w:val="00C536EA"/>
    <w:rsid w:val="00C563BE"/>
    <w:rsid w:val="00C7621D"/>
    <w:rsid w:val="00C85428"/>
    <w:rsid w:val="00C86E32"/>
    <w:rsid w:val="00C9535A"/>
    <w:rsid w:val="00CA61FB"/>
    <w:rsid w:val="00CB0471"/>
    <w:rsid w:val="00CC6BCD"/>
    <w:rsid w:val="00CD5160"/>
    <w:rsid w:val="00CD5319"/>
    <w:rsid w:val="00CF4B8A"/>
    <w:rsid w:val="00D46903"/>
    <w:rsid w:val="00D641DF"/>
    <w:rsid w:val="00D6768A"/>
    <w:rsid w:val="00D7458B"/>
    <w:rsid w:val="00D80BD6"/>
    <w:rsid w:val="00DA2962"/>
    <w:rsid w:val="00DA75D6"/>
    <w:rsid w:val="00DB7E11"/>
    <w:rsid w:val="00DD54A4"/>
    <w:rsid w:val="00DD54FC"/>
    <w:rsid w:val="00DE1021"/>
    <w:rsid w:val="00DE7B31"/>
    <w:rsid w:val="00DF578E"/>
    <w:rsid w:val="00E02099"/>
    <w:rsid w:val="00E1724A"/>
    <w:rsid w:val="00EC04C8"/>
    <w:rsid w:val="00ED3B5F"/>
    <w:rsid w:val="00F10673"/>
    <w:rsid w:val="00F2754E"/>
    <w:rsid w:val="00F44D08"/>
    <w:rsid w:val="00F45981"/>
    <w:rsid w:val="00F50027"/>
    <w:rsid w:val="00F55BCF"/>
    <w:rsid w:val="00F70298"/>
    <w:rsid w:val="00F72D5A"/>
    <w:rsid w:val="00F73CFF"/>
    <w:rsid w:val="00F94D5F"/>
    <w:rsid w:val="00FA1F7C"/>
    <w:rsid w:val="00FA3B43"/>
    <w:rsid w:val="00FA4A66"/>
    <w:rsid w:val="00FB3EFA"/>
    <w:rsid w:val="00FC5357"/>
    <w:rsid w:val="00FD2867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CCCD7"/>
  <w15:chartTrackingRefBased/>
  <w15:docId w15:val="{E85E0FDF-B471-4F49-9603-52E9B9A3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D47"/>
  </w:style>
  <w:style w:type="paragraph" w:styleId="Nadpis1">
    <w:name w:val="heading 1"/>
    <w:basedOn w:val="Normln"/>
    <w:next w:val="Normln"/>
    <w:link w:val="Nadpis1Char"/>
    <w:uiPriority w:val="9"/>
    <w:qFormat/>
    <w:rsid w:val="0099699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5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4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D7C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699B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9699B"/>
    <w:pPr>
      <w:spacing w:after="200" w:line="276" w:lineRule="auto"/>
      <w:ind w:left="720"/>
      <w:contextualSpacing/>
    </w:pPr>
    <w:rPr>
      <w:noProof/>
    </w:rPr>
  </w:style>
  <w:style w:type="paragraph" w:styleId="Titulek">
    <w:name w:val="caption"/>
    <w:basedOn w:val="Normln"/>
    <w:next w:val="Normln"/>
    <w:uiPriority w:val="35"/>
    <w:unhideWhenUsed/>
    <w:qFormat/>
    <w:rsid w:val="009969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9699B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99699B"/>
    <w:rPr>
      <w:noProof/>
    </w:rPr>
  </w:style>
  <w:style w:type="paragraph" w:styleId="Zpat">
    <w:name w:val="footer"/>
    <w:basedOn w:val="Normln"/>
    <w:link w:val="ZpatChar"/>
    <w:uiPriority w:val="99"/>
    <w:unhideWhenUsed/>
    <w:rsid w:val="0099699B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patChar">
    <w:name w:val="Zápatí Char"/>
    <w:basedOn w:val="Standardnpsmoodstavce"/>
    <w:link w:val="Zpat"/>
    <w:uiPriority w:val="99"/>
    <w:rsid w:val="0099699B"/>
    <w:rPr>
      <w:noProof/>
    </w:rPr>
  </w:style>
  <w:style w:type="character" w:styleId="Hypertextovodkaz">
    <w:name w:val="Hyperlink"/>
    <w:basedOn w:val="Standardnpsmoodstavce"/>
    <w:uiPriority w:val="99"/>
    <w:unhideWhenUsed/>
    <w:rsid w:val="0099699B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9699B"/>
    <w:rPr>
      <w:noProof/>
    </w:rPr>
  </w:style>
  <w:style w:type="table" w:customStyle="1" w:styleId="Tmavtabulkasmkou5zvraznn31">
    <w:name w:val="Tmavá tabulka s mřížkou 5 – zvýraznění 31"/>
    <w:basedOn w:val="Normlntabulka"/>
    <w:uiPriority w:val="50"/>
    <w:rsid w:val="0099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99699B"/>
    <w:pPr>
      <w:spacing w:after="0" w:line="240" w:lineRule="auto"/>
    </w:pPr>
    <w:rPr>
      <w:noProof/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99699B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99699B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645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2A40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40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40D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0D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099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B049EB"/>
    <w:pPr>
      <w:spacing w:before="240" w:line="259" w:lineRule="auto"/>
      <w:outlineLvl w:val="9"/>
    </w:pPr>
    <w:rPr>
      <w:b w:val="0"/>
      <w:bCs w:val="0"/>
      <w:noProof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49E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049EB"/>
    <w:pPr>
      <w:spacing w:after="100"/>
      <w:ind w:left="220"/>
    </w:pPr>
  </w:style>
  <w:style w:type="paragraph" w:customStyle="1" w:styleId="Default">
    <w:name w:val="Default"/>
    <w:basedOn w:val="Normln"/>
    <w:rsid w:val="007641C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134242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1342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1A39A2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1D7C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bsah3">
    <w:name w:val="toc 3"/>
    <w:basedOn w:val="Normln"/>
    <w:next w:val="Normln"/>
    <w:autoRedefine/>
    <w:uiPriority w:val="39"/>
    <w:unhideWhenUsed/>
    <w:rsid w:val="001D7C2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startregionu.cz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3406-476D-4A5F-B043-EED658F8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3994</Words>
  <Characters>26085</Characters>
  <Application>Microsoft Office Word</Application>
  <DocSecurity>0</DocSecurity>
  <Lines>457</Lines>
  <Paragraphs>197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 Miloš</dc:creator>
  <cp:keywords/>
  <dc:description/>
  <cp:lastModifiedBy>walen</cp:lastModifiedBy>
  <cp:revision>2</cp:revision>
  <cp:lastPrinted>2019-06-03T19:28:00Z</cp:lastPrinted>
  <dcterms:created xsi:type="dcterms:W3CDTF">2020-03-02T19:52:00Z</dcterms:created>
  <dcterms:modified xsi:type="dcterms:W3CDTF">2020-03-02T19:52:00Z</dcterms:modified>
</cp:coreProperties>
</file>