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AF6B" w14:textId="77777777" w:rsidR="00146AA6" w:rsidRDefault="0085211D" w:rsidP="0085211D">
      <w:pPr>
        <w:pStyle w:val="Bezmezer"/>
        <w:jc w:val="center"/>
        <w:rPr>
          <w:rFonts w:ascii="Arial" w:hAnsi="Arial" w:cs="Arial"/>
          <w:b/>
          <w:sz w:val="28"/>
          <w:szCs w:val="28"/>
        </w:rPr>
      </w:pPr>
      <w:r w:rsidRPr="00146AA6">
        <w:rPr>
          <w:rFonts w:ascii="Arial" w:hAnsi="Arial" w:cs="Arial"/>
          <w:b/>
          <w:sz w:val="28"/>
          <w:szCs w:val="28"/>
        </w:rPr>
        <w:t xml:space="preserve">Podkladový materiál na </w:t>
      </w:r>
    </w:p>
    <w:p w14:paraId="34D282D9" w14:textId="16C2B112" w:rsidR="0085211D" w:rsidRPr="00146AA6" w:rsidRDefault="0085211D" w:rsidP="0085211D">
      <w:pPr>
        <w:pStyle w:val="Bezmezer"/>
        <w:jc w:val="center"/>
        <w:rPr>
          <w:rFonts w:ascii="Arial" w:hAnsi="Arial" w:cs="Arial"/>
          <w:b/>
          <w:sz w:val="28"/>
          <w:szCs w:val="28"/>
        </w:rPr>
      </w:pPr>
      <w:r w:rsidRPr="00146AA6">
        <w:rPr>
          <w:rFonts w:ascii="Arial" w:hAnsi="Arial" w:cs="Arial"/>
          <w:b/>
          <w:sz w:val="28"/>
          <w:szCs w:val="28"/>
        </w:rPr>
        <w:t>182. Plenární schůzi Rady hospodářské a sociální dohody ČR</w:t>
      </w:r>
    </w:p>
    <w:p w14:paraId="0AF2959A" w14:textId="1653D0F3" w:rsidR="0085211D" w:rsidRPr="00146AA6" w:rsidRDefault="0060193A" w:rsidP="0085211D">
      <w:pPr>
        <w:pStyle w:val="Bezmezer"/>
        <w:pBdr>
          <w:bottom w:val="single" w:sz="6" w:space="1" w:color="auto"/>
        </w:pBdr>
        <w:jc w:val="center"/>
        <w:rPr>
          <w:rFonts w:ascii="Arial" w:hAnsi="Arial" w:cs="Arial"/>
          <w:b/>
          <w:sz w:val="28"/>
          <w:szCs w:val="28"/>
        </w:rPr>
      </w:pPr>
      <w:r w:rsidRPr="00146AA6">
        <w:rPr>
          <w:rFonts w:ascii="Arial" w:hAnsi="Arial" w:cs="Arial"/>
          <w:b/>
          <w:sz w:val="28"/>
          <w:szCs w:val="28"/>
        </w:rPr>
        <w:t>konan</w:t>
      </w:r>
      <w:r w:rsidR="00146AA6">
        <w:rPr>
          <w:rFonts w:ascii="Arial" w:hAnsi="Arial" w:cs="Arial"/>
          <w:b/>
          <w:sz w:val="28"/>
          <w:szCs w:val="28"/>
        </w:rPr>
        <w:t>ou</w:t>
      </w:r>
      <w:r w:rsidRPr="00146AA6">
        <w:rPr>
          <w:rFonts w:ascii="Arial" w:hAnsi="Arial" w:cs="Arial"/>
          <w:b/>
          <w:sz w:val="28"/>
          <w:szCs w:val="28"/>
        </w:rPr>
        <w:t xml:space="preserve"> </w:t>
      </w:r>
      <w:r w:rsidR="0085211D" w:rsidRPr="00146AA6">
        <w:rPr>
          <w:rFonts w:ascii="Arial" w:hAnsi="Arial" w:cs="Arial"/>
          <w:b/>
          <w:sz w:val="28"/>
          <w:szCs w:val="28"/>
        </w:rPr>
        <w:t>dne 9. března 2026 v 16:00 hod.</w:t>
      </w:r>
    </w:p>
    <w:p w14:paraId="44548A40" w14:textId="77777777" w:rsidR="001B07C2" w:rsidRPr="0060193A" w:rsidRDefault="001B07C2" w:rsidP="0085211D">
      <w:pPr>
        <w:pStyle w:val="Bezmezer"/>
        <w:jc w:val="center"/>
        <w:rPr>
          <w:rFonts w:ascii="Arial" w:hAnsi="Arial" w:cs="Arial"/>
          <w:b/>
          <w:sz w:val="24"/>
          <w:szCs w:val="24"/>
        </w:rPr>
      </w:pPr>
    </w:p>
    <w:p w14:paraId="24127268" w14:textId="77777777" w:rsidR="0085211D" w:rsidRPr="0060193A" w:rsidRDefault="0085211D" w:rsidP="0085211D">
      <w:pPr>
        <w:pStyle w:val="Bezmezer"/>
        <w:rPr>
          <w:rFonts w:ascii="Arial" w:hAnsi="Arial" w:cs="Arial"/>
          <w:b/>
          <w:sz w:val="16"/>
          <w:szCs w:val="16"/>
        </w:rPr>
      </w:pPr>
    </w:p>
    <w:p w14:paraId="1D176F81" w14:textId="350A3323" w:rsidR="0085211D" w:rsidRDefault="0060193A" w:rsidP="0060193A">
      <w:pPr>
        <w:pStyle w:val="Bezmezer"/>
        <w:jc w:val="both"/>
        <w:rPr>
          <w:rFonts w:ascii="Arial" w:hAnsi="Arial" w:cs="Arial"/>
          <w:b/>
          <w:sz w:val="24"/>
          <w:szCs w:val="24"/>
        </w:rPr>
      </w:pPr>
      <w:r w:rsidRPr="0060193A">
        <w:rPr>
          <w:rFonts w:ascii="Arial" w:hAnsi="Arial" w:cs="Arial"/>
          <w:b/>
          <w:sz w:val="24"/>
          <w:szCs w:val="24"/>
        </w:rPr>
        <w:t xml:space="preserve">K bodu </w:t>
      </w:r>
      <w:r w:rsidR="0085211D" w:rsidRPr="0060193A">
        <w:rPr>
          <w:rFonts w:ascii="Arial" w:hAnsi="Arial" w:cs="Arial"/>
          <w:b/>
          <w:sz w:val="24"/>
          <w:szCs w:val="24"/>
        </w:rPr>
        <w:t>1.2</w:t>
      </w:r>
      <w:r w:rsidR="0085211D" w:rsidRPr="0060193A">
        <w:rPr>
          <w:rFonts w:ascii="Arial" w:hAnsi="Arial" w:cs="Arial"/>
          <w:b/>
          <w:sz w:val="24"/>
          <w:szCs w:val="24"/>
        </w:rPr>
        <w:tab/>
      </w:r>
      <w:bookmarkStart w:id="0" w:name="_Hlk220675280"/>
      <w:r w:rsidR="0085211D" w:rsidRPr="0060193A">
        <w:rPr>
          <w:rFonts w:ascii="Arial" w:hAnsi="Arial" w:cs="Arial"/>
          <w:b/>
          <w:sz w:val="24"/>
          <w:szCs w:val="24"/>
        </w:rPr>
        <w:t>Revize věku odchodu do důchodu a předčasné důchody u</w:t>
      </w:r>
      <w:r w:rsidR="00437FE4">
        <w:rPr>
          <w:rFonts w:ascii="Arial" w:hAnsi="Arial" w:cs="Arial"/>
          <w:b/>
          <w:sz w:val="24"/>
          <w:szCs w:val="24"/>
        </w:rPr>
        <w:t> </w:t>
      </w:r>
      <w:r w:rsidR="0085211D" w:rsidRPr="0060193A">
        <w:rPr>
          <w:rFonts w:ascii="Arial" w:hAnsi="Arial" w:cs="Arial"/>
          <w:b/>
          <w:sz w:val="24"/>
          <w:szCs w:val="24"/>
        </w:rPr>
        <w:t>náročných profesí</w:t>
      </w:r>
      <w:bookmarkEnd w:id="0"/>
    </w:p>
    <w:p w14:paraId="79CC81D4" w14:textId="77777777" w:rsidR="00BB1296" w:rsidRDefault="00BB1296" w:rsidP="0060193A">
      <w:pPr>
        <w:pStyle w:val="Bezmezer"/>
        <w:jc w:val="both"/>
        <w:rPr>
          <w:rFonts w:ascii="Arial" w:hAnsi="Arial" w:cs="Arial"/>
          <w:b/>
          <w:sz w:val="24"/>
          <w:szCs w:val="24"/>
        </w:rPr>
      </w:pPr>
    </w:p>
    <w:p w14:paraId="2B04C0AA" w14:textId="5BF185CC" w:rsidR="00BB1296" w:rsidRPr="00BB1296" w:rsidRDefault="00BB1296" w:rsidP="00BB1296">
      <w:pPr>
        <w:spacing w:after="0" w:line="240" w:lineRule="auto"/>
        <w:jc w:val="both"/>
        <w:rPr>
          <w:rFonts w:ascii="Arial" w:eastAsia="Times New Roman" w:hAnsi="Arial" w:cs="Arial"/>
          <w:i/>
          <w:iCs/>
          <w:kern w:val="0"/>
          <w:lang w:eastAsia="cs-CZ"/>
          <w14:ligatures w14:val="none"/>
        </w:rPr>
      </w:pPr>
      <w:r w:rsidRPr="00BB1296">
        <w:rPr>
          <w:rFonts w:ascii="Arial" w:eastAsia="Times New Roman" w:hAnsi="Arial" w:cs="Arial"/>
          <w:i/>
          <w:iCs/>
          <w:kern w:val="0"/>
          <w:lang w:eastAsia="cs-CZ"/>
          <w14:ligatures w14:val="none"/>
        </w:rPr>
        <w:t xml:space="preserve">Předložený materiál obsahuje: </w:t>
      </w:r>
    </w:p>
    <w:p w14:paraId="705FF39A" w14:textId="77777777" w:rsidR="00BB1296" w:rsidRPr="00BB1296" w:rsidRDefault="00BB1296" w:rsidP="00BB1296">
      <w:pPr>
        <w:spacing w:after="0" w:line="240" w:lineRule="auto"/>
        <w:jc w:val="both"/>
        <w:rPr>
          <w:rFonts w:ascii="Arial" w:eastAsia="Times New Roman" w:hAnsi="Arial" w:cs="Arial"/>
          <w:i/>
          <w:iCs/>
          <w:kern w:val="0"/>
          <w:lang w:eastAsia="cs-CZ"/>
          <w14:ligatures w14:val="none"/>
        </w:rPr>
      </w:pPr>
    </w:p>
    <w:p w14:paraId="2C113D7A" w14:textId="77777777" w:rsidR="00BB1296" w:rsidRPr="00BB1296" w:rsidRDefault="00BB1296" w:rsidP="00BB1296">
      <w:pPr>
        <w:pStyle w:val="Odstavecseseznamem"/>
        <w:numPr>
          <w:ilvl w:val="0"/>
          <w:numId w:val="9"/>
        </w:numPr>
        <w:spacing w:after="0" w:line="240" w:lineRule="auto"/>
        <w:jc w:val="both"/>
        <w:rPr>
          <w:rFonts w:ascii="Arial" w:eastAsia="Times New Roman" w:hAnsi="Arial" w:cs="Arial"/>
          <w:i/>
          <w:iCs/>
          <w:kern w:val="0"/>
          <w:lang w:eastAsia="cs-CZ"/>
          <w14:ligatures w14:val="none"/>
        </w:rPr>
      </w:pPr>
      <w:r w:rsidRPr="00BB1296">
        <w:rPr>
          <w:rFonts w:ascii="Arial" w:eastAsia="Times New Roman" w:hAnsi="Arial" w:cs="Arial"/>
          <w:i/>
          <w:iCs/>
          <w:kern w:val="0"/>
          <w:lang w:eastAsia="cs-CZ"/>
          <w14:ligatures w14:val="none"/>
        </w:rPr>
        <w:t xml:space="preserve">Stávající úpravu důchodového věku a návrh opatření – zastavení růstu důchodového věku na 65 letech. </w:t>
      </w:r>
    </w:p>
    <w:p w14:paraId="6E43A29C" w14:textId="77777777" w:rsidR="00BB1296" w:rsidRPr="00BB1296" w:rsidRDefault="00BB1296" w:rsidP="00BB1296">
      <w:pPr>
        <w:pStyle w:val="Odstavecseseznamem"/>
        <w:spacing w:after="0" w:line="240" w:lineRule="auto"/>
        <w:jc w:val="both"/>
        <w:rPr>
          <w:rFonts w:ascii="Arial" w:eastAsia="Times New Roman" w:hAnsi="Arial" w:cs="Arial"/>
          <w:i/>
          <w:iCs/>
          <w:kern w:val="0"/>
          <w:lang w:eastAsia="cs-CZ"/>
          <w14:ligatures w14:val="none"/>
        </w:rPr>
      </w:pPr>
    </w:p>
    <w:p w14:paraId="2C7045C4" w14:textId="4C260118" w:rsidR="00BB1296" w:rsidRPr="00BB1296" w:rsidRDefault="00BB1296" w:rsidP="00BB1296">
      <w:pPr>
        <w:pStyle w:val="Odstavecseseznamem"/>
        <w:numPr>
          <w:ilvl w:val="0"/>
          <w:numId w:val="9"/>
        </w:numPr>
        <w:spacing w:after="0" w:line="240" w:lineRule="auto"/>
        <w:jc w:val="both"/>
        <w:rPr>
          <w:rFonts w:ascii="Arial" w:eastAsia="Times New Roman" w:hAnsi="Arial" w:cs="Arial"/>
          <w:i/>
          <w:iCs/>
          <w:kern w:val="0"/>
          <w:lang w:eastAsia="cs-CZ"/>
          <w14:ligatures w14:val="none"/>
        </w:rPr>
      </w:pPr>
      <w:r w:rsidRPr="00BB1296">
        <w:rPr>
          <w:rFonts w:ascii="Arial" w:eastAsia="Times New Roman" w:hAnsi="Arial" w:cs="Arial"/>
          <w:i/>
          <w:iCs/>
          <w:kern w:val="0"/>
          <w:lang w:eastAsia="cs-CZ"/>
          <w14:ligatures w14:val="none"/>
        </w:rPr>
        <w:t xml:space="preserve">Hlavní principy právní úpravy </w:t>
      </w:r>
      <w:r w:rsidR="00C073C4">
        <w:rPr>
          <w:rFonts w:ascii="Arial" w:eastAsia="Times New Roman" w:hAnsi="Arial" w:cs="Arial"/>
          <w:i/>
          <w:iCs/>
          <w:kern w:val="0"/>
          <w:lang w:eastAsia="cs-CZ"/>
          <w14:ligatures w14:val="none"/>
        </w:rPr>
        <w:t xml:space="preserve">náročných profesí </w:t>
      </w:r>
      <w:r w:rsidRPr="00BB1296">
        <w:rPr>
          <w:rFonts w:ascii="Arial" w:eastAsia="Times New Roman" w:hAnsi="Arial" w:cs="Arial"/>
          <w:i/>
          <w:iCs/>
          <w:kern w:val="0"/>
          <w:lang w:eastAsia="cs-CZ"/>
          <w14:ligatures w14:val="none"/>
        </w:rPr>
        <w:t>s vyznačením rozdílů úpravy v I. pilíři (zákon o důchodovém pojištění) ve srovnání s úpravou ve III. pilíři (zákon o povinném příspěvku na produkty spoření na stáří); možnosti budoucího řešení ve variantách; dopady rozšíření náročných profesí v I. pilíři.</w:t>
      </w:r>
    </w:p>
    <w:p w14:paraId="3AEC910F" w14:textId="77777777" w:rsidR="00BB1296" w:rsidRDefault="00BB1296" w:rsidP="0085211D">
      <w:pPr>
        <w:pStyle w:val="Bezmezer"/>
        <w:ind w:left="705" w:hanging="705"/>
        <w:jc w:val="both"/>
        <w:rPr>
          <w:rFonts w:ascii="Arial" w:hAnsi="Arial" w:cs="Arial"/>
          <w:b/>
          <w:sz w:val="24"/>
          <w:szCs w:val="24"/>
        </w:rPr>
      </w:pPr>
    </w:p>
    <w:p w14:paraId="3039BCC2" w14:textId="33C22AB1" w:rsidR="0085211D" w:rsidRPr="0060193A" w:rsidRDefault="0085211D" w:rsidP="0085211D">
      <w:pPr>
        <w:pStyle w:val="Bezmezer"/>
        <w:ind w:left="705" w:hanging="705"/>
        <w:jc w:val="both"/>
        <w:rPr>
          <w:rFonts w:ascii="Arial" w:hAnsi="Arial" w:cs="Arial"/>
          <w:sz w:val="24"/>
          <w:szCs w:val="24"/>
        </w:rPr>
      </w:pPr>
      <w:r w:rsidRPr="0060193A">
        <w:rPr>
          <w:rFonts w:ascii="Arial" w:hAnsi="Arial" w:cs="Arial"/>
          <w:b/>
          <w:sz w:val="24"/>
          <w:szCs w:val="24"/>
        </w:rPr>
        <w:tab/>
      </w:r>
    </w:p>
    <w:p w14:paraId="40E4B8FC" w14:textId="12DDB886" w:rsidR="0060193A" w:rsidRPr="00403DEE" w:rsidRDefault="0060193A" w:rsidP="00331B10">
      <w:pPr>
        <w:spacing w:after="0" w:line="240" w:lineRule="auto"/>
        <w:jc w:val="both"/>
        <w:rPr>
          <w:rFonts w:ascii="Arial" w:eastAsia="Times New Roman" w:hAnsi="Arial" w:cs="Arial"/>
          <w:b/>
          <w:bCs/>
          <w:kern w:val="0"/>
          <w:lang w:eastAsia="cs-CZ"/>
          <w14:ligatures w14:val="none"/>
        </w:rPr>
      </w:pPr>
      <w:r w:rsidRPr="00403DEE">
        <w:rPr>
          <w:rFonts w:ascii="Arial" w:eastAsia="Times New Roman" w:hAnsi="Arial" w:cs="Arial"/>
          <w:b/>
          <w:bCs/>
          <w:kern w:val="0"/>
          <w:lang w:eastAsia="cs-CZ"/>
          <w14:ligatures w14:val="none"/>
        </w:rPr>
        <w:t>Ad revize věku odchodu do důchodu:</w:t>
      </w:r>
    </w:p>
    <w:p w14:paraId="15FFD6BC" w14:textId="77777777" w:rsidR="0060193A" w:rsidRPr="0060193A" w:rsidRDefault="0060193A" w:rsidP="00331B10">
      <w:pPr>
        <w:spacing w:after="0" w:line="240" w:lineRule="auto"/>
        <w:jc w:val="both"/>
        <w:rPr>
          <w:rFonts w:ascii="Arial" w:eastAsia="Times New Roman" w:hAnsi="Arial" w:cs="Arial"/>
          <w:kern w:val="0"/>
          <w:lang w:eastAsia="cs-CZ"/>
          <w14:ligatures w14:val="none"/>
        </w:rPr>
      </w:pPr>
    </w:p>
    <w:p w14:paraId="63AA4AF6" w14:textId="21996D39" w:rsidR="00331B10" w:rsidRPr="0060193A" w:rsidRDefault="00331B10" w:rsidP="00331B10">
      <w:pPr>
        <w:spacing w:after="0" w:line="240" w:lineRule="auto"/>
        <w:jc w:val="both"/>
        <w:rPr>
          <w:rFonts w:ascii="Arial" w:eastAsia="Times New Roman" w:hAnsi="Arial" w:cs="Arial"/>
          <w:kern w:val="0"/>
          <w:lang w:eastAsia="cs-CZ"/>
          <w14:ligatures w14:val="none"/>
        </w:rPr>
      </w:pPr>
      <w:r w:rsidRPr="0060193A">
        <w:rPr>
          <w:rFonts w:ascii="Arial" w:eastAsia="Times New Roman" w:hAnsi="Arial" w:cs="Arial"/>
          <w:kern w:val="0"/>
          <w:lang w:eastAsia="cs-CZ"/>
          <w14:ligatures w14:val="none"/>
        </w:rPr>
        <w:t>MPSV připravuje návrh zákona, kterým se mění zákon č. 155/1995 Sb., o důchodovém pojištění, ve znění pozdějších předpisů, a zákon č. 417/2024 Sb., kterým se mění zákon č. 155/1995 Sb., o důchodovém pojištění, ve znění pozdějších předpisů, a další související zákony, za účelem zmírnění dopadů některých opatření v oblasti důchodového pojištění přijatých v minulém volebním období z důvodu zachování finanční udržitelnosti důchodového systému na základě právní úpravy účinné od 1. 10. 2023, od 1. 1. 2025 a od 1. 1. 2027.</w:t>
      </w:r>
    </w:p>
    <w:p w14:paraId="0B64CE9F" w14:textId="355752C0" w:rsidR="00331B10" w:rsidRPr="0060193A" w:rsidRDefault="00331B10" w:rsidP="00331B10">
      <w:pPr>
        <w:spacing w:before="360" w:after="0" w:line="240" w:lineRule="auto"/>
        <w:jc w:val="both"/>
        <w:rPr>
          <w:rFonts w:ascii="Arial" w:eastAsia="Times New Roman" w:hAnsi="Arial" w:cs="Arial"/>
          <w:b/>
          <w:bCs/>
          <w:kern w:val="0"/>
          <w:lang w:eastAsia="cs-CZ"/>
          <w14:ligatures w14:val="none"/>
        </w:rPr>
      </w:pPr>
      <w:r w:rsidRPr="0060193A">
        <w:rPr>
          <w:rFonts w:ascii="Arial" w:eastAsia="Times New Roman" w:hAnsi="Arial" w:cs="Arial"/>
          <w:b/>
          <w:bCs/>
          <w:kern w:val="0"/>
          <w:lang w:eastAsia="cs-CZ"/>
          <w14:ligatures w14:val="none"/>
        </w:rPr>
        <w:t>Jedním z opatření, které bude součástí návrhu, je i návrat k hranici důchodového věku ve výši 65 let.</w:t>
      </w:r>
    </w:p>
    <w:p w14:paraId="28E28F00" w14:textId="003DDAA6" w:rsidR="00331B10" w:rsidRPr="0060193A" w:rsidRDefault="00331B10" w:rsidP="00331B10">
      <w:pPr>
        <w:spacing w:before="240" w:after="0" w:line="240" w:lineRule="auto"/>
        <w:jc w:val="both"/>
        <w:rPr>
          <w:rFonts w:ascii="Arial" w:hAnsi="Arial" w:cs="Arial"/>
          <w:b/>
          <w:bCs/>
        </w:rPr>
      </w:pPr>
      <w:r w:rsidRPr="0060193A">
        <w:rPr>
          <w:rFonts w:ascii="Arial" w:hAnsi="Arial" w:cs="Arial"/>
          <w:b/>
          <w:bCs/>
          <w:u w:val="single"/>
        </w:rPr>
        <w:t>Stávající úprava důchodového věku</w:t>
      </w:r>
    </w:p>
    <w:p w14:paraId="1694C640" w14:textId="77777777" w:rsidR="00331B10" w:rsidRPr="0060193A" w:rsidRDefault="00331B10" w:rsidP="00331B10">
      <w:pPr>
        <w:spacing w:after="0" w:line="240" w:lineRule="auto"/>
        <w:jc w:val="both"/>
        <w:rPr>
          <w:rFonts w:ascii="Arial" w:hAnsi="Arial" w:cs="Arial"/>
        </w:rPr>
      </w:pPr>
    </w:p>
    <w:p w14:paraId="437A2012" w14:textId="4CBC3F6C" w:rsidR="00BB1296" w:rsidRDefault="00331B10" w:rsidP="00331B10">
      <w:pPr>
        <w:spacing w:after="120" w:line="240" w:lineRule="auto"/>
        <w:jc w:val="both"/>
        <w:rPr>
          <w:rFonts w:ascii="Arial" w:eastAsia="Times New Roman" w:hAnsi="Arial" w:cs="Arial"/>
          <w:kern w:val="0"/>
          <w:lang w:eastAsia="cs-CZ"/>
          <w14:ligatures w14:val="none"/>
        </w:rPr>
      </w:pPr>
      <w:r w:rsidRPr="0060193A">
        <w:rPr>
          <w:rFonts w:ascii="Arial" w:eastAsia="Times New Roman" w:hAnsi="Arial" w:cs="Arial"/>
          <w:kern w:val="0"/>
          <w:lang w:eastAsia="cs-CZ"/>
          <w14:ligatures w14:val="none"/>
        </w:rPr>
        <w:t xml:space="preserve">Zákon č. 417/2024 Sb., kterým se mění zákon č. 155/1995 Sb., o důchodovém pojištění, ve znění pozdějších předpisů, a další související zákony (tzv. důchodová reforma) </w:t>
      </w:r>
      <w:bookmarkStart w:id="1" w:name="_Hlk220675691"/>
      <w:r w:rsidRPr="0060193A">
        <w:rPr>
          <w:rFonts w:ascii="Arial" w:eastAsia="Times New Roman" w:hAnsi="Arial" w:cs="Arial"/>
          <w:kern w:val="0"/>
          <w:lang w:eastAsia="cs-CZ"/>
          <w14:ligatures w14:val="none"/>
        </w:rPr>
        <w:t xml:space="preserve">zavedl postupné navyšování důchodového věku nad </w:t>
      </w:r>
      <w:r w:rsidRPr="0060193A">
        <w:rPr>
          <w:rFonts w:ascii="Arial" w:eastAsia="Calibri" w:hAnsi="Arial" w:cs="Arial"/>
          <w:kern w:val="0"/>
          <w14:ligatures w14:val="none"/>
        </w:rPr>
        <w:t>hranici</w:t>
      </w:r>
      <w:r w:rsidRPr="0060193A">
        <w:rPr>
          <w:rFonts w:ascii="Arial" w:eastAsia="Times New Roman" w:hAnsi="Arial" w:cs="Arial"/>
          <w:kern w:val="0"/>
          <w:lang w:eastAsia="cs-CZ"/>
          <w14:ligatures w14:val="none"/>
        </w:rPr>
        <w:t xml:space="preserve"> 65 let pro generace narozené po roce 1965. Podle tabulky uvedené v příloze č. 1 zákona o důchodovém pojištění, ve znění účinném od 1. 1. 2025, má dojít ke </w:t>
      </w:r>
      <w:r w:rsidR="00083524">
        <w:rPr>
          <w:rFonts w:ascii="Arial" w:eastAsia="Times New Roman" w:hAnsi="Arial" w:cs="Arial"/>
          <w:kern w:val="0"/>
          <w:lang w:eastAsia="cs-CZ"/>
          <w14:ligatures w14:val="none"/>
        </w:rPr>
        <w:t xml:space="preserve">zvyšování důchodového věku mužů a žen bez dětí nebo s jedním dítětem o 1 měsíc ročně od generace narozené v roce 1966 a ke </w:t>
      </w:r>
      <w:r w:rsidRPr="0060193A">
        <w:rPr>
          <w:rFonts w:ascii="Arial" w:eastAsia="Times New Roman" w:hAnsi="Arial" w:cs="Arial"/>
          <w:kern w:val="0"/>
          <w:lang w:eastAsia="cs-CZ"/>
          <w14:ligatures w14:val="none"/>
        </w:rPr>
        <w:t xml:space="preserve">sjednocení důchodového věku na 65 let a 8 měsíců u </w:t>
      </w:r>
      <w:r w:rsidR="00083524">
        <w:rPr>
          <w:rFonts w:ascii="Arial" w:eastAsia="Times New Roman" w:hAnsi="Arial" w:cs="Arial"/>
          <w:kern w:val="0"/>
          <w:lang w:eastAsia="cs-CZ"/>
          <w14:ligatures w14:val="none"/>
        </w:rPr>
        <w:t xml:space="preserve">všech mužů a žen u </w:t>
      </w:r>
      <w:r w:rsidRPr="0060193A">
        <w:rPr>
          <w:rFonts w:ascii="Arial" w:eastAsia="Times New Roman" w:hAnsi="Arial" w:cs="Arial"/>
          <w:kern w:val="0"/>
          <w:lang w:eastAsia="cs-CZ"/>
          <w14:ligatures w14:val="none"/>
        </w:rPr>
        <w:t>generace narozené v roce 1973. U</w:t>
      </w:r>
      <w:r w:rsidR="00437FE4">
        <w:rPr>
          <w:rFonts w:ascii="Arial" w:eastAsia="Times New Roman" w:hAnsi="Arial" w:cs="Arial"/>
          <w:kern w:val="0"/>
          <w:lang w:eastAsia="cs-CZ"/>
          <w14:ligatures w14:val="none"/>
        </w:rPr>
        <w:t> </w:t>
      </w:r>
      <w:r w:rsidRPr="0060193A">
        <w:rPr>
          <w:rFonts w:ascii="Arial" w:eastAsia="Times New Roman" w:hAnsi="Arial" w:cs="Arial"/>
          <w:kern w:val="0"/>
          <w:lang w:eastAsia="cs-CZ"/>
          <w14:ligatures w14:val="none"/>
        </w:rPr>
        <w:t>pojištěnců narozených v období let 1974 až 1988 se má důchodový věk stanovit tak, že se k věku 65 let a 8 měsíců přičte ještě takový počet kalendářních měsíců, který se stanoví jako rozdíl v počtu let mezi rokem narození pojištěnce a rokem 1973. U</w:t>
      </w:r>
      <w:r w:rsidR="00437FE4">
        <w:rPr>
          <w:rFonts w:ascii="Arial" w:eastAsia="Times New Roman" w:hAnsi="Arial" w:cs="Arial"/>
          <w:kern w:val="0"/>
          <w:lang w:eastAsia="cs-CZ"/>
          <w14:ligatures w14:val="none"/>
        </w:rPr>
        <w:t> </w:t>
      </w:r>
      <w:r w:rsidRPr="0060193A">
        <w:rPr>
          <w:rFonts w:ascii="Arial" w:eastAsia="Times New Roman" w:hAnsi="Arial" w:cs="Arial"/>
          <w:kern w:val="0"/>
          <w:lang w:eastAsia="cs-CZ"/>
          <w14:ligatures w14:val="none"/>
        </w:rPr>
        <w:t xml:space="preserve">pojištěnců narozených po roce 1988 má důchodový věk činit 67 let. Toto nastavení, přestože odpovídá </w:t>
      </w:r>
      <w:r w:rsidR="001B07C2">
        <w:rPr>
          <w:rFonts w:ascii="Arial" w:eastAsia="Times New Roman" w:hAnsi="Arial" w:cs="Arial"/>
          <w:kern w:val="0"/>
          <w:lang w:eastAsia="cs-CZ"/>
          <w14:ligatures w14:val="none"/>
        </w:rPr>
        <w:t>doporučení OECD</w:t>
      </w:r>
      <w:r w:rsidR="001B07C2" w:rsidRPr="0060193A">
        <w:rPr>
          <w:rFonts w:ascii="Arial" w:eastAsia="Times New Roman" w:hAnsi="Arial" w:cs="Arial"/>
          <w:kern w:val="0"/>
          <w:lang w:eastAsia="cs-CZ"/>
          <w14:ligatures w14:val="none"/>
        </w:rPr>
        <w:t xml:space="preserve"> </w:t>
      </w:r>
      <w:r w:rsidR="001B07C2">
        <w:rPr>
          <w:rFonts w:ascii="Arial" w:eastAsia="Times New Roman" w:hAnsi="Arial" w:cs="Arial"/>
          <w:kern w:val="0"/>
          <w:lang w:eastAsia="cs-CZ"/>
          <w14:ligatures w14:val="none"/>
        </w:rPr>
        <w:t xml:space="preserve">i </w:t>
      </w:r>
      <w:r w:rsidRPr="0060193A">
        <w:rPr>
          <w:rFonts w:ascii="Arial" w:eastAsia="Times New Roman" w:hAnsi="Arial" w:cs="Arial"/>
          <w:kern w:val="0"/>
          <w:lang w:eastAsia="cs-CZ"/>
          <w14:ligatures w14:val="none"/>
        </w:rPr>
        <w:t>zahraničním trendům</w:t>
      </w:r>
      <w:r w:rsidR="006D6195">
        <w:rPr>
          <w:rFonts w:ascii="Arial" w:eastAsia="Times New Roman" w:hAnsi="Arial" w:cs="Arial"/>
          <w:kern w:val="0"/>
          <w:lang w:eastAsia="cs-CZ"/>
          <w14:ligatures w14:val="none"/>
        </w:rPr>
        <w:t xml:space="preserve"> </w:t>
      </w:r>
      <w:r w:rsidR="001B07C2">
        <w:rPr>
          <w:rFonts w:ascii="Arial" w:eastAsia="Times New Roman" w:hAnsi="Arial" w:cs="Arial"/>
          <w:kern w:val="0"/>
          <w:lang w:eastAsia="cs-CZ"/>
          <w14:ligatures w14:val="none"/>
        </w:rPr>
        <w:t>v severní a západní Evropě</w:t>
      </w:r>
      <w:r w:rsidRPr="0060193A">
        <w:rPr>
          <w:rFonts w:ascii="Arial" w:eastAsia="Times New Roman" w:hAnsi="Arial" w:cs="Arial"/>
          <w:kern w:val="0"/>
          <w:lang w:eastAsia="cs-CZ"/>
          <w14:ligatures w14:val="none"/>
        </w:rPr>
        <w:t xml:space="preserve">, se v podmínkách České republiky jeví jako příliš </w:t>
      </w:r>
      <w:r w:rsidR="00083524">
        <w:rPr>
          <w:rFonts w:ascii="Arial" w:eastAsia="Times New Roman" w:hAnsi="Arial" w:cs="Arial"/>
          <w:kern w:val="0"/>
          <w:lang w:eastAsia="cs-CZ"/>
          <w14:ligatures w14:val="none"/>
        </w:rPr>
        <w:t>razantní s ohledem na více než 30ti leté dosavadní zvyšování důchodového věku o 2 měsíce ročně</w:t>
      </w:r>
      <w:r w:rsidRPr="0060193A">
        <w:rPr>
          <w:rFonts w:ascii="Arial" w:eastAsia="Times New Roman" w:hAnsi="Arial" w:cs="Arial"/>
          <w:kern w:val="0"/>
          <w:lang w:eastAsia="cs-CZ"/>
          <w14:ligatures w14:val="none"/>
        </w:rPr>
        <w:t>.</w:t>
      </w:r>
      <w:bookmarkEnd w:id="1"/>
    </w:p>
    <w:p w14:paraId="400159F5" w14:textId="77777777" w:rsidR="00BB1296" w:rsidRDefault="00BB1296" w:rsidP="00331B10">
      <w:pPr>
        <w:spacing w:after="120" w:line="240" w:lineRule="auto"/>
        <w:jc w:val="both"/>
        <w:rPr>
          <w:rFonts w:ascii="Arial" w:eastAsia="Times New Roman" w:hAnsi="Arial" w:cs="Arial"/>
          <w:kern w:val="0"/>
          <w:lang w:eastAsia="cs-CZ"/>
          <w14:ligatures w14:val="none"/>
        </w:rPr>
      </w:pPr>
    </w:p>
    <w:p w14:paraId="64863128" w14:textId="3F2D1813" w:rsidR="00331B10" w:rsidRPr="0060193A" w:rsidRDefault="00331B10" w:rsidP="00331B10">
      <w:pPr>
        <w:spacing w:after="120" w:line="240" w:lineRule="auto"/>
        <w:jc w:val="both"/>
        <w:rPr>
          <w:rFonts w:ascii="Arial" w:eastAsia="Times New Roman" w:hAnsi="Arial" w:cs="Arial"/>
          <w:kern w:val="0"/>
          <w:lang w:eastAsia="cs-CZ"/>
          <w14:ligatures w14:val="none"/>
        </w:rPr>
      </w:pPr>
      <w:r w:rsidRPr="0060193A">
        <w:rPr>
          <w:rFonts w:ascii="Arial" w:eastAsia="Times New Roman" w:hAnsi="Arial" w:cs="Arial"/>
          <w:kern w:val="0"/>
          <w:lang w:eastAsia="cs-CZ"/>
          <w14:ligatures w14:val="none"/>
        </w:rPr>
        <w:t xml:space="preserve"> </w:t>
      </w:r>
    </w:p>
    <w:p w14:paraId="2909DFF4" w14:textId="439B6A8A" w:rsidR="00331B10" w:rsidRPr="0060193A" w:rsidRDefault="0085211D" w:rsidP="00331B10">
      <w:pPr>
        <w:spacing w:before="240" w:after="0" w:line="240" w:lineRule="auto"/>
        <w:jc w:val="both"/>
        <w:rPr>
          <w:rFonts w:ascii="Arial" w:hAnsi="Arial" w:cs="Arial"/>
          <w:b/>
          <w:bCs/>
          <w:u w:val="single"/>
        </w:rPr>
      </w:pPr>
      <w:r w:rsidRPr="0060193A">
        <w:rPr>
          <w:rFonts w:ascii="Arial" w:hAnsi="Arial" w:cs="Arial"/>
          <w:b/>
          <w:bCs/>
          <w:u w:val="single"/>
        </w:rPr>
        <w:t>Navrhované opatření - z</w:t>
      </w:r>
      <w:r w:rsidR="00331B10" w:rsidRPr="0060193A">
        <w:rPr>
          <w:rFonts w:ascii="Arial" w:hAnsi="Arial" w:cs="Arial"/>
          <w:b/>
          <w:bCs/>
          <w:u w:val="single"/>
        </w:rPr>
        <w:t>astavení růstu důchodového věku na 65 letech</w:t>
      </w:r>
    </w:p>
    <w:p w14:paraId="7AE15619" w14:textId="77777777" w:rsidR="00331B10" w:rsidRPr="0060193A" w:rsidRDefault="00331B10" w:rsidP="00331B10">
      <w:pPr>
        <w:spacing w:after="0" w:line="240" w:lineRule="auto"/>
        <w:jc w:val="both"/>
        <w:rPr>
          <w:rFonts w:ascii="Arial" w:eastAsia="Times New Roman" w:hAnsi="Arial" w:cs="Arial"/>
          <w:b/>
          <w:bCs/>
          <w:kern w:val="0"/>
          <w:lang w:eastAsia="cs-CZ"/>
          <w14:ligatures w14:val="none"/>
        </w:rPr>
      </w:pPr>
    </w:p>
    <w:p w14:paraId="31B101B5" w14:textId="77777777" w:rsidR="00331B10" w:rsidRPr="0060193A" w:rsidRDefault="00331B10" w:rsidP="00331B10">
      <w:pPr>
        <w:spacing w:after="120" w:line="240" w:lineRule="auto"/>
        <w:jc w:val="both"/>
        <w:rPr>
          <w:rFonts w:ascii="Arial" w:hAnsi="Arial" w:cs="Arial"/>
        </w:rPr>
      </w:pPr>
      <w:bookmarkStart w:id="2" w:name="_Hlk220675607"/>
      <w:r w:rsidRPr="0060193A">
        <w:rPr>
          <w:rFonts w:ascii="Arial" w:hAnsi="Arial" w:cs="Arial"/>
        </w:rPr>
        <w:t xml:space="preserve">Vláda se ve svém programovém prohlášení zavázala </w:t>
      </w:r>
      <w:proofErr w:type="spellStart"/>
      <w:r w:rsidRPr="0060193A">
        <w:rPr>
          <w:rFonts w:ascii="Arial" w:hAnsi="Arial" w:cs="Arial"/>
        </w:rPr>
        <w:t>zastropovat</w:t>
      </w:r>
      <w:proofErr w:type="spellEnd"/>
      <w:r w:rsidRPr="0060193A">
        <w:rPr>
          <w:rFonts w:ascii="Arial" w:hAnsi="Arial" w:cs="Arial"/>
        </w:rPr>
        <w:t xml:space="preserve"> důchodový věk na 65 letech. </w:t>
      </w:r>
      <w:bookmarkStart w:id="3" w:name="_Hlk220675818"/>
      <w:r w:rsidRPr="0060193A">
        <w:rPr>
          <w:rFonts w:ascii="Arial" w:hAnsi="Arial" w:cs="Arial"/>
        </w:rPr>
        <w:t>Navrhuje se proto upustit od zvyšování obecného důchodového věku nad uvedenou věkovou hranici a plně se navrátit k pravidlům pro stanovení důchodového věku platným do 31. 12. 2024.</w:t>
      </w:r>
      <w:bookmarkEnd w:id="3"/>
      <w:r w:rsidRPr="0060193A">
        <w:rPr>
          <w:rFonts w:ascii="Arial" w:hAnsi="Arial" w:cs="Arial"/>
        </w:rPr>
        <w:t xml:space="preserve"> </w:t>
      </w:r>
    </w:p>
    <w:p w14:paraId="6E9B43B5" w14:textId="4C3868A5" w:rsidR="00331B10" w:rsidRDefault="00331B10" w:rsidP="00331B10">
      <w:pPr>
        <w:spacing w:after="120" w:line="240" w:lineRule="auto"/>
        <w:jc w:val="both"/>
        <w:rPr>
          <w:rFonts w:ascii="Arial" w:hAnsi="Arial" w:cs="Arial"/>
        </w:rPr>
      </w:pPr>
      <w:r w:rsidRPr="0060193A">
        <w:rPr>
          <w:rFonts w:ascii="Arial" w:hAnsi="Arial" w:cs="Arial"/>
        </w:rPr>
        <w:t xml:space="preserve">Na pravidlech pro stanovení tzv. speciálního (sníženého) důchodového věku pro pracovníky v hlubinném hornictví, pojištěnce v rizikových zaměstnáních, zdravotnické záchranáře a členy hasičského záchranného sboru podniku se touto novelou nic nemění. Snížení důchodového věku se stanoví na základě dosavadních pravidel, avšak bude se odvíjet od </w:t>
      </w:r>
      <w:r w:rsidR="00437FE4">
        <w:rPr>
          <w:rFonts w:ascii="Arial" w:hAnsi="Arial" w:cs="Arial"/>
        </w:rPr>
        <w:t xml:space="preserve">staronově </w:t>
      </w:r>
      <w:bookmarkStart w:id="4" w:name="_Hlk220675902"/>
      <w:r w:rsidR="00437FE4">
        <w:rPr>
          <w:rFonts w:ascii="Arial" w:hAnsi="Arial" w:cs="Arial"/>
        </w:rPr>
        <w:t xml:space="preserve">nastaveného </w:t>
      </w:r>
      <w:r w:rsidRPr="0060193A">
        <w:rPr>
          <w:rFonts w:ascii="Arial" w:hAnsi="Arial" w:cs="Arial"/>
        </w:rPr>
        <w:t>obecného důchodového věku, který činí maximálně 65 let, popř. méně. Od něj se bude odvíjet i věk potřebný pro vznik nároku na tzv. předčasný starobní důchod podle § 31 zákona o důchodovém pojištění (odečtou se až 3 roky) a na tzv. odložený starobní důchod podle § 29 odst. 2 a odst. 3 písm. b) téhož zákona (přičtou se 2 roky).</w:t>
      </w:r>
      <w:bookmarkEnd w:id="4"/>
      <w:r w:rsidRPr="0060193A">
        <w:rPr>
          <w:rFonts w:ascii="Arial" w:hAnsi="Arial" w:cs="Arial"/>
        </w:rPr>
        <w:t xml:space="preserve"> Rovněž dopočtená doba pro účely výpočtu procentní výměry invalidního důchodu se stanoví nejdéle do věku 65 let.</w:t>
      </w:r>
      <w:bookmarkEnd w:id="2"/>
    </w:p>
    <w:p w14:paraId="6573B4DB" w14:textId="77777777" w:rsidR="003409B2" w:rsidRDefault="003409B2" w:rsidP="00331B10">
      <w:pPr>
        <w:spacing w:after="120" w:line="240" w:lineRule="auto"/>
        <w:jc w:val="both"/>
        <w:rPr>
          <w:rFonts w:ascii="Arial" w:hAnsi="Arial" w:cs="Arial"/>
        </w:rPr>
      </w:pPr>
    </w:p>
    <w:p w14:paraId="5F212E08" w14:textId="77777777" w:rsidR="003409B2" w:rsidRPr="003409B2" w:rsidRDefault="003409B2" w:rsidP="003409B2">
      <w:pPr>
        <w:spacing w:after="120" w:line="240" w:lineRule="auto"/>
        <w:jc w:val="both"/>
        <w:rPr>
          <w:rFonts w:ascii="Arial" w:hAnsi="Arial" w:cs="Arial"/>
          <w:b/>
          <w:bCs/>
          <w:u w:val="single"/>
        </w:rPr>
      </w:pPr>
      <w:r w:rsidRPr="003409B2">
        <w:rPr>
          <w:rFonts w:ascii="Arial" w:hAnsi="Arial" w:cs="Arial"/>
          <w:b/>
          <w:bCs/>
          <w:u w:val="single"/>
        </w:rPr>
        <w:t>Odhad dopadů na státní rozpočet:</w:t>
      </w:r>
    </w:p>
    <w:p w14:paraId="16EFC4C5" w14:textId="77777777" w:rsidR="003409B2" w:rsidRPr="003409B2" w:rsidRDefault="003409B2" w:rsidP="003409B2">
      <w:pPr>
        <w:spacing w:after="120" w:line="240" w:lineRule="auto"/>
        <w:jc w:val="both"/>
        <w:rPr>
          <w:rFonts w:ascii="Arial" w:hAnsi="Arial" w:cs="Arial"/>
        </w:rPr>
      </w:pPr>
      <w:r w:rsidRPr="003409B2">
        <w:rPr>
          <w:rFonts w:ascii="Arial" w:hAnsi="Arial" w:cs="Arial"/>
        </w:rPr>
        <w:t>Úprava důchodového věku</w:t>
      </w:r>
    </w:p>
    <w:p w14:paraId="075C8792" w14:textId="77777777" w:rsidR="003409B2" w:rsidRPr="003409B2" w:rsidRDefault="003409B2" w:rsidP="003409B2">
      <w:pPr>
        <w:spacing w:after="120" w:line="240" w:lineRule="auto"/>
        <w:jc w:val="both"/>
        <w:rPr>
          <w:rFonts w:ascii="Arial" w:hAnsi="Arial" w:cs="Arial"/>
        </w:rPr>
      </w:pPr>
      <w:r w:rsidRPr="003409B2">
        <w:rPr>
          <w:rFonts w:ascii="Arial" w:hAnsi="Arial" w:cs="Arial"/>
        </w:rPr>
        <w:t>Do roku 2028 nemá návrh potenciál na rozpočtové dopady. V roce 2028 se může poprvé projevit zvýšení výdajů, neboť od tohoto roku získá specifická skupina osob, které by důchodového věku dosáhly v roce 2031, nárok na odchod do předčasného důchodu o 1 měsíc dříve než při současném právním stavu, nicméně pozorovatelný dopad lze očekávat až v roce 2030.</w:t>
      </w:r>
    </w:p>
    <w:p w14:paraId="03C9A2E4" w14:textId="77777777" w:rsidR="003409B2" w:rsidRPr="003409B2" w:rsidRDefault="003409B2" w:rsidP="003409B2">
      <w:pPr>
        <w:spacing w:after="120" w:line="240" w:lineRule="auto"/>
        <w:jc w:val="both"/>
        <w:rPr>
          <w:rFonts w:ascii="Arial" w:hAnsi="Arial" w:cs="Arial"/>
        </w:rPr>
      </w:pPr>
    </w:p>
    <w:p w14:paraId="697AB6CE" w14:textId="77777777" w:rsidR="003409B2" w:rsidRPr="003409B2" w:rsidRDefault="003409B2" w:rsidP="003409B2">
      <w:pPr>
        <w:spacing w:after="120" w:line="240" w:lineRule="auto"/>
        <w:jc w:val="both"/>
        <w:rPr>
          <w:rFonts w:ascii="Arial" w:hAnsi="Arial" w:cs="Arial"/>
          <w:i/>
          <w:iCs/>
        </w:rPr>
      </w:pPr>
      <w:r w:rsidRPr="003409B2">
        <w:rPr>
          <w:rFonts w:ascii="Arial" w:hAnsi="Arial" w:cs="Arial"/>
          <w:i/>
          <w:iCs/>
        </w:rPr>
        <w:t xml:space="preserve">Tabulka </w:t>
      </w:r>
      <w:r w:rsidRPr="003409B2">
        <w:rPr>
          <w:rFonts w:ascii="Arial" w:hAnsi="Arial" w:cs="Arial"/>
          <w:i/>
          <w:iCs/>
        </w:rPr>
        <w:fldChar w:fldCharType="begin"/>
      </w:r>
      <w:r w:rsidRPr="003409B2">
        <w:rPr>
          <w:rFonts w:ascii="Arial" w:hAnsi="Arial" w:cs="Arial"/>
          <w:i/>
          <w:iCs/>
        </w:rPr>
        <w:instrText xml:space="preserve"> SEQ Tabulka \* ARABIC </w:instrText>
      </w:r>
      <w:r w:rsidRPr="003409B2">
        <w:rPr>
          <w:rFonts w:ascii="Arial" w:hAnsi="Arial" w:cs="Arial"/>
          <w:i/>
          <w:iCs/>
        </w:rPr>
        <w:fldChar w:fldCharType="separate"/>
      </w:r>
      <w:r w:rsidRPr="003409B2">
        <w:rPr>
          <w:rFonts w:ascii="Arial" w:hAnsi="Arial" w:cs="Arial"/>
          <w:i/>
          <w:iCs/>
        </w:rPr>
        <w:t>3</w:t>
      </w:r>
      <w:r w:rsidRPr="003409B2">
        <w:rPr>
          <w:rFonts w:ascii="Arial" w:hAnsi="Arial" w:cs="Arial"/>
        </w:rPr>
        <w:fldChar w:fldCharType="end"/>
      </w:r>
      <w:r w:rsidRPr="003409B2">
        <w:rPr>
          <w:rFonts w:ascii="Arial" w:hAnsi="Arial" w:cs="Arial"/>
          <w:i/>
          <w:iCs/>
        </w:rPr>
        <w:t xml:space="preserve"> – Finanční dopady úpravy důchodového věku do státního rozpočtu</w:t>
      </w:r>
    </w:p>
    <w:tbl>
      <w:tblPr>
        <w:tblW w:w="8988" w:type="dxa"/>
        <w:tblCellMar>
          <w:left w:w="70" w:type="dxa"/>
          <w:right w:w="70" w:type="dxa"/>
        </w:tblCellMar>
        <w:tblLook w:val="04A0" w:firstRow="1" w:lastRow="0" w:firstColumn="1" w:lastColumn="0" w:noHBand="0" w:noVBand="1"/>
      </w:tblPr>
      <w:tblGrid>
        <w:gridCol w:w="4391"/>
        <w:gridCol w:w="560"/>
        <w:gridCol w:w="560"/>
        <w:gridCol w:w="560"/>
        <w:gridCol w:w="560"/>
        <w:gridCol w:w="560"/>
        <w:gridCol w:w="560"/>
        <w:gridCol w:w="612"/>
        <w:gridCol w:w="625"/>
      </w:tblGrid>
      <w:tr w:rsidR="006D6195" w:rsidRPr="006D6195" w14:paraId="3D37F8DB" w14:textId="77777777" w:rsidTr="006D6195">
        <w:trPr>
          <w:trHeight w:val="393"/>
        </w:trPr>
        <w:tc>
          <w:tcPr>
            <w:tcW w:w="0" w:type="auto"/>
            <w:tcBorders>
              <w:top w:val="single" w:sz="4" w:space="0" w:color="44B3E1"/>
              <w:left w:val="single" w:sz="4" w:space="0" w:color="44B3E1"/>
              <w:bottom w:val="single" w:sz="4" w:space="0" w:color="44B3E1"/>
              <w:right w:val="nil"/>
            </w:tcBorders>
            <w:shd w:val="clear" w:color="auto" w:fill="156082"/>
            <w:noWrap/>
            <w:vAlign w:val="bottom"/>
            <w:hideMark/>
          </w:tcPr>
          <w:p w14:paraId="23C3DC99"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Rok</w:t>
            </w:r>
          </w:p>
        </w:tc>
        <w:tc>
          <w:tcPr>
            <w:tcW w:w="0" w:type="auto"/>
            <w:tcBorders>
              <w:top w:val="single" w:sz="4" w:space="0" w:color="44B3E1"/>
              <w:left w:val="nil"/>
              <w:bottom w:val="single" w:sz="4" w:space="0" w:color="44B3E1"/>
              <w:right w:val="nil"/>
            </w:tcBorders>
            <w:shd w:val="clear" w:color="auto" w:fill="156082"/>
            <w:noWrap/>
            <w:vAlign w:val="bottom"/>
            <w:hideMark/>
          </w:tcPr>
          <w:p w14:paraId="2BF2924E"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2027</w:t>
            </w:r>
          </w:p>
        </w:tc>
        <w:tc>
          <w:tcPr>
            <w:tcW w:w="0" w:type="auto"/>
            <w:tcBorders>
              <w:top w:val="single" w:sz="4" w:space="0" w:color="44B3E1"/>
              <w:left w:val="nil"/>
              <w:bottom w:val="single" w:sz="4" w:space="0" w:color="44B3E1"/>
              <w:right w:val="nil"/>
            </w:tcBorders>
            <w:shd w:val="clear" w:color="auto" w:fill="156082"/>
            <w:noWrap/>
            <w:vAlign w:val="bottom"/>
            <w:hideMark/>
          </w:tcPr>
          <w:p w14:paraId="13E38112"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2028</w:t>
            </w:r>
          </w:p>
        </w:tc>
        <w:tc>
          <w:tcPr>
            <w:tcW w:w="0" w:type="auto"/>
            <w:tcBorders>
              <w:top w:val="single" w:sz="4" w:space="0" w:color="44B3E1"/>
              <w:left w:val="nil"/>
              <w:bottom w:val="single" w:sz="4" w:space="0" w:color="44B3E1"/>
              <w:right w:val="nil"/>
            </w:tcBorders>
            <w:shd w:val="clear" w:color="auto" w:fill="156082"/>
            <w:noWrap/>
            <w:vAlign w:val="bottom"/>
            <w:hideMark/>
          </w:tcPr>
          <w:p w14:paraId="19DB5500"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2029</w:t>
            </w:r>
          </w:p>
        </w:tc>
        <w:tc>
          <w:tcPr>
            <w:tcW w:w="0" w:type="auto"/>
            <w:tcBorders>
              <w:top w:val="single" w:sz="4" w:space="0" w:color="44B3E1"/>
              <w:left w:val="nil"/>
              <w:bottom w:val="single" w:sz="4" w:space="0" w:color="44B3E1"/>
              <w:right w:val="nil"/>
            </w:tcBorders>
            <w:shd w:val="clear" w:color="auto" w:fill="156082"/>
            <w:noWrap/>
            <w:vAlign w:val="bottom"/>
            <w:hideMark/>
          </w:tcPr>
          <w:p w14:paraId="0E58A317"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2030</w:t>
            </w:r>
          </w:p>
        </w:tc>
        <w:tc>
          <w:tcPr>
            <w:tcW w:w="0" w:type="auto"/>
            <w:tcBorders>
              <w:top w:val="single" w:sz="4" w:space="0" w:color="44B3E1"/>
              <w:left w:val="nil"/>
              <w:bottom w:val="single" w:sz="4" w:space="0" w:color="44B3E1"/>
              <w:right w:val="nil"/>
            </w:tcBorders>
            <w:shd w:val="clear" w:color="auto" w:fill="156082"/>
            <w:noWrap/>
            <w:vAlign w:val="bottom"/>
            <w:hideMark/>
          </w:tcPr>
          <w:p w14:paraId="797564C5"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2035</w:t>
            </w:r>
          </w:p>
        </w:tc>
        <w:tc>
          <w:tcPr>
            <w:tcW w:w="0" w:type="auto"/>
            <w:tcBorders>
              <w:top w:val="single" w:sz="4" w:space="0" w:color="44B3E1"/>
              <w:left w:val="nil"/>
              <w:bottom w:val="single" w:sz="4" w:space="0" w:color="44B3E1"/>
              <w:right w:val="nil"/>
            </w:tcBorders>
            <w:shd w:val="clear" w:color="auto" w:fill="156082"/>
            <w:noWrap/>
            <w:vAlign w:val="bottom"/>
            <w:hideMark/>
          </w:tcPr>
          <w:p w14:paraId="27A7DB58"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2040</w:t>
            </w:r>
          </w:p>
        </w:tc>
        <w:tc>
          <w:tcPr>
            <w:tcW w:w="0" w:type="auto"/>
            <w:tcBorders>
              <w:top w:val="single" w:sz="4" w:space="0" w:color="44B3E1"/>
              <w:left w:val="nil"/>
              <w:bottom w:val="single" w:sz="4" w:space="0" w:color="44B3E1"/>
              <w:right w:val="nil"/>
            </w:tcBorders>
            <w:shd w:val="clear" w:color="auto" w:fill="156082"/>
            <w:noWrap/>
            <w:vAlign w:val="bottom"/>
            <w:hideMark/>
          </w:tcPr>
          <w:p w14:paraId="6D968985"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2050</w:t>
            </w:r>
          </w:p>
        </w:tc>
        <w:tc>
          <w:tcPr>
            <w:tcW w:w="625" w:type="dxa"/>
            <w:tcBorders>
              <w:top w:val="single" w:sz="4" w:space="0" w:color="44B3E1"/>
              <w:left w:val="nil"/>
              <w:bottom w:val="single" w:sz="4" w:space="0" w:color="44B3E1"/>
              <w:right w:val="single" w:sz="4" w:space="0" w:color="44B3E1"/>
            </w:tcBorders>
            <w:shd w:val="clear" w:color="auto" w:fill="156082"/>
            <w:noWrap/>
            <w:vAlign w:val="bottom"/>
            <w:hideMark/>
          </w:tcPr>
          <w:p w14:paraId="4326A941"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2060</w:t>
            </w:r>
          </w:p>
        </w:tc>
      </w:tr>
      <w:tr w:rsidR="006D6195" w:rsidRPr="006D6195" w14:paraId="147B421F" w14:textId="77777777" w:rsidTr="006D6195">
        <w:trPr>
          <w:trHeight w:val="393"/>
        </w:trPr>
        <w:tc>
          <w:tcPr>
            <w:tcW w:w="0" w:type="auto"/>
            <w:tcBorders>
              <w:top w:val="nil"/>
              <w:left w:val="single" w:sz="4" w:space="0" w:color="44B3E1"/>
              <w:bottom w:val="single" w:sz="4" w:space="0" w:color="44B3E1"/>
              <w:right w:val="nil"/>
            </w:tcBorders>
            <w:shd w:val="clear" w:color="auto" w:fill="C0E6F5"/>
            <w:noWrap/>
            <w:vAlign w:val="bottom"/>
            <w:hideMark/>
          </w:tcPr>
          <w:p w14:paraId="2752C606"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Zvýšení výdajů nominální (mld. Kč)</w:t>
            </w:r>
          </w:p>
        </w:tc>
        <w:tc>
          <w:tcPr>
            <w:tcW w:w="0" w:type="auto"/>
            <w:tcBorders>
              <w:top w:val="nil"/>
              <w:left w:val="nil"/>
              <w:bottom w:val="single" w:sz="4" w:space="0" w:color="44B3E1"/>
              <w:right w:val="nil"/>
            </w:tcBorders>
            <w:shd w:val="clear" w:color="auto" w:fill="C0E6F5"/>
            <w:noWrap/>
            <w:vAlign w:val="bottom"/>
            <w:hideMark/>
          </w:tcPr>
          <w:p w14:paraId="2D838D34"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0,0</w:t>
            </w:r>
          </w:p>
        </w:tc>
        <w:tc>
          <w:tcPr>
            <w:tcW w:w="0" w:type="auto"/>
            <w:tcBorders>
              <w:top w:val="nil"/>
              <w:left w:val="nil"/>
              <w:bottom w:val="single" w:sz="4" w:space="0" w:color="44B3E1"/>
              <w:right w:val="nil"/>
            </w:tcBorders>
            <w:shd w:val="clear" w:color="auto" w:fill="C0E6F5"/>
            <w:noWrap/>
            <w:vAlign w:val="bottom"/>
            <w:hideMark/>
          </w:tcPr>
          <w:p w14:paraId="2ACCC022"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0,0</w:t>
            </w:r>
          </w:p>
        </w:tc>
        <w:tc>
          <w:tcPr>
            <w:tcW w:w="0" w:type="auto"/>
            <w:tcBorders>
              <w:top w:val="nil"/>
              <w:left w:val="nil"/>
              <w:bottom w:val="single" w:sz="4" w:space="0" w:color="44B3E1"/>
              <w:right w:val="nil"/>
            </w:tcBorders>
            <w:shd w:val="clear" w:color="auto" w:fill="C0E6F5"/>
            <w:noWrap/>
            <w:vAlign w:val="bottom"/>
            <w:hideMark/>
          </w:tcPr>
          <w:p w14:paraId="0BF3B3B1"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0,0</w:t>
            </w:r>
          </w:p>
        </w:tc>
        <w:tc>
          <w:tcPr>
            <w:tcW w:w="0" w:type="auto"/>
            <w:tcBorders>
              <w:top w:val="nil"/>
              <w:left w:val="nil"/>
              <w:bottom w:val="single" w:sz="4" w:space="0" w:color="44B3E1"/>
              <w:right w:val="nil"/>
            </w:tcBorders>
            <w:shd w:val="clear" w:color="auto" w:fill="C0E6F5"/>
            <w:noWrap/>
            <w:vAlign w:val="bottom"/>
            <w:hideMark/>
          </w:tcPr>
          <w:p w14:paraId="1F4150E3"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2,2</w:t>
            </w:r>
          </w:p>
        </w:tc>
        <w:tc>
          <w:tcPr>
            <w:tcW w:w="0" w:type="auto"/>
            <w:tcBorders>
              <w:top w:val="nil"/>
              <w:left w:val="nil"/>
              <w:bottom w:val="single" w:sz="4" w:space="0" w:color="44B3E1"/>
              <w:right w:val="nil"/>
            </w:tcBorders>
            <w:shd w:val="clear" w:color="auto" w:fill="C0E6F5"/>
            <w:noWrap/>
            <w:vAlign w:val="bottom"/>
            <w:hideMark/>
          </w:tcPr>
          <w:p w14:paraId="27C8E829"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18,2</w:t>
            </w:r>
          </w:p>
        </w:tc>
        <w:tc>
          <w:tcPr>
            <w:tcW w:w="0" w:type="auto"/>
            <w:tcBorders>
              <w:top w:val="nil"/>
              <w:left w:val="nil"/>
              <w:bottom w:val="single" w:sz="4" w:space="0" w:color="44B3E1"/>
              <w:right w:val="nil"/>
            </w:tcBorders>
            <w:shd w:val="clear" w:color="auto" w:fill="C0E6F5"/>
            <w:noWrap/>
            <w:vAlign w:val="bottom"/>
            <w:hideMark/>
          </w:tcPr>
          <w:p w14:paraId="617F429C"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57,6</w:t>
            </w:r>
          </w:p>
        </w:tc>
        <w:tc>
          <w:tcPr>
            <w:tcW w:w="0" w:type="auto"/>
            <w:tcBorders>
              <w:top w:val="nil"/>
              <w:left w:val="nil"/>
              <w:bottom w:val="single" w:sz="4" w:space="0" w:color="44B3E1"/>
              <w:right w:val="nil"/>
            </w:tcBorders>
            <w:shd w:val="clear" w:color="auto" w:fill="C0E6F5"/>
            <w:noWrap/>
            <w:vAlign w:val="bottom"/>
            <w:hideMark/>
          </w:tcPr>
          <w:p w14:paraId="6A2B5314"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128,7</w:t>
            </w:r>
          </w:p>
        </w:tc>
        <w:tc>
          <w:tcPr>
            <w:tcW w:w="625" w:type="dxa"/>
            <w:tcBorders>
              <w:top w:val="nil"/>
              <w:left w:val="nil"/>
              <w:bottom w:val="single" w:sz="4" w:space="0" w:color="44B3E1"/>
              <w:right w:val="single" w:sz="4" w:space="0" w:color="44B3E1"/>
            </w:tcBorders>
            <w:shd w:val="clear" w:color="auto" w:fill="C0E6F5"/>
            <w:noWrap/>
            <w:vAlign w:val="bottom"/>
            <w:hideMark/>
          </w:tcPr>
          <w:p w14:paraId="1B1F2280"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190,7</w:t>
            </w:r>
          </w:p>
        </w:tc>
      </w:tr>
      <w:tr w:rsidR="003409B2" w:rsidRPr="006D6195" w14:paraId="1DFFB4E2" w14:textId="77777777" w:rsidTr="006D6195">
        <w:trPr>
          <w:trHeight w:val="393"/>
        </w:trPr>
        <w:tc>
          <w:tcPr>
            <w:tcW w:w="0" w:type="auto"/>
            <w:tcBorders>
              <w:top w:val="nil"/>
              <w:left w:val="single" w:sz="4" w:space="0" w:color="44B3E1"/>
              <w:bottom w:val="single" w:sz="4" w:space="0" w:color="44B3E1"/>
              <w:right w:val="nil"/>
            </w:tcBorders>
            <w:noWrap/>
            <w:vAlign w:val="bottom"/>
            <w:hideMark/>
          </w:tcPr>
          <w:p w14:paraId="57A46CE3"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Zvýšení výdajů současná mzdová hladina (mld. Kč)</w:t>
            </w:r>
          </w:p>
        </w:tc>
        <w:tc>
          <w:tcPr>
            <w:tcW w:w="0" w:type="auto"/>
            <w:tcBorders>
              <w:top w:val="nil"/>
              <w:left w:val="nil"/>
              <w:bottom w:val="single" w:sz="4" w:space="0" w:color="44B3E1"/>
              <w:right w:val="nil"/>
            </w:tcBorders>
            <w:noWrap/>
            <w:vAlign w:val="bottom"/>
            <w:hideMark/>
          </w:tcPr>
          <w:p w14:paraId="59F22132"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0,0</w:t>
            </w:r>
          </w:p>
        </w:tc>
        <w:tc>
          <w:tcPr>
            <w:tcW w:w="0" w:type="auto"/>
            <w:tcBorders>
              <w:top w:val="nil"/>
              <w:left w:val="nil"/>
              <w:bottom w:val="single" w:sz="4" w:space="0" w:color="44B3E1"/>
              <w:right w:val="nil"/>
            </w:tcBorders>
            <w:noWrap/>
            <w:vAlign w:val="bottom"/>
            <w:hideMark/>
          </w:tcPr>
          <w:p w14:paraId="38F0681C"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0,0</w:t>
            </w:r>
          </w:p>
        </w:tc>
        <w:tc>
          <w:tcPr>
            <w:tcW w:w="0" w:type="auto"/>
            <w:tcBorders>
              <w:top w:val="nil"/>
              <w:left w:val="nil"/>
              <w:bottom w:val="single" w:sz="4" w:space="0" w:color="44B3E1"/>
              <w:right w:val="nil"/>
            </w:tcBorders>
            <w:noWrap/>
            <w:vAlign w:val="bottom"/>
            <w:hideMark/>
          </w:tcPr>
          <w:p w14:paraId="79D6D80E"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0,0</w:t>
            </w:r>
          </w:p>
        </w:tc>
        <w:tc>
          <w:tcPr>
            <w:tcW w:w="0" w:type="auto"/>
            <w:tcBorders>
              <w:top w:val="nil"/>
              <w:left w:val="nil"/>
              <w:bottom w:val="single" w:sz="4" w:space="0" w:color="44B3E1"/>
              <w:right w:val="nil"/>
            </w:tcBorders>
            <w:noWrap/>
            <w:vAlign w:val="bottom"/>
            <w:hideMark/>
          </w:tcPr>
          <w:p w14:paraId="422B81C7"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2,0</w:t>
            </w:r>
          </w:p>
        </w:tc>
        <w:tc>
          <w:tcPr>
            <w:tcW w:w="0" w:type="auto"/>
            <w:tcBorders>
              <w:top w:val="nil"/>
              <w:left w:val="nil"/>
              <w:bottom w:val="single" w:sz="4" w:space="0" w:color="44B3E1"/>
              <w:right w:val="nil"/>
            </w:tcBorders>
            <w:noWrap/>
            <w:vAlign w:val="bottom"/>
            <w:hideMark/>
          </w:tcPr>
          <w:p w14:paraId="1A1E9054"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13,7</w:t>
            </w:r>
          </w:p>
        </w:tc>
        <w:tc>
          <w:tcPr>
            <w:tcW w:w="0" w:type="auto"/>
            <w:tcBorders>
              <w:top w:val="nil"/>
              <w:left w:val="nil"/>
              <w:bottom w:val="single" w:sz="4" w:space="0" w:color="44B3E1"/>
              <w:right w:val="nil"/>
            </w:tcBorders>
            <w:noWrap/>
            <w:vAlign w:val="bottom"/>
            <w:hideMark/>
          </w:tcPr>
          <w:p w14:paraId="2193A29C"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36,3</w:t>
            </w:r>
          </w:p>
        </w:tc>
        <w:tc>
          <w:tcPr>
            <w:tcW w:w="0" w:type="auto"/>
            <w:tcBorders>
              <w:top w:val="nil"/>
              <w:left w:val="nil"/>
              <w:bottom w:val="single" w:sz="4" w:space="0" w:color="44B3E1"/>
              <w:right w:val="nil"/>
            </w:tcBorders>
            <w:noWrap/>
            <w:vAlign w:val="bottom"/>
            <w:hideMark/>
          </w:tcPr>
          <w:p w14:paraId="37D20813"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57,1</w:t>
            </w:r>
          </w:p>
        </w:tc>
        <w:tc>
          <w:tcPr>
            <w:tcW w:w="625" w:type="dxa"/>
            <w:tcBorders>
              <w:top w:val="nil"/>
              <w:left w:val="nil"/>
              <w:bottom w:val="single" w:sz="4" w:space="0" w:color="44B3E1"/>
              <w:right w:val="single" w:sz="4" w:space="0" w:color="44B3E1"/>
            </w:tcBorders>
            <w:noWrap/>
            <w:vAlign w:val="bottom"/>
            <w:hideMark/>
          </w:tcPr>
          <w:p w14:paraId="0F8C8CBC" w14:textId="77777777" w:rsidR="003409B2" w:rsidRPr="006D6195" w:rsidRDefault="003409B2" w:rsidP="003409B2">
            <w:pPr>
              <w:spacing w:after="120" w:line="240" w:lineRule="auto"/>
              <w:jc w:val="both"/>
              <w:rPr>
                <w:rFonts w:ascii="Arial" w:hAnsi="Arial" w:cs="Arial"/>
                <w:sz w:val="18"/>
                <w:szCs w:val="18"/>
              </w:rPr>
            </w:pPr>
            <w:r w:rsidRPr="006D6195">
              <w:rPr>
                <w:rFonts w:ascii="Arial" w:hAnsi="Arial" w:cs="Arial"/>
                <w:sz w:val="18"/>
                <w:szCs w:val="18"/>
              </w:rPr>
              <w:t>59,4</w:t>
            </w:r>
          </w:p>
        </w:tc>
      </w:tr>
    </w:tbl>
    <w:p w14:paraId="75CAF87F" w14:textId="77777777" w:rsidR="003409B2" w:rsidRPr="003409B2" w:rsidRDefault="003409B2" w:rsidP="003409B2">
      <w:pPr>
        <w:spacing w:after="120" w:line="240" w:lineRule="auto"/>
        <w:jc w:val="both"/>
        <w:rPr>
          <w:rFonts w:ascii="Arial" w:hAnsi="Arial" w:cs="Arial"/>
        </w:rPr>
      </w:pPr>
    </w:p>
    <w:p w14:paraId="06AC1B66" w14:textId="77777777" w:rsidR="003409B2" w:rsidRPr="003409B2" w:rsidRDefault="003409B2" w:rsidP="003409B2">
      <w:pPr>
        <w:spacing w:after="120" w:line="240" w:lineRule="auto"/>
        <w:jc w:val="both"/>
        <w:rPr>
          <w:rFonts w:ascii="Arial" w:hAnsi="Arial" w:cs="Arial"/>
        </w:rPr>
      </w:pPr>
      <w:r w:rsidRPr="003409B2">
        <w:rPr>
          <w:rFonts w:ascii="Arial" w:hAnsi="Arial" w:cs="Arial"/>
        </w:rPr>
        <w:t xml:space="preserve">V horizontu roku 2060 lze očekávat zvýšení výdajů na důchody dosahující přibližně 190 mld. Kč ročně, což na úrovni současné mzdové hladiny představuje necelých 60 mld. Kč. Dodatečné výdaje na důchody budou mezi roku 2030 a 2060 přibývat průběžně s mírně rychlejší dynamikou na konci 30. a začátku 40. let, kdy bude docházet k odchodům početně silných ročníků 70. let 20. století do důchodu. </w:t>
      </w:r>
    </w:p>
    <w:p w14:paraId="244151AA" w14:textId="77777777" w:rsidR="003409B2" w:rsidRPr="0060193A" w:rsidRDefault="003409B2" w:rsidP="00331B10">
      <w:pPr>
        <w:spacing w:after="120" w:line="240" w:lineRule="auto"/>
        <w:jc w:val="both"/>
        <w:rPr>
          <w:rFonts w:ascii="Arial" w:hAnsi="Arial" w:cs="Arial"/>
          <w:b/>
          <w:bCs/>
          <w:u w:val="single"/>
        </w:rPr>
      </w:pPr>
    </w:p>
    <w:p w14:paraId="319CA782" w14:textId="59DFB96D" w:rsidR="00F43D6A" w:rsidRDefault="0085211D" w:rsidP="006D6195">
      <w:pPr>
        <w:rPr>
          <w:rFonts w:ascii="Arial" w:hAnsi="Arial" w:cs="Arial"/>
          <w:u w:val="single"/>
        </w:rPr>
      </w:pPr>
      <w:r w:rsidRPr="0060193A">
        <w:rPr>
          <w:rFonts w:ascii="Arial" w:hAnsi="Arial" w:cs="Arial"/>
          <w:b/>
          <w:bCs/>
          <w:u w:val="single"/>
        </w:rPr>
        <w:t>Harmonogram</w:t>
      </w:r>
      <w:r w:rsidR="0060193A" w:rsidRPr="0060193A">
        <w:rPr>
          <w:rFonts w:ascii="Arial" w:hAnsi="Arial" w:cs="Arial"/>
          <w:b/>
          <w:bCs/>
          <w:u w:val="single"/>
        </w:rPr>
        <w:t xml:space="preserve"> </w:t>
      </w:r>
      <w:r w:rsidR="00F12699" w:rsidRPr="00F51366">
        <w:rPr>
          <w:rFonts w:ascii="Arial" w:hAnsi="Arial" w:cs="Arial"/>
          <w:b/>
          <w:u w:val="single"/>
        </w:rPr>
        <w:t xml:space="preserve">přípravy a schvalování návrhu zákona, který bude řešit </w:t>
      </w:r>
      <w:r w:rsidR="001B07C2">
        <w:rPr>
          <w:rFonts w:ascii="Arial" w:hAnsi="Arial" w:cs="Arial"/>
          <w:b/>
          <w:u w:val="single"/>
        </w:rPr>
        <w:t xml:space="preserve">mimo jiné </w:t>
      </w:r>
      <w:proofErr w:type="spellStart"/>
      <w:r w:rsidR="00F12699">
        <w:rPr>
          <w:rFonts w:ascii="Arial" w:hAnsi="Arial" w:cs="Arial"/>
          <w:b/>
          <w:u w:val="single"/>
        </w:rPr>
        <w:t>zastropování</w:t>
      </w:r>
      <w:proofErr w:type="spellEnd"/>
      <w:r w:rsidR="00F12699" w:rsidRPr="00F51366">
        <w:rPr>
          <w:rFonts w:ascii="Arial" w:hAnsi="Arial" w:cs="Arial"/>
          <w:b/>
          <w:u w:val="single"/>
        </w:rPr>
        <w:t xml:space="preserve"> </w:t>
      </w:r>
      <w:r w:rsidR="00F12699">
        <w:rPr>
          <w:rFonts w:ascii="Arial" w:hAnsi="Arial" w:cs="Arial"/>
          <w:b/>
          <w:u w:val="single"/>
        </w:rPr>
        <w:t xml:space="preserve">obecného </w:t>
      </w:r>
      <w:r w:rsidR="00F12699" w:rsidRPr="00F51366">
        <w:rPr>
          <w:rFonts w:ascii="Arial" w:hAnsi="Arial" w:cs="Arial"/>
          <w:b/>
          <w:u w:val="single"/>
        </w:rPr>
        <w:t>důchodového věku</w:t>
      </w:r>
      <w:r w:rsidR="00F12699">
        <w:rPr>
          <w:rFonts w:ascii="Arial" w:hAnsi="Arial" w:cs="Arial"/>
          <w:b/>
          <w:u w:val="single"/>
        </w:rPr>
        <w:t xml:space="preserve"> na 65 let:</w:t>
      </w:r>
      <w:r w:rsidR="00F12699" w:rsidRPr="0060193A">
        <w:rPr>
          <w:rFonts w:ascii="Arial" w:hAnsi="Arial" w:cs="Arial"/>
          <w:color w:val="FF0000"/>
        </w:rPr>
        <w:t xml:space="preserve"> </w:t>
      </w:r>
    </w:p>
    <w:p w14:paraId="728E799E" w14:textId="49DA21E1" w:rsidR="00F12699" w:rsidRPr="006D6195" w:rsidRDefault="00F12699" w:rsidP="00F43D6A">
      <w:pPr>
        <w:spacing w:before="120" w:after="0" w:line="240" w:lineRule="auto"/>
        <w:jc w:val="both"/>
        <w:rPr>
          <w:rFonts w:ascii="Arial" w:hAnsi="Arial" w:cs="Arial"/>
        </w:rPr>
      </w:pPr>
      <w:r w:rsidRPr="006D6195">
        <w:rPr>
          <w:rFonts w:ascii="Arial" w:hAnsi="Arial" w:cs="Arial"/>
        </w:rPr>
        <w:t>Již proběhlo:</w:t>
      </w:r>
    </w:p>
    <w:p w14:paraId="7980CA52" w14:textId="77777777" w:rsidR="006D6195" w:rsidRDefault="006D6195" w:rsidP="006D6195">
      <w:pPr>
        <w:pStyle w:val="Odstavecseseznamem"/>
        <w:numPr>
          <w:ilvl w:val="0"/>
          <w:numId w:val="6"/>
        </w:numPr>
        <w:spacing w:before="120" w:after="0" w:line="240" w:lineRule="auto"/>
        <w:jc w:val="both"/>
        <w:rPr>
          <w:rFonts w:ascii="Arial" w:hAnsi="Arial" w:cs="Arial"/>
        </w:rPr>
      </w:pPr>
      <w:r>
        <w:rPr>
          <w:rFonts w:ascii="Arial" w:hAnsi="Arial" w:cs="Arial"/>
        </w:rPr>
        <w:lastRenderedPageBreak/>
        <w:t>d</w:t>
      </w:r>
      <w:r w:rsidR="00F12699" w:rsidRPr="006D6195">
        <w:rPr>
          <w:rFonts w:ascii="Arial" w:hAnsi="Arial" w:cs="Arial"/>
        </w:rPr>
        <w:t>odání věcných tezí</w:t>
      </w:r>
    </w:p>
    <w:p w14:paraId="38A7731A" w14:textId="77777777" w:rsidR="006D6195" w:rsidRDefault="006D6195" w:rsidP="006D6195">
      <w:pPr>
        <w:pStyle w:val="Odstavecseseznamem"/>
        <w:numPr>
          <w:ilvl w:val="0"/>
          <w:numId w:val="6"/>
        </w:numPr>
        <w:spacing w:before="120" w:after="0" w:line="240" w:lineRule="auto"/>
        <w:jc w:val="both"/>
        <w:rPr>
          <w:rFonts w:ascii="Arial" w:hAnsi="Arial" w:cs="Arial"/>
        </w:rPr>
      </w:pPr>
      <w:r>
        <w:rPr>
          <w:rFonts w:ascii="Arial" w:hAnsi="Arial" w:cs="Arial"/>
        </w:rPr>
        <w:t>l</w:t>
      </w:r>
      <w:r w:rsidR="00F12699" w:rsidRPr="006D6195">
        <w:rPr>
          <w:rFonts w:ascii="Arial" w:hAnsi="Arial" w:cs="Arial"/>
        </w:rPr>
        <w:t>egislativní příprava</w:t>
      </w:r>
    </w:p>
    <w:p w14:paraId="085D41A7" w14:textId="2C2A2121" w:rsidR="00F12699" w:rsidRPr="00083524" w:rsidRDefault="00083524" w:rsidP="00083524">
      <w:pPr>
        <w:spacing w:before="120" w:after="0" w:line="240" w:lineRule="auto"/>
        <w:jc w:val="both"/>
        <w:rPr>
          <w:rFonts w:ascii="Arial" w:hAnsi="Arial" w:cs="Arial"/>
        </w:rPr>
      </w:pPr>
      <w:r>
        <w:rPr>
          <w:rFonts w:ascii="Arial" w:hAnsi="Arial" w:cs="Arial"/>
        </w:rPr>
        <w:t xml:space="preserve">Aktuálně </w:t>
      </w:r>
      <w:r w:rsidRPr="00083524">
        <w:rPr>
          <w:rFonts w:ascii="Arial" w:hAnsi="Arial" w:cs="Arial"/>
        </w:rPr>
        <w:t xml:space="preserve">probíhá </w:t>
      </w:r>
      <w:r w:rsidR="00F12699" w:rsidRPr="00083524">
        <w:rPr>
          <w:rFonts w:ascii="Arial" w:hAnsi="Arial" w:cs="Arial"/>
        </w:rPr>
        <w:t xml:space="preserve">spojené vnitřní a meziresortní připomínkové řízení (VPŘ, MPŘ), lhůta pro sdělení připomínek </w:t>
      </w:r>
      <w:r>
        <w:rPr>
          <w:rFonts w:ascii="Arial" w:hAnsi="Arial" w:cs="Arial"/>
        </w:rPr>
        <w:t xml:space="preserve">je </w:t>
      </w:r>
      <w:r w:rsidR="00F12699" w:rsidRPr="00083524">
        <w:rPr>
          <w:rFonts w:ascii="Arial" w:hAnsi="Arial" w:cs="Arial"/>
        </w:rPr>
        <w:t xml:space="preserve">zkrácena na 10 pracovních dnů, </w:t>
      </w:r>
      <w:r>
        <w:rPr>
          <w:rFonts w:ascii="Arial" w:hAnsi="Arial" w:cs="Arial"/>
        </w:rPr>
        <w:t xml:space="preserve">předpokládáme úspěšné vypořádání všech zásadních </w:t>
      </w:r>
      <w:r w:rsidR="00F12699" w:rsidRPr="00083524">
        <w:rPr>
          <w:rFonts w:ascii="Arial" w:hAnsi="Arial" w:cs="Arial"/>
        </w:rPr>
        <w:t>připomín</w:t>
      </w:r>
      <w:r>
        <w:rPr>
          <w:rFonts w:ascii="Arial" w:hAnsi="Arial" w:cs="Arial"/>
        </w:rPr>
        <w:t>e</w:t>
      </w:r>
      <w:r w:rsidR="00F12699" w:rsidRPr="00083524">
        <w:rPr>
          <w:rFonts w:ascii="Arial" w:hAnsi="Arial" w:cs="Arial"/>
        </w:rPr>
        <w:t>k</w:t>
      </w:r>
      <w:r>
        <w:rPr>
          <w:rFonts w:ascii="Arial" w:hAnsi="Arial" w:cs="Arial"/>
        </w:rPr>
        <w:t xml:space="preserve"> a předložení</w:t>
      </w:r>
      <w:r w:rsidR="00F12699" w:rsidRPr="00083524">
        <w:rPr>
          <w:rFonts w:ascii="Arial" w:hAnsi="Arial" w:cs="Arial"/>
        </w:rPr>
        <w:t xml:space="preserve"> návrh</w:t>
      </w:r>
      <w:r>
        <w:rPr>
          <w:rFonts w:ascii="Arial" w:hAnsi="Arial" w:cs="Arial"/>
        </w:rPr>
        <w:t>u</w:t>
      </w:r>
      <w:r w:rsidR="00F12699" w:rsidRPr="00083524">
        <w:rPr>
          <w:rFonts w:ascii="Arial" w:hAnsi="Arial" w:cs="Arial"/>
        </w:rPr>
        <w:t xml:space="preserve"> vládě bez rozporu </w:t>
      </w:r>
    </w:p>
    <w:p w14:paraId="72D6B0D7" w14:textId="3BDB648B" w:rsidR="00F43D6A" w:rsidRPr="00956A06" w:rsidRDefault="00F43D6A" w:rsidP="00F43D6A">
      <w:pPr>
        <w:spacing w:before="120" w:after="0" w:line="240" w:lineRule="auto"/>
        <w:jc w:val="both"/>
        <w:rPr>
          <w:rFonts w:ascii="Arial" w:hAnsi="Arial" w:cs="Arial"/>
          <w:i/>
          <w:iCs/>
        </w:rPr>
      </w:pPr>
      <w:r w:rsidRPr="00152229">
        <w:rPr>
          <w:rFonts w:ascii="Arial" w:hAnsi="Arial" w:cs="Arial"/>
          <w:u w:val="single"/>
        </w:rPr>
        <w:t>Předložení materiálu vládě</w:t>
      </w:r>
      <w:r w:rsidRPr="00956A06">
        <w:rPr>
          <w:rFonts w:ascii="Arial" w:hAnsi="Arial" w:cs="Arial"/>
        </w:rPr>
        <w:t>: bezodkladně po ukončení vypořádání MPŘ</w:t>
      </w:r>
      <w:r>
        <w:rPr>
          <w:rFonts w:ascii="Arial" w:hAnsi="Arial" w:cs="Arial"/>
        </w:rPr>
        <w:t xml:space="preserve">, ideálně </w:t>
      </w:r>
      <w:r w:rsidR="00083524">
        <w:rPr>
          <w:rFonts w:ascii="Arial" w:hAnsi="Arial" w:cs="Arial"/>
        </w:rPr>
        <w:t xml:space="preserve">první týden v </w:t>
      </w:r>
      <w:r>
        <w:rPr>
          <w:rFonts w:ascii="Arial" w:hAnsi="Arial" w:cs="Arial"/>
        </w:rPr>
        <w:t>březn</w:t>
      </w:r>
      <w:r w:rsidR="00083524">
        <w:rPr>
          <w:rFonts w:ascii="Arial" w:hAnsi="Arial" w:cs="Arial"/>
        </w:rPr>
        <w:t>u</w:t>
      </w:r>
      <w:r>
        <w:rPr>
          <w:rFonts w:ascii="Arial" w:hAnsi="Arial" w:cs="Arial"/>
        </w:rPr>
        <w:t xml:space="preserve"> 2026 </w:t>
      </w:r>
    </w:p>
    <w:p w14:paraId="314B0B29" w14:textId="713E2680" w:rsidR="00F43D6A" w:rsidRPr="008D50CA" w:rsidRDefault="00F43D6A" w:rsidP="00F43D6A">
      <w:pPr>
        <w:spacing w:before="120" w:after="0" w:line="240" w:lineRule="auto"/>
        <w:jc w:val="both"/>
        <w:rPr>
          <w:rFonts w:ascii="Arial" w:hAnsi="Arial" w:cs="Arial"/>
          <w:u w:val="single"/>
        </w:rPr>
      </w:pPr>
      <w:r w:rsidRPr="008D50CA">
        <w:rPr>
          <w:rFonts w:ascii="Arial" w:hAnsi="Arial" w:cs="Arial"/>
          <w:u w:val="single"/>
        </w:rPr>
        <w:t>Projednání LRV</w:t>
      </w:r>
      <w:r w:rsidRPr="006D6195">
        <w:rPr>
          <w:rFonts w:ascii="Arial" w:hAnsi="Arial" w:cs="Arial"/>
        </w:rPr>
        <w:t xml:space="preserve"> </w:t>
      </w:r>
      <w:r>
        <w:rPr>
          <w:rFonts w:ascii="Arial" w:hAnsi="Arial" w:cs="Arial"/>
        </w:rPr>
        <w:t>březen/duben</w:t>
      </w:r>
      <w:r w:rsidRPr="00976F2F">
        <w:rPr>
          <w:rFonts w:ascii="Arial" w:hAnsi="Arial" w:cs="Arial"/>
        </w:rPr>
        <w:t xml:space="preserve"> 2026</w:t>
      </w:r>
    </w:p>
    <w:p w14:paraId="26F802D5" w14:textId="07691F83" w:rsidR="00F43D6A" w:rsidRPr="00ED0DD8" w:rsidRDefault="00F43D6A" w:rsidP="00F43D6A">
      <w:pPr>
        <w:spacing w:before="120" w:after="0" w:line="240" w:lineRule="auto"/>
        <w:jc w:val="both"/>
        <w:rPr>
          <w:rFonts w:ascii="Arial" w:hAnsi="Arial" w:cs="Arial"/>
        </w:rPr>
      </w:pPr>
      <w:r w:rsidRPr="0093054C">
        <w:rPr>
          <w:rFonts w:ascii="Arial" w:hAnsi="Arial" w:cs="Arial"/>
          <w:u w:val="single"/>
        </w:rPr>
        <w:t>Schůze vlády</w:t>
      </w:r>
      <w:r>
        <w:rPr>
          <w:rFonts w:ascii="Arial" w:hAnsi="Arial" w:cs="Arial"/>
        </w:rPr>
        <w:t xml:space="preserve">: </w:t>
      </w:r>
      <w:r w:rsidR="00083524">
        <w:rPr>
          <w:rFonts w:ascii="Arial" w:hAnsi="Arial" w:cs="Arial"/>
        </w:rPr>
        <w:t xml:space="preserve">nejdříve </w:t>
      </w:r>
      <w:r>
        <w:rPr>
          <w:rFonts w:ascii="Arial" w:hAnsi="Arial" w:cs="Arial"/>
        </w:rPr>
        <w:t>30. 3./6. 4. 2026</w:t>
      </w:r>
    </w:p>
    <w:p w14:paraId="13915E2D" w14:textId="66EAAB89" w:rsidR="00F43D6A" w:rsidRPr="006D6195" w:rsidRDefault="00F43D6A" w:rsidP="00F43D6A">
      <w:pPr>
        <w:spacing w:before="120" w:after="0" w:line="240" w:lineRule="auto"/>
        <w:jc w:val="both"/>
        <w:rPr>
          <w:rFonts w:ascii="Arial" w:hAnsi="Arial" w:cs="Arial"/>
          <w:color w:val="000000" w:themeColor="text1"/>
        </w:rPr>
      </w:pPr>
      <w:r w:rsidRPr="006D6195">
        <w:rPr>
          <w:rFonts w:ascii="Arial" w:hAnsi="Arial" w:cs="Arial"/>
          <w:color w:val="000000" w:themeColor="text1"/>
          <w:u w:val="single"/>
        </w:rPr>
        <w:t>Předložení návrhu do PS PČR</w:t>
      </w:r>
      <w:r w:rsidRPr="006D6195">
        <w:rPr>
          <w:rFonts w:ascii="Arial" w:hAnsi="Arial" w:cs="Arial"/>
          <w:color w:val="000000" w:themeColor="text1"/>
        </w:rPr>
        <w:t xml:space="preserve"> – duben 2026 </w:t>
      </w:r>
    </w:p>
    <w:p w14:paraId="4AD6B20C" w14:textId="74FCD67D" w:rsidR="00F43D6A" w:rsidRPr="006D6195" w:rsidRDefault="00F43D6A" w:rsidP="00F43D6A">
      <w:pPr>
        <w:pStyle w:val="Odstavecseseznamem"/>
        <w:numPr>
          <w:ilvl w:val="0"/>
          <w:numId w:val="1"/>
        </w:numPr>
        <w:spacing w:after="200" w:line="276" w:lineRule="auto"/>
        <w:ind w:left="709" w:hanging="425"/>
        <w:jc w:val="both"/>
        <w:rPr>
          <w:rFonts w:ascii="Arial" w:hAnsi="Arial" w:cs="Arial"/>
          <w:color w:val="000000" w:themeColor="text1"/>
        </w:rPr>
      </w:pPr>
      <w:r w:rsidRPr="006D6195">
        <w:rPr>
          <w:rFonts w:ascii="Arial" w:hAnsi="Arial" w:cs="Arial"/>
          <w:color w:val="000000" w:themeColor="text1"/>
        </w:rPr>
        <w:t>PS – 1. čtení –</w:t>
      </w:r>
      <w:r w:rsidR="00083524">
        <w:rPr>
          <w:rFonts w:ascii="Arial" w:hAnsi="Arial" w:cs="Arial"/>
          <w:color w:val="000000" w:themeColor="text1"/>
        </w:rPr>
        <w:t xml:space="preserve"> duben; </w:t>
      </w:r>
      <w:r w:rsidRPr="006D6195">
        <w:rPr>
          <w:rFonts w:ascii="Arial" w:hAnsi="Arial" w:cs="Arial"/>
          <w:color w:val="000000" w:themeColor="text1"/>
        </w:rPr>
        <w:t>lhůt</w:t>
      </w:r>
      <w:r w:rsidR="00083524">
        <w:rPr>
          <w:rFonts w:ascii="Arial" w:hAnsi="Arial" w:cs="Arial"/>
          <w:color w:val="000000" w:themeColor="text1"/>
        </w:rPr>
        <w:t>a</w:t>
      </w:r>
      <w:r w:rsidRPr="006D6195">
        <w:rPr>
          <w:rFonts w:ascii="Arial" w:hAnsi="Arial" w:cs="Arial"/>
          <w:color w:val="000000" w:themeColor="text1"/>
        </w:rPr>
        <w:t xml:space="preserve"> pro projednání ve výborech 30 dnů </w:t>
      </w:r>
    </w:p>
    <w:p w14:paraId="29795E10" w14:textId="2FC1B9B1" w:rsidR="00F43D6A" w:rsidRPr="006D6195" w:rsidRDefault="00F43D6A" w:rsidP="00F43D6A">
      <w:pPr>
        <w:pStyle w:val="Odstavecseseznamem"/>
        <w:numPr>
          <w:ilvl w:val="0"/>
          <w:numId w:val="1"/>
        </w:numPr>
        <w:spacing w:after="200" w:line="276" w:lineRule="auto"/>
        <w:ind w:left="709" w:hanging="425"/>
        <w:jc w:val="both"/>
        <w:rPr>
          <w:rFonts w:ascii="Arial" w:hAnsi="Arial" w:cs="Arial"/>
          <w:color w:val="000000" w:themeColor="text1"/>
        </w:rPr>
      </w:pPr>
      <w:r w:rsidRPr="006D6195">
        <w:rPr>
          <w:rFonts w:ascii="Arial" w:hAnsi="Arial" w:cs="Arial"/>
          <w:color w:val="000000" w:themeColor="text1"/>
        </w:rPr>
        <w:t xml:space="preserve">PS – 2. čtení – </w:t>
      </w:r>
      <w:r w:rsidR="00083524">
        <w:rPr>
          <w:rFonts w:ascii="Arial" w:hAnsi="Arial" w:cs="Arial"/>
          <w:color w:val="000000" w:themeColor="text1"/>
        </w:rPr>
        <w:t>do konce května 2026</w:t>
      </w:r>
    </w:p>
    <w:p w14:paraId="301A4E46" w14:textId="6C1C2AC6" w:rsidR="00F43D6A" w:rsidRPr="006D6195" w:rsidRDefault="00F43D6A" w:rsidP="00F43D6A">
      <w:pPr>
        <w:pStyle w:val="Odstavecseseznamem"/>
        <w:numPr>
          <w:ilvl w:val="0"/>
          <w:numId w:val="1"/>
        </w:numPr>
        <w:spacing w:after="200" w:line="276" w:lineRule="auto"/>
        <w:ind w:left="709" w:hanging="425"/>
        <w:jc w:val="both"/>
        <w:rPr>
          <w:rFonts w:ascii="Arial" w:hAnsi="Arial" w:cs="Arial"/>
          <w:color w:val="000000" w:themeColor="text1"/>
        </w:rPr>
      </w:pPr>
      <w:r w:rsidRPr="006D6195">
        <w:rPr>
          <w:rFonts w:ascii="Arial" w:hAnsi="Arial" w:cs="Arial"/>
          <w:color w:val="000000" w:themeColor="text1"/>
        </w:rPr>
        <w:t xml:space="preserve">PS – 3. čtení – schválení a postoupení Senátu; </w:t>
      </w:r>
      <w:r w:rsidR="00083524">
        <w:rPr>
          <w:rFonts w:ascii="Arial" w:hAnsi="Arial" w:cs="Arial"/>
          <w:color w:val="000000" w:themeColor="text1"/>
        </w:rPr>
        <w:t xml:space="preserve">první polovina června </w:t>
      </w:r>
      <w:r w:rsidRPr="006D6195">
        <w:rPr>
          <w:rFonts w:ascii="Arial" w:hAnsi="Arial" w:cs="Arial"/>
          <w:color w:val="000000" w:themeColor="text1"/>
        </w:rPr>
        <w:t>2026</w:t>
      </w:r>
    </w:p>
    <w:p w14:paraId="4C629A1C" w14:textId="5417B7E1" w:rsidR="00F43D6A" w:rsidRPr="006D6195" w:rsidRDefault="00083524" w:rsidP="00F43D6A">
      <w:pPr>
        <w:spacing w:before="120" w:after="0" w:line="240" w:lineRule="auto"/>
        <w:jc w:val="both"/>
        <w:rPr>
          <w:rFonts w:ascii="Arial" w:hAnsi="Arial" w:cs="Arial"/>
          <w:color w:val="000000" w:themeColor="text1"/>
        </w:rPr>
      </w:pPr>
      <w:r>
        <w:rPr>
          <w:rFonts w:ascii="Arial" w:hAnsi="Arial" w:cs="Arial"/>
          <w:color w:val="000000" w:themeColor="text1"/>
          <w:u w:val="single"/>
        </w:rPr>
        <w:t>Projednání v </w:t>
      </w:r>
      <w:r w:rsidR="00F43D6A" w:rsidRPr="006D6195">
        <w:rPr>
          <w:rFonts w:ascii="Arial" w:hAnsi="Arial" w:cs="Arial"/>
          <w:color w:val="000000" w:themeColor="text1"/>
          <w:u w:val="single"/>
        </w:rPr>
        <w:t>Senát</w:t>
      </w:r>
      <w:r>
        <w:rPr>
          <w:rFonts w:ascii="Arial" w:hAnsi="Arial" w:cs="Arial"/>
          <w:color w:val="000000" w:themeColor="text1"/>
          <w:u w:val="single"/>
        </w:rPr>
        <w:t>u a vyjádření Prezidenta republiky</w:t>
      </w:r>
      <w:r w:rsidR="00F43D6A" w:rsidRPr="006D6195">
        <w:rPr>
          <w:rFonts w:ascii="Arial" w:hAnsi="Arial" w:cs="Arial"/>
          <w:color w:val="000000" w:themeColor="text1"/>
        </w:rPr>
        <w:t xml:space="preserve"> </w:t>
      </w:r>
      <w:r>
        <w:rPr>
          <w:rFonts w:ascii="Arial" w:hAnsi="Arial" w:cs="Arial"/>
          <w:color w:val="000000" w:themeColor="text1"/>
        </w:rPr>
        <w:t xml:space="preserve">– cíl </w:t>
      </w:r>
      <w:r w:rsidR="00F43D6A" w:rsidRPr="006D6195">
        <w:rPr>
          <w:rFonts w:ascii="Arial" w:hAnsi="Arial" w:cs="Arial"/>
          <w:color w:val="000000" w:themeColor="text1"/>
        </w:rPr>
        <w:t>do 15. 8. 2026</w:t>
      </w:r>
    </w:p>
    <w:p w14:paraId="7DBEF0AC" w14:textId="7318B1DB" w:rsidR="00F43D6A" w:rsidRDefault="00F43D6A" w:rsidP="00F43D6A">
      <w:pPr>
        <w:spacing w:before="120" w:after="0" w:line="240" w:lineRule="auto"/>
        <w:jc w:val="both"/>
        <w:rPr>
          <w:color w:val="000000" w:themeColor="text1"/>
        </w:rPr>
      </w:pPr>
      <w:r w:rsidRPr="006D6195">
        <w:rPr>
          <w:rFonts w:ascii="Arial" w:hAnsi="Arial" w:cs="Arial"/>
          <w:color w:val="000000" w:themeColor="text1"/>
          <w:u w:val="single"/>
        </w:rPr>
        <w:t>Publikace ve Sbírce zákonů</w:t>
      </w:r>
      <w:r w:rsidRPr="006D6195">
        <w:rPr>
          <w:rFonts w:ascii="Arial" w:hAnsi="Arial" w:cs="Arial"/>
          <w:color w:val="000000" w:themeColor="text1"/>
        </w:rPr>
        <w:t xml:space="preserve">: </w:t>
      </w:r>
      <w:r w:rsidR="00ED080E">
        <w:rPr>
          <w:rFonts w:ascii="Arial" w:hAnsi="Arial" w:cs="Arial"/>
          <w:color w:val="000000" w:themeColor="text1"/>
        </w:rPr>
        <w:t xml:space="preserve">cíl </w:t>
      </w:r>
      <w:r w:rsidRPr="006D6195">
        <w:rPr>
          <w:rFonts w:ascii="Arial" w:hAnsi="Arial" w:cs="Arial"/>
          <w:color w:val="000000" w:themeColor="text1"/>
        </w:rPr>
        <w:t>do 31. 8. 2026</w:t>
      </w:r>
      <w:r w:rsidRPr="006D6195">
        <w:rPr>
          <w:color w:val="000000" w:themeColor="text1"/>
        </w:rPr>
        <w:t xml:space="preserve"> </w:t>
      </w:r>
    </w:p>
    <w:p w14:paraId="6C24DBC7" w14:textId="77777777" w:rsidR="00ED080E" w:rsidRPr="006D6195" w:rsidRDefault="00ED080E" w:rsidP="00F43D6A">
      <w:pPr>
        <w:spacing w:before="120" w:after="0" w:line="240" w:lineRule="auto"/>
        <w:jc w:val="both"/>
        <w:rPr>
          <w:rFonts w:ascii="Arial" w:hAnsi="Arial" w:cs="Arial"/>
          <w:i/>
          <w:iCs/>
          <w:color w:val="000000" w:themeColor="text1"/>
          <w:u w:val="single"/>
        </w:rPr>
      </w:pPr>
    </w:p>
    <w:p w14:paraId="13EEE6FD" w14:textId="23B96685" w:rsidR="006D6195" w:rsidRPr="001B07C2" w:rsidRDefault="00F43D6A" w:rsidP="00F43D6A">
      <w:pPr>
        <w:spacing w:before="120" w:after="0" w:line="240" w:lineRule="auto"/>
        <w:jc w:val="both"/>
        <w:rPr>
          <w:rFonts w:ascii="Arial" w:hAnsi="Arial" w:cs="Arial"/>
          <w:b/>
          <w:bCs/>
        </w:rPr>
      </w:pPr>
      <w:r w:rsidRPr="001B07C2">
        <w:rPr>
          <w:rFonts w:ascii="Arial" w:hAnsi="Arial" w:cs="Arial"/>
          <w:b/>
          <w:bCs/>
        </w:rPr>
        <w:t>Účinnost od</w:t>
      </w:r>
      <w:r w:rsidR="00146AA6">
        <w:rPr>
          <w:rFonts w:ascii="Arial" w:hAnsi="Arial" w:cs="Arial"/>
          <w:b/>
          <w:bCs/>
        </w:rPr>
        <w:t xml:space="preserve"> </w:t>
      </w:r>
      <w:r w:rsidR="00146AA6" w:rsidRPr="006D6195">
        <w:rPr>
          <w:rFonts w:ascii="Arial" w:hAnsi="Arial" w:cs="Arial"/>
          <w:b/>
          <w:bCs/>
        </w:rPr>
        <w:t>1. ledna 2027</w:t>
      </w:r>
      <w:r w:rsidRPr="001B07C2">
        <w:rPr>
          <w:rFonts w:ascii="Arial" w:hAnsi="Arial" w:cs="Arial"/>
          <w:b/>
          <w:bCs/>
        </w:rPr>
        <w:t xml:space="preserve"> </w:t>
      </w:r>
    </w:p>
    <w:p w14:paraId="789993B0" w14:textId="77777777" w:rsidR="00F43D6A" w:rsidRDefault="00F43D6A" w:rsidP="00F43D6A">
      <w:pPr>
        <w:spacing w:after="0" w:line="240" w:lineRule="auto"/>
        <w:rPr>
          <w:rFonts w:ascii="Arial" w:hAnsi="Arial" w:cs="Arial"/>
        </w:rPr>
      </w:pPr>
    </w:p>
    <w:p w14:paraId="58C0F393" w14:textId="77777777" w:rsidR="00ED080E" w:rsidRDefault="00ED080E" w:rsidP="00403DEE">
      <w:pPr>
        <w:jc w:val="both"/>
        <w:rPr>
          <w:rFonts w:ascii="Arial" w:hAnsi="Arial" w:cs="Arial"/>
          <w:color w:val="FF0000"/>
        </w:rPr>
      </w:pPr>
    </w:p>
    <w:p w14:paraId="1BC91E15" w14:textId="5D10635E" w:rsidR="0060193A" w:rsidRPr="0060193A" w:rsidRDefault="0060193A" w:rsidP="00403DEE">
      <w:pPr>
        <w:jc w:val="both"/>
        <w:rPr>
          <w:rFonts w:ascii="Arial" w:hAnsi="Arial" w:cs="Arial"/>
          <w:b/>
          <w:bCs/>
        </w:rPr>
      </w:pPr>
      <w:r w:rsidRPr="0060193A">
        <w:rPr>
          <w:rFonts w:ascii="Arial" w:hAnsi="Arial" w:cs="Arial"/>
          <w:b/>
          <w:bCs/>
        </w:rPr>
        <w:t>Ad</w:t>
      </w:r>
      <w:r w:rsidRPr="0060193A">
        <w:rPr>
          <w:rFonts w:ascii="Arial" w:hAnsi="Arial" w:cs="Arial"/>
          <w:b/>
          <w:bCs/>
          <w:color w:val="FF0000"/>
        </w:rPr>
        <w:t xml:space="preserve"> </w:t>
      </w:r>
      <w:r w:rsidRPr="0060193A">
        <w:rPr>
          <w:rFonts w:ascii="Arial" w:hAnsi="Arial" w:cs="Arial"/>
          <w:b/>
          <w:bCs/>
        </w:rPr>
        <w:t>předčasné důchody u náročných profesí</w:t>
      </w:r>
      <w:r w:rsidR="00403DEE">
        <w:rPr>
          <w:rFonts w:ascii="Arial" w:hAnsi="Arial" w:cs="Arial"/>
          <w:b/>
          <w:bCs/>
        </w:rPr>
        <w:t>:</w:t>
      </w:r>
    </w:p>
    <w:p w14:paraId="4AABBAB5" w14:textId="5F8965A2" w:rsidR="0060193A" w:rsidRPr="00403DEE" w:rsidRDefault="0060193A">
      <w:pPr>
        <w:rPr>
          <w:rFonts w:ascii="Arial" w:hAnsi="Arial" w:cs="Arial"/>
          <w:b/>
          <w:u w:val="single"/>
        </w:rPr>
      </w:pPr>
      <w:r w:rsidRPr="00403DEE">
        <w:rPr>
          <w:rFonts w:ascii="Arial" w:hAnsi="Arial" w:cs="Arial"/>
          <w:b/>
          <w:u w:val="single"/>
        </w:rPr>
        <w:t>Stávající právní úprava</w:t>
      </w:r>
    </w:p>
    <w:p w14:paraId="628AEB1A" w14:textId="198C3B03" w:rsidR="00C147B7" w:rsidRPr="00F51366" w:rsidRDefault="00741B4C" w:rsidP="00403DEE">
      <w:pPr>
        <w:spacing w:after="120" w:line="240" w:lineRule="auto"/>
        <w:jc w:val="both"/>
        <w:rPr>
          <w:rFonts w:ascii="Arial" w:hAnsi="Arial" w:cs="Arial"/>
        </w:rPr>
      </w:pPr>
      <w:bookmarkStart w:id="5" w:name="_Hlk220676728"/>
      <w:r w:rsidRPr="00F51366">
        <w:rPr>
          <w:rFonts w:ascii="Arial" w:hAnsi="Arial" w:cs="Arial"/>
        </w:rPr>
        <w:t>Náročné profese jsou v současné době řešeny v I. pilíři</w:t>
      </w:r>
      <w:r w:rsidR="00C147B7" w:rsidRPr="00F51366">
        <w:rPr>
          <w:rFonts w:ascii="Arial" w:hAnsi="Arial" w:cs="Arial"/>
        </w:rPr>
        <w:t xml:space="preserve"> (tj. především v zákoně č. 155/1995 Sb., o důchodovém pojištění) a dále ve III. pilíři</w:t>
      </w:r>
      <w:r w:rsidRPr="00F51366">
        <w:rPr>
          <w:rFonts w:ascii="Arial" w:hAnsi="Arial" w:cs="Arial"/>
        </w:rPr>
        <w:t xml:space="preserve"> </w:t>
      </w:r>
      <w:r w:rsidR="00C147B7" w:rsidRPr="00F51366">
        <w:rPr>
          <w:rFonts w:ascii="Arial" w:hAnsi="Arial" w:cs="Arial"/>
        </w:rPr>
        <w:t>(zákon č. 324/2025 Sb., o povinném příspěvku na produkty spoření na stáří).</w:t>
      </w:r>
      <w:bookmarkEnd w:id="5"/>
    </w:p>
    <w:p w14:paraId="066A26AE" w14:textId="77777777" w:rsidR="00C147B7" w:rsidRPr="00403DEE" w:rsidRDefault="00C147B7" w:rsidP="00403DEE">
      <w:pPr>
        <w:spacing w:after="120" w:line="240" w:lineRule="auto"/>
        <w:jc w:val="both"/>
        <w:rPr>
          <w:rFonts w:ascii="Arial" w:eastAsia="Times New Roman" w:hAnsi="Arial" w:cs="Arial"/>
          <w:kern w:val="0"/>
          <w:lang w:eastAsia="cs-CZ"/>
          <w14:ligatures w14:val="none"/>
        </w:rPr>
      </w:pPr>
    </w:p>
    <w:p w14:paraId="1BB452EC" w14:textId="3A5EB065" w:rsidR="00741B4C" w:rsidRPr="00403DEE" w:rsidRDefault="00C147B7" w:rsidP="00403DEE">
      <w:pPr>
        <w:spacing w:after="120" w:line="240" w:lineRule="auto"/>
        <w:jc w:val="both"/>
        <w:rPr>
          <w:rFonts w:ascii="Arial" w:eastAsia="Times New Roman" w:hAnsi="Arial" w:cs="Arial"/>
          <w:b/>
          <w:bCs/>
          <w:kern w:val="0"/>
          <w:u w:val="single"/>
          <w:lang w:eastAsia="cs-CZ"/>
          <w14:ligatures w14:val="none"/>
        </w:rPr>
      </w:pPr>
      <w:r w:rsidRPr="00403DEE">
        <w:rPr>
          <w:rFonts w:ascii="Arial" w:eastAsia="Times New Roman" w:hAnsi="Arial" w:cs="Arial"/>
          <w:b/>
          <w:bCs/>
          <w:kern w:val="0"/>
          <w:u w:val="single"/>
          <w:lang w:eastAsia="cs-CZ"/>
          <w14:ligatures w14:val="none"/>
        </w:rPr>
        <w:t>H</w:t>
      </w:r>
      <w:r w:rsidR="00741B4C" w:rsidRPr="00403DEE">
        <w:rPr>
          <w:rFonts w:ascii="Arial" w:eastAsia="Times New Roman" w:hAnsi="Arial" w:cs="Arial"/>
          <w:b/>
          <w:bCs/>
          <w:kern w:val="0"/>
          <w:u w:val="single"/>
          <w:lang w:eastAsia="cs-CZ"/>
          <w14:ligatures w14:val="none"/>
        </w:rPr>
        <w:t>lavní principy právní úpravy s vyznačením rozdílů úpravy v I. pilíři (</w:t>
      </w:r>
      <w:r w:rsidRPr="00403DEE">
        <w:rPr>
          <w:rFonts w:ascii="Arial" w:eastAsia="Times New Roman" w:hAnsi="Arial" w:cs="Arial"/>
          <w:b/>
          <w:bCs/>
          <w:kern w:val="0"/>
          <w:u w:val="single"/>
          <w:lang w:eastAsia="cs-CZ"/>
          <w14:ligatures w14:val="none"/>
        </w:rPr>
        <w:t>zákon</w:t>
      </w:r>
      <w:r w:rsidR="00741B4C" w:rsidRPr="00403DEE">
        <w:rPr>
          <w:rFonts w:ascii="Arial" w:eastAsia="Times New Roman" w:hAnsi="Arial" w:cs="Arial"/>
          <w:b/>
          <w:bCs/>
          <w:kern w:val="0"/>
          <w:u w:val="single"/>
          <w:lang w:eastAsia="cs-CZ"/>
          <w14:ligatures w14:val="none"/>
        </w:rPr>
        <w:t xml:space="preserve"> o důchodovém pojištění) ve srovnání s úpravou ve III. pilíři (zákon o povinném příspěvku na produkty spoření na stáří).</w:t>
      </w:r>
    </w:p>
    <w:p w14:paraId="0515738A" w14:textId="77777777" w:rsidR="00C147B7" w:rsidRDefault="00C147B7" w:rsidP="00C147B7">
      <w:pPr>
        <w:jc w:val="center"/>
        <w:rPr>
          <w:b/>
          <w:bCs/>
          <w:sz w:val="28"/>
          <w:szCs w:val="28"/>
        </w:rPr>
      </w:pPr>
    </w:p>
    <w:tbl>
      <w:tblPr>
        <w:tblStyle w:val="Mkatabulky"/>
        <w:tblW w:w="0" w:type="auto"/>
        <w:tblLook w:val="04A0" w:firstRow="1" w:lastRow="0" w:firstColumn="1" w:lastColumn="0" w:noHBand="0" w:noVBand="1"/>
      </w:tblPr>
      <w:tblGrid>
        <w:gridCol w:w="4531"/>
        <w:gridCol w:w="4531"/>
      </w:tblGrid>
      <w:tr w:rsidR="00C147B7" w14:paraId="26C4E266" w14:textId="77777777" w:rsidTr="00730A2C">
        <w:tc>
          <w:tcPr>
            <w:tcW w:w="4531" w:type="dxa"/>
          </w:tcPr>
          <w:p w14:paraId="22FE1774" w14:textId="77777777" w:rsidR="00C147B7" w:rsidRDefault="00C147B7" w:rsidP="00C147B7">
            <w:pPr>
              <w:pStyle w:val="Odstavecseseznamem"/>
              <w:numPr>
                <w:ilvl w:val="0"/>
                <w:numId w:val="2"/>
              </w:numPr>
              <w:jc w:val="both"/>
            </w:pPr>
            <w:r>
              <w:t>pilíř</w:t>
            </w:r>
          </w:p>
        </w:tc>
        <w:tc>
          <w:tcPr>
            <w:tcW w:w="4531" w:type="dxa"/>
          </w:tcPr>
          <w:p w14:paraId="08D677F7" w14:textId="77777777" w:rsidR="00C147B7" w:rsidRDefault="00C147B7" w:rsidP="00C147B7">
            <w:pPr>
              <w:pStyle w:val="Odstavecseseznamem"/>
              <w:numPr>
                <w:ilvl w:val="0"/>
                <w:numId w:val="3"/>
              </w:numPr>
              <w:jc w:val="both"/>
            </w:pPr>
            <w:r>
              <w:t>pilíř</w:t>
            </w:r>
          </w:p>
        </w:tc>
      </w:tr>
      <w:tr w:rsidR="00C147B7" w14:paraId="07C99290" w14:textId="77777777" w:rsidTr="00730A2C">
        <w:tc>
          <w:tcPr>
            <w:tcW w:w="9062" w:type="dxa"/>
            <w:gridSpan w:val="2"/>
          </w:tcPr>
          <w:p w14:paraId="6A2E2836" w14:textId="77777777" w:rsidR="00C147B7" w:rsidRPr="00624347" w:rsidRDefault="00C147B7" w:rsidP="00730A2C">
            <w:pPr>
              <w:jc w:val="center"/>
              <w:rPr>
                <w:b/>
                <w:bCs/>
              </w:rPr>
            </w:pPr>
            <w:r w:rsidRPr="00624347">
              <w:rPr>
                <w:b/>
                <w:bCs/>
              </w:rPr>
              <w:t>Podmínky pro vznik nároku</w:t>
            </w:r>
          </w:p>
        </w:tc>
      </w:tr>
      <w:tr w:rsidR="00C147B7" w14:paraId="4C4BF6D0" w14:textId="77777777" w:rsidTr="00730A2C">
        <w:tc>
          <w:tcPr>
            <w:tcW w:w="4531" w:type="dxa"/>
          </w:tcPr>
          <w:p w14:paraId="5B0843DA" w14:textId="77777777" w:rsidR="00C147B7" w:rsidRDefault="00C147B7" w:rsidP="00730A2C">
            <w:pPr>
              <w:jc w:val="both"/>
            </w:pPr>
            <w:r>
              <w:t xml:space="preserve">Nárok na snížený důchodový věk vznikne až v případě získání alespoň 2 200 směn v náročné profesi (výkon práce při působení rizik v kategorii 4, zdravotnického záchranáře, člena jednotky HZS podniku). Nevýhodou jsou situace, kdy zaměstnanec získá např. 2 100 směn v rizikové práci – nárok na </w:t>
            </w:r>
            <w:r>
              <w:lastRenderedPageBreak/>
              <w:t xml:space="preserve">snížený DV nevznikne. K naplnění 2 200 směn je třeba časový úsek cca 10 let nepřetržité práce v riziku. </w:t>
            </w:r>
          </w:p>
        </w:tc>
        <w:tc>
          <w:tcPr>
            <w:tcW w:w="4531" w:type="dxa"/>
          </w:tcPr>
          <w:p w14:paraId="671FDC1B" w14:textId="77777777" w:rsidR="00C147B7" w:rsidRDefault="00C147B7" w:rsidP="00730A2C">
            <w:pPr>
              <w:jc w:val="both"/>
            </w:pPr>
            <w:r>
              <w:lastRenderedPageBreak/>
              <w:t xml:space="preserve">Nárok na příspěvek vznikne, pokud zaměstnanec získá alespoň 3 směny v kalendářním měsíci ve 3. kategorii při působení rizik vibrace, zátěž chladem, zátěž teplem a celková fyzická zátěž. Výhodou je, že za poměrně malý počet směn v měsíci bude náležet zaměstnanci </w:t>
            </w:r>
            <w:r>
              <w:lastRenderedPageBreak/>
              <w:t>příspěvek od zaměstnavatele. Zaměstnanec získá benefit téměř vždy.</w:t>
            </w:r>
          </w:p>
        </w:tc>
      </w:tr>
      <w:tr w:rsidR="00C147B7" w14:paraId="086ADFFB" w14:textId="77777777" w:rsidTr="00730A2C">
        <w:tc>
          <w:tcPr>
            <w:tcW w:w="9062" w:type="dxa"/>
            <w:gridSpan w:val="2"/>
          </w:tcPr>
          <w:p w14:paraId="19485ED5" w14:textId="77777777" w:rsidR="00C147B7" w:rsidRPr="00624347" w:rsidRDefault="00C147B7" w:rsidP="00730A2C">
            <w:pPr>
              <w:jc w:val="center"/>
              <w:rPr>
                <w:b/>
                <w:bCs/>
              </w:rPr>
            </w:pPr>
            <w:r w:rsidRPr="00624347">
              <w:rPr>
                <w:b/>
                <w:bCs/>
              </w:rPr>
              <w:lastRenderedPageBreak/>
              <w:t>Zpětné uznání směn</w:t>
            </w:r>
          </w:p>
        </w:tc>
      </w:tr>
      <w:tr w:rsidR="00C147B7" w14:paraId="18789548" w14:textId="77777777" w:rsidTr="00730A2C">
        <w:tc>
          <w:tcPr>
            <w:tcW w:w="4531" w:type="dxa"/>
          </w:tcPr>
          <w:p w14:paraId="071F686B" w14:textId="77777777" w:rsidR="00C147B7" w:rsidRDefault="00C147B7" w:rsidP="00730A2C">
            <w:pPr>
              <w:jc w:val="both"/>
            </w:pPr>
            <w:r>
              <w:t>U zaměstnance ZZS a členů jednotky HZS podniku je možno započítat i směny získané v období od 1. 1. 1993. U zaměstnanců vykonávajících práce ve 4. kategorii je možno započítat i směny získané v období od 1. 1. 2015.</w:t>
            </w:r>
          </w:p>
        </w:tc>
        <w:tc>
          <w:tcPr>
            <w:tcW w:w="4531" w:type="dxa"/>
          </w:tcPr>
          <w:p w14:paraId="5AF5883E" w14:textId="77777777" w:rsidR="00C147B7" w:rsidRDefault="00C147B7" w:rsidP="00730A2C">
            <w:pPr>
              <w:jc w:val="both"/>
            </w:pPr>
            <w:r>
              <w:t>Příspěvek zaměstnanci náleží za směny získané (při splnění podmínek zákona) od účinnosti zákona, tj, od 1. 1. 2026. Za zpětné období nelze příspěvek poskytnout.</w:t>
            </w:r>
          </w:p>
        </w:tc>
      </w:tr>
      <w:tr w:rsidR="00C147B7" w14:paraId="5939A3E2" w14:textId="77777777" w:rsidTr="00730A2C">
        <w:tc>
          <w:tcPr>
            <w:tcW w:w="9062" w:type="dxa"/>
            <w:gridSpan w:val="2"/>
          </w:tcPr>
          <w:p w14:paraId="6503AE11" w14:textId="77777777" w:rsidR="00C147B7" w:rsidRPr="00624347" w:rsidRDefault="00C147B7" w:rsidP="00730A2C">
            <w:pPr>
              <w:jc w:val="center"/>
              <w:rPr>
                <w:b/>
                <w:bCs/>
              </w:rPr>
            </w:pPr>
            <w:r w:rsidRPr="00624347">
              <w:rPr>
                <w:b/>
                <w:bCs/>
              </w:rPr>
              <w:t>Zápočet směn</w:t>
            </w:r>
          </w:p>
        </w:tc>
      </w:tr>
      <w:tr w:rsidR="00C147B7" w14:paraId="37C94CF8" w14:textId="77777777" w:rsidTr="00730A2C">
        <w:tc>
          <w:tcPr>
            <w:tcW w:w="4531" w:type="dxa"/>
          </w:tcPr>
          <w:p w14:paraId="1350E98C" w14:textId="77777777" w:rsidR="00C147B7" w:rsidRPr="00C9568E" w:rsidRDefault="00C147B7" w:rsidP="00730A2C">
            <w:pPr>
              <w:jc w:val="both"/>
              <w:rPr>
                <w:sz w:val="26"/>
                <w:szCs w:val="26"/>
              </w:rPr>
            </w:pPr>
            <w:r>
              <w:t xml:space="preserve">Pro vznik nároku se započítají všechny hodiny (i započaté) při působení rizik v kategorii 4., výkonu práce zaměstnance ZZS a člena jednotky HZS podniku. Jedná se tedy o 100% zápočet. Za každý kalendářní rok se hodiny přepočtou na směny </w:t>
            </w:r>
            <w:r>
              <w:rPr>
                <w:sz w:val="26"/>
                <w:szCs w:val="26"/>
              </w:rPr>
              <w:t>(1 směna = 8 hodin)</w:t>
            </w:r>
          </w:p>
        </w:tc>
        <w:tc>
          <w:tcPr>
            <w:tcW w:w="4531" w:type="dxa"/>
          </w:tcPr>
          <w:p w14:paraId="221C6E89" w14:textId="77777777" w:rsidR="00C147B7" w:rsidRDefault="00C147B7" w:rsidP="00730A2C">
            <w:pPr>
              <w:jc w:val="both"/>
            </w:pPr>
            <w:r>
              <w:t>Započtou se pouze směny, ve kterých byla vykonávána práce v kat. 3. (při působení výše uvedených rizik) alespoň po její převážnou část.</w:t>
            </w:r>
          </w:p>
        </w:tc>
      </w:tr>
      <w:tr w:rsidR="00C147B7" w14:paraId="06EDC5E3" w14:textId="77777777" w:rsidTr="00730A2C">
        <w:tc>
          <w:tcPr>
            <w:tcW w:w="9062" w:type="dxa"/>
            <w:gridSpan w:val="2"/>
          </w:tcPr>
          <w:p w14:paraId="409A9FB5" w14:textId="77777777" w:rsidR="00C147B7" w:rsidRPr="00624347" w:rsidRDefault="00C147B7" w:rsidP="00730A2C">
            <w:pPr>
              <w:jc w:val="center"/>
              <w:rPr>
                <w:b/>
                <w:bCs/>
              </w:rPr>
            </w:pPr>
            <w:r w:rsidRPr="00624347">
              <w:rPr>
                <w:b/>
                <w:bCs/>
              </w:rPr>
              <w:t>Zápočet směn v souběhu, vyloučení dvojí platby</w:t>
            </w:r>
          </w:p>
        </w:tc>
      </w:tr>
      <w:tr w:rsidR="00C147B7" w14:paraId="5E6783C9" w14:textId="77777777" w:rsidTr="00730A2C">
        <w:tc>
          <w:tcPr>
            <w:tcW w:w="4531" w:type="dxa"/>
          </w:tcPr>
          <w:p w14:paraId="6ACD54DA" w14:textId="77777777" w:rsidR="00C147B7" w:rsidRDefault="00C147B7" w:rsidP="00730A2C">
            <w:pPr>
              <w:jc w:val="both"/>
            </w:pPr>
            <w:r>
              <w:t>V případě souběžného výkonu práce ve 4. kategorii s prací ve 3. kategorii (při působení výše uvedených rizik) má zaměstnavatel povinnost vést dvojí evidenci, jednak pro možnost získání sníženého DV a dále pro povinnost hradit příspěvek. V těchto případech zaměstnavatel nehradí zvýšené pojistné, ale přednost má povinný příspěvek na produkty spoření na stáří.</w:t>
            </w:r>
          </w:p>
        </w:tc>
        <w:tc>
          <w:tcPr>
            <w:tcW w:w="4531" w:type="dxa"/>
          </w:tcPr>
          <w:p w14:paraId="623D22A8" w14:textId="4A9FBA02" w:rsidR="00C147B7" w:rsidRDefault="00ED080E" w:rsidP="00730A2C">
            <w:pPr>
              <w:jc w:val="both"/>
            </w:pPr>
            <w:r>
              <w:t>Platí stejně</w:t>
            </w:r>
          </w:p>
        </w:tc>
      </w:tr>
      <w:tr w:rsidR="00C147B7" w14:paraId="25120004" w14:textId="77777777" w:rsidTr="00730A2C">
        <w:tc>
          <w:tcPr>
            <w:tcW w:w="9062" w:type="dxa"/>
            <w:gridSpan w:val="2"/>
          </w:tcPr>
          <w:p w14:paraId="4437A06B" w14:textId="77777777" w:rsidR="00C147B7" w:rsidRPr="00C9568E" w:rsidRDefault="00C147B7" w:rsidP="00730A2C">
            <w:pPr>
              <w:jc w:val="center"/>
              <w:rPr>
                <w:b/>
                <w:bCs/>
              </w:rPr>
            </w:pPr>
            <w:r w:rsidRPr="00C9568E">
              <w:rPr>
                <w:b/>
                <w:bCs/>
              </w:rPr>
              <w:t>Administrativa</w:t>
            </w:r>
          </w:p>
        </w:tc>
      </w:tr>
      <w:tr w:rsidR="00C147B7" w14:paraId="4858B6F1" w14:textId="77777777" w:rsidTr="00730A2C">
        <w:tc>
          <w:tcPr>
            <w:tcW w:w="4531" w:type="dxa"/>
          </w:tcPr>
          <w:p w14:paraId="3E975672" w14:textId="77777777" w:rsidR="00C147B7" w:rsidRDefault="00C147B7" w:rsidP="00730A2C">
            <w:pPr>
              <w:jc w:val="both"/>
            </w:pPr>
            <w:r>
              <w:t>Zaměstnavatel má povinnost vést evidenci hodin práce v riziku, provést přepočet hodin na směny a vykázat je orgánu sociálního zabezpečení. Kontrolu provádí ÚSSZ.</w:t>
            </w:r>
          </w:p>
          <w:p w14:paraId="4EDC27B5" w14:textId="77777777" w:rsidR="00C147B7" w:rsidRDefault="00C147B7" w:rsidP="00730A2C">
            <w:pPr>
              <w:jc w:val="both"/>
            </w:pPr>
            <w:r>
              <w:t>Právní úprava je v gesci MPSV.</w:t>
            </w:r>
          </w:p>
        </w:tc>
        <w:tc>
          <w:tcPr>
            <w:tcW w:w="4531" w:type="dxa"/>
          </w:tcPr>
          <w:p w14:paraId="20482924" w14:textId="77777777" w:rsidR="00ED080E" w:rsidRDefault="00C147B7" w:rsidP="00730A2C">
            <w:pPr>
              <w:jc w:val="both"/>
            </w:pPr>
            <w:r>
              <w:t xml:space="preserve">Zaměstnavatel má povinnost evidovat odpracované </w:t>
            </w:r>
            <w:r w:rsidR="00ED080E">
              <w:t>hodiny práce v riziku</w:t>
            </w:r>
            <w:r>
              <w:t xml:space="preserve"> v kategorii 3</w:t>
            </w:r>
            <w:r w:rsidR="00ED080E">
              <w:t xml:space="preserve"> (jen čtyř stanovených rizik) a vyhodnotit u každé směny podmínku převážnosti práce v riziku</w:t>
            </w:r>
            <w:r>
              <w:t xml:space="preserve">. V případě alespoň 3 směn uhradit povinný příspěvek ve výši 4 % vyměřovacího základu za rozhodné období. </w:t>
            </w:r>
          </w:p>
          <w:p w14:paraId="6EEC31DA" w14:textId="603A9020" w:rsidR="00C147B7" w:rsidRDefault="00C147B7" w:rsidP="00730A2C">
            <w:pPr>
              <w:jc w:val="both"/>
            </w:pPr>
            <w:r>
              <w:t xml:space="preserve">Nevýhodou </w:t>
            </w:r>
            <w:r w:rsidR="00ED080E">
              <w:t>jsou kolize dobrovolného a povinného příspěvku, zaměstnanec nemusí získat dodatečná 4 %</w:t>
            </w:r>
            <w:r>
              <w:t xml:space="preserve">. </w:t>
            </w:r>
          </w:p>
          <w:p w14:paraId="07C3FA2C" w14:textId="77777777" w:rsidR="00ED080E" w:rsidRDefault="00C147B7" w:rsidP="00730A2C">
            <w:pPr>
              <w:jc w:val="both"/>
            </w:pPr>
            <w:r>
              <w:t>Právní úprava je v gesci MF.</w:t>
            </w:r>
            <w:r w:rsidR="00ED080E">
              <w:t xml:space="preserve"> </w:t>
            </w:r>
          </w:p>
          <w:p w14:paraId="764175FF" w14:textId="0E0C451C" w:rsidR="00C147B7" w:rsidRDefault="00ED080E" w:rsidP="00730A2C">
            <w:pPr>
              <w:jc w:val="both"/>
            </w:pPr>
            <w:r>
              <w:t>Kontrolu provádí ÚSSZ.</w:t>
            </w:r>
          </w:p>
        </w:tc>
      </w:tr>
      <w:tr w:rsidR="00C147B7" w14:paraId="545588DD" w14:textId="77777777" w:rsidTr="00730A2C">
        <w:tc>
          <w:tcPr>
            <w:tcW w:w="9062" w:type="dxa"/>
            <w:gridSpan w:val="2"/>
          </w:tcPr>
          <w:p w14:paraId="0E6F0668" w14:textId="77777777" w:rsidR="00C147B7" w:rsidRDefault="00C147B7" w:rsidP="00730A2C">
            <w:pPr>
              <w:jc w:val="center"/>
            </w:pPr>
            <w:r w:rsidRPr="00624347">
              <w:rPr>
                <w:b/>
                <w:bCs/>
              </w:rPr>
              <w:t>Dopad na státní rozpočet</w:t>
            </w:r>
          </w:p>
        </w:tc>
      </w:tr>
      <w:tr w:rsidR="00C147B7" w14:paraId="2B77BF8A" w14:textId="77777777" w:rsidTr="00730A2C">
        <w:tc>
          <w:tcPr>
            <w:tcW w:w="4531" w:type="dxa"/>
          </w:tcPr>
          <w:p w14:paraId="70707241" w14:textId="2D9CE838" w:rsidR="00C147B7" w:rsidRDefault="00C147B7" w:rsidP="00730A2C">
            <w:pPr>
              <w:jc w:val="both"/>
            </w:pPr>
            <w:r>
              <w:t>I přes skutečnost, že zaměstnavatel má povinnost postupně odvádět zvýšené pojistné (až o 5 %), opatření bude mít</w:t>
            </w:r>
            <w:r w:rsidR="00ED080E">
              <w:t xml:space="preserve"> </w:t>
            </w:r>
            <w:r w:rsidR="00ED080E">
              <w:lastRenderedPageBreak/>
              <w:t>v delším horizontu</w:t>
            </w:r>
            <w:r>
              <w:t xml:space="preserve"> dopad na státní rozpočet.</w:t>
            </w:r>
          </w:p>
        </w:tc>
        <w:tc>
          <w:tcPr>
            <w:tcW w:w="4531" w:type="dxa"/>
          </w:tcPr>
          <w:p w14:paraId="24DC1E01" w14:textId="77777777" w:rsidR="00C147B7" w:rsidRDefault="00C147B7" w:rsidP="00730A2C">
            <w:pPr>
              <w:jc w:val="both"/>
            </w:pPr>
            <w:r>
              <w:lastRenderedPageBreak/>
              <w:t>Příspěvek je hrazen zaměstnavatelem ve prospěch zaměstnance, tj. bez dopadu na státní rozpočet.</w:t>
            </w:r>
          </w:p>
        </w:tc>
      </w:tr>
      <w:tr w:rsidR="00C147B7" w14:paraId="7ACB401E" w14:textId="77777777" w:rsidTr="00730A2C">
        <w:tc>
          <w:tcPr>
            <w:tcW w:w="9062" w:type="dxa"/>
            <w:gridSpan w:val="2"/>
          </w:tcPr>
          <w:p w14:paraId="2BFBED4C" w14:textId="77777777" w:rsidR="00C147B7" w:rsidRDefault="00C147B7" w:rsidP="00730A2C">
            <w:pPr>
              <w:jc w:val="both"/>
            </w:pPr>
          </w:p>
        </w:tc>
      </w:tr>
    </w:tbl>
    <w:p w14:paraId="6267B1FD" w14:textId="77777777" w:rsidR="00C147B7" w:rsidRDefault="00C147B7" w:rsidP="00C147B7">
      <w:pPr>
        <w:jc w:val="both"/>
      </w:pPr>
    </w:p>
    <w:p w14:paraId="3F2410C0" w14:textId="77777777" w:rsidR="00C147B7" w:rsidRPr="00403DEE" w:rsidRDefault="00C147B7" w:rsidP="00C147B7">
      <w:pPr>
        <w:jc w:val="both"/>
        <w:rPr>
          <w:rFonts w:ascii="Arial" w:hAnsi="Arial" w:cs="Arial"/>
          <w:b/>
          <w:bCs/>
          <w:u w:val="single"/>
        </w:rPr>
      </w:pPr>
      <w:r w:rsidRPr="00403DEE">
        <w:rPr>
          <w:rFonts w:ascii="Arial" w:hAnsi="Arial" w:cs="Arial"/>
          <w:b/>
          <w:bCs/>
          <w:u w:val="single"/>
        </w:rPr>
        <w:t>Možnosti variantních řešení:</w:t>
      </w:r>
    </w:p>
    <w:p w14:paraId="65A3676B" w14:textId="77777777" w:rsidR="00C147B7" w:rsidRPr="00403DEE" w:rsidRDefault="00C147B7" w:rsidP="00C147B7">
      <w:pPr>
        <w:jc w:val="both"/>
        <w:rPr>
          <w:rFonts w:ascii="Arial" w:hAnsi="Arial" w:cs="Arial"/>
        </w:rPr>
      </w:pPr>
      <w:r w:rsidRPr="00403DEE">
        <w:rPr>
          <w:rFonts w:ascii="Arial" w:hAnsi="Arial" w:cs="Arial"/>
        </w:rPr>
        <w:t xml:space="preserve">Varianta 1. </w:t>
      </w:r>
    </w:p>
    <w:p w14:paraId="48C373A0" w14:textId="77777777" w:rsidR="00C147B7" w:rsidRPr="00403DEE" w:rsidRDefault="00C147B7" w:rsidP="00C147B7">
      <w:pPr>
        <w:pStyle w:val="Odstavecseseznamem"/>
        <w:numPr>
          <w:ilvl w:val="0"/>
          <w:numId w:val="4"/>
        </w:numPr>
        <w:jc w:val="both"/>
        <w:rPr>
          <w:rFonts w:ascii="Arial" w:hAnsi="Arial" w:cs="Arial"/>
        </w:rPr>
      </w:pPr>
      <w:r w:rsidRPr="00403DEE">
        <w:rPr>
          <w:rFonts w:ascii="Arial" w:hAnsi="Arial" w:cs="Arial"/>
        </w:rPr>
        <w:t>zrušit úpravu náročných profesí ve III. pilíři,</w:t>
      </w:r>
    </w:p>
    <w:p w14:paraId="0D378F5B" w14:textId="314918D4" w:rsidR="00C147B7" w:rsidRPr="00403DEE" w:rsidRDefault="00C147B7" w:rsidP="00C147B7">
      <w:pPr>
        <w:pStyle w:val="Odstavecseseznamem"/>
        <w:numPr>
          <w:ilvl w:val="0"/>
          <w:numId w:val="4"/>
        </w:numPr>
        <w:jc w:val="both"/>
        <w:rPr>
          <w:rFonts w:ascii="Arial" w:hAnsi="Arial" w:cs="Arial"/>
        </w:rPr>
      </w:pPr>
      <w:r w:rsidRPr="00403DEE">
        <w:rPr>
          <w:rFonts w:ascii="Arial" w:hAnsi="Arial" w:cs="Arial"/>
        </w:rPr>
        <w:t xml:space="preserve">ponechat dosavadní právní úpravu v I. pilíři + rozšířit okruh rizikové práce o rizika v kategorii 3. pro faktory pracovních podmínek vibrace, zátěž chladem, zátěž teplem a celková fyzická zátěž, </w:t>
      </w:r>
    </w:p>
    <w:p w14:paraId="27833B73" w14:textId="13C88333" w:rsidR="00C147B7" w:rsidRPr="00403DEE" w:rsidRDefault="00C147B7" w:rsidP="00C147B7">
      <w:pPr>
        <w:pStyle w:val="Odstavecseseznamem"/>
        <w:numPr>
          <w:ilvl w:val="0"/>
          <w:numId w:val="4"/>
        </w:numPr>
        <w:jc w:val="both"/>
        <w:rPr>
          <w:rFonts w:ascii="Arial" w:hAnsi="Arial" w:cs="Arial"/>
        </w:rPr>
      </w:pPr>
      <w:r w:rsidRPr="00403DEE">
        <w:rPr>
          <w:rFonts w:ascii="Arial" w:hAnsi="Arial" w:cs="Arial"/>
        </w:rPr>
        <w:t>rozš</w:t>
      </w:r>
      <w:r w:rsidR="00ED080E">
        <w:rPr>
          <w:rFonts w:ascii="Arial" w:hAnsi="Arial" w:cs="Arial"/>
        </w:rPr>
        <w:t>i</w:t>
      </w:r>
      <w:r w:rsidRPr="00403DEE">
        <w:rPr>
          <w:rFonts w:ascii="Arial" w:hAnsi="Arial" w:cs="Arial"/>
        </w:rPr>
        <w:t>ř</w:t>
      </w:r>
      <w:r w:rsidR="00ED080E">
        <w:rPr>
          <w:rFonts w:ascii="Arial" w:hAnsi="Arial" w:cs="Arial"/>
        </w:rPr>
        <w:t>ovat</w:t>
      </w:r>
      <w:r w:rsidRPr="00403DEE">
        <w:rPr>
          <w:rFonts w:ascii="Arial" w:hAnsi="Arial" w:cs="Arial"/>
        </w:rPr>
        <w:t xml:space="preserve"> okruh rizikové práce o </w:t>
      </w:r>
      <w:r w:rsidR="00ED080E">
        <w:rPr>
          <w:rFonts w:ascii="Arial" w:hAnsi="Arial" w:cs="Arial"/>
        </w:rPr>
        <w:t>další rizika</w:t>
      </w:r>
      <w:r w:rsidRPr="00403DEE">
        <w:rPr>
          <w:rFonts w:ascii="Arial" w:hAnsi="Arial" w:cs="Arial"/>
        </w:rPr>
        <w:t xml:space="preserve"> v kategorii 3. (nutné </w:t>
      </w:r>
      <w:r w:rsidR="00ED080E">
        <w:rPr>
          <w:rFonts w:ascii="Arial" w:hAnsi="Arial" w:cs="Arial"/>
        </w:rPr>
        <w:t>dohodnout s</w:t>
      </w:r>
      <w:r w:rsidRPr="00403DEE">
        <w:rPr>
          <w:rFonts w:ascii="Arial" w:hAnsi="Arial" w:cs="Arial"/>
        </w:rPr>
        <w:t xml:space="preserve"> MZD).</w:t>
      </w:r>
    </w:p>
    <w:p w14:paraId="708C76C1" w14:textId="77777777" w:rsidR="00C147B7" w:rsidRPr="00403DEE" w:rsidRDefault="00C147B7" w:rsidP="00C147B7">
      <w:pPr>
        <w:jc w:val="both"/>
        <w:rPr>
          <w:rFonts w:ascii="Arial" w:hAnsi="Arial" w:cs="Arial"/>
        </w:rPr>
      </w:pPr>
      <w:r w:rsidRPr="00403DEE">
        <w:rPr>
          <w:rFonts w:ascii="Arial" w:hAnsi="Arial" w:cs="Arial"/>
        </w:rPr>
        <w:t>Varianta 2.</w:t>
      </w:r>
    </w:p>
    <w:p w14:paraId="4910CD3B" w14:textId="71EC6E5F" w:rsidR="00C147B7" w:rsidRPr="00ED080E" w:rsidRDefault="00C147B7" w:rsidP="00ED080E">
      <w:pPr>
        <w:pStyle w:val="Odstavecseseznamem"/>
        <w:numPr>
          <w:ilvl w:val="0"/>
          <w:numId w:val="4"/>
        </w:numPr>
        <w:jc w:val="both"/>
        <w:rPr>
          <w:rFonts w:ascii="Arial" w:hAnsi="Arial" w:cs="Arial"/>
        </w:rPr>
      </w:pPr>
      <w:r w:rsidRPr="00403DEE">
        <w:rPr>
          <w:rFonts w:ascii="Arial" w:hAnsi="Arial" w:cs="Arial"/>
        </w:rPr>
        <w:t xml:space="preserve">ponechat dosavadní stav s postupným rozšiřováním </w:t>
      </w:r>
      <w:r w:rsidR="00ED080E">
        <w:rPr>
          <w:rFonts w:ascii="Arial" w:hAnsi="Arial" w:cs="Arial"/>
        </w:rPr>
        <w:t xml:space="preserve">o další rizika </w:t>
      </w:r>
      <w:r w:rsidRPr="00403DEE">
        <w:rPr>
          <w:rFonts w:ascii="Arial" w:hAnsi="Arial" w:cs="Arial"/>
        </w:rPr>
        <w:t xml:space="preserve">3. kategorie ve III. </w:t>
      </w:r>
      <w:r w:rsidR="00ED080E">
        <w:rPr>
          <w:rFonts w:ascii="Arial" w:hAnsi="Arial" w:cs="Arial"/>
        </w:rPr>
        <w:t>p</w:t>
      </w:r>
      <w:r w:rsidRPr="00403DEE">
        <w:rPr>
          <w:rFonts w:ascii="Arial" w:hAnsi="Arial" w:cs="Arial"/>
        </w:rPr>
        <w:t>ilíři,</w:t>
      </w:r>
      <w:r w:rsidR="00ED080E" w:rsidRPr="00ED080E">
        <w:rPr>
          <w:rFonts w:ascii="Arial" w:hAnsi="Arial" w:cs="Arial"/>
        </w:rPr>
        <w:t xml:space="preserve"> </w:t>
      </w:r>
      <w:r w:rsidR="00ED080E" w:rsidRPr="00403DEE">
        <w:rPr>
          <w:rFonts w:ascii="Arial" w:hAnsi="Arial" w:cs="Arial"/>
        </w:rPr>
        <w:t xml:space="preserve">(nutné </w:t>
      </w:r>
      <w:r w:rsidR="00ED080E">
        <w:rPr>
          <w:rFonts w:ascii="Arial" w:hAnsi="Arial" w:cs="Arial"/>
        </w:rPr>
        <w:t>dohodnout s</w:t>
      </w:r>
      <w:r w:rsidR="00ED080E" w:rsidRPr="00403DEE">
        <w:rPr>
          <w:rFonts w:ascii="Arial" w:hAnsi="Arial" w:cs="Arial"/>
        </w:rPr>
        <w:t xml:space="preserve"> MZD).</w:t>
      </w:r>
    </w:p>
    <w:p w14:paraId="249E2D0C" w14:textId="77777777" w:rsidR="00C147B7" w:rsidRPr="00403DEE" w:rsidRDefault="00C147B7" w:rsidP="00C147B7">
      <w:pPr>
        <w:jc w:val="both"/>
        <w:rPr>
          <w:rFonts w:ascii="Arial" w:hAnsi="Arial" w:cs="Arial"/>
        </w:rPr>
      </w:pPr>
      <w:r w:rsidRPr="00403DEE">
        <w:rPr>
          <w:rFonts w:ascii="Arial" w:hAnsi="Arial" w:cs="Arial"/>
        </w:rPr>
        <w:t>Varianta 3.</w:t>
      </w:r>
    </w:p>
    <w:p w14:paraId="6332EC51" w14:textId="7EB3F77E" w:rsidR="00C147B7" w:rsidRPr="00403DEE" w:rsidRDefault="00ED080E" w:rsidP="00C147B7">
      <w:pPr>
        <w:pStyle w:val="Odstavecseseznamem"/>
        <w:numPr>
          <w:ilvl w:val="0"/>
          <w:numId w:val="4"/>
        </w:numPr>
        <w:jc w:val="both"/>
        <w:rPr>
          <w:rFonts w:ascii="Arial" w:hAnsi="Arial" w:cs="Arial"/>
        </w:rPr>
      </w:pPr>
      <w:r>
        <w:rPr>
          <w:rFonts w:ascii="Arial" w:hAnsi="Arial" w:cs="Arial"/>
        </w:rPr>
        <w:t>převést</w:t>
      </w:r>
      <w:r w:rsidR="00C147B7" w:rsidRPr="00403DEE">
        <w:rPr>
          <w:rFonts w:ascii="Arial" w:hAnsi="Arial" w:cs="Arial"/>
        </w:rPr>
        <w:t xml:space="preserve"> právní úpravu</w:t>
      </w:r>
      <w:r>
        <w:rPr>
          <w:rFonts w:ascii="Arial" w:hAnsi="Arial" w:cs="Arial"/>
        </w:rPr>
        <w:t xml:space="preserve"> </w:t>
      </w:r>
      <w:r w:rsidRPr="00403DEE">
        <w:rPr>
          <w:rFonts w:ascii="Arial" w:hAnsi="Arial" w:cs="Arial"/>
        </w:rPr>
        <w:t xml:space="preserve">náročných profesí </w:t>
      </w:r>
      <w:r w:rsidR="00C147B7" w:rsidRPr="00403DEE">
        <w:rPr>
          <w:rFonts w:ascii="Arial" w:hAnsi="Arial" w:cs="Arial"/>
        </w:rPr>
        <w:t>kompletn</w:t>
      </w:r>
      <w:r>
        <w:rPr>
          <w:rFonts w:ascii="Arial" w:hAnsi="Arial" w:cs="Arial"/>
        </w:rPr>
        <w:t>ě</w:t>
      </w:r>
      <w:r w:rsidR="00C147B7" w:rsidRPr="00403DEE">
        <w:rPr>
          <w:rFonts w:ascii="Arial" w:hAnsi="Arial" w:cs="Arial"/>
        </w:rPr>
        <w:t xml:space="preserve"> do III. pilíře,</w:t>
      </w:r>
    </w:p>
    <w:p w14:paraId="5167E4EA" w14:textId="77777777" w:rsidR="00ED080E" w:rsidRDefault="00C147B7" w:rsidP="00C147B7">
      <w:pPr>
        <w:pStyle w:val="Odstavecseseznamem"/>
        <w:numPr>
          <w:ilvl w:val="0"/>
          <w:numId w:val="4"/>
        </w:numPr>
        <w:jc w:val="both"/>
        <w:rPr>
          <w:rFonts w:ascii="Arial" w:hAnsi="Arial" w:cs="Arial"/>
        </w:rPr>
      </w:pPr>
      <w:r w:rsidRPr="00403DEE">
        <w:rPr>
          <w:rFonts w:ascii="Arial" w:hAnsi="Arial" w:cs="Arial"/>
        </w:rPr>
        <w:t xml:space="preserve">jedná se o </w:t>
      </w:r>
      <w:r w:rsidR="0020768F" w:rsidRPr="00403DEE">
        <w:rPr>
          <w:rFonts w:ascii="Arial" w:hAnsi="Arial" w:cs="Arial"/>
        </w:rPr>
        <w:t xml:space="preserve">příslušníky </w:t>
      </w:r>
      <w:r w:rsidRPr="00403DEE">
        <w:rPr>
          <w:rFonts w:ascii="Arial" w:hAnsi="Arial" w:cs="Arial"/>
        </w:rPr>
        <w:t xml:space="preserve">ZZS, členy jednotek HZS podniku, výkon práce v kategorii 4. a výkon práce v kategorii 3. (pro již stanovené rizikové faktory); </w:t>
      </w:r>
    </w:p>
    <w:p w14:paraId="6BAF9132" w14:textId="77777777" w:rsidR="00ED080E" w:rsidRPr="00ED080E" w:rsidRDefault="00ED080E" w:rsidP="00ED080E">
      <w:pPr>
        <w:pStyle w:val="Odstavecseseznamem"/>
        <w:numPr>
          <w:ilvl w:val="0"/>
          <w:numId w:val="4"/>
        </w:numPr>
        <w:jc w:val="both"/>
        <w:rPr>
          <w:rFonts w:ascii="Arial" w:hAnsi="Arial" w:cs="Arial"/>
        </w:rPr>
      </w:pPr>
      <w:r>
        <w:rPr>
          <w:rFonts w:ascii="Arial" w:hAnsi="Arial" w:cs="Arial"/>
        </w:rPr>
        <w:t xml:space="preserve">rozšiřovat o další rizika </w:t>
      </w:r>
      <w:r w:rsidRPr="00403DEE">
        <w:rPr>
          <w:rFonts w:ascii="Arial" w:hAnsi="Arial" w:cs="Arial"/>
        </w:rPr>
        <w:t xml:space="preserve">3. kategorie ve III. </w:t>
      </w:r>
      <w:r>
        <w:rPr>
          <w:rFonts w:ascii="Arial" w:hAnsi="Arial" w:cs="Arial"/>
        </w:rPr>
        <w:t>p</w:t>
      </w:r>
      <w:r w:rsidRPr="00403DEE">
        <w:rPr>
          <w:rFonts w:ascii="Arial" w:hAnsi="Arial" w:cs="Arial"/>
        </w:rPr>
        <w:t>ilíři,</w:t>
      </w:r>
      <w:r w:rsidRPr="00ED080E">
        <w:rPr>
          <w:rFonts w:ascii="Arial" w:hAnsi="Arial" w:cs="Arial"/>
        </w:rPr>
        <w:t xml:space="preserve"> </w:t>
      </w:r>
      <w:r w:rsidRPr="00403DEE">
        <w:rPr>
          <w:rFonts w:ascii="Arial" w:hAnsi="Arial" w:cs="Arial"/>
        </w:rPr>
        <w:t xml:space="preserve">(nutné </w:t>
      </w:r>
      <w:r>
        <w:rPr>
          <w:rFonts w:ascii="Arial" w:hAnsi="Arial" w:cs="Arial"/>
        </w:rPr>
        <w:t>dohodnout s</w:t>
      </w:r>
      <w:r w:rsidRPr="00403DEE">
        <w:rPr>
          <w:rFonts w:ascii="Arial" w:hAnsi="Arial" w:cs="Arial"/>
        </w:rPr>
        <w:t xml:space="preserve"> MZD).</w:t>
      </w:r>
    </w:p>
    <w:p w14:paraId="38045678" w14:textId="77777777" w:rsidR="00C147B7" w:rsidRPr="00403DEE" w:rsidRDefault="00C147B7" w:rsidP="00C147B7">
      <w:pPr>
        <w:jc w:val="both"/>
        <w:rPr>
          <w:rFonts w:ascii="Arial" w:hAnsi="Arial" w:cs="Arial"/>
          <w:b/>
          <w:bCs/>
          <w:u w:val="single"/>
        </w:rPr>
      </w:pPr>
      <w:r w:rsidRPr="00403DEE">
        <w:rPr>
          <w:rFonts w:ascii="Arial" w:hAnsi="Arial" w:cs="Arial"/>
          <w:b/>
          <w:bCs/>
          <w:u w:val="single"/>
        </w:rPr>
        <w:t>Počty osob v náročných profesích</w:t>
      </w:r>
    </w:p>
    <w:p w14:paraId="551664C0" w14:textId="77777777" w:rsidR="00ED080E" w:rsidRDefault="00ED080E" w:rsidP="00F51366">
      <w:pPr>
        <w:spacing w:after="120" w:line="240" w:lineRule="auto"/>
        <w:jc w:val="both"/>
        <w:rPr>
          <w:rFonts w:ascii="Arial" w:hAnsi="Arial" w:cs="Arial"/>
        </w:rPr>
      </w:pPr>
      <w:r>
        <w:rPr>
          <w:rFonts w:ascii="Arial" w:hAnsi="Arial" w:cs="Arial"/>
        </w:rPr>
        <w:t>Evidence orgány veřejného zdraví obsahuje</w:t>
      </w:r>
    </w:p>
    <w:p w14:paraId="68F21A1B" w14:textId="77777777" w:rsidR="00ED080E" w:rsidRDefault="00C147B7" w:rsidP="00ED080E">
      <w:pPr>
        <w:pStyle w:val="Odstavecseseznamem"/>
        <w:numPr>
          <w:ilvl w:val="0"/>
          <w:numId w:val="4"/>
        </w:numPr>
        <w:spacing w:after="120" w:line="240" w:lineRule="auto"/>
        <w:jc w:val="both"/>
        <w:rPr>
          <w:rFonts w:ascii="Arial" w:hAnsi="Arial" w:cs="Arial"/>
        </w:rPr>
      </w:pPr>
      <w:r w:rsidRPr="00ED080E">
        <w:rPr>
          <w:rFonts w:ascii="Arial" w:hAnsi="Arial" w:cs="Arial"/>
        </w:rPr>
        <w:t xml:space="preserve">Údaje o počtu pracovních pozic podle kategorizace prací (nezahrnují tedy pozice ZZS a členů jednotek HZS podniku). </w:t>
      </w:r>
    </w:p>
    <w:p w14:paraId="19761C80" w14:textId="5FFC432E" w:rsidR="00C147B7" w:rsidRPr="00ED080E" w:rsidRDefault="00C147B7" w:rsidP="00ED080E">
      <w:pPr>
        <w:pStyle w:val="Odstavecseseznamem"/>
        <w:numPr>
          <w:ilvl w:val="0"/>
          <w:numId w:val="4"/>
        </w:numPr>
        <w:spacing w:after="120" w:line="240" w:lineRule="auto"/>
        <w:jc w:val="both"/>
        <w:rPr>
          <w:rFonts w:ascii="Arial" w:hAnsi="Arial" w:cs="Arial"/>
        </w:rPr>
      </w:pPr>
      <w:r w:rsidRPr="00ED080E">
        <w:rPr>
          <w:rFonts w:ascii="Arial" w:hAnsi="Arial" w:cs="Arial"/>
        </w:rPr>
        <w:t xml:space="preserve">Počet pracovních pozic se </w:t>
      </w:r>
      <w:r w:rsidR="00ED080E">
        <w:rPr>
          <w:rFonts w:ascii="Arial" w:hAnsi="Arial" w:cs="Arial"/>
        </w:rPr>
        <w:t>ne</w:t>
      </w:r>
      <w:r w:rsidRPr="00ED080E">
        <w:rPr>
          <w:rFonts w:ascii="Arial" w:hAnsi="Arial" w:cs="Arial"/>
        </w:rPr>
        <w:t>shod</w:t>
      </w:r>
      <w:r w:rsidR="00ED080E">
        <w:rPr>
          <w:rFonts w:ascii="Arial" w:hAnsi="Arial" w:cs="Arial"/>
        </w:rPr>
        <w:t>uje</w:t>
      </w:r>
      <w:r w:rsidRPr="00ED080E">
        <w:rPr>
          <w:rFonts w:ascii="Arial" w:hAnsi="Arial" w:cs="Arial"/>
        </w:rPr>
        <w:t xml:space="preserve"> s počtem pracovníků (z důvodu, že pracovní pozice nemusí být obsazena</w:t>
      </w:r>
      <w:r w:rsidR="00D85483">
        <w:rPr>
          <w:rFonts w:ascii="Arial" w:hAnsi="Arial" w:cs="Arial"/>
        </w:rPr>
        <w:t>,</w:t>
      </w:r>
      <w:r w:rsidRPr="00ED080E">
        <w:rPr>
          <w:rFonts w:ascii="Arial" w:hAnsi="Arial" w:cs="Arial"/>
        </w:rPr>
        <w:t xml:space="preserve"> nebo stejný pracovník pracuje na více pozicích</w:t>
      </w:r>
      <w:r w:rsidR="00D85483">
        <w:rPr>
          <w:rFonts w:ascii="Arial" w:hAnsi="Arial" w:cs="Arial"/>
        </w:rPr>
        <w:t>, nebo naopak více pracovníků se střídá na jedné pozici</w:t>
      </w:r>
      <w:r w:rsidRPr="00ED080E">
        <w:rPr>
          <w:rFonts w:ascii="Arial" w:hAnsi="Arial" w:cs="Arial"/>
        </w:rPr>
        <w:t>).</w:t>
      </w:r>
    </w:p>
    <w:p w14:paraId="3ABB33BE" w14:textId="77777777" w:rsidR="00D85483" w:rsidRDefault="00D85483" w:rsidP="00F51366">
      <w:pPr>
        <w:spacing w:after="120" w:line="240" w:lineRule="auto"/>
        <w:jc w:val="both"/>
        <w:rPr>
          <w:rFonts w:ascii="Arial" w:hAnsi="Arial" w:cs="Arial"/>
        </w:rPr>
      </w:pPr>
    </w:p>
    <w:p w14:paraId="535C0E6A" w14:textId="77777777" w:rsidR="00D85483" w:rsidRPr="00D85483" w:rsidRDefault="00D85483" w:rsidP="00D85483">
      <w:pPr>
        <w:spacing w:after="120" w:line="240" w:lineRule="auto"/>
        <w:jc w:val="both"/>
        <w:rPr>
          <w:rFonts w:ascii="Arial" w:hAnsi="Arial" w:cs="Arial"/>
          <w:u w:val="single"/>
        </w:rPr>
      </w:pPr>
      <w:r w:rsidRPr="00D85483">
        <w:rPr>
          <w:rFonts w:ascii="Arial" w:hAnsi="Arial" w:cs="Arial"/>
        </w:rPr>
        <w:t xml:space="preserve">a) </w:t>
      </w:r>
      <w:r w:rsidRPr="00D85483">
        <w:rPr>
          <w:rFonts w:ascii="Arial" w:hAnsi="Arial" w:cs="Arial"/>
          <w:u w:val="single"/>
        </w:rPr>
        <w:t>aktuální okruh osob</w:t>
      </w:r>
    </w:p>
    <w:p w14:paraId="0DA1E96E" w14:textId="77777777" w:rsidR="00D85483" w:rsidRPr="00D85483" w:rsidRDefault="00D85483" w:rsidP="00D85483">
      <w:pPr>
        <w:spacing w:after="120" w:line="240" w:lineRule="auto"/>
        <w:jc w:val="both"/>
        <w:rPr>
          <w:rFonts w:ascii="Arial" w:hAnsi="Arial" w:cs="Arial"/>
        </w:rPr>
      </w:pPr>
      <w:r w:rsidRPr="00D85483">
        <w:rPr>
          <w:rFonts w:ascii="Arial" w:hAnsi="Arial" w:cs="Arial"/>
        </w:rPr>
        <w:t>Režim sníženého důchodového věku v I. pilíři se podle aktuálních údajů vztahuje na  celkem cca 13 tisíc pracovních pozic zařazených do rizik kategorie 4, dále na několik tisíc zdravotnických záchranářů a cca 3 tisíce členů jednotek HZS podniků.</w:t>
      </w:r>
    </w:p>
    <w:p w14:paraId="1784CA2D" w14:textId="77777777" w:rsidR="00D85483" w:rsidRPr="00D85483" w:rsidRDefault="00D85483" w:rsidP="00D85483">
      <w:pPr>
        <w:spacing w:after="120" w:line="240" w:lineRule="auto"/>
        <w:jc w:val="both"/>
        <w:rPr>
          <w:rFonts w:ascii="Arial" w:hAnsi="Arial" w:cs="Arial"/>
        </w:rPr>
      </w:pPr>
      <w:r w:rsidRPr="00D85483">
        <w:rPr>
          <w:rFonts w:ascii="Arial" w:hAnsi="Arial" w:cs="Arial"/>
        </w:rPr>
        <w:t>Režim povinného příspěvku do III. Pilíře se 4 vybranými riziky kategorie 3 se aktuálně vztahuje na necelých 116 tisíc pracovních pozic.</w:t>
      </w:r>
    </w:p>
    <w:p w14:paraId="5C4CD013" w14:textId="77777777" w:rsidR="00D85483" w:rsidRPr="00D85483" w:rsidRDefault="00D85483" w:rsidP="00D85483">
      <w:pPr>
        <w:spacing w:after="120" w:line="240" w:lineRule="auto"/>
        <w:jc w:val="both"/>
        <w:rPr>
          <w:rFonts w:ascii="Arial" w:hAnsi="Arial" w:cs="Arial"/>
        </w:rPr>
      </w:pPr>
      <w:r w:rsidRPr="00D85483">
        <w:rPr>
          <w:rFonts w:ascii="Arial" w:hAnsi="Arial" w:cs="Arial"/>
        </w:rPr>
        <w:t xml:space="preserve">b) </w:t>
      </w:r>
      <w:r w:rsidRPr="00D85483">
        <w:rPr>
          <w:rFonts w:ascii="Arial" w:hAnsi="Arial" w:cs="Arial"/>
          <w:u w:val="single"/>
        </w:rPr>
        <w:t>potenciální maximální okruh osob</w:t>
      </w:r>
    </w:p>
    <w:p w14:paraId="09D75DCB" w14:textId="77777777" w:rsidR="00D85483" w:rsidRPr="00D85483" w:rsidRDefault="00D85483" w:rsidP="00D85483">
      <w:pPr>
        <w:spacing w:after="120" w:line="240" w:lineRule="auto"/>
        <w:jc w:val="both"/>
        <w:rPr>
          <w:rFonts w:ascii="Arial" w:hAnsi="Arial" w:cs="Arial"/>
        </w:rPr>
      </w:pPr>
      <w:r w:rsidRPr="00D85483">
        <w:rPr>
          <w:rFonts w:ascii="Arial" w:hAnsi="Arial" w:cs="Arial"/>
        </w:rPr>
        <w:t>Celkový počet pracovních pozic, kde se vyskytuje nějaké riziko kategorie 3 nebo 4 je necelých 509 tisíc.</w:t>
      </w:r>
    </w:p>
    <w:p w14:paraId="2635F603" w14:textId="77777777" w:rsidR="00D85483" w:rsidRPr="00D85483" w:rsidRDefault="00D85483" w:rsidP="00D85483">
      <w:pPr>
        <w:spacing w:after="120" w:line="240" w:lineRule="auto"/>
        <w:jc w:val="both"/>
        <w:rPr>
          <w:rFonts w:ascii="Arial" w:hAnsi="Arial" w:cs="Arial"/>
        </w:rPr>
      </w:pPr>
      <w:r w:rsidRPr="00D85483">
        <w:rPr>
          <w:rFonts w:ascii="Arial" w:hAnsi="Arial" w:cs="Arial"/>
        </w:rPr>
        <w:lastRenderedPageBreak/>
        <w:t>U dosud nezařazených pracovních pozic je zdaleka největší výskyt rizika hluku v kategorii 3, které buď samostatně nebo v kombinaci s jiným rizikem působí u téměř 257 tisíc pozic. Významná jsou pak i rizika lokální svalové zátěže v kategorii 3 a pracovní polohy v kategorii 3, kde je výskyt (samostatně nebo v kombinaci s jiným rizikem) u necelých 92 resp. 86 tisíc pozic.</w:t>
      </w:r>
    </w:p>
    <w:p w14:paraId="53D95D84" w14:textId="77777777" w:rsidR="00D85483" w:rsidRDefault="00D85483" w:rsidP="00C147B7">
      <w:pPr>
        <w:jc w:val="both"/>
        <w:rPr>
          <w:rFonts w:ascii="Arial" w:hAnsi="Arial" w:cs="Arial"/>
        </w:rPr>
      </w:pPr>
    </w:p>
    <w:p w14:paraId="519EF0C6" w14:textId="506BD50E" w:rsidR="00C147B7" w:rsidRPr="00403DEE" w:rsidRDefault="00C147B7" w:rsidP="00C147B7">
      <w:pPr>
        <w:jc w:val="both"/>
        <w:rPr>
          <w:rFonts w:ascii="Arial" w:hAnsi="Arial" w:cs="Arial"/>
          <w:b/>
          <w:bCs/>
          <w:u w:val="single"/>
        </w:rPr>
      </w:pPr>
      <w:r w:rsidRPr="00403DEE">
        <w:rPr>
          <w:rFonts w:ascii="Arial" w:hAnsi="Arial" w:cs="Arial"/>
          <w:b/>
          <w:bCs/>
          <w:u w:val="single"/>
        </w:rPr>
        <w:t>Dopady rozšíření náročných profesí v I. pilíři (varianta 1)</w:t>
      </w:r>
    </w:p>
    <w:p w14:paraId="67D0A3F5" w14:textId="77777777" w:rsidR="00D85483" w:rsidRPr="00403DEE" w:rsidRDefault="00D85483" w:rsidP="00D85483">
      <w:pPr>
        <w:spacing w:after="120" w:line="240" w:lineRule="auto"/>
        <w:jc w:val="both"/>
        <w:rPr>
          <w:rFonts w:ascii="Arial" w:hAnsi="Arial" w:cs="Arial"/>
        </w:rPr>
      </w:pPr>
      <w:r w:rsidRPr="00403DEE">
        <w:rPr>
          <w:rFonts w:ascii="Arial" w:hAnsi="Arial" w:cs="Arial"/>
        </w:rPr>
        <w:t>Finanční dopady vysoce závisí na průměrné době</w:t>
      </w:r>
      <w:r w:rsidRPr="00F51366">
        <w:footnoteReference w:id="1"/>
      </w:r>
      <w:r w:rsidRPr="00403DEE">
        <w:rPr>
          <w:rFonts w:ascii="Arial" w:hAnsi="Arial" w:cs="Arial"/>
        </w:rPr>
        <w:t xml:space="preserve"> strávené v náročné profesi, protože osoby, které neodpracují 10 let, žádné zvýhodnění nezískají a při získání více než 6620 směn (cca 30 let) se zvýhodnění také již nezvyšuje.</w:t>
      </w:r>
    </w:p>
    <w:p w14:paraId="279DCB3E" w14:textId="77777777" w:rsidR="00D85483" w:rsidRDefault="00D85483" w:rsidP="00F51366">
      <w:pPr>
        <w:spacing w:after="120" w:line="240" w:lineRule="auto"/>
        <w:jc w:val="both"/>
        <w:rPr>
          <w:rFonts w:ascii="Arial" w:hAnsi="Arial" w:cs="Arial"/>
        </w:rPr>
      </w:pPr>
      <w:r>
        <w:rPr>
          <w:rFonts w:ascii="Arial" w:hAnsi="Arial" w:cs="Arial"/>
        </w:rPr>
        <w:t xml:space="preserve">Pro hodnocení dopadů bylo nutné přijmout z důvodu neexitující evidence předpoklady o době expozice osob na pracovních pozicích. </w:t>
      </w:r>
      <w:r w:rsidR="00C147B7" w:rsidRPr="00403DEE">
        <w:rPr>
          <w:rFonts w:ascii="Arial" w:hAnsi="Arial" w:cs="Arial"/>
        </w:rPr>
        <w:t xml:space="preserve">Byl modelován dopad podle průměrné doby strávené v náročné profesi. </w:t>
      </w:r>
    </w:p>
    <w:p w14:paraId="4B385F66" w14:textId="6209A8CE" w:rsidR="00C147B7" w:rsidRPr="00403DEE" w:rsidRDefault="00C147B7" w:rsidP="00F51366">
      <w:pPr>
        <w:spacing w:after="120" w:line="240" w:lineRule="auto"/>
        <w:jc w:val="both"/>
        <w:rPr>
          <w:rFonts w:ascii="Arial" w:hAnsi="Arial" w:cs="Arial"/>
        </w:rPr>
      </w:pPr>
      <w:r w:rsidRPr="00403DEE">
        <w:rPr>
          <w:rFonts w:ascii="Arial" w:hAnsi="Arial" w:cs="Arial"/>
        </w:rPr>
        <w:t>Vždy se předpokládá,</w:t>
      </w:r>
    </w:p>
    <w:p w14:paraId="4CB0B21B" w14:textId="77777777" w:rsidR="00C147B7" w:rsidRPr="00403DEE" w:rsidRDefault="00C147B7" w:rsidP="00C147B7">
      <w:pPr>
        <w:numPr>
          <w:ilvl w:val="0"/>
          <w:numId w:val="5"/>
        </w:numPr>
        <w:jc w:val="both"/>
        <w:rPr>
          <w:rFonts w:ascii="Arial" w:hAnsi="Arial" w:cs="Arial"/>
        </w:rPr>
      </w:pPr>
      <w:r w:rsidRPr="00403DEE">
        <w:rPr>
          <w:rFonts w:ascii="Arial" w:hAnsi="Arial" w:cs="Arial"/>
        </w:rPr>
        <w:t>že osoby v náročných profesích jsou z pohledu věku a doby, kterou stráví v náročné profesi zastoupeny rovnoměrně</w:t>
      </w:r>
    </w:p>
    <w:p w14:paraId="31AD9EC9" w14:textId="77777777" w:rsidR="00C147B7" w:rsidRPr="00403DEE" w:rsidRDefault="00C147B7" w:rsidP="00C147B7">
      <w:pPr>
        <w:numPr>
          <w:ilvl w:val="0"/>
          <w:numId w:val="5"/>
        </w:numPr>
        <w:jc w:val="both"/>
        <w:rPr>
          <w:rFonts w:ascii="Arial" w:hAnsi="Arial" w:cs="Arial"/>
        </w:rPr>
      </w:pPr>
      <w:r w:rsidRPr="00403DEE">
        <w:rPr>
          <w:rFonts w:ascii="Arial" w:hAnsi="Arial" w:cs="Arial"/>
        </w:rPr>
        <w:t>v základní variantě rozložení dob je z osob, které aktuálně vykonávají náročnou profesi stejný podíl těch, co jí budou za celou dobu pracovní kariéry vykonávat 1 rok jako těch co ji budou vykonávat 40 let</w:t>
      </w:r>
    </w:p>
    <w:p w14:paraId="6CB14ADA" w14:textId="77777777" w:rsidR="00C147B7" w:rsidRPr="00403DEE" w:rsidRDefault="00C147B7" w:rsidP="00C147B7">
      <w:pPr>
        <w:numPr>
          <w:ilvl w:val="0"/>
          <w:numId w:val="5"/>
        </w:numPr>
        <w:jc w:val="both"/>
        <w:rPr>
          <w:rFonts w:ascii="Arial" w:hAnsi="Arial" w:cs="Arial"/>
        </w:rPr>
      </w:pPr>
      <w:r w:rsidRPr="00403DEE">
        <w:rPr>
          <w:rFonts w:ascii="Arial" w:hAnsi="Arial" w:cs="Arial"/>
        </w:rPr>
        <w:t>Při zkracování průměrné doby se vylučují osoby s nejdelší dobou v náročné profesi, při prodlužování průměrné doby se vylučují osoby s nejkratší dobou v náročné profesi</w:t>
      </w:r>
      <w:r w:rsidRPr="00403DEE">
        <w:rPr>
          <w:rFonts w:ascii="Arial" w:hAnsi="Arial" w:cs="Arial"/>
          <w:vertAlign w:val="superscript"/>
        </w:rPr>
        <w:footnoteReference w:id="2"/>
      </w:r>
      <w:r w:rsidRPr="00403DEE">
        <w:rPr>
          <w:rFonts w:ascii="Arial" w:hAnsi="Arial" w:cs="Arial"/>
        </w:rPr>
        <w:t>.</w:t>
      </w:r>
    </w:p>
    <w:p w14:paraId="6891721F" w14:textId="77777777" w:rsidR="00C147B7" w:rsidRPr="00F51366" w:rsidRDefault="00C147B7" w:rsidP="00F51366">
      <w:pPr>
        <w:spacing w:after="120" w:line="240" w:lineRule="auto"/>
        <w:jc w:val="both"/>
        <w:rPr>
          <w:rFonts w:ascii="Arial" w:hAnsi="Arial" w:cs="Arial"/>
        </w:rPr>
      </w:pPr>
      <w:r w:rsidRPr="00403DEE">
        <w:rPr>
          <w:rFonts w:ascii="Arial" w:hAnsi="Arial" w:cs="Arial"/>
        </w:rPr>
        <w:t>Při vyhodnocení dopadů ještě byly separátně kalkulovány dopady pro pracovníky, kteří již mají nějakou dobu v náročné profesi odpracovánu a pro ty, kteří žádnou dobu nemají. U první skupiny je již minulá doba zohledněna v přiznání nároků, potřebné pojistné za zbývající dobu je proto výrazně vyšší.</w:t>
      </w:r>
    </w:p>
    <w:p w14:paraId="2ED402E1" w14:textId="77777777" w:rsidR="00C147B7" w:rsidRPr="00142739" w:rsidRDefault="00C147B7" w:rsidP="00C147B7">
      <w:pPr>
        <w:keepNext/>
        <w:jc w:val="both"/>
        <w:rPr>
          <w:i/>
          <w:iCs/>
        </w:rPr>
      </w:pPr>
      <w:r w:rsidRPr="00142739">
        <w:rPr>
          <w:i/>
          <w:iCs/>
        </w:rPr>
        <w:lastRenderedPageBreak/>
        <w:t xml:space="preserve">Graf </w:t>
      </w:r>
      <w:r w:rsidRPr="00142739">
        <w:rPr>
          <w:i/>
          <w:iCs/>
        </w:rPr>
        <w:fldChar w:fldCharType="begin"/>
      </w:r>
      <w:r w:rsidRPr="00142739">
        <w:rPr>
          <w:i/>
          <w:iCs/>
        </w:rPr>
        <w:instrText xml:space="preserve"> SEQ Graf \* ARABIC </w:instrText>
      </w:r>
      <w:r w:rsidRPr="00142739">
        <w:rPr>
          <w:i/>
          <w:iCs/>
        </w:rPr>
        <w:fldChar w:fldCharType="separate"/>
      </w:r>
      <w:r w:rsidRPr="00142739">
        <w:rPr>
          <w:i/>
          <w:iCs/>
        </w:rPr>
        <w:t>1</w:t>
      </w:r>
      <w:r w:rsidRPr="00142739">
        <w:fldChar w:fldCharType="end"/>
      </w:r>
      <w:r w:rsidRPr="00142739">
        <w:rPr>
          <w:i/>
          <w:iCs/>
        </w:rPr>
        <w:t xml:space="preserve"> – Podíl pokrytí dodatečných výdajů dodatečnými příjmy z pojistného v %</w:t>
      </w:r>
    </w:p>
    <w:p w14:paraId="167F2FA2" w14:textId="77777777" w:rsidR="00C147B7" w:rsidRPr="00142739" w:rsidRDefault="00C147B7" w:rsidP="00C147B7">
      <w:pPr>
        <w:jc w:val="both"/>
      </w:pPr>
      <w:r w:rsidRPr="00142739">
        <w:rPr>
          <w:noProof/>
        </w:rPr>
        <w:drawing>
          <wp:inline distT="0" distB="0" distL="0" distR="0" wp14:anchorId="2A51B016" wp14:editId="1ADD183B">
            <wp:extent cx="5760720" cy="2952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952750"/>
                    </a:xfrm>
                    <a:prstGeom prst="rect">
                      <a:avLst/>
                    </a:prstGeom>
                    <a:noFill/>
                    <a:ln>
                      <a:noFill/>
                    </a:ln>
                  </pic:spPr>
                </pic:pic>
              </a:graphicData>
            </a:graphic>
          </wp:inline>
        </w:drawing>
      </w:r>
    </w:p>
    <w:p w14:paraId="28530EAE" w14:textId="77777777" w:rsidR="00C147B7" w:rsidRPr="00F51366" w:rsidRDefault="00C147B7" w:rsidP="00A675FD">
      <w:pPr>
        <w:spacing w:after="120" w:line="240" w:lineRule="auto"/>
        <w:jc w:val="both"/>
        <w:rPr>
          <w:rFonts w:ascii="Arial" w:hAnsi="Arial" w:cs="Arial"/>
        </w:rPr>
      </w:pPr>
      <w:r w:rsidRPr="00F51366">
        <w:rPr>
          <w:rFonts w:ascii="Arial" w:hAnsi="Arial" w:cs="Arial"/>
        </w:rPr>
        <w:t>Při průměrné době strávené v náročné profesi u stávajících zaměstnanců v náročných profesích pokrývá pojistné náklady jen do průměrné doby 7 let, rychle tento poměr klesá a u doby vyšší než cca 10 let by dodatečné pojistné ve výši 5 % vyměřovacího základu pokrývalo zhruba 1/3 dodatečných výdajů na důchody.</w:t>
      </w:r>
    </w:p>
    <w:p w14:paraId="1566DEDD" w14:textId="77777777" w:rsidR="00C147B7" w:rsidRPr="00F51366" w:rsidRDefault="00C147B7" w:rsidP="00A675FD">
      <w:pPr>
        <w:spacing w:after="120" w:line="240" w:lineRule="auto"/>
        <w:jc w:val="both"/>
        <w:rPr>
          <w:rFonts w:ascii="Arial" w:hAnsi="Arial" w:cs="Arial"/>
        </w:rPr>
      </w:pPr>
      <w:r w:rsidRPr="00F51366">
        <w:rPr>
          <w:rFonts w:ascii="Arial" w:hAnsi="Arial" w:cs="Arial"/>
        </w:rPr>
        <w:t>Pro nové zaměstnance podíl pokrytí výdajů dodatečnými příjmy převyšuje do průměrné doby 8 let 100 %, pokrývá do průměrné doby v náročné profesi 12 let stále ještě 80 % nákladů a stabilizuje při průměrného době v náročné profesi vyšší než 20 let, a to na cca 50 %.</w:t>
      </w:r>
    </w:p>
    <w:p w14:paraId="268079DC" w14:textId="77777777" w:rsidR="00C147B7" w:rsidRPr="00142739" w:rsidRDefault="00C147B7" w:rsidP="00C147B7">
      <w:pPr>
        <w:jc w:val="both"/>
        <w:rPr>
          <w:i/>
          <w:iCs/>
        </w:rPr>
      </w:pPr>
      <w:r w:rsidRPr="00142739">
        <w:rPr>
          <w:i/>
          <w:iCs/>
        </w:rPr>
        <w:t>Graf 2 – Sazby dodatečného pojistného k plnému pokrytí dodatečných výdajů dodatečnými příjmy z pojistného v %</w:t>
      </w:r>
    </w:p>
    <w:p w14:paraId="29CFC1E4" w14:textId="77777777" w:rsidR="00C147B7" w:rsidRPr="00142739" w:rsidRDefault="00C147B7" w:rsidP="00C147B7">
      <w:pPr>
        <w:jc w:val="both"/>
      </w:pPr>
      <w:r w:rsidRPr="00142739">
        <w:rPr>
          <w:noProof/>
        </w:rPr>
        <w:drawing>
          <wp:inline distT="0" distB="0" distL="0" distR="0" wp14:anchorId="2EF759EA" wp14:editId="62412E9D">
            <wp:extent cx="5760720" cy="2952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952750"/>
                    </a:xfrm>
                    <a:prstGeom prst="rect">
                      <a:avLst/>
                    </a:prstGeom>
                    <a:noFill/>
                    <a:ln>
                      <a:noFill/>
                    </a:ln>
                  </pic:spPr>
                </pic:pic>
              </a:graphicData>
            </a:graphic>
          </wp:inline>
        </w:drawing>
      </w:r>
    </w:p>
    <w:p w14:paraId="71D8969E" w14:textId="22FF00AF" w:rsidR="00741B4C" w:rsidRPr="00F51366" w:rsidRDefault="00D85483" w:rsidP="00A675FD">
      <w:pPr>
        <w:spacing w:after="120" w:line="240" w:lineRule="auto"/>
        <w:jc w:val="both"/>
        <w:rPr>
          <w:rFonts w:ascii="Arial" w:hAnsi="Arial" w:cs="Arial"/>
        </w:rPr>
      </w:pPr>
      <w:r>
        <w:rPr>
          <w:rFonts w:ascii="Arial" w:hAnsi="Arial" w:cs="Arial"/>
        </w:rPr>
        <w:lastRenderedPageBreak/>
        <w:t>Pokud předpoklady reflektují objektivně skutečnost expozice osob pracujících na rizikových pozicích, pak by pojistná sazba pro plné okrytí musela být výrazně vyšší než stávajících 5</w:t>
      </w:r>
      <w:r w:rsidR="00C147B7" w:rsidRPr="00F51366">
        <w:rPr>
          <w:rFonts w:ascii="Arial" w:hAnsi="Arial" w:cs="Arial"/>
        </w:rPr>
        <w:t xml:space="preserve"> %.</w:t>
      </w:r>
    </w:p>
    <w:p w14:paraId="2DE0C554" w14:textId="77777777" w:rsidR="00D85483" w:rsidRDefault="00D85483">
      <w:pPr>
        <w:rPr>
          <w:rFonts w:ascii="Arial" w:hAnsi="Arial" w:cs="Arial"/>
          <w:b/>
          <w:u w:val="single"/>
        </w:rPr>
      </w:pPr>
    </w:p>
    <w:p w14:paraId="6E24C62A" w14:textId="335A64FB" w:rsidR="00741B4C" w:rsidRPr="00F51366" w:rsidRDefault="00741B4C">
      <w:pPr>
        <w:rPr>
          <w:rFonts w:ascii="Arial" w:hAnsi="Arial" w:cs="Arial"/>
          <w:b/>
          <w:u w:val="single"/>
        </w:rPr>
      </w:pPr>
      <w:r w:rsidRPr="00F51366">
        <w:rPr>
          <w:rFonts w:ascii="Arial" w:hAnsi="Arial" w:cs="Arial"/>
          <w:b/>
          <w:u w:val="single"/>
        </w:rPr>
        <w:t>Harmonogram přípravy a schvalování návrhu zákona, který bude řešit snížení důchodového věku náročných profesí</w:t>
      </w:r>
    </w:p>
    <w:p w14:paraId="329F5421" w14:textId="77777777" w:rsidR="00D85483" w:rsidRPr="00D85483" w:rsidRDefault="00D85483" w:rsidP="00D85483">
      <w:pPr>
        <w:rPr>
          <w:rFonts w:ascii="Arial" w:hAnsi="Arial" w:cs="Arial"/>
        </w:rPr>
      </w:pPr>
      <w:r w:rsidRPr="00D85483">
        <w:rPr>
          <w:rFonts w:ascii="Arial" w:hAnsi="Arial" w:cs="Arial"/>
        </w:rPr>
        <w:t>Dodání věcných tezí: do konce května 2026</w:t>
      </w:r>
    </w:p>
    <w:p w14:paraId="256B3BAD" w14:textId="77777777" w:rsidR="00D85483" w:rsidRPr="00D85483" w:rsidRDefault="00D85483" w:rsidP="00D85483">
      <w:pPr>
        <w:rPr>
          <w:rFonts w:ascii="Arial" w:hAnsi="Arial" w:cs="Arial"/>
        </w:rPr>
      </w:pPr>
      <w:r w:rsidRPr="00D85483">
        <w:rPr>
          <w:rFonts w:ascii="Arial" w:hAnsi="Arial" w:cs="Arial"/>
        </w:rPr>
        <w:t xml:space="preserve">Legislativní příprava: 4 týdny (červen 2026) </w:t>
      </w:r>
    </w:p>
    <w:p w14:paraId="1DDD17FB" w14:textId="77777777" w:rsidR="00D85483" w:rsidRPr="00D85483" w:rsidRDefault="00D85483" w:rsidP="00D85483">
      <w:pPr>
        <w:rPr>
          <w:rFonts w:ascii="Arial" w:hAnsi="Arial" w:cs="Arial"/>
        </w:rPr>
      </w:pPr>
      <w:r w:rsidRPr="00D85483">
        <w:rPr>
          <w:rFonts w:ascii="Arial" w:hAnsi="Arial" w:cs="Arial"/>
        </w:rPr>
        <w:t>Vnitřní připomínkové řízení (VPŘ): standardně 10 pracovních dnů (červenec 2026)</w:t>
      </w:r>
    </w:p>
    <w:p w14:paraId="45EDB5E3" w14:textId="77777777" w:rsidR="00D85483" w:rsidRPr="00D85483" w:rsidRDefault="00D85483" w:rsidP="00D85483">
      <w:pPr>
        <w:rPr>
          <w:rFonts w:ascii="Arial" w:hAnsi="Arial" w:cs="Arial"/>
        </w:rPr>
      </w:pPr>
      <w:r w:rsidRPr="00D85483">
        <w:rPr>
          <w:rFonts w:ascii="Arial" w:hAnsi="Arial" w:cs="Arial"/>
        </w:rPr>
        <w:t>Vypořádání VPŘ a zapracování změn: minimálně 10 pracovních dnů (červenec 2026)</w:t>
      </w:r>
    </w:p>
    <w:p w14:paraId="4B67A26A" w14:textId="77777777" w:rsidR="00D85483" w:rsidRPr="00D85483" w:rsidRDefault="00D85483" w:rsidP="00D85483">
      <w:pPr>
        <w:rPr>
          <w:rFonts w:ascii="Arial" w:hAnsi="Arial" w:cs="Arial"/>
        </w:rPr>
      </w:pPr>
      <w:r w:rsidRPr="00D85483">
        <w:rPr>
          <w:rFonts w:ascii="Arial" w:hAnsi="Arial" w:cs="Arial"/>
        </w:rPr>
        <w:t>Meziresortní připomínkové řízení (MPŘ): standardně 20 pracovních dnů (srpen 2026)</w:t>
      </w:r>
    </w:p>
    <w:p w14:paraId="61CE8FAD" w14:textId="77777777" w:rsidR="00D85483" w:rsidRPr="00D85483" w:rsidRDefault="00D85483" w:rsidP="00D85483">
      <w:pPr>
        <w:rPr>
          <w:rFonts w:ascii="Arial" w:hAnsi="Arial" w:cs="Arial"/>
        </w:rPr>
      </w:pPr>
      <w:r w:rsidRPr="00D85483">
        <w:rPr>
          <w:rFonts w:ascii="Arial" w:hAnsi="Arial" w:cs="Arial"/>
        </w:rPr>
        <w:t>Vypořádání MPŘ a zapracování změn: 2 měsíce (září-říjen 2026)</w:t>
      </w:r>
    </w:p>
    <w:p w14:paraId="4C6AD183" w14:textId="77777777" w:rsidR="00D85483" w:rsidRPr="00D85483" w:rsidRDefault="00D85483" w:rsidP="00D85483">
      <w:pPr>
        <w:rPr>
          <w:rFonts w:ascii="Arial" w:hAnsi="Arial" w:cs="Arial"/>
        </w:rPr>
      </w:pPr>
      <w:r w:rsidRPr="00D85483">
        <w:rPr>
          <w:rFonts w:ascii="Arial" w:hAnsi="Arial" w:cs="Arial"/>
        </w:rPr>
        <w:t>Předložení materiálu vládě: do 10. listopadu 2026</w:t>
      </w:r>
    </w:p>
    <w:p w14:paraId="38F47D7C" w14:textId="77777777" w:rsidR="00D85483" w:rsidRPr="00D85483" w:rsidRDefault="00D85483" w:rsidP="00D85483">
      <w:pPr>
        <w:rPr>
          <w:rFonts w:ascii="Arial" w:hAnsi="Arial" w:cs="Arial"/>
        </w:rPr>
      </w:pPr>
      <w:r w:rsidRPr="00D85483">
        <w:rPr>
          <w:rFonts w:ascii="Arial" w:hAnsi="Arial" w:cs="Arial"/>
        </w:rPr>
        <w:t xml:space="preserve">Projednání LRV: předpokládáme, že samotné projednání návrhu LRV bude trvat nejméně 2 měsíce, navíc je nutné počítat s rezervou pro dopracování návrhu na základě připomínek (prosinec – leden) </w:t>
      </w:r>
    </w:p>
    <w:p w14:paraId="167ED14C" w14:textId="77777777" w:rsidR="00D85483" w:rsidRPr="00D85483" w:rsidRDefault="00D85483" w:rsidP="00D85483">
      <w:pPr>
        <w:rPr>
          <w:rFonts w:ascii="Arial" w:hAnsi="Arial" w:cs="Arial"/>
        </w:rPr>
      </w:pPr>
      <w:r w:rsidRPr="00D85483">
        <w:rPr>
          <w:rFonts w:ascii="Arial" w:hAnsi="Arial" w:cs="Arial"/>
        </w:rPr>
        <w:t>Schůze vlády: leden 2027</w:t>
      </w:r>
    </w:p>
    <w:p w14:paraId="1A2FFC85" w14:textId="77777777" w:rsidR="00D85483" w:rsidRPr="00D85483" w:rsidRDefault="00D85483" w:rsidP="00D85483">
      <w:pPr>
        <w:rPr>
          <w:rFonts w:ascii="Arial" w:hAnsi="Arial" w:cs="Arial"/>
        </w:rPr>
      </w:pPr>
      <w:r w:rsidRPr="00D85483">
        <w:rPr>
          <w:rFonts w:ascii="Arial" w:hAnsi="Arial" w:cs="Arial"/>
        </w:rPr>
        <w:t>Předložení návrhu do PS PČR – únor (nelze však počítat s bezodkladným zařazením na schůzi PS)</w:t>
      </w:r>
    </w:p>
    <w:p w14:paraId="3DF73EBA" w14:textId="77777777" w:rsidR="00D85483" w:rsidRPr="00D85483" w:rsidRDefault="00D85483" w:rsidP="00D85483">
      <w:pPr>
        <w:numPr>
          <w:ilvl w:val="0"/>
          <w:numId w:val="10"/>
        </w:numPr>
        <w:rPr>
          <w:rFonts w:ascii="Arial" w:hAnsi="Arial" w:cs="Arial"/>
          <w:bCs/>
        </w:rPr>
      </w:pPr>
      <w:r w:rsidRPr="00D85483">
        <w:rPr>
          <w:rFonts w:ascii="Arial" w:hAnsi="Arial" w:cs="Arial"/>
          <w:bCs/>
        </w:rPr>
        <w:t>PS – 1. čtení – lhůta pro projednání ve výborech zkrácená v rozsahu 30 dnů – (únor 2027)</w:t>
      </w:r>
    </w:p>
    <w:p w14:paraId="512E3931" w14:textId="77777777" w:rsidR="00D85483" w:rsidRPr="00D85483" w:rsidRDefault="00D85483" w:rsidP="00D85483">
      <w:pPr>
        <w:numPr>
          <w:ilvl w:val="0"/>
          <w:numId w:val="10"/>
        </w:numPr>
        <w:rPr>
          <w:rFonts w:ascii="Arial" w:hAnsi="Arial" w:cs="Arial"/>
          <w:bCs/>
        </w:rPr>
      </w:pPr>
      <w:r w:rsidRPr="00D85483">
        <w:rPr>
          <w:rFonts w:ascii="Arial" w:hAnsi="Arial" w:cs="Arial"/>
          <w:bCs/>
        </w:rPr>
        <w:t>PS – 2. čtení – (březen 2027)</w:t>
      </w:r>
    </w:p>
    <w:p w14:paraId="7554DB8C" w14:textId="77777777" w:rsidR="00D85483" w:rsidRPr="00D85483" w:rsidRDefault="00D85483" w:rsidP="00D85483">
      <w:pPr>
        <w:numPr>
          <w:ilvl w:val="0"/>
          <w:numId w:val="10"/>
        </w:numPr>
        <w:rPr>
          <w:rFonts w:ascii="Arial" w:hAnsi="Arial" w:cs="Arial"/>
          <w:bCs/>
        </w:rPr>
      </w:pPr>
      <w:r w:rsidRPr="00D85483">
        <w:rPr>
          <w:rFonts w:ascii="Arial" w:hAnsi="Arial" w:cs="Arial"/>
          <w:bCs/>
        </w:rPr>
        <w:t>PS – 3. čtení – schválení a postoupení Senátu; (duben 2027)</w:t>
      </w:r>
    </w:p>
    <w:p w14:paraId="53778664" w14:textId="77777777" w:rsidR="00D85483" w:rsidRPr="00D85483" w:rsidRDefault="00D85483" w:rsidP="00D85483">
      <w:pPr>
        <w:rPr>
          <w:rFonts w:ascii="Arial" w:hAnsi="Arial" w:cs="Arial"/>
        </w:rPr>
      </w:pPr>
      <w:r w:rsidRPr="00D85483">
        <w:rPr>
          <w:rFonts w:ascii="Arial" w:hAnsi="Arial" w:cs="Arial"/>
        </w:rPr>
        <w:t xml:space="preserve">Senát – projedná návrh do 30 dnů – květen 2027, </w:t>
      </w:r>
    </w:p>
    <w:p w14:paraId="2B6B7FF9" w14:textId="77777777" w:rsidR="00D85483" w:rsidRPr="00D85483" w:rsidRDefault="00D85483" w:rsidP="00D85483">
      <w:pPr>
        <w:rPr>
          <w:rFonts w:ascii="Arial" w:hAnsi="Arial" w:cs="Arial"/>
        </w:rPr>
      </w:pPr>
      <w:r w:rsidRPr="00D85483">
        <w:rPr>
          <w:rFonts w:ascii="Arial" w:hAnsi="Arial" w:cs="Arial"/>
        </w:rPr>
        <w:t xml:space="preserve">Prezident republiky – má lhůtu 15 kalendářních dnů červen/červenec 2027, </w:t>
      </w:r>
    </w:p>
    <w:p w14:paraId="56193E89" w14:textId="77777777" w:rsidR="00D85483" w:rsidRPr="00D85483" w:rsidRDefault="00D85483" w:rsidP="00D85483">
      <w:pPr>
        <w:rPr>
          <w:rFonts w:ascii="Arial" w:hAnsi="Arial" w:cs="Arial"/>
        </w:rPr>
      </w:pPr>
      <w:r w:rsidRPr="00D85483">
        <w:rPr>
          <w:rFonts w:ascii="Arial" w:hAnsi="Arial" w:cs="Arial"/>
        </w:rPr>
        <w:t>Publikace ve Sbírce zákonů: nejpozději září 2027, i v případě vrácení Senátem nebo prezidentem republiky; Sbírka zákonů má na publikaci 30 dnů</w:t>
      </w:r>
    </w:p>
    <w:p w14:paraId="2933E10B" w14:textId="77777777" w:rsidR="0064312E" w:rsidRDefault="0064312E" w:rsidP="00741B4C">
      <w:pPr>
        <w:rPr>
          <w:rFonts w:ascii="Arial" w:hAnsi="Arial" w:cs="Arial"/>
          <w:b/>
        </w:rPr>
      </w:pPr>
    </w:p>
    <w:p w14:paraId="02385E42" w14:textId="70132308" w:rsidR="00741B4C" w:rsidRPr="00741B4C" w:rsidRDefault="00741B4C" w:rsidP="00741B4C">
      <w:pPr>
        <w:rPr>
          <w:rFonts w:ascii="Arial" w:hAnsi="Arial" w:cs="Arial"/>
          <w:b/>
        </w:rPr>
      </w:pPr>
      <w:r w:rsidRPr="00741B4C">
        <w:rPr>
          <w:rFonts w:ascii="Arial" w:hAnsi="Arial" w:cs="Arial"/>
          <w:b/>
        </w:rPr>
        <w:t>Účinnost od 1. ledna 2028</w:t>
      </w:r>
    </w:p>
    <w:p w14:paraId="265F1780" w14:textId="77777777" w:rsidR="00741B4C" w:rsidRPr="0060193A" w:rsidRDefault="00741B4C">
      <w:pPr>
        <w:rPr>
          <w:rFonts w:ascii="Arial" w:hAnsi="Arial" w:cs="Arial"/>
          <w:bCs/>
          <w:u w:val="single"/>
        </w:rPr>
      </w:pPr>
    </w:p>
    <w:sectPr w:rsidR="00741B4C" w:rsidRPr="0060193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24560" w14:textId="77777777" w:rsidR="00633123" w:rsidRDefault="00633123" w:rsidP="00C147B7">
      <w:pPr>
        <w:spacing w:after="0" w:line="240" w:lineRule="auto"/>
      </w:pPr>
      <w:r>
        <w:separator/>
      </w:r>
    </w:p>
  </w:endnote>
  <w:endnote w:type="continuationSeparator" w:id="0">
    <w:p w14:paraId="0090A6F3" w14:textId="77777777" w:rsidR="00633123" w:rsidRDefault="00633123" w:rsidP="00C14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5458"/>
      <w:docPartObj>
        <w:docPartGallery w:val="Page Numbers (Bottom of Page)"/>
        <w:docPartUnique/>
      </w:docPartObj>
    </w:sdtPr>
    <w:sdtContent>
      <w:p w14:paraId="53A10CCF" w14:textId="754B155C" w:rsidR="001B07C2" w:rsidRDefault="001B07C2">
        <w:pPr>
          <w:pStyle w:val="Zpat"/>
          <w:jc w:val="center"/>
        </w:pPr>
        <w:r>
          <w:fldChar w:fldCharType="begin"/>
        </w:r>
        <w:r>
          <w:instrText>PAGE   \* MERGEFORMAT</w:instrText>
        </w:r>
        <w:r>
          <w:fldChar w:fldCharType="separate"/>
        </w:r>
        <w:r>
          <w:t>2</w:t>
        </w:r>
        <w:r>
          <w:fldChar w:fldCharType="end"/>
        </w:r>
      </w:p>
    </w:sdtContent>
  </w:sdt>
  <w:p w14:paraId="3FFA54A0" w14:textId="77777777" w:rsidR="001B07C2" w:rsidRDefault="001B07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E5D7" w14:textId="77777777" w:rsidR="00633123" w:rsidRDefault="00633123" w:rsidP="00C147B7">
      <w:pPr>
        <w:spacing w:after="0" w:line="240" w:lineRule="auto"/>
      </w:pPr>
      <w:r>
        <w:separator/>
      </w:r>
    </w:p>
  </w:footnote>
  <w:footnote w:type="continuationSeparator" w:id="0">
    <w:p w14:paraId="7E850740" w14:textId="77777777" w:rsidR="00633123" w:rsidRDefault="00633123" w:rsidP="00C147B7">
      <w:pPr>
        <w:spacing w:after="0" w:line="240" w:lineRule="auto"/>
      </w:pPr>
      <w:r>
        <w:continuationSeparator/>
      </w:r>
    </w:p>
  </w:footnote>
  <w:footnote w:id="1">
    <w:p w14:paraId="4A2EE6DD" w14:textId="77777777" w:rsidR="00D85483" w:rsidRDefault="00D85483" w:rsidP="00D85483">
      <w:pPr>
        <w:pStyle w:val="Textpoznpodarou"/>
        <w:jc w:val="both"/>
      </w:pPr>
      <w:r>
        <w:rPr>
          <w:rStyle w:val="Znakapoznpodarou"/>
        </w:rPr>
        <w:footnoteRef/>
      </w:r>
      <w:r>
        <w:t xml:space="preserve"> 1 rokem v náročné profesi se rozumí 1 760 hodin výkonu práce s působením příslušného rizika. To znamená, že v situaci, kdy riziko nepůsobí po celou dobu výkonu práce nebude 1 rok v náročné profesi odpovídat 1 kalendářnímu roku výdělečné činnosti.</w:t>
      </w:r>
    </w:p>
  </w:footnote>
  <w:footnote w:id="2">
    <w:p w14:paraId="73D6C066" w14:textId="77777777" w:rsidR="00C147B7" w:rsidRDefault="00C147B7" w:rsidP="00C147B7">
      <w:pPr>
        <w:pStyle w:val="Textpoznpodarou"/>
        <w:jc w:val="both"/>
      </w:pPr>
      <w:r>
        <w:rPr>
          <w:rStyle w:val="Znakapoznpodarou"/>
        </w:rPr>
        <w:footnoteRef/>
      </w:r>
      <w:r>
        <w:t xml:space="preserve"> K dosažení změny průměrné doby strávené v náročné profesi jsou postupně zcela vylučovány osoby s nejkratší, resp. s nejdelší dobou v náročné profesi s tím, že rovnoměrné zastoupení u zbytku je zachováno.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7EDE"/>
    <w:multiLevelType w:val="hybridMultilevel"/>
    <w:tmpl w:val="CD085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2372B83"/>
    <w:multiLevelType w:val="hybridMultilevel"/>
    <w:tmpl w:val="D2B87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535BF0"/>
    <w:multiLevelType w:val="hybridMultilevel"/>
    <w:tmpl w:val="F7B47E8E"/>
    <w:lvl w:ilvl="0" w:tplc="C3D67A08">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A40F51"/>
    <w:multiLevelType w:val="hybridMultilevel"/>
    <w:tmpl w:val="03EE4016"/>
    <w:lvl w:ilvl="0" w:tplc="B246B4A8">
      <w:numFmt w:val="bullet"/>
      <w:lvlText w:val="-"/>
      <w:lvlJc w:val="left"/>
      <w:pPr>
        <w:ind w:left="1230" w:hanging="360"/>
      </w:pPr>
      <w:rPr>
        <w:rFonts w:ascii="Arial" w:eastAsiaTheme="minorHAnsi" w:hAnsi="Arial" w:cs="Arial" w:hint="default"/>
      </w:rPr>
    </w:lvl>
    <w:lvl w:ilvl="1" w:tplc="04050003">
      <w:start w:val="1"/>
      <w:numFmt w:val="bullet"/>
      <w:lvlText w:val="o"/>
      <w:lvlJc w:val="left"/>
      <w:pPr>
        <w:ind w:left="1950" w:hanging="360"/>
      </w:pPr>
      <w:rPr>
        <w:rFonts w:ascii="Courier New" w:hAnsi="Courier New" w:cs="Courier New" w:hint="default"/>
      </w:rPr>
    </w:lvl>
    <w:lvl w:ilvl="2" w:tplc="04050005">
      <w:start w:val="1"/>
      <w:numFmt w:val="bullet"/>
      <w:lvlText w:val=""/>
      <w:lvlJc w:val="left"/>
      <w:pPr>
        <w:ind w:left="2670" w:hanging="360"/>
      </w:pPr>
      <w:rPr>
        <w:rFonts w:ascii="Wingdings" w:hAnsi="Wingdings" w:hint="default"/>
      </w:rPr>
    </w:lvl>
    <w:lvl w:ilvl="3" w:tplc="04050001">
      <w:start w:val="1"/>
      <w:numFmt w:val="bullet"/>
      <w:lvlText w:val=""/>
      <w:lvlJc w:val="left"/>
      <w:pPr>
        <w:ind w:left="3390" w:hanging="360"/>
      </w:pPr>
      <w:rPr>
        <w:rFonts w:ascii="Symbol" w:hAnsi="Symbol" w:hint="default"/>
      </w:rPr>
    </w:lvl>
    <w:lvl w:ilvl="4" w:tplc="04050003">
      <w:start w:val="1"/>
      <w:numFmt w:val="bullet"/>
      <w:lvlText w:val="o"/>
      <w:lvlJc w:val="left"/>
      <w:pPr>
        <w:ind w:left="4110" w:hanging="360"/>
      </w:pPr>
      <w:rPr>
        <w:rFonts w:ascii="Courier New" w:hAnsi="Courier New" w:cs="Courier New" w:hint="default"/>
      </w:rPr>
    </w:lvl>
    <w:lvl w:ilvl="5" w:tplc="04050005">
      <w:start w:val="1"/>
      <w:numFmt w:val="bullet"/>
      <w:lvlText w:val=""/>
      <w:lvlJc w:val="left"/>
      <w:pPr>
        <w:ind w:left="4830" w:hanging="360"/>
      </w:pPr>
      <w:rPr>
        <w:rFonts w:ascii="Wingdings" w:hAnsi="Wingdings" w:hint="default"/>
      </w:rPr>
    </w:lvl>
    <w:lvl w:ilvl="6" w:tplc="04050001">
      <w:start w:val="1"/>
      <w:numFmt w:val="bullet"/>
      <w:lvlText w:val=""/>
      <w:lvlJc w:val="left"/>
      <w:pPr>
        <w:ind w:left="5550" w:hanging="360"/>
      </w:pPr>
      <w:rPr>
        <w:rFonts w:ascii="Symbol" w:hAnsi="Symbol" w:hint="default"/>
      </w:rPr>
    </w:lvl>
    <w:lvl w:ilvl="7" w:tplc="04050003">
      <w:start w:val="1"/>
      <w:numFmt w:val="bullet"/>
      <w:lvlText w:val="o"/>
      <w:lvlJc w:val="left"/>
      <w:pPr>
        <w:ind w:left="6270" w:hanging="360"/>
      </w:pPr>
      <w:rPr>
        <w:rFonts w:ascii="Courier New" w:hAnsi="Courier New" w:cs="Courier New" w:hint="default"/>
      </w:rPr>
    </w:lvl>
    <w:lvl w:ilvl="8" w:tplc="04050005">
      <w:start w:val="1"/>
      <w:numFmt w:val="bullet"/>
      <w:lvlText w:val=""/>
      <w:lvlJc w:val="left"/>
      <w:pPr>
        <w:ind w:left="6990" w:hanging="360"/>
      </w:pPr>
      <w:rPr>
        <w:rFonts w:ascii="Wingdings" w:hAnsi="Wingdings" w:hint="default"/>
      </w:rPr>
    </w:lvl>
  </w:abstractNum>
  <w:abstractNum w:abstractNumId="4" w15:restartNumberingAfterBreak="0">
    <w:nsid w:val="458B354B"/>
    <w:multiLevelType w:val="hybridMultilevel"/>
    <w:tmpl w:val="D6AAF4B4"/>
    <w:lvl w:ilvl="0" w:tplc="49EE7E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880305"/>
    <w:multiLevelType w:val="hybridMultilevel"/>
    <w:tmpl w:val="1104084C"/>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5AFD6672"/>
    <w:multiLevelType w:val="hybridMultilevel"/>
    <w:tmpl w:val="40288C0E"/>
    <w:lvl w:ilvl="0" w:tplc="C29C93D0">
      <w:start w:val="3"/>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B753B30"/>
    <w:multiLevelType w:val="hybridMultilevel"/>
    <w:tmpl w:val="B31E269C"/>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8" w15:restartNumberingAfterBreak="0">
    <w:nsid w:val="6C507519"/>
    <w:multiLevelType w:val="hybridMultilevel"/>
    <w:tmpl w:val="00A27D38"/>
    <w:lvl w:ilvl="0" w:tplc="9E2695B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79257679">
    <w:abstractNumId w:val="3"/>
  </w:num>
  <w:num w:numId="2" w16cid:durableId="336814127">
    <w:abstractNumId w:val="4"/>
  </w:num>
  <w:num w:numId="3" w16cid:durableId="1502353915">
    <w:abstractNumId w:val="2"/>
  </w:num>
  <w:num w:numId="4" w16cid:durableId="481850334">
    <w:abstractNumId w:val="6"/>
  </w:num>
  <w:num w:numId="5" w16cid:durableId="938412275">
    <w:abstractNumId w:val="1"/>
  </w:num>
  <w:num w:numId="6" w16cid:durableId="1075668109">
    <w:abstractNumId w:val="8"/>
  </w:num>
  <w:num w:numId="7" w16cid:durableId="2091267304">
    <w:abstractNumId w:val="7"/>
  </w:num>
  <w:num w:numId="8" w16cid:durableId="820584564">
    <w:abstractNumId w:val="5"/>
  </w:num>
  <w:num w:numId="9" w16cid:durableId="1324898183">
    <w:abstractNumId w:val="0"/>
  </w:num>
  <w:num w:numId="10" w16cid:durableId="846674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10"/>
    <w:rsid w:val="00013312"/>
    <w:rsid w:val="00074AE0"/>
    <w:rsid w:val="00083524"/>
    <w:rsid w:val="001379AD"/>
    <w:rsid w:val="00146AA6"/>
    <w:rsid w:val="00194487"/>
    <w:rsid w:val="001B07C2"/>
    <w:rsid w:val="0020768F"/>
    <w:rsid w:val="00262018"/>
    <w:rsid w:val="002727EE"/>
    <w:rsid w:val="002D0E59"/>
    <w:rsid w:val="002E377A"/>
    <w:rsid w:val="002F2202"/>
    <w:rsid w:val="00301ED8"/>
    <w:rsid w:val="00331B10"/>
    <w:rsid w:val="003409B2"/>
    <w:rsid w:val="003F52AD"/>
    <w:rsid w:val="00403DEE"/>
    <w:rsid w:val="00437FE4"/>
    <w:rsid w:val="00515B77"/>
    <w:rsid w:val="00540DCB"/>
    <w:rsid w:val="005B59FD"/>
    <w:rsid w:val="005C4C62"/>
    <w:rsid w:val="0060193A"/>
    <w:rsid w:val="00633123"/>
    <w:rsid w:val="0064312E"/>
    <w:rsid w:val="006569C5"/>
    <w:rsid w:val="006D6195"/>
    <w:rsid w:val="00741B4C"/>
    <w:rsid w:val="00761E09"/>
    <w:rsid w:val="0085211D"/>
    <w:rsid w:val="00887FEF"/>
    <w:rsid w:val="008F1DFE"/>
    <w:rsid w:val="009113D0"/>
    <w:rsid w:val="0098167E"/>
    <w:rsid w:val="00A675FD"/>
    <w:rsid w:val="00A711DB"/>
    <w:rsid w:val="00A77A6B"/>
    <w:rsid w:val="00BB1296"/>
    <w:rsid w:val="00C073C4"/>
    <w:rsid w:val="00C147B7"/>
    <w:rsid w:val="00CF576F"/>
    <w:rsid w:val="00D3660D"/>
    <w:rsid w:val="00D85483"/>
    <w:rsid w:val="00E35278"/>
    <w:rsid w:val="00E46A8B"/>
    <w:rsid w:val="00ED080E"/>
    <w:rsid w:val="00F12699"/>
    <w:rsid w:val="00F43D6A"/>
    <w:rsid w:val="00F513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9919"/>
  <w15:chartTrackingRefBased/>
  <w15:docId w15:val="{BACFDDB1-9FC9-443A-A2BA-35A523D3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1B10"/>
  </w:style>
  <w:style w:type="paragraph" w:styleId="Nadpis1">
    <w:name w:val="heading 1"/>
    <w:basedOn w:val="Normln"/>
    <w:next w:val="Normln"/>
    <w:link w:val="Nadpis1Char"/>
    <w:uiPriority w:val="9"/>
    <w:qFormat/>
    <w:rsid w:val="0033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3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31B1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31B1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31B1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31B1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31B1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31B1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31B1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31B1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31B1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31B1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31B1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31B1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31B1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31B1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31B1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31B10"/>
    <w:rPr>
      <w:rFonts w:eastAsiaTheme="majorEastAsia" w:cstheme="majorBidi"/>
      <w:color w:val="272727" w:themeColor="text1" w:themeTint="D8"/>
    </w:rPr>
  </w:style>
  <w:style w:type="paragraph" w:styleId="Nzev">
    <w:name w:val="Title"/>
    <w:basedOn w:val="Normln"/>
    <w:next w:val="Normln"/>
    <w:link w:val="NzevChar"/>
    <w:uiPriority w:val="10"/>
    <w:qFormat/>
    <w:rsid w:val="0033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31B1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31B1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31B1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31B10"/>
    <w:pPr>
      <w:spacing w:before="160"/>
      <w:jc w:val="center"/>
    </w:pPr>
    <w:rPr>
      <w:i/>
      <w:iCs/>
      <w:color w:val="404040" w:themeColor="text1" w:themeTint="BF"/>
    </w:rPr>
  </w:style>
  <w:style w:type="character" w:customStyle="1" w:styleId="CittChar">
    <w:name w:val="Citát Char"/>
    <w:basedOn w:val="Standardnpsmoodstavce"/>
    <w:link w:val="Citt"/>
    <w:uiPriority w:val="29"/>
    <w:rsid w:val="00331B10"/>
    <w:rPr>
      <w:i/>
      <w:iCs/>
      <w:color w:val="404040" w:themeColor="text1" w:themeTint="BF"/>
    </w:rPr>
  </w:style>
  <w:style w:type="paragraph" w:styleId="Odstavecseseznamem">
    <w:name w:val="List Paragraph"/>
    <w:basedOn w:val="Normln"/>
    <w:uiPriority w:val="34"/>
    <w:qFormat/>
    <w:rsid w:val="00331B10"/>
    <w:pPr>
      <w:ind w:left="720"/>
      <w:contextualSpacing/>
    </w:pPr>
  </w:style>
  <w:style w:type="character" w:styleId="Zdraznnintenzivn">
    <w:name w:val="Intense Emphasis"/>
    <w:basedOn w:val="Standardnpsmoodstavce"/>
    <w:uiPriority w:val="21"/>
    <w:qFormat/>
    <w:rsid w:val="00331B10"/>
    <w:rPr>
      <w:i/>
      <w:iCs/>
      <w:color w:val="0F4761" w:themeColor="accent1" w:themeShade="BF"/>
    </w:rPr>
  </w:style>
  <w:style w:type="paragraph" w:styleId="Vrazncitt">
    <w:name w:val="Intense Quote"/>
    <w:basedOn w:val="Normln"/>
    <w:next w:val="Normln"/>
    <w:link w:val="VrazncittChar"/>
    <w:uiPriority w:val="30"/>
    <w:qFormat/>
    <w:rsid w:val="0033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31B10"/>
    <w:rPr>
      <w:i/>
      <w:iCs/>
      <w:color w:val="0F4761" w:themeColor="accent1" w:themeShade="BF"/>
    </w:rPr>
  </w:style>
  <w:style w:type="character" w:styleId="Odkazintenzivn">
    <w:name w:val="Intense Reference"/>
    <w:basedOn w:val="Standardnpsmoodstavce"/>
    <w:uiPriority w:val="32"/>
    <w:qFormat/>
    <w:rsid w:val="00331B10"/>
    <w:rPr>
      <w:b/>
      <w:bCs/>
      <w:smallCaps/>
      <w:color w:val="0F4761" w:themeColor="accent1" w:themeShade="BF"/>
      <w:spacing w:val="5"/>
    </w:rPr>
  </w:style>
  <w:style w:type="paragraph" w:styleId="Bezmezer">
    <w:name w:val="No Spacing"/>
    <w:uiPriority w:val="1"/>
    <w:qFormat/>
    <w:rsid w:val="0085211D"/>
    <w:pPr>
      <w:spacing w:after="0" w:line="240" w:lineRule="auto"/>
    </w:pPr>
    <w:rPr>
      <w:kern w:val="0"/>
      <w:sz w:val="22"/>
      <w:szCs w:val="22"/>
      <w14:ligatures w14:val="none"/>
    </w:rPr>
  </w:style>
  <w:style w:type="table" w:styleId="Mkatabulky">
    <w:name w:val="Table Grid"/>
    <w:basedOn w:val="Normlntabulka"/>
    <w:uiPriority w:val="39"/>
    <w:rsid w:val="00C14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147B7"/>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uiPriority w:val="99"/>
    <w:semiHidden/>
    <w:rsid w:val="00C147B7"/>
    <w:rPr>
      <w:kern w:val="0"/>
      <w:sz w:val="20"/>
      <w:szCs w:val="20"/>
      <w14:ligatures w14:val="none"/>
    </w:rPr>
  </w:style>
  <w:style w:type="character" w:styleId="Znakapoznpodarou">
    <w:name w:val="footnote reference"/>
    <w:basedOn w:val="Standardnpsmoodstavce"/>
    <w:uiPriority w:val="99"/>
    <w:semiHidden/>
    <w:unhideWhenUsed/>
    <w:rsid w:val="00C147B7"/>
    <w:rPr>
      <w:vertAlign w:val="superscript"/>
    </w:rPr>
  </w:style>
  <w:style w:type="paragraph" w:styleId="Textkomente">
    <w:name w:val="annotation text"/>
    <w:basedOn w:val="Normln"/>
    <w:link w:val="TextkomenteChar"/>
    <w:uiPriority w:val="99"/>
    <w:semiHidden/>
    <w:unhideWhenUsed/>
    <w:rsid w:val="003409B2"/>
    <w:pPr>
      <w:spacing w:line="240" w:lineRule="auto"/>
    </w:pPr>
    <w:rPr>
      <w:sz w:val="20"/>
      <w:szCs w:val="20"/>
    </w:rPr>
  </w:style>
  <w:style w:type="character" w:customStyle="1" w:styleId="TextkomenteChar">
    <w:name w:val="Text komentáře Char"/>
    <w:basedOn w:val="Standardnpsmoodstavce"/>
    <w:link w:val="Textkomente"/>
    <w:uiPriority w:val="99"/>
    <w:semiHidden/>
    <w:rsid w:val="003409B2"/>
    <w:rPr>
      <w:sz w:val="20"/>
      <w:szCs w:val="20"/>
    </w:rPr>
  </w:style>
  <w:style w:type="character" w:styleId="Odkaznakoment">
    <w:name w:val="annotation reference"/>
    <w:basedOn w:val="Standardnpsmoodstavce"/>
    <w:uiPriority w:val="99"/>
    <w:semiHidden/>
    <w:unhideWhenUsed/>
    <w:rsid w:val="003409B2"/>
    <w:rPr>
      <w:sz w:val="16"/>
      <w:szCs w:val="16"/>
    </w:rPr>
  </w:style>
  <w:style w:type="paragraph" w:styleId="Zhlav">
    <w:name w:val="header"/>
    <w:basedOn w:val="Normln"/>
    <w:link w:val="ZhlavChar"/>
    <w:uiPriority w:val="99"/>
    <w:unhideWhenUsed/>
    <w:rsid w:val="001B07C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07C2"/>
  </w:style>
  <w:style w:type="paragraph" w:styleId="Zpat">
    <w:name w:val="footer"/>
    <w:basedOn w:val="Normln"/>
    <w:link w:val="ZpatChar"/>
    <w:uiPriority w:val="99"/>
    <w:unhideWhenUsed/>
    <w:rsid w:val="001B07C2"/>
    <w:pPr>
      <w:tabs>
        <w:tab w:val="center" w:pos="4536"/>
        <w:tab w:val="right" w:pos="9072"/>
      </w:tabs>
      <w:spacing w:after="0" w:line="240" w:lineRule="auto"/>
    </w:pPr>
  </w:style>
  <w:style w:type="character" w:customStyle="1" w:styleId="ZpatChar">
    <w:name w:val="Zápatí Char"/>
    <w:basedOn w:val="Standardnpsmoodstavce"/>
    <w:link w:val="Zpat"/>
    <w:uiPriority w:val="99"/>
    <w:rsid w:val="001B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796">
      <w:bodyDiv w:val="1"/>
      <w:marLeft w:val="0"/>
      <w:marRight w:val="0"/>
      <w:marTop w:val="0"/>
      <w:marBottom w:val="0"/>
      <w:divBdr>
        <w:top w:val="none" w:sz="0" w:space="0" w:color="auto"/>
        <w:left w:val="none" w:sz="0" w:space="0" w:color="auto"/>
        <w:bottom w:val="none" w:sz="0" w:space="0" w:color="auto"/>
        <w:right w:val="none" w:sz="0" w:space="0" w:color="auto"/>
      </w:divBdr>
    </w:div>
    <w:div w:id="44380713">
      <w:bodyDiv w:val="1"/>
      <w:marLeft w:val="0"/>
      <w:marRight w:val="0"/>
      <w:marTop w:val="0"/>
      <w:marBottom w:val="0"/>
      <w:divBdr>
        <w:top w:val="none" w:sz="0" w:space="0" w:color="auto"/>
        <w:left w:val="none" w:sz="0" w:space="0" w:color="auto"/>
        <w:bottom w:val="none" w:sz="0" w:space="0" w:color="auto"/>
        <w:right w:val="none" w:sz="0" w:space="0" w:color="auto"/>
      </w:divBdr>
    </w:div>
    <w:div w:id="823621075">
      <w:bodyDiv w:val="1"/>
      <w:marLeft w:val="0"/>
      <w:marRight w:val="0"/>
      <w:marTop w:val="0"/>
      <w:marBottom w:val="0"/>
      <w:divBdr>
        <w:top w:val="none" w:sz="0" w:space="0" w:color="auto"/>
        <w:left w:val="none" w:sz="0" w:space="0" w:color="auto"/>
        <w:bottom w:val="none" w:sz="0" w:space="0" w:color="auto"/>
        <w:right w:val="none" w:sz="0" w:space="0" w:color="auto"/>
      </w:divBdr>
    </w:div>
    <w:div w:id="981426966">
      <w:bodyDiv w:val="1"/>
      <w:marLeft w:val="0"/>
      <w:marRight w:val="0"/>
      <w:marTop w:val="0"/>
      <w:marBottom w:val="0"/>
      <w:divBdr>
        <w:top w:val="none" w:sz="0" w:space="0" w:color="auto"/>
        <w:left w:val="none" w:sz="0" w:space="0" w:color="auto"/>
        <w:bottom w:val="none" w:sz="0" w:space="0" w:color="auto"/>
        <w:right w:val="none" w:sz="0" w:space="0" w:color="auto"/>
      </w:divBdr>
    </w:div>
    <w:div w:id="1002705662">
      <w:bodyDiv w:val="1"/>
      <w:marLeft w:val="0"/>
      <w:marRight w:val="0"/>
      <w:marTop w:val="0"/>
      <w:marBottom w:val="0"/>
      <w:divBdr>
        <w:top w:val="none" w:sz="0" w:space="0" w:color="auto"/>
        <w:left w:val="none" w:sz="0" w:space="0" w:color="auto"/>
        <w:bottom w:val="none" w:sz="0" w:space="0" w:color="auto"/>
        <w:right w:val="none" w:sz="0" w:space="0" w:color="auto"/>
      </w:divBdr>
    </w:div>
    <w:div w:id="1238439708">
      <w:bodyDiv w:val="1"/>
      <w:marLeft w:val="0"/>
      <w:marRight w:val="0"/>
      <w:marTop w:val="0"/>
      <w:marBottom w:val="0"/>
      <w:divBdr>
        <w:top w:val="none" w:sz="0" w:space="0" w:color="auto"/>
        <w:left w:val="none" w:sz="0" w:space="0" w:color="auto"/>
        <w:bottom w:val="none" w:sz="0" w:space="0" w:color="auto"/>
        <w:right w:val="none" w:sz="0" w:space="0" w:color="auto"/>
      </w:divBdr>
    </w:div>
    <w:div w:id="1472600824">
      <w:bodyDiv w:val="1"/>
      <w:marLeft w:val="0"/>
      <w:marRight w:val="0"/>
      <w:marTop w:val="0"/>
      <w:marBottom w:val="0"/>
      <w:divBdr>
        <w:top w:val="none" w:sz="0" w:space="0" w:color="auto"/>
        <w:left w:val="none" w:sz="0" w:space="0" w:color="auto"/>
        <w:bottom w:val="none" w:sz="0" w:space="0" w:color="auto"/>
        <w:right w:val="none" w:sz="0" w:space="0" w:color="auto"/>
      </w:divBdr>
    </w:div>
    <w:div w:id="1778988549">
      <w:bodyDiv w:val="1"/>
      <w:marLeft w:val="0"/>
      <w:marRight w:val="0"/>
      <w:marTop w:val="0"/>
      <w:marBottom w:val="0"/>
      <w:divBdr>
        <w:top w:val="none" w:sz="0" w:space="0" w:color="auto"/>
        <w:left w:val="none" w:sz="0" w:space="0" w:color="auto"/>
        <w:bottom w:val="none" w:sz="0" w:space="0" w:color="auto"/>
        <w:right w:val="none" w:sz="0" w:space="0" w:color="auto"/>
      </w:divBdr>
    </w:div>
    <w:div w:id="183202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2154</Words>
  <Characters>12715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Trnková Helena JUDr. (MPSV)</dc:creator>
  <cp:keywords/>
  <dc:description/>
  <cp:lastModifiedBy>OSPZV-ASO OSPZV-ASO</cp:lastModifiedBy>
  <cp:revision>2</cp:revision>
  <dcterms:created xsi:type="dcterms:W3CDTF">2026-03-03T09:58:00Z</dcterms:created>
  <dcterms:modified xsi:type="dcterms:W3CDTF">2026-03-03T09:58:00Z</dcterms:modified>
</cp:coreProperties>
</file>