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rsidP="001A3B5C">
      <w:pPr>
        <w:pStyle w:val="Nzev"/>
        <w:pBdr>
          <w:bottom w:val="none" w:sz="0" w:space="0" w:color="auto"/>
        </w:pBdr>
        <w:snapToGrid w:val="0"/>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1A3B5C">
      <w:pPr>
        <w:pStyle w:val="Nzev"/>
        <w:pBdr>
          <w:bottom w:val="none" w:sz="0" w:space="0" w:color="auto"/>
        </w:pBdr>
        <w:snapToGrid w:val="0"/>
        <w:jc w:val="left"/>
        <w:rPr>
          <w:rFonts w:ascii="Arial" w:hAnsi="Arial"/>
          <w:sz w:val="24"/>
        </w:rPr>
      </w:pPr>
      <w:r>
        <w:rPr>
          <w:rFonts w:ascii="Arial" w:hAnsi="Arial"/>
          <w:sz w:val="24"/>
        </w:rPr>
        <w:t>Konfederace</w:t>
      </w:r>
    </w:p>
    <w:p w14:paraId="2E843A72" w14:textId="25F7DF3A" w:rsidR="00CD5A5C" w:rsidRDefault="00CD5A5C" w:rsidP="001A3B5C">
      <w:pPr>
        <w:pStyle w:val="Nzev"/>
        <w:pBdr>
          <w:bottom w:val="none" w:sz="0" w:space="0" w:color="auto"/>
        </w:pBdr>
        <w:snapToGrid w:val="0"/>
        <w:jc w:val="left"/>
        <w:rPr>
          <w:rFonts w:ascii="Arial" w:hAnsi="Arial"/>
          <w:sz w:val="24"/>
        </w:rPr>
      </w:pPr>
      <w:r>
        <w:rPr>
          <w:rFonts w:ascii="Arial" w:hAnsi="Arial"/>
          <w:sz w:val="24"/>
        </w:rPr>
        <w:t>zaměstnavatelských a podnikatelských svazů ČR</w:t>
      </w:r>
    </w:p>
    <w:p w14:paraId="1AC3CCE9" w14:textId="77777777" w:rsidR="00CD5A5C" w:rsidRDefault="00CD5A5C" w:rsidP="001A3B5C">
      <w:pPr>
        <w:pStyle w:val="Nzev"/>
        <w:pBdr>
          <w:bottom w:val="none" w:sz="0" w:space="0" w:color="auto"/>
        </w:pBdr>
        <w:snapToGrid w:val="0"/>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1A3B5C">
      <w:pPr>
        <w:snapToGrid w:val="0"/>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1A3B5C">
      <w:pPr>
        <w:pBdr>
          <w:bottom w:val="single" w:sz="6" w:space="1" w:color="auto"/>
        </w:pBdr>
        <w:snapToGrid w:val="0"/>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1A3B5C">
      <w:pPr>
        <w:pBdr>
          <w:bottom w:val="single" w:sz="6" w:space="1" w:color="auto"/>
        </w:pBdr>
        <w:snapToGrid w:val="0"/>
        <w:ind w:firstLine="708"/>
        <w:rPr>
          <w:sz w:val="18"/>
        </w:rPr>
      </w:pPr>
    </w:p>
    <w:p w14:paraId="30E06193" w14:textId="77777777" w:rsidR="001A3B5C" w:rsidRDefault="001A3B5C" w:rsidP="001A3B5C">
      <w:pPr>
        <w:snapToGrid w:val="0"/>
        <w:jc w:val="center"/>
        <w:rPr>
          <w:rFonts w:ascii="Calibri" w:hAnsi="Calibri" w:cs="Arial"/>
          <w:b/>
          <w:bCs/>
          <w:sz w:val="52"/>
          <w:szCs w:val="52"/>
        </w:rPr>
      </w:pPr>
    </w:p>
    <w:p w14:paraId="17A087A5" w14:textId="7F4FBBB1" w:rsidR="002A7D42" w:rsidRPr="00B411A7" w:rsidRDefault="002A7D42" w:rsidP="001A3B5C">
      <w:pPr>
        <w:snapToGrid w:val="0"/>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1A3B5C">
      <w:pPr>
        <w:snapToGrid w:val="0"/>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E731F84" w:rsidR="00D442C1" w:rsidRPr="009E1C66" w:rsidRDefault="002B7592" w:rsidP="001A3B5C">
      <w:pPr>
        <w:snapToGrid w:val="0"/>
        <w:jc w:val="center"/>
        <w:rPr>
          <w:b/>
        </w:rPr>
      </w:pPr>
      <w:r w:rsidRPr="009E4828">
        <w:rPr>
          <w:rFonts w:asciiTheme="minorHAnsi" w:hAnsiTheme="minorHAnsi" w:cstheme="minorHAnsi"/>
          <w:b/>
          <w:bCs/>
          <w:sz w:val="24"/>
          <w:szCs w:val="24"/>
        </w:rPr>
        <w:t>k</w:t>
      </w:r>
      <w:r w:rsidR="009E1C66">
        <w:rPr>
          <w:rFonts w:asciiTheme="minorHAnsi" w:hAnsiTheme="minorHAnsi" w:cstheme="minorHAnsi"/>
          <w:b/>
          <w:bCs/>
          <w:sz w:val="24"/>
          <w:szCs w:val="24"/>
        </w:rPr>
        <w:t xml:space="preserve"> materiálu </w:t>
      </w:r>
      <w:r w:rsidR="00011F2C">
        <w:rPr>
          <w:rFonts w:asciiTheme="minorHAnsi" w:hAnsiTheme="minorHAnsi" w:cstheme="minorHAnsi"/>
          <w:b/>
          <w:bCs/>
          <w:sz w:val="24"/>
          <w:szCs w:val="24"/>
        </w:rPr>
        <w:t>„</w:t>
      </w:r>
      <w:r w:rsidR="009E1C66" w:rsidRPr="009E1C66">
        <w:rPr>
          <w:rFonts w:asciiTheme="minorHAnsi" w:hAnsiTheme="minorHAnsi" w:cstheme="minorHAnsi"/>
          <w:b/>
          <w:bCs/>
          <w:sz w:val="24"/>
          <w:szCs w:val="24"/>
        </w:rPr>
        <w:t>Návrh vyhlášky, kterou se mění vyhláška č. 252/2004 Sb., kterou se stanoví hygienické požadavky na pitnou a teplou vodu a četnost a rozsah kontroly pitné vody, ve znění pozdějších předpisů</w:t>
      </w:r>
      <w:r w:rsidR="00D21B8B">
        <w:rPr>
          <w:rFonts w:asciiTheme="minorHAnsi" w:hAnsiTheme="minorHAnsi" w:cstheme="minorHAnsi"/>
          <w:b/>
          <w:bCs/>
          <w:sz w:val="24"/>
          <w:szCs w:val="24"/>
        </w:rPr>
        <w:t>“</w:t>
      </w:r>
    </w:p>
    <w:p w14:paraId="3158C308" w14:textId="7BB799E5" w:rsidR="00F94FD6" w:rsidRDefault="00F94FD6" w:rsidP="001A3B5C">
      <w:pPr>
        <w:snapToGrid w:val="0"/>
        <w:jc w:val="center"/>
        <w:rPr>
          <w:rFonts w:asciiTheme="minorHAnsi" w:hAnsiTheme="minorHAnsi" w:cstheme="minorHAnsi"/>
          <w:b/>
          <w:bCs/>
          <w:sz w:val="24"/>
          <w:szCs w:val="24"/>
        </w:rPr>
      </w:pPr>
    </w:p>
    <w:p w14:paraId="07E8E51E" w14:textId="77777777" w:rsidR="001A3B5C" w:rsidRDefault="001A3B5C" w:rsidP="001A3B5C">
      <w:pPr>
        <w:snapToGrid w:val="0"/>
        <w:jc w:val="center"/>
        <w:rPr>
          <w:rFonts w:asciiTheme="minorHAnsi" w:hAnsiTheme="minorHAnsi" w:cstheme="minorHAnsi"/>
          <w:b/>
          <w:bCs/>
          <w:sz w:val="24"/>
          <w:szCs w:val="24"/>
        </w:rPr>
      </w:pPr>
    </w:p>
    <w:p w14:paraId="24BA5B47" w14:textId="518D08AF" w:rsidR="00DD03DC" w:rsidRPr="00595DA9" w:rsidRDefault="00DD03DC" w:rsidP="001A3B5C">
      <w:pPr>
        <w:snapToGrid w:val="0"/>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w:t>
      </w:r>
      <w:r w:rsidRPr="00595DA9">
        <w:rPr>
          <w:rFonts w:asciiTheme="minorHAnsi" w:hAnsiTheme="minorHAnsi" w:cstheme="minorHAnsi"/>
          <w:sz w:val="24"/>
          <w:szCs w:val="24"/>
        </w:rPr>
        <w:t xml:space="preserve">Konfederace zaměstnavatelských a podnikatelských svazů ČR (KZPS ČR) uplatňuje následující </w:t>
      </w:r>
      <w:r w:rsidR="00C50846" w:rsidRPr="00595DA9">
        <w:rPr>
          <w:rFonts w:asciiTheme="minorHAnsi" w:hAnsiTheme="minorHAnsi" w:cstheme="minorHAnsi"/>
          <w:sz w:val="24"/>
          <w:szCs w:val="24"/>
        </w:rPr>
        <w:t xml:space="preserve">zásadní </w:t>
      </w:r>
      <w:r w:rsidRPr="00595DA9">
        <w:rPr>
          <w:rFonts w:asciiTheme="minorHAnsi" w:hAnsiTheme="minorHAnsi" w:cstheme="minorHAnsi"/>
          <w:sz w:val="24"/>
          <w:szCs w:val="24"/>
        </w:rPr>
        <w:t>připomínky:</w:t>
      </w:r>
    </w:p>
    <w:p w14:paraId="31A03BBC" w14:textId="77777777" w:rsidR="00715672" w:rsidRDefault="00715672" w:rsidP="001A3B5C">
      <w:pPr>
        <w:snapToGrid w:val="0"/>
        <w:jc w:val="both"/>
        <w:rPr>
          <w:rFonts w:asciiTheme="minorHAnsi" w:hAnsiTheme="minorHAnsi" w:cstheme="minorHAnsi"/>
          <w:b/>
          <w:bCs/>
          <w:sz w:val="24"/>
          <w:szCs w:val="24"/>
          <w:u w:val="single"/>
        </w:rPr>
      </w:pPr>
    </w:p>
    <w:p w14:paraId="7FA7AC10" w14:textId="77777777" w:rsidR="001A3B5C" w:rsidRPr="00595DA9" w:rsidRDefault="001A3B5C" w:rsidP="001A3B5C">
      <w:pPr>
        <w:snapToGrid w:val="0"/>
        <w:jc w:val="both"/>
        <w:rPr>
          <w:rFonts w:asciiTheme="minorHAnsi" w:hAnsiTheme="minorHAnsi" w:cstheme="minorHAnsi"/>
          <w:b/>
          <w:bCs/>
          <w:sz w:val="24"/>
          <w:szCs w:val="24"/>
          <w:u w:val="single"/>
        </w:rPr>
      </w:pPr>
    </w:p>
    <w:p w14:paraId="6B206F84" w14:textId="77777777" w:rsidR="00715672" w:rsidRPr="00595DA9" w:rsidRDefault="00715672" w:rsidP="001A3B5C">
      <w:pPr>
        <w:snapToGrid w:val="0"/>
        <w:jc w:val="both"/>
        <w:rPr>
          <w:rFonts w:asciiTheme="minorHAnsi" w:hAnsiTheme="minorHAnsi" w:cstheme="minorHAnsi"/>
          <w:b/>
          <w:bCs/>
          <w:sz w:val="24"/>
          <w:szCs w:val="24"/>
          <w:u w:val="single"/>
        </w:rPr>
      </w:pPr>
      <w:r w:rsidRPr="00595DA9">
        <w:rPr>
          <w:rFonts w:asciiTheme="minorHAnsi" w:hAnsiTheme="minorHAnsi" w:cstheme="minorHAnsi"/>
          <w:b/>
          <w:bCs/>
          <w:sz w:val="24"/>
          <w:szCs w:val="24"/>
          <w:u w:val="single"/>
        </w:rPr>
        <w:t>OBECNĚ:</w:t>
      </w:r>
    </w:p>
    <w:p w14:paraId="0E95C54D" w14:textId="77777777" w:rsidR="00A55014" w:rsidRPr="00811AFD" w:rsidRDefault="00A55014" w:rsidP="001A3B5C">
      <w:pPr>
        <w:tabs>
          <w:tab w:val="left" w:pos="567"/>
        </w:tabs>
        <w:snapToGrid w:val="0"/>
        <w:jc w:val="both"/>
        <w:rPr>
          <w:rFonts w:asciiTheme="minorHAnsi" w:hAnsiTheme="minorHAnsi" w:cstheme="minorHAnsi"/>
          <w:bCs/>
          <w:sz w:val="24"/>
          <w:szCs w:val="24"/>
        </w:rPr>
      </w:pPr>
      <w:r w:rsidRPr="00811AFD">
        <w:rPr>
          <w:rFonts w:asciiTheme="minorHAnsi" w:hAnsiTheme="minorHAnsi" w:cstheme="minorHAnsi"/>
          <w:bCs/>
          <w:sz w:val="24"/>
          <w:szCs w:val="24"/>
        </w:rPr>
        <w:t>Vedle níže uvedených zásadních připomínek připojujeme poznámky:</w:t>
      </w:r>
    </w:p>
    <w:p w14:paraId="22BEC77B" w14:textId="52BA4197" w:rsidR="00A55014" w:rsidRPr="00811AFD" w:rsidRDefault="00A55014" w:rsidP="001A3B5C">
      <w:pPr>
        <w:tabs>
          <w:tab w:val="left" w:pos="567"/>
        </w:tabs>
        <w:snapToGrid w:val="0"/>
        <w:jc w:val="both"/>
        <w:rPr>
          <w:rFonts w:asciiTheme="minorHAnsi" w:hAnsiTheme="minorHAnsi" w:cstheme="minorHAnsi"/>
          <w:bCs/>
          <w:sz w:val="24"/>
          <w:szCs w:val="24"/>
        </w:rPr>
      </w:pPr>
      <w:r w:rsidRPr="00811AFD">
        <w:rPr>
          <w:rFonts w:asciiTheme="minorHAnsi" w:hAnsiTheme="minorHAnsi" w:cstheme="minorHAnsi"/>
          <w:bCs/>
          <w:sz w:val="24"/>
          <w:szCs w:val="24"/>
        </w:rPr>
        <w:t>- k příloze č. 1, tab. C – souhlasíme a vítáme zařazení nerelevantních metabolitů a nastavení směrné hodnoty, nicméně chybí mechanismus pro poskytování aktuální informace o zařazení dalších nerelevantních metabolitů pesticidů provozovatelům vodovodů a</w:t>
      </w:r>
      <w:r w:rsidR="00811AFD">
        <w:rPr>
          <w:rFonts w:asciiTheme="minorHAnsi" w:hAnsiTheme="minorHAnsi" w:cstheme="minorHAnsi"/>
          <w:bCs/>
          <w:sz w:val="24"/>
          <w:szCs w:val="24"/>
        </w:rPr>
        <w:t> </w:t>
      </w:r>
      <w:r w:rsidRPr="00811AFD">
        <w:rPr>
          <w:rFonts w:asciiTheme="minorHAnsi" w:hAnsiTheme="minorHAnsi" w:cstheme="minorHAnsi"/>
          <w:bCs/>
          <w:sz w:val="24"/>
          <w:szCs w:val="24"/>
        </w:rPr>
        <w:t>kanalizací. V současnosti jsou informace získávány pouze při náhodné návštěvě webu Ministerstva zdravotnictví.</w:t>
      </w:r>
    </w:p>
    <w:p w14:paraId="57BE1EF6" w14:textId="5EFF5346" w:rsidR="00E869F2" w:rsidRPr="001A3B5C" w:rsidRDefault="00A55014" w:rsidP="001A3B5C">
      <w:pPr>
        <w:tabs>
          <w:tab w:val="left" w:pos="567"/>
        </w:tabs>
        <w:snapToGrid w:val="0"/>
        <w:jc w:val="both"/>
        <w:rPr>
          <w:rFonts w:asciiTheme="minorHAnsi" w:hAnsiTheme="minorHAnsi" w:cstheme="minorHAnsi"/>
          <w:sz w:val="24"/>
          <w:szCs w:val="24"/>
        </w:rPr>
      </w:pPr>
      <w:r w:rsidRPr="00811AFD">
        <w:rPr>
          <w:rFonts w:asciiTheme="minorHAnsi" w:hAnsiTheme="minorHAnsi" w:cstheme="minorHAnsi"/>
          <w:bCs/>
          <w:sz w:val="24"/>
          <w:szCs w:val="24"/>
        </w:rPr>
        <w:t xml:space="preserve">- k příloze č 1, tab. B, vysvětlivka č. 18 - </w:t>
      </w:r>
      <w:r w:rsidRPr="00811AFD">
        <w:rPr>
          <w:rFonts w:asciiTheme="minorHAnsi" w:hAnsiTheme="minorHAnsi" w:cstheme="minorHAnsi"/>
          <w:sz w:val="24"/>
          <w:szCs w:val="24"/>
        </w:rPr>
        <w:t>Upuštění od dechlorace vzorku je možné pouze u</w:t>
      </w:r>
      <w:r w:rsidR="00811AFD">
        <w:rPr>
          <w:rFonts w:asciiTheme="minorHAnsi" w:hAnsiTheme="minorHAnsi" w:cstheme="minorHAnsi"/>
          <w:sz w:val="24"/>
          <w:szCs w:val="24"/>
        </w:rPr>
        <w:t> </w:t>
      </w:r>
      <w:r w:rsidRPr="00811AFD">
        <w:rPr>
          <w:rFonts w:asciiTheme="minorHAnsi" w:hAnsiTheme="minorHAnsi" w:cstheme="minorHAnsi"/>
          <w:sz w:val="24"/>
          <w:szCs w:val="24"/>
        </w:rPr>
        <w:t>vzorků odebíraných u spotřebitele. Na výstupech úpraven a vodojemů je tento požadavek irelevantní a pouze bude zhoršovat statistiky.</w:t>
      </w:r>
    </w:p>
    <w:p w14:paraId="1FFC567E" w14:textId="3E477E1E" w:rsidR="00715672" w:rsidRPr="00595DA9" w:rsidRDefault="00715672" w:rsidP="001A3B5C">
      <w:pPr>
        <w:pStyle w:val="Nzev"/>
        <w:snapToGrid w:val="0"/>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w:t>
      </w:r>
      <w:r w:rsidR="00811AFD">
        <w:rPr>
          <w:rFonts w:asciiTheme="minorHAnsi" w:hAnsiTheme="minorHAnsi" w:cstheme="minorHAnsi"/>
          <w:sz w:val="24"/>
          <w:szCs w:val="24"/>
          <w:u w:val="single"/>
        </w:rPr>
        <w:t>y</w:t>
      </w:r>
      <w:r w:rsidRPr="00595DA9">
        <w:rPr>
          <w:rFonts w:asciiTheme="minorHAnsi" w:hAnsiTheme="minorHAnsi" w:cstheme="minorHAnsi"/>
          <w:sz w:val="24"/>
          <w:szCs w:val="24"/>
          <w:u w:val="single"/>
        </w:rPr>
        <w:t>to připomínk</w:t>
      </w:r>
      <w:r w:rsidR="00811AFD">
        <w:rPr>
          <w:rFonts w:asciiTheme="minorHAnsi" w:hAnsiTheme="minorHAnsi" w:cstheme="minorHAnsi"/>
          <w:sz w:val="24"/>
          <w:szCs w:val="24"/>
          <w:u w:val="single"/>
        </w:rPr>
        <w:t>y</w:t>
      </w:r>
      <w:r w:rsidRPr="00595DA9">
        <w:rPr>
          <w:rFonts w:asciiTheme="minorHAnsi" w:hAnsiTheme="minorHAnsi" w:cstheme="minorHAnsi"/>
          <w:sz w:val="24"/>
          <w:szCs w:val="24"/>
          <w:u w:val="single"/>
        </w:rPr>
        <w:t xml:space="preserve"> j</w:t>
      </w:r>
      <w:r w:rsidR="00811AFD">
        <w:rPr>
          <w:rFonts w:asciiTheme="minorHAnsi" w:hAnsiTheme="minorHAnsi" w:cstheme="minorHAnsi"/>
          <w:sz w:val="24"/>
          <w:szCs w:val="24"/>
          <w:u w:val="single"/>
        </w:rPr>
        <w:t>sou</w:t>
      </w:r>
      <w:r w:rsidRPr="00595DA9">
        <w:rPr>
          <w:rFonts w:asciiTheme="minorHAnsi" w:hAnsiTheme="minorHAnsi" w:cstheme="minorHAnsi"/>
          <w:sz w:val="24"/>
          <w:szCs w:val="24"/>
          <w:u w:val="single"/>
        </w:rPr>
        <w:t xml:space="preserve"> zásadní.</w:t>
      </w:r>
    </w:p>
    <w:p w14:paraId="3CC36130" w14:textId="77777777" w:rsidR="00715672" w:rsidRDefault="00715672" w:rsidP="001A3B5C">
      <w:pPr>
        <w:snapToGrid w:val="0"/>
        <w:jc w:val="both"/>
        <w:rPr>
          <w:rFonts w:asciiTheme="minorHAnsi" w:hAnsiTheme="minorHAnsi" w:cstheme="minorHAnsi"/>
          <w:sz w:val="24"/>
          <w:szCs w:val="24"/>
        </w:rPr>
      </w:pPr>
    </w:p>
    <w:p w14:paraId="0E12EBBE" w14:textId="77777777" w:rsidR="001A3B5C" w:rsidRPr="00595DA9" w:rsidRDefault="001A3B5C" w:rsidP="001A3B5C">
      <w:pPr>
        <w:snapToGrid w:val="0"/>
        <w:jc w:val="both"/>
        <w:rPr>
          <w:rFonts w:asciiTheme="minorHAnsi" w:hAnsiTheme="minorHAnsi" w:cstheme="minorHAnsi"/>
          <w:sz w:val="24"/>
          <w:szCs w:val="24"/>
        </w:rPr>
      </w:pPr>
    </w:p>
    <w:p w14:paraId="3D1FA7D0" w14:textId="5AF718A8" w:rsidR="00715672" w:rsidRPr="00595DA9" w:rsidRDefault="00715672" w:rsidP="001A3B5C">
      <w:pPr>
        <w:pStyle w:val="Nzev"/>
        <w:snapToGrid w:val="0"/>
        <w:jc w:val="both"/>
        <w:rPr>
          <w:rFonts w:asciiTheme="minorHAnsi" w:hAnsiTheme="minorHAnsi" w:cstheme="minorHAnsi"/>
          <w:b w:val="0"/>
          <w:bCs/>
          <w:i w:val="0"/>
          <w:iCs/>
          <w:sz w:val="24"/>
          <w:szCs w:val="24"/>
        </w:rPr>
      </w:pPr>
      <w:r w:rsidRPr="00595DA9">
        <w:rPr>
          <w:rFonts w:asciiTheme="minorHAnsi" w:hAnsiTheme="minorHAnsi" w:cstheme="minorHAnsi"/>
          <w:sz w:val="24"/>
          <w:szCs w:val="24"/>
          <w:u w:val="single"/>
        </w:rPr>
        <w:t>KONKRÉTNĚ:</w:t>
      </w:r>
      <w:r w:rsidRPr="00595DA9">
        <w:rPr>
          <w:rFonts w:asciiTheme="minorHAnsi" w:hAnsiTheme="minorHAnsi" w:cstheme="minorHAnsi"/>
          <w:b w:val="0"/>
          <w:bCs/>
          <w:iCs/>
          <w:sz w:val="24"/>
          <w:szCs w:val="24"/>
        </w:rPr>
        <w:t xml:space="preserve"> </w:t>
      </w:r>
    </w:p>
    <w:p w14:paraId="7001D324" w14:textId="77777777" w:rsidR="001A3B5C" w:rsidRDefault="001A3B5C" w:rsidP="001A3B5C">
      <w:pPr>
        <w:pStyle w:val="Nzev"/>
        <w:pBdr>
          <w:bottom w:val="none" w:sz="0" w:space="0" w:color="auto"/>
        </w:pBdr>
        <w:snapToGrid w:val="0"/>
        <w:jc w:val="both"/>
        <w:rPr>
          <w:rFonts w:asciiTheme="minorHAnsi" w:hAnsiTheme="minorHAnsi" w:cstheme="minorHAnsi"/>
          <w:sz w:val="24"/>
          <w:szCs w:val="24"/>
          <w:u w:val="single"/>
        </w:rPr>
      </w:pPr>
    </w:p>
    <w:p w14:paraId="49B83BF1" w14:textId="06EA9279" w:rsidR="00E45F4A" w:rsidRPr="00E45F4A" w:rsidRDefault="00E45F4A"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Pr>
          <w:rFonts w:asciiTheme="minorHAnsi" w:hAnsiTheme="minorHAnsi" w:cstheme="minorHAnsi"/>
          <w:sz w:val="24"/>
          <w:szCs w:val="24"/>
          <w:u w:val="single"/>
        </w:rPr>
        <w:t xml:space="preserve">K </w:t>
      </w:r>
      <w:r w:rsidRPr="00E45F4A">
        <w:rPr>
          <w:rFonts w:asciiTheme="minorHAnsi" w:hAnsiTheme="minorHAnsi" w:cstheme="minorHAnsi"/>
          <w:sz w:val="24"/>
          <w:szCs w:val="24"/>
          <w:u w:val="single"/>
        </w:rPr>
        <w:t>příloze č. 1, Tab. B</w:t>
      </w:r>
    </w:p>
    <w:p w14:paraId="28D6723F" w14:textId="77777777" w:rsidR="00E45F4A" w:rsidRPr="00E45F4A" w:rsidRDefault="00E45F4A" w:rsidP="001A3B5C">
      <w:pPr>
        <w:tabs>
          <w:tab w:val="left" w:pos="567"/>
        </w:tabs>
        <w:snapToGrid w:val="0"/>
        <w:jc w:val="both"/>
        <w:rPr>
          <w:rFonts w:asciiTheme="minorHAnsi" w:hAnsiTheme="minorHAnsi" w:cstheme="minorHAnsi"/>
          <w:bCs/>
          <w:sz w:val="24"/>
          <w:szCs w:val="24"/>
        </w:rPr>
      </w:pPr>
      <w:r w:rsidRPr="00E45F4A">
        <w:rPr>
          <w:rFonts w:asciiTheme="minorHAnsi" w:hAnsiTheme="minorHAnsi" w:cstheme="minorHAnsi"/>
          <w:bCs/>
          <w:sz w:val="24"/>
          <w:szCs w:val="24"/>
        </w:rPr>
        <w:t xml:space="preserve">Požadujeme u ukazatele 65. Uran zvýšit limit na 20 </w:t>
      </w:r>
      <w:proofErr w:type="spellStart"/>
      <w:r w:rsidRPr="00E45F4A">
        <w:rPr>
          <w:rFonts w:asciiTheme="minorHAnsi" w:hAnsiTheme="minorHAnsi" w:cstheme="minorHAnsi"/>
          <w:bCs/>
          <w:sz w:val="24"/>
          <w:szCs w:val="24"/>
        </w:rPr>
        <w:t>μg</w:t>
      </w:r>
      <w:proofErr w:type="spellEnd"/>
      <w:r w:rsidRPr="00E45F4A">
        <w:rPr>
          <w:rFonts w:asciiTheme="minorHAnsi" w:hAnsiTheme="minorHAnsi" w:cstheme="minorHAnsi"/>
          <w:bCs/>
          <w:sz w:val="24"/>
          <w:szCs w:val="24"/>
        </w:rPr>
        <w:t>/l.</w:t>
      </w:r>
    </w:p>
    <w:p w14:paraId="45E9A032" w14:textId="77777777" w:rsidR="00E45F4A" w:rsidRPr="00E45F4A" w:rsidRDefault="00E45F4A" w:rsidP="001A3B5C">
      <w:pPr>
        <w:tabs>
          <w:tab w:val="left" w:pos="567"/>
        </w:tabs>
        <w:snapToGrid w:val="0"/>
        <w:jc w:val="both"/>
        <w:rPr>
          <w:rFonts w:asciiTheme="minorHAnsi" w:hAnsiTheme="minorHAnsi" w:cstheme="minorHAnsi"/>
          <w:bCs/>
          <w:sz w:val="24"/>
          <w:szCs w:val="24"/>
        </w:rPr>
      </w:pPr>
    </w:p>
    <w:p w14:paraId="2EB378AE" w14:textId="77777777" w:rsidR="00E45F4A" w:rsidRPr="00E45F4A" w:rsidRDefault="00E45F4A" w:rsidP="001A3B5C">
      <w:pPr>
        <w:tabs>
          <w:tab w:val="left" w:pos="567"/>
        </w:tabs>
        <w:snapToGrid w:val="0"/>
        <w:jc w:val="both"/>
        <w:rPr>
          <w:rFonts w:asciiTheme="minorHAnsi" w:hAnsiTheme="minorHAnsi" w:cstheme="minorHAnsi"/>
          <w:b/>
          <w:sz w:val="24"/>
          <w:szCs w:val="24"/>
        </w:rPr>
      </w:pPr>
      <w:r w:rsidRPr="00E45F4A">
        <w:rPr>
          <w:rFonts w:asciiTheme="minorHAnsi" w:hAnsiTheme="minorHAnsi" w:cstheme="minorHAnsi"/>
          <w:b/>
          <w:sz w:val="24"/>
          <w:szCs w:val="24"/>
        </w:rPr>
        <w:t xml:space="preserve">Odůvodnění: </w:t>
      </w:r>
    </w:p>
    <w:p w14:paraId="36296EDF" w14:textId="77777777" w:rsidR="00E45F4A" w:rsidRPr="00E45F4A" w:rsidRDefault="00E45F4A" w:rsidP="001A3B5C">
      <w:pPr>
        <w:tabs>
          <w:tab w:val="left" w:pos="567"/>
        </w:tabs>
        <w:snapToGrid w:val="0"/>
        <w:jc w:val="both"/>
        <w:rPr>
          <w:rFonts w:asciiTheme="minorHAnsi" w:hAnsiTheme="minorHAnsi" w:cstheme="minorHAnsi"/>
          <w:bCs/>
          <w:sz w:val="24"/>
          <w:szCs w:val="24"/>
        </w:rPr>
      </w:pPr>
      <w:r w:rsidRPr="00E45F4A">
        <w:rPr>
          <w:rFonts w:asciiTheme="minorHAnsi" w:hAnsiTheme="minorHAnsi" w:cstheme="minorHAnsi"/>
          <w:bCs/>
          <w:sz w:val="24"/>
          <w:szCs w:val="24"/>
        </w:rPr>
        <w:t xml:space="preserve">Jsou lokality, kde se pohybuje obsah uranu kolem současného limitu 15 </w:t>
      </w:r>
      <w:proofErr w:type="spellStart"/>
      <w:r w:rsidRPr="00E45F4A">
        <w:rPr>
          <w:rFonts w:asciiTheme="minorHAnsi" w:hAnsiTheme="minorHAnsi" w:cstheme="minorHAnsi"/>
          <w:bCs/>
          <w:sz w:val="24"/>
          <w:szCs w:val="24"/>
        </w:rPr>
        <w:t>μg</w:t>
      </w:r>
      <w:proofErr w:type="spellEnd"/>
      <w:r w:rsidRPr="00E45F4A">
        <w:rPr>
          <w:rFonts w:asciiTheme="minorHAnsi" w:hAnsiTheme="minorHAnsi" w:cstheme="minorHAnsi"/>
          <w:bCs/>
          <w:sz w:val="24"/>
          <w:szCs w:val="24"/>
        </w:rPr>
        <w:t xml:space="preserve">/l, některá stanovení limit mírně převyšují. Mírné zvýšení limitu by v některých případech znamenalo, že nebude nutné budovat nákladnou úpravu na odstranění uranu z vody. Současně by nedocházelo </w:t>
      </w:r>
      <w:proofErr w:type="gramStart"/>
      <w:r w:rsidRPr="00E45F4A">
        <w:rPr>
          <w:rFonts w:asciiTheme="minorHAnsi" w:hAnsiTheme="minorHAnsi" w:cstheme="minorHAnsi"/>
          <w:bCs/>
          <w:sz w:val="24"/>
          <w:szCs w:val="24"/>
        </w:rPr>
        <w:t>k</w:t>
      </w:r>
      <w:proofErr w:type="gramEnd"/>
      <w:r w:rsidRPr="00E45F4A">
        <w:rPr>
          <w:rFonts w:asciiTheme="minorHAnsi" w:hAnsiTheme="minorHAnsi" w:cstheme="minorHAnsi"/>
          <w:bCs/>
          <w:sz w:val="24"/>
          <w:szCs w:val="24"/>
        </w:rPr>
        <w:t xml:space="preserve"> zkoncentrování radionuklidů z vody a s tím spojená administrativní a finanční náročnost nakládání s tímto materiálem. Ve Směrnici Evropského parlamentu a Rady (EU) 2020/2184 ze dne 16. prosince 2020 je pro uran uvedena mnohem mírnější hodnota 30 </w:t>
      </w:r>
      <w:proofErr w:type="spellStart"/>
      <w:r w:rsidRPr="00E45F4A">
        <w:rPr>
          <w:rFonts w:asciiTheme="minorHAnsi" w:hAnsiTheme="minorHAnsi" w:cstheme="minorHAnsi"/>
          <w:bCs/>
          <w:sz w:val="24"/>
          <w:szCs w:val="24"/>
        </w:rPr>
        <w:t>μg</w:t>
      </w:r>
      <w:proofErr w:type="spellEnd"/>
      <w:r w:rsidRPr="00E45F4A">
        <w:rPr>
          <w:rFonts w:asciiTheme="minorHAnsi" w:hAnsiTheme="minorHAnsi" w:cstheme="minorHAnsi"/>
          <w:bCs/>
          <w:sz w:val="24"/>
          <w:szCs w:val="24"/>
        </w:rPr>
        <w:t>/l.</w:t>
      </w:r>
    </w:p>
    <w:p w14:paraId="72433E7B" w14:textId="3C64AF42" w:rsidR="00283974" w:rsidRPr="00595DA9" w:rsidRDefault="00715672" w:rsidP="001A3B5C">
      <w:pPr>
        <w:pStyle w:val="Nzev"/>
        <w:snapToGrid w:val="0"/>
        <w:ind w:firstLine="708"/>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4A37F6DD" w14:textId="45011CC4" w:rsidR="007A6EA9" w:rsidRPr="00281F12" w:rsidRDefault="00715672"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595DA9">
        <w:rPr>
          <w:rFonts w:asciiTheme="minorHAnsi" w:hAnsiTheme="minorHAnsi" w:cstheme="minorHAnsi"/>
          <w:sz w:val="24"/>
          <w:szCs w:val="24"/>
          <w:u w:val="single"/>
        </w:rPr>
        <w:lastRenderedPageBreak/>
        <w:t>K</w:t>
      </w:r>
      <w:r w:rsidR="007A6EA9" w:rsidRPr="007A6EA9">
        <w:rPr>
          <w:rFonts w:asciiTheme="minorHAnsi" w:hAnsiTheme="minorHAnsi" w:cstheme="minorHAnsi"/>
          <w:sz w:val="24"/>
          <w:szCs w:val="24"/>
          <w:u w:val="single"/>
        </w:rPr>
        <w:t xml:space="preserve"> příloze č. 1, Tab. B, vysvětlivka k tabulce č. 9 </w:t>
      </w:r>
    </w:p>
    <w:p w14:paraId="600662A3" w14:textId="77777777" w:rsidR="007A6EA9" w:rsidRPr="007A6EA9" w:rsidRDefault="007A6EA9" w:rsidP="001A3B5C">
      <w:pPr>
        <w:tabs>
          <w:tab w:val="left" w:pos="567"/>
        </w:tabs>
        <w:snapToGrid w:val="0"/>
        <w:jc w:val="both"/>
        <w:rPr>
          <w:rFonts w:asciiTheme="minorHAnsi" w:hAnsiTheme="minorHAnsi" w:cstheme="minorHAnsi"/>
          <w:bCs/>
          <w:color w:val="000000" w:themeColor="text1"/>
          <w:sz w:val="24"/>
          <w:szCs w:val="24"/>
        </w:rPr>
      </w:pPr>
      <w:r w:rsidRPr="007A6EA9">
        <w:rPr>
          <w:rFonts w:asciiTheme="minorHAnsi" w:hAnsiTheme="minorHAnsi" w:cstheme="minorHAnsi"/>
          <w:bCs/>
          <w:color w:val="000000" w:themeColor="text1"/>
          <w:sz w:val="24"/>
          <w:szCs w:val="24"/>
        </w:rPr>
        <w:t>Požadujeme upravit následujícím způsobem.</w:t>
      </w:r>
    </w:p>
    <w:p w14:paraId="7002E5B2" w14:textId="0111AB94" w:rsidR="007A6EA9" w:rsidRPr="007A6EA9" w:rsidRDefault="007A6EA9" w:rsidP="001A3B5C">
      <w:pPr>
        <w:tabs>
          <w:tab w:val="left" w:pos="567"/>
        </w:tabs>
        <w:snapToGrid w:val="0"/>
        <w:jc w:val="both"/>
        <w:rPr>
          <w:rFonts w:asciiTheme="minorHAnsi" w:hAnsiTheme="minorHAnsi" w:cstheme="minorHAnsi"/>
          <w:b/>
          <w:color w:val="FF0000"/>
          <w:sz w:val="24"/>
          <w:szCs w:val="24"/>
        </w:rPr>
      </w:pPr>
      <w:r w:rsidRPr="007A6EA9">
        <w:rPr>
          <w:rFonts w:asciiTheme="minorHAnsi" w:hAnsiTheme="minorHAnsi" w:cstheme="minorHAnsi"/>
          <w:i/>
          <w:sz w:val="24"/>
          <w:szCs w:val="24"/>
        </w:rPr>
        <w:t>„Hodnota platí pro zbytkovou koncentraci monomeru vypočtenou podle údajů o obsahu a</w:t>
      </w:r>
      <w:r>
        <w:rPr>
          <w:rFonts w:asciiTheme="minorHAnsi" w:hAnsiTheme="minorHAnsi" w:cstheme="minorHAnsi"/>
          <w:i/>
          <w:sz w:val="24"/>
          <w:szCs w:val="24"/>
        </w:rPr>
        <w:t> </w:t>
      </w:r>
      <w:r w:rsidRPr="007A6EA9">
        <w:rPr>
          <w:rFonts w:asciiTheme="minorHAnsi" w:hAnsiTheme="minorHAnsi" w:cstheme="minorHAnsi"/>
          <w:i/>
          <w:sz w:val="24"/>
          <w:szCs w:val="24"/>
        </w:rPr>
        <w:t xml:space="preserve">možném uvolňování z materiálů a předmětů sloužících k úpravě, výrobě a distribuci pitné vody, které jsou ve styku s pitnou vodou. </w:t>
      </w:r>
      <w:r w:rsidRPr="007A6EA9">
        <w:rPr>
          <w:rFonts w:asciiTheme="minorHAnsi" w:hAnsiTheme="minorHAnsi" w:cstheme="minorHAnsi"/>
          <w:b/>
          <w:i/>
          <w:sz w:val="24"/>
          <w:szCs w:val="24"/>
        </w:rPr>
        <w:t>Způsob výpočtu stanoví Ministerstvo zdravotnictví v metodickém pokynu.</w:t>
      </w:r>
      <w:r w:rsidRPr="007A6EA9">
        <w:rPr>
          <w:rFonts w:asciiTheme="minorHAnsi" w:hAnsiTheme="minorHAnsi" w:cstheme="minorHAnsi"/>
          <w:bCs/>
          <w:i/>
          <w:sz w:val="24"/>
          <w:szCs w:val="24"/>
          <w:shd w:val="clear" w:color="auto" w:fill="FBFBFB"/>
        </w:rPr>
        <w:t>“</w:t>
      </w:r>
    </w:p>
    <w:p w14:paraId="3A32DFBE" w14:textId="77777777" w:rsidR="007A6EA9" w:rsidRPr="007A6EA9" w:rsidRDefault="007A6EA9"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4CBE3C16" w14:textId="77777777" w:rsidR="007A6EA9" w:rsidRPr="007A6EA9" w:rsidRDefault="007A6EA9"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7A6EA9">
        <w:rPr>
          <w:rFonts w:asciiTheme="minorHAnsi" w:hAnsiTheme="minorHAnsi" w:cstheme="minorHAnsi"/>
          <w:b/>
          <w:sz w:val="24"/>
          <w:szCs w:val="24"/>
        </w:rPr>
        <w:t xml:space="preserve">Odůvodnění: </w:t>
      </w:r>
    </w:p>
    <w:p w14:paraId="3913FD72" w14:textId="25F20CCE" w:rsidR="007A6EA9" w:rsidRPr="007A6EA9" w:rsidRDefault="007A6EA9"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7A6EA9">
        <w:rPr>
          <w:rFonts w:asciiTheme="minorHAnsi" w:hAnsiTheme="minorHAnsi" w:cstheme="minorHAnsi"/>
          <w:sz w:val="24"/>
          <w:szCs w:val="24"/>
        </w:rPr>
        <w:t>Není znám jednoznačný, správný a akceptovatelný postup výpočtu koncentrací uvedených látek. Ve vysvětlivce č. 3 – Tabulky B, část 2. Úplný rozbor Přílohy č. 5 je uvedeno: „</w:t>
      </w:r>
      <w:r w:rsidRPr="007A6EA9">
        <w:rPr>
          <w:rFonts w:asciiTheme="minorHAnsi" w:hAnsiTheme="minorHAnsi" w:cstheme="minorHAnsi"/>
          <w:i/>
          <w:sz w:val="24"/>
          <w:szCs w:val="24"/>
        </w:rPr>
        <w:t>Stanovení v pitné vodě se provede jen v případě, kdy není možné provést výpočet podle vysvětlivky 10 v</w:t>
      </w:r>
      <w:r w:rsidR="001A3B5C">
        <w:rPr>
          <w:rFonts w:asciiTheme="minorHAnsi" w:hAnsiTheme="minorHAnsi" w:cstheme="minorHAnsi"/>
          <w:i/>
          <w:sz w:val="24"/>
          <w:szCs w:val="24"/>
        </w:rPr>
        <w:t> </w:t>
      </w:r>
      <w:r w:rsidRPr="007A6EA9">
        <w:rPr>
          <w:rFonts w:asciiTheme="minorHAnsi" w:hAnsiTheme="minorHAnsi" w:cstheme="minorHAnsi"/>
          <w:i/>
          <w:sz w:val="24"/>
          <w:szCs w:val="24"/>
        </w:rPr>
        <w:t xml:space="preserve">příloze č. 1 k této vyhlášce a látka se vzhledem k použitým materiálům může ve vodě vyskytovat. Stanovení </w:t>
      </w:r>
      <w:proofErr w:type="spellStart"/>
      <w:r w:rsidRPr="007A6EA9">
        <w:rPr>
          <w:rFonts w:asciiTheme="minorHAnsi" w:hAnsiTheme="minorHAnsi" w:cstheme="minorHAnsi"/>
          <w:i/>
          <w:sz w:val="24"/>
          <w:szCs w:val="24"/>
        </w:rPr>
        <w:t>chlorethenu</w:t>
      </w:r>
      <w:proofErr w:type="spellEnd"/>
      <w:r w:rsidRPr="007A6EA9">
        <w:rPr>
          <w:rFonts w:asciiTheme="minorHAnsi" w:hAnsiTheme="minorHAnsi" w:cstheme="minorHAnsi"/>
          <w:i/>
          <w:sz w:val="24"/>
          <w:szCs w:val="24"/>
        </w:rPr>
        <w:t xml:space="preserve"> (vinylchloridu) se provede u nových zdrojů před jejich uvedením do provozu.“</w:t>
      </w:r>
      <w:r>
        <w:rPr>
          <w:rFonts w:asciiTheme="minorHAnsi" w:hAnsiTheme="minorHAnsi" w:cstheme="minorHAnsi"/>
          <w:i/>
          <w:sz w:val="24"/>
          <w:szCs w:val="24"/>
        </w:rPr>
        <w:t xml:space="preserve">. </w:t>
      </w:r>
      <w:r w:rsidRPr="007A6EA9">
        <w:rPr>
          <w:rFonts w:asciiTheme="minorHAnsi" w:hAnsiTheme="minorHAnsi" w:cstheme="minorHAnsi"/>
          <w:sz w:val="24"/>
          <w:szCs w:val="24"/>
        </w:rPr>
        <w:t xml:space="preserve">Pokud není znám způsob výpočtu, měl by se např. </w:t>
      </w:r>
      <w:proofErr w:type="spellStart"/>
      <w:r w:rsidRPr="007A6EA9">
        <w:rPr>
          <w:rFonts w:asciiTheme="minorHAnsi" w:hAnsiTheme="minorHAnsi" w:cstheme="minorHAnsi"/>
          <w:sz w:val="24"/>
          <w:szCs w:val="24"/>
        </w:rPr>
        <w:t>chlorethen</w:t>
      </w:r>
      <w:proofErr w:type="spellEnd"/>
      <w:r w:rsidRPr="007A6EA9">
        <w:rPr>
          <w:rFonts w:asciiTheme="minorHAnsi" w:hAnsiTheme="minorHAnsi" w:cstheme="minorHAnsi"/>
          <w:sz w:val="24"/>
          <w:szCs w:val="24"/>
        </w:rPr>
        <w:t xml:space="preserve"> stanovovat v rámci úplných rozborů všude, kde je použit i velmi krátký úsek potrubí z PVC. </w:t>
      </w:r>
    </w:p>
    <w:p w14:paraId="34E04437" w14:textId="4EEED601" w:rsidR="00715672" w:rsidRPr="00595DA9" w:rsidRDefault="00715672" w:rsidP="001A3B5C">
      <w:pPr>
        <w:pStyle w:val="Nzev"/>
        <w:pBdr>
          <w:bottom w:val="none" w:sz="0" w:space="0" w:color="auto"/>
        </w:pBdr>
        <w:snapToGrid w:val="0"/>
        <w:ind w:left="720"/>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1AA5BA10" w14:textId="77777777" w:rsidR="00715672" w:rsidRPr="00595DA9" w:rsidRDefault="00715672" w:rsidP="001A3B5C">
      <w:pPr>
        <w:pStyle w:val="Nzev"/>
        <w:snapToGrid w:val="0"/>
        <w:jc w:val="both"/>
        <w:rPr>
          <w:rFonts w:asciiTheme="minorHAnsi" w:hAnsiTheme="minorHAnsi" w:cstheme="minorHAnsi"/>
          <w:sz w:val="24"/>
          <w:szCs w:val="24"/>
          <w:u w:val="single"/>
        </w:rPr>
      </w:pPr>
    </w:p>
    <w:p w14:paraId="7D07B1C0" w14:textId="77777777" w:rsidR="001A3B5C" w:rsidRDefault="001A3B5C" w:rsidP="001A3B5C">
      <w:pPr>
        <w:pStyle w:val="Nzev"/>
        <w:pBdr>
          <w:bottom w:val="none" w:sz="0" w:space="0" w:color="auto"/>
        </w:pBdr>
        <w:snapToGrid w:val="0"/>
        <w:ind w:left="720"/>
        <w:jc w:val="both"/>
        <w:rPr>
          <w:rFonts w:asciiTheme="minorHAnsi" w:hAnsiTheme="minorHAnsi" w:cstheme="minorHAnsi"/>
          <w:sz w:val="24"/>
          <w:szCs w:val="24"/>
          <w:u w:val="single"/>
        </w:rPr>
      </w:pPr>
    </w:p>
    <w:p w14:paraId="2084F543" w14:textId="6CFB3AB2" w:rsidR="00FB58FB" w:rsidRPr="00281F12" w:rsidRDefault="00FB58FB"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Pr>
          <w:rFonts w:asciiTheme="minorHAnsi" w:hAnsiTheme="minorHAnsi" w:cstheme="minorHAnsi"/>
          <w:sz w:val="24"/>
          <w:szCs w:val="24"/>
          <w:u w:val="single"/>
        </w:rPr>
        <w:t xml:space="preserve">K </w:t>
      </w:r>
      <w:r w:rsidRPr="00FB58FB">
        <w:rPr>
          <w:rFonts w:asciiTheme="minorHAnsi" w:hAnsiTheme="minorHAnsi" w:cstheme="minorHAnsi"/>
          <w:sz w:val="24"/>
          <w:szCs w:val="24"/>
          <w:u w:val="single"/>
        </w:rPr>
        <w:t>příloze č. 1, Tab. B, vysvětlivka k tabulce č. 18 k senzorickému hodnocení</w:t>
      </w:r>
    </w:p>
    <w:p w14:paraId="27C1BDEB" w14:textId="77777777" w:rsidR="00FB58FB" w:rsidRPr="00FB58FB" w:rsidRDefault="00FB58FB" w:rsidP="001A3B5C">
      <w:pPr>
        <w:tabs>
          <w:tab w:val="left" w:pos="567"/>
        </w:tabs>
        <w:snapToGrid w:val="0"/>
        <w:jc w:val="both"/>
        <w:rPr>
          <w:rFonts w:asciiTheme="minorHAnsi" w:hAnsiTheme="minorHAnsi" w:cstheme="minorHAnsi"/>
          <w:bCs/>
          <w:color w:val="000000" w:themeColor="text1"/>
          <w:sz w:val="24"/>
          <w:szCs w:val="24"/>
        </w:rPr>
      </w:pPr>
      <w:r w:rsidRPr="00FB58FB">
        <w:rPr>
          <w:rFonts w:asciiTheme="minorHAnsi" w:hAnsiTheme="minorHAnsi" w:cstheme="minorHAnsi"/>
          <w:bCs/>
          <w:color w:val="000000" w:themeColor="text1"/>
          <w:sz w:val="24"/>
          <w:szCs w:val="24"/>
        </w:rPr>
        <w:t>Požadujeme upravit následujícím způsobem.</w:t>
      </w:r>
    </w:p>
    <w:p w14:paraId="4E9FAB26" w14:textId="77777777" w:rsidR="00FB58FB" w:rsidRPr="00FB58FB" w:rsidRDefault="00FB58FB" w:rsidP="001A3B5C">
      <w:pPr>
        <w:tabs>
          <w:tab w:val="left" w:pos="567"/>
        </w:tabs>
        <w:snapToGrid w:val="0"/>
        <w:jc w:val="both"/>
        <w:rPr>
          <w:rFonts w:asciiTheme="minorHAnsi" w:hAnsiTheme="minorHAnsi" w:cstheme="minorHAnsi"/>
          <w:b/>
          <w:color w:val="FF0000"/>
          <w:sz w:val="24"/>
          <w:szCs w:val="24"/>
        </w:rPr>
      </w:pPr>
      <w:r w:rsidRPr="00FB58FB">
        <w:rPr>
          <w:rFonts w:asciiTheme="minorHAnsi" w:hAnsiTheme="minorHAnsi" w:cstheme="minorHAnsi"/>
          <w:i/>
          <w:sz w:val="24"/>
          <w:szCs w:val="24"/>
        </w:rPr>
        <w:t xml:space="preserve">„Předmětem zkoušky jsou všechny druhy nepříjemných pachů a chutí, které mohou být předmětem stížností odběratelů, tedy i pachy a chutě způsobené použitým dezinfekčním přípravkem. </w:t>
      </w:r>
      <w:r w:rsidRPr="00FB58FB">
        <w:rPr>
          <w:rFonts w:asciiTheme="minorHAnsi" w:hAnsiTheme="minorHAnsi" w:cstheme="minorHAnsi"/>
          <w:bCs/>
          <w:i/>
          <w:sz w:val="24"/>
          <w:szCs w:val="24"/>
        </w:rPr>
        <w:t>V případě pochybností při senzorickém hodnocení se za přijatelné považují prahová čísla 1 a 2 při stanovení podle ČSN EN 1622 Jakost vod</w:t>
      </w:r>
      <w:r w:rsidRPr="00FB58FB">
        <w:rPr>
          <w:rFonts w:asciiTheme="minorHAnsi" w:hAnsiTheme="minorHAnsi" w:cstheme="minorHAnsi"/>
          <w:bCs/>
          <w:i/>
          <w:color w:val="000000" w:themeColor="text1"/>
          <w:sz w:val="24"/>
          <w:szCs w:val="24"/>
        </w:rPr>
        <w:t xml:space="preserve">. </w:t>
      </w:r>
      <w:bookmarkStart w:id="0" w:name="_Hlk132747413"/>
      <w:r w:rsidRPr="00FB58FB">
        <w:rPr>
          <w:rFonts w:asciiTheme="minorHAnsi" w:hAnsiTheme="minorHAnsi" w:cstheme="minorHAnsi"/>
          <w:i/>
          <w:strike/>
          <w:color w:val="000000" w:themeColor="text1"/>
          <w:sz w:val="24"/>
          <w:szCs w:val="24"/>
        </w:rPr>
        <w:t>Pro toto hodnocení musí být použit vzorek vody co nejčerstvější a při stanovení prahového čísla se nepostupuje podle bodu 10.1 normy (vzorek se nedechloruje).</w:t>
      </w:r>
      <w:bookmarkEnd w:id="0"/>
      <w:r w:rsidRPr="00FB58FB">
        <w:rPr>
          <w:rFonts w:asciiTheme="minorHAnsi" w:hAnsiTheme="minorHAnsi" w:cstheme="minorHAnsi"/>
          <w:i/>
          <w:color w:val="000000" w:themeColor="text1"/>
          <w:sz w:val="24"/>
          <w:szCs w:val="24"/>
        </w:rPr>
        <w:t xml:space="preserve"> </w:t>
      </w:r>
      <w:r w:rsidRPr="00FB58FB">
        <w:rPr>
          <w:rFonts w:asciiTheme="minorHAnsi" w:hAnsiTheme="minorHAnsi" w:cstheme="minorHAnsi"/>
          <w:bCs/>
          <w:i/>
          <w:sz w:val="24"/>
          <w:szCs w:val="24"/>
        </w:rPr>
        <w:t>Stanovení prahového čísla pachu (TON) a prahového čísla chuti (TFN).</w:t>
      </w:r>
      <w:r w:rsidRPr="00FB58FB">
        <w:rPr>
          <w:rFonts w:asciiTheme="minorHAnsi" w:hAnsiTheme="minorHAnsi" w:cstheme="minorHAnsi"/>
          <w:i/>
          <w:sz w:val="24"/>
          <w:szCs w:val="24"/>
        </w:rPr>
        <w:t xml:space="preserve"> </w:t>
      </w:r>
      <w:r w:rsidRPr="00FB58FB">
        <w:rPr>
          <w:rFonts w:asciiTheme="minorHAnsi" w:hAnsiTheme="minorHAnsi" w:cstheme="minorHAnsi"/>
          <w:bCs/>
          <w:i/>
          <w:sz w:val="24"/>
          <w:szCs w:val="24"/>
        </w:rPr>
        <w:t>Pokud není možné z bezpečnostních důvodů</w:t>
      </w:r>
      <w:r w:rsidRPr="00FB58FB">
        <w:rPr>
          <w:rFonts w:asciiTheme="minorHAnsi" w:hAnsiTheme="minorHAnsi" w:cstheme="minorHAnsi"/>
          <w:bCs/>
          <w:i/>
          <w:sz w:val="24"/>
          <w:szCs w:val="24"/>
          <w:shd w:val="clear" w:color="auto" w:fill="FBFBFB"/>
        </w:rPr>
        <w:t> či jiných objektivních příčin (vzorek vody nevyhovuje mikrobiologicky, zákalem, barvou či pachem nebo by mohl jiným způsobem ohrozit zdraví posuzovatele) chuť stanovit, do protokolu se místo výsledku uvede „Nelze stanovit“.“</w:t>
      </w:r>
    </w:p>
    <w:p w14:paraId="5E75B548" w14:textId="77777777" w:rsidR="00FB58FB" w:rsidRPr="00FB58FB" w:rsidRDefault="00FB58F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64B87B3F" w14:textId="77777777" w:rsidR="00FB58FB" w:rsidRPr="00FB58FB" w:rsidRDefault="00FB58F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FB58FB">
        <w:rPr>
          <w:rFonts w:asciiTheme="minorHAnsi" w:hAnsiTheme="minorHAnsi" w:cstheme="minorHAnsi"/>
          <w:b/>
          <w:sz w:val="24"/>
          <w:szCs w:val="24"/>
        </w:rPr>
        <w:t xml:space="preserve">Odůvodnění: </w:t>
      </w:r>
    </w:p>
    <w:p w14:paraId="145D15E7" w14:textId="77777777" w:rsidR="00FB58FB" w:rsidRPr="00FB58FB" w:rsidRDefault="00FB58FB" w:rsidP="001A3B5C">
      <w:pPr>
        <w:pStyle w:val="Odstavecseseznamem"/>
        <w:tabs>
          <w:tab w:val="left" w:pos="567"/>
        </w:tabs>
        <w:snapToGrid w:val="0"/>
        <w:spacing w:after="0" w:line="240" w:lineRule="auto"/>
        <w:ind w:left="0"/>
        <w:contextualSpacing w:val="0"/>
        <w:jc w:val="both"/>
        <w:rPr>
          <w:rFonts w:asciiTheme="minorHAnsi" w:hAnsiTheme="minorHAnsi" w:cstheme="minorHAnsi"/>
          <w:color w:val="222222"/>
          <w:sz w:val="24"/>
          <w:szCs w:val="24"/>
          <w:lang w:eastAsia="cs-CZ"/>
        </w:rPr>
      </w:pPr>
      <w:r w:rsidRPr="00FB58FB">
        <w:rPr>
          <w:rFonts w:asciiTheme="minorHAnsi" w:hAnsiTheme="minorHAnsi" w:cstheme="minorHAnsi"/>
          <w:color w:val="222222"/>
          <w:sz w:val="24"/>
          <w:szCs w:val="24"/>
          <w:lang w:eastAsia="cs-CZ"/>
        </w:rPr>
        <w:t>Navržený text poznámky de facto upravuje evropskou normu pro senzorické posouzení kvality pitné vody. S takovou úpravou nelze souhlasit, EN normy jsou vypracovány z důvodu standardizace postupů a není tedy důvod se od znění evropských norem odklánět. Nehledě na to, že v porovnání s ostatními státy EU, které budou používat standardizovanou metodu, bude ČR vykazovat podstatně horší výsledky senzorických parametrů.</w:t>
      </w:r>
    </w:p>
    <w:p w14:paraId="51213D8B" w14:textId="521DF59D" w:rsidR="00715672" w:rsidRPr="00595DA9" w:rsidRDefault="00715672" w:rsidP="001A3B5C">
      <w:pPr>
        <w:pStyle w:val="Nzev"/>
        <w:pBdr>
          <w:bottom w:val="none" w:sz="0" w:space="0" w:color="auto"/>
        </w:pBdr>
        <w:snapToGrid w:val="0"/>
        <w:ind w:left="720"/>
        <w:jc w:val="both"/>
        <w:rPr>
          <w:rFonts w:asciiTheme="minorHAnsi" w:hAnsiTheme="minorHAnsi" w:cstheme="minorHAnsi"/>
          <w:sz w:val="24"/>
          <w:szCs w:val="24"/>
          <w:u w:val="single"/>
        </w:rPr>
      </w:pPr>
      <w:r w:rsidRPr="00595DA9">
        <w:rPr>
          <w:rFonts w:asciiTheme="minorHAnsi" w:hAnsiTheme="minorHAnsi" w:cstheme="minorHAnsi"/>
          <w:sz w:val="24"/>
          <w:szCs w:val="24"/>
          <w:u w:val="single"/>
        </w:rPr>
        <w:t>Tato připomínka je zásadní.</w:t>
      </w:r>
    </w:p>
    <w:p w14:paraId="0342D385" w14:textId="7E0367E1" w:rsidR="00715672" w:rsidRPr="00595DA9" w:rsidRDefault="00715672" w:rsidP="001A3B5C">
      <w:pPr>
        <w:pStyle w:val="Nzev"/>
        <w:snapToGrid w:val="0"/>
        <w:jc w:val="both"/>
        <w:rPr>
          <w:rFonts w:asciiTheme="minorHAnsi" w:hAnsiTheme="minorHAnsi" w:cstheme="minorHAnsi"/>
          <w:sz w:val="24"/>
          <w:szCs w:val="24"/>
          <w:u w:val="single"/>
        </w:rPr>
      </w:pPr>
    </w:p>
    <w:p w14:paraId="1452EC64" w14:textId="77777777" w:rsidR="001A3B5C" w:rsidRPr="001A3B5C" w:rsidRDefault="001A3B5C" w:rsidP="001A3B5C">
      <w:pPr>
        <w:pStyle w:val="Nzev"/>
        <w:pBdr>
          <w:bottom w:val="none" w:sz="0" w:space="0" w:color="auto"/>
        </w:pBdr>
        <w:snapToGrid w:val="0"/>
        <w:ind w:left="720"/>
        <w:jc w:val="both"/>
        <w:rPr>
          <w:b w:val="0"/>
          <w:color w:val="FF0000"/>
        </w:rPr>
      </w:pPr>
    </w:p>
    <w:p w14:paraId="304FD2F3" w14:textId="2B3B12F4" w:rsidR="009E57AB" w:rsidRPr="00281F12" w:rsidRDefault="009E57AB" w:rsidP="001A3B5C">
      <w:pPr>
        <w:pStyle w:val="Nzev"/>
        <w:numPr>
          <w:ilvl w:val="0"/>
          <w:numId w:val="17"/>
        </w:numPr>
        <w:pBdr>
          <w:bottom w:val="none" w:sz="0" w:space="0" w:color="auto"/>
        </w:pBdr>
        <w:snapToGrid w:val="0"/>
        <w:jc w:val="both"/>
        <w:rPr>
          <w:b w:val="0"/>
          <w:color w:val="FF0000"/>
        </w:rPr>
      </w:pPr>
      <w:r>
        <w:rPr>
          <w:rFonts w:asciiTheme="minorHAnsi" w:hAnsiTheme="minorHAnsi" w:cstheme="minorHAnsi"/>
          <w:sz w:val="24"/>
          <w:szCs w:val="24"/>
          <w:u w:val="single"/>
        </w:rPr>
        <w:t xml:space="preserve">K </w:t>
      </w:r>
      <w:r w:rsidRPr="009E57AB">
        <w:rPr>
          <w:rFonts w:asciiTheme="minorHAnsi" w:hAnsiTheme="minorHAnsi" w:cstheme="minorHAnsi"/>
          <w:sz w:val="24"/>
          <w:szCs w:val="24"/>
          <w:u w:val="single"/>
        </w:rPr>
        <w:t xml:space="preserve">příloze č. 1, Tab. C – Ukazatel se stanovenou směrnou hodnotou </w:t>
      </w:r>
    </w:p>
    <w:p w14:paraId="015C7252" w14:textId="77777777" w:rsidR="009E57AB" w:rsidRPr="009E57AB" w:rsidRDefault="009E57AB" w:rsidP="001A3B5C">
      <w:pPr>
        <w:tabs>
          <w:tab w:val="left" w:pos="567"/>
        </w:tabs>
        <w:snapToGrid w:val="0"/>
        <w:jc w:val="both"/>
        <w:rPr>
          <w:rFonts w:asciiTheme="minorHAnsi" w:hAnsiTheme="minorHAnsi" w:cstheme="minorHAnsi"/>
          <w:sz w:val="24"/>
          <w:szCs w:val="24"/>
        </w:rPr>
      </w:pPr>
      <w:r w:rsidRPr="009E57AB">
        <w:rPr>
          <w:rFonts w:asciiTheme="minorHAnsi" w:hAnsiTheme="minorHAnsi" w:cstheme="minorHAnsi"/>
          <w:bCs/>
          <w:color w:val="000000" w:themeColor="text1"/>
          <w:sz w:val="24"/>
          <w:szCs w:val="24"/>
        </w:rPr>
        <w:t xml:space="preserve">Požadujeme u ukazatelů č. </w:t>
      </w:r>
      <w:proofErr w:type="gramStart"/>
      <w:r w:rsidRPr="009E57AB">
        <w:rPr>
          <w:rFonts w:asciiTheme="minorHAnsi" w:hAnsiTheme="minorHAnsi" w:cstheme="minorHAnsi"/>
          <w:bCs/>
          <w:color w:val="000000" w:themeColor="text1"/>
          <w:sz w:val="24"/>
          <w:szCs w:val="24"/>
        </w:rPr>
        <w:t>4 – 17</w:t>
      </w:r>
      <w:proofErr w:type="gramEnd"/>
      <w:r w:rsidRPr="009E57AB">
        <w:rPr>
          <w:rFonts w:asciiTheme="minorHAnsi" w:hAnsiTheme="minorHAnsi" w:cstheme="minorHAnsi"/>
          <w:bCs/>
          <w:color w:val="000000" w:themeColor="text1"/>
          <w:sz w:val="24"/>
          <w:szCs w:val="24"/>
        </w:rPr>
        <w:t xml:space="preserve"> (nerelevantní metabolity pesticidů) </w:t>
      </w:r>
      <w:r w:rsidRPr="009E57AB">
        <w:rPr>
          <w:rFonts w:asciiTheme="minorHAnsi" w:hAnsiTheme="minorHAnsi" w:cstheme="minorHAnsi"/>
          <w:sz w:val="24"/>
          <w:szCs w:val="24"/>
        </w:rPr>
        <w:t>použít limity ze stávajícího „Seznamu posouzených nerelevantních metabolitů pesticidů a jejich doporučené limitní hodnoty v pitné vodě“, který je vydán a uveden na webových stránkách Ministerstva zdravotnictví ČR a v případě ukazatele č. 17 dle odůvodnění.</w:t>
      </w:r>
    </w:p>
    <w:p w14:paraId="71A37261" w14:textId="77777777" w:rsidR="00F53E9B" w:rsidRDefault="00F53E9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5285A441" w14:textId="77777777" w:rsidR="001A3B5C" w:rsidRPr="009E57AB" w:rsidRDefault="001A3B5C"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0AC2D2FF" w14:textId="77777777" w:rsidR="009E57AB" w:rsidRPr="009E57AB" w:rsidRDefault="009E57A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9E57AB">
        <w:rPr>
          <w:rFonts w:asciiTheme="minorHAnsi" w:hAnsiTheme="minorHAnsi" w:cstheme="minorHAnsi"/>
          <w:b/>
          <w:sz w:val="24"/>
          <w:szCs w:val="24"/>
        </w:rPr>
        <w:lastRenderedPageBreak/>
        <w:t xml:space="preserve">Odůvodnění: </w:t>
      </w:r>
    </w:p>
    <w:p w14:paraId="6F25426C" w14:textId="75E7398C" w:rsidR="009E57AB" w:rsidRPr="009E57AB" w:rsidRDefault="009E57A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9E57AB">
        <w:rPr>
          <w:rFonts w:asciiTheme="minorHAnsi" w:hAnsiTheme="minorHAnsi" w:cstheme="minorHAnsi"/>
          <w:bCs/>
          <w:sz w:val="24"/>
          <w:szCs w:val="24"/>
        </w:rPr>
        <w:t>V</w:t>
      </w:r>
      <w:r w:rsidRPr="009E57AB">
        <w:rPr>
          <w:rFonts w:asciiTheme="minorHAnsi" w:hAnsiTheme="minorHAnsi" w:cstheme="minorHAnsi"/>
          <w:sz w:val="24"/>
          <w:szCs w:val="24"/>
        </w:rPr>
        <w:t> návrhu vyhlášky jsou pro nerelevantní metabolity pesticidů uvedeny poloviční hodnoty, než jsou uvedeny v současném „Seznamu posouzených nerelevantních metabolitů pesticidů a</w:t>
      </w:r>
      <w:r w:rsidR="00281F12">
        <w:rPr>
          <w:rFonts w:asciiTheme="minorHAnsi" w:hAnsiTheme="minorHAnsi" w:cstheme="minorHAnsi"/>
          <w:sz w:val="24"/>
          <w:szCs w:val="24"/>
        </w:rPr>
        <w:t> </w:t>
      </w:r>
      <w:r w:rsidRPr="009E57AB">
        <w:rPr>
          <w:rFonts w:asciiTheme="minorHAnsi" w:hAnsiTheme="minorHAnsi" w:cstheme="minorHAnsi"/>
          <w:sz w:val="24"/>
          <w:szCs w:val="24"/>
        </w:rPr>
        <w:t xml:space="preserve">jejich doporučené limitní hodnoty v pitné vodě“, který je vydán Ministerstvem zdravotnictví. Limity v současném seznamu byly stanoveny na základě hodnocení zdravotních rizik konkrétních látek, jsou považovány za „bezpečné“ a orgány ochrany veřejného zdraví ve velké většině případů tyto hodnoty akceptují při svém hodnocení nálezů těchto látek v dodávané pitné vodě. Zavedením předloženého návrhu se prakticky snižují limity na polovinu. Při překročení směrné hodnoty provozovatel dle návrhu novely zákona č. 258/2000 Sb. oznámí tuto skutečnost OOVZ, který určí hygienický limit (NMH, MH). V těchto případech lze předpokládat, že se OOVZ bude držet limitů, které jsou uvedeny jako směrná hodnota. V mnoha lokalitách tak bude třeba nově nutné doplňovat úpravu vody na odstraňování nerelevantních metabolitů pesticidních látek. Pro ukazatel č. 17 ostatní nerelevantní metabolity pesticidních látek, požadujeme směrnou hodnotu 1 </w:t>
      </w:r>
      <w:proofErr w:type="spellStart"/>
      <w:r w:rsidRPr="009E57AB">
        <w:rPr>
          <w:rFonts w:asciiTheme="minorHAnsi" w:hAnsiTheme="minorHAnsi" w:cstheme="minorHAnsi"/>
          <w:sz w:val="24"/>
          <w:szCs w:val="24"/>
        </w:rPr>
        <w:t>μg</w:t>
      </w:r>
      <w:proofErr w:type="spellEnd"/>
      <w:r w:rsidRPr="009E57AB">
        <w:rPr>
          <w:rFonts w:asciiTheme="minorHAnsi" w:hAnsiTheme="minorHAnsi" w:cstheme="minorHAnsi"/>
          <w:sz w:val="24"/>
          <w:szCs w:val="24"/>
        </w:rPr>
        <w:t>/l, neboť je to nejnižší hodnota na dosud uvedeném „seznamu“ těchto látek. Dalším argumentem pro zvýšení limitů pro nerelevantní metabolity pesticidních látek je, že při posuzování přípravků pro ochranu rostlin a jejich povolování (ÚKZÚZ) je pro nerelevantní metabolity používán závazný limit 10</w:t>
      </w:r>
      <w:r w:rsidR="00281F12">
        <w:rPr>
          <w:rFonts w:asciiTheme="minorHAnsi" w:hAnsiTheme="minorHAnsi" w:cstheme="minorHAnsi"/>
          <w:sz w:val="24"/>
          <w:szCs w:val="24"/>
        </w:rPr>
        <w:t> </w:t>
      </w:r>
      <w:proofErr w:type="spellStart"/>
      <w:r w:rsidRPr="009E57AB">
        <w:rPr>
          <w:rFonts w:asciiTheme="minorHAnsi" w:hAnsiTheme="minorHAnsi" w:cstheme="minorHAnsi"/>
          <w:sz w:val="24"/>
          <w:szCs w:val="24"/>
        </w:rPr>
        <w:t>μg</w:t>
      </w:r>
      <w:proofErr w:type="spellEnd"/>
      <w:r w:rsidRPr="009E57AB">
        <w:rPr>
          <w:rFonts w:asciiTheme="minorHAnsi" w:hAnsiTheme="minorHAnsi" w:cstheme="minorHAnsi"/>
          <w:sz w:val="24"/>
          <w:szCs w:val="24"/>
        </w:rPr>
        <w:t>/l, který je mnohem vyšší, než je nyní v předloženém návrhu. Z důvodu vyváženosti požadavků by tedy bylo potřebné změnit i limit pro posuzování povolení přípravků na ochranu rostlin.</w:t>
      </w:r>
    </w:p>
    <w:p w14:paraId="231D460B" w14:textId="77777777" w:rsidR="00715672" w:rsidRPr="00F53E9B" w:rsidRDefault="00715672" w:rsidP="001A3B5C">
      <w:pPr>
        <w:snapToGrid w:val="0"/>
        <w:ind w:firstLine="708"/>
        <w:jc w:val="both"/>
        <w:rPr>
          <w:rFonts w:asciiTheme="minorHAnsi" w:hAnsiTheme="minorHAnsi" w:cstheme="minorHAnsi"/>
          <w:b/>
          <w:bCs/>
          <w:i/>
          <w:iCs/>
          <w:sz w:val="24"/>
          <w:szCs w:val="24"/>
        </w:rPr>
      </w:pPr>
      <w:r w:rsidRPr="00F53E9B">
        <w:rPr>
          <w:rFonts w:asciiTheme="minorHAnsi" w:hAnsiTheme="minorHAnsi" w:cstheme="minorHAnsi"/>
          <w:b/>
          <w:bCs/>
          <w:i/>
          <w:iCs/>
          <w:sz w:val="24"/>
          <w:szCs w:val="24"/>
          <w:u w:val="single"/>
        </w:rPr>
        <w:t>Tato připomínka je zásadní.</w:t>
      </w:r>
    </w:p>
    <w:p w14:paraId="1744CEF1" w14:textId="77777777" w:rsidR="00F53E9B" w:rsidRPr="00595DA9" w:rsidRDefault="00F53E9B" w:rsidP="001A3B5C">
      <w:pPr>
        <w:pStyle w:val="Nzev"/>
        <w:snapToGrid w:val="0"/>
        <w:jc w:val="both"/>
        <w:rPr>
          <w:rFonts w:asciiTheme="minorHAnsi" w:hAnsiTheme="minorHAnsi" w:cstheme="minorHAnsi"/>
          <w:sz w:val="24"/>
          <w:szCs w:val="24"/>
          <w:u w:val="single"/>
        </w:rPr>
      </w:pPr>
    </w:p>
    <w:p w14:paraId="29B9A773" w14:textId="77777777" w:rsidR="001A3B5C" w:rsidRDefault="001A3B5C" w:rsidP="001A3B5C">
      <w:pPr>
        <w:pStyle w:val="Nzev"/>
        <w:pBdr>
          <w:bottom w:val="none" w:sz="0" w:space="0" w:color="auto"/>
        </w:pBdr>
        <w:snapToGrid w:val="0"/>
        <w:ind w:left="720"/>
        <w:jc w:val="both"/>
        <w:rPr>
          <w:rFonts w:asciiTheme="minorHAnsi" w:hAnsiTheme="minorHAnsi" w:cstheme="minorHAnsi"/>
          <w:sz w:val="24"/>
          <w:szCs w:val="24"/>
          <w:u w:val="single"/>
        </w:rPr>
      </w:pPr>
    </w:p>
    <w:p w14:paraId="01AB9E06" w14:textId="7528650D" w:rsidR="00F53E9B" w:rsidRPr="00281F12" w:rsidRDefault="00F53E9B"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E869F2">
        <w:rPr>
          <w:rFonts w:asciiTheme="minorHAnsi" w:hAnsiTheme="minorHAnsi" w:cstheme="minorHAnsi"/>
          <w:sz w:val="24"/>
          <w:szCs w:val="24"/>
          <w:u w:val="single"/>
        </w:rPr>
        <w:t>K</w:t>
      </w:r>
      <w:r w:rsidR="00812DC6" w:rsidRPr="00812DC6">
        <w:rPr>
          <w:rFonts w:asciiTheme="minorHAnsi" w:hAnsiTheme="minorHAnsi" w:cstheme="minorHAnsi"/>
          <w:sz w:val="24"/>
          <w:szCs w:val="24"/>
          <w:u w:val="single"/>
        </w:rPr>
        <w:t> příloze č. 4, Tab. 2 – Minimální četnost provádění rozborů ukazatelů se stanovenou směrnou hodnotou</w:t>
      </w:r>
    </w:p>
    <w:p w14:paraId="6104FD13" w14:textId="77777777" w:rsidR="00A51326" w:rsidRPr="00EC511B" w:rsidRDefault="00A51326" w:rsidP="001A3B5C">
      <w:pPr>
        <w:tabs>
          <w:tab w:val="left" w:pos="567"/>
        </w:tabs>
        <w:snapToGrid w:val="0"/>
        <w:jc w:val="both"/>
        <w:rPr>
          <w:rFonts w:asciiTheme="minorHAnsi" w:hAnsiTheme="minorHAnsi" w:cstheme="minorHAnsi"/>
          <w:sz w:val="24"/>
          <w:szCs w:val="24"/>
        </w:rPr>
      </w:pPr>
      <w:r w:rsidRPr="00EC511B">
        <w:rPr>
          <w:rFonts w:asciiTheme="minorHAnsi" w:hAnsiTheme="minorHAnsi" w:cstheme="minorHAnsi"/>
          <w:sz w:val="24"/>
          <w:szCs w:val="24"/>
        </w:rPr>
        <w:t>Minimální četnost provádění rozborů ukazatelů se stanovenou směrnou hodnotou, pro ukazatele č. 1.,2. a 3. požadujeme změnit na četnost stanovení 1 za 6 roků, a poznámku upravit následujícím způsobem. Obdobným způsobem požadujeme upravit také vysvětlivku č. 19 k tab. B v příloze č. 5.</w:t>
      </w:r>
    </w:p>
    <w:p w14:paraId="176DBF09" w14:textId="77777777" w:rsidR="00A51326" w:rsidRPr="00EC511B" w:rsidRDefault="00A51326" w:rsidP="001A3B5C">
      <w:pPr>
        <w:tabs>
          <w:tab w:val="left" w:pos="567"/>
        </w:tabs>
        <w:snapToGrid w:val="0"/>
        <w:jc w:val="both"/>
        <w:rPr>
          <w:rFonts w:asciiTheme="minorHAnsi" w:hAnsiTheme="minorHAnsi" w:cstheme="minorHAnsi"/>
          <w:sz w:val="24"/>
          <w:szCs w:val="24"/>
        </w:rPr>
      </w:pPr>
    </w:p>
    <w:p w14:paraId="68467CC8" w14:textId="4951549C" w:rsidR="00A51326" w:rsidRPr="00EC511B" w:rsidRDefault="00A51326" w:rsidP="001A3B5C">
      <w:pPr>
        <w:tabs>
          <w:tab w:val="left" w:pos="567"/>
        </w:tabs>
        <w:snapToGrid w:val="0"/>
        <w:jc w:val="both"/>
        <w:rPr>
          <w:rFonts w:asciiTheme="minorHAnsi" w:hAnsiTheme="minorHAnsi" w:cstheme="minorHAnsi"/>
          <w:sz w:val="24"/>
          <w:szCs w:val="24"/>
        </w:rPr>
      </w:pPr>
      <w:r w:rsidRPr="00EC511B">
        <w:rPr>
          <w:rFonts w:asciiTheme="minorHAnsi" w:hAnsiTheme="minorHAnsi" w:cstheme="minorHAnsi"/>
          <w:sz w:val="24"/>
          <w:szCs w:val="24"/>
        </w:rPr>
        <w:t>„</w:t>
      </w:r>
      <w:r w:rsidRPr="00EC511B">
        <w:rPr>
          <w:rFonts w:asciiTheme="minorHAnsi" w:hAnsiTheme="minorHAnsi" w:cstheme="minorHAnsi"/>
          <w:i/>
          <w:iCs/>
          <w:sz w:val="24"/>
          <w:szCs w:val="24"/>
        </w:rPr>
        <w:t xml:space="preserve">V případě, že jsou pro ukazatele se stanovenou směrnou hodnotou známé </w:t>
      </w:r>
      <w:r w:rsidRPr="00EC511B">
        <w:rPr>
          <w:rFonts w:asciiTheme="minorHAnsi" w:hAnsiTheme="minorHAnsi" w:cstheme="minorHAnsi"/>
          <w:i/>
          <w:iCs/>
          <w:strike/>
          <w:sz w:val="24"/>
          <w:szCs w:val="24"/>
        </w:rPr>
        <w:t>relevantní podlimitní hodnoty</w:t>
      </w:r>
      <w:r w:rsidRPr="00EC511B">
        <w:rPr>
          <w:rFonts w:asciiTheme="minorHAnsi" w:hAnsiTheme="minorHAnsi" w:cstheme="minorHAnsi"/>
          <w:i/>
          <w:iCs/>
          <w:sz w:val="24"/>
          <w:szCs w:val="24"/>
        </w:rPr>
        <w:t xml:space="preserve"> </w:t>
      </w:r>
      <w:r w:rsidRPr="00EC511B">
        <w:rPr>
          <w:rFonts w:asciiTheme="minorHAnsi" w:hAnsiTheme="minorHAnsi" w:cstheme="minorHAnsi"/>
          <w:b/>
          <w:bCs/>
          <w:i/>
          <w:iCs/>
          <w:sz w:val="24"/>
          <w:szCs w:val="24"/>
        </w:rPr>
        <w:t>koncentrační hodnoty</w:t>
      </w:r>
      <w:r w:rsidRPr="00EC511B">
        <w:rPr>
          <w:rFonts w:asciiTheme="minorHAnsi" w:hAnsiTheme="minorHAnsi" w:cstheme="minorHAnsi"/>
          <w:i/>
          <w:iCs/>
          <w:sz w:val="24"/>
          <w:szCs w:val="24"/>
        </w:rPr>
        <w:t xml:space="preserve">, které byly pořízené v rámci monitoringu kvality </w:t>
      </w:r>
      <w:r w:rsidRPr="00EC511B">
        <w:rPr>
          <w:rFonts w:asciiTheme="minorHAnsi" w:hAnsiTheme="minorHAnsi" w:cstheme="minorHAnsi"/>
          <w:b/>
          <w:bCs/>
          <w:i/>
          <w:iCs/>
          <w:sz w:val="24"/>
          <w:szCs w:val="24"/>
        </w:rPr>
        <w:t>relevantních zdrojů či útvarů</w:t>
      </w:r>
      <w:r w:rsidRPr="00EC511B">
        <w:rPr>
          <w:rFonts w:asciiTheme="minorHAnsi" w:hAnsiTheme="minorHAnsi" w:cstheme="minorHAnsi"/>
          <w:i/>
          <w:iCs/>
          <w:sz w:val="24"/>
          <w:szCs w:val="24"/>
        </w:rPr>
        <w:t xml:space="preserve"> podzemních a povrchových vod prováděného za účelem zjišťování stavu vod podle zákona č. 254/2001 Sb., o vodách, ve znění pozdějších předpisů, nebo zjištěné v surové vodě podle vyhlášky č. 428/2001 Sb., kterou se provádí zákon č. 274/2001 Sb., o vodovodech a kanalizacích pro veřejnou potřebu a o změně některých zákonů (zákon o</w:t>
      </w:r>
      <w:r w:rsidR="00281F12">
        <w:rPr>
          <w:rFonts w:asciiTheme="minorHAnsi" w:hAnsiTheme="minorHAnsi" w:cstheme="minorHAnsi"/>
          <w:i/>
          <w:iCs/>
          <w:sz w:val="24"/>
          <w:szCs w:val="24"/>
        </w:rPr>
        <w:t> </w:t>
      </w:r>
      <w:r w:rsidRPr="00EC511B">
        <w:rPr>
          <w:rFonts w:asciiTheme="minorHAnsi" w:hAnsiTheme="minorHAnsi" w:cstheme="minorHAnsi"/>
          <w:i/>
          <w:iCs/>
          <w:sz w:val="24"/>
          <w:szCs w:val="24"/>
        </w:rPr>
        <w:t xml:space="preserve">vodovodech a kanalizacích), ve znění pozdějších předpisů, </w:t>
      </w:r>
      <w:r w:rsidRPr="00EC511B">
        <w:rPr>
          <w:rFonts w:asciiTheme="minorHAnsi" w:hAnsiTheme="minorHAnsi" w:cstheme="minorHAnsi"/>
          <w:b/>
          <w:bCs/>
          <w:i/>
          <w:iCs/>
          <w:sz w:val="24"/>
          <w:szCs w:val="24"/>
        </w:rPr>
        <w:t>nebo zjištěné v rámci předchozího sledování kvality pitné vody,</w:t>
      </w:r>
      <w:r w:rsidRPr="00EC511B">
        <w:rPr>
          <w:rFonts w:asciiTheme="minorHAnsi" w:hAnsiTheme="minorHAnsi" w:cstheme="minorHAnsi"/>
          <w:i/>
          <w:iCs/>
          <w:sz w:val="24"/>
          <w:szCs w:val="24"/>
        </w:rPr>
        <w:t xml:space="preserve"> není nutné tyto ukazatele v pitné vodě stanovovat. </w:t>
      </w:r>
      <w:r w:rsidRPr="00EC511B">
        <w:rPr>
          <w:rFonts w:asciiTheme="minorHAnsi" w:hAnsiTheme="minorHAnsi" w:cstheme="minorHAnsi"/>
          <w:i/>
          <w:iCs/>
          <w:strike/>
          <w:sz w:val="24"/>
          <w:szCs w:val="24"/>
        </w:rPr>
        <w:t xml:space="preserve">Tyto hodnoty mohou </w:t>
      </w:r>
      <w:proofErr w:type="spellStart"/>
      <w:r w:rsidRPr="00EC511B">
        <w:rPr>
          <w:rFonts w:asciiTheme="minorHAnsi" w:hAnsiTheme="minorHAnsi" w:cstheme="minorHAnsi"/>
          <w:i/>
          <w:iCs/>
          <w:strike/>
          <w:sz w:val="24"/>
          <w:szCs w:val="24"/>
        </w:rPr>
        <w:t>být</w:t>
      </w:r>
      <w:proofErr w:type="spellEnd"/>
      <w:r w:rsidRPr="00EC511B">
        <w:rPr>
          <w:rFonts w:asciiTheme="minorHAnsi" w:hAnsiTheme="minorHAnsi" w:cstheme="minorHAnsi"/>
          <w:i/>
          <w:iCs/>
          <w:strike/>
          <w:sz w:val="24"/>
          <w:szCs w:val="24"/>
        </w:rPr>
        <w:t xml:space="preserve"> využity za podmínky, že</w:t>
      </w:r>
      <w:r w:rsidRPr="00EC511B">
        <w:rPr>
          <w:rFonts w:asciiTheme="minorHAnsi" w:hAnsiTheme="minorHAnsi" w:cstheme="minorHAnsi"/>
          <w:strike/>
          <w:sz w:val="24"/>
          <w:szCs w:val="24"/>
        </w:rPr>
        <w:t xml:space="preserve"> </w:t>
      </w:r>
      <w:r w:rsidRPr="00EC511B">
        <w:rPr>
          <w:rFonts w:asciiTheme="minorHAnsi" w:hAnsiTheme="minorHAnsi" w:cstheme="minorHAnsi"/>
          <w:i/>
          <w:iCs/>
          <w:strike/>
          <w:sz w:val="24"/>
          <w:szCs w:val="24"/>
        </w:rPr>
        <w:t xml:space="preserve">nejsou starší než 3 roky a musí </w:t>
      </w:r>
      <w:proofErr w:type="spellStart"/>
      <w:r w:rsidRPr="00EC511B">
        <w:rPr>
          <w:rFonts w:asciiTheme="minorHAnsi" w:hAnsiTheme="minorHAnsi" w:cstheme="minorHAnsi"/>
          <w:i/>
          <w:iCs/>
          <w:strike/>
          <w:sz w:val="24"/>
          <w:szCs w:val="24"/>
        </w:rPr>
        <w:t>být</w:t>
      </w:r>
      <w:proofErr w:type="spellEnd"/>
      <w:r w:rsidRPr="00EC511B">
        <w:rPr>
          <w:rFonts w:asciiTheme="minorHAnsi" w:hAnsiTheme="minorHAnsi" w:cstheme="minorHAnsi"/>
          <w:i/>
          <w:iCs/>
          <w:strike/>
          <w:sz w:val="24"/>
          <w:szCs w:val="24"/>
        </w:rPr>
        <w:t xml:space="preserve"> doloženy orgánu ochrany veřejného zdraví, </w:t>
      </w:r>
      <w:proofErr w:type="spellStart"/>
      <w:r w:rsidRPr="00EC511B">
        <w:rPr>
          <w:rFonts w:asciiTheme="minorHAnsi" w:hAnsiTheme="minorHAnsi" w:cstheme="minorHAnsi"/>
          <w:i/>
          <w:iCs/>
          <w:strike/>
          <w:sz w:val="24"/>
          <w:szCs w:val="24"/>
        </w:rPr>
        <w:t>ktery</w:t>
      </w:r>
      <w:proofErr w:type="spellEnd"/>
      <w:r w:rsidRPr="00EC511B">
        <w:rPr>
          <w:rFonts w:asciiTheme="minorHAnsi" w:hAnsiTheme="minorHAnsi" w:cstheme="minorHAnsi"/>
          <w:i/>
          <w:iCs/>
          <w:strike/>
          <w:sz w:val="24"/>
          <w:szCs w:val="24"/>
        </w:rPr>
        <w:t>́</w:t>
      </w:r>
      <w:r w:rsidRPr="00EC511B">
        <w:rPr>
          <w:rFonts w:asciiTheme="minorHAnsi" w:hAnsiTheme="minorHAnsi" w:cstheme="minorHAnsi"/>
          <w:strike/>
          <w:sz w:val="24"/>
          <w:szCs w:val="24"/>
        </w:rPr>
        <w:t xml:space="preserve"> </w:t>
      </w:r>
      <w:r w:rsidRPr="00EC511B">
        <w:rPr>
          <w:rFonts w:asciiTheme="minorHAnsi" w:hAnsiTheme="minorHAnsi" w:cstheme="minorHAnsi"/>
          <w:i/>
          <w:iCs/>
          <w:strike/>
          <w:sz w:val="24"/>
          <w:szCs w:val="24"/>
        </w:rPr>
        <w:t>je musí akceptovat.</w:t>
      </w:r>
      <w:r w:rsidRPr="00EC511B">
        <w:rPr>
          <w:rFonts w:asciiTheme="minorHAnsi" w:hAnsiTheme="minorHAnsi" w:cstheme="minorHAnsi"/>
          <w:b/>
          <w:bCs/>
          <w:i/>
          <w:iCs/>
          <w:sz w:val="24"/>
          <w:szCs w:val="24"/>
        </w:rPr>
        <w:t xml:space="preserve"> To platí za podmínky, že výsledky nejsou starší než 3 roky (6 let) a že zjištěné hodnoty nepřekračovaly předepsané směrné hodnoty</w:t>
      </w:r>
      <w:r w:rsidRPr="00EC511B">
        <w:rPr>
          <w:rFonts w:asciiTheme="minorHAnsi" w:hAnsiTheme="minorHAnsi" w:cstheme="minorHAnsi"/>
          <w:i/>
          <w:iCs/>
          <w:sz w:val="24"/>
          <w:szCs w:val="24"/>
        </w:rPr>
        <w:t xml:space="preserve">. </w:t>
      </w:r>
      <w:r w:rsidRPr="00EC511B">
        <w:rPr>
          <w:rFonts w:asciiTheme="minorHAnsi" w:hAnsiTheme="minorHAnsi" w:cstheme="minorHAnsi"/>
          <w:b/>
          <w:bCs/>
          <w:i/>
          <w:iCs/>
          <w:sz w:val="24"/>
          <w:szCs w:val="24"/>
        </w:rPr>
        <w:t>Výsledky musí být doloženy orgánu ochrany veřejného zdraví, který je musí akceptovat.</w:t>
      </w:r>
    </w:p>
    <w:p w14:paraId="7F7C90A8" w14:textId="77777777" w:rsidR="00F53E9B" w:rsidRPr="00EC511B" w:rsidRDefault="00F53E9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68C67D88" w14:textId="77777777" w:rsidR="00F53E9B" w:rsidRPr="00EC511B" w:rsidRDefault="00F53E9B"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EC511B">
        <w:rPr>
          <w:rFonts w:asciiTheme="minorHAnsi" w:hAnsiTheme="minorHAnsi" w:cstheme="minorHAnsi"/>
          <w:b/>
          <w:sz w:val="24"/>
          <w:szCs w:val="24"/>
        </w:rPr>
        <w:t xml:space="preserve">Odůvodnění: </w:t>
      </w:r>
    </w:p>
    <w:p w14:paraId="0452014E" w14:textId="77777777" w:rsidR="00EC511B" w:rsidRPr="00EC511B" w:rsidRDefault="00EC511B" w:rsidP="001A3B5C">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EC511B">
        <w:rPr>
          <w:rFonts w:asciiTheme="minorHAnsi" w:hAnsiTheme="minorHAnsi" w:cstheme="minorHAnsi"/>
          <w:sz w:val="24"/>
          <w:szCs w:val="24"/>
        </w:rPr>
        <w:t xml:space="preserve">Požadujeme prodloužení intervalu z důvodů aktualizací provozních řádů a posouzení a řízení rizik rovněž za období 6 let. Rovněž posouzení a řízení rizik částí povodí se bude zpracovávat po </w:t>
      </w:r>
      <w:proofErr w:type="gramStart"/>
      <w:r w:rsidRPr="00EC511B">
        <w:rPr>
          <w:rFonts w:asciiTheme="minorHAnsi" w:hAnsiTheme="minorHAnsi" w:cstheme="minorHAnsi"/>
          <w:sz w:val="24"/>
          <w:szCs w:val="24"/>
        </w:rPr>
        <w:t>6ti</w:t>
      </w:r>
      <w:proofErr w:type="gramEnd"/>
      <w:r w:rsidRPr="00EC511B">
        <w:rPr>
          <w:rFonts w:asciiTheme="minorHAnsi" w:hAnsiTheme="minorHAnsi" w:cstheme="minorHAnsi"/>
          <w:sz w:val="24"/>
          <w:szCs w:val="24"/>
        </w:rPr>
        <w:t xml:space="preserve"> letech. Velké počty malých zdrojů vody se nachází na lesních pozemcích bez osídlení, </w:t>
      </w:r>
      <w:r w:rsidRPr="00EC511B">
        <w:rPr>
          <w:rFonts w:asciiTheme="minorHAnsi" w:hAnsiTheme="minorHAnsi" w:cstheme="minorHAnsi"/>
          <w:sz w:val="24"/>
          <w:szCs w:val="24"/>
        </w:rPr>
        <w:lastRenderedPageBreak/>
        <w:t>průmyslu a jiných rizikových vlivů, tak považujeme pro tyto zdroje navrženou četnost sledování za neefektivní. Alternativní návrh: pro povrchové zdroje a zdroje podzemní vody ovlivněné povrchovou vodou zvolit četnost 1x za 3 roky a pro ostatní podzemní zdroje nastavit četnost 1 x za 6 let.</w:t>
      </w:r>
    </w:p>
    <w:p w14:paraId="7D8CA2B6" w14:textId="653C8C0A" w:rsidR="00E869F2" w:rsidRPr="00DA41D4" w:rsidRDefault="00F53E9B" w:rsidP="001A3B5C">
      <w:pPr>
        <w:snapToGrid w:val="0"/>
        <w:ind w:firstLine="708"/>
        <w:jc w:val="both"/>
        <w:rPr>
          <w:rFonts w:asciiTheme="minorHAnsi" w:hAnsiTheme="minorHAnsi" w:cstheme="minorHAnsi"/>
          <w:b/>
          <w:bCs/>
          <w:i/>
          <w:iCs/>
          <w:sz w:val="24"/>
          <w:szCs w:val="24"/>
        </w:rPr>
      </w:pPr>
      <w:r w:rsidRPr="00EC511B">
        <w:rPr>
          <w:rFonts w:asciiTheme="minorHAnsi" w:hAnsiTheme="minorHAnsi" w:cstheme="minorHAnsi"/>
          <w:b/>
          <w:bCs/>
          <w:i/>
          <w:iCs/>
          <w:sz w:val="24"/>
          <w:szCs w:val="24"/>
          <w:u w:val="single"/>
        </w:rPr>
        <w:t>Tato připomínka je zásadní.</w:t>
      </w:r>
    </w:p>
    <w:p w14:paraId="5C65C085" w14:textId="77777777" w:rsidR="00DA41D4" w:rsidRPr="00595DA9" w:rsidRDefault="00DA41D4" w:rsidP="001A3B5C">
      <w:pPr>
        <w:pStyle w:val="Nzev"/>
        <w:snapToGrid w:val="0"/>
        <w:jc w:val="both"/>
        <w:rPr>
          <w:rFonts w:asciiTheme="minorHAnsi" w:hAnsiTheme="minorHAnsi" w:cstheme="minorHAnsi"/>
          <w:sz w:val="24"/>
          <w:szCs w:val="24"/>
          <w:u w:val="single"/>
        </w:rPr>
      </w:pPr>
    </w:p>
    <w:p w14:paraId="54626B8F" w14:textId="77777777" w:rsidR="001A3B5C" w:rsidRPr="001A3B5C" w:rsidRDefault="001A3B5C" w:rsidP="001A3B5C">
      <w:pPr>
        <w:pStyle w:val="Nzev"/>
        <w:pBdr>
          <w:bottom w:val="none" w:sz="0" w:space="0" w:color="auto"/>
        </w:pBdr>
        <w:snapToGrid w:val="0"/>
        <w:ind w:left="720"/>
        <w:jc w:val="both"/>
        <w:rPr>
          <w:rFonts w:asciiTheme="minorHAnsi" w:hAnsiTheme="minorHAnsi" w:cstheme="minorHAnsi"/>
          <w:b w:val="0"/>
          <w:color w:val="FF0000"/>
          <w:sz w:val="24"/>
          <w:szCs w:val="24"/>
          <w:u w:val="single"/>
        </w:rPr>
      </w:pPr>
    </w:p>
    <w:p w14:paraId="2BD8CFA2" w14:textId="5259A6D7" w:rsidR="00850F7F" w:rsidRPr="00281F12" w:rsidRDefault="00850F7F" w:rsidP="001A3B5C">
      <w:pPr>
        <w:pStyle w:val="Nzev"/>
        <w:numPr>
          <w:ilvl w:val="0"/>
          <w:numId w:val="17"/>
        </w:numPr>
        <w:pBdr>
          <w:bottom w:val="none" w:sz="0" w:space="0" w:color="auto"/>
        </w:pBdr>
        <w:snapToGrid w:val="0"/>
        <w:jc w:val="both"/>
        <w:rPr>
          <w:rFonts w:asciiTheme="minorHAnsi" w:hAnsiTheme="minorHAnsi" w:cstheme="minorHAnsi"/>
          <w:b w:val="0"/>
          <w:color w:val="FF0000"/>
          <w:sz w:val="24"/>
          <w:szCs w:val="24"/>
          <w:u w:val="single"/>
        </w:rPr>
      </w:pPr>
      <w:r w:rsidRPr="00850F7F">
        <w:rPr>
          <w:rFonts w:asciiTheme="minorHAnsi" w:hAnsiTheme="minorHAnsi" w:cstheme="minorHAnsi"/>
          <w:sz w:val="24"/>
          <w:szCs w:val="24"/>
          <w:u w:val="single"/>
        </w:rPr>
        <w:t>K příloze č. 5, část 2 – úplný rozbor, poznámka č. 19</w:t>
      </w:r>
    </w:p>
    <w:p w14:paraId="37A250D8" w14:textId="77777777" w:rsidR="00850F7F" w:rsidRPr="00850F7F" w:rsidRDefault="00850F7F" w:rsidP="001A3B5C">
      <w:pPr>
        <w:tabs>
          <w:tab w:val="left" w:pos="567"/>
        </w:tabs>
        <w:snapToGrid w:val="0"/>
        <w:jc w:val="both"/>
        <w:rPr>
          <w:rFonts w:asciiTheme="minorHAnsi" w:hAnsiTheme="minorHAnsi" w:cstheme="minorHAnsi"/>
          <w:bCs/>
          <w:color w:val="000000" w:themeColor="text1"/>
          <w:sz w:val="24"/>
          <w:szCs w:val="24"/>
        </w:rPr>
      </w:pPr>
      <w:r w:rsidRPr="00850F7F">
        <w:rPr>
          <w:rFonts w:asciiTheme="minorHAnsi" w:hAnsiTheme="minorHAnsi" w:cstheme="minorHAnsi"/>
          <w:bCs/>
          <w:color w:val="000000" w:themeColor="text1"/>
          <w:sz w:val="24"/>
          <w:szCs w:val="24"/>
        </w:rPr>
        <w:t>Požadujeme upravit následujícím způsobem.</w:t>
      </w:r>
    </w:p>
    <w:p w14:paraId="690443E3" w14:textId="77777777" w:rsidR="00850F7F" w:rsidRPr="00850F7F" w:rsidRDefault="00850F7F" w:rsidP="001A3B5C">
      <w:pPr>
        <w:tabs>
          <w:tab w:val="left" w:pos="567"/>
        </w:tabs>
        <w:snapToGrid w:val="0"/>
        <w:jc w:val="both"/>
        <w:rPr>
          <w:rFonts w:asciiTheme="minorHAnsi" w:hAnsiTheme="minorHAnsi" w:cstheme="minorHAnsi"/>
          <w:bCs/>
          <w:color w:val="000000" w:themeColor="text1"/>
          <w:sz w:val="24"/>
          <w:szCs w:val="24"/>
        </w:rPr>
      </w:pPr>
      <w:r w:rsidRPr="00850F7F">
        <w:rPr>
          <w:rFonts w:asciiTheme="minorHAnsi" w:hAnsiTheme="minorHAnsi" w:cstheme="minorHAnsi"/>
          <w:i/>
          <w:sz w:val="24"/>
          <w:szCs w:val="24"/>
        </w:rPr>
        <w:t>„</w:t>
      </w:r>
      <w:bookmarkStart w:id="1" w:name="_Hlk118736027"/>
      <w:r w:rsidRPr="00850F7F">
        <w:rPr>
          <w:rFonts w:asciiTheme="minorHAnsi" w:hAnsiTheme="minorHAnsi" w:cstheme="minorHAnsi"/>
          <w:bCs/>
          <w:i/>
          <w:sz w:val="24"/>
          <w:szCs w:val="24"/>
        </w:rPr>
        <w:t>Tyto látky se stanovují pouze tehdy, pokud se při posouzení a řízení rizik v systému zásobování pitnou vodou dospěje k závěru, že je jejich výskyt v daném zdroji vody pravděpodobný. Vyloučení těchto látek z pravidelného sledování se zdůvodní</w:t>
      </w:r>
      <w:bookmarkEnd w:id="1"/>
      <w:r w:rsidRPr="00850F7F">
        <w:rPr>
          <w:rFonts w:asciiTheme="minorHAnsi" w:hAnsiTheme="minorHAnsi" w:cstheme="minorHAnsi"/>
          <w:bCs/>
          <w:i/>
          <w:sz w:val="24"/>
          <w:szCs w:val="24"/>
        </w:rPr>
        <w:t xml:space="preserve">. </w:t>
      </w:r>
    </w:p>
    <w:p w14:paraId="63AD3800" w14:textId="2F10DE18" w:rsidR="00850F7F" w:rsidRPr="00850F7F" w:rsidRDefault="00850F7F" w:rsidP="001A3B5C">
      <w:pPr>
        <w:tabs>
          <w:tab w:val="left" w:pos="567"/>
        </w:tabs>
        <w:snapToGrid w:val="0"/>
        <w:jc w:val="both"/>
        <w:rPr>
          <w:rFonts w:asciiTheme="minorHAnsi" w:hAnsiTheme="minorHAnsi" w:cstheme="minorHAnsi"/>
          <w:bCs/>
          <w:color w:val="000000" w:themeColor="text1"/>
          <w:sz w:val="24"/>
          <w:szCs w:val="24"/>
        </w:rPr>
      </w:pPr>
      <w:r w:rsidRPr="00850F7F">
        <w:rPr>
          <w:rFonts w:asciiTheme="minorHAnsi" w:hAnsiTheme="minorHAnsi" w:cstheme="minorHAnsi"/>
          <w:b/>
          <w:i/>
          <w:color w:val="000000" w:themeColor="text1"/>
          <w:sz w:val="24"/>
          <w:szCs w:val="24"/>
        </w:rPr>
        <w:t>V případě, že jsou pro tyto látky známé relevantní podlimitní hodnoty, které byly pořízené v rámci monitoringu kvality podzemních a povrchových vod prováděného za účelem zjišťování stavu vod podle zákona č. 254/2001 Sb., o vodách, ve znění pozdějších předpisů, mohou být tyto hodnoty využity za podmínky, že nejsou starší než 3 roky, při posouzení a</w:t>
      </w:r>
      <w:r w:rsidR="001A3B5C">
        <w:rPr>
          <w:rFonts w:asciiTheme="minorHAnsi" w:hAnsiTheme="minorHAnsi" w:cstheme="minorHAnsi"/>
          <w:b/>
          <w:i/>
          <w:color w:val="000000" w:themeColor="text1"/>
          <w:sz w:val="24"/>
          <w:szCs w:val="24"/>
        </w:rPr>
        <w:t> </w:t>
      </w:r>
      <w:r w:rsidRPr="00850F7F">
        <w:rPr>
          <w:rFonts w:asciiTheme="minorHAnsi" w:hAnsiTheme="minorHAnsi" w:cstheme="minorHAnsi"/>
          <w:b/>
          <w:i/>
          <w:color w:val="000000" w:themeColor="text1"/>
          <w:sz w:val="24"/>
          <w:szCs w:val="24"/>
        </w:rPr>
        <w:t>řízení rizik systému zásobování pitnou vodou. Výsledky musí být doloženy orgánu ochrany veřejného zdraví, který je musí akceptovat.</w:t>
      </w:r>
      <w:r w:rsidRPr="00850F7F">
        <w:rPr>
          <w:rFonts w:asciiTheme="minorHAnsi" w:hAnsiTheme="minorHAnsi" w:cstheme="minorHAnsi"/>
          <w:bCs/>
          <w:i/>
          <w:sz w:val="24"/>
          <w:szCs w:val="24"/>
          <w:shd w:val="clear" w:color="auto" w:fill="FBFBFB"/>
        </w:rPr>
        <w:t>“</w:t>
      </w:r>
    </w:p>
    <w:p w14:paraId="074A3E5B" w14:textId="77777777" w:rsidR="00850F7F" w:rsidRPr="00850F7F" w:rsidRDefault="00850F7F"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4646E12E" w14:textId="77777777" w:rsidR="00850F7F" w:rsidRPr="00850F7F" w:rsidRDefault="00850F7F"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850F7F">
        <w:rPr>
          <w:rFonts w:asciiTheme="minorHAnsi" w:hAnsiTheme="minorHAnsi" w:cstheme="minorHAnsi"/>
          <w:b/>
          <w:sz w:val="24"/>
          <w:szCs w:val="24"/>
        </w:rPr>
        <w:t xml:space="preserve">Odůvodnění: </w:t>
      </w:r>
    </w:p>
    <w:p w14:paraId="28397D6D" w14:textId="5F21E85C" w:rsidR="00850F7F" w:rsidRPr="00850F7F" w:rsidRDefault="00850F7F" w:rsidP="001A3B5C">
      <w:pPr>
        <w:pStyle w:val="Odstavecseseznamem"/>
        <w:tabs>
          <w:tab w:val="left" w:pos="567"/>
        </w:tabs>
        <w:snapToGrid w:val="0"/>
        <w:spacing w:after="0" w:line="240" w:lineRule="auto"/>
        <w:ind w:left="0"/>
        <w:contextualSpacing w:val="0"/>
        <w:jc w:val="both"/>
        <w:rPr>
          <w:rFonts w:asciiTheme="minorHAnsi" w:hAnsiTheme="minorHAnsi" w:cstheme="minorHAnsi"/>
          <w:color w:val="222222"/>
          <w:sz w:val="24"/>
          <w:szCs w:val="24"/>
          <w:lang w:eastAsia="cs-CZ"/>
        </w:rPr>
      </w:pPr>
      <w:r w:rsidRPr="00850F7F">
        <w:rPr>
          <w:rFonts w:asciiTheme="minorHAnsi" w:hAnsiTheme="minorHAnsi" w:cstheme="minorHAnsi"/>
          <w:color w:val="222222"/>
          <w:sz w:val="24"/>
          <w:szCs w:val="24"/>
          <w:lang w:eastAsia="cs-CZ"/>
        </w:rPr>
        <w:t>Rozšířený text poznámky lépe odráží záměr, který se uvádí v poznámce u parametru PFAS ve směrnici 2020/2184, tedy že se vychází z posouzení a řízení rizik částí povodí souvisejících s místy odběru surové vody. Text poznámky je upraven tak, aby lépe korespondoval s poznámkou v návrhu novely vyhlášky č. 252/2004 Sb. uvedené v Příloze 4, pod Tab.</w:t>
      </w:r>
      <w:r>
        <w:rPr>
          <w:rFonts w:asciiTheme="minorHAnsi" w:hAnsiTheme="minorHAnsi" w:cstheme="minorHAnsi"/>
          <w:color w:val="222222"/>
          <w:sz w:val="24"/>
          <w:szCs w:val="24"/>
          <w:lang w:eastAsia="cs-CZ"/>
        </w:rPr>
        <w:t xml:space="preserve"> </w:t>
      </w:r>
      <w:r w:rsidRPr="00850F7F">
        <w:rPr>
          <w:rFonts w:asciiTheme="minorHAnsi" w:hAnsiTheme="minorHAnsi" w:cstheme="minorHAnsi"/>
          <w:color w:val="222222"/>
          <w:sz w:val="24"/>
          <w:szCs w:val="24"/>
          <w:lang w:eastAsia="cs-CZ"/>
        </w:rPr>
        <w:t xml:space="preserve">2 „Minimální četnost provádění rozborů ukazatelů se stanovenou směrnou hodnotou“. </w:t>
      </w:r>
    </w:p>
    <w:p w14:paraId="408D7EA9" w14:textId="77777777" w:rsidR="00850F7F" w:rsidRPr="00850F7F" w:rsidRDefault="00850F7F"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850F7F">
        <w:rPr>
          <w:rFonts w:asciiTheme="minorHAnsi" w:hAnsiTheme="minorHAnsi" w:cstheme="minorHAnsi"/>
          <w:color w:val="222222"/>
          <w:sz w:val="24"/>
          <w:szCs w:val="24"/>
          <w:lang w:eastAsia="cs-CZ"/>
        </w:rPr>
        <w:t xml:space="preserve">Poznámka u parametru PFAS ve směrnici 2020/2184 zní: </w:t>
      </w:r>
      <w:r w:rsidRPr="00850F7F">
        <w:rPr>
          <w:rFonts w:asciiTheme="minorHAnsi" w:hAnsiTheme="minorHAnsi" w:cstheme="minorHAnsi"/>
          <w:i/>
          <w:sz w:val="24"/>
          <w:szCs w:val="24"/>
        </w:rPr>
        <w:t>Tyto látky se monitorují tehdy, pokud se při posouzení a řízení rizik částí povodí souvisejících s místy odběru provedeném v souladu s článkem 8 dospěje k závěru, že je pravděpodobný výskyt těchto látek v daném zdroji vody</w:t>
      </w:r>
      <w:r w:rsidRPr="00850F7F">
        <w:rPr>
          <w:rFonts w:asciiTheme="minorHAnsi" w:hAnsiTheme="minorHAnsi" w:cstheme="minorHAnsi"/>
          <w:sz w:val="24"/>
          <w:szCs w:val="24"/>
        </w:rPr>
        <w:t>.</w:t>
      </w:r>
    </w:p>
    <w:p w14:paraId="235217C0" w14:textId="77777777" w:rsidR="00DA41D4" w:rsidRPr="00EC511B" w:rsidRDefault="00DA41D4" w:rsidP="001A3B5C">
      <w:pPr>
        <w:snapToGrid w:val="0"/>
        <w:ind w:firstLine="708"/>
        <w:jc w:val="both"/>
        <w:rPr>
          <w:rFonts w:asciiTheme="minorHAnsi" w:hAnsiTheme="minorHAnsi" w:cstheme="minorHAnsi"/>
          <w:b/>
          <w:bCs/>
          <w:i/>
          <w:iCs/>
          <w:sz w:val="24"/>
          <w:szCs w:val="24"/>
        </w:rPr>
      </w:pPr>
      <w:r w:rsidRPr="00EC511B">
        <w:rPr>
          <w:rFonts w:asciiTheme="minorHAnsi" w:hAnsiTheme="minorHAnsi" w:cstheme="minorHAnsi"/>
          <w:b/>
          <w:bCs/>
          <w:i/>
          <w:iCs/>
          <w:sz w:val="24"/>
          <w:szCs w:val="24"/>
          <w:u w:val="single"/>
        </w:rPr>
        <w:t>Tato připomínka je zásadní.</w:t>
      </w:r>
    </w:p>
    <w:p w14:paraId="32DBF1A2" w14:textId="77777777" w:rsidR="00850F7F" w:rsidRPr="00595DA9" w:rsidRDefault="00850F7F" w:rsidP="001A3B5C">
      <w:pPr>
        <w:pStyle w:val="Nzev"/>
        <w:snapToGrid w:val="0"/>
        <w:jc w:val="both"/>
        <w:rPr>
          <w:rFonts w:asciiTheme="minorHAnsi" w:hAnsiTheme="minorHAnsi" w:cstheme="minorHAnsi"/>
          <w:sz w:val="24"/>
          <w:szCs w:val="24"/>
          <w:u w:val="single"/>
        </w:rPr>
      </w:pPr>
    </w:p>
    <w:p w14:paraId="7CF29265" w14:textId="347C164B" w:rsidR="00281F12" w:rsidRPr="00281F12" w:rsidRDefault="00850F7F"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850F7F">
        <w:rPr>
          <w:rFonts w:asciiTheme="minorHAnsi" w:hAnsiTheme="minorHAnsi" w:cstheme="minorHAnsi"/>
          <w:sz w:val="24"/>
          <w:szCs w:val="24"/>
          <w:u w:val="single"/>
        </w:rPr>
        <w:t>K </w:t>
      </w:r>
      <w:r w:rsidR="00281F12" w:rsidRPr="00281F12">
        <w:rPr>
          <w:rFonts w:asciiTheme="minorHAnsi" w:hAnsiTheme="minorHAnsi" w:cstheme="minorHAnsi"/>
          <w:sz w:val="24"/>
          <w:szCs w:val="24"/>
          <w:u w:val="single"/>
        </w:rPr>
        <w:t>příloze č. 5, část 2 – Úplný rozbor, Tab. B, poznámky k místům odběru</w:t>
      </w:r>
    </w:p>
    <w:p w14:paraId="00E71CCA" w14:textId="77777777" w:rsidR="00281F12" w:rsidRPr="00281F12" w:rsidRDefault="00281F12" w:rsidP="001A3B5C">
      <w:pPr>
        <w:tabs>
          <w:tab w:val="left" w:pos="567"/>
        </w:tabs>
        <w:snapToGrid w:val="0"/>
        <w:jc w:val="both"/>
        <w:rPr>
          <w:rFonts w:asciiTheme="minorHAnsi" w:hAnsiTheme="minorHAnsi" w:cstheme="minorHAnsi"/>
          <w:bCs/>
          <w:color w:val="000000" w:themeColor="text1"/>
          <w:sz w:val="24"/>
          <w:szCs w:val="24"/>
        </w:rPr>
      </w:pPr>
      <w:r w:rsidRPr="00281F12">
        <w:rPr>
          <w:rFonts w:asciiTheme="minorHAnsi" w:hAnsiTheme="minorHAnsi" w:cstheme="minorHAnsi"/>
          <w:bCs/>
          <w:color w:val="000000" w:themeColor="text1"/>
          <w:sz w:val="24"/>
          <w:szCs w:val="24"/>
        </w:rPr>
        <w:t>Poznámku (x) požadujeme upravit dle odůvodnění.</w:t>
      </w:r>
    </w:p>
    <w:p w14:paraId="3D481AAB"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1233EF30"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281F12">
        <w:rPr>
          <w:rFonts w:asciiTheme="minorHAnsi" w:hAnsiTheme="minorHAnsi" w:cstheme="minorHAnsi"/>
          <w:b/>
          <w:sz w:val="24"/>
          <w:szCs w:val="24"/>
        </w:rPr>
        <w:t xml:space="preserve">Odůvodnění: </w:t>
      </w:r>
    </w:p>
    <w:p w14:paraId="6D6BB3F1"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281F12">
        <w:rPr>
          <w:rFonts w:asciiTheme="minorHAnsi" w:hAnsiTheme="minorHAnsi" w:cstheme="minorHAnsi"/>
          <w:sz w:val="24"/>
          <w:szCs w:val="24"/>
        </w:rPr>
        <w:t xml:space="preserve">V registru databáze </w:t>
      </w:r>
      <w:proofErr w:type="spellStart"/>
      <w:r w:rsidRPr="00281F12">
        <w:rPr>
          <w:rFonts w:asciiTheme="minorHAnsi" w:hAnsiTheme="minorHAnsi" w:cstheme="minorHAnsi"/>
          <w:sz w:val="24"/>
          <w:szCs w:val="24"/>
        </w:rPr>
        <w:t>PiVo</w:t>
      </w:r>
      <w:proofErr w:type="spellEnd"/>
      <w:r w:rsidRPr="00281F12">
        <w:rPr>
          <w:rFonts w:asciiTheme="minorHAnsi" w:hAnsiTheme="minorHAnsi" w:cstheme="minorHAnsi"/>
          <w:sz w:val="24"/>
          <w:szCs w:val="24"/>
        </w:rPr>
        <w:t>, v sekce „Dokumentace pro laboratoře“ zahrnuje oddíl „Zprávy pro laboratoře“, které jsou metodickým doporučením a kterými se laboratoře musí řídit.</w:t>
      </w:r>
    </w:p>
    <w:p w14:paraId="57E30488"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281F12">
        <w:rPr>
          <w:rFonts w:asciiTheme="minorHAnsi" w:hAnsiTheme="minorHAnsi" w:cstheme="minorHAnsi"/>
          <w:sz w:val="24"/>
          <w:szCs w:val="24"/>
        </w:rPr>
        <w:t xml:space="preserve">Jedna z těchto zpráv zahrnuje text: </w:t>
      </w:r>
    </w:p>
    <w:p w14:paraId="3B31C979"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i/>
          <w:sz w:val="24"/>
          <w:szCs w:val="24"/>
        </w:rPr>
      </w:pPr>
      <w:r w:rsidRPr="00281F12">
        <w:rPr>
          <w:rFonts w:asciiTheme="minorHAnsi" w:hAnsiTheme="minorHAnsi" w:cstheme="minorHAnsi"/>
          <w:i/>
          <w:sz w:val="24"/>
          <w:szCs w:val="24"/>
        </w:rPr>
        <w:t xml:space="preserve">Existují tři výjimky či situace, kdy není potřeba časově souvztažné vzorky odebírat: </w:t>
      </w:r>
    </w:p>
    <w:p w14:paraId="000AE84C" w14:textId="26F68D1B"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i/>
          <w:sz w:val="24"/>
          <w:szCs w:val="24"/>
        </w:rPr>
      </w:pPr>
      <w:r w:rsidRPr="00281F12">
        <w:rPr>
          <w:rFonts w:asciiTheme="minorHAnsi" w:hAnsiTheme="minorHAnsi" w:cstheme="minorHAnsi"/>
          <w:i/>
          <w:sz w:val="24"/>
          <w:szCs w:val="24"/>
        </w:rPr>
        <w:t>a) U systémů zásobujících méně než 50 osob, které nespadají pod zákon o vodovodech a</w:t>
      </w:r>
      <w:r w:rsidR="001A3B5C">
        <w:rPr>
          <w:rFonts w:asciiTheme="minorHAnsi" w:hAnsiTheme="minorHAnsi" w:cstheme="minorHAnsi"/>
          <w:i/>
          <w:sz w:val="24"/>
          <w:szCs w:val="24"/>
        </w:rPr>
        <w:t> </w:t>
      </w:r>
      <w:r w:rsidRPr="00281F12">
        <w:rPr>
          <w:rFonts w:asciiTheme="minorHAnsi" w:hAnsiTheme="minorHAnsi" w:cstheme="minorHAnsi"/>
          <w:i/>
          <w:sz w:val="24"/>
          <w:szCs w:val="24"/>
        </w:rPr>
        <w:t>kanalizacích pro veřejnou potřebu, se v rámci úplného rozboru provede jen jeden odběr u</w:t>
      </w:r>
      <w:r w:rsidR="001A3B5C">
        <w:rPr>
          <w:rFonts w:asciiTheme="minorHAnsi" w:hAnsiTheme="minorHAnsi" w:cstheme="minorHAnsi"/>
          <w:i/>
          <w:sz w:val="24"/>
          <w:szCs w:val="24"/>
        </w:rPr>
        <w:t> </w:t>
      </w:r>
      <w:r w:rsidRPr="00281F12">
        <w:rPr>
          <w:rFonts w:asciiTheme="minorHAnsi" w:hAnsiTheme="minorHAnsi" w:cstheme="minorHAnsi"/>
          <w:i/>
          <w:sz w:val="24"/>
          <w:szCs w:val="24"/>
        </w:rPr>
        <w:t>spotřebitele a tento vzorek se analyzuje na celé spektrum ukazatelů úplného rozboru.</w:t>
      </w:r>
    </w:p>
    <w:p w14:paraId="3D7E6E12"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i/>
          <w:sz w:val="24"/>
          <w:szCs w:val="24"/>
        </w:rPr>
      </w:pPr>
      <w:r w:rsidRPr="00281F12">
        <w:rPr>
          <w:rFonts w:asciiTheme="minorHAnsi" w:hAnsiTheme="minorHAnsi" w:cstheme="minorHAnsi"/>
          <w:i/>
          <w:sz w:val="24"/>
          <w:szCs w:val="24"/>
        </w:rPr>
        <w:t>b) Úpravna vody a distribuční síť jsou provozovány různými provozovateli. Pak každý z nich provádí úplný rozbor z jednoho vzorku vody v celém rozsahu.</w:t>
      </w:r>
    </w:p>
    <w:p w14:paraId="365186CD"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i/>
          <w:sz w:val="24"/>
          <w:szCs w:val="24"/>
        </w:rPr>
      </w:pPr>
      <w:r w:rsidRPr="00281F12">
        <w:rPr>
          <w:rFonts w:asciiTheme="minorHAnsi" w:hAnsiTheme="minorHAnsi" w:cstheme="minorHAnsi"/>
          <w:i/>
          <w:sz w:val="24"/>
          <w:szCs w:val="24"/>
        </w:rPr>
        <w:t>c) U vodovodů, kde se odebírají úplné rozbory, jak na vstupu z úpravny, tak na konci sítě.</w:t>
      </w:r>
    </w:p>
    <w:p w14:paraId="70AD3AEA" w14:textId="77777777"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i/>
          <w:sz w:val="24"/>
          <w:szCs w:val="24"/>
        </w:rPr>
      </w:pPr>
    </w:p>
    <w:p w14:paraId="40BA180C" w14:textId="77C3C15C" w:rsidR="00281F12" w:rsidRPr="00281F12" w:rsidRDefault="00281F12" w:rsidP="001A3B5C">
      <w:pPr>
        <w:pStyle w:val="Odstavecseseznamem"/>
        <w:tabs>
          <w:tab w:val="left" w:pos="567"/>
        </w:tabs>
        <w:snapToGrid w:val="0"/>
        <w:spacing w:after="0" w:line="240" w:lineRule="auto"/>
        <w:ind w:left="0"/>
        <w:contextualSpacing w:val="0"/>
        <w:jc w:val="both"/>
        <w:rPr>
          <w:rFonts w:asciiTheme="minorHAnsi" w:hAnsiTheme="minorHAnsi" w:cstheme="minorHAnsi"/>
          <w:sz w:val="24"/>
          <w:szCs w:val="24"/>
        </w:rPr>
      </w:pPr>
      <w:r w:rsidRPr="00281F12">
        <w:rPr>
          <w:rFonts w:asciiTheme="minorHAnsi" w:hAnsiTheme="minorHAnsi" w:cstheme="minorHAnsi"/>
          <w:sz w:val="24"/>
          <w:szCs w:val="24"/>
        </w:rPr>
        <w:t xml:space="preserve">Poznámku požadujeme upravit tak, aby vyhláška korespondovala s metodikou uvedenou v databázi </w:t>
      </w:r>
      <w:r w:rsidR="001A3B5C">
        <w:rPr>
          <w:rFonts w:asciiTheme="minorHAnsi" w:hAnsiTheme="minorHAnsi" w:cstheme="minorHAnsi"/>
          <w:sz w:val="24"/>
          <w:szCs w:val="24"/>
        </w:rPr>
        <w:t xml:space="preserve">registru </w:t>
      </w:r>
      <w:proofErr w:type="spellStart"/>
      <w:r w:rsidRPr="00281F12">
        <w:rPr>
          <w:rFonts w:asciiTheme="minorHAnsi" w:hAnsiTheme="minorHAnsi" w:cstheme="minorHAnsi"/>
          <w:sz w:val="24"/>
          <w:szCs w:val="24"/>
        </w:rPr>
        <w:t>PiVo</w:t>
      </w:r>
      <w:proofErr w:type="spellEnd"/>
      <w:r w:rsidRPr="00281F12">
        <w:rPr>
          <w:rFonts w:asciiTheme="minorHAnsi" w:hAnsiTheme="minorHAnsi" w:cstheme="minorHAnsi"/>
          <w:sz w:val="24"/>
          <w:szCs w:val="24"/>
        </w:rPr>
        <w:t>.</w:t>
      </w:r>
    </w:p>
    <w:p w14:paraId="11FBEFEB" w14:textId="3E3953B5" w:rsidR="00850F7F" w:rsidRPr="00281F12" w:rsidRDefault="00850F7F" w:rsidP="001A3B5C">
      <w:pPr>
        <w:pStyle w:val="Nzev"/>
        <w:pBdr>
          <w:bottom w:val="none" w:sz="0" w:space="0" w:color="auto"/>
        </w:pBdr>
        <w:snapToGrid w:val="0"/>
        <w:ind w:left="720"/>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lastRenderedPageBreak/>
        <w:t>Tato připomínka je zásadní.</w:t>
      </w:r>
    </w:p>
    <w:p w14:paraId="4E7E7285" w14:textId="7E9F926E" w:rsidR="00281F12" w:rsidRPr="00595DA9" w:rsidRDefault="00281F12" w:rsidP="001A3B5C">
      <w:pPr>
        <w:pStyle w:val="Nzev"/>
        <w:snapToGrid w:val="0"/>
        <w:jc w:val="both"/>
        <w:rPr>
          <w:rFonts w:asciiTheme="minorHAnsi" w:hAnsiTheme="minorHAnsi" w:cstheme="minorHAnsi"/>
          <w:sz w:val="24"/>
          <w:szCs w:val="24"/>
          <w:u w:val="single"/>
        </w:rPr>
      </w:pPr>
    </w:p>
    <w:p w14:paraId="4C17A8EF" w14:textId="77777777" w:rsidR="001A3B5C" w:rsidRPr="001A3B5C" w:rsidRDefault="001A3B5C" w:rsidP="001A3B5C">
      <w:pPr>
        <w:pStyle w:val="Nzev"/>
        <w:pBdr>
          <w:bottom w:val="none" w:sz="0" w:space="0" w:color="auto"/>
        </w:pBdr>
        <w:snapToGrid w:val="0"/>
        <w:ind w:left="720"/>
        <w:jc w:val="both"/>
        <w:rPr>
          <w:b w:val="0"/>
          <w:color w:val="FF0000"/>
        </w:rPr>
      </w:pPr>
    </w:p>
    <w:p w14:paraId="504EA609" w14:textId="5EC5248A" w:rsidR="001204D1" w:rsidRPr="001204D1" w:rsidRDefault="00281F12" w:rsidP="001A3B5C">
      <w:pPr>
        <w:pStyle w:val="Nzev"/>
        <w:numPr>
          <w:ilvl w:val="0"/>
          <w:numId w:val="17"/>
        </w:numPr>
        <w:pBdr>
          <w:bottom w:val="none" w:sz="0" w:space="0" w:color="auto"/>
        </w:pBdr>
        <w:snapToGrid w:val="0"/>
        <w:jc w:val="both"/>
        <w:rPr>
          <w:b w:val="0"/>
          <w:color w:val="FF0000"/>
        </w:rPr>
      </w:pPr>
      <w:r w:rsidRPr="00850F7F">
        <w:rPr>
          <w:rFonts w:asciiTheme="minorHAnsi" w:hAnsiTheme="minorHAnsi" w:cstheme="minorHAnsi"/>
          <w:sz w:val="24"/>
          <w:szCs w:val="24"/>
          <w:u w:val="single"/>
        </w:rPr>
        <w:t>K </w:t>
      </w:r>
      <w:r w:rsidR="001204D1" w:rsidRPr="001204D1">
        <w:rPr>
          <w:rFonts w:asciiTheme="minorHAnsi" w:hAnsiTheme="minorHAnsi" w:cstheme="minorHAnsi"/>
          <w:sz w:val="24"/>
          <w:szCs w:val="24"/>
          <w:u w:val="single"/>
        </w:rPr>
        <w:t>příloze č. 5, část 2 – Úplný rozbor, Tab. B, vysvětlivka č. 10</w:t>
      </w:r>
    </w:p>
    <w:p w14:paraId="74448BE5" w14:textId="77777777" w:rsidR="001204D1" w:rsidRPr="001204D1" w:rsidRDefault="001204D1" w:rsidP="001A3B5C">
      <w:pPr>
        <w:tabs>
          <w:tab w:val="left" w:pos="567"/>
        </w:tabs>
        <w:snapToGrid w:val="0"/>
        <w:jc w:val="both"/>
        <w:rPr>
          <w:rFonts w:asciiTheme="minorHAnsi" w:hAnsiTheme="minorHAnsi" w:cstheme="minorHAnsi"/>
          <w:bCs/>
          <w:color w:val="000000" w:themeColor="text1"/>
          <w:sz w:val="24"/>
          <w:szCs w:val="24"/>
        </w:rPr>
      </w:pPr>
      <w:r w:rsidRPr="001204D1">
        <w:rPr>
          <w:rFonts w:asciiTheme="minorHAnsi" w:hAnsiTheme="minorHAnsi" w:cstheme="minorHAnsi"/>
          <w:bCs/>
          <w:color w:val="000000" w:themeColor="text1"/>
          <w:sz w:val="24"/>
          <w:szCs w:val="24"/>
        </w:rPr>
        <w:t xml:space="preserve">Požadujeme upravit následujícím způsobem: </w:t>
      </w:r>
    </w:p>
    <w:p w14:paraId="04B7CE3A" w14:textId="77777777" w:rsidR="001204D1" w:rsidRPr="001204D1" w:rsidRDefault="001204D1" w:rsidP="001A3B5C">
      <w:pPr>
        <w:tabs>
          <w:tab w:val="left" w:pos="567"/>
        </w:tabs>
        <w:snapToGrid w:val="0"/>
        <w:jc w:val="both"/>
        <w:rPr>
          <w:rFonts w:asciiTheme="minorHAnsi" w:hAnsiTheme="minorHAnsi" w:cstheme="minorHAnsi"/>
          <w:bCs/>
          <w:i/>
          <w:iCs/>
          <w:color w:val="000000" w:themeColor="text1"/>
          <w:sz w:val="24"/>
          <w:szCs w:val="24"/>
        </w:rPr>
      </w:pPr>
      <w:r w:rsidRPr="001204D1">
        <w:rPr>
          <w:rFonts w:asciiTheme="minorHAnsi" w:hAnsiTheme="minorHAnsi" w:cstheme="minorHAnsi"/>
          <w:i/>
          <w:iCs/>
          <w:sz w:val="24"/>
          <w:szCs w:val="24"/>
        </w:rPr>
        <w:t xml:space="preserve">„Pro kontrolu jakosti pitné vody podle § 4 se použije metoda náhodného vzorkování během pracovního dne, která spočívá v odběru prvních 1 000 ml vody z kohoutku (bez očištění kohoutku a bez předchozího odpouštění vody nebo odběru vzorků vody na stanovení jiných ukazatelů). Zjistí-li se při tomto odběru překročení limitní hodnoty a je-li prokázáno, že se jedná o zhoršení vlivem vnitřního vodovodu, </w:t>
      </w:r>
      <w:r w:rsidRPr="001204D1">
        <w:rPr>
          <w:rFonts w:asciiTheme="minorHAnsi" w:hAnsiTheme="minorHAnsi" w:cstheme="minorHAnsi"/>
          <w:b/>
          <w:i/>
          <w:iCs/>
          <w:sz w:val="24"/>
          <w:szCs w:val="24"/>
        </w:rPr>
        <w:t xml:space="preserve">zajistí si odběratelé vody (a další osoby v obdobném postavení) </w:t>
      </w:r>
      <w:r w:rsidRPr="001204D1">
        <w:rPr>
          <w:rFonts w:asciiTheme="minorHAnsi" w:hAnsiTheme="minorHAnsi" w:cstheme="minorHAnsi"/>
          <w:i/>
          <w:iCs/>
          <w:sz w:val="24"/>
          <w:szCs w:val="24"/>
        </w:rPr>
        <w:t>v tomto objektu účelové vzorkování pro zjištění průměrné koncentrace látky požité odběrateli během jednoho týdne.“</w:t>
      </w:r>
    </w:p>
    <w:p w14:paraId="1A6F2844" w14:textId="77777777" w:rsidR="001204D1" w:rsidRPr="001204D1" w:rsidRDefault="001204D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35687E16" w14:textId="77777777" w:rsidR="001204D1" w:rsidRPr="001204D1" w:rsidRDefault="001204D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1204D1">
        <w:rPr>
          <w:rFonts w:asciiTheme="minorHAnsi" w:hAnsiTheme="minorHAnsi" w:cstheme="minorHAnsi"/>
          <w:b/>
          <w:sz w:val="24"/>
          <w:szCs w:val="24"/>
        </w:rPr>
        <w:t xml:space="preserve">Odůvodnění: </w:t>
      </w:r>
    </w:p>
    <w:p w14:paraId="04B9F37A" w14:textId="77777777" w:rsidR="001204D1" w:rsidRPr="001204D1" w:rsidRDefault="001204D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1204D1">
        <w:rPr>
          <w:rFonts w:asciiTheme="minorHAnsi" w:hAnsiTheme="minorHAnsi" w:cstheme="minorHAnsi"/>
          <w:sz w:val="24"/>
          <w:szCs w:val="24"/>
        </w:rPr>
        <w:t>Jedná se o upřesnění, kdo provádí účelové vzorkování pro zjištění průměrné koncentrace látky požité odběrateli během jednoho týdne. Provozovatel nezná způsob užívání objektu, pro jaké účely se dodaná voda spotřebovává atd. Účelové vzorkování by měl provádět vlastník vodovodní přípojky a připojené nemovitosti včetně vnitřního vodovodu.</w:t>
      </w:r>
    </w:p>
    <w:p w14:paraId="2A947BDE" w14:textId="5BE428F5" w:rsidR="00281F12" w:rsidRPr="00281F12" w:rsidRDefault="00281F12" w:rsidP="001A3B5C">
      <w:pPr>
        <w:pStyle w:val="Nzev"/>
        <w:pBdr>
          <w:bottom w:val="none" w:sz="0" w:space="0" w:color="auto"/>
        </w:pBdr>
        <w:snapToGrid w:val="0"/>
        <w:ind w:left="708"/>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t>Tato připomínka je zásadní.</w:t>
      </w:r>
    </w:p>
    <w:p w14:paraId="071E5E30" w14:textId="77777777" w:rsidR="001204D1" w:rsidRPr="00595DA9" w:rsidRDefault="001204D1" w:rsidP="001A3B5C">
      <w:pPr>
        <w:pStyle w:val="Nzev"/>
        <w:snapToGrid w:val="0"/>
        <w:jc w:val="both"/>
        <w:rPr>
          <w:rFonts w:asciiTheme="minorHAnsi" w:hAnsiTheme="minorHAnsi" w:cstheme="minorHAnsi"/>
          <w:sz w:val="24"/>
          <w:szCs w:val="24"/>
          <w:u w:val="single"/>
        </w:rPr>
      </w:pPr>
    </w:p>
    <w:p w14:paraId="43E16776" w14:textId="77777777" w:rsidR="001A3B5C" w:rsidRPr="001A3B5C" w:rsidRDefault="001A3B5C" w:rsidP="001A3B5C">
      <w:pPr>
        <w:pStyle w:val="Nzev"/>
        <w:pBdr>
          <w:bottom w:val="none" w:sz="0" w:space="0" w:color="auto"/>
        </w:pBdr>
        <w:snapToGrid w:val="0"/>
        <w:ind w:left="720"/>
        <w:jc w:val="both"/>
        <w:rPr>
          <w:b w:val="0"/>
        </w:rPr>
      </w:pPr>
    </w:p>
    <w:p w14:paraId="065AC837" w14:textId="42B8BAC1" w:rsidR="00A97FAE" w:rsidRPr="001F3A02" w:rsidRDefault="001204D1" w:rsidP="001A3B5C">
      <w:pPr>
        <w:pStyle w:val="Nzev"/>
        <w:numPr>
          <w:ilvl w:val="0"/>
          <w:numId w:val="17"/>
        </w:numPr>
        <w:pBdr>
          <w:bottom w:val="none" w:sz="0" w:space="0" w:color="auto"/>
        </w:pBdr>
        <w:snapToGrid w:val="0"/>
        <w:jc w:val="both"/>
        <w:rPr>
          <w:b w:val="0"/>
        </w:rPr>
      </w:pPr>
      <w:r w:rsidRPr="00850F7F">
        <w:rPr>
          <w:rFonts w:asciiTheme="minorHAnsi" w:hAnsiTheme="minorHAnsi" w:cstheme="minorHAnsi"/>
          <w:sz w:val="24"/>
          <w:szCs w:val="24"/>
          <w:u w:val="single"/>
        </w:rPr>
        <w:t>K </w:t>
      </w:r>
      <w:r w:rsidR="00A97FAE" w:rsidRPr="00A97FAE">
        <w:rPr>
          <w:rFonts w:asciiTheme="minorHAnsi" w:hAnsiTheme="minorHAnsi" w:cstheme="minorHAnsi"/>
          <w:sz w:val="24"/>
          <w:szCs w:val="24"/>
          <w:u w:val="single"/>
        </w:rPr>
        <w:t>příloze č. 6, část B – Ukazatele, pro které jsou stanoveny požadavky na metodu</w:t>
      </w:r>
    </w:p>
    <w:p w14:paraId="466C6653" w14:textId="77777777" w:rsidR="00A97FAE" w:rsidRPr="00A97FAE" w:rsidRDefault="00A97FAE" w:rsidP="001A3B5C">
      <w:pPr>
        <w:tabs>
          <w:tab w:val="left" w:pos="567"/>
        </w:tabs>
        <w:snapToGrid w:val="0"/>
        <w:jc w:val="both"/>
        <w:rPr>
          <w:rFonts w:asciiTheme="minorHAnsi" w:hAnsiTheme="minorHAnsi" w:cstheme="minorHAnsi"/>
          <w:bCs/>
          <w:color w:val="000000" w:themeColor="text1"/>
          <w:sz w:val="24"/>
          <w:szCs w:val="24"/>
        </w:rPr>
      </w:pPr>
      <w:r w:rsidRPr="00A97FAE">
        <w:rPr>
          <w:rFonts w:asciiTheme="minorHAnsi" w:hAnsiTheme="minorHAnsi" w:cstheme="minorHAnsi"/>
          <w:bCs/>
          <w:color w:val="000000" w:themeColor="text1"/>
          <w:sz w:val="24"/>
          <w:szCs w:val="24"/>
        </w:rPr>
        <w:t>Požadujeme upravit hodnoty v tabulce pro uvedené ukazatele následujícím způsobem.</w:t>
      </w:r>
    </w:p>
    <w:p w14:paraId="479E604F" w14:textId="77777777" w:rsidR="00A97FAE" w:rsidRPr="00A97FAE" w:rsidRDefault="00A97FAE" w:rsidP="001A3B5C">
      <w:pPr>
        <w:tabs>
          <w:tab w:val="left" w:pos="567"/>
        </w:tabs>
        <w:snapToGrid w:val="0"/>
        <w:jc w:val="both"/>
        <w:rPr>
          <w:rFonts w:asciiTheme="minorHAnsi" w:hAnsiTheme="minorHAnsi" w:cstheme="minorHAnsi"/>
          <w:bCs/>
          <w:color w:val="000000" w:themeColor="text1"/>
          <w:sz w:val="24"/>
          <w:szCs w:val="24"/>
        </w:rPr>
      </w:pPr>
      <w:r w:rsidRPr="00A97FAE">
        <w:rPr>
          <w:rFonts w:asciiTheme="minorHAnsi" w:hAnsiTheme="minorHAnsi" w:cstheme="minorHAnsi"/>
          <w:bCs/>
          <w:color w:val="000000" w:themeColor="text1"/>
          <w:sz w:val="24"/>
          <w:szCs w:val="24"/>
        </w:rPr>
        <w:t xml:space="preserve">- </w:t>
      </w:r>
      <w:proofErr w:type="gramStart"/>
      <w:r w:rsidRPr="00A97FAE">
        <w:rPr>
          <w:rFonts w:asciiTheme="minorHAnsi" w:hAnsiTheme="minorHAnsi" w:cstheme="minorHAnsi"/>
          <w:color w:val="222222"/>
          <w:sz w:val="24"/>
          <w:szCs w:val="24"/>
        </w:rPr>
        <w:t>17-beta</w:t>
      </w:r>
      <w:proofErr w:type="gramEnd"/>
      <w:r w:rsidRPr="00A97FAE">
        <w:rPr>
          <w:rFonts w:asciiTheme="minorHAnsi" w:hAnsiTheme="minorHAnsi" w:cstheme="minorHAnsi"/>
          <w:color w:val="222222"/>
          <w:sz w:val="24"/>
          <w:szCs w:val="24"/>
        </w:rPr>
        <w:t>-estradiol (mez stanovitelnosti = do výše limitní hodnoty; nejistota měření ≤ 50% limitní hodnoty)</w:t>
      </w:r>
    </w:p>
    <w:p w14:paraId="21E18E98" w14:textId="77777777" w:rsidR="00A97FAE" w:rsidRPr="00A97FAE" w:rsidRDefault="00A97FAE" w:rsidP="001A3B5C">
      <w:pPr>
        <w:tabs>
          <w:tab w:val="left" w:pos="567"/>
        </w:tabs>
        <w:snapToGrid w:val="0"/>
        <w:jc w:val="both"/>
        <w:rPr>
          <w:rFonts w:asciiTheme="minorHAnsi" w:hAnsiTheme="minorHAnsi" w:cstheme="minorHAnsi"/>
          <w:bCs/>
          <w:color w:val="000000" w:themeColor="text1"/>
          <w:sz w:val="24"/>
          <w:szCs w:val="24"/>
        </w:rPr>
      </w:pPr>
      <w:r w:rsidRPr="00A97FAE">
        <w:rPr>
          <w:rFonts w:asciiTheme="minorHAnsi" w:hAnsiTheme="minorHAnsi" w:cstheme="minorHAnsi"/>
          <w:color w:val="222222"/>
          <w:sz w:val="24"/>
          <w:szCs w:val="24"/>
        </w:rPr>
        <w:t xml:space="preserve">- PFOA, PFNA, </w:t>
      </w:r>
      <w:proofErr w:type="spellStart"/>
      <w:r w:rsidRPr="00A97FAE">
        <w:rPr>
          <w:rFonts w:asciiTheme="minorHAnsi" w:hAnsiTheme="minorHAnsi" w:cstheme="minorHAnsi"/>
          <w:color w:val="222222"/>
          <w:sz w:val="24"/>
          <w:szCs w:val="24"/>
        </w:rPr>
        <w:t>PFHxS</w:t>
      </w:r>
      <w:proofErr w:type="spellEnd"/>
      <w:r w:rsidRPr="00A97FAE">
        <w:rPr>
          <w:rFonts w:asciiTheme="minorHAnsi" w:hAnsiTheme="minorHAnsi" w:cstheme="minorHAnsi"/>
          <w:color w:val="222222"/>
          <w:sz w:val="24"/>
          <w:szCs w:val="24"/>
        </w:rPr>
        <w:t xml:space="preserve"> a PFOS suma (mez stanovitelnosti = do výše limitní hodnoty)</w:t>
      </w:r>
    </w:p>
    <w:p w14:paraId="6528132A" w14:textId="77777777" w:rsidR="00A97FAE" w:rsidRPr="00A97FAE" w:rsidRDefault="00A97FAE"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4D742A11" w14:textId="77777777" w:rsidR="00A97FAE" w:rsidRPr="00A97FAE" w:rsidRDefault="00A97FAE"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A97FAE">
        <w:rPr>
          <w:rFonts w:asciiTheme="minorHAnsi" w:hAnsiTheme="minorHAnsi" w:cstheme="minorHAnsi"/>
          <w:b/>
          <w:sz w:val="24"/>
          <w:szCs w:val="24"/>
        </w:rPr>
        <w:t xml:space="preserve">Odůvodnění: </w:t>
      </w:r>
    </w:p>
    <w:p w14:paraId="7C7EB905" w14:textId="77777777" w:rsidR="00A97FAE" w:rsidRPr="00A97FAE" w:rsidRDefault="00A97FAE" w:rsidP="001A3B5C">
      <w:pPr>
        <w:pStyle w:val="Odstavecseseznamem"/>
        <w:tabs>
          <w:tab w:val="left" w:pos="567"/>
        </w:tabs>
        <w:snapToGrid w:val="0"/>
        <w:spacing w:after="0" w:line="240" w:lineRule="auto"/>
        <w:ind w:left="0"/>
        <w:contextualSpacing w:val="0"/>
        <w:jc w:val="both"/>
        <w:rPr>
          <w:rFonts w:asciiTheme="minorHAnsi" w:hAnsiTheme="minorHAnsi" w:cstheme="minorHAnsi"/>
          <w:b/>
          <w:color w:val="FF0000"/>
          <w:sz w:val="24"/>
          <w:szCs w:val="24"/>
        </w:rPr>
      </w:pPr>
      <w:r w:rsidRPr="00A97FAE">
        <w:rPr>
          <w:rFonts w:asciiTheme="minorHAnsi" w:hAnsiTheme="minorHAnsi" w:cstheme="minorHAnsi"/>
          <w:color w:val="222222"/>
          <w:sz w:val="24"/>
          <w:szCs w:val="24"/>
          <w:lang w:eastAsia="cs-CZ"/>
        </w:rPr>
        <w:t xml:space="preserve">Důvodem úpravy hodnot meze stanovitelnosti a nejistoty měření u uvedených parametrů je velmi nízká směrná hodnota a dále se vychází z laboratorní praxe. Pro tyto ukazatele evropská legislativa neuvádí požadavky na metodu a navíc pro </w:t>
      </w:r>
      <w:proofErr w:type="gramStart"/>
      <w:r w:rsidRPr="00A97FAE">
        <w:rPr>
          <w:rFonts w:asciiTheme="minorHAnsi" w:hAnsiTheme="minorHAnsi" w:cstheme="minorHAnsi"/>
          <w:color w:val="222222"/>
          <w:sz w:val="24"/>
          <w:szCs w:val="24"/>
          <w:lang w:eastAsia="cs-CZ"/>
        </w:rPr>
        <w:t>17-beta</w:t>
      </w:r>
      <w:proofErr w:type="gramEnd"/>
      <w:r w:rsidRPr="00A97FAE">
        <w:rPr>
          <w:rFonts w:asciiTheme="minorHAnsi" w:hAnsiTheme="minorHAnsi" w:cstheme="minorHAnsi"/>
          <w:color w:val="222222"/>
          <w:sz w:val="24"/>
          <w:szCs w:val="24"/>
          <w:lang w:eastAsia="cs-CZ"/>
        </w:rPr>
        <w:t xml:space="preserve"> estradiol se směrnou hodnotou 1ng/l není v Prováděcím rozhodnutí Komise 2022/679 uvedena vhodná analytická metoda.</w:t>
      </w:r>
    </w:p>
    <w:p w14:paraId="4536596F" w14:textId="248CF5C5" w:rsidR="001204D1" w:rsidRPr="00281F12" w:rsidRDefault="001204D1" w:rsidP="001A3B5C">
      <w:pPr>
        <w:pStyle w:val="Nzev"/>
        <w:pBdr>
          <w:bottom w:val="none" w:sz="0" w:space="0" w:color="auto"/>
        </w:pBdr>
        <w:snapToGrid w:val="0"/>
        <w:ind w:left="720"/>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t>Tato připomínka je zásadní.</w:t>
      </w:r>
    </w:p>
    <w:p w14:paraId="1D1D90D1" w14:textId="77777777" w:rsidR="00A97FAE" w:rsidRPr="00595DA9" w:rsidRDefault="00A97FAE" w:rsidP="001A3B5C">
      <w:pPr>
        <w:pStyle w:val="Nzev"/>
        <w:snapToGrid w:val="0"/>
        <w:jc w:val="both"/>
        <w:rPr>
          <w:rFonts w:asciiTheme="minorHAnsi" w:hAnsiTheme="minorHAnsi" w:cstheme="minorHAnsi"/>
          <w:sz w:val="24"/>
          <w:szCs w:val="24"/>
          <w:u w:val="single"/>
        </w:rPr>
      </w:pPr>
    </w:p>
    <w:p w14:paraId="0DAD5ED3" w14:textId="77777777" w:rsidR="001A3B5C" w:rsidRDefault="001A3B5C" w:rsidP="001A3B5C">
      <w:pPr>
        <w:pStyle w:val="Nzev"/>
        <w:pBdr>
          <w:bottom w:val="none" w:sz="0" w:space="0" w:color="auto"/>
        </w:pBdr>
        <w:snapToGrid w:val="0"/>
        <w:ind w:left="720"/>
        <w:jc w:val="both"/>
        <w:rPr>
          <w:rFonts w:asciiTheme="minorHAnsi" w:hAnsiTheme="minorHAnsi" w:cstheme="minorHAnsi"/>
          <w:sz w:val="24"/>
          <w:szCs w:val="24"/>
          <w:u w:val="single"/>
        </w:rPr>
      </w:pPr>
    </w:p>
    <w:p w14:paraId="57FE04F5" w14:textId="394B028B" w:rsidR="008E4F82" w:rsidRPr="00EE52E6" w:rsidRDefault="00A97FAE"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850F7F">
        <w:rPr>
          <w:rFonts w:asciiTheme="minorHAnsi" w:hAnsiTheme="minorHAnsi" w:cstheme="minorHAnsi"/>
          <w:sz w:val="24"/>
          <w:szCs w:val="24"/>
          <w:u w:val="single"/>
        </w:rPr>
        <w:t>K </w:t>
      </w:r>
      <w:r w:rsidR="008E4F82" w:rsidRPr="008E4F82">
        <w:rPr>
          <w:rFonts w:asciiTheme="minorHAnsi" w:hAnsiTheme="minorHAnsi" w:cstheme="minorHAnsi"/>
          <w:sz w:val="24"/>
          <w:szCs w:val="24"/>
          <w:u w:val="single"/>
        </w:rPr>
        <w:t>příloze č. 6, vysvětlivka k tabulku č. 7</w:t>
      </w:r>
    </w:p>
    <w:p w14:paraId="47111B8C" w14:textId="77777777" w:rsidR="008E4F82" w:rsidRPr="008E4F82" w:rsidRDefault="008E4F82" w:rsidP="001A3B5C">
      <w:pPr>
        <w:tabs>
          <w:tab w:val="left" w:pos="567"/>
        </w:tabs>
        <w:snapToGrid w:val="0"/>
        <w:jc w:val="both"/>
        <w:rPr>
          <w:rFonts w:asciiTheme="minorHAnsi" w:hAnsiTheme="minorHAnsi" w:cstheme="minorHAnsi"/>
          <w:bCs/>
          <w:color w:val="000000" w:themeColor="text1"/>
          <w:sz w:val="24"/>
          <w:szCs w:val="24"/>
        </w:rPr>
      </w:pPr>
      <w:r w:rsidRPr="008E4F82">
        <w:rPr>
          <w:rFonts w:asciiTheme="minorHAnsi" w:hAnsiTheme="minorHAnsi" w:cstheme="minorHAnsi"/>
          <w:bCs/>
          <w:color w:val="000000" w:themeColor="text1"/>
          <w:sz w:val="24"/>
          <w:szCs w:val="24"/>
        </w:rPr>
        <w:t>Požadujeme upravit následujícím způsobem.</w:t>
      </w:r>
    </w:p>
    <w:p w14:paraId="669AEBA3" w14:textId="46E09CEF" w:rsidR="001A3B5C" w:rsidRDefault="008E4F82" w:rsidP="001A3B5C">
      <w:pPr>
        <w:tabs>
          <w:tab w:val="left" w:pos="567"/>
        </w:tabs>
        <w:snapToGrid w:val="0"/>
        <w:jc w:val="both"/>
        <w:rPr>
          <w:rFonts w:asciiTheme="minorHAnsi" w:hAnsiTheme="minorHAnsi" w:cstheme="minorHAnsi"/>
          <w:bCs/>
          <w:i/>
          <w:sz w:val="24"/>
          <w:szCs w:val="24"/>
        </w:rPr>
      </w:pPr>
      <w:r w:rsidRPr="008E4F82">
        <w:rPr>
          <w:rFonts w:asciiTheme="minorHAnsi" w:hAnsiTheme="minorHAnsi" w:cstheme="minorHAnsi"/>
          <w:bCs/>
          <w:i/>
          <w:sz w:val="24"/>
          <w:szCs w:val="24"/>
        </w:rPr>
        <w:t xml:space="preserve">Uvedené pracovní charakteristiky metod pro jednotlivé pesticidy jsou orientační, protože je nelze ve všech případech dosáhnout. U některých pesticidů lze dosáhnout </w:t>
      </w:r>
      <w:r w:rsidRPr="008E4F82">
        <w:rPr>
          <w:rFonts w:asciiTheme="minorHAnsi" w:hAnsiTheme="minorHAnsi" w:cstheme="minorHAnsi"/>
          <w:bCs/>
          <w:i/>
          <w:strike/>
          <w:sz w:val="24"/>
          <w:szCs w:val="24"/>
        </w:rPr>
        <w:t>nejistoty</w:t>
      </w:r>
      <w:r w:rsidRPr="008E4F82">
        <w:rPr>
          <w:rFonts w:asciiTheme="minorHAnsi" w:hAnsiTheme="minorHAnsi" w:cstheme="minorHAnsi"/>
          <w:bCs/>
          <w:i/>
          <w:sz w:val="24"/>
          <w:szCs w:val="24"/>
        </w:rPr>
        <w:t xml:space="preserve"> měření na úrovni pouhých 30 %, u řady pesticidů mohou být povoleny vyšší hodnoty, a to až do 80 % limitní hodnoty.</w:t>
      </w:r>
    </w:p>
    <w:p w14:paraId="7F12FD4D" w14:textId="77777777" w:rsidR="001A3B5C" w:rsidRPr="001A3B5C" w:rsidRDefault="001A3B5C" w:rsidP="001A3B5C">
      <w:pPr>
        <w:tabs>
          <w:tab w:val="left" w:pos="567"/>
        </w:tabs>
        <w:snapToGrid w:val="0"/>
        <w:jc w:val="both"/>
        <w:rPr>
          <w:rFonts w:asciiTheme="minorHAnsi" w:hAnsiTheme="minorHAnsi" w:cstheme="minorHAnsi"/>
          <w:bCs/>
          <w:i/>
          <w:sz w:val="24"/>
          <w:szCs w:val="24"/>
        </w:rPr>
      </w:pPr>
    </w:p>
    <w:p w14:paraId="0AA60143" w14:textId="77777777" w:rsidR="008E4F82" w:rsidRPr="008E4F82" w:rsidRDefault="008E4F82"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8E4F82">
        <w:rPr>
          <w:rFonts w:asciiTheme="minorHAnsi" w:hAnsiTheme="minorHAnsi" w:cstheme="minorHAnsi"/>
          <w:b/>
          <w:sz w:val="24"/>
          <w:szCs w:val="24"/>
        </w:rPr>
        <w:t xml:space="preserve">Odůvodnění: </w:t>
      </w:r>
    </w:p>
    <w:p w14:paraId="1D8B13DA" w14:textId="77CEDD5C" w:rsidR="008E4F82" w:rsidRPr="008E4F82" w:rsidRDefault="008E4F82" w:rsidP="001A3B5C">
      <w:pPr>
        <w:pStyle w:val="Odstavecseseznamem"/>
        <w:tabs>
          <w:tab w:val="left" w:pos="567"/>
        </w:tabs>
        <w:snapToGrid w:val="0"/>
        <w:spacing w:after="0" w:line="240" w:lineRule="auto"/>
        <w:ind w:left="0"/>
        <w:contextualSpacing w:val="0"/>
        <w:jc w:val="both"/>
        <w:rPr>
          <w:rFonts w:asciiTheme="minorHAnsi" w:hAnsiTheme="minorHAnsi" w:cstheme="minorHAnsi"/>
          <w:color w:val="222222"/>
          <w:sz w:val="24"/>
          <w:szCs w:val="24"/>
          <w:lang w:eastAsia="cs-CZ"/>
        </w:rPr>
      </w:pPr>
      <w:r w:rsidRPr="008E4F82">
        <w:rPr>
          <w:rFonts w:asciiTheme="minorHAnsi" w:hAnsiTheme="minorHAnsi" w:cstheme="minorHAnsi"/>
          <w:color w:val="222222"/>
          <w:sz w:val="24"/>
          <w:szCs w:val="24"/>
          <w:lang w:eastAsia="cs-CZ"/>
        </w:rPr>
        <w:t>Pokud odstraníme slovo „nejistoty“, tak se poznámka vztahuje na mez stanovitelnosti i</w:t>
      </w:r>
      <w:r w:rsidR="001A3B5C">
        <w:rPr>
          <w:rFonts w:asciiTheme="minorHAnsi" w:hAnsiTheme="minorHAnsi" w:cstheme="minorHAnsi"/>
          <w:color w:val="222222"/>
          <w:sz w:val="24"/>
          <w:szCs w:val="24"/>
          <w:lang w:eastAsia="cs-CZ"/>
        </w:rPr>
        <w:t> </w:t>
      </w:r>
      <w:r w:rsidRPr="008E4F82">
        <w:rPr>
          <w:rFonts w:asciiTheme="minorHAnsi" w:hAnsiTheme="minorHAnsi" w:cstheme="minorHAnsi"/>
          <w:color w:val="222222"/>
          <w:sz w:val="24"/>
          <w:szCs w:val="24"/>
          <w:lang w:eastAsia="cs-CZ"/>
        </w:rPr>
        <w:t xml:space="preserve">nejistotu měření a toto bude vhodné pro zavádění nových pesticidních látek do rozsahů stanovení. Škála sledovaných pesticidních látek se neustále rozšiřuje dle aktuálně aplikovaných látek (případně se aktualizují poznatky z oblasti tvorby jejich metabolitů) a je </w:t>
      </w:r>
      <w:r w:rsidRPr="008E4F82">
        <w:rPr>
          <w:rFonts w:asciiTheme="minorHAnsi" w:hAnsiTheme="minorHAnsi" w:cstheme="minorHAnsi"/>
          <w:color w:val="222222"/>
          <w:sz w:val="24"/>
          <w:szCs w:val="24"/>
          <w:lang w:eastAsia="cs-CZ"/>
        </w:rPr>
        <w:lastRenderedPageBreak/>
        <w:t>vhodné, aby v laboratořích byl prostor pro zavádění nových látek do sledování, a to i pro případy, že by nebyla dosažena mez stanovitelnosti 30 %, byla o něco vyšší.</w:t>
      </w:r>
    </w:p>
    <w:p w14:paraId="5AFDE477" w14:textId="7B85419F" w:rsidR="00A97FAE" w:rsidRPr="00281F12" w:rsidRDefault="00A97FAE" w:rsidP="001A3B5C">
      <w:pPr>
        <w:pStyle w:val="Nzev"/>
        <w:pBdr>
          <w:bottom w:val="none" w:sz="0" w:space="0" w:color="auto"/>
        </w:pBdr>
        <w:snapToGrid w:val="0"/>
        <w:ind w:left="720"/>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t>Tato připomínka je zásadní.</w:t>
      </w:r>
    </w:p>
    <w:p w14:paraId="1D71755D" w14:textId="77777777" w:rsidR="00EE52E6" w:rsidRPr="00595DA9" w:rsidRDefault="00EE52E6" w:rsidP="001A3B5C">
      <w:pPr>
        <w:pStyle w:val="Nzev"/>
        <w:snapToGrid w:val="0"/>
        <w:jc w:val="both"/>
        <w:rPr>
          <w:rFonts w:asciiTheme="minorHAnsi" w:hAnsiTheme="minorHAnsi" w:cstheme="minorHAnsi"/>
          <w:sz w:val="24"/>
          <w:szCs w:val="24"/>
          <w:u w:val="single"/>
        </w:rPr>
      </w:pPr>
    </w:p>
    <w:p w14:paraId="6A3E6E48" w14:textId="77777777" w:rsidR="001A3B5C" w:rsidRDefault="001A3B5C" w:rsidP="001A3B5C">
      <w:pPr>
        <w:pStyle w:val="Nzev"/>
        <w:pBdr>
          <w:bottom w:val="none" w:sz="0" w:space="0" w:color="auto"/>
        </w:pBdr>
        <w:snapToGrid w:val="0"/>
        <w:ind w:left="720"/>
        <w:jc w:val="both"/>
        <w:rPr>
          <w:rFonts w:asciiTheme="minorHAnsi" w:hAnsiTheme="minorHAnsi" w:cstheme="minorHAnsi"/>
          <w:sz w:val="24"/>
          <w:szCs w:val="24"/>
          <w:u w:val="single"/>
        </w:rPr>
      </w:pPr>
    </w:p>
    <w:p w14:paraId="4118528D" w14:textId="4F1B6D56" w:rsidR="002B3640" w:rsidRPr="00E34481" w:rsidRDefault="00EE52E6"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850F7F">
        <w:rPr>
          <w:rFonts w:asciiTheme="minorHAnsi" w:hAnsiTheme="minorHAnsi" w:cstheme="minorHAnsi"/>
          <w:sz w:val="24"/>
          <w:szCs w:val="24"/>
          <w:u w:val="single"/>
        </w:rPr>
        <w:t>K </w:t>
      </w:r>
      <w:r w:rsidR="002B3640" w:rsidRPr="002B3640">
        <w:rPr>
          <w:rFonts w:asciiTheme="minorHAnsi" w:hAnsiTheme="minorHAnsi" w:cstheme="minorHAnsi"/>
          <w:sz w:val="24"/>
          <w:szCs w:val="24"/>
          <w:u w:val="single"/>
        </w:rPr>
        <w:t>příloze č. 7, Druhý odstavec</w:t>
      </w:r>
    </w:p>
    <w:p w14:paraId="5D23B6C0" w14:textId="77777777" w:rsidR="002B3640" w:rsidRPr="002B3640" w:rsidRDefault="002B3640" w:rsidP="001A3B5C">
      <w:pPr>
        <w:tabs>
          <w:tab w:val="left" w:pos="567"/>
        </w:tabs>
        <w:snapToGrid w:val="0"/>
        <w:jc w:val="both"/>
        <w:rPr>
          <w:rFonts w:asciiTheme="minorHAnsi" w:hAnsiTheme="minorHAnsi" w:cstheme="minorHAnsi"/>
          <w:bCs/>
          <w:color w:val="000000" w:themeColor="text1"/>
          <w:sz w:val="24"/>
          <w:szCs w:val="24"/>
        </w:rPr>
      </w:pPr>
      <w:r w:rsidRPr="002B3640">
        <w:rPr>
          <w:rFonts w:asciiTheme="minorHAnsi" w:hAnsiTheme="minorHAnsi" w:cstheme="minorHAnsi"/>
          <w:bCs/>
          <w:color w:val="000000" w:themeColor="text1"/>
          <w:sz w:val="24"/>
          <w:szCs w:val="24"/>
        </w:rPr>
        <w:t>Požadujeme upravit následujícím způsobem.</w:t>
      </w:r>
    </w:p>
    <w:p w14:paraId="3E26C130" w14:textId="77777777" w:rsidR="002B3640" w:rsidRPr="002B3640" w:rsidRDefault="002B3640" w:rsidP="001A3B5C">
      <w:pPr>
        <w:tabs>
          <w:tab w:val="left" w:pos="567"/>
        </w:tabs>
        <w:snapToGrid w:val="0"/>
        <w:jc w:val="both"/>
        <w:rPr>
          <w:rFonts w:asciiTheme="minorHAnsi" w:hAnsiTheme="minorHAnsi" w:cstheme="minorHAnsi"/>
          <w:bCs/>
          <w:i/>
          <w:iCs/>
          <w:color w:val="000000" w:themeColor="text1"/>
          <w:sz w:val="24"/>
          <w:szCs w:val="24"/>
        </w:rPr>
      </w:pPr>
      <w:r w:rsidRPr="002B3640">
        <w:rPr>
          <w:rFonts w:asciiTheme="minorHAnsi" w:hAnsiTheme="minorHAnsi" w:cstheme="minorHAnsi"/>
          <w:bCs/>
          <w:i/>
          <w:iCs/>
          <w:color w:val="000000" w:themeColor="text1"/>
          <w:sz w:val="24"/>
          <w:szCs w:val="24"/>
        </w:rPr>
        <w:t xml:space="preserve">„Pokud jsou identifikována nepřijatelná rizika, je součástí posouzení a řízení rizik v systému zásobování pitnou vodou návrh nápravných a kontrolních </w:t>
      </w:r>
      <w:r w:rsidRPr="002B3640">
        <w:rPr>
          <w:rFonts w:asciiTheme="minorHAnsi" w:hAnsiTheme="minorHAnsi" w:cstheme="minorHAnsi"/>
          <w:b/>
          <w:i/>
          <w:iCs/>
          <w:color w:val="000000" w:themeColor="text1"/>
          <w:sz w:val="24"/>
          <w:szCs w:val="24"/>
        </w:rPr>
        <w:t>opatření</w:t>
      </w:r>
      <w:r w:rsidRPr="002B3640">
        <w:rPr>
          <w:rFonts w:asciiTheme="minorHAnsi" w:hAnsiTheme="minorHAnsi" w:cstheme="minorHAnsi"/>
          <w:bCs/>
          <w:i/>
          <w:iCs/>
          <w:color w:val="000000" w:themeColor="text1"/>
          <w:sz w:val="24"/>
          <w:szCs w:val="24"/>
        </w:rPr>
        <w:t xml:space="preserve"> k předcházení nepřijatelným rizikům, popř. k jejich odstranění nebo podstatnému zmírnění. ... Validací dezinfekce se rozumí prokázání, že je použita schválená biocidní látka nebo metoda, a že aplikovaná dávka a čas působení zvoleného typu dezinfekce jsou dostatečné k usmrcení patogenních mikroorganismů přítomných v upravované vodě, a dále prokázání, že je použití chemické dezinfekce skutečně nutné s ohledem na zdravotní riziko jejích vedlejších produktů. </w:t>
      </w:r>
      <w:r w:rsidRPr="002B3640">
        <w:rPr>
          <w:rFonts w:asciiTheme="minorHAnsi" w:hAnsiTheme="minorHAnsi" w:cstheme="minorHAnsi"/>
          <w:b/>
          <w:i/>
          <w:iCs/>
          <w:color w:val="000000" w:themeColor="text1"/>
          <w:sz w:val="24"/>
          <w:szCs w:val="24"/>
        </w:rPr>
        <w:t xml:space="preserve">Předepsaný rozsah a způsob validace </w:t>
      </w:r>
      <w:proofErr w:type="gramStart"/>
      <w:r w:rsidRPr="002B3640">
        <w:rPr>
          <w:rFonts w:asciiTheme="minorHAnsi" w:hAnsiTheme="minorHAnsi" w:cstheme="minorHAnsi"/>
          <w:b/>
          <w:i/>
          <w:iCs/>
          <w:color w:val="000000" w:themeColor="text1"/>
          <w:sz w:val="24"/>
          <w:szCs w:val="24"/>
        </w:rPr>
        <w:t>desinfekce</w:t>
      </w:r>
      <w:proofErr w:type="gramEnd"/>
      <w:r w:rsidRPr="002B3640">
        <w:rPr>
          <w:rFonts w:asciiTheme="minorHAnsi" w:hAnsiTheme="minorHAnsi" w:cstheme="minorHAnsi"/>
          <w:b/>
          <w:i/>
          <w:iCs/>
          <w:color w:val="000000" w:themeColor="text1"/>
          <w:sz w:val="24"/>
          <w:szCs w:val="24"/>
        </w:rPr>
        <w:t xml:space="preserve"> stanoví Ministerstvo zdravotnictví metodickým pokynem.“</w:t>
      </w:r>
    </w:p>
    <w:p w14:paraId="6FCE1551" w14:textId="77777777" w:rsidR="002B3640" w:rsidRPr="002B3640" w:rsidRDefault="002B3640"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5014BE2F" w14:textId="77777777" w:rsidR="002B3640" w:rsidRPr="002B3640" w:rsidRDefault="002B3640"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2B3640">
        <w:rPr>
          <w:rFonts w:asciiTheme="minorHAnsi" w:hAnsiTheme="minorHAnsi" w:cstheme="minorHAnsi"/>
          <w:b/>
          <w:sz w:val="24"/>
          <w:szCs w:val="24"/>
        </w:rPr>
        <w:t xml:space="preserve">Odůvodnění: </w:t>
      </w:r>
    </w:p>
    <w:p w14:paraId="46D0F15B" w14:textId="77777777" w:rsidR="002B3640" w:rsidRPr="002B3640" w:rsidRDefault="002B3640"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2B3640">
        <w:rPr>
          <w:rFonts w:asciiTheme="minorHAnsi" w:hAnsiTheme="minorHAnsi" w:cstheme="minorHAnsi"/>
          <w:sz w:val="24"/>
          <w:szCs w:val="24"/>
        </w:rPr>
        <w:t>Není znám obecný postup tohoto nového požadavku. Je třeba diskuse odborné veřejnosti a vytvoření metodického pokynu pro postup validace dezinfekce. S tím souvisí i odložení účinnosti tohoto ustanovení (viz připomínka č. 13).</w:t>
      </w:r>
    </w:p>
    <w:p w14:paraId="2435AAA4" w14:textId="58C8198E" w:rsidR="00EE52E6" w:rsidRPr="00281F12" w:rsidRDefault="00EE52E6" w:rsidP="001A3B5C">
      <w:pPr>
        <w:pStyle w:val="Nzev"/>
        <w:pBdr>
          <w:bottom w:val="none" w:sz="0" w:space="0" w:color="auto"/>
        </w:pBdr>
        <w:snapToGrid w:val="0"/>
        <w:ind w:left="720"/>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t>Tato připomínka je zásadní.</w:t>
      </w:r>
    </w:p>
    <w:p w14:paraId="18EF6845" w14:textId="77777777" w:rsidR="002B3640" w:rsidRPr="00595DA9" w:rsidRDefault="002B3640" w:rsidP="001A3B5C">
      <w:pPr>
        <w:pStyle w:val="Nzev"/>
        <w:snapToGrid w:val="0"/>
        <w:jc w:val="both"/>
        <w:rPr>
          <w:rFonts w:asciiTheme="minorHAnsi" w:hAnsiTheme="minorHAnsi" w:cstheme="minorHAnsi"/>
          <w:sz w:val="24"/>
          <w:szCs w:val="24"/>
          <w:u w:val="single"/>
        </w:rPr>
      </w:pPr>
    </w:p>
    <w:p w14:paraId="0BD63F0D" w14:textId="77777777" w:rsidR="001A3B5C" w:rsidRDefault="001A3B5C" w:rsidP="001A3B5C">
      <w:pPr>
        <w:pStyle w:val="Nzev"/>
        <w:pBdr>
          <w:bottom w:val="none" w:sz="0" w:space="0" w:color="auto"/>
        </w:pBdr>
        <w:snapToGrid w:val="0"/>
        <w:ind w:left="720"/>
        <w:jc w:val="both"/>
        <w:rPr>
          <w:rFonts w:asciiTheme="minorHAnsi" w:hAnsiTheme="minorHAnsi" w:cstheme="minorHAnsi"/>
          <w:sz w:val="24"/>
          <w:szCs w:val="24"/>
          <w:u w:val="single"/>
        </w:rPr>
      </w:pPr>
    </w:p>
    <w:p w14:paraId="215985B7" w14:textId="7819AB87" w:rsidR="00E34481" w:rsidRPr="00E34481" w:rsidRDefault="002B3640" w:rsidP="001A3B5C">
      <w:pPr>
        <w:pStyle w:val="Nzev"/>
        <w:numPr>
          <w:ilvl w:val="0"/>
          <w:numId w:val="17"/>
        </w:numPr>
        <w:pBdr>
          <w:bottom w:val="none" w:sz="0" w:space="0" w:color="auto"/>
        </w:pBdr>
        <w:snapToGrid w:val="0"/>
        <w:jc w:val="both"/>
        <w:rPr>
          <w:rFonts w:asciiTheme="minorHAnsi" w:hAnsiTheme="minorHAnsi" w:cstheme="minorHAnsi"/>
          <w:sz w:val="24"/>
          <w:szCs w:val="24"/>
          <w:u w:val="single"/>
        </w:rPr>
      </w:pPr>
      <w:r w:rsidRPr="00850F7F">
        <w:rPr>
          <w:rFonts w:asciiTheme="minorHAnsi" w:hAnsiTheme="minorHAnsi" w:cstheme="minorHAnsi"/>
          <w:sz w:val="24"/>
          <w:szCs w:val="24"/>
          <w:u w:val="single"/>
        </w:rPr>
        <w:t>K </w:t>
      </w:r>
      <w:r w:rsidR="00E34481" w:rsidRPr="00E34481">
        <w:rPr>
          <w:rFonts w:asciiTheme="minorHAnsi" w:hAnsiTheme="minorHAnsi" w:cstheme="minorHAnsi"/>
          <w:sz w:val="24"/>
          <w:szCs w:val="24"/>
          <w:u w:val="single"/>
        </w:rPr>
        <w:t>čl. IV – Účinnost</w:t>
      </w:r>
    </w:p>
    <w:p w14:paraId="026B8292" w14:textId="77777777" w:rsidR="00E34481" w:rsidRPr="00E34481" w:rsidRDefault="00E34481" w:rsidP="001A3B5C">
      <w:pPr>
        <w:tabs>
          <w:tab w:val="left" w:pos="567"/>
        </w:tabs>
        <w:snapToGrid w:val="0"/>
        <w:jc w:val="both"/>
        <w:rPr>
          <w:rFonts w:asciiTheme="minorHAnsi" w:hAnsiTheme="minorHAnsi" w:cstheme="minorHAnsi"/>
          <w:bCs/>
          <w:color w:val="000000" w:themeColor="text1"/>
          <w:sz w:val="24"/>
          <w:szCs w:val="24"/>
        </w:rPr>
      </w:pPr>
      <w:r w:rsidRPr="00E34481">
        <w:rPr>
          <w:rFonts w:asciiTheme="minorHAnsi" w:hAnsiTheme="minorHAnsi" w:cstheme="minorHAnsi"/>
          <w:bCs/>
          <w:color w:val="000000" w:themeColor="text1"/>
          <w:sz w:val="24"/>
          <w:szCs w:val="24"/>
        </w:rPr>
        <w:t>Požadujeme upravit následujícím způsobem.</w:t>
      </w:r>
    </w:p>
    <w:p w14:paraId="717CBA48" w14:textId="77777777" w:rsidR="00E34481" w:rsidRPr="00E34481" w:rsidRDefault="00E34481" w:rsidP="001A3B5C">
      <w:pPr>
        <w:tabs>
          <w:tab w:val="left" w:pos="567"/>
        </w:tabs>
        <w:snapToGrid w:val="0"/>
        <w:jc w:val="both"/>
        <w:rPr>
          <w:rFonts w:asciiTheme="minorHAnsi" w:hAnsiTheme="minorHAnsi" w:cstheme="minorHAnsi"/>
          <w:bCs/>
          <w:i/>
          <w:iCs/>
          <w:color w:val="000000" w:themeColor="text1"/>
          <w:sz w:val="24"/>
          <w:szCs w:val="24"/>
        </w:rPr>
      </w:pPr>
      <w:r w:rsidRPr="00E34481">
        <w:rPr>
          <w:rFonts w:asciiTheme="minorHAnsi" w:hAnsiTheme="minorHAnsi" w:cstheme="minorHAnsi"/>
          <w:i/>
          <w:iCs/>
          <w:sz w:val="24"/>
          <w:szCs w:val="24"/>
        </w:rPr>
        <w:t xml:space="preserve">„Tato vyhláška nabývá účinnosti patnáctým dnem po jejím vyhlášení, s výjimkou čl. I bodu 15 tabulky B řádků 20, 29 a 52 a </w:t>
      </w:r>
      <w:proofErr w:type="spellStart"/>
      <w:proofErr w:type="gramStart"/>
      <w:r w:rsidRPr="00E34481">
        <w:rPr>
          <w:rFonts w:asciiTheme="minorHAnsi" w:hAnsiTheme="minorHAnsi" w:cstheme="minorHAnsi"/>
          <w:b/>
          <w:i/>
          <w:iCs/>
          <w:sz w:val="24"/>
          <w:szCs w:val="24"/>
        </w:rPr>
        <w:t>čl.I</w:t>
      </w:r>
      <w:proofErr w:type="spellEnd"/>
      <w:proofErr w:type="gramEnd"/>
      <w:r w:rsidRPr="00E34481">
        <w:rPr>
          <w:rFonts w:asciiTheme="minorHAnsi" w:hAnsiTheme="minorHAnsi" w:cstheme="minorHAnsi"/>
          <w:b/>
          <w:i/>
          <w:iCs/>
          <w:sz w:val="24"/>
          <w:szCs w:val="24"/>
        </w:rPr>
        <w:t xml:space="preserve"> bodu 37. Tabulka B – Úplný rozbor ukazatele 20, 29 a 52,</w:t>
      </w:r>
      <w:r w:rsidRPr="00E34481">
        <w:rPr>
          <w:rFonts w:asciiTheme="minorHAnsi" w:hAnsiTheme="minorHAnsi" w:cstheme="minorHAnsi"/>
          <w:i/>
          <w:iCs/>
          <w:sz w:val="24"/>
          <w:szCs w:val="24"/>
        </w:rPr>
        <w:t xml:space="preserve"> které nabývají účinnosti dne 13. ledna 2026. </w:t>
      </w:r>
      <w:r w:rsidRPr="00E34481">
        <w:rPr>
          <w:rFonts w:asciiTheme="minorHAnsi" w:hAnsiTheme="minorHAnsi" w:cstheme="minorHAnsi"/>
          <w:b/>
          <w:bCs/>
          <w:i/>
          <w:iCs/>
          <w:sz w:val="24"/>
          <w:szCs w:val="24"/>
        </w:rPr>
        <w:t>Ustanovení v textu nad tabulkou č. 1 v příloze 7, týkajících se validace dezinfekce, nabývá účinnosti patnáctým dnem po vydání příslušného metodického pokynu.</w:t>
      </w:r>
      <w:r w:rsidRPr="00E34481">
        <w:rPr>
          <w:rFonts w:asciiTheme="minorHAnsi" w:hAnsiTheme="minorHAnsi" w:cstheme="minorHAnsi"/>
          <w:i/>
          <w:iCs/>
          <w:sz w:val="24"/>
          <w:szCs w:val="24"/>
        </w:rPr>
        <w:t>“</w:t>
      </w:r>
    </w:p>
    <w:p w14:paraId="5903528B" w14:textId="77777777" w:rsidR="00E34481" w:rsidRPr="00E34481" w:rsidRDefault="00E3448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p>
    <w:p w14:paraId="6F828F1C" w14:textId="77777777" w:rsidR="00E34481" w:rsidRPr="00E34481" w:rsidRDefault="00E3448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E34481">
        <w:rPr>
          <w:rFonts w:asciiTheme="minorHAnsi" w:hAnsiTheme="minorHAnsi" w:cstheme="minorHAnsi"/>
          <w:b/>
          <w:sz w:val="24"/>
          <w:szCs w:val="24"/>
        </w:rPr>
        <w:t xml:space="preserve">Odůvodnění: </w:t>
      </w:r>
    </w:p>
    <w:p w14:paraId="7EB92598" w14:textId="77777777" w:rsidR="00E34481" w:rsidRPr="00E34481" w:rsidRDefault="00E34481" w:rsidP="001A3B5C">
      <w:pPr>
        <w:pStyle w:val="Odstavecseseznamem"/>
        <w:tabs>
          <w:tab w:val="left" w:pos="567"/>
        </w:tabs>
        <w:snapToGrid w:val="0"/>
        <w:spacing w:after="0" w:line="240" w:lineRule="auto"/>
        <w:ind w:left="0"/>
        <w:contextualSpacing w:val="0"/>
        <w:jc w:val="both"/>
        <w:rPr>
          <w:rFonts w:asciiTheme="minorHAnsi" w:hAnsiTheme="minorHAnsi" w:cstheme="minorHAnsi"/>
          <w:b/>
          <w:sz w:val="24"/>
          <w:szCs w:val="24"/>
        </w:rPr>
      </w:pPr>
      <w:r w:rsidRPr="00E34481">
        <w:rPr>
          <w:rFonts w:asciiTheme="minorHAnsi" w:hAnsiTheme="minorHAnsi" w:cstheme="minorHAnsi"/>
          <w:sz w:val="24"/>
          <w:szCs w:val="24"/>
        </w:rPr>
        <w:t>Vyjma odložení platnosti limitu pro uvedené ukazatele je třeba vypustit i jejich sledování v rámci úplných rozborů. Důvodem jsou kapacity a technické možnosti laboratoří pro zavedení nových ukazatelů (viz připomínka č. 12).</w:t>
      </w:r>
    </w:p>
    <w:p w14:paraId="48585CBB" w14:textId="1FE44550" w:rsidR="002B3640" w:rsidRPr="00281F12" w:rsidRDefault="002B3640" w:rsidP="001A3B5C">
      <w:pPr>
        <w:pStyle w:val="Nzev"/>
        <w:pBdr>
          <w:bottom w:val="none" w:sz="0" w:space="0" w:color="auto"/>
        </w:pBdr>
        <w:snapToGrid w:val="0"/>
        <w:ind w:left="720"/>
        <w:jc w:val="both"/>
        <w:rPr>
          <w:rFonts w:asciiTheme="minorHAnsi" w:hAnsiTheme="minorHAnsi" w:cstheme="minorHAnsi"/>
          <w:b w:val="0"/>
          <w:bCs/>
          <w:sz w:val="24"/>
          <w:szCs w:val="24"/>
        </w:rPr>
      </w:pPr>
      <w:r w:rsidRPr="00281F12">
        <w:rPr>
          <w:rFonts w:asciiTheme="minorHAnsi" w:hAnsiTheme="minorHAnsi" w:cstheme="minorHAnsi"/>
          <w:bCs/>
          <w:sz w:val="24"/>
          <w:szCs w:val="24"/>
          <w:u w:val="single"/>
        </w:rPr>
        <w:t>Tato připomínka je zásadní.</w:t>
      </w:r>
    </w:p>
    <w:p w14:paraId="34070015" w14:textId="38C80E98" w:rsidR="00715672" w:rsidRPr="00595DA9" w:rsidRDefault="00715672" w:rsidP="001A3B5C">
      <w:pPr>
        <w:pStyle w:val="Nzev"/>
        <w:snapToGrid w:val="0"/>
        <w:jc w:val="both"/>
        <w:rPr>
          <w:rFonts w:asciiTheme="minorHAnsi" w:hAnsiTheme="minorHAnsi" w:cstheme="minorHAnsi"/>
          <w:sz w:val="24"/>
          <w:szCs w:val="24"/>
          <w:u w:val="single"/>
        </w:rPr>
      </w:pPr>
    </w:p>
    <w:p w14:paraId="5E0A1827" w14:textId="77777777" w:rsidR="00FA1E76" w:rsidRDefault="00FA1E76" w:rsidP="001A3B5C">
      <w:pPr>
        <w:widowControl w:val="0"/>
        <w:autoSpaceDE w:val="0"/>
        <w:autoSpaceDN w:val="0"/>
        <w:adjustRightInd w:val="0"/>
        <w:snapToGrid w:val="0"/>
        <w:jc w:val="both"/>
        <w:rPr>
          <w:rFonts w:asciiTheme="minorHAnsi" w:hAnsiTheme="minorHAnsi" w:cstheme="minorHAnsi"/>
          <w:sz w:val="24"/>
          <w:szCs w:val="24"/>
          <w:u w:val="single"/>
        </w:rPr>
      </w:pPr>
    </w:p>
    <w:p w14:paraId="4771BF7F" w14:textId="612EDE11" w:rsidR="00116A85" w:rsidRPr="00595DA9" w:rsidRDefault="001932EA" w:rsidP="001A3B5C">
      <w:pPr>
        <w:widowControl w:val="0"/>
        <w:autoSpaceDE w:val="0"/>
        <w:autoSpaceDN w:val="0"/>
        <w:adjustRightInd w:val="0"/>
        <w:snapToGrid w:val="0"/>
        <w:jc w:val="both"/>
        <w:rPr>
          <w:rFonts w:asciiTheme="minorHAnsi" w:hAnsiTheme="minorHAnsi" w:cstheme="minorHAnsi"/>
          <w:sz w:val="24"/>
          <w:szCs w:val="24"/>
          <w:u w:val="single"/>
        </w:rPr>
      </w:pPr>
      <w:r w:rsidRPr="00595DA9">
        <w:rPr>
          <w:rFonts w:asciiTheme="minorHAnsi" w:hAnsiTheme="minorHAnsi" w:cstheme="minorHAnsi"/>
          <w:sz w:val="24"/>
          <w:szCs w:val="24"/>
          <w:u w:val="single"/>
        </w:rPr>
        <w:t>K</w:t>
      </w:r>
      <w:r w:rsidR="00116A85" w:rsidRPr="00595DA9">
        <w:rPr>
          <w:rFonts w:asciiTheme="minorHAnsi" w:hAnsiTheme="minorHAnsi" w:cstheme="minorHAnsi"/>
          <w:sz w:val="24"/>
          <w:szCs w:val="24"/>
          <w:u w:val="single"/>
        </w:rPr>
        <w:t>ontaktní osob</w:t>
      </w:r>
      <w:r w:rsidR="00C02026" w:rsidRPr="00595DA9">
        <w:rPr>
          <w:rFonts w:asciiTheme="minorHAnsi" w:hAnsiTheme="minorHAnsi" w:cstheme="minorHAnsi"/>
          <w:sz w:val="24"/>
          <w:szCs w:val="24"/>
          <w:u w:val="single"/>
        </w:rPr>
        <w:t>y</w:t>
      </w:r>
      <w:r w:rsidR="00116A85" w:rsidRPr="00595DA9">
        <w:rPr>
          <w:rFonts w:asciiTheme="minorHAnsi" w:hAnsiTheme="minorHAnsi" w:cstheme="minorHAnsi"/>
          <w:sz w:val="24"/>
          <w:szCs w:val="24"/>
          <w:u w:val="single"/>
        </w:rPr>
        <w:t>:</w:t>
      </w:r>
    </w:p>
    <w:p w14:paraId="1B6D934C" w14:textId="5E80E210" w:rsidR="00083AB6" w:rsidRPr="00595DA9" w:rsidRDefault="00083AB6" w:rsidP="001A3B5C">
      <w:pPr>
        <w:snapToGrid w:val="0"/>
        <w:jc w:val="both"/>
        <w:rPr>
          <w:rFonts w:asciiTheme="minorHAnsi" w:hAnsiTheme="minorHAnsi" w:cstheme="minorHAnsi"/>
          <w:sz w:val="24"/>
          <w:szCs w:val="24"/>
        </w:rPr>
      </w:pPr>
      <w:r w:rsidRPr="00083AB6">
        <w:rPr>
          <w:rFonts w:asciiTheme="minorHAnsi" w:hAnsiTheme="minorHAnsi" w:cstheme="minorHAnsi"/>
          <w:sz w:val="24"/>
          <w:szCs w:val="24"/>
        </w:rPr>
        <w:t>Mgr. Marcela Hrbáčková</w:t>
      </w:r>
      <w:r>
        <w:rPr>
          <w:rFonts w:asciiTheme="minorHAnsi" w:hAnsiTheme="minorHAnsi" w:cstheme="minorHAnsi"/>
          <w:sz w:val="24"/>
          <w:szCs w:val="24"/>
        </w:rPr>
        <w:tab/>
      </w:r>
      <w:r>
        <w:rPr>
          <w:rFonts w:asciiTheme="minorHAnsi" w:hAnsiTheme="minorHAnsi" w:cstheme="minorHAnsi"/>
          <w:sz w:val="24"/>
          <w:szCs w:val="24"/>
        </w:rPr>
        <w:tab/>
      </w:r>
      <w:r w:rsidR="00A2424E">
        <w:rPr>
          <w:rFonts w:asciiTheme="minorHAnsi" w:hAnsiTheme="minorHAnsi" w:cstheme="minorHAnsi"/>
          <w:sz w:val="24"/>
          <w:szCs w:val="24"/>
        </w:rPr>
        <w:t>e-</w:t>
      </w:r>
      <w:r w:rsidRPr="00595DA9">
        <w:rPr>
          <w:rFonts w:asciiTheme="minorHAnsi" w:hAnsiTheme="minorHAnsi" w:cstheme="minorHAnsi"/>
          <w:sz w:val="24"/>
          <w:szCs w:val="24"/>
        </w:rPr>
        <w:t>mail:</w:t>
      </w:r>
      <w:r w:rsidR="00A2424E">
        <w:rPr>
          <w:rFonts w:asciiTheme="minorHAnsi" w:hAnsiTheme="minorHAnsi" w:cstheme="minorHAnsi"/>
          <w:sz w:val="24"/>
          <w:szCs w:val="24"/>
        </w:rPr>
        <w:tab/>
      </w:r>
      <w:hyperlink r:id="rId11" w:history="1">
        <w:r w:rsidRPr="00595DA9">
          <w:rPr>
            <w:rStyle w:val="Hypertextovodkaz"/>
            <w:rFonts w:asciiTheme="minorHAnsi" w:hAnsiTheme="minorHAnsi" w:cstheme="minorHAnsi"/>
            <w:sz w:val="24"/>
            <w:szCs w:val="24"/>
          </w:rPr>
          <w:t>m.hrbackova@gmail.</w:t>
        </w:r>
        <w:r w:rsidRPr="00035F14">
          <w:rPr>
            <w:rStyle w:val="Hypertextovodkaz"/>
            <w:rFonts w:asciiTheme="minorHAnsi" w:hAnsiTheme="minorHAnsi" w:cstheme="minorHAnsi"/>
            <w:sz w:val="24"/>
            <w:szCs w:val="24"/>
          </w:rPr>
          <w:t>com</w:t>
        </w:r>
      </w:hyperlink>
      <w:r w:rsidR="00035F14">
        <w:rPr>
          <w:rStyle w:val="Hypertextovodkaz"/>
          <w:rFonts w:asciiTheme="minorHAnsi" w:hAnsiTheme="minorHAnsi" w:cstheme="minorHAnsi"/>
          <w:sz w:val="24"/>
          <w:szCs w:val="24"/>
          <w:u w:val="none"/>
        </w:rPr>
        <w:tab/>
      </w:r>
      <w:r w:rsidR="00CB65D2">
        <w:rPr>
          <w:rStyle w:val="Hypertextovodkaz"/>
          <w:rFonts w:asciiTheme="minorHAnsi" w:hAnsiTheme="minorHAnsi" w:cstheme="minorHAnsi"/>
          <w:sz w:val="24"/>
          <w:szCs w:val="24"/>
          <w:u w:val="none"/>
        </w:rPr>
        <w:t>t</w:t>
      </w:r>
      <w:r w:rsidRPr="00A2424E">
        <w:rPr>
          <w:rFonts w:asciiTheme="minorHAnsi" w:hAnsiTheme="minorHAnsi" w:cstheme="minorHAnsi"/>
          <w:sz w:val="24"/>
          <w:szCs w:val="24"/>
        </w:rPr>
        <w:t>el</w:t>
      </w:r>
      <w:r w:rsidRPr="00595DA9">
        <w:rPr>
          <w:rFonts w:asciiTheme="minorHAnsi" w:hAnsiTheme="minorHAnsi" w:cstheme="minorHAnsi"/>
          <w:sz w:val="24"/>
          <w:szCs w:val="24"/>
        </w:rPr>
        <w:t>:</w:t>
      </w:r>
      <w:r w:rsidR="00CB65D2">
        <w:rPr>
          <w:rFonts w:asciiTheme="minorHAnsi" w:hAnsiTheme="minorHAnsi" w:cstheme="minorHAnsi"/>
          <w:sz w:val="24"/>
          <w:szCs w:val="24"/>
        </w:rPr>
        <w:tab/>
      </w:r>
      <w:r w:rsidRPr="00595DA9">
        <w:rPr>
          <w:rFonts w:asciiTheme="minorHAnsi" w:hAnsiTheme="minorHAnsi" w:cstheme="minorHAnsi"/>
          <w:sz w:val="24"/>
          <w:szCs w:val="24"/>
        </w:rPr>
        <w:t>775 856</w:t>
      </w:r>
      <w:r>
        <w:rPr>
          <w:rFonts w:asciiTheme="minorHAnsi" w:hAnsiTheme="minorHAnsi" w:cstheme="minorHAnsi"/>
          <w:sz w:val="24"/>
          <w:szCs w:val="24"/>
        </w:rPr>
        <w:t> </w:t>
      </w:r>
      <w:r w:rsidRPr="00595DA9">
        <w:rPr>
          <w:rFonts w:asciiTheme="minorHAnsi" w:hAnsiTheme="minorHAnsi" w:cstheme="minorHAnsi"/>
          <w:sz w:val="24"/>
          <w:szCs w:val="24"/>
        </w:rPr>
        <w:t>615</w:t>
      </w:r>
    </w:p>
    <w:p w14:paraId="6AA718CE" w14:textId="407A2AD3" w:rsidR="00116A85" w:rsidRPr="00595DA9" w:rsidRDefault="00B17C0F" w:rsidP="001A3B5C">
      <w:pPr>
        <w:pStyle w:val="indent"/>
        <w:shd w:val="clear" w:color="auto" w:fill="FFFFFF"/>
        <w:snapToGrid w:val="0"/>
        <w:spacing w:before="0" w:after="0"/>
        <w:ind w:firstLine="0"/>
        <w:textAlignment w:val="top"/>
        <w:rPr>
          <w:rFonts w:asciiTheme="minorHAnsi" w:hAnsiTheme="minorHAnsi" w:cstheme="minorHAnsi"/>
        </w:rPr>
      </w:pPr>
      <w:r w:rsidRPr="00595DA9">
        <w:rPr>
          <w:rFonts w:asciiTheme="minorHAnsi" w:hAnsiTheme="minorHAnsi" w:cstheme="minorHAnsi"/>
        </w:rPr>
        <w:t>Dr.</w:t>
      </w:r>
      <w:r w:rsidR="00116A85" w:rsidRPr="00595DA9">
        <w:rPr>
          <w:rFonts w:asciiTheme="minorHAnsi" w:hAnsiTheme="minorHAnsi" w:cstheme="minorHAnsi"/>
        </w:rPr>
        <w:t xml:space="preserve"> Jan Zikeš</w:t>
      </w:r>
      <w:r w:rsidR="00C02026" w:rsidRPr="00595DA9">
        <w:rPr>
          <w:rFonts w:asciiTheme="minorHAnsi" w:hAnsiTheme="minorHAnsi" w:cstheme="minorHAnsi"/>
        </w:rPr>
        <w:tab/>
      </w:r>
      <w:r w:rsidR="00C02026" w:rsidRPr="00595DA9">
        <w:rPr>
          <w:rFonts w:asciiTheme="minorHAnsi" w:hAnsiTheme="minorHAnsi" w:cstheme="minorHAnsi"/>
        </w:rPr>
        <w:tab/>
      </w:r>
      <w:r w:rsidR="007D6A55" w:rsidRPr="00595DA9">
        <w:rPr>
          <w:rFonts w:asciiTheme="minorHAnsi" w:hAnsiTheme="minorHAnsi" w:cstheme="minorHAnsi"/>
        </w:rPr>
        <w:tab/>
      </w:r>
      <w:r w:rsidR="00F52BC5" w:rsidRPr="00595DA9">
        <w:rPr>
          <w:rFonts w:asciiTheme="minorHAnsi" w:hAnsiTheme="minorHAnsi" w:cstheme="minorHAnsi"/>
        </w:rPr>
        <w:tab/>
      </w:r>
      <w:r w:rsidR="00116A85" w:rsidRPr="00595DA9">
        <w:rPr>
          <w:rFonts w:asciiTheme="minorHAnsi" w:hAnsiTheme="minorHAnsi" w:cstheme="minorHAnsi"/>
        </w:rPr>
        <w:t>e</w:t>
      </w:r>
      <w:r w:rsidR="001932EA" w:rsidRPr="00595DA9">
        <w:rPr>
          <w:rFonts w:asciiTheme="minorHAnsi" w:hAnsiTheme="minorHAnsi" w:cstheme="minorHAnsi"/>
        </w:rPr>
        <w:t>-</w:t>
      </w:r>
      <w:r w:rsidR="00116A85" w:rsidRPr="00595DA9">
        <w:rPr>
          <w:rFonts w:asciiTheme="minorHAnsi" w:hAnsiTheme="minorHAnsi" w:cstheme="minorHAnsi"/>
        </w:rPr>
        <w:t>mail:</w:t>
      </w:r>
      <w:r w:rsidR="00B62EFD" w:rsidRPr="00595DA9">
        <w:rPr>
          <w:rFonts w:asciiTheme="minorHAnsi" w:hAnsiTheme="minorHAnsi" w:cstheme="minorHAnsi"/>
        </w:rPr>
        <w:tab/>
      </w:r>
      <w:hyperlink r:id="rId12" w:history="1">
        <w:r w:rsidR="00116A85" w:rsidRPr="00595DA9">
          <w:rPr>
            <w:rStyle w:val="Hypertextovodkaz"/>
            <w:rFonts w:asciiTheme="minorHAnsi" w:hAnsiTheme="minorHAnsi" w:cstheme="minorHAnsi"/>
          </w:rPr>
          <w:t>zikes@kzps.cz</w:t>
        </w:r>
      </w:hyperlink>
      <w:r w:rsidR="00C02026" w:rsidRPr="00595DA9">
        <w:rPr>
          <w:rFonts w:asciiTheme="minorHAnsi" w:hAnsiTheme="minorHAnsi" w:cstheme="minorHAnsi"/>
        </w:rPr>
        <w:tab/>
      </w:r>
      <w:r w:rsidR="00C02026" w:rsidRPr="00595DA9">
        <w:rPr>
          <w:rFonts w:asciiTheme="minorHAnsi" w:hAnsiTheme="minorHAnsi" w:cstheme="minorHAnsi"/>
        </w:rPr>
        <w:tab/>
      </w:r>
      <w:r w:rsidR="00680FD8" w:rsidRPr="00595DA9">
        <w:rPr>
          <w:rFonts w:asciiTheme="minorHAnsi" w:hAnsiTheme="minorHAnsi" w:cstheme="minorHAnsi"/>
        </w:rPr>
        <w:tab/>
      </w:r>
      <w:r w:rsidR="00116A85" w:rsidRPr="00595DA9">
        <w:rPr>
          <w:rFonts w:asciiTheme="minorHAnsi" w:hAnsiTheme="minorHAnsi" w:cstheme="minorHAnsi"/>
        </w:rPr>
        <w:t>tel:</w:t>
      </w:r>
      <w:r w:rsidR="00D442C1" w:rsidRPr="00595DA9">
        <w:rPr>
          <w:rFonts w:asciiTheme="minorHAnsi" w:hAnsiTheme="minorHAnsi" w:cstheme="minorHAnsi"/>
        </w:rPr>
        <w:tab/>
      </w:r>
      <w:r w:rsidR="00C02026" w:rsidRPr="00595DA9">
        <w:rPr>
          <w:rFonts w:asciiTheme="minorHAnsi" w:hAnsiTheme="minorHAnsi" w:cstheme="minorHAnsi"/>
        </w:rPr>
        <w:t>222 324</w:t>
      </w:r>
      <w:r w:rsidR="00FA1E76">
        <w:rPr>
          <w:rFonts w:asciiTheme="minorHAnsi" w:hAnsiTheme="minorHAnsi" w:cstheme="minorHAnsi"/>
        </w:rPr>
        <w:t> </w:t>
      </w:r>
      <w:r w:rsidR="00C02026" w:rsidRPr="00595DA9">
        <w:rPr>
          <w:rFonts w:asciiTheme="minorHAnsi" w:hAnsiTheme="minorHAnsi" w:cstheme="minorHAnsi"/>
        </w:rPr>
        <w:t>985</w:t>
      </w:r>
    </w:p>
    <w:p w14:paraId="3A942A7D" w14:textId="77777777" w:rsidR="00FA1E76" w:rsidRPr="00595DA9" w:rsidRDefault="00FA1E76" w:rsidP="001A3B5C">
      <w:pPr>
        <w:snapToGrid w:val="0"/>
        <w:jc w:val="both"/>
        <w:rPr>
          <w:rFonts w:asciiTheme="minorHAnsi" w:hAnsiTheme="minorHAnsi" w:cstheme="minorHAnsi"/>
          <w:sz w:val="24"/>
          <w:szCs w:val="24"/>
        </w:rPr>
      </w:pPr>
    </w:p>
    <w:p w14:paraId="66FB6E07" w14:textId="48546C81" w:rsidR="00FD1397" w:rsidRDefault="009A436D" w:rsidP="001A3B5C">
      <w:pPr>
        <w:snapToGrid w:val="0"/>
        <w:jc w:val="both"/>
        <w:rPr>
          <w:rFonts w:asciiTheme="minorHAnsi" w:hAnsiTheme="minorHAnsi" w:cstheme="minorHAnsi"/>
          <w:sz w:val="24"/>
          <w:szCs w:val="24"/>
        </w:rPr>
      </w:pPr>
      <w:r w:rsidRPr="00595DA9">
        <w:rPr>
          <w:rFonts w:asciiTheme="minorHAnsi" w:hAnsiTheme="minorHAnsi" w:cstheme="minorHAnsi"/>
          <w:sz w:val="24"/>
          <w:szCs w:val="24"/>
        </w:rPr>
        <w:t>V Praze dne</w:t>
      </w:r>
      <w:r w:rsidR="00E140D6" w:rsidRPr="00595DA9">
        <w:rPr>
          <w:rFonts w:asciiTheme="minorHAnsi" w:hAnsiTheme="minorHAnsi" w:cstheme="minorHAnsi"/>
          <w:sz w:val="24"/>
          <w:szCs w:val="24"/>
        </w:rPr>
        <w:t xml:space="preserve"> </w:t>
      </w:r>
      <w:r w:rsidR="00EC0690">
        <w:rPr>
          <w:rFonts w:asciiTheme="minorHAnsi" w:hAnsiTheme="minorHAnsi" w:cstheme="minorHAnsi"/>
          <w:sz w:val="24"/>
          <w:szCs w:val="24"/>
        </w:rPr>
        <w:t>2. června</w:t>
      </w:r>
      <w:r w:rsidR="00CF3AB9" w:rsidRPr="00595DA9">
        <w:rPr>
          <w:rFonts w:asciiTheme="minorHAnsi" w:hAnsiTheme="minorHAnsi" w:cstheme="minorHAnsi"/>
          <w:sz w:val="24"/>
          <w:szCs w:val="24"/>
        </w:rPr>
        <w:t xml:space="preserve"> 2023</w:t>
      </w:r>
    </w:p>
    <w:p w14:paraId="138D9AF2" w14:textId="77777777" w:rsidR="00EC0690" w:rsidRDefault="00EC0690" w:rsidP="001A3B5C">
      <w:pPr>
        <w:snapToGrid w:val="0"/>
        <w:jc w:val="both"/>
        <w:rPr>
          <w:rFonts w:asciiTheme="minorHAnsi" w:hAnsiTheme="minorHAnsi" w:cstheme="minorHAnsi"/>
          <w:sz w:val="24"/>
          <w:szCs w:val="24"/>
        </w:rPr>
      </w:pPr>
    </w:p>
    <w:p w14:paraId="56B8F675" w14:textId="686D61F4" w:rsidR="006266A6" w:rsidRPr="00595DA9" w:rsidRDefault="00BF1917" w:rsidP="001A3B5C">
      <w:pPr>
        <w:snapToGrid w:val="0"/>
        <w:rPr>
          <w:rFonts w:asciiTheme="minorHAnsi" w:hAnsiTheme="minorHAnsi" w:cstheme="minorHAnsi"/>
          <w:b/>
          <w:sz w:val="24"/>
          <w:szCs w:val="24"/>
        </w:rPr>
      </w:pPr>
      <w:r w:rsidRPr="00595DA9">
        <w:rPr>
          <w:rFonts w:asciiTheme="minorHAnsi" w:hAnsiTheme="minorHAnsi" w:cstheme="minorHAnsi"/>
          <w:sz w:val="24"/>
          <w:szCs w:val="24"/>
        </w:rPr>
        <w:t xml:space="preserve"> </w:t>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2A28AB" w:rsidRPr="00595DA9">
        <w:rPr>
          <w:rFonts w:asciiTheme="minorHAnsi" w:hAnsiTheme="minorHAnsi" w:cstheme="minorHAnsi"/>
          <w:sz w:val="24"/>
          <w:szCs w:val="24"/>
        </w:rPr>
        <w:tab/>
      </w:r>
      <w:r w:rsidR="002A28AB" w:rsidRPr="00595DA9">
        <w:rPr>
          <w:rFonts w:asciiTheme="minorHAnsi" w:hAnsiTheme="minorHAnsi" w:cstheme="minorHAnsi"/>
          <w:b/>
          <w:sz w:val="24"/>
          <w:szCs w:val="24"/>
        </w:rPr>
        <w:t xml:space="preserve">        </w:t>
      </w:r>
      <w:r w:rsidR="00F645E4" w:rsidRPr="00595DA9">
        <w:rPr>
          <w:rFonts w:asciiTheme="minorHAnsi" w:hAnsiTheme="minorHAnsi" w:cstheme="minorHAnsi"/>
          <w:b/>
          <w:sz w:val="24"/>
          <w:szCs w:val="24"/>
        </w:rPr>
        <w:t>Jan W i e s n e r</w:t>
      </w:r>
    </w:p>
    <w:p w14:paraId="10D3C045" w14:textId="77777777" w:rsidR="00D93E30" w:rsidRPr="00595DA9" w:rsidRDefault="00875CDF" w:rsidP="001A3B5C">
      <w:pPr>
        <w:snapToGrid w:val="0"/>
        <w:rPr>
          <w:rFonts w:asciiTheme="minorHAnsi" w:hAnsiTheme="minorHAnsi" w:cstheme="minorHAnsi"/>
          <w:sz w:val="24"/>
          <w:szCs w:val="24"/>
        </w:rPr>
      </w:pPr>
      <w:r w:rsidRPr="00595DA9">
        <w:rPr>
          <w:rFonts w:asciiTheme="minorHAnsi" w:hAnsiTheme="minorHAnsi" w:cstheme="minorHAnsi"/>
          <w:sz w:val="24"/>
          <w:szCs w:val="24"/>
        </w:rPr>
        <w:tab/>
      </w:r>
      <w:r w:rsidRPr="00595DA9">
        <w:rPr>
          <w:rFonts w:asciiTheme="minorHAnsi" w:hAnsiTheme="minorHAnsi" w:cstheme="minorHAnsi"/>
          <w:sz w:val="24"/>
          <w:szCs w:val="24"/>
        </w:rPr>
        <w:tab/>
        <w:t xml:space="preserve">                                                   </w:t>
      </w:r>
      <w:r w:rsidR="00F645E4" w:rsidRPr="00595DA9">
        <w:rPr>
          <w:rFonts w:asciiTheme="minorHAnsi" w:hAnsiTheme="minorHAnsi" w:cstheme="minorHAnsi"/>
          <w:sz w:val="24"/>
          <w:szCs w:val="24"/>
        </w:rPr>
        <w:t xml:space="preserve"> </w:t>
      </w:r>
      <w:r w:rsidR="00BF1917" w:rsidRPr="00595DA9">
        <w:rPr>
          <w:rFonts w:asciiTheme="minorHAnsi" w:hAnsiTheme="minorHAnsi" w:cstheme="minorHAnsi"/>
          <w:sz w:val="24"/>
          <w:szCs w:val="24"/>
        </w:rPr>
        <w:t xml:space="preserve">                        </w:t>
      </w:r>
      <w:r w:rsidR="00E825FB" w:rsidRPr="00595DA9">
        <w:rPr>
          <w:rFonts w:asciiTheme="minorHAnsi" w:hAnsiTheme="minorHAnsi" w:cstheme="minorHAnsi"/>
          <w:sz w:val="24"/>
          <w:szCs w:val="24"/>
        </w:rPr>
        <w:tab/>
      </w:r>
      <w:r w:rsidR="00E825FB" w:rsidRPr="00595DA9">
        <w:rPr>
          <w:rFonts w:asciiTheme="minorHAnsi" w:hAnsiTheme="minorHAnsi" w:cstheme="minorHAnsi"/>
          <w:sz w:val="24"/>
          <w:szCs w:val="24"/>
        </w:rPr>
        <w:tab/>
      </w:r>
      <w:r w:rsidR="002A28AB" w:rsidRPr="00595DA9">
        <w:rPr>
          <w:rFonts w:asciiTheme="minorHAnsi" w:hAnsiTheme="minorHAnsi" w:cstheme="minorHAnsi"/>
          <w:sz w:val="24"/>
          <w:szCs w:val="24"/>
        </w:rPr>
        <w:tab/>
        <w:t xml:space="preserve">        </w:t>
      </w:r>
      <w:r w:rsidR="007D7760" w:rsidRPr="00595DA9">
        <w:rPr>
          <w:rFonts w:asciiTheme="minorHAnsi" w:hAnsiTheme="minorHAnsi" w:cstheme="minorHAnsi"/>
          <w:sz w:val="24"/>
          <w:szCs w:val="24"/>
        </w:rPr>
        <w:t xml:space="preserve"> </w:t>
      </w:r>
      <w:r w:rsidR="002A28AB" w:rsidRPr="00595DA9">
        <w:rPr>
          <w:rFonts w:asciiTheme="minorHAnsi" w:hAnsiTheme="minorHAnsi" w:cstheme="minorHAnsi"/>
          <w:sz w:val="24"/>
          <w:szCs w:val="24"/>
        </w:rPr>
        <w:t xml:space="preserve">    </w:t>
      </w:r>
      <w:r w:rsidR="004016A2" w:rsidRPr="00595DA9">
        <w:rPr>
          <w:rFonts w:asciiTheme="minorHAnsi" w:hAnsiTheme="minorHAnsi" w:cstheme="minorHAnsi"/>
          <w:sz w:val="24"/>
          <w:szCs w:val="24"/>
        </w:rPr>
        <w:t>prezident</w:t>
      </w:r>
    </w:p>
    <w:sectPr w:rsidR="00D93E30" w:rsidRPr="00595DA9"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ABD2" w14:textId="77777777" w:rsidR="00C133F9" w:rsidRDefault="00C133F9">
      <w:r>
        <w:separator/>
      </w:r>
    </w:p>
    <w:p w14:paraId="278146DF" w14:textId="77777777" w:rsidR="00C133F9" w:rsidRDefault="00C133F9"/>
  </w:endnote>
  <w:endnote w:type="continuationSeparator" w:id="0">
    <w:p w14:paraId="04797274" w14:textId="77777777" w:rsidR="00C133F9" w:rsidRDefault="00C133F9">
      <w:r>
        <w:continuationSeparator/>
      </w:r>
    </w:p>
    <w:p w14:paraId="422886E2" w14:textId="77777777" w:rsidR="00C133F9" w:rsidRDefault="00C13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6FF" w:usb1="4000FCFF" w:usb2="0000000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1D6D" w14:textId="77777777" w:rsidR="00C133F9" w:rsidRDefault="00C133F9">
      <w:r>
        <w:separator/>
      </w:r>
    </w:p>
    <w:p w14:paraId="42A98F87" w14:textId="77777777" w:rsidR="00C133F9" w:rsidRDefault="00C133F9"/>
  </w:footnote>
  <w:footnote w:type="continuationSeparator" w:id="0">
    <w:p w14:paraId="13A33483" w14:textId="77777777" w:rsidR="00C133F9" w:rsidRDefault="00C133F9">
      <w:r>
        <w:continuationSeparator/>
      </w:r>
    </w:p>
    <w:p w14:paraId="77224726" w14:textId="77777777" w:rsidR="00C133F9" w:rsidRDefault="00C13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5A63C7"/>
    <w:multiLevelType w:val="hybridMultilevel"/>
    <w:tmpl w:val="D3D07DCA"/>
    <w:lvl w:ilvl="0" w:tplc="4F8ABA5A">
      <w:start w:val="1"/>
      <w:numFmt w:val="decimal"/>
      <w:lvlText w:val="%1."/>
      <w:lvlJc w:val="left"/>
      <w:pPr>
        <w:ind w:left="720" w:hanging="360"/>
      </w:pPr>
      <w:rPr>
        <w:rFonts w:asciiTheme="minorHAnsi" w:hAnsiTheme="minorHAnsi" w:cstheme="minorHAnsi" w:hint="default"/>
        <w:b/>
        <w:bCs/>
        <w:color w:val="000000" w:themeColor="text1"/>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2EB11DE"/>
    <w:multiLevelType w:val="hybridMultilevel"/>
    <w:tmpl w:val="D3D07DCA"/>
    <w:lvl w:ilvl="0" w:tplc="FFFFFFFF">
      <w:start w:val="1"/>
      <w:numFmt w:val="decimal"/>
      <w:lvlText w:val="%1."/>
      <w:lvlJc w:val="left"/>
      <w:pPr>
        <w:ind w:left="720" w:hanging="360"/>
      </w:pPr>
      <w:rPr>
        <w:rFonts w:asciiTheme="minorHAnsi" w:hAnsiTheme="minorHAnsi" w:cstheme="minorHAnsi" w:hint="default"/>
        <w:b/>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8"/>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1"/>
  </w:num>
  <w:num w:numId="16" w16cid:durableId="422183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336027">
    <w:abstractNumId w:val="13"/>
  </w:num>
  <w:num w:numId="18" w16cid:durableId="1507942712">
    <w:abstractNumId w:val="19"/>
  </w:num>
  <w:num w:numId="19" w16cid:durableId="1977758082">
    <w:abstractNumId w:val="1"/>
  </w:num>
  <w:num w:numId="20" w16cid:durableId="338125009">
    <w:abstractNumId w:val="4"/>
  </w:num>
  <w:num w:numId="21" w16cid:durableId="74738370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5F14"/>
    <w:rsid w:val="0003614B"/>
    <w:rsid w:val="00042DCF"/>
    <w:rsid w:val="00045C43"/>
    <w:rsid w:val="00053079"/>
    <w:rsid w:val="000741DD"/>
    <w:rsid w:val="0007717A"/>
    <w:rsid w:val="00083AB6"/>
    <w:rsid w:val="00090C74"/>
    <w:rsid w:val="00094A96"/>
    <w:rsid w:val="00097BCC"/>
    <w:rsid w:val="000C19E5"/>
    <w:rsid w:val="000C3419"/>
    <w:rsid w:val="000C398B"/>
    <w:rsid w:val="000C5141"/>
    <w:rsid w:val="000C5666"/>
    <w:rsid w:val="000C7FEB"/>
    <w:rsid w:val="000D0DB3"/>
    <w:rsid w:val="000D268A"/>
    <w:rsid w:val="000D3732"/>
    <w:rsid w:val="000E4E55"/>
    <w:rsid w:val="000E67FD"/>
    <w:rsid w:val="000F0D0C"/>
    <w:rsid w:val="000F41EE"/>
    <w:rsid w:val="000F57D3"/>
    <w:rsid w:val="000F5A2C"/>
    <w:rsid w:val="000F5B67"/>
    <w:rsid w:val="000F7E01"/>
    <w:rsid w:val="00103B71"/>
    <w:rsid w:val="00104230"/>
    <w:rsid w:val="001111BD"/>
    <w:rsid w:val="00114A03"/>
    <w:rsid w:val="00116A85"/>
    <w:rsid w:val="00116FEC"/>
    <w:rsid w:val="001204D1"/>
    <w:rsid w:val="00121AA2"/>
    <w:rsid w:val="00123E03"/>
    <w:rsid w:val="00124FA4"/>
    <w:rsid w:val="00134CF7"/>
    <w:rsid w:val="001378DB"/>
    <w:rsid w:val="00143656"/>
    <w:rsid w:val="00153A9A"/>
    <w:rsid w:val="001551F1"/>
    <w:rsid w:val="00157AC8"/>
    <w:rsid w:val="00161450"/>
    <w:rsid w:val="00161CD9"/>
    <w:rsid w:val="00173CFC"/>
    <w:rsid w:val="00173E77"/>
    <w:rsid w:val="00185976"/>
    <w:rsid w:val="00186AA1"/>
    <w:rsid w:val="001871D2"/>
    <w:rsid w:val="001932EA"/>
    <w:rsid w:val="00194030"/>
    <w:rsid w:val="00197D36"/>
    <w:rsid w:val="001A3B5C"/>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1F12"/>
    <w:rsid w:val="00283974"/>
    <w:rsid w:val="00284BA6"/>
    <w:rsid w:val="00286143"/>
    <w:rsid w:val="0029687F"/>
    <w:rsid w:val="002A28AB"/>
    <w:rsid w:val="002A7D42"/>
    <w:rsid w:val="002B3640"/>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82143"/>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5DA9"/>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15672"/>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A6EA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AFD"/>
    <w:rsid w:val="00811E90"/>
    <w:rsid w:val="00812DC6"/>
    <w:rsid w:val="00821A80"/>
    <w:rsid w:val="0082559E"/>
    <w:rsid w:val="00830898"/>
    <w:rsid w:val="00842209"/>
    <w:rsid w:val="008431B4"/>
    <w:rsid w:val="00844379"/>
    <w:rsid w:val="00844CC8"/>
    <w:rsid w:val="00850F7F"/>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1488"/>
    <w:rsid w:val="008B4288"/>
    <w:rsid w:val="008B4AE7"/>
    <w:rsid w:val="008C1B6B"/>
    <w:rsid w:val="008D20DF"/>
    <w:rsid w:val="008E0820"/>
    <w:rsid w:val="008E4725"/>
    <w:rsid w:val="008E4F82"/>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1C66"/>
    <w:rsid w:val="009E4828"/>
    <w:rsid w:val="009E57AB"/>
    <w:rsid w:val="009E7205"/>
    <w:rsid w:val="009E7412"/>
    <w:rsid w:val="00A007E9"/>
    <w:rsid w:val="00A01F00"/>
    <w:rsid w:val="00A04FAA"/>
    <w:rsid w:val="00A11B65"/>
    <w:rsid w:val="00A13EB8"/>
    <w:rsid w:val="00A17515"/>
    <w:rsid w:val="00A21AC4"/>
    <w:rsid w:val="00A2260C"/>
    <w:rsid w:val="00A2424E"/>
    <w:rsid w:val="00A27D1B"/>
    <w:rsid w:val="00A316BB"/>
    <w:rsid w:val="00A31FA0"/>
    <w:rsid w:val="00A35BF1"/>
    <w:rsid w:val="00A40DB3"/>
    <w:rsid w:val="00A473B1"/>
    <w:rsid w:val="00A51326"/>
    <w:rsid w:val="00A52797"/>
    <w:rsid w:val="00A55014"/>
    <w:rsid w:val="00A56332"/>
    <w:rsid w:val="00A57F0D"/>
    <w:rsid w:val="00A61DCD"/>
    <w:rsid w:val="00A839D6"/>
    <w:rsid w:val="00A85A7F"/>
    <w:rsid w:val="00A86870"/>
    <w:rsid w:val="00A92923"/>
    <w:rsid w:val="00A95D68"/>
    <w:rsid w:val="00A9703B"/>
    <w:rsid w:val="00A97FAE"/>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33F9"/>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B65D2"/>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26FD"/>
    <w:rsid w:val="00D83C5D"/>
    <w:rsid w:val="00D853BA"/>
    <w:rsid w:val="00D85BDD"/>
    <w:rsid w:val="00D90503"/>
    <w:rsid w:val="00D90743"/>
    <w:rsid w:val="00D90974"/>
    <w:rsid w:val="00D93E30"/>
    <w:rsid w:val="00DA1226"/>
    <w:rsid w:val="00DA41D4"/>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4481"/>
    <w:rsid w:val="00E356F0"/>
    <w:rsid w:val="00E35787"/>
    <w:rsid w:val="00E36119"/>
    <w:rsid w:val="00E3780B"/>
    <w:rsid w:val="00E458F0"/>
    <w:rsid w:val="00E45E3C"/>
    <w:rsid w:val="00E45F4A"/>
    <w:rsid w:val="00E51333"/>
    <w:rsid w:val="00E5372C"/>
    <w:rsid w:val="00E639C2"/>
    <w:rsid w:val="00E676C7"/>
    <w:rsid w:val="00E72723"/>
    <w:rsid w:val="00E73AD9"/>
    <w:rsid w:val="00E75851"/>
    <w:rsid w:val="00E76C62"/>
    <w:rsid w:val="00E825FB"/>
    <w:rsid w:val="00E83997"/>
    <w:rsid w:val="00E84FBB"/>
    <w:rsid w:val="00E8528E"/>
    <w:rsid w:val="00E869F2"/>
    <w:rsid w:val="00E90A11"/>
    <w:rsid w:val="00E95BEF"/>
    <w:rsid w:val="00EA0041"/>
    <w:rsid w:val="00EA2220"/>
    <w:rsid w:val="00EA42F2"/>
    <w:rsid w:val="00EA749F"/>
    <w:rsid w:val="00EB1C7B"/>
    <w:rsid w:val="00EB37F2"/>
    <w:rsid w:val="00EB4872"/>
    <w:rsid w:val="00EB5239"/>
    <w:rsid w:val="00EB5846"/>
    <w:rsid w:val="00EB6C1E"/>
    <w:rsid w:val="00EC0343"/>
    <w:rsid w:val="00EC0690"/>
    <w:rsid w:val="00EC3D5E"/>
    <w:rsid w:val="00EC511B"/>
    <w:rsid w:val="00ED5545"/>
    <w:rsid w:val="00EE3245"/>
    <w:rsid w:val="00EE52E6"/>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3E9B"/>
    <w:rsid w:val="00F567C2"/>
    <w:rsid w:val="00F6207A"/>
    <w:rsid w:val="00F645E4"/>
    <w:rsid w:val="00F67516"/>
    <w:rsid w:val="00F70656"/>
    <w:rsid w:val="00F717F4"/>
    <w:rsid w:val="00F72BDD"/>
    <w:rsid w:val="00F74792"/>
    <w:rsid w:val="00F81BE6"/>
    <w:rsid w:val="00F94FD6"/>
    <w:rsid w:val="00F97841"/>
    <w:rsid w:val="00FA1E76"/>
    <w:rsid w:val="00FA2314"/>
    <w:rsid w:val="00FA36C9"/>
    <w:rsid w:val="00FA77B8"/>
    <w:rsid w:val="00FB47C3"/>
    <w:rsid w:val="00FB4CC0"/>
    <w:rsid w:val="00FB58FB"/>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rbackov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2349</Words>
  <Characters>13864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16181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cp:revision>
  <cp:lastPrinted>2016-10-12T10:41:00Z</cp:lastPrinted>
  <dcterms:created xsi:type="dcterms:W3CDTF">2023-06-02T11:08:00Z</dcterms:created>
  <dcterms:modified xsi:type="dcterms:W3CDTF">2023-06-02T11:31:00Z</dcterms:modified>
</cp:coreProperties>
</file>