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F049A7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F049A7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65635ED2" w:rsidR="00B2255E" w:rsidRPr="00F049A7" w:rsidRDefault="00C445B4" w:rsidP="00E17B99">
      <w:pPr>
        <w:jc w:val="center"/>
        <w:rPr>
          <w:rFonts w:asciiTheme="minorHAnsi" w:hAnsiTheme="minorHAnsi" w:cstheme="minorHAnsi"/>
          <w:b/>
          <w:bCs/>
        </w:rPr>
      </w:pPr>
      <w:r w:rsidRPr="00F049A7">
        <w:rPr>
          <w:rFonts w:asciiTheme="minorHAnsi" w:hAnsiTheme="minorHAnsi" w:cstheme="minorHAnsi"/>
          <w:b/>
          <w:bCs/>
        </w:rPr>
        <w:t>k</w:t>
      </w:r>
      <w:r w:rsidR="0085374F" w:rsidRPr="00F049A7">
        <w:rPr>
          <w:rFonts w:asciiTheme="minorHAnsi" w:hAnsiTheme="minorHAnsi" w:cstheme="minorHAnsi"/>
          <w:b/>
          <w:bCs/>
        </w:rPr>
        <w:t xml:space="preserve"> </w:t>
      </w:r>
      <w:r w:rsidR="00B2255E" w:rsidRPr="00F049A7">
        <w:rPr>
          <w:rFonts w:asciiTheme="minorHAnsi" w:hAnsiTheme="minorHAnsi" w:cstheme="minorHAnsi"/>
          <w:b/>
          <w:bCs/>
        </w:rPr>
        <w:t>„</w:t>
      </w:r>
      <w:r w:rsidR="00E17B99" w:rsidRPr="00F049A7">
        <w:rPr>
          <w:rFonts w:asciiTheme="minorHAnsi" w:hAnsiTheme="minorHAnsi" w:cstheme="minorHAnsi"/>
          <w:b/>
          <w:bCs/>
        </w:rPr>
        <w:t>Návrhu zákona, kterým se mění zákon č. 143/2001 Sb., o ochraně hospodářské soutěže a o změně některých zákonů (zákon o ochraně hospodářské soutěže), ve znění pozdějších předpisů, a zákon č. 40/2009 Sb., trestní zákoník, ve znění pozdějších předpisů</w:t>
      </w:r>
      <w:r w:rsidR="00B2255E" w:rsidRPr="00F049A7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F049A7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647F275D" w14:textId="01A06EC2" w:rsidR="00B2255E" w:rsidRPr="00F049A7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F049A7">
        <w:rPr>
          <w:rFonts w:asciiTheme="minorHAnsi" w:hAnsiTheme="minorHAnsi" w:cstheme="minorHAnsi"/>
          <w:b/>
          <w:bCs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F049A7">
        <w:rPr>
          <w:rFonts w:asciiTheme="minorHAnsi" w:hAnsiTheme="minorHAnsi" w:cstheme="minorHAnsi"/>
          <w:b/>
          <w:bCs/>
        </w:rPr>
        <w:t>doporučuj</w:t>
      </w:r>
      <w:r w:rsidR="00104BA7" w:rsidRPr="00F049A7">
        <w:rPr>
          <w:rFonts w:asciiTheme="minorHAnsi" w:hAnsiTheme="minorHAnsi" w:cstheme="minorHAnsi"/>
          <w:b/>
          <w:bCs/>
        </w:rPr>
        <w:t xml:space="preserve">ící a zásadní </w:t>
      </w:r>
      <w:r w:rsidRPr="00F049A7">
        <w:rPr>
          <w:rFonts w:asciiTheme="minorHAnsi" w:hAnsiTheme="minorHAnsi" w:cstheme="minorHAnsi"/>
          <w:b/>
          <w:bCs/>
        </w:rPr>
        <w:t>připomínky</w:t>
      </w:r>
      <w:r w:rsidR="004F23B6" w:rsidRPr="00F049A7">
        <w:rPr>
          <w:rFonts w:asciiTheme="minorHAnsi" w:hAnsiTheme="minorHAnsi" w:cstheme="minorHAnsi"/>
          <w:b/>
          <w:bCs/>
        </w:rPr>
        <w:t>:</w:t>
      </w:r>
    </w:p>
    <w:p w14:paraId="11521DF4" w14:textId="77777777" w:rsidR="004C2C11" w:rsidRPr="00F049A7" w:rsidRDefault="004C2C11" w:rsidP="004C2C11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</w:p>
    <w:p w14:paraId="2015FE02" w14:textId="77777777" w:rsidR="00F049A7" w:rsidRPr="00F049A7" w:rsidRDefault="00F049A7" w:rsidP="00F049A7">
      <w:pPr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06BE5844" w14:textId="77777777" w:rsidR="00F049A7" w:rsidRPr="00F049A7" w:rsidRDefault="00F049A7" w:rsidP="00F049A7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>K čl. I bodu 1. – nesouhlasíme s vypuštěním odstavce 3 v § 10 a navrhujeme tento novelizační bod zrušit.</w:t>
      </w:r>
    </w:p>
    <w:p w14:paraId="5023BF5A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  <w:t>Odůvodnění:</w:t>
      </w:r>
    </w:p>
    <w:p w14:paraId="0670BB7C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Jsme přesvědčeni, že odstranění vyvratitelné právní domněnky, podle které nebude-li prokázán opak, má se za to, že dominantní postavení nezaujímá soutěžitel nebo soutěžitelé se společnou dominancí, kteří ve zkoumaném období dosáhli na trhu menší než 40% tržní podíl, není důvodné. </w:t>
      </w:r>
    </w:p>
    <w:p w14:paraId="2DD54B15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>Předkladatel uvádí, že tuto hranici, která je v českém právu uplatňována desetiletí, odstraňuje jako nadbytečnou. Žádné další zdůvodnění předkladatel nenabízí.</w:t>
      </w:r>
    </w:p>
    <w:p w14:paraId="6AAE1F98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Domníváme se, že 40% hranice poskytuje trhu důležitou informaci o tom, jakým způsobem bude Úřad hodnotit dominanci. Je zřejmé, že v případech, kdy bude podíl menší než </w:t>
      </w:r>
      <w:proofErr w:type="gramStart"/>
      <w:r w:rsidRPr="00F049A7">
        <w:rPr>
          <w:rFonts w:asciiTheme="minorHAnsi" w:eastAsia="Calibri" w:hAnsiTheme="minorHAnsi" w:cstheme="minorHAnsi"/>
          <w:b/>
          <w:bCs/>
          <w:lang w:eastAsia="en-US"/>
        </w:rPr>
        <w:t>40%</w:t>
      </w:r>
      <w:proofErr w:type="gramEnd"/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, bude prokazování dominance komplikovanější a soutěžitel tedy může ve své praxi vycházet z toho, že vysoce pravděpodobně dominantní není. </w:t>
      </w:r>
    </w:p>
    <w:p w14:paraId="34FF088D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Odstranění hranice zavádí na trhu nejistotu nejen pro české dodavatele, ale i pro zahraniční investory. V tomto ohledu návrh podstatně zvyšuje investiční a podnikatelská rizika v české republice oproti současnému stavu. Opatření navíc bez řádného zdůvodnění </w:t>
      </w:r>
      <w:proofErr w:type="gramStart"/>
      <w:r w:rsidRPr="00F049A7">
        <w:rPr>
          <w:rFonts w:asciiTheme="minorHAnsi" w:eastAsia="Calibri" w:hAnsiTheme="minorHAnsi" w:cstheme="minorHAnsi"/>
          <w:b/>
          <w:bCs/>
          <w:lang w:eastAsia="en-US"/>
        </w:rPr>
        <w:t>boří</w:t>
      </w:r>
      <w:proofErr w:type="gramEnd"/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 letitou výkladovou praxi v daném odvětví.</w:t>
      </w:r>
    </w:p>
    <w:p w14:paraId="36F7C624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5A792067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73DCFAA3" w14:textId="77777777" w:rsidR="00F049A7" w:rsidRPr="00F049A7" w:rsidRDefault="00F049A7" w:rsidP="00F049A7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>K čl. I bodu 5. § 13a – navrhujeme tzv. call in model u již spojených soutěžitelů nezavádět a navrhujeme tento novelizační bod zrušit.</w:t>
      </w:r>
    </w:p>
    <w:p w14:paraId="288B627B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  <w:t>Odůvodnění:</w:t>
      </w:r>
    </w:p>
    <w:p w14:paraId="064DC8C0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 xml:space="preserve">Nové ustanovení § 13a upravuje možnost ÚOHS vyžadovat dodatečnou žádost o povolení spojení již spojených soutěžitelů (tzv. call in model). Call-in model považujeme za nelogický, neboť požaduje, aby soutěžitelé zpětně žádali o souhlas se spojením něčeho, co už v té době bude spojené. Soutěžitelé, kteří uskutečnili spojení, tak budou čelit právní nejistotě a riziku zpětného zásahu ze strany ÚOHS (v konečném důsledku to může vést k odkladu dalších investic nebo strategických rozhodnutí). Domníváme se, že současné nástroje ÚOHS pro kontrolu soutěžitelů jsou dostatečné a ustanovení zákona </w:t>
      </w: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lastRenderedPageBreak/>
        <w:t>o ochraně hospodářské soutěže poskytují dostatek možností, jak hospodářskou soutěž regulovat a chránit její pravidla. Navrhujeme proto, aby bylo od zavedení call-in modelu u již spojených soutěžitelů upuštěno. Kromě narušení právní jistoty ve smluvních vztazích by zpětné posuzování spojení soutěžitelů jim mohlo způsobit nemalé finanční ztráty v případě nuceného prodeje soutěžitele nebo jeho části.</w:t>
      </w:r>
    </w:p>
    <w:p w14:paraId="711B2CD6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>Pokud by však nebyl náš návrh na zrušení § 13a akceptován, požadujeme alespoň doplnit ustanovení, podle kterého by se ustanovení § 13a nevztahovalo na soutěžitele, nad nimiž vykonává dohled Český telekomunikační úřad, Energetický regulační úřad nebo Česká národní banka. Jako významný argument vidíme, že například v případě pojišťoven je jejich fúze schvalována sektorovým regulátorem, kterým je ČNB, a docházelo by tak k duplicitnímu rozhodování o téže věci.</w:t>
      </w:r>
    </w:p>
    <w:p w14:paraId="3A940BB3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5C91928A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57AFA108" w14:textId="77777777" w:rsidR="00F049A7" w:rsidRPr="00F049A7" w:rsidRDefault="00F049A7" w:rsidP="00F049A7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>K čl. I bodu 9. – nesouhlasíme s vložením § 20b a 20c.</w:t>
      </w:r>
    </w:p>
    <w:p w14:paraId="28832267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  <w:t>Odůvodnění:</w:t>
      </w:r>
    </w:p>
    <w:p w14:paraId="49CB9638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>Máme za to, že umožnění velmi obecně formulované ex ante regulace ze strany Úřadu na jakémkoliv trhu, který nemá specifickou sektorovou regulaci, je zcela nepřijatelné.</w:t>
      </w:r>
    </w:p>
    <w:p w14:paraId="224EC327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>Rozumíme tomu, že tržní prostředí je potřeba určitým způsobem usměrňovat. V sektorech, kde implicitně hrozí narušení hospodářské soutěže, probíhá ex ante regulace na základě sektorových předpisů, které velmi detailně upravují, jakým způsobem tato regulace probíhá. Obvykle jsou specifikované testy a postupy, které musí regulátor držet včetně konzultace s Evropskou komisí, veřejných konzultací atp.</w:t>
      </w:r>
    </w:p>
    <w:p w14:paraId="42A17CB8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V návrhu jsou možnosti Úřadu naznačeny, nicméně s ohledem na rozsah kompetencí nejsou nijak specifické. Úřad má tedy mnohem širší možnosti, než sektoroví regulátoři v jednotlivých odvětvích (ČTÚ, </w:t>
      </w:r>
      <w:proofErr w:type="gramStart"/>
      <w:r w:rsidRPr="00F049A7">
        <w:rPr>
          <w:rFonts w:asciiTheme="minorHAnsi" w:eastAsia="Calibri" w:hAnsiTheme="minorHAnsi" w:cstheme="minorHAnsi"/>
          <w:b/>
          <w:bCs/>
          <w:lang w:eastAsia="en-US"/>
        </w:rPr>
        <w:t>ERU,</w:t>
      </w:r>
      <w:proofErr w:type="gramEnd"/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 atd.). Navíc zde chybí jakákoliv kontrola ze strany orgánů EU. Návrh neobsahuje žádné mechanismy veřejných konzultací.</w:t>
      </w:r>
    </w:p>
    <w:p w14:paraId="483A789C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Máme za to, že navrhovaná úprava je příliš ambiciózní a pro trh zcela nepředvídatelná. Návrh proto opět pouze komplikuje tržní prostředí a </w:t>
      </w:r>
      <w:proofErr w:type="gramStart"/>
      <w:r w:rsidRPr="00F049A7">
        <w:rPr>
          <w:rFonts w:asciiTheme="minorHAnsi" w:eastAsia="Calibri" w:hAnsiTheme="minorHAnsi" w:cstheme="minorHAnsi"/>
          <w:b/>
          <w:bCs/>
          <w:lang w:eastAsia="en-US"/>
        </w:rPr>
        <w:t>vytváří</w:t>
      </w:r>
      <w:proofErr w:type="gramEnd"/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 další nekontrolovatelná rizika pro vnitřní i zahraniční investice.</w:t>
      </w:r>
    </w:p>
    <w:p w14:paraId="0631C361" w14:textId="77777777" w:rsidR="00F049A7" w:rsidRPr="00F049A7" w:rsidRDefault="00F049A7" w:rsidP="00F049A7">
      <w:pPr>
        <w:ind w:left="357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>S ohledem na výše uvedené navrhujeme úpravu odmítnout jako takovou.</w:t>
      </w:r>
    </w:p>
    <w:p w14:paraId="3E211763" w14:textId="77777777" w:rsidR="00F049A7" w:rsidRPr="00F049A7" w:rsidRDefault="00F049A7" w:rsidP="00F049A7">
      <w:pPr>
        <w:tabs>
          <w:tab w:val="left" w:pos="1368"/>
        </w:tabs>
        <w:ind w:left="357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ab/>
      </w:r>
    </w:p>
    <w:p w14:paraId="168AFED1" w14:textId="77777777" w:rsidR="00F049A7" w:rsidRPr="00F049A7" w:rsidRDefault="00F049A7" w:rsidP="00F049A7">
      <w:pPr>
        <w:tabs>
          <w:tab w:val="left" w:pos="1368"/>
        </w:tabs>
        <w:ind w:left="357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6D5E6733" w14:textId="77777777" w:rsidR="00F049A7" w:rsidRPr="00F049A7" w:rsidRDefault="00F049A7" w:rsidP="00F049A7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>K čl. I. bodu 13. – nesouhlasíme s doplněním písmene c) do § 22 odst. 2 a navrhujeme tento novelizační bod zrušit.</w:t>
      </w:r>
    </w:p>
    <w:p w14:paraId="676D4141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  <w:t>Odůvodnění:</w:t>
      </w:r>
    </w:p>
    <w:p w14:paraId="656D47B5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Jde o rozšíření odpovědnosti za přestupky právnických osob na osoby fyzické, tedy obecně na zaměstnance a manažery jednotlivých firem. To samozřejmě postihne i běžné zaměstnance, kteří konají na pokyn nadřízeného. </w:t>
      </w:r>
    </w:p>
    <w:p w14:paraId="2C64D694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>Důsledkem je pak pokuta až 10 mil. a zákaz činnosti. Tedy prakticky úplná likvidace zaměstnance.</w:t>
      </w:r>
    </w:p>
    <w:p w14:paraId="3388ADDA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S uvedeným nelze souhlasit. Navíc není zřejmý vztah přestupku a trestného činu podle § 248 TZ.   </w:t>
      </w:r>
    </w:p>
    <w:p w14:paraId="1D8265FB" w14:textId="77777777" w:rsidR="00F049A7" w:rsidRPr="00F049A7" w:rsidRDefault="00F049A7" w:rsidP="00F049A7">
      <w:pPr>
        <w:ind w:left="357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lastRenderedPageBreak/>
        <w:t>Pokud zavedeme další v podstatě likvidační sankci pro zaměstnance za jednání, které navíc může být pouze pokusem, a tedy k žádné utajované dohodě nemusí vůbec dojít, je relevantní obava, že stavebnictví se stane již tak neatraktivním oborem, že bude reálně nemožné získat nové odborníky. To povede k poklesu tohoto odvětví v ČR a k závažným problémům, které způsobí nekonkurenceschopnost ČR v celoevropském měřítku.</w:t>
      </w:r>
    </w:p>
    <w:p w14:paraId="2E8F033C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3F7BDF5A" w14:textId="77777777" w:rsidR="00F049A7" w:rsidRPr="00F049A7" w:rsidRDefault="00F049A7" w:rsidP="00F049A7">
      <w:pPr>
        <w:ind w:left="357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0E344F46" w14:textId="77777777" w:rsidR="00F049A7" w:rsidRPr="00F049A7" w:rsidRDefault="00F049A7" w:rsidP="00F049A7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>K čl. I bodu 15. a bodu 23. – s</w:t>
      </w: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 ohledem na výši sankce a možnost uložení trestu zákazu činnosti nesouhlasíme s přímou aplikací institutu shovívavosti podle § 22 odst. 5 a § 22ba odst. 3.</w:t>
      </w:r>
    </w:p>
    <w:p w14:paraId="1991536C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  <w:t>Odůvodnění:</w:t>
      </w:r>
    </w:p>
    <w:p w14:paraId="773A177E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 xml:space="preserve">Zákon staví zcela jednoznačně proti sobě prostého zaměstnance a jeho zaměstnavatele. Často nadnárodní korporaci. Zaměstnanec si tedy může vybrat mezi pokutou až 10 mil. Kč a zákazem činnosti nebo např. soudním řízením o náhradu škody, poškození dobrého jména apod. se svým zaměstnavatelem. Veškerá negativa jsou opět přenesena na zaměstnance, často paní na obchodním oddělení.  </w:t>
      </w:r>
    </w:p>
    <w:p w14:paraId="0AA444FF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5AF7A6CE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69C70134" w14:textId="77777777" w:rsidR="00F049A7" w:rsidRPr="00F049A7" w:rsidRDefault="00F049A7" w:rsidP="00F049A7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lang w:eastAsia="en-US"/>
        </w:rPr>
        <w:t>K čl. II bodu 1. – nesouhlasíme s doplněním § 248 odst. 2 a navrhujeme tento novelizační bod zrušit.</w:t>
      </w:r>
    </w:p>
    <w:p w14:paraId="3D0551B0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</w:pPr>
      <w:r w:rsidRPr="00F049A7">
        <w:rPr>
          <w:rFonts w:asciiTheme="minorHAnsi" w:hAnsiTheme="minorHAnsi" w:cstheme="minorHAnsi"/>
          <w:b/>
          <w:bCs/>
          <w:color w:val="000000"/>
          <w:u w:val="single"/>
          <w:lang w:eastAsia="en-US"/>
        </w:rPr>
        <w:t>Odůvodnění:</w:t>
      </w:r>
    </w:p>
    <w:p w14:paraId="101BA62E" w14:textId="77777777" w:rsidR="00F049A7" w:rsidRPr="00F049A7" w:rsidRDefault="00F049A7" w:rsidP="00F049A7">
      <w:pPr>
        <w:ind w:left="357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>Úprava znamená, že původně bylo trestné uzavření dohody. Nyní se posouváme k přípravě. Z textu je spíše zřejmé, že nemusí k uzavření ani dojít. Lze tedy stavět na údajném zosnování. Navíc není zřejmý vztah s přestupkem podle § 22 ZOHS.</w:t>
      </w:r>
    </w:p>
    <w:p w14:paraId="0FC2F301" w14:textId="77777777" w:rsidR="00F049A7" w:rsidRPr="00F049A7" w:rsidRDefault="00F049A7" w:rsidP="00F049A7">
      <w:pPr>
        <w:ind w:left="357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049A7">
        <w:rPr>
          <w:rFonts w:asciiTheme="minorHAnsi" w:eastAsia="Calibri" w:hAnsiTheme="minorHAnsi" w:cstheme="minorHAnsi"/>
          <w:b/>
          <w:bCs/>
          <w:lang w:eastAsia="en-US"/>
        </w:rPr>
        <w:t>Navrhovaný posun představuje příliš široce formulovanou skutkovou podstatu trestného činu, která může postihnout i jednání, která nejsou pro společnost nebezpečná. Naopak hrozí zneužití a stíhání osob za praktiky, které ani nedosahují míry uzavření zakázané dohody.</w:t>
      </w:r>
    </w:p>
    <w:p w14:paraId="44F11AFF" w14:textId="77777777" w:rsidR="00F049A7" w:rsidRPr="00F049A7" w:rsidRDefault="00F049A7" w:rsidP="00F049A7">
      <w:pPr>
        <w:ind w:left="36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6A0258CD" w14:textId="77777777" w:rsidR="004C2C11" w:rsidRPr="00F049A7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0724E386" w14:textId="77777777" w:rsidR="00860F6C" w:rsidRPr="00F049A7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F049A7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181DB35F" w14:textId="77777777" w:rsidR="00426245" w:rsidRPr="00F049A7" w:rsidRDefault="00426245" w:rsidP="00426245">
      <w:pPr>
        <w:rPr>
          <w:rFonts w:asciiTheme="minorHAnsi" w:hAnsiTheme="minorHAnsi" w:cstheme="minorHAnsi"/>
          <w:b/>
          <w:bCs/>
          <w:color w:val="000000"/>
          <w:lang w:eastAsia="cs-CZ"/>
        </w:rPr>
      </w:pPr>
    </w:p>
    <w:p w14:paraId="00804CB2" w14:textId="175AC063" w:rsidR="00C740B1" w:rsidRPr="00F049A7" w:rsidRDefault="00C740B1" w:rsidP="00426245">
      <w:pPr>
        <w:rPr>
          <w:rFonts w:asciiTheme="minorHAnsi" w:hAnsiTheme="minorHAnsi" w:cstheme="minorHAnsi"/>
          <w:b/>
          <w:bCs/>
          <w:color w:val="000000"/>
          <w:lang w:eastAsia="cs-CZ"/>
        </w:rPr>
      </w:pPr>
      <w:r w:rsidRPr="00F049A7">
        <w:rPr>
          <w:rFonts w:asciiTheme="minorHAnsi" w:hAnsiTheme="minorHAnsi" w:cstheme="minorHAnsi"/>
          <w:b/>
          <w:bCs/>
          <w:color w:val="000000" w:themeColor="text1"/>
        </w:rPr>
        <w:t>Mgr. Jakub Machytka</w:t>
      </w:r>
      <w:r w:rsidRPr="00F049A7">
        <w:rPr>
          <w:rFonts w:asciiTheme="minorHAnsi" w:hAnsiTheme="minorHAnsi" w:cstheme="minorHAnsi"/>
          <w:b/>
          <w:bCs/>
          <w:color w:val="000000" w:themeColor="text1"/>
        </w:rPr>
        <w:tab/>
        <w:t xml:space="preserve">e-mail: </w:t>
      </w:r>
      <w:hyperlink r:id="rId10" w:history="1">
        <w:r w:rsidRPr="00F049A7">
          <w:rPr>
            <w:rStyle w:val="Hypertextovodkaz"/>
            <w:rFonts w:asciiTheme="minorHAnsi" w:hAnsiTheme="minorHAnsi" w:cstheme="minorHAnsi"/>
            <w:b/>
            <w:bCs/>
          </w:rPr>
          <w:t>jakub.machytka@uzs.cz</w:t>
        </w:r>
      </w:hyperlink>
      <w:r w:rsidRPr="00F049A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049A7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049A7">
        <w:rPr>
          <w:rFonts w:asciiTheme="minorHAnsi" w:hAnsiTheme="minorHAnsi" w:cstheme="minorHAnsi"/>
          <w:b/>
          <w:bCs/>
          <w:color w:val="000000" w:themeColor="text1"/>
        </w:rPr>
        <w:tab/>
        <w:t>mob:</w:t>
      </w:r>
      <w:r w:rsidR="00473DFD" w:rsidRPr="00F049A7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049A7">
        <w:rPr>
          <w:rFonts w:asciiTheme="minorHAnsi" w:hAnsiTheme="minorHAnsi" w:cstheme="minorHAnsi"/>
          <w:b/>
          <w:bCs/>
          <w:color w:val="000000" w:themeColor="text1"/>
        </w:rPr>
        <w:t>727 956 059</w:t>
      </w:r>
    </w:p>
    <w:p w14:paraId="5D0DB828" w14:textId="1F7E2D89" w:rsidR="00426245" w:rsidRPr="00F049A7" w:rsidRDefault="00426245" w:rsidP="00313E30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F049A7">
        <w:rPr>
          <w:rFonts w:asciiTheme="minorHAnsi" w:hAnsiTheme="minorHAnsi" w:cstheme="minorHAnsi"/>
          <w:b/>
          <w:bCs/>
          <w:color w:val="000000"/>
        </w:rPr>
        <w:t xml:space="preserve">JUDr. Hana </w:t>
      </w:r>
      <w:proofErr w:type="spellStart"/>
      <w:r w:rsidRPr="00F049A7">
        <w:rPr>
          <w:rFonts w:asciiTheme="minorHAnsi" w:hAnsiTheme="minorHAnsi" w:cstheme="minorHAnsi"/>
          <w:b/>
          <w:bCs/>
          <w:color w:val="000000"/>
        </w:rPr>
        <w:t>Nevřalová</w:t>
      </w:r>
      <w:proofErr w:type="spellEnd"/>
      <w:r w:rsidRPr="00F049A7">
        <w:rPr>
          <w:rFonts w:asciiTheme="minorHAnsi" w:hAnsiTheme="minorHAnsi" w:cstheme="minorHAnsi"/>
          <w:b/>
          <w:bCs/>
          <w:color w:val="000000"/>
        </w:rPr>
        <w:tab/>
      </w:r>
      <w:r w:rsidR="003B1768" w:rsidRPr="00F049A7">
        <w:rPr>
          <w:rFonts w:asciiTheme="minorHAnsi" w:hAnsiTheme="minorHAnsi" w:cstheme="minorHAnsi"/>
          <w:b/>
          <w:bCs/>
          <w:color w:val="000000"/>
        </w:rPr>
        <w:t>e-mail:</w:t>
      </w:r>
      <w:r w:rsidR="003B1768" w:rsidRPr="00F049A7">
        <w:rPr>
          <w:rFonts w:asciiTheme="minorHAnsi" w:hAnsiTheme="minorHAnsi" w:cstheme="minorHAnsi"/>
          <w:b/>
          <w:bCs/>
          <w:color w:val="000000"/>
        </w:rPr>
        <w:tab/>
      </w:r>
      <w:hyperlink r:id="rId11" w:history="1">
        <w:r w:rsidR="003B1768" w:rsidRPr="00F049A7">
          <w:rPr>
            <w:rStyle w:val="Hypertextovodkaz"/>
            <w:rFonts w:asciiTheme="minorHAnsi" w:hAnsiTheme="minorHAnsi" w:cstheme="minorHAnsi"/>
            <w:b/>
            <w:bCs/>
          </w:rPr>
          <w:t>nevralova@hotmail.com</w:t>
        </w:r>
      </w:hyperlink>
      <w:r w:rsidR="003B1768" w:rsidRPr="00F049A7">
        <w:rPr>
          <w:rFonts w:asciiTheme="minorHAnsi" w:hAnsiTheme="minorHAnsi" w:cstheme="minorHAnsi"/>
          <w:b/>
          <w:bCs/>
        </w:rPr>
        <w:tab/>
      </w:r>
      <w:r w:rsidR="00313E30" w:rsidRPr="00F049A7">
        <w:rPr>
          <w:rFonts w:asciiTheme="minorHAnsi" w:hAnsiTheme="minorHAnsi" w:cstheme="minorHAnsi"/>
          <w:b/>
          <w:bCs/>
        </w:rPr>
        <w:tab/>
        <w:t>mob:</w:t>
      </w:r>
      <w:r w:rsidR="00313E30"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  <w:color w:val="000000"/>
        </w:rPr>
        <w:t>602</w:t>
      </w:r>
      <w:r w:rsidR="00313E30" w:rsidRPr="00F049A7">
        <w:rPr>
          <w:rFonts w:asciiTheme="minorHAnsi" w:hAnsiTheme="minorHAnsi" w:cstheme="minorHAnsi"/>
          <w:b/>
          <w:bCs/>
          <w:color w:val="000000"/>
        </w:rPr>
        <w:t> </w:t>
      </w:r>
      <w:r w:rsidRPr="00F049A7">
        <w:rPr>
          <w:rFonts w:asciiTheme="minorHAnsi" w:hAnsiTheme="minorHAnsi" w:cstheme="minorHAnsi"/>
          <w:b/>
          <w:bCs/>
          <w:color w:val="000000"/>
        </w:rPr>
        <w:t>191</w:t>
      </w:r>
      <w:r w:rsidR="00313E30" w:rsidRPr="00F049A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049A7">
        <w:rPr>
          <w:rFonts w:asciiTheme="minorHAnsi" w:hAnsiTheme="minorHAnsi" w:cstheme="minorHAnsi"/>
          <w:b/>
          <w:bCs/>
          <w:color w:val="000000"/>
        </w:rPr>
        <w:t>221</w:t>
      </w:r>
    </w:p>
    <w:p w14:paraId="7840C288" w14:textId="486C49D5" w:rsidR="00860F6C" w:rsidRPr="00F049A7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F049A7">
        <w:rPr>
          <w:rFonts w:asciiTheme="minorHAnsi" w:hAnsiTheme="minorHAnsi" w:cstheme="minorHAnsi"/>
          <w:b/>
          <w:bCs/>
        </w:rPr>
        <w:t>Dr. Jan Zikeš</w:t>
      </w:r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  <w:t>e-mail:</w:t>
      </w:r>
      <w:r w:rsidR="00313E30" w:rsidRPr="00F049A7">
        <w:rPr>
          <w:rFonts w:asciiTheme="minorHAnsi" w:hAnsiTheme="minorHAnsi" w:cstheme="minorHAnsi"/>
          <w:b/>
          <w:bCs/>
        </w:rPr>
        <w:tab/>
      </w:r>
      <w:hyperlink r:id="rId12" w:history="1">
        <w:r w:rsidRPr="00F049A7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</w:r>
      <w:r w:rsidR="0029783C" w:rsidRPr="00F049A7">
        <w:rPr>
          <w:rFonts w:asciiTheme="minorHAnsi" w:hAnsiTheme="minorHAnsi" w:cstheme="minorHAnsi"/>
          <w:b/>
          <w:bCs/>
        </w:rPr>
        <w:t>mob:</w:t>
      </w:r>
      <w:r w:rsidRPr="00F049A7">
        <w:rPr>
          <w:rFonts w:asciiTheme="minorHAnsi" w:hAnsiTheme="minorHAnsi" w:cstheme="minorHAnsi"/>
          <w:b/>
          <w:bCs/>
        </w:rPr>
        <w:tab/>
      </w:r>
      <w:r w:rsidR="0029783C" w:rsidRPr="00F049A7">
        <w:rPr>
          <w:rFonts w:asciiTheme="minorHAnsi" w:hAnsiTheme="minorHAnsi" w:cstheme="minorHAnsi"/>
          <w:b/>
          <w:bCs/>
        </w:rPr>
        <w:t>775 15 77 50</w:t>
      </w:r>
    </w:p>
    <w:p w14:paraId="3A4D33F2" w14:textId="77777777" w:rsidR="00952F06" w:rsidRPr="00F049A7" w:rsidRDefault="00952F06" w:rsidP="00952F06">
      <w:pPr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3F335094" w14:textId="77777777" w:rsidR="00BF3A98" w:rsidRDefault="00BF3A98" w:rsidP="00952F06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</w:p>
    <w:p w14:paraId="3ECE9C36" w14:textId="06D89E08" w:rsidR="00952F06" w:rsidRPr="00F049A7" w:rsidRDefault="00952F06" w:rsidP="00952F06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  <w:r w:rsidRPr="00F049A7">
        <w:rPr>
          <w:rFonts w:asciiTheme="minorHAnsi" w:hAnsiTheme="minorHAnsi" w:cstheme="minorHAnsi"/>
          <w:b/>
          <w:bCs/>
          <w:lang w:eastAsia="cs-CZ"/>
        </w:rPr>
        <w:t>V Praze dne 28. června 2024</w:t>
      </w:r>
    </w:p>
    <w:p w14:paraId="1647EC48" w14:textId="77777777" w:rsidR="00860F6C" w:rsidRPr="00F049A7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F049A7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860F6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860F6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632F5A91" w14:textId="1824731A" w:rsidR="00257420" w:rsidRPr="00606A0E" w:rsidRDefault="00860F6C" w:rsidP="00606A0E">
      <w:pPr>
        <w:ind w:left="6372"/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sectPr w:rsidR="00257420" w:rsidRPr="00606A0E" w:rsidSect="00E070C3">
      <w:headerReference w:type="default" r:id="rId13"/>
      <w:footerReference w:type="default" r:id="rId14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A3B8F" w14:textId="77777777" w:rsidR="00A717AD" w:rsidRDefault="00A717AD" w:rsidP="00A717AD">
      <w:r>
        <w:separator/>
      </w:r>
    </w:p>
  </w:endnote>
  <w:endnote w:type="continuationSeparator" w:id="0">
    <w:p w14:paraId="6B659986" w14:textId="77777777" w:rsidR="00A717AD" w:rsidRDefault="00A717AD" w:rsidP="00A717AD">
      <w:r>
        <w:continuationSeparator/>
      </w:r>
    </w:p>
  </w:endnote>
  <w:endnote w:type="continuationNotice" w:id="1">
    <w:p w14:paraId="650DCB9B" w14:textId="77777777" w:rsidR="008E3B19" w:rsidRDefault="008E3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4F92" w14:textId="77777777" w:rsidR="00A717AD" w:rsidRDefault="00A717AD" w:rsidP="00A717AD">
      <w:r>
        <w:separator/>
      </w:r>
    </w:p>
  </w:footnote>
  <w:footnote w:type="continuationSeparator" w:id="0">
    <w:p w14:paraId="63382998" w14:textId="77777777" w:rsidR="00A717AD" w:rsidRDefault="00A717AD" w:rsidP="00A717AD">
      <w:r>
        <w:continuationSeparator/>
      </w:r>
    </w:p>
  </w:footnote>
  <w:footnote w:type="continuationNotice" w:id="1">
    <w:p w14:paraId="6751D07E" w14:textId="77777777" w:rsidR="008E3B19" w:rsidRDefault="008E3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D1A3B"/>
    <w:multiLevelType w:val="hybridMultilevel"/>
    <w:tmpl w:val="CCC2C926"/>
    <w:lvl w:ilvl="0" w:tplc="573880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71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0813"/>
    <w:rsid w:val="00042C05"/>
    <w:rsid w:val="000628AA"/>
    <w:rsid w:val="000F1062"/>
    <w:rsid w:val="00104BA7"/>
    <w:rsid w:val="00141DD7"/>
    <w:rsid w:val="001C1C60"/>
    <w:rsid w:val="00257420"/>
    <w:rsid w:val="0029783C"/>
    <w:rsid w:val="00297F1E"/>
    <w:rsid w:val="002B50E9"/>
    <w:rsid w:val="00313E30"/>
    <w:rsid w:val="003B1768"/>
    <w:rsid w:val="003E730D"/>
    <w:rsid w:val="00426245"/>
    <w:rsid w:val="00473DFD"/>
    <w:rsid w:val="004A48B5"/>
    <w:rsid w:val="004C2C11"/>
    <w:rsid w:val="004F23B6"/>
    <w:rsid w:val="004F2898"/>
    <w:rsid w:val="00515592"/>
    <w:rsid w:val="0057006B"/>
    <w:rsid w:val="00577A97"/>
    <w:rsid w:val="005B1AE2"/>
    <w:rsid w:val="00606A0E"/>
    <w:rsid w:val="00655E9E"/>
    <w:rsid w:val="00764721"/>
    <w:rsid w:val="0085374F"/>
    <w:rsid w:val="00860F6C"/>
    <w:rsid w:val="008739B6"/>
    <w:rsid w:val="00874FF8"/>
    <w:rsid w:val="008C5BD6"/>
    <w:rsid w:val="008D7C46"/>
    <w:rsid w:val="008E3B19"/>
    <w:rsid w:val="009322C4"/>
    <w:rsid w:val="00952F06"/>
    <w:rsid w:val="00960740"/>
    <w:rsid w:val="009767C2"/>
    <w:rsid w:val="009B3819"/>
    <w:rsid w:val="00A717AD"/>
    <w:rsid w:val="00A81499"/>
    <w:rsid w:val="00AD2B44"/>
    <w:rsid w:val="00B2255E"/>
    <w:rsid w:val="00B419BE"/>
    <w:rsid w:val="00BF3A98"/>
    <w:rsid w:val="00C12B09"/>
    <w:rsid w:val="00C445B4"/>
    <w:rsid w:val="00C54AA1"/>
    <w:rsid w:val="00C740B1"/>
    <w:rsid w:val="00C74A3F"/>
    <w:rsid w:val="00C84C24"/>
    <w:rsid w:val="00C904C2"/>
    <w:rsid w:val="00D64B71"/>
    <w:rsid w:val="00E070C3"/>
    <w:rsid w:val="00E17B99"/>
    <w:rsid w:val="00E22AA5"/>
    <w:rsid w:val="00EA6DA6"/>
    <w:rsid w:val="00F049A7"/>
    <w:rsid w:val="00F1470F"/>
    <w:rsid w:val="00F17563"/>
    <w:rsid w:val="00F678A4"/>
    <w:rsid w:val="00F850DB"/>
    <w:rsid w:val="00FA3DEB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ikes@kzp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vralova@hot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kub.machytka@uz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10</cp:revision>
  <dcterms:created xsi:type="dcterms:W3CDTF">2024-06-28T07:49:00Z</dcterms:created>
  <dcterms:modified xsi:type="dcterms:W3CDTF">2024-06-28T07:55:00Z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