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8843" w14:textId="77777777" w:rsidR="00A717AD" w:rsidRDefault="00A717AD"/>
    <w:p w14:paraId="6C41CAD6" w14:textId="77777777"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9E4828" w:rsidRDefault="00B2255E" w:rsidP="00B2255E">
      <w:pPr>
        <w:jc w:val="center"/>
        <w:rPr>
          <w:rFonts w:asciiTheme="minorHAnsi" w:hAnsiTheme="minorHAnsi" w:cstheme="minorHAnsi"/>
          <w:b/>
          <w:bCs/>
        </w:rPr>
      </w:pPr>
      <w:r w:rsidRPr="009E4828">
        <w:rPr>
          <w:rFonts w:asciiTheme="minorHAnsi" w:hAnsiTheme="minorHAnsi" w:cstheme="minorHAnsi"/>
          <w:b/>
          <w:bCs/>
        </w:rPr>
        <w:t>Konfederace zaměstnavatelských a podnikatelských svazů ČR</w:t>
      </w:r>
    </w:p>
    <w:p w14:paraId="6E68A22C" w14:textId="76A76941" w:rsidR="00B2255E" w:rsidRDefault="00C445B4" w:rsidP="0085374F">
      <w:pPr>
        <w:jc w:val="center"/>
        <w:rPr>
          <w:rFonts w:asciiTheme="minorHAnsi" w:hAnsiTheme="minorHAnsi" w:cstheme="minorHAnsi"/>
          <w:b/>
          <w:bCs/>
        </w:rPr>
      </w:pPr>
      <w:r>
        <w:rPr>
          <w:rFonts w:asciiTheme="minorHAnsi" w:hAnsiTheme="minorHAnsi" w:cstheme="minorHAnsi"/>
          <w:b/>
          <w:bCs/>
        </w:rPr>
        <w:t>k</w:t>
      </w:r>
      <w:r w:rsidR="0085374F">
        <w:rPr>
          <w:rFonts w:asciiTheme="minorHAnsi" w:hAnsiTheme="minorHAnsi" w:cstheme="minorHAnsi"/>
          <w:b/>
          <w:bCs/>
        </w:rPr>
        <w:t xml:space="preserve"> </w:t>
      </w:r>
      <w:r w:rsidR="00B2255E">
        <w:rPr>
          <w:rFonts w:asciiTheme="minorHAnsi" w:hAnsiTheme="minorHAnsi" w:cstheme="minorHAnsi"/>
          <w:b/>
          <w:bCs/>
        </w:rPr>
        <w:t>„</w:t>
      </w:r>
      <w:r w:rsidR="00223A56" w:rsidRPr="00223A56">
        <w:rPr>
          <w:rFonts w:asciiTheme="minorHAnsi" w:hAnsiTheme="minorHAnsi" w:cstheme="minorHAnsi"/>
          <w:b/>
          <w:bCs/>
        </w:rPr>
        <w:t>Návrh</w:t>
      </w:r>
      <w:r w:rsidR="00477425">
        <w:rPr>
          <w:rFonts w:asciiTheme="minorHAnsi" w:hAnsiTheme="minorHAnsi" w:cstheme="minorHAnsi"/>
          <w:b/>
          <w:bCs/>
        </w:rPr>
        <w:t>u</w:t>
      </w:r>
      <w:r w:rsidR="00223A56" w:rsidRPr="00223A56">
        <w:rPr>
          <w:rFonts w:asciiTheme="minorHAnsi" w:hAnsiTheme="minorHAnsi" w:cstheme="minorHAnsi"/>
          <w:b/>
          <w:bCs/>
        </w:rPr>
        <w:t xml:space="preserve"> vyhlášky o podrobnostech některých informačních systémů stavební správy</w:t>
      </w:r>
      <w:r w:rsidR="00B2255E">
        <w:rPr>
          <w:rFonts w:asciiTheme="minorHAnsi" w:hAnsiTheme="minorHAnsi" w:cstheme="minorHAnsi"/>
          <w:b/>
          <w:bCs/>
        </w:rPr>
        <w:t>“</w:t>
      </w:r>
    </w:p>
    <w:p w14:paraId="3F226AB2" w14:textId="77777777" w:rsidR="00B2255E" w:rsidRDefault="00B2255E" w:rsidP="00B2255E">
      <w:pPr>
        <w:jc w:val="center"/>
        <w:rPr>
          <w:rFonts w:asciiTheme="minorHAnsi" w:hAnsiTheme="minorHAnsi" w:cstheme="minorHAnsi"/>
          <w:b/>
          <w:bCs/>
        </w:rPr>
      </w:pPr>
    </w:p>
    <w:p w14:paraId="2663FA1E" w14:textId="77777777" w:rsidR="00B2255E" w:rsidRPr="004832B7" w:rsidRDefault="00B2255E" w:rsidP="00B2255E">
      <w:pPr>
        <w:ind w:firstLine="708"/>
        <w:jc w:val="both"/>
        <w:rPr>
          <w:rFonts w:asciiTheme="minorHAnsi" w:hAnsiTheme="minorHAnsi" w:cstheme="minorHAnsi"/>
        </w:rPr>
      </w:pPr>
    </w:p>
    <w:p w14:paraId="647F275D" w14:textId="4E6DA824" w:rsidR="00B2255E" w:rsidRPr="004832B7" w:rsidRDefault="00B2255E" w:rsidP="00B2255E">
      <w:pPr>
        <w:ind w:firstLine="708"/>
        <w:jc w:val="both"/>
        <w:rPr>
          <w:rFonts w:asciiTheme="minorHAnsi" w:hAnsiTheme="minorHAnsi" w:cstheme="minorHAnsi"/>
        </w:rPr>
      </w:pPr>
      <w:r w:rsidRPr="004832B7">
        <w:rPr>
          <w:rFonts w:asciiTheme="minorHAnsi" w:hAnsiTheme="minorHAnsi" w:cstheme="minorHAnsi"/>
        </w:rPr>
        <w:t xml:space="preserve">V rámci mezirezortního připomínkového řízení jsme obdrželi výše uvedený návrh a k tomuto Konfederace zaměstnavatelských a podnikatelských svazů ČR (KZPS ČR) uplatňuje následující </w:t>
      </w:r>
      <w:r w:rsidR="008739B6" w:rsidRPr="00104BA7">
        <w:rPr>
          <w:rFonts w:asciiTheme="minorHAnsi" w:hAnsiTheme="minorHAnsi" w:cstheme="minorHAnsi"/>
          <w:b/>
          <w:bCs/>
        </w:rPr>
        <w:t>doporučuj</w:t>
      </w:r>
      <w:r w:rsidR="00104BA7" w:rsidRPr="00104BA7">
        <w:rPr>
          <w:rFonts w:asciiTheme="minorHAnsi" w:hAnsiTheme="minorHAnsi" w:cstheme="minorHAnsi"/>
          <w:b/>
          <w:bCs/>
        </w:rPr>
        <w:t>ící a z</w:t>
      </w:r>
      <w:r w:rsidR="00104BA7">
        <w:rPr>
          <w:rFonts w:asciiTheme="minorHAnsi" w:hAnsiTheme="minorHAnsi" w:cstheme="minorHAnsi"/>
          <w:b/>
          <w:bCs/>
        </w:rPr>
        <w:t>á</w:t>
      </w:r>
      <w:r w:rsidR="00104BA7" w:rsidRPr="00104BA7">
        <w:rPr>
          <w:rFonts w:asciiTheme="minorHAnsi" w:hAnsiTheme="minorHAnsi" w:cstheme="minorHAnsi"/>
          <w:b/>
          <w:bCs/>
        </w:rPr>
        <w:t xml:space="preserve">sadní </w:t>
      </w:r>
      <w:r w:rsidRPr="00104BA7">
        <w:rPr>
          <w:rFonts w:asciiTheme="minorHAnsi" w:hAnsiTheme="minorHAnsi" w:cstheme="minorHAnsi"/>
          <w:b/>
          <w:bCs/>
        </w:rPr>
        <w:t>připomínky</w:t>
      </w:r>
      <w:r w:rsidRPr="004832B7">
        <w:rPr>
          <w:rFonts w:asciiTheme="minorHAnsi" w:hAnsiTheme="minorHAnsi" w:cstheme="minorHAnsi"/>
        </w:rPr>
        <w:t>:</w:t>
      </w:r>
    </w:p>
    <w:p w14:paraId="1F6A617F" w14:textId="77777777" w:rsidR="0085374F" w:rsidRDefault="0085374F" w:rsidP="00141DD7">
      <w:pPr>
        <w:spacing w:after="200"/>
        <w:rPr>
          <w:rFonts w:asciiTheme="minorHAnsi" w:eastAsiaTheme="minorHAnsi" w:hAnsiTheme="minorHAnsi" w:cstheme="minorHAnsi"/>
          <w:b/>
          <w:sz w:val="22"/>
          <w:szCs w:val="22"/>
          <w:u w:val="single"/>
          <w:lang w:eastAsia="en-US"/>
        </w:rPr>
      </w:pPr>
    </w:p>
    <w:p w14:paraId="15F097AA" w14:textId="77777777" w:rsidR="00104D75" w:rsidRPr="00EF32DD" w:rsidRDefault="00104D75" w:rsidP="00EF32DD">
      <w:pPr>
        <w:spacing w:after="200"/>
        <w:rPr>
          <w:rFonts w:asciiTheme="minorHAnsi" w:eastAsiaTheme="minorHAnsi" w:hAnsiTheme="minorHAnsi" w:cstheme="minorHAnsi"/>
          <w:b/>
          <w:u w:val="single"/>
          <w:lang w:eastAsia="en-US"/>
        </w:rPr>
      </w:pPr>
      <w:r w:rsidRPr="00EF32DD">
        <w:rPr>
          <w:rFonts w:asciiTheme="minorHAnsi" w:eastAsiaTheme="minorHAnsi" w:hAnsiTheme="minorHAnsi" w:cstheme="minorHAnsi"/>
          <w:b/>
          <w:u w:val="single"/>
          <w:lang w:eastAsia="en-US"/>
        </w:rPr>
        <w:t>Obecné připomínky</w:t>
      </w:r>
    </w:p>
    <w:p w14:paraId="53B1BDAB" w14:textId="41F17FD9" w:rsidR="00123944" w:rsidRDefault="00123944" w:rsidP="00EF32DD">
      <w:pPr>
        <w:spacing w:after="200"/>
        <w:jc w:val="both"/>
        <w:rPr>
          <w:rFonts w:asciiTheme="minorHAnsi" w:eastAsiaTheme="minorHAnsi" w:hAnsiTheme="minorHAnsi" w:cstheme="minorHAnsi"/>
          <w:lang w:eastAsia="en-US"/>
        </w:rPr>
      </w:pPr>
      <w:r>
        <w:rPr>
          <w:rFonts w:asciiTheme="minorHAnsi" w:eastAsiaTheme="minorHAnsi" w:hAnsiTheme="minorHAnsi" w:cstheme="minorHAnsi"/>
          <w:lang w:eastAsia="en-US"/>
        </w:rPr>
        <w:t>1. K § 2 odst. 1</w:t>
      </w:r>
    </w:p>
    <w:p w14:paraId="096B4FDC" w14:textId="72C069E1" w:rsidR="00123944" w:rsidRDefault="00123944" w:rsidP="00EF32DD">
      <w:pPr>
        <w:spacing w:after="200"/>
        <w:jc w:val="both"/>
        <w:rPr>
          <w:rFonts w:asciiTheme="minorHAnsi" w:eastAsiaTheme="minorHAnsi" w:hAnsiTheme="minorHAnsi" w:cstheme="minorHAnsi"/>
          <w:lang w:eastAsia="en-US"/>
        </w:rPr>
      </w:pPr>
      <w:r>
        <w:rPr>
          <w:rFonts w:asciiTheme="minorHAnsi" w:eastAsiaTheme="minorHAnsi" w:hAnsiTheme="minorHAnsi" w:cstheme="minorHAnsi"/>
          <w:lang w:eastAsia="en-US"/>
        </w:rPr>
        <w:t>Informace by měla být zaslána</w:t>
      </w:r>
      <w:r w:rsidRPr="00123944">
        <w:rPr>
          <w:rFonts w:asciiTheme="minorHAnsi" w:eastAsiaTheme="minorHAnsi" w:hAnsiTheme="minorHAnsi" w:cstheme="minorHAnsi"/>
          <w:lang w:eastAsia="en-US"/>
        </w:rPr>
        <w:t xml:space="preserve"> pouze účastníkům řízení (viz. (4) a §272 zákona)</w:t>
      </w:r>
      <w:r>
        <w:rPr>
          <w:rFonts w:asciiTheme="minorHAnsi" w:eastAsiaTheme="minorHAnsi" w:hAnsiTheme="minorHAnsi" w:cstheme="minorHAnsi"/>
          <w:lang w:eastAsia="en-US"/>
        </w:rPr>
        <w:t>.</w:t>
      </w:r>
      <w:r w:rsidRPr="00123944">
        <w:rPr>
          <w:rFonts w:asciiTheme="minorHAnsi" w:eastAsiaTheme="minorHAnsi" w:hAnsiTheme="minorHAnsi" w:cstheme="minorHAnsi"/>
          <w:lang w:eastAsia="en-US"/>
        </w:rPr>
        <w:t xml:space="preserve"> Pokud by bylo zasíláno komukoliv</w:t>
      </w:r>
      <w:r>
        <w:rPr>
          <w:rFonts w:asciiTheme="minorHAnsi" w:eastAsiaTheme="minorHAnsi" w:hAnsiTheme="minorHAnsi" w:cstheme="minorHAnsi"/>
          <w:lang w:eastAsia="en-US"/>
        </w:rPr>
        <w:t>,</w:t>
      </w:r>
      <w:r w:rsidRPr="00123944">
        <w:rPr>
          <w:rFonts w:asciiTheme="minorHAnsi" w:eastAsiaTheme="minorHAnsi" w:hAnsiTheme="minorHAnsi" w:cstheme="minorHAnsi"/>
          <w:lang w:eastAsia="en-US"/>
        </w:rPr>
        <w:t xml:space="preserve"> kdo si o zasílání požádá (pokud takové právo bude mít kdokoliv kdo se přihlásí identitou občana viz. §4), </w:t>
      </w:r>
      <w:r>
        <w:rPr>
          <w:rFonts w:asciiTheme="minorHAnsi" w:eastAsiaTheme="minorHAnsi" w:hAnsiTheme="minorHAnsi" w:cstheme="minorHAnsi"/>
          <w:lang w:eastAsia="en-US"/>
        </w:rPr>
        <w:t>bude bezdůvodně rozšiřován okruh potenciálních účastníků řízení.</w:t>
      </w:r>
    </w:p>
    <w:p w14:paraId="0B8A5799" w14:textId="77777777" w:rsidR="00123944" w:rsidRPr="00EF32DD" w:rsidRDefault="00123944" w:rsidP="00123944">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7DB45E15" w14:textId="77777777" w:rsidR="00123944" w:rsidRDefault="00123944" w:rsidP="00EF32DD">
      <w:pPr>
        <w:spacing w:after="200"/>
        <w:jc w:val="both"/>
        <w:rPr>
          <w:rFonts w:asciiTheme="minorHAnsi" w:eastAsiaTheme="minorHAnsi" w:hAnsiTheme="minorHAnsi" w:cstheme="minorHAnsi"/>
          <w:lang w:eastAsia="en-US"/>
        </w:rPr>
      </w:pPr>
    </w:p>
    <w:p w14:paraId="657DF73B" w14:textId="4B295B4C" w:rsidR="00123944" w:rsidRDefault="00123944" w:rsidP="00EF32DD">
      <w:pPr>
        <w:spacing w:after="200"/>
        <w:jc w:val="both"/>
        <w:rPr>
          <w:rFonts w:asciiTheme="minorHAnsi" w:eastAsiaTheme="minorHAnsi" w:hAnsiTheme="minorHAnsi" w:cstheme="minorHAnsi"/>
          <w:lang w:eastAsia="en-US"/>
        </w:rPr>
      </w:pPr>
      <w:r>
        <w:rPr>
          <w:rFonts w:asciiTheme="minorHAnsi" w:eastAsiaTheme="minorHAnsi" w:hAnsiTheme="minorHAnsi" w:cstheme="minorHAnsi"/>
          <w:lang w:eastAsia="en-US"/>
        </w:rPr>
        <w:t>2. K § 4 odst. 1 J</w:t>
      </w:r>
      <w:r w:rsidRPr="00123944">
        <w:rPr>
          <w:rFonts w:asciiTheme="minorHAnsi" w:eastAsiaTheme="minorHAnsi" w:hAnsiTheme="minorHAnsi" w:cstheme="minorHAnsi"/>
          <w:lang w:eastAsia="en-US"/>
        </w:rPr>
        <w:t>ak</w:t>
      </w:r>
      <w:r>
        <w:rPr>
          <w:rFonts w:asciiTheme="minorHAnsi" w:eastAsiaTheme="minorHAnsi" w:hAnsiTheme="minorHAnsi" w:cstheme="minorHAnsi"/>
          <w:lang w:eastAsia="en-US"/>
        </w:rPr>
        <w:t xml:space="preserve"> bude postupováno v případě</w:t>
      </w:r>
      <w:r w:rsidRPr="00123944">
        <w:rPr>
          <w:rFonts w:asciiTheme="minorHAnsi" w:eastAsiaTheme="minorHAnsi" w:hAnsiTheme="minorHAnsi" w:cstheme="minorHAnsi"/>
          <w:lang w:eastAsia="en-US"/>
        </w:rPr>
        <w:t xml:space="preserve"> u právnických osob?</w:t>
      </w:r>
      <w:r>
        <w:rPr>
          <w:rFonts w:asciiTheme="minorHAnsi" w:eastAsiaTheme="minorHAnsi" w:hAnsiTheme="minorHAnsi" w:cstheme="minorHAnsi"/>
          <w:lang w:eastAsia="en-US"/>
        </w:rPr>
        <w:t xml:space="preserve"> Prosíme o objasnění. </w:t>
      </w:r>
    </w:p>
    <w:p w14:paraId="5D8048F2" w14:textId="452D0425" w:rsidR="00123944" w:rsidRDefault="00123944" w:rsidP="00123944">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tato připomínka je </w:t>
      </w:r>
      <w:r>
        <w:rPr>
          <w:rFonts w:asciiTheme="minorHAnsi" w:eastAsiaTheme="minorHAnsi" w:hAnsiTheme="minorHAnsi" w:cstheme="minorHAnsi"/>
          <w:lang w:eastAsia="en-US"/>
        </w:rPr>
        <w:t>doporučující</w:t>
      </w:r>
    </w:p>
    <w:p w14:paraId="49F70AA2" w14:textId="3577C0AA" w:rsidR="00104D75" w:rsidRPr="00EF32DD" w:rsidRDefault="00123944" w:rsidP="00EF32DD">
      <w:pPr>
        <w:spacing w:after="200"/>
        <w:jc w:val="both"/>
        <w:rPr>
          <w:rFonts w:asciiTheme="minorHAnsi" w:eastAsiaTheme="minorHAnsi" w:hAnsiTheme="minorHAnsi" w:cstheme="minorHAnsi"/>
          <w:lang w:eastAsia="en-US"/>
        </w:rPr>
      </w:pPr>
      <w:r>
        <w:rPr>
          <w:rFonts w:asciiTheme="minorHAnsi" w:eastAsiaTheme="minorHAnsi" w:hAnsiTheme="minorHAnsi" w:cstheme="minorHAnsi"/>
          <w:lang w:eastAsia="en-US"/>
        </w:rPr>
        <w:t>3</w:t>
      </w:r>
      <w:r w:rsidR="00104D75" w:rsidRPr="00EF32DD">
        <w:rPr>
          <w:rFonts w:asciiTheme="minorHAnsi" w:eastAsiaTheme="minorHAnsi" w:hAnsiTheme="minorHAnsi" w:cstheme="minorHAnsi"/>
          <w:lang w:eastAsia="en-US"/>
        </w:rPr>
        <w:t xml:space="preserve">. </w:t>
      </w:r>
      <w:r w:rsidR="00104D75" w:rsidRPr="00EF32DD">
        <w:rPr>
          <w:rFonts w:asciiTheme="minorHAnsi" w:eastAsiaTheme="minorHAnsi" w:hAnsiTheme="minorHAnsi" w:cstheme="minorHAnsi"/>
          <w:b/>
          <w:bCs/>
          <w:lang w:eastAsia="en-US"/>
        </w:rPr>
        <w:t>K § 5</w:t>
      </w:r>
    </w:p>
    <w:p w14:paraId="255FBED5"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Jakým způsobem bude nahlížet do spisu účastník řízení, který nemá zřízenu identitu občana?</w:t>
      </w:r>
    </w:p>
    <w:p w14:paraId="6528C898"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Bude nutné zřídit v prostorách úřadu veřejné místo pro nahlížení do spisu (tj. počítač s monitorem) pro osoby, které nevlastní počítač? Bude mít úřad povinnost asistovat takovému účastníkovi řízení při nahlížení? (zejména u osob, které nemají zkušenost pro práci s počítačovou technikou). Spis může být velmi obsáhlý a nahlížení může trvat i několik hodin.</w:t>
      </w:r>
    </w:p>
    <w:p w14:paraId="68A4598A"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040BF9AC" w14:textId="49A3C339" w:rsidR="00104D75" w:rsidRPr="00EF32DD" w:rsidRDefault="00123944" w:rsidP="00EF32DD">
      <w:pPr>
        <w:spacing w:after="200"/>
        <w:jc w:val="both"/>
        <w:rPr>
          <w:rFonts w:asciiTheme="minorHAnsi" w:eastAsiaTheme="minorHAnsi" w:hAnsiTheme="minorHAnsi" w:cstheme="minorHAnsi"/>
          <w:b/>
          <w:bCs/>
          <w:lang w:eastAsia="en-US"/>
        </w:rPr>
      </w:pPr>
      <w:r>
        <w:rPr>
          <w:rFonts w:asciiTheme="minorHAnsi" w:eastAsiaTheme="minorHAnsi" w:hAnsiTheme="minorHAnsi" w:cstheme="minorHAnsi"/>
          <w:lang w:eastAsia="en-US"/>
        </w:rPr>
        <w:t>4</w:t>
      </w:r>
      <w:r w:rsidR="00104D75" w:rsidRPr="00EF32DD">
        <w:rPr>
          <w:rFonts w:asciiTheme="minorHAnsi" w:eastAsiaTheme="minorHAnsi" w:hAnsiTheme="minorHAnsi" w:cstheme="minorHAnsi"/>
          <w:lang w:eastAsia="en-US"/>
        </w:rPr>
        <w:t xml:space="preserve">. </w:t>
      </w:r>
      <w:r w:rsidR="00104D75" w:rsidRPr="00EF32DD">
        <w:rPr>
          <w:rFonts w:asciiTheme="minorHAnsi" w:eastAsiaTheme="minorHAnsi" w:hAnsiTheme="minorHAnsi" w:cstheme="minorHAnsi"/>
          <w:b/>
          <w:bCs/>
          <w:lang w:eastAsia="en-US"/>
        </w:rPr>
        <w:t>K</w:t>
      </w:r>
      <w:r w:rsidR="00104D75" w:rsidRPr="00EF32DD">
        <w:rPr>
          <w:rFonts w:asciiTheme="minorHAnsi" w:eastAsiaTheme="minorHAnsi" w:hAnsiTheme="minorHAnsi" w:cstheme="minorHAnsi"/>
          <w:lang w:eastAsia="en-US"/>
        </w:rPr>
        <w:t xml:space="preserve"> </w:t>
      </w:r>
      <w:r w:rsidR="00104D75" w:rsidRPr="00EF32DD">
        <w:rPr>
          <w:rFonts w:asciiTheme="minorHAnsi" w:eastAsiaTheme="minorHAnsi" w:hAnsiTheme="minorHAnsi" w:cstheme="minorHAnsi"/>
          <w:b/>
          <w:bCs/>
          <w:lang w:eastAsia="en-US"/>
        </w:rPr>
        <w:t>§ 14 odst. 3 a 4</w:t>
      </w:r>
    </w:p>
    <w:p w14:paraId="5A75FC99"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Jedná se skutečně o </w:t>
      </w:r>
      <w:r w:rsidRPr="00EF32DD">
        <w:rPr>
          <w:rFonts w:asciiTheme="minorHAnsi" w:eastAsiaTheme="minorHAnsi" w:hAnsiTheme="minorHAnsi" w:cstheme="minorHAnsi"/>
          <w:i/>
          <w:iCs/>
          <w:lang w:eastAsia="en-US"/>
        </w:rPr>
        <w:t>spisový a skartační řád</w:t>
      </w:r>
      <w:r w:rsidRPr="00EF32DD">
        <w:rPr>
          <w:rFonts w:asciiTheme="minorHAnsi" w:eastAsiaTheme="minorHAnsi" w:hAnsiTheme="minorHAnsi" w:cstheme="minorHAnsi"/>
          <w:lang w:eastAsia="en-US"/>
        </w:rPr>
        <w:t xml:space="preserve">? Nemůže se jednat o překlep a měl to být </w:t>
      </w:r>
      <w:r w:rsidRPr="00EF32DD">
        <w:rPr>
          <w:rFonts w:asciiTheme="minorHAnsi" w:eastAsiaTheme="minorHAnsi" w:hAnsiTheme="minorHAnsi" w:cstheme="minorHAnsi"/>
          <w:i/>
          <w:iCs/>
          <w:lang w:eastAsia="en-US"/>
        </w:rPr>
        <w:t>spisový a skartační plán</w:t>
      </w:r>
      <w:r w:rsidRPr="00EF32DD">
        <w:rPr>
          <w:rFonts w:asciiTheme="minorHAnsi" w:eastAsiaTheme="minorHAnsi" w:hAnsiTheme="minorHAnsi" w:cstheme="minorHAnsi"/>
          <w:lang w:eastAsia="en-US"/>
        </w:rPr>
        <w:t>? Například vyhláška č. 259/2012 Sb., o podrobnostech výkonu spisové služby pracuje se samostatnými pojmy „spisový řád“ (např. § 8) a „spisový a skartační plán“ (např. § 15).</w:t>
      </w:r>
    </w:p>
    <w:p w14:paraId="7B684D80"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6B72121F" w14:textId="5494F82B" w:rsidR="00104D75" w:rsidRPr="00EF32DD" w:rsidRDefault="00123944" w:rsidP="00EF32DD">
      <w:pPr>
        <w:spacing w:after="200"/>
        <w:jc w:val="both"/>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5</w:t>
      </w:r>
      <w:r w:rsidR="00104D75" w:rsidRPr="00EF32DD">
        <w:rPr>
          <w:rFonts w:asciiTheme="minorHAnsi" w:eastAsiaTheme="minorHAnsi" w:hAnsiTheme="minorHAnsi" w:cstheme="minorHAnsi"/>
          <w:lang w:eastAsia="en-US"/>
        </w:rPr>
        <w:t xml:space="preserve">. </w:t>
      </w:r>
      <w:r w:rsidR="00104D75" w:rsidRPr="00EF32DD">
        <w:rPr>
          <w:rFonts w:asciiTheme="minorHAnsi" w:eastAsiaTheme="minorHAnsi" w:hAnsiTheme="minorHAnsi" w:cstheme="minorHAnsi"/>
          <w:b/>
          <w:bCs/>
          <w:lang w:eastAsia="en-US"/>
        </w:rPr>
        <w:t>K § 17 odst. 5</w:t>
      </w:r>
    </w:p>
    <w:p w14:paraId="122E1B63"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Uvedený text nepředpokládá osobní doručení, resp. pokud ano, pak pouze na centrální podatelnu?</w:t>
      </w:r>
    </w:p>
    <w:p w14:paraId="0DDD5CA4"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0037B17C" w14:textId="3B70EA9B" w:rsidR="00104D75" w:rsidRPr="00EF32DD" w:rsidRDefault="00123944" w:rsidP="00EF32DD">
      <w:pPr>
        <w:spacing w:after="200"/>
        <w:jc w:val="both"/>
        <w:rPr>
          <w:rFonts w:asciiTheme="minorHAnsi" w:eastAsiaTheme="minorHAnsi" w:hAnsiTheme="minorHAnsi" w:cstheme="minorHAnsi"/>
          <w:lang w:eastAsia="en-US"/>
        </w:rPr>
      </w:pPr>
      <w:r>
        <w:rPr>
          <w:rFonts w:asciiTheme="minorHAnsi" w:eastAsiaTheme="minorHAnsi" w:hAnsiTheme="minorHAnsi" w:cstheme="minorHAnsi"/>
          <w:lang w:eastAsia="en-US"/>
        </w:rPr>
        <w:t>6</w:t>
      </w:r>
      <w:r w:rsidR="00104D75" w:rsidRPr="00EF32DD">
        <w:rPr>
          <w:rFonts w:asciiTheme="minorHAnsi" w:eastAsiaTheme="minorHAnsi" w:hAnsiTheme="minorHAnsi" w:cstheme="minorHAnsi"/>
          <w:lang w:eastAsia="en-US"/>
        </w:rPr>
        <w:t xml:space="preserve">. </w:t>
      </w:r>
      <w:r w:rsidR="00104D75" w:rsidRPr="00EF32DD">
        <w:rPr>
          <w:rFonts w:asciiTheme="minorHAnsi" w:eastAsiaTheme="minorHAnsi" w:hAnsiTheme="minorHAnsi" w:cstheme="minorHAnsi"/>
          <w:b/>
          <w:bCs/>
          <w:lang w:eastAsia="en-US"/>
        </w:rPr>
        <w:t xml:space="preserve">K </w:t>
      </w:r>
      <w:r w:rsidR="00104D75" w:rsidRPr="00EF32DD">
        <w:rPr>
          <w:rFonts w:asciiTheme="minorHAnsi" w:eastAsiaTheme="minorHAnsi" w:hAnsiTheme="minorHAnsi" w:cstheme="minorHAnsi"/>
          <w:b/>
          <w:bCs/>
          <w:color w:val="000000" w:themeColor="text1"/>
          <w:lang w:eastAsia="en-US"/>
        </w:rPr>
        <w:t>§ 17 odst. 6</w:t>
      </w:r>
      <w:r w:rsidR="00104D75" w:rsidRPr="00EF32DD">
        <w:rPr>
          <w:rFonts w:asciiTheme="minorHAnsi" w:eastAsiaTheme="minorHAnsi" w:hAnsiTheme="minorHAnsi" w:cstheme="minorHAnsi"/>
          <w:lang w:eastAsia="en-US"/>
        </w:rPr>
        <w:t xml:space="preserve"> </w:t>
      </w:r>
    </w:p>
    <w:p w14:paraId="73A09479" w14:textId="77777777" w:rsidR="00104D75" w:rsidRPr="00EF32DD" w:rsidRDefault="00104D75" w:rsidP="00EF32DD">
      <w:pPr>
        <w:spacing w:after="200"/>
        <w:jc w:val="both"/>
        <w:rPr>
          <w:rFonts w:asciiTheme="minorHAnsi" w:eastAsiaTheme="minorHAnsi" w:hAnsiTheme="minorHAnsi" w:cstheme="minorHAnsi"/>
          <w:b/>
          <w:bCs/>
          <w:lang w:eastAsia="en-US"/>
        </w:rPr>
      </w:pPr>
      <w:r w:rsidRPr="00EF32DD">
        <w:rPr>
          <w:rFonts w:asciiTheme="minorHAnsi" w:eastAsiaTheme="minorHAnsi" w:hAnsiTheme="minorHAnsi" w:cstheme="minorHAnsi"/>
          <w:lang w:eastAsia="en-US"/>
        </w:rPr>
        <w:t>Návrh vyhlášky sice stanoví postup pro případ doručení dokumentu na jinou podatelnu, elektronickou podatelnu nebo datovou schránku i lhůtu pro předání (</w:t>
      </w:r>
      <w:r w:rsidRPr="00EF32DD">
        <w:rPr>
          <w:rFonts w:asciiTheme="minorHAnsi" w:eastAsiaTheme="minorHAnsi" w:hAnsiTheme="minorHAnsi" w:cstheme="minorHAnsi"/>
          <w:i/>
          <w:iCs/>
          <w:lang w:eastAsia="en-US"/>
        </w:rPr>
        <w:t>neprodleně</w:t>
      </w:r>
      <w:r w:rsidRPr="00EF32DD">
        <w:rPr>
          <w:rFonts w:asciiTheme="minorHAnsi" w:eastAsiaTheme="minorHAnsi" w:hAnsiTheme="minorHAnsi" w:cstheme="minorHAnsi"/>
          <w:lang w:eastAsia="en-US"/>
        </w:rPr>
        <w:t xml:space="preserve">), a okamžik doručení dokumentu, neupravuje však, zda zmeškání lhůty přes neprodlené předání půjde na vrub stavebního úřadu nebo dotčeného orgánu nebo podatele. Typicky bude podán opravný prostředek – odvolání – poslední den lhůty v pátek ve 23:00 hodin, avšak do datové schránky obce (městské části). I když k přeposlání do centrální podatelny dojde nejbližší pracovní den, tj. v pondělí ráno, lhůta bude zmeškána, jelikož </w:t>
      </w:r>
      <w:r w:rsidRPr="00EF32DD">
        <w:rPr>
          <w:rFonts w:asciiTheme="minorHAnsi" w:eastAsiaTheme="minorHAnsi" w:hAnsiTheme="minorHAnsi" w:cstheme="minorHAnsi"/>
          <w:i/>
          <w:iCs/>
          <w:lang w:eastAsia="en-US"/>
        </w:rPr>
        <w:t>okamžik doručení dokumentu je okamžikem doručení do centrální datové schránky, zaevidováním fyzického dokumentu v informačním systému stavebního řízení nebo vložením datové zprávy do informačního systému stavebního řízení.</w:t>
      </w:r>
      <w:r w:rsidRPr="00EF32DD">
        <w:rPr>
          <w:rFonts w:asciiTheme="minorHAnsi" w:eastAsiaTheme="minorHAnsi" w:hAnsiTheme="minorHAnsi" w:cstheme="minorHAnsi"/>
          <w:lang w:eastAsia="en-US"/>
        </w:rPr>
        <w:t xml:space="preserve"> </w:t>
      </w:r>
      <w:r w:rsidRPr="00EF32DD">
        <w:rPr>
          <w:rFonts w:asciiTheme="minorHAnsi" w:eastAsiaTheme="minorHAnsi" w:hAnsiTheme="minorHAnsi" w:cstheme="minorHAnsi"/>
          <w:b/>
          <w:bCs/>
          <w:lang w:eastAsia="en-US"/>
        </w:rPr>
        <w:t>Je i otázkou, zda takovouto poměrně zásadní úpravu určení okamžiku doručení dokumentu může vůbec upravovat podzákonný právní předpis.</w:t>
      </w:r>
    </w:p>
    <w:p w14:paraId="726CC929"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Současně není možné stanovit okamžik doručení dokumentu na základě ukončení vnitřního oběhového procesu úřadu. Pokud podatel doručil dokument do dispozice úřadu (fyzicky, poskytovatelem poštovních služeb), pak byl dokument doručen bez ohledu na skutečnost, zda byly v rámci úřadu (tedy přeposlání na centrální podatelnu nebo zaevidování v informačním systému stavebního řízení) učiněny další kroky, na které již nemá podatel žádný vliv.</w:t>
      </w:r>
    </w:p>
    <w:p w14:paraId="526E2500"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Jakým způsobem bude postupováno, pokud stavebník </w:t>
      </w:r>
      <w:proofErr w:type="gramStart"/>
      <w:r w:rsidRPr="00EF32DD">
        <w:rPr>
          <w:rFonts w:asciiTheme="minorHAnsi" w:eastAsiaTheme="minorHAnsi" w:hAnsiTheme="minorHAnsi" w:cstheme="minorHAnsi"/>
          <w:lang w:eastAsia="en-US"/>
        </w:rPr>
        <w:t>doručí</w:t>
      </w:r>
      <w:proofErr w:type="gramEnd"/>
      <w:r w:rsidRPr="00EF32DD">
        <w:rPr>
          <w:rFonts w:asciiTheme="minorHAnsi" w:eastAsiaTheme="minorHAnsi" w:hAnsiTheme="minorHAnsi" w:cstheme="minorHAnsi"/>
          <w:lang w:eastAsia="en-US"/>
        </w:rPr>
        <w:t xml:space="preserve"> rozsáhlou projektovou dokumentaci do podatelny úřadu v listinné formě? Přeposlání na centrální podatelnu (dle znění odst. 6) je časově i finančně náročné. Případná konverze dokumentů do digitální formy je také časově náročná. </w:t>
      </w:r>
    </w:p>
    <w:p w14:paraId="668E5B9F"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7E5DCECE" w14:textId="71F9B12E" w:rsidR="00104D75" w:rsidRPr="00EF32DD" w:rsidRDefault="00123944" w:rsidP="00EF32DD">
      <w:pPr>
        <w:spacing w:after="200"/>
        <w:jc w:val="both"/>
        <w:rPr>
          <w:rFonts w:asciiTheme="minorHAnsi" w:eastAsiaTheme="minorHAnsi" w:hAnsiTheme="minorHAnsi" w:cstheme="minorHAnsi"/>
          <w:b/>
          <w:bCs/>
          <w:lang w:eastAsia="en-US"/>
        </w:rPr>
      </w:pPr>
      <w:r>
        <w:rPr>
          <w:rFonts w:asciiTheme="minorHAnsi" w:eastAsiaTheme="minorHAnsi" w:hAnsiTheme="minorHAnsi" w:cstheme="minorHAnsi"/>
          <w:lang w:eastAsia="en-US"/>
        </w:rPr>
        <w:t>7</w:t>
      </w:r>
      <w:r w:rsidR="00104D75" w:rsidRPr="00EF32DD">
        <w:rPr>
          <w:rFonts w:asciiTheme="minorHAnsi" w:eastAsiaTheme="minorHAnsi" w:hAnsiTheme="minorHAnsi" w:cstheme="minorHAnsi"/>
          <w:lang w:eastAsia="en-US"/>
        </w:rPr>
        <w:t xml:space="preserve">. </w:t>
      </w:r>
      <w:r w:rsidR="00104D75" w:rsidRPr="00EF32DD">
        <w:rPr>
          <w:rFonts w:asciiTheme="minorHAnsi" w:eastAsiaTheme="minorHAnsi" w:hAnsiTheme="minorHAnsi" w:cstheme="minorHAnsi"/>
          <w:b/>
          <w:bCs/>
          <w:lang w:eastAsia="en-US"/>
        </w:rPr>
        <w:t>K § 17 odst. 8</w:t>
      </w:r>
    </w:p>
    <w:p w14:paraId="6FD3B230"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Rozsah přípustných formátů stanovených v příloze č. 1 vyhlášky převyšuje rozsah výstupních datových formátů dle § 23 vyhlášky č. 259/2012 Sb., o podrobnostech výkonu spisové služby. Budou dokumenty převáděny do výstupních datových formátů dle </w:t>
      </w:r>
      <w:proofErr w:type="spellStart"/>
      <w:r w:rsidRPr="00EF32DD">
        <w:rPr>
          <w:rFonts w:asciiTheme="minorHAnsi" w:eastAsiaTheme="minorHAnsi" w:hAnsiTheme="minorHAnsi" w:cstheme="minorHAnsi"/>
          <w:lang w:eastAsia="en-US"/>
        </w:rPr>
        <w:t>vyhl</w:t>
      </w:r>
      <w:proofErr w:type="spellEnd"/>
      <w:r w:rsidRPr="00EF32DD">
        <w:rPr>
          <w:rFonts w:asciiTheme="minorHAnsi" w:eastAsiaTheme="minorHAnsi" w:hAnsiTheme="minorHAnsi" w:cstheme="minorHAnsi"/>
          <w:lang w:eastAsia="en-US"/>
        </w:rPr>
        <w:t>. č. 259/2012 Sb.? Pro samotné stavební úřady to také znamená, že veškeré v příloze č. 1 uvedené formáty musí umět zpracovávat (i v souvislosti s § 18 odst. 3 vyhlášky). A to i přes skutečnost, že některé až doposud přijímány nebyly, zejména z důvodů kybernetické bezpečnosti.</w:t>
      </w:r>
    </w:p>
    <w:p w14:paraId="2767D74C"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55BB3BD3" w14:textId="45D5D3F7" w:rsidR="00104D75" w:rsidRPr="00EF32DD" w:rsidRDefault="00123944" w:rsidP="00EF32DD">
      <w:pPr>
        <w:spacing w:after="200"/>
        <w:jc w:val="both"/>
        <w:rPr>
          <w:rFonts w:asciiTheme="minorHAnsi" w:eastAsiaTheme="minorHAnsi" w:hAnsiTheme="minorHAnsi" w:cstheme="minorHAnsi"/>
          <w:lang w:eastAsia="en-US"/>
        </w:rPr>
      </w:pPr>
      <w:r>
        <w:rPr>
          <w:rFonts w:asciiTheme="minorHAnsi" w:eastAsiaTheme="minorHAnsi" w:hAnsiTheme="minorHAnsi" w:cstheme="minorHAnsi"/>
          <w:lang w:eastAsia="en-US"/>
        </w:rPr>
        <w:t>8</w:t>
      </w:r>
      <w:r w:rsidR="00104D75" w:rsidRPr="00EF32DD">
        <w:rPr>
          <w:rFonts w:asciiTheme="minorHAnsi" w:eastAsiaTheme="minorHAnsi" w:hAnsiTheme="minorHAnsi" w:cstheme="minorHAnsi"/>
          <w:lang w:eastAsia="en-US"/>
        </w:rPr>
        <w:t xml:space="preserve">. </w:t>
      </w:r>
      <w:r w:rsidR="00104D75" w:rsidRPr="00EF32DD">
        <w:rPr>
          <w:rFonts w:asciiTheme="minorHAnsi" w:eastAsiaTheme="minorHAnsi" w:hAnsiTheme="minorHAnsi" w:cstheme="minorHAnsi"/>
          <w:b/>
          <w:bCs/>
          <w:lang w:eastAsia="en-US"/>
        </w:rPr>
        <w:t>K § 20</w:t>
      </w:r>
      <w:r w:rsidR="00104D75" w:rsidRPr="00EF32DD">
        <w:rPr>
          <w:rFonts w:asciiTheme="minorHAnsi" w:eastAsiaTheme="minorHAnsi" w:hAnsiTheme="minorHAnsi" w:cstheme="minorHAnsi"/>
          <w:lang w:eastAsia="en-US"/>
        </w:rPr>
        <w:t xml:space="preserve"> </w:t>
      </w:r>
    </w:p>
    <w:p w14:paraId="0AF2F6DB"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lastRenderedPageBreak/>
        <w:t>Datová struktura datové kontejneru elektronické dokumentace je sice uvedena v příloze č. 8 návrhu vyhlášky, ovšem až k bodu IV. této přílohy „</w:t>
      </w:r>
      <w:r w:rsidRPr="00EF32DD">
        <w:rPr>
          <w:rFonts w:asciiTheme="minorHAnsi" w:eastAsiaTheme="minorHAnsi" w:hAnsiTheme="minorHAnsi" w:cstheme="minorHAnsi"/>
          <w:i/>
          <w:iCs/>
          <w:lang w:eastAsia="en-US"/>
        </w:rPr>
        <w:t>Struktura BPP</w:t>
      </w:r>
      <w:r w:rsidRPr="00EF32DD">
        <w:rPr>
          <w:rFonts w:asciiTheme="minorHAnsi" w:eastAsiaTheme="minorHAnsi" w:hAnsiTheme="minorHAnsi" w:cstheme="minorHAnsi"/>
          <w:lang w:eastAsia="en-US"/>
        </w:rPr>
        <w:t xml:space="preserve">“. Jinak příloha č. 8 obsahuje na úvod obecné pojednání o nově navrženém obecném formátu balíčků </w:t>
      </w:r>
      <w:proofErr w:type="spellStart"/>
      <w:r w:rsidRPr="00EF32DD">
        <w:rPr>
          <w:rFonts w:asciiTheme="minorHAnsi" w:eastAsiaTheme="minorHAnsi" w:hAnsiTheme="minorHAnsi" w:cstheme="minorHAnsi"/>
          <w:lang w:eastAsia="en-US"/>
        </w:rPr>
        <w:t>Building</w:t>
      </w:r>
      <w:proofErr w:type="spellEnd"/>
      <w:r w:rsidRPr="00EF32DD">
        <w:rPr>
          <w:rFonts w:asciiTheme="minorHAnsi" w:eastAsiaTheme="minorHAnsi" w:hAnsiTheme="minorHAnsi" w:cstheme="minorHAnsi"/>
          <w:lang w:eastAsia="en-US"/>
        </w:rPr>
        <w:t xml:space="preserve"> </w:t>
      </w:r>
      <w:proofErr w:type="spellStart"/>
      <w:r w:rsidRPr="00EF32DD">
        <w:rPr>
          <w:rFonts w:asciiTheme="minorHAnsi" w:eastAsiaTheme="minorHAnsi" w:hAnsiTheme="minorHAnsi" w:cstheme="minorHAnsi"/>
          <w:lang w:eastAsia="en-US"/>
        </w:rPr>
        <w:t>Permin</w:t>
      </w:r>
      <w:proofErr w:type="spellEnd"/>
      <w:r w:rsidRPr="00EF32DD">
        <w:rPr>
          <w:rFonts w:asciiTheme="minorHAnsi" w:eastAsiaTheme="minorHAnsi" w:hAnsiTheme="minorHAnsi" w:cstheme="minorHAnsi"/>
          <w:lang w:eastAsia="en-US"/>
        </w:rPr>
        <w:t xml:space="preserve"> </w:t>
      </w:r>
      <w:proofErr w:type="spellStart"/>
      <w:r w:rsidRPr="00EF32DD">
        <w:rPr>
          <w:rFonts w:asciiTheme="minorHAnsi" w:eastAsiaTheme="minorHAnsi" w:hAnsiTheme="minorHAnsi" w:cstheme="minorHAnsi"/>
          <w:lang w:eastAsia="en-US"/>
        </w:rPr>
        <w:t>Package</w:t>
      </w:r>
      <w:proofErr w:type="spellEnd"/>
      <w:r w:rsidRPr="00EF32DD">
        <w:rPr>
          <w:rFonts w:asciiTheme="minorHAnsi" w:eastAsiaTheme="minorHAnsi" w:hAnsiTheme="minorHAnsi" w:cstheme="minorHAnsi"/>
          <w:lang w:eastAsia="en-US"/>
        </w:rPr>
        <w:t xml:space="preserve"> (BPP), tj. výkladovou část, „co to vlastně BPP je“ a dále i zcela obecné pojednání o tom, že „</w:t>
      </w:r>
      <w:r w:rsidRPr="00EF32DD">
        <w:rPr>
          <w:rFonts w:asciiTheme="minorHAnsi" w:eastAsiaTheme="minorHAnsi" w:hAnsiTheme="minorHAnsi" w:cstheme="minorHAnsi"/>
          <w:i/>
          <w:iCs/>
          <w:lang w:eastAsia="en-US"/>
        </w:rPr>
        <w:t>v rámci procesu stavebního řízení dochází typicky k výměně velkého množství strukturovaných i nestrukturovaných informací, a to v podobě stanovisek, žádostí, zpráv nebo stavebních výkresů</w:t>
      </w:r>
      <w:r w:rsidRPr="00EF32DD">
        <w:rPr>
          <w:rFonts w:asciiTheme="minorHAnsi" w:eastAsiaTheme="minorHAnsi" w:hAnsiTheme="minorHAnsi" w:cstheme="minorHAnsi"/>
          <w:lang w:eastAsia="en-US"/>
        </w:rPr>
        <w:t xml:space="preserve">“ atd. i další části (např. cíle standardu a jeho principy), které se jeví, že patří spíše do učebnice, nikoliv do prováděcí vyhlášky k zákonu. Zejména je pak třeba konstatovat, že celý obsah přílohy 8 nekoresponduje s tím, co je k této příloze uvedeno v § 20, neboť datová struktura datového kontejneru elektronické dokumentace </w:t>
      </w:r>
      <w:proofErr w:type="gramStart"/>
      <w:r w:rsidRPr="00EF32DD">
        <w:rPr>
          <w:rFonts w:asciiTheme="minorHAnsi" w:eastAsiaTheme="minorHAnsi" w:hAnsiTheme="minorHAnsi" w:cstheme="minorHAnsi"/>
          <w:lang w:eastAsia="en-US"/>
        </w:rPr>
        <w:t>tvoří</w:t>
      </w:r>
      <w:proofErr w:type="gramEnd"/>
      <w:r w:rsidRPr="00EF32DD">
        <w:rPr>
          <w:rFonts w:asciiTheme="minorHAnsi" w:eastAsiaTheme="minorHAnsi" w:hAnsiTheme="minorHAnsi" w:cstheme="minorHAnsi"/>
          <w:lang w:eastAsia="en-US"/>
        </w:rPr>
        <w:t xml:space="preserve"> jen velmi malou část přílohy č. 8.</w:t>
      </w:r>
    </w:p>
    <w:p w14:paraId="25F4E3EF"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bookmarkStart w:id="0" w:name="_Hlk101878116"/>
      <w:r w:rsidRPr="00EF32DD">
        <w:rPr>
          <w:rFonts w:asciiTheme="minorHAnsi" w:eastAsiaTheme="minorHAnsi" w:hAnsiTheme="minorHAnsi" w:cstheme="minorHAnsi"/>
          <w:lang w:eastAsia="en-US"/>
        </w:rPr>
        <w:t>tato připomínka je zásadní</w:t>
      </w:r>
    </w:p>
    <w:bookmarkEnd w:id="0"/>
    <w:p w14:paraId="2CC45DB7" w14:textId="3271F59F" w:rsidR="00123944" w:rsidRDefault="00123944" w:rsidP="00EF32DD">
      <w:pPr>
        <w:spacing w:after="200"/>
        <w:jc w:val="both"/>
        <w:rPr>
          <w:rFonts w:asciiTheme="minorHAnsi" w:eastAsiaTheme="minorHAnsi" w:hAnsiTheme="minorHAnsi" w:cstheme="minorHAnsi"/>
          <w:lang w:eastAsia="en-US"/>
        </w:rPr>
      </w:pPr>
      <w:r>
        <w:rPr>
          <w:rFonts w:asciiTheme="minorHAnsi" w:eastAsiaTheme="minorHAnsi" w:hAnsiTheme="minorHAnsi" w:cstheme="minorHAnsi"/>
          <w:lang w:eastAsia="en-US"/>
        </w:rPr>
        <w:t>9. K § 23 odst. 1 věta „</w:t>
      </w:r>
      <w:r w:rsidRPr="00123944">
        <w:rPr>
          <w:rFonts w:asciiTheme="minorHAnsi" w:eastAsiaTheme="minorHAnsi" w:hAnsiTheme="minorHAnsi" w:cstheme="minorHAnsi"/>
          <w:lang w:eastAsia="en-US"/>
        </w:rPr>
        <w:t>Maximální velikost výkresu, který nemusí zpracovat projektant, je A3.</w:t>
      </w:r>
      <w:r>
        <w:rPr>
          <w:rFonts w:asciiTheme="minorHAnsi" w:eastAsiaTheme="minorHAnsi" w:hAnsiTheme="minorHAnsi" w:cstheme="minorHAnsi"/>
          <w:lang w:eastAsia="en-US"/>
        </w:rPr>
        <w:t>“.</w:t>
      </w:r>
    </w:p>
    <w:p w14:paraId="7051C8B1" w14:textId="77C8AC15" w:rsidR="00123944" w:rsidRDefault="00123944" w:rsidP="00EF32DD">
      <w:pPr>
        <w:spacing w:after="200"/>
        <w:jc w:val="both"/>
        <w:rPr>
          <w:rFonts w:asciiTheme="minorHAnsi" w:eastAsiaTheme="minorHAnsi" w:hAnsiTheme="minorHAnsi" w:cstheme="minorHAnsi"/>
          <w:lang w:eastAsia="en-US"/>
        </w:rPr>
      </w:pPr>
      <w:r>
        <w:rPr>
          <w:rFonts w:asciiTheme="minorHAnsi" w:eastAsiaTheme="minorHAnsi" w:hAnsiTheme="minorHAnsi" w:cstheme="minorHAnsi"/>
          <w:lang w:eastAsia="en-US"/>
        </w:rPr>
        <w:t>Nerozumíme důvodům pro nastavení daného limitu. Prosíme o objasnění.</w:t>
      </w:r>
    </w:p>
    <w:p w14:paraId="75A30CA5" w14:textId="77777777" w:rsidR="00123944" w:rsidRPr="00EF32DD" w:rsidRDefault="00123944" w:rsidP="00123944">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tato připomínka je </w:t>
      </w:r>
      <w:r>
        <w:rPr>
          <w:rFonts w:asciiTheme="minorHAnsi" w:eastAsiaTheme="minorHAnsi" w:hAnsiTheme="minorHAnsi" w:cstheme="minorHAnsi"/>
          <w:lang w:eastAsia="en-US"/>
        </w:rPr>
        <w:t>doporučující</w:t>
      </w:r>
    </w:p>
    <w:p w14:paraId="66F59005" w14:textId="50F5EA8D" w:rsidR="00123944" w:rsidRDefault="00123944" w:rsidP="00EF32DD">
      <w:pPr>
        <w:spacing w:after="200"/>
        <w:jc w:val="both"/>
        <w:rPr>
          <w:rFonts w:asciiTheme="minorHAnsi" w:eastAsiaTheme="minorHAnsi" w:hAnsiTheme="minorHAnsi" w:cstheme="minorHAnsi"/>
          <w:lang w:eastAsia="en-US"/>
        </w:rPr>
      </w:pPr>
      <w:r>
        <w:rPr>
          <w:rFonts w:asciiTheme="minorHAnsi" w:eastAsiaTheme="minorHAnsi" w:hAnsiTheme="minorHAnsi" w:cstheme="minorHAnsi"/>
          <w:lang w:eastAsia="en-US"/>
        </w:rPr>
        <w:t>10. K § 25 odst. 2 písm. a)</w:t>
      </w:r>
    </w:p>
    <w:p w14:paraId="461337D3" w14:textId="1E75A256" w:rsidR="00123944" w:rsidRDefault="00123944" w:rsidP="00EF32DD">
      <w:pPr>
        <w:spacing w:after="200"/>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Nesouhlasíme s povinností definovat </w:t>
      </w:r>
      <w:r w:rsidRPr="00123944">
        <w:rPr>
          <w:rFonts w:asciiTheme="minorHAnsi" w:eastAsiaTheme="minorHAnsi" w:hAnsiTheme="minorHAnsi" w:cstheme="minorHAnsi"/>
          <w:lang w:eastAsia="en-US"/>
        </w:rPr>
        <w:t>počty jednotek</w:t>
      </w:r>
      <w:r>
        <w:rPr>
          <w:rFonts w:asciiTheme="minorHAnsi" w:eastAsiaTheme="minorHAnsi" w:hAnsiTheme="minorHAnsi" w:cstheme="minorHAnsi"/>
          <w:lang w:eastAsia="en-US"/>
        </w:rPr>
        <w:t xml:space="preserve"> v rámci žádosti o povolení záměru. </w:t>
      </w:r>
      <w:r w:rsidRPr="00123944">
        <w:rPr>
          <w:rFonts w:asciiTheme="minorHAnsi" w:eastAsiaTheme="minorHAnsi" w:hAnsiTheme="minorHAnsi" w:cstheme="minorHAnsi"/>
          <w:lang w:eastAsia="en-US"/>
        </w:rPr>
        <w:t>V období mezi vydáním povolení, výstavbou a kolaudací dochází velice často ke změnám v počtu bytů a zejména komerčních prostor.</w:t>
      </w:r>
    </w:p>
    <w:p w14:paraId="552220B4" w14:textId="053412F2" w:rsidR="00123944" w:rsidRDefault="00123944" w:rsidP="00123944">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3ED92064" w14:textId="2521281F" w:rsidR="00104D75" w:rsidRPr="00EF32DD" w:rsidRDefault="00123944" w:rsidP="00EF32DD">
      <w:pPr>
        <w:spacing w:after="200"/>
        <w:jc w:val="both"/>
        <w:rPr>
          <w:rFonts w:asciiTheme="minorHAnsi" w:eastAsiaTheme="minorHAnsi" w:hAnsiTheme="minorHAnsi" w:cstheme="minorHAnsi"/>
          <w:lang w:eastAsia="en-US"/>
        </w:rPr>
      </w:pPr>
      <w:r>
        <w:rPr>
          <w:rFonts w:asciiTheme="minorHAnsi" w:eastAsiaTheme="minorHAnsi" w:hAnsiTheme="minorHAnsi" w:cstheme="minorHAnsi"/>
          <w:lang w:eastAsia="en-US"/>
        </w:rPr>
        <w:t>11</w:t>
      </w:r>
      <w:r w:rsidR="00104D75" w:rsidRPr="00EF32DD">
        <w:rPr>
          <w:rFonts w:asciiTheme="minorHAnsi" w:eastAsiaTheme="minorHAnsi" w:hAnsiTheme="minorHAnsi" w:cstheme="minorHAnsi"/>
          <w:lang w:eastAsia="en-US"/>
        </w:rPr>
        <w:t xml:space="preserve">. </w:t>
      </w:r>
      <w:r w:rsidR="00104D75" w:rsidRPr="00EF32DD">
        <w:rPr>
          <w:rFonts w:asciiTheme="minorHAnsi" w:eastAsiaTheme="minorHAnsi" w:hAnsiTheme="minorHAnsi" w:cstheme="minorHAnsi"/>
          <w:b/>
          <w:bCs/>
          <w:lang w:eastAsia="en-US"/>
        </w:rPr>
        <w:t>K § 30 odst. 1</w:t>
      </w:r>
    </w:p>
    <w:p w14:paraId="2ABC6AA1"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Z uvedeného textu nevyplývá, co má vlastně stavební úřad nebo dotčený orgán učinit. Jedná se o převod všech uzavřených spisů, dokumentů a údajů z informačních systémů doposud zajišťujících výkon agendy stavebních úřadů. Jaké jsou „</w:t>
      </w:r>
      <w:r w:rsidRPr="00EF32DD">
        <w:rPr>
          <w:rFonts w:asciiTheme="minorHAnsi" w:eastAsiaTheme="minorHAnsi" w:hAnsiTheme="minorHAnsi" w:cstheme="minorHAnsi"/>
          <w:i/>
          <w:iCs/>
          <w:lang w:eastAsia="en-US"/>
        </w:rPr>
        <w:t>obdobné kroky jako při spisové rozluce podle této vyhlášky</w:t>
      </w:r>
      <w:r w:rsidRPr="00EF32DD">
        <w:rPr>
          <w:rFonts w:asciiTheme="minorHAnsi" w:eastAsiaTheme="minorHAnsi" w:hAnsiTheme="minorHAnsi" w:cstheme="minorHAnsi"/>
          <w:lang w:eastAsia="en-US"/>
        </w:rPr>
        <w:t xml:space="preserve">“? Z důvodové zprávy také nevyplývá, kdo bude převádět dokumenty. Důvodová zpráva argumentuje nutností ustanovení nezbytných pravidel při přechodu na nové informační systémy stavební správy, ale v oblasti spisové rozluky tato pravidla v návrhu vyhlášky uvedena nejsou. </w:t>
      </w:r>
    </w:p>
    <w:p w14:paraId="19537536"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31C4607A" w14:textId="087EEBEA" w:rsidR="00104D75" w:rsidRPr="00EF32DD" w:rsidRDefault="00123944" w:rsidP="00EF32DD">
      <w:pPr>
        <w:spacing w:after="200"/>
        <w:rPr>
          <w:rFonts w:asciiTheme="minorHAnsi" w:eastAsiaTheme="minorHAnsi" w:hAnsiTheme="minorHAnsi" w:cstheme="minorHAnsi"/>
          <w:b/>
          <w:bCs/>
          <w:lang w:eastAsia="en-US"/>
        </w:rPr>
      </w:pPr>
      <w:r>
        <w:rPr>
          <w:rFonts w:asciiTheme="minorHAnsi" w:eastAsiaTheme="minorHAnsi" w:hAnsiTheme="minorHAnsi" w:cstheme="minorHAnsi"/>
          <w:lang w:eastAsia="en-US"/>
        </w:rPr>
        <w:t>12</w:t>
      </w:r>
      <w:r w:rsidR="00104D75" w:rsidRPr="00EF32DD">
        <w:rPr>
          <w:rFonts w:asciiTheme="minorHAnsi" w:eastAsiaTheme="minorHAnsi" w:hAnsiTheme="minorHAnsi" w:cstheme="minorHAnsi"/>
          <w:lang w:eastAsia="en-US"/>
        </w:rPr>
        <w:t xml:space="preserve">. </w:t>
      </w:r>
      <w:r w:rsidR="00104D75" w:rsidRPr="00EF32DD">
        <w:rPr>
          <w:rFonts w:asciiTheme="minorHAnsi" w:eastAsiaTheme="minorHAnsi" w:hAnsiTheme="minorHAnsi" w:cstheme="minorHAnsi"/>
          <w:b/>
          <w:bCs/>
          <w:lang w:eastAsia="en-US"/>
        </w:rPr>
        <w:t>K přílohám č. 6 a 7</w:t>
      </w:r>
    </w:p>
    <w:p w14:paraId="55B5E337" w14:textId="77777777" w:rsidR="00104D75" w:rsidRPr="00EF32DD" w:rsidRDefault="00104D75" w:rsidP="00EF32DD">
      <w:pPr>
        <w:spacing w:after="200"/>
        <w:rPr>
          <w:rFonts w:asciiTheme="minorHAnsi" w:eastAsiaTheme="minorHAnsi" w:hAnsiTheme="minorHAnsi" w:cstheme="minorHAnsi"/>
          <w:u w:val="single"/>
          <w:lang w:eastAsia="en-US"/>
        </w:rPr>
      </w:pPr>
      <w:r w:rsidRPr="00EF32DD">
        <w:rPr>
          <w:rFonts w:asciiTheme="minorHAnsi" w:eastAsiaTheme="minorHAnsi" w:hAnsiTheme="minorHAnsi" w:cstheme="minorHAnsi"/>
          <w:u w:val="single"/>
          <w:lang w:eastAsia="en-US"/>
        </w:rPr>
        <w:t>Obecná připomínka:</w:t>
      </w:r>
    </w:p>
    <w:p w14:paraId="3DDA85FA"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Navrhovaná vyhláška nijak </w:t>
      </w:r>
      <w:proofErr w:type="gramStart"/>
      <w:r w:rsidRPr="00EF32DD">
        <w:rPr>
          <w:rFonts w:asciiTheme="minorHAnsi" w:eastAsiaTheme="minorHAnsi" w:hAnsiTheme="minorHAnsi" w:cstheme="minorHAnsi"/>
          <w:lang w:eastAsia="en-US"/>
        </w:rPr>
        <w:t>neřeší</w:t>
      </w:r>
      <w:proofErr w:type="gramEnd"/>
      <w:r w:rsidRPr="00EF32DD">
        <w:rPr>
          <w:rFonts w:asciiTheme="minorHAnsi" w:eastAsiaTheme="minorHAnsi" w:hAnsiTheme="minorHAnsi" w:cstheme="minorHAnsi"/>
          <w:lang w:eastAsia="en-US"/>
        </w:rPr>
        <w:t xml:space="preserve"> hlášení pro Český statistický úřad, resp. obsahuje přílohy 6 a 7 s parametry stavby a číselníky, ale bez dalšího vysvětlení.</w:t>
      </w:r>
    </w:p>
    <w:p w14:paraId="0352AF3A"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1618EAA9" w14:textId="3C99BC9F" w:rsidR="00104D75" w:rsidRPr="00EF32DD" w:rsidRDefault="00123944" w:rsidP="00EF32DD">
      <w:pPr>
        <w:spacing w:after="200"/>
        <w:rPr>
          <w:rFonts w:asciiTheme="minorHAnsi" w:eastAsiaTheme="minorHAnsi" w:hAnsiTheme="minorHAnsi" w:cstheme="minorHAnsi"/>
          <w:b/>
          <w:bCs/>
          <w:lang w:eastAsia="en-US"/>
        </w:rPr>
      </w:pPr>
      <w:r>
        <w:rPr>
          <w:rFonts w:asciiTheme="minorHAnsi" w:eastAsiaTheme="minorHAnsi" w:hAnsiTheme="minorHAnsi" w:cstheme="minorHAnsi"/>
          <w:lang w:eastAsia="en-US"/>
        </w:rPr>
        <w:lastRenderedPageBreak/>
        <w:t>13</w:t>
      </w:r>
      <w:r w:rsidR="00104D75" w:rsidRPr="00EF32DD">
        <w:rPr>
          <w:rFonts w:asciiTheme="minorHAnsi" w:eastAsiaTheme="minorHAnsi" w:hAnsiTheme="minorHAnsi" w:cstheme="minorHAnsi"/>
          <w:lang w:eastAsia="en-US"/>
        </w:rPr>
        <w:t xml:space="preserve">. </w:t>
      </w:r>
      <w:r w:rsidR="00104D75" w:rsidRPr="00EF32DD">
        <w:rPr>
          <w:rFonts w:asciiTheme="minorHAnsi" w:eastAsiaTheme="minorHAnsi" w:hAnsiTheme="minorHAnsi" w:cstheme="minorHAnsi"/>
          <w:b/>
          <w:bCs/>
          <w:lang w:eastAsia="en-US"/>
        </w:rPr>
        <w:t>K otázce závěrečné kontrolní prohlídky stavby</w:t>
      </w:r>
    </w:p>
    <w:p w14:paraId="54EF1DC7"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Návrh vyhlášky </w:t>
      </w:r>
      <w:proofErr w:type="gramStart"/>
      <w:r w:rsidRPr="00EF32DD">
        <w:rPr>
          <w:rFonts w:asciiTheme="minorHAnsi" w:eastAsiaTheme="minorHAnsi" w:hAnsiTheme="minorHAnsi" w:cstheme="minorHAnsi"/>
          <w:lang w:eastAsia="en-US"/>
        </w:rPr>
        <w:t>neřeší</w:t>
      </w:r>
      <w:proofErr w:type="gramEnd"/>
      <w:r w:rsidRPr="00EF32DD">
        <w:rPr>
          <w:rFonts w:asciiTheme="minorHAnsi" w:eastAsiaTheme="minorHAnsi" w:hAnsiTheme="minorHAnsi" w:cstheme="minorHAnsi"/>
          <w:lang w:eastAsia="en-US"/>
        </w:rPr>
        <w:t xml:space="preserve"> realizaci závěrečných kontrolních prohlídek stavby, případně kontrolní prohlídky, za využití informačních systémů stavebního řízení.</w:t>
      </w:r>
    </w:p>
    <w:p w14:paraId="7456379A"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58300509" w14:textId="77777777" w:rsidR="00104D75" w:rsidRPr="00EF32DD" w:rsidRDefault="00104D75" w:rsidP="00EF32DD">
      <w:pPr>
        <w:tabs>
          <w:tab w:val="left" w:pos="708"/>
          <w:tab w:val="left" w:pos="1416"/>
          <w:tab w:val="left" w:pos="2124"/>
          <w:tab w:val="left" w:pos="2832"/>
          <w:tab w:val="left" w:pos="3540"/>
          <w:tab w:val="left" w:pos="4248"/>
          <w:tab w:val="left" w:pos="4956"/>
          <w:tab w:val="left" w:pos="5664"/>
          <w:tab w:val="left" w:pos="6372"/>
        </w:tabs>
        <w:spacing w:after="200"/>
        <w:jc w:val="both"/>
        <w:rPr>
          <w:rFonts w:asciiTheme="minorHAnsi" w:eastAsiaTheme="minorHAnsi" w:hAnsiTheme="minorHAnsi" w:cstheme="minorHAnsi"/>
          <w:b/>
          <w:u w:val="single"/>
          <w:lang w:eastAsia="en-US"/>
        </w:rPr>
      </w:pPr>
      <w:r w:rsidRPr="00EF32DD">
        <w:rPr>
          <w:rFonts w:asciiTheme="minorHAnsi" w:eastAsiaTheme="minorHAnsi" w:hAnsiTheme="minorHAnsi" w:cstheme="minorHAnsi"/>
          <w:b/>
          <w:u w:val="single"/>
          <w:lang w:eastAsia="en-US"/>
        </w:rPr>
        <w:t>Konkrétní připomínky</w:t>
      </w:r>
    </w:p>
    <w:p w14:paraId="453E0BD4"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10. </w:t>
      </w:r>
      <w:r w:rsidRPr="00EF32DD">
        <w:rPr>
          <w:rFonts w:asciiTheme="minorHAnsi" w:eastAsiaTheme="minorHAnsi" w:hAnsiTheme="minorHAnsi" w:cstheme="minorHAnsi"/>
          <w:b/>
          <w:bCs/>
          <w:lang w:eastAsia="en-US"/>
        </w:rPr>
        <w:t>K § 5 odst. 6</w:t>
      </w:r>
    </w:p>
    <w:p w14:paraId="78588A85" w14:textId="77777777" w:rsidR="00104D75" w:rsidRPr="00EF32DD" w:rsidRDefault="00104D75" w:rsidP="00EF32DD">
      <w:pPr>
        <w:spacing w:after="200"/>
        <w:rPr>
          <w:rFonts w:asciiTheme="minorHAnsi" w:eastAsiaTheme="minorHAnsi" w:hAnsiTheme="minorHAnsi" w:cstheme="minorHAnsi"/>
          <w:u w:val="single"/>
          <w:lang w:eastAsia="en-US"/>
        </w:rPr>
      </w:pPr>
      <w:r w:rsidRPr="00EF32DD">
        <w:rPr>
          <w:rFonts w:asciiTheme="minorHAnsi" w:eastAsiaTheme="minorHAnsi" w:hAnsiTheme="minorHAnsi" w:cstheme="minorHAnsi"/>
          <w:u w:val="single"/>
          <w:lang w:eastAsia="en-US"/>
        </w:rPr>
        <w:t>Stávající znění:</w:t>
      </w:r>
    </w:p>
    <w:p w14:paraId="77C70D98" w14:textId="77777777" w:rsidR="00104D75" w:rsidRPr="00EF32DD" w:rsidRDefault="00104D75" w:rsidP="00EF32DD">
      <w:pPr>
        <w:numPr>
          <w:ilvl w:val="0"/>
          <w:numId w:val="1"/>
        </w:numPr>
        <w:spacing w:after="200"/>
        <w:ind w:left="284" w:hanging="284"/>
        <w:contextualSpacing/>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Doba uložení rozpracovaných žádostí včetně jejich příloh v portálu činí 30 dnů ode dne, kdy byly tyto rozpracované žádosti naposledy aktualizovány uživatelem v portálu, který má, s ohledem na rozsah svého oprávnění, k těmto žádostem přístup.</w:t>
      </w:r>
    </w:p>
    <w:p w14:paraId="2A617509" w14:textId="77777777" w:rsidR="00104D75" w:rsidRPr="00EF32DD" w:rsidRDefault="00104D75" w:rsidP="00EF32DD">
      <w:pPr>
        <w:spacing w:after="200"/>
        <w:rPr>
          <w:rFonts w:asciiTheme="minorHAnsi" w:eastAsiaTheme="minorHAnsi" w:hAnsiTheme="minorHAnsi" w:cstheme="minorHAnsi"/>
          <w:u w:val="single"/>
          <w:lang w:eastAsia="en-US"/>
        </w:rPr>
      </w:pPr>
      <w:r w:rsidRPr="00EF32DD">
        <w:rPr>
          <w:rFonts w:asciiTheme="minorHAnsi" w:eastAsiaTheme="minorHAnsi" w:hAnsiTheme="minorHAnsi" w:cstheme="minorHAnsi"/>
          <w:u w:val="single"/>
          <w:lang w:eastAsia="en-US"/>
        </w:rPr>
        <w:t>Navrhované znění:</w:t>
      </w:r>
    </w:p>
    <w:p w14:paraId="77D394A3" w14:textId="77777777" w:rsidR="00104D75" w:rsidRPr="00EF32DD" w:rsidRDefault="00104D75" w:rsidP="00EF32DD">
      <w:pPr>
        <w:numPr>
          <w:ilvl w:val="0"/>
          <w:numId w:val="2"/>
        </w:numPr>
        <w:spacing w:after="200"/>
        <w:ind w:left="284" w:hanging="284"/>
        <w:contextualSpacing/>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Doba uložení rozpracovaných žádostí včetně jejich příloh v portálu činí 30 dnů ode dne, kdy byly tyto rozpracované žádosti naposledy aktualizovány uživatelem v portálu, který má, s ohledem na rozsah svého oprávnění, k těmto žádostem přístup. Po uplynutí lhůty uvedené ve větě první budou rozpracované žádosti včetně jejich příloh správcem informačního systému stavební správy z informačního systému stavební správy vymazány.</w:t>
      </w:r>
    </w:p>
    <w:p w14:paraId="0AFA1E2A" w14:textId="77777777" w:rsidR="00104D75" w:rsidRPr="00EF32DD" w:rsidRDefault="00104D75" w:rsidP="00EF32DD">
      <w:pPr>
        <w:spacing w:after="200"/>
        <w:rPr>
          <w:rFonts w:asciiTheme="minorHAnsi" w:eastAsiaTheme="minorHAnsi" w:hAnsiTheme="minorHAnsi" w:cstheme="minorHAnsi"/>
          <w:u w:val="single"/>
          <w:lang w:eastAsia="en-US"/>
        </w:rPr>
      </w:pPr>
      <w:r w:rsidRPr="00EF32DD">
        <w:rPr>
          <w:rFonts w:asciiTheme="minorHAnsi" w:eastAsiaTheme="minorHAnsi" w:hAnsiTheme="minorHAnsi" w:cstheme="minorHAnsi"/>
          <w:u w:val="single"/>
          <w:lang w:eastAsia="en-US"/>
        </w:rPr>
        <w:t>Odůvodnění:</w:t>
      </w:r>
    </w:p>
    <w:p w14:paraId="3863E8EE"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Stávající znění § 5 odst. 6 sice stanoví dobu uložení rozpracovaných žádostí včetně jejích příloh, avšak nestanoví, jak s takovými žádostmi a přílohami bude po uplynutí lhůty naloženo.</w:t>
      </w:r>
    </w:p>
    <w:p w14:paraId="6BEBCAB9"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bookmarkStart w:id="1" w:name="_Hlk101778361"/>
      <w:r w:rsidRPr="00EF32DD">
        <w:rPr>
          <w:rFonts w:asciiTheme="minorHAnsi" w:eastAsiaTheme="minorHAnsi" w:hAnsiTheme="minorHAnsi" w:cstheme="minorHAnsi"/>
          <w:lang w:eastAsia="en-US"/>
        </w:rPr>
        <w:t>tato připomínka je zásadní</w:t>
      </w:r>
    </w:p>
    <w:bookmarkEnd w:id="1"/>
    <w:p w14:paraId="4FCD1A5C"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11</w:t>
      </w:r>
      <w:r w:rsidRPr="00EF32DD">
        <w:rPr>
          <w:rFonts w:asciiTheme="minorHAnsi" w:eastAsiaTheme="minorHAnsi" w:hAnsiTheme="minorHAnsi" w:cstheme="minorHAnsi"/>
          <w:b/>
          <w:bCs/>
          <w:lang w:eastAsia="en-US"/>
        </w:rPr>
        <w:t>. K § 7 odst. 1 a 2</w:t>
      </w:r>
    </w:p>
    <w:p w14:paraId="0A791EB5" w14:textId="77777777" w:rsidR="00104D75" w:rsidRPr="00EF32DD" w:rsidRDefault="00104D75" w:rsidP="00EF32DD">
      <w:pPr>
        <w:spacing w:after="200"/>
        <w:rPr>
          <w:rFonts w:asciiTheme="minorHAnsi" w:eastAsiaTheme="minorHAnsi" w:hAnsiTheme="minorHAnsi" w:cstheme="minorHAnsi"/>
          <w:u w:val="single"/>
          <w:lang w:eastAsia="en-US"/>
        </w:rPr>
      </w:pPr>
      <w:r w:rsidRPr="00EF32DD">
        <w:rPr>
          <w:rFonts w:asciiTheme="minorHAnsi" w:eastAsiaTheme="minorHAnsi" w:hAnsiTheme="minorHAnsi" w:cstheme="minorHAnsi"/>
          <w:u w:val="single"/>
          <w:lang w:eastAsia="en-US"/>
        </w:rPr>
        <w:t>Stávající znění:</w:t>
      </w:r>
    </w:p>
    <w:p w14:paraId="639BACB7" w14:textId="77777777" w:rsidR="00104D75" w:rsidRPr="00EF32DD" w:rsidRDefault="00104D75" w:rsidP="00EF32DD">
      <w:pPr>
        <w:numPr>
          <w:ilvl w:val="0"/>
          <w:numId w:val="3"/>
        </w:numPr>
        <w:tabs>
          <w:tab w:val="left" w:pos="284"/>
        </w:tabs>
        <w:spacing w:after="120"/>
        <w:ind w:left="284" w:hanging="284"/>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Žádosti o vyjádření vlastníka veřejné dopravní nebo technické infrastruktury podle § 180 odst. 1 zákona, včetně jejich příloh, podané prostřednictvím portálu, budou zpřístupněny na datovém rozhraní portálu po dobu 2 dnů od jejich podání vlastníkovi veřejné dopravní nebo technické infrastruktury, pokud má přístup k datovému rozhraní portálu.</w:t>
      </w:r>
    </w:p>
    <w:p w14:paraId="663DD3B3" w14:textId="77777777" w:rsidR="00104D75" w:rsidRPr="00EF32DD" w:rsidRDefault="00104D75" w:rsidP="00EF32DD">
      <w:pPr>
        <w:numPr>
          <w:ilvl w:val="0"/>
          <w:numId w:val="3"/>
        </w:numPr>
        <w:tabs>
          <w:tab w:val="left" w:pos="284"/>
        </w:tabs>
        <w:spacing w:after="200"/>
        <w:ind w:left="284" w:hanging="284"/>
        <w:contextualSpacing/>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V případě, že vlastník veřejné dopravní nebo technické infrastruktury, který má přístup k datovému rozhraní portálu, nepotvrdí přes datové rozhraní portálu správci informačních systémů stavební správy převzetí žádosti o vyjádření do 2 dnů následujících po jejím podání podle § 180 odst. 2 zákona, je žádost zaslána vlastníkovi veřejné dopravní nebo technické infrastruktury prostřednictvím datové zprávy. Formu a náležitosti potvrzení převzetí žádosti o vyjádření vlastníka veřejné dopravní nebo technické infrastruktury stanovuje a zveřejňuje správce informačních systémů stavební správy v souladu s ustanovením části sedmé této vyhlášky.</w:t>
      </w:r>
    </w:p>
    <w:p w14:paraId="6CEF7774" w14:textId="77777777" w:rsidR="00104D75" w:rsidRPr="00EF32DD" w:rsidRDefault="00104D75" w:rsidP="00EF32DD">
      <w:pPr>
        <w:spacing w:after="200"/>
        <w:rPr>
          <w:rFonts w:asciiTheme="minorHAnsi" w:eastAsiaTheme="minorHAnsi" w:hAnsiTheme="minorHAnsi" w:cstheme="minorHAnsi"/>
          <w:u w:val="single"/>
          <w:lang w:eastAsia="en-US"/>
        </w:rPr>
      </w:pPr>
      <w:r w:rsidRPr="00EF32DD">
        <w:rPr>
          <w:rFonts w:asciiTheme="minorHAnsi" w:eastAsiaTheme="minorHAnsi" w:hAnsiTheme="minorHAnsi" w:cstheme="minorHAnsi"/>
          <w:u w:val="single"/>
          <w:lang w:eastAsia="en-US"/>
        </w:rPr>
        <w:t>Navrhované znění:</w:t>
      </w:r>
    </w:p>
    <w:p w14:paraId="39C69FE4" w14:textId="77777777" w:rsidR="00104D75" w:rsidRPr="00EF32DD" w:rsidRDefault="00104D75" w:rsidP="00EF32DD">
      <w:pPr>
        <w:numPr>
          <w:ilvl w:val="0"/>
          <w:numId w:val="4"/>
        </w:numPr>
        <w:spacing w:after="200"/>
        <w:ind w:left="284" w:hanging="284"/>
        <w:contextualSpacing/>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lastRenderedPageBreak/>
        <w:t xml:space="preserve">Žádosti o vyjádření vlastníka veřejné dopravní nebo technické infrastruktury podle § 180 odst. 1 zákona, včetně jejich příloh, podané prostřednictvím portálu, budou zpřístupněny na datovém rozhraní portálu po dobu </w:t>
      </w:r>
      <w:r w:rsidRPr="00EF32DD">
        <w:rPr>
          <w:rFonts w:asciiTheme="minorHAnsi" w:eastAsiaTheme="minorHAnsi" w:hAnsiTheme="minorHAnsi" w:cstheme="minorHAnsi"/>
          <w:b/>
          <w:bCs/>
          <w:lang w:eastAsia="en-US"/>
        </w:rPr>
        <w:t>3 pracovních dnů</w:t>
      </w:r>
      <w:r w:rsidRPr="00EF32DD">
        <w:rPr>
          <w:rFonts w:asciiTheme="minorHAnsi" w:eastAsiaTheme="minorHAnsi" w:hAnsiTheme="minorHAnsi" w:cstheme="minorHAnsi"/>
          <w:lang w:eastAsia="en-US"/>
        </w:rPr>
        <w:t xml:space="preserve"> od jejich podání vlastníkovi veřejné dopravní nebo technické infrastruktury, pokud má přístup k datovém rozhraní portálu.</w:t>
      </w:r>
    </w:p>
    <w:p w14:paraId="13F0C652" w14:textId="77777777" w:rsidR="00104D75" w:rsidRPr="00EF32DD" w:rsidRDefault="00104D75" w:rsidP="00EF32DD">
      <w:pPr>
        <w:numPr>
          <w:ilvl w:val="0"/>
          <w:numId w:val="4"/>
        </w:numPr>
        <w:spacing w:after="200"/>
        <w:ind w:left="284" w:hanging="284"/>
        <w:contextualSpacing/>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V případě, že vlastník dopravní nebo technické infrastruktury, který má přístup k datovému rozhraní portálu, nepotvrdí přes datové rozhraní portálu správci informačních systémů stavební správy převzetí žádosti o vyjádření </w:t>
      </w:r>
      <w:r w:rsidRPr="00EF32DD">
        <w:rPr>
          <w:rFonts w:asciiTheme="minorHAnsi" w:eastAsiaTheme="minorHAnsi" w:hAnsiTheme="minorHAnsi" w:cstheme="minorHAnsi"/>
          <w:b/>
          <w:bCs/>
          <w:lang w:eastAsia="en-US"/>
        </w:rPr>
        <w:t>do 3 pracovních dnů</w:t>
      </w:r>
      <w:r w:rsidRPr="00EF32DD">
        <w:rPr>
          <w:rFonts w:asciiTheme="minorHAnsi" w:eastAsiaTheme="minorHAnsi" w:hAnsiTheme="minorHAnsi" w:cstheme="minorHAnsi"/>
          <w:lang w:eastAsia="en-US"/>
        </w:rPr>
        <w:t xml:space="preserve"> následujících po jejím podání podle § 180 odst. 2 zákona, je žádost zaslána vlastníkovi veřejné dopravní nebo technické infrastruktury prostřednictvím datové zprávy. Formu a náležitosti potvrzení převzetí žádosti o vyjádření vlastníka veřejné dopravní nebo technické infrastruktury stanovuje a zveřejňuje správce informačních systémů stavební správy v souladu s ustanovením části sedmé této vyhlášky.</w:t>
      </w:r>
    </w:p>
    <w:p w14:paraId="16F4FF20" w14:textId="77777777" w:rsidR="00104D75" w:rsidRPr="00EF32DD" w:rsidRDefault="00104D75" w:rsidP="00EF32DD">
      <w:pPr>
        <w:spacing w:after="200"/>
        <w:rPr>
          <w:rFonts w:asciiTheme="minorHAnsi" w:eastAsiaTheme="minorHAnsi" w:hAnsiTheme="minorHAnsi" w:cstheme="minorHAnsi"/>
          <w:u w:val="single"/>
          <w:lang w:eastAsia="en-US"/>
        </w:rPr>
      </w:pPr>
      <w:r w:rsidRPr="00EF32DD">
        <w:rPr>
          <w:rFonts w:asciiTheme="minorHAnsi" w:eastAsiaTheme="minorHAnsi" w:hAnsiTheme="minorHAnsi" w:cstheme="minorHAnsi"/>
          <w:u w:val="single"/>
          <w:lang w:eastAsia="en-US"/>
        </w:rPr>
        <w:t>Odůvodnění:</w:t>
      </w:r>
    </w:p>
    <w:p w14:paraId="4FEC1F1A"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Lhůta 2 dnů, navíc bez uvedení toho, že jde o dny pracovní, se jeví jako příliš přísná, a taková, že místo potvrzení převzetí žádosti ve lhůtě nejspíše pravidelně povede k postupu dle odst. 2, tj. k zaslání žádosti vlastníkovi veřejné dopravní nebo technické infrastruktury prostřednictvím datové zprávy. V odst. 2 však už není uvedeno, resp. z obratu „je zaslána“ nevyplývá, zda zaslání datové zprávy bude automatické a zajištěné informačním systémem stavební správy nebo tak bude muset učinit stavební úřad, který rovněž bude muset dodržení lhůty a obdržení potvrzení hlídat. </w:t>
      </w:r>
    </w:p>
    <w:p w14:paraId="6964F674" w14:textId="387DA5FF" w:rsidR="009419A3" w:rsidRDefault="00104D75" w:rsidP="00123944">
      <w:pPr>
        <w:pBdr>
          <w:bottom w:val="single" w:sz="4" w:space="1" w:color="auto"/>
        </w:pBdr>
        <w:spacing w:after="200"/>
        <w:jc w:val="right"/>
        <w:rPr>
          <w:rFonts w:asciiTheme="minorHAnsi" w:eastAsiaTheme="minorHAnsi" w:hAnsiTheme="minorHAnsi" w:cstheme="minorHAnsi"/>
          <w:lang w:eastAsia="en-US"/>
        </w:rPr>
      </w:pPr>
      <w:bookmarkStart w:id="2" w:name="_Hlk101778224"/>
      <w:r w:rsidRPr="00EF32DD">
        <w:rPr>
          <w:rFonts w:asciiTheme="minorHAnsi" w:eastAsiaTheme="minorHAnsi" w:hAnsiTheme="minorHAnsi" w:cstheme="minorHAnsi"/>
          <w:lang w:eastAsia="en-US"/>
        </w:rPr>
        <w:t xml:space="preserve">tato připomínka je zásadní </w:t>
      </w:r>
    </w:p>
    <w:p w14:paraId="77092680" w14:textId="77777777" w:rsidR="009419A3" w:rsidRPr="00EF32DD" w:rsidRDefault="009419A3" w:rsidP="00EF32DD">
      <w:pPr>
        <w:pBdr>
          <w:bottom w:val="single" w:sz="4" w:space="1" w:color="auto"/>
        </w:pBdr>
        <w:spacing w:after="200"/>
        <w:jc w:val="right"/>
        <w:rPr>
          <w:rFonts w:asciiTheme="minorHAnsi" w:eastAsiaTheme="minorHAnsi" w:hAnsiTheme="minorHAnsi" w:cstheme="minorHAnsi"/>
          <w:lang w:eastAsia="en-US"/>
        </w:rPr>
      </w:pPr>
    </w:p>
    <w:bookmarkEnd w:id="2"/>
    <w:p w14:paraId="23CDF9AA"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12. </w:t>
      </w:r>
      <w:r w:rsidRPr="00EF32DD">
        <w:rPr>
          <w:rFonts w:asciiTheme="minorHAnsi" w:eastAsiaTheme="minorHAnsi" w:hAnsiTheme="minorHAnsi" w:cstheme="minorHAnsi"/>
          <w:b/>
          <w:bCs/>
          <w:lang w:eastAsia="en-US"/>
        </w:rPr>
        <w:t>K</w:t>
      </w:r>
      <w:r w:rsidRPr="00EF32DD">
        <w:rPr>
          <w:rFonts w:asciiTheme="minorHAnsi" w:eastAsiaTheme="minorHAnsi" w:hAnsiTheme="minorHAnsi" w:cstheme="minorHAnsi"/>
          <w:lang w:eastAsia="en-US"/>
        </w:rPr>
        <w:t xml:space="preserve"> </w:t>
      </w:r>
      <w:r w:rsidRPr="00EF32DD">
        <w:rPr>
          <w:rFonts w:asciiTheme="minorHAnsi" w:eastAsiaTheme="minorHAnsi" w:hAnsiTheme="minorHAnsi" w:cstheme="minorHAnsi"/>
          <w:b/>
          <w:bCs/>
          <w:lang w:eastAsia="en-US"/>
        </w:rPr>
        <w:t>§ 12 odst. 3</w:t>
      </w:r>
      <w:r w:rsidRPr="00EF32DD">
        <w:rPr>
          <w:rFonts w:asciiTheme="minorHAnsi" w:eastAsiaTheme="minorHAnsi" w:hAnsiTheme="minorHAnsi" w:cstheme="minorHAnsi"/>
          <w:lang w:eastAsia="en-US"/>
        </w:rPr>
        <w:t xml:space="preserve"> </w:t>
      </w:r>
    </w:p>
    <w:p w14:paraId="2FEFAE00" w14:textId="77777777" w:rsidR="00104D75" w:rsidRPr="00EF32DD" w:rsidRDefault="00104D75" w:rsidP="00EF32DD">
      <w:pPr>
        <w:spacing w:after="200"/>
        <w:rPr>
          <w:rFonts w:asciiTheme="minorHAnsi" w:eastAsiaTheme="minorHAnsi" w:hAnsiTheme="minorHAnsi" w:cstheme="minorHAnsi"/>
          <w:u w:val="single"/>
          <w:lang w:eastAsia="en-US"/>
        </w:rPr>
      </w:pPr>
      <w:r w:rsidRPr="00EF32DD">
        <w:rPr>
          <w:rFonts w:asciiTheme="minorHAnsi" w:eastAsiaTheme="minorHAnsi" w:hAnsiTheme="minorHAnsi" w:cstheme="minorHAnsi"/>
          <w:u w:val="single"/>
          <w:lang w:eastAsia="en-US"/>
        </w:rPr>
        <w:t>Stávající znění:</w:t>
      </w:r>
    </w:p>
    <w:p w14:paraId="18F2F52B" w14:textId="77777777" w:rsidR="00104D75" w:rsidRPr="00EF32DD" w:rsidRDefault="00104D75" w:rsidP="00EF32DD">
      <w:pPr>
        <w:numPr>
          <w:ilvl w:val="0"/>
          <w:numId w:val="4"/>
        </w:numPr>
        <w:spacing w:after="200"/>
        <w:ind w:left="284" w:hanging="284"/>
        <w:contextualSpacing/>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Správce informačních systémů stavební správy zřídí přístup nejpozději do 30 pracovních dnů ode dne doručení žádosti o přístup k datovému rozhraní portálu.</w:t>
      </w:r>
    </w:p>
    <w:p w14:paraId="3BB42AD1" w14:textId="77777777" w:rsidR="00104D75" w:rsidRPr="00EF32DD" w:rsidRDefault="00104D75" w:rsidP="00EF32DD">
      <w:pPr>
        <w:spacing w:after="200"/>
        <w:rPr>
          <w:rFonts w:asciiTheme="minorHAnsi" w:eastAsiaTheme="minorHAnsi" w:hAnsiTheme="minorHAnsi" w:cstheme="minorHAnsi"/>
          <w:u w:val="single"/>
          <w:lang w:eastAsia="en-US"/>
        </w:rPr>
      </w:pPr>
      <w:r w:rsidRPr="00EF32DD">
        <w:rPr>
          <w:rFonts w:asciiTheme="minorHAnsi" w:eastAsiaTheme="minorHAnsi" w:hAnsiTheme="minorHAnsi" w:cstheme="minorHAnsi"/>
          <w:u w:val="single"/>
          <w:lang w:eastAsia="en-US"/>
        </w:rPr>
        <w:t>Navrhované znění:</w:t>
      </w:r>
    </w:p>
    <w:p w14:paraId="09DB769C" w14:textId="77777777" w:rsidR="00104D75" w:rsidRPr="00EF32DD" w:rsidRDefault="00104D75" w:rsidP="00EF32DD">
      <w:pPr>
        <w:numPr>
          <w:ilvl w:val="0"/>
          <w:numId w:val="5"/>
        </w:numPr>
        <w:spacing w:after="200"/>
        <w:ind w:left="284" w:hanging="284"/>
        <w:contextualSpacing/>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Správce informačních systémů stavební správy zřídí přístup nejpozději do </w:t>
      </w:r>
      <w:r w:rsidRPr="00EF32DD">
        <w:rPr>
          <w:rFonts w:asciiTheme="minorHAnsi" w:eastAsiaTheme="minorHAnsi" w:hAnsiTheme="minorHAnsi" w:cstheme="minorHAnsi"/>
          <w:b/>
          <w:bCs/>
          <w:lang w:eastAsia="en-US"/>
        </w:rPr>
        <w:t>10</w:t>
      </w:r>
      <w:r w:rsidRPr="00EF32DD">
        <w:rPr>
          <w:rFonts w:asciiTheme="minorHAnsi" w:eastAsiaTheme="minorHAnsi" w:hAnsiTheme="minorHAnsi" w:cstheme="minorHAnsi"/>
          <w:lang w:eastAsia="en-US"/>
        </w:rPr>
        <w:t xml:space="preserve"> pracovních dnů ode dne doručení žádosti o přístup k datovému rozhraní portálu.</w:t>
      </w:r>
    </w:p>
    <w:p w14:paraId="4361FA9D" w14:textId="77777777" w:rsidR="00104D75" w:rsidRPr="00EF32DD" w:rsidRDefault="00104D75" w:rsidP="00EF32DD">
      <w:pPr>
        <w:spacing w:after="200"/>
        <w:rPr>
          <w:rFonts w:asciiTheme="minorHAnsi" w:eastAsiaTheme="minorHAnsi" w:hAnsiTheme="minorHAnsi" w:cstheme="minorHAnsi"/>
          <w:lang w:eastAsia="en-US"/>
        </w:rPr>
      </w:pPr>
      <w:r w:rsidRPr="00EF32DD">
        <w:rPr>
          <w:rFonts w:asciiTheme="minorHAnsi" w:eastAsiaTheme="minorHAnsi" w:hAnsiTheme="minorHAnsi" w:cstheme="minorHAnsi"/>
          <w:u w:val="single"/>
          <w:lang w:eastAsia="en-US"/>
        </w:rPr>
        <w:t>Odůvodnění:</w:t>
      </w:r>
      <w:r w:rsidRPr="00EF32DD">
        <w:rPr>
          <w:rFonts w:asciiTheme="minorHAnsi" w:eastAsiaTheme="minorHAnsi" w:hAnsiTheme="minorHAnsi" w:cstheme="minorHAnsi"/>
          <w:lang w:eastAsia="en-US"/>
        </w:rPr>
        <w:t xml:space="preserve"> </w:t>
      </w:r>
    </w:p>
    <w:p w14:paraId="20D83EDD" w14:textId="77777777" w:rsidR="00104D75" w:rsidRPr="00EF32DD" w:rsidRDefault="00104D75" w:rsidP="00EF32DD">
      <w:pPr>
        <w:spacing w:after="200"/>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Pořádková lhůta 30 dnů je pro správce informačních systémů stavební správy velmi benevolentní, už jen ve srovnání s lhůtou navrženou v § 7 odst. 1 vyhlášky.</w:t>
      </w:r>
    </w:p>
    <w:p w14:paraId="22F0785B"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7E460D40"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13. </w:t>
      </w:r>
      <w:r w:rsidRPr="00EF32DD">
        <w:rPr>
          <w:rFonts w:asciiTheme="minorHAnsi" w:eastAsiaTheme="minorHAnsi" w:hAnsiTheme="minorHAnsi" w:cstheme="minorHAnsi"/>
          <w:b/>
          <w:bCs/>
          <w:lang w:eastAsia="en-US"/>
        </w:rPr>
        <w:t>K § 15</w:t>
      </w:r>
    </w:p>
    <w:p w14:paraId="60775A6B"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Navrhované 3 odstavce se věnují pouze označování/neoznačování dokumentů. O označování spisů zde není ani zmínka. Může být řešeno například uvedením informace, že způsob </w:t>
      </w:r>
      <w:r w:rsidRPr="00EF32DD">
        <w:rPr>
          <w:rFonts w:asciiTheme="minorHAnsi" w:eastAsiaTheme="minorHAnsi" w:hAnsiTheme="minorHAnsi" w:cstheme="minorHAnsi"/>
          <w:lang w:eastAsia="en-US"/>
        </w:rPr>
        <w:lastRenderedPageBreak/>
        <w:t>označování a tvorby spisu bude upraven ve spisovém řádu pro samostatnou evidenci dokumentů.</w:t>
      </w:r>
    </w:p>
    <w:p w14:paraId="5DD4929C"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3F095F69"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14. </w:t>
      </w:r>
      <w:r w:rsidRPr="00EF32DD">
        <w:rPr>
          <w:rFonts w:asciiTheme="minorHAnsi" w:eastAsiaTheme="minorHAnsi" w:hAnsiTheme="minorHAnsi" w:cstheme="minorHAnsi"/>
          <w:b/>
          <w:bCs/>
          <w:lang w:eastAsia="en-US"/>
        </w:rPr>
        <w:t>K</w:t>
      </w:r>
      <w:r w:rsidRPr="00EF32DD">
        <w:rPr>
          <w:rFonts w:asciiTheme="minorHAnsi" w:eastAsiaTheme="minorHAnsi" w:hAnsiTheme="minorHAnsi" w:cstheme="minorHAnsi"/>
          <w:lang w:eastAsia="en-US"/>
        </w:rPr>
        <w:t xml:space="preserve"> </w:t>
      </w:r>
      <w:r w:rsidRPr="00EF32DD">
        <w:rPr>
          <w:rFonts w:asciiTheme="minorHAnsi" w:eastAsiaTheme="minorHAnsi" w:hAnsiTheme="minorHAnsi" w:cstheme="minorHAnsi"/>
          <w:b/>
          <w:bCs/>
          <w:lang w:eastAsia="en-US"/>
        </w:rPr>
        <w:t>§ 15 odst. 2</w:t>
      </w:r>
      <w:r w:rsidRPr="00EF32DD">
        <w:rPr>
          <w:rFonts w:asciiTheme="minorHAnsi" w:eastAsiaTheme="minorHAnsi" w:hAnsiTheme="minorHAnsi" w:cstheme="minorHAnsi"/>
          <w:lang w:eastAsia="en-US"/>
        </w:rPr>
        <w:t xml:space="preserve"> </w:t>
      </w:r>
    </w:p>
    <w:p w14:paraId="659E18D5"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Navrhujeme odstavec 2 vypustit.</w:t>
      </w:r>
    </w:p>
    <w:p w14:paraId="7D2B8D79" w14:textId="77777777" w:rsidR="00104D75" w:rsidRPr="00EF32DD" w:rsidRDefault="00104D75" w:rsidP="00EF32DD">
      <w:pPr>
        <w:spacing w:after="200"/>
        <w:jc w:val="both"/>
        <w:rPr>
          <w:rFonts w:asciiTheme="minorHAnsi" w:eastAsiaTheme="minorHAnsi" w:hAnsiTheme="minorHAnsi" w:cstheme="minorHAnsi"/>
          <w:u w:val="single"/>
          <w:lang w:eastAsia="en-US"/>
        </w:rPr>
      </w:pPr>
      <w:r w:rsidRPr="00EF32DD">
        <w:rPr>
          <w:rFonts w:asciiTheme="minorHAnsi" w:eastAsiaTheme="minorHAnsi" w:hAnsiTheme="minorHAnsi" w:cstheme="minorHAnsi"/>
          <w:u w:val="single"/>
          <w:lang w:eastAsia="en-US"/>
        </w:rPr>
        <w:t xml:space="preserve">Odůvodnění: </w:t>
      </w:r>
    </w:p>
    <w:p w14:paraId="0ADF62F5"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Důvodová zpráva k návrhu vyhlášky neobsahuje zdůvodnění, proč by dokumenty doručené v elektronické podobě, které byly převedeny z analogové podoby, neměly být opatřeny jednoznačným identifikátorem (u těchto dokumentů nehrozí např. záměna?). Je rovněž otázkou, zda stavební úřad bude ve všech případech schopen správně posoudit, zda dokument doručený v elektronické podobě byl převeden z analogové podoby a vztahuje se na něj tudíž výjimka uvedená v odst. 2. Měla by být odpovídajícím způsobem doplněna důvodová zpráva nebo by měly být jednoznačným identifikátorem označovány všechny dokumenty v samostatné evidenci dokumentů a odst. 2 by tudíž měl být vypuštěn.</w:t>
      </w:r>
    </w:p>
    <w:p w14:paraId="36E3F831"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Navrhovatel měl zřejmě v úmyslu vyloučit z dalšího zpracování dokumenty neplatné, ve smyslu prostých kopií, avšak jestliže byl dokument v elektronické podobě doručen do dispozice stavebního úřadu (jak vložením do evidence elektronických dokumentací, tak prostřednictvím informačního systému datových schránek), odesílatel v dobré víře předpokládal, že učinil řádné podání. S odkazem na odst. </w:t>
      </w:r>
      <w:proofErr w:type="gramStart"/>
      <w:r w:rsidRPr="00EF32DD">
        <w:rPr>
          <w:rFonts w:asciiTheme="minorHAnsi" w:eastAsiaTheme="minorHAnsi" w:hAnsiTheme="minorHAnsi" w:cstheme="minorHAnsi"/>
          <w:lang w:eastAsia="en-US"/>
        </w:rPr>
        <w:t>1  a</w:t>
      </w:r>
      <w:proofErr w:type="gramEnd"/>
      <w:r w:rsidRPr="00EF32DD">
        <w:rPr>
          <w:rFonts w:asciiTheme="minorHAnsi" w:eastAsiaTheme="minorHAnsi" w:hAnsiTheme="minorHAnsi" w:cstheme="minorHAnsi"/>
          <w:lang w:eastAsia="en-US"/>
        </w:rPr>
        <w:t xml:space="preserve"> současně ve smyslu § 64 odst. 2 zákona č. 499/2004 Sb. by se vyloučením z evidence jednalo o dokument nepodléhající evidenci. Strohé odůvodnění doslova „…dokument doručený v elektronické podobě, který byl převeden z analogové podoby.“ je velmi obecné a současně nešťastné zvolenou terminologií. Pojmy „převod, převádění, převedení“ jsou naopak spojeny s udržením platnosti dokumentu při změně jeho formy ve smyslu § 69a zákona č. 499/2004 Sb. </w:t>
      </w:r>
    </w:p>
    <w:p w14:paraId="62B54990"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Jestliže portál umožnil učinit digitální úkon dle § 9 vyhlášky, pak je sice možné dokument dále nezpracovávat, ale vzhledem k absenci jiného evidenčního označení (mimo pořadového čísla v podacím deníku, pokud by tam byl dokument zapsán) v samostatné evidenci dokumentů je nepochopitelné rozhodnutí jej neoznačovat vůbec. Výjimky z obecného pravidla označování dokumentů jednoznačným identifikátorem, případně jejich vyloučení z dalšího zpracování, </w:t>
      </w:r>
      <w:proofErr w:type="gramStart"/>
      <w:r w:rsidRPr="00EF32DD">
        <w:rPr>
          <w:rFonts w:asciiTheme="minorHAnsi" w:eastAsiaTheme="minorHAnsi" w:hAnsiTheme="minorHAnsi" w:cstheme="minorHAnsi"/>
          <w:lang w:eastAsia="en-US"/>
        </w:rPr>
        <w:t>patří</w:t>
      </w:r>
      <w:proofErr w:type="gramEnd"/>
      <w:r w:rsidRPr="00EF32DD">
        <w:rPr>
          <w:rFonts w:asciiTheme="minorHAnsi" w:eastAsiaTheme="minorHAnsi" w:hAnsiTheme="minorHAnsi" w:cstheme="minorHAnsi"/>
          <w:lang w:eastAsia="en-US"/>
        </w:rPr>
        <w:t xml:space="preserve"> do spisového řádu a neměly by být řešeny právním předpisem., tudíž by odst. 2 měl být vypuštěn.</w:t>
      </w:r>
    </w:p>
    <w:p w14:paraId="5FD40A61"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649F08BF"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15. </w:t>
      </w:r>
      <w:r w:rsidRPr="00EF32DD">
        <w:rPr>
          <w:rFonts w:asciiTheme="minorHAnsi" w:eastAsiaTheme="minorHAnsi" w:hAnsiTheme="minorHAnsi" w:cstheme="minorHAnsi"/>
          <w:b/>
          <w:bCs/>
          <w:lang w:eastAsia="en-US"/>
        </w:rPr>
        <w:t>K § 21 odst. 3</w:t>
      </w:r>
    </w:p>
    <w:p w14:paraId="441F7B9A" w14:textId="77777777" w:rsidR="00104D75" w:rsidRPr="00EF32DD" w:rsidRDefault="00104D75" w:rsidP="00EF32DD">
      <w:pPr>
        <w:spacing w:after="200"/>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Navrhujeme sjednotit pravidla s obsahem přílohy č. 3 vyhlášky. </w:t>
      </w:r>
    </w:p>
    <w:p w14:paraId="06D59239" w14:textId="77777777" w:rsidR="00104D75" w:rsidRPr="00EF32DD" w:rsidRDefault="00104D75" w:rsidP="00EF32DD">
      <w:pPr>
        <w:spacing w:after="200"/>
        <w:rPr>
          <w:rFonts w:asciiTheme="minorHAnsi" w:eastAsiaTheme="minorHAnsi" w:hAnsiTheme="minorHAnsi" w:cstheme="minorHAnsi"/>
          <w:u w:val="single"/>
          <w:lang w:eastAsia="en-US"/>
        </w:rPr>
      </w:pPr>
      <w:r w:rsidRPr="00EF32DD">
        <w:rPr>
          <w:rFonts w:asciiTheme="minorHAnsi" w:eastAsiaTheme="minorHAnsi" w:hAnsiTheme="minorHAnsi" w:cstheme="minorHAnsi"/>
          <w:u w:val="single"/>
          <w:lang w:eastAsia="en-US"/>
        </w:rPr>
        <w:t>Odůvodnění:</w:t>
      </w:r>
    </w:p>
    <w:p w14:paraId="4A574EED"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lastRenderedPageBreak/>
        <w:t>Zatímco u požadovaných formátů elektronické dokumentace jsou uváděny výše uvedené zakázané znaky, § 21 odst. 2 návrhu vyhlášky stanoví jako přípustné znaky v názvu souboru datového kontejneru elektronické dokumentace ty, které jsou v příloze č. 3 této vyhlášky. V příloze č. 3 nazvané „</w:t>
      </w:r>
      <w:r w:rsidRPr="00EF32DD">
        <w:rPr>
          <w:rFonts w:asciiTheme="minorHAnsi" w:eastAsiaTheme="minorHAnsi" w:hAnsiTheme="minorHAnsi" w:cstheme="minorHAnsi"/>
          <w:i/>
          <w:iCs/>
          <w:lang w:eastAsia="en-US"/>
        </w:rPr>
        <w:t>Přípustné znaky pro názvy souborů, dokumentů a spisů</w:t>
      </w:r>
      <w:r w:rsidRPr="00EF32DD">
        <w:rPr>
          <w:rFonts w:asciiTheme="minorHAnsi" w:eastAsiaTheme="minorHAnsi" w:hAnsiTheme="minorHAnsi" w:cstheme="minorHAnsi"/>
          <w:lang w:eastAsia="en-US"/>
        </w:rPr>
        <w:t xml:space="preserve">“ jsou však ve speciálních znacích </w:t>
      </w:r>
      <w:r w:rsidRPr="00EF32DD">
        <w:rPr>
          <w:rFonts w:asciiTheme="minorHAnsi" w:eastAsiaTheme="minorHAnsi" w:hAnsiTheme="minorHAnsi" w:cstheme="minorHAnsi"/>
          <w:b/>
          <w:bCs/>
          <w:lang w:eastAsia="en-US"/>
        </w:rPr>
        <w:t xml:space="preserve">jako přípustné </w:t>
      </w:r>
      <w:r w:rsidRPr="00EF32DD">
        <w:rPr>
          <w:rFonts w:asciiTheme="minorHAnsi" w:eastAsiaTheme="minorHAnsi" w:hAnsiTheme="minorHAnsi" w:cstheme="minorHAnsi"/>
          <w:lang w:eastAsia="en-US"/>
        </w:rPr>
        <w:t xml:space="preserve">uvedeny mimo jiné </w:t>
      </w:r>
      <w:proofErr w:type="gramStart"/>
      <w:r w:rsidRPr="00EF32DD">
        <w:rPr>
          <w:rFonts w:asciiTheme="minorHAnsi" w:eastAsiaTheme="minorHAnsi" w:hAnsiTheme="minorHAnsi" w:cstheme="minorHAnsi"/>
          <w:lang w:eastAsia="en-US"/>
        </w:rPr>
        <w:t>* :</w:t>
      </w:r>
      <w:proofErr w:type="gramEnd"/>
      <w:r w:rsidRPr="00EF32DD">
        <w:rPr>
          <w:rFonts w:asciiTheme="minorHAnsi" w:eastAsiaTheme="minorHAnsi" w:hAnsiTheme="minorHAnsi" w:cstheme="minorHAnsi"/>
          <w:lang w:eastAsia="en-US"/>
        </w:rPr>
        <w:t xml:space="preserve"> ? </w:t>
      </w:r>
      <w:proofErr w:type="gramStart"/>
      <w:r w:rsidRPr="00EF32DD">
        <w:rPr>
          <w:rFonts w:asciiTheme="minorHAnsi" w:eastAsiaTheme="minorHAnsi" w:hAnsiTheme="minorHAnsi" w:cstheme="minorHAnsi"/>
          <w:lang w:eastAsia="en-US"/>
        </w:rPr>
        <w:t># ,</w:t>
      </w:r>
      <w:proofErr w:type="gramEnd"/>
      <w:r w:rsidRPr="00EF32DD">
        <w:rPr>
          <w:rFonts w:asciiTheme="minorHAnsi" w:eastAsiaTheme="minorHAnsi" w:hAnsiTheme="minorHAnsi" w:cstheme="minorHAnsi"/>
          <w:lang w:eastAsia="en-US"/>
        </w:rPr>
        <w:t xml:space="preserve"> . , což se jeví vzhledem ke znění odst. 3 jako poněkud protichůdné, resp. matoucí.</w:t>
      </w:r>
    </w:p>
    <w:p w14:paraId="127BB91C"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2F7926F0"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16. </w:t>
      </w:r>
      <w:r w:rsidRPr="00EF32DD">
        <w:rPr>
          <w:rFonts w:asciiTheme="minorHAnsi" w:eastAsiaTheme="minorHAnsi" w:hAnsiTheme="minorHAnsi" w:cstheme="minorHAnsi"/>
          <w:b/>
          <w:bCs/>
          <w:lang w:eastAsia="en-US"/>
        </w:rPr>
        <w:t>K § 23 odst. 2</w:t>
      </w:r>
    </w:p>
    <w:p w14:paraId="55D78EC4"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Navrhujeme upravit znění ustanovení v souladu s potřebami praxe. </w:t>
      </w:r>
    </w:p>
    <w:p w14:paraId="498CDD47" w14:textId="77777777" w:rsidR="00104D75" w:rsidRPr="00EF32DD" w:rsidRDefault="00104D75" w:rsidP="00EF32DD">
      <w:pPr>
        <w:spacing w:after="200"/>
        <w:rPr>
          <w:rFonts w:asciiTheme="minorHAnsi" w:eastAsiaTheme="minorHAnsi" w:hAnsiTheme="minorHAnsi" w:cstheme="minorHAnsi"/>
          <w:u w:val="single"/>
          <w:lang w:eastAsia="en-US"/>
        </w:rPr>
      </w:pPr>
      <w:r w:rsidRPr="00EF32DD">
        <w:rPr>
          <w:rFonts w:asciiTheme="minorHAnsi" w:eastAsiaTheme="minorHAnsi" w:hAnsiTheme="minorHAnsi" w:cstheme="minorHAnsi"/>
          <w:u w:val="single"/>
          <w:lang w:eastAsia="en-US"/>
        </w:rPr>
        <w:t>Odůvodnění:</w:t>
      </w:r>
    </w:p>
    <w:p w14:paraId="3C11D219"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Velikost formátu má jistě opodstatnění u výkresů a dokumentů v listinné podobě, ve které je jasně daná. V případě, že se pohybujeme v elektronické dokumentaci (což je patrně jedním z hlavních záměrů nové právní úpravy), se stanovení „rozhodné“ velikosti formátu výkresu/dokumentu jako A3 pro určení, zda jej musí nebo nemusí zpracovat projektant, jeví jako naprosto nevhodné. Např. tentýž výkres, pokud neobsahuje drobné detaily, lze bez ztrát dat uložit v .</w:t>
      </w:r>
      <w:proofErr w:type="spellStart"/>
      <w:r w:rsidRPr="00EF32DD">
        <w:rPr>
          <w:rFonts w:asciiTheme="minorHAnsi" w:eastAsiaTheme="minorHAnsi" w:hAnsiTheme="minorHAnsi" w:cstheme="minorHAnsi"/>
          <w:lang w:eastAsia="en-US"/>
        </w:rPr>
        <w:t>pdf</w:t>
      </w:r>
      <w:proofErr w:type="spellEnd"/>
      <w:r w:rsidRPr="00EF32DD">
        <w:rPr>
          <w:rFonts w:asciiTheme="minorHAnsi" w:eastAsiaTheme="minorHAnsi" w:hAnsiTheme="minorHAnsi" w:cstheme="minorHAnsi"/>
          <w:lang w:eastAsia="en-US"/>
        </w:rPr>
        <w:t xml:space="preserve"> jak do formátu A2, tak do formátu A3 a potřebná velikost výkresu bude patrně záležet i na zvoleném měřítku výkresu.</w:t>
      </w:r>
    </w:p>
    <w:p w14:paraId="12B5D2BD" w14:textId="77777777" w:rsidR="00104D75" w:rsidRPr="00EF32DD" w:rsidRDefault="00104D75" w:rsidP="00EF32DD">
      <w:pPr>
        <w:spacing w:after="200"/>
        <w:jc w:val="both"/>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 xml:space="preserve">Platí povinnost opatření výkresů a dokumentů vkládaných do elektronické dokumentace kvalifikovaným elektronickým podpisem a kvalifikovaným elektronickým časovým razítkem i pro dokumenty doručené prostřednictvím informačního systému datových schránek? Jak je nahlíženo na fikci podpisu? </w:t>
      </w:r>
    </w:p>
    <w:p w14:paraId="64626557" w14:textId="77777777" w:rsidR="00104D75" w:rsidRPr="00EF32DD" w:rsidRDefault="00104D75" w:rsidP="00EF32DD">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31DAAC52" w14:textId="6FDB5D93" w:rsidR="00123944" w:rsidRDefault="00123944" w:rsidP="00EF32DD">
      <w:pPr>
        <w:rPr>
          <w:rFonts w:asciiTheme="minorHAnsi" w:hAnsiTheme="minorHAnsi" w:cstheme="minorHAnsi"/>
          <w:u w:val="single"/>
        </w:rPr>
      </w:pPr>
      <w:r>
        <w:rPr>
          <w:rFonts w:asciiTheme="minorHAnsi" w:hAnsiTheme="minorHAnsi" w:cstheme="minorHAnsi"/>
          <w:u w:val="single"/>
        </w:rPr>
        <w:t>17. K příloze č. 2 bodu III</w:t>
      </w:r>
    </w:p>
    <w:p w14:paraId="4A7EA213" w14:textId="77777777" w:rsidR="00123944" w:rsidRDefault="00123944" w:rsidP="00EF32DD">
      <w:pPr>
        <w:rPr>
          <w:rFonts w:asciiTheme="minorHAnsi" w:hAnsiTheme="minorHAnsi" w:cstheme="minorHAnsi"/>
          <w:u w:val="single"/>
        </w:rPr>
      </w:pPr>
    </w:p>
    <w:p w14:paraId="5FA7007C" w14:textId="0B6F5E3B" w:rsidR="00223A56" w:rsidRDefault="00123944" w:rsidP="00123944">
      <w:pPr>
        <w:spacing w:after="200"/>
        <w:jc w:val="both"/>
        <w:rPr>
          <w:rFonts w:asciiTheme="minorHAnsi" w:eastAsiaTheme="minorHAnsi" w:hAnsiTheme="minorHAnsi" w:cstheme="minorHAnsi"/>
          <w:lang w:eastAsia="en-US"/>
        </w:rPr>
      </w:pPr>
      <w:r w:rsidRPr="00123944">
        <w:rPr>
          <w:rFonts w:asciiTheme="minorHAnsi" w:eastAsiaTheme="minorHAnsi" w:hAnsiTheme="minorHAnsi" w:cstheme="minorHAnsi"/>
          <w:lang w:eastAsia="en-US"/>
        </w:rPr>
        <w:t>Není zadán požadavek na „verzi / subverzi formátu“ zda postačuje základní verze formátu IFC (tzn. tzv 2x3), nebo se již počítá s formátem IFC 4 v subverzi RV či DTV.</w:t>
      </w:r>
    </w:p>
    <w:p w14:paraId="0715E54A" w14:textId="77777777" w:rsidR="00123944" w:rsidRPr="00EF32DD" w:rsidRDefault="00123944" w:rsidP="00123944">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1266A6B3" w14:textId="258BC521" w:rsidR="00123944" w:rsidRDefault="00123944" w:rsidP="00123944">
      <w:pPr>
        <w:spacing w:after="200"/>
        <w:jc w:val="both"/>
        <w:rPr>
          <w:rFonts w:asciiTheme="minorHAnsi" w:eastAsiaTheme="minorHAnsi" w:hAnsiTheme="minorHAnsi" w:cstheme="minorHAnsi"/>
          <w:lang w:eastAsia="en-US"/>
        </w:rPr>
      </w:pPr>
      <w:r>
        <w:rPr>
          <w:rFonts w:asciiTheme="minorHAnsi" w:eastAsiaTheme="minorHAnsi" w:hAnsiTheme="minorHAnsi" w:cstheme="minorHAnsi"/>
          <w:lang w:eastAsia="en-US"/>
        </w:rPr>
        <w:t>18. K příloze č. 6</w:t>
      </w:r>
    </w:p>
    <w:p w14:paraId="4B945661" w14:textId="36405930" w:rsidR="00123944" w:rsidRPr="00BC7A27" w:rsidRDefault="00123944" w:rsidP="00123944">
      <w:pPr>
        <w:pStyle w:val="Odst1"/>
        <w:numPr>
          <w:ilvl w:val="0"/>
          <w:numId w:val="0"/>
        </w:numPr>
      </w:pPr>
    </w:p>
    <w:tbl>
      <w:tblPr>
        <w:tblW w:w="9209" w:type="dxa"/>
        <w:tblCellMar>
          <w:left w:w="70" w:type="dxa"/>
          <w:right w:w="70" w:type="dxa"/>
        </w:tblCellMar>
        <w:tblLook w:val="04A0" w:firstRow="1" w:lastRow="0" w:firstColumn="1" w:lastColumn="0" w:noHBand="0" w:noVBand="1"/>
      </w:tblPr>
      <w:tblGrid>
        <w:gridCol w:w="694"/>
        <w:gridCol w:w="3402"/>
        <w:gridCol w:w="680"/>
        <w:gridCol w:w="1420"/>
        <w:gridCol w:w="3013"/>
      </w:tblGrid>
      <w:tr w:rsidR="00123944" w14:paraId="341E8F9F" w14:textId="77777777" w:rsidTr="00AF4036">
        <w:trPr>
          <w:trHeight w:val="315"/>
          <w:tblHeader/>
        </w:trPr>
        <w:tc>
          <w:tcPr>
            <w:tcW w:w="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C2B037" w14:textId="77777777" w:rsidR="00123944" w:rsidRPr="00BC7A27" w:rsidRDefault="00123944" w:rsidP="00AF4036">
            <w:pPr>
              <w:jc w:val="both"/>
              <w:rPr>
                <w:color w:val="000000"/>
              </w:rPr>
            </w:pPr>
            <w:r w:rsidRPr="00BC7A27">
              <w:rPr>
                <w:color w:val="000000"/>
              </w:rPr>
              <w:t>KOD</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BEEF3D1" w14:textId="77777777" w:rsidR="00123944" w:rsidRPr="00BC7A27" w:rsidRDefault="00123944" w:rsidP="00AF4036">
            <w:pPr>
              <w:jc w:val="both"/>
              <w:rPr>
                <w:color w:val="000000"/>
              </w:rPr>
            </w:pPr>
            <w:r w:rsidRPr="00BC7A27">
              <w:rPr>
                <w:color w:val="000000"/>
              </w:rPr>
              <w:t>NAZEV PARAMETRU</w:t>
            </w:r>
          </w:p>
        </w:tc>
        <w:tc>
          <w:tcPr>
            <w:tcW w:w="68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690C577D" w14:textId="77777777" w:rsidR="00123944" w:rsidRPr="00BC7A27" w:rsidRDefault="00123944" w:rsidP="00AF4036">
            <w:pPr>
              <w:jc w:val="both"/>
              <w:rPr>
                <w:color w:val="000000"/>
              </w:rPr>
            </w:pPr>
            <w:r w:rsidRPr="00BC7A27">
              <w:rPr>
                <w:color w:val="000000"/>
              </w:rPr>
              <w:t>MJ</w:t>
            </w:r>
          </w:p>
        </w:tc>
        <w:tc>
          <w:tcPr>
            <w:tcW w:w="142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198549F4" w14:textId="77777777" w:rsidR="00123944" w:rsidRPr="00BC7A27" w:rsidRDefault="00123944" w:rsidP="00AF4036">
            <w:pPr>
              <w:jc w:val="both"/>
              <w:rPr>
                <w:color w:val="000000"/>
              </w:rPr>
            </w:pPr>
            <w:r w:rsidRPr="00BC7A27">
              <w:rPr>
                <w:color w:val="000000"/>
              </w:rPr>
              <w:t>HODNOTA</w:t>
            </w:r>
          </w:p>
        </w:tc>
        <w:tc>
          <w:tcPr>
            <w:tcW w:w="3013"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2972CC91" w14:textId="77777777" w:rsidR="00123944" w:rsidRPr="00BC7A27" w:rsidRDefault="00123944" w:rsidP="00AF4036">
            <w:pPr>
              <w:jc w:val="both"/>
              <w:rPr>
                <w:i/>
                <w:iCs/>
                <w:color w:val="000000"/>
              </w:rPr>
            </w:pPr>
            <w:r w:rsidRPr="00BC7A27">
              <w:rPr>
                <w:i/>
                <w:iCs/>
                <w:color w:val="000000"/>
              </w:rPr>
              <w:t>POZN.</w:t>
            </w:r>
          </w:p>
        </w:tc>
      </w:tr>
      <w:tr w:rsidR="00123944" w14:paraId="063C0155" w14:textId="77777777" w:rsidTr="00AF4036">
        <w:trPr>
          <w:trHeight w:val="315"/>
        </w:trPr>
        <w:tc>
          <w:tcPr>
            <w:tcW w:w="694" w:type="dxa"/>
            <w:tcBorders>
              <w:top w:val="nil"/>
              <w:left w:val="single" w:sz="4" w:space="0" w:color="auto"/>
              <w:bottom w:val="single" w:sz="4" w:space="0" w:color="auto"/>
              <w:right w:val="single" w:sz="4" w:space="0" w:color="auto"/>
            </w:tcBorders>
          </w:tcPr>
          <w:p w14:paraId="1378A267" w14:textId="77777777" w:rsidR="00123944" w:rsidRPr="00BC7A27" w:rsidRDefault="00123944" w:rsidP="00AF4036">
            <w:pPr>
              <w:jc w:val="both"/>
              <w:rPr>
                <w:color w:val="000000"/>
              </w:rPr>
            </w:pPr>
            <w:r w:rsidRPr="00BC7A27">
              <w:rPr>
                <w:color w:val="000000"/>
              </w:rPr>
              <w:t>1</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5FB0284" w14:textId="77777777" w:rsidR="00123944" w:rsidRPr="00BC7A27" w:rsidRDefault="00123944" w:rsidP="00AF4036">
            <w:pPr>
              <w:jc w:val="both"/>
              <w:rPr>
                <w:color w:val="000000"/>
              </w:rPr>
            </w:pPr>
            <w:r w:rsidRPr="00BC7A27">
              <w:rPr>
                <w:color w:val="000000"/>
              </w:rPr>
              <w:t xml:space="preserve">Způsob využití areálu </w:t>
            </w:r>
          </w:p>
        </w:tc>
        <w:tc>
          <w:tcPr>
            <w:tcW w:w="680" w:type="dxa"/>
            <w:tcBorders>
              <w:top w:val="nil"/>
              <w:left w:val="nil"/>
              <w:bottom w:val="single" w:sz="4" w:space="0" w:color="auto"/>
              <w:right w:val="single" w:sz="4" w:space="0" w:color="auto"/>
            </w:tcBorders>
            <w:shd w:val="clear" w:color="auto" w:fill="auto"/>
            <w:noWrap/>
            <w:vAlign w:val="bottom"/>
            <w:hideMark/>
          </w:tcPr>
          <w:p w14:paraId="599C452A"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5B163379" w14:textId="77777777" w:rsidR="00123944" w:rsidRPr="00BC7A27" w:rsidRDefault="00123944" w:rsidP="00AF4036">
            <w:pPr>
              <w:jc w:val="both"/>
              <w:rPr>
                <w:color w:val="000000"/>
              </w:rPr>
            </w:pPr>
            <w:r w:rsidRPr="00BC7A27">
              <w:rPr>
                <w:color w:val="000000" w:themeColor="text1"/>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694B3759" w14:textId="77777777" w:rsidR="00123944" w:rsidRDefault="00123944" w:rsidP="00AF4036">
            <w:pPr>
              <w:jc w:val="both"/>
              <w:rPr>
                <w:color w:val="000000" w:themeColor="text1"/>
              </w:rPr>
            </w:pPr>
            <w:r w:rsidRPr="457C6863">
              <w:rPr>
                <w:color w:val="000000" w:themeColor="text1"/>
              </w:rPr>
              <w:t>Definice areálu, kde je umístěna stavba.</w:t>
            </w:r>
          </w:p>
          <w:p w14:paraId="14237FDD" w14:textId="77777777" w:rsidR="00123944" w:rsidRDefault="00123944" w:rsidP="00AF4036">
            <w:pPr>
              <w:jc w:val="both"/>
              <w:rPr>
                <w:i/>
                <w:iCs/>
                <w:color w:val="000000" w:themeColor="text1"/>
              </w:rPr>
            </w:pPr>
          </w:p>
          <w:p w14:paraId="7DC19347" w14:textId="1980C3FF" w:rsidR="00123944" w:rsidRPr="00123944" w:rsidRDefault="00123944" w:rsidP="00AF4036">
            <w:pPr>
              <w:jc w:val="both"/>
              <w:rPr>
                <w:b/>
                <w:bCs/>
                <w:color w:val="000000"/>
                <w:u w:val="single"/>
              </w:rPr>
            </w:pPr>
            <w:r w:rsidRPr="00123944">
              <w:rPr>
                <w:b/>
                <w:bCs/>
                <w:color w:val="000000" w:themeColor="text1"/>
                <w:highlight w:val="yellow"/>
                <w:u w:val="single"/>
              </w:rPr>
              <w:t xml:space="preserve">Připomínka: Není </w:t>
            </w:r>
            <w:proofErr w:type="gramStart"/>
            <w:r w:rsidRPr="00123944">
              <w:rPr>
                <w:b/>
                <w:bCs/>
                <w:color w:val="000000" w:themeColor="text1"/>
                <w:highlight w:val="yellow"/>
                <w:u w:val="single"/>
              </w:rPr>
              <w:t>jasné</w:t>
            </w:r>
            <w:proofErr w:type="gramEnd"/>
            <w:r w:rsidRPr="00123944">
              <w:rPr>
                <w:b/>
                <w:bCs/>
                <w:color w:val="000000" w:themeColor="text1"/>
                <w:highlight w:val="yellow"/>
                <w:u w:val="single"/>
              </w:rPr>
              <w:t xml:space="preserve"> zda se, například v rámci brownfieldů, jedná o </w:t>
            </w:r>
            <w:r w:rsidRPr="00123944">
              <w:rPr>
                <w:b/>
                <w:bCs/>
                <w:color w:val="000000" w:themeColor="text1"/>
                <w:highlight w:val="yellow"/>
                <w:u w:val="single"/>
              </w:rPr>
              <w:lastRenderedPageBreak/>
              <w:t>stávající nebo navrhovaný stav.</w:t>
            </w:r>
          </w:p>
        </w:tc>
      </w:tr>
      <w:tr w:rsidR="00123944" w14:paraId="75A57738" w14:textId="77777777" w:rsidTr="00AF4036">
        <w:trPr>
          <w:trHeight w:val="315"/>
        </w:trPr>
        <w:tc>
          <w:tcPr>
            <w:tcW w:w="694" w:type="dxa"/>
            <w:tcBorders>
              <w:top w:val="nil"/>
              <w:left w:val="single" w:sz="4" w:space="0" w:color="auto"/>
              <w:bottom w:val="single" w:sz="4" w:space="0" w:color="auto"/>
              <w:right w:val="single" w:sz="4" w:space="0" w:color="auto"/>
            </w:tcBorders>
          </w:tcPr>
          <w:p w14:paraId="470BDAFE" w14:textId="77777777" w:rsidR="00123944" w:rsidRPr="00BC7A27" w:rsidRDefault="00123944" w:rsidP="00AF4036">
            <w:pPr>
              <w:jc w:val="both"/>
              <w:rPr>
                <w:color w:val="000000"/>
              </w:rPr>
            </w:pPr>
            <w:r w:rsidRPr="00BC7A27">
              <w:rPr>
                <w:color w:val="000000"/>
              </w:rPr>
              <w:lastRenderedPageBreak/>
              <w:t>4</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CDD1632" w14:textId="77777777" w:rsidR="00123944" w:rsidRPr="00BC7A27" w:rsidRDefault="00123944" w:rsidP="00AF4036">
            <w:pPr>
              <w:jc w:val="both"/>
              <w:rPr>
                <w:color w:val="000000"/>
              </w:rPr>
            </w:pPr>
            <w:r w:rsidRPr="00BC7A27">
              <w:rPr>
                <w:color w:val="000000"/>
              </w:rPr>
              <w:t>IČS</w:t>
            </w:r>
          </w:p>
        </w:tc>
        <w:tc>
          <w:tcPr>
            <w:tcW w:w="680" w:type="dxa"/>
            <w:tcBorders>
              <w:top w:val="nil"/>
              <w:left w:val="nil"/>
              <w:bottom w:val="single" w:sz="4" w:space="0" w:color="auto"/>
              <w:right w:val="single" w:sz="4" w:space="0" w:color="auto"/>
            </w:tcBorders>
            <w:shd w:val="clear" w:color="auto" w:fill="auto"/>
            <w:noWrap/>
            <w:vAlign w:val="bottom"/>
            <w:hideMark/>
          </w:tcPr>
          <w:p w14:paraId="38A9406D"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50195B48" w14:textId="77777777" w:rsidR="00123944" w:rsidRPr="00BC7A27" w:rsidRDefault="00123944" w:rsidP="00AF4036">
            <w:pPr>
              <w:jc w:val="both"/>
              <w:rPr>
                <w:color w:val="000000"/>
              </w:rPr>
            </w:pPr>
            <w:r w:rsidRPr="00BC7A27">
              <w:rPr>
                <w:color w:val="000000"/>
              </w:rPr>
              <w:t>id</w:t>
            </w:r>
          </w:p>
        </w:tc>
        <w:tc>
          <w:tcPr>
            <w:tcW w:w="3013" w:type="dxa"/>
            <w:tcBorders>
              <w:top w:val="nil"/>
              <w:left w:val="nil"/>
              <w:bottom w:val="single" w:sz="4" w:space="0" w:color="auto"/>
              <w:right w:val="single" w:sz="4" w:space="0" w:color="auto"/>
            </w:tcBorders>
            <w:shd w:val="clear" w:color="auto" w:fill="auto"/>
            <w:vAlign w:val="bottom"/>
            <w:hideMark/>
          </w:tcPr>
          <w:p w14:paraId="77CFB025" w14:textId="77777777" w:rsidR="00123944" w:rsidRPr="00BC7A27" w:rsidRDefault="00123944" w:rsidP="00AF4036">
            <w:pPr>
              <w:jc w:val="both"/>
              <w:rPr>
                <w:i/>
                <w:iCs/>
                <w:color w:val="000000"/>
              </w:rPr>
            </w:pPr>
            <w:r w:rsidRPr="00BC7A27">
              <w:rPr>
                <w:i/>
                <w:iCs/>
                <w:color w:val="000000"/>
              </w:rPr>
              <w:t>Údaj z evidence staveb a záměrů</w:t>
            </w:r>
          </w:p>
        </w:tc>
      </w:tr>
      <w:tr w:rsidR="00123944" w14:paraId="7F03B99D" w14:textId="77777777" w:rsidTr="00AF4036">
        <w:trPr>
          <w:trHeight w:val="315"/>
        </w:trPr>
        <w:tc>
          <w:tcPr>
            <w:tcW w:w="694" w:type="dxa"/>
            <w:tcBorders>
              <w:top w:val="nil"/>
              <w:left w:val="single" w:sz="4" w:space="0" w:color="auto"/>
              <w:bottom w:val="single" w:sz="4" w:space="0" w:color="auto"/>
              <w:right w:val="single" w:sz="4" w:space="0" w:color="auto"/>
            </w:tcBorders>
          </w:tcPr>
          <w:p w14:paraId="67DBA23E" w14:textId="77777777" w:rsidR="00123944" w:rsidRPr="00BC7A27" w:rsidRDefault="00123944" w:rsidP="00AF4036">
            <w:pPr>
              <w:jc w:val="both"/>
              <w:rPr>
                <w:color w:val="000000"/>
              </w:rPr>
            </w:pPr>
            <w:r w:rsidRPr="00BC7A27">
              <w:rPr>
                <w:color w:val="000000"/>
              </w:rPr>
              <w:t>5</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FEC0AF3" w14:textId="77777777" w:rsidR="00123944" w:rsidRPr="00BC7A27" w:rsidRDefault="00123944" w:rsidP="00AF4036">
            <w:pPr>
              <w:jc w:val="both"/>
              <w:rPr>
                <w:color w:val="000000"/>
              </w:rPr>
            </w:pPr>
            <w:r w:rsidRPr="00BC7A27">
              <w:rPr>
                <w:color w:val="000000"/>
              </w:rPr>
              <w:t>RUIAN</w:t>
            </w:r>
          </w:p>
        </w:tc>
        <w:tc>
          <w:tcPr>
            <w:tcW w:w="680" w:type="dxa"/>
            <w:tcBorders>
              <w:top w:val="nil"/>
              <w:left w:val="nil"/>
              <w:bottom w:val="single" w:sz="4" w:space="0" w:color="auto"/>
              <w:right w:val="single" w:sz="4" w:space="0" w:color="auto"/>
            </w:tcBorders>
            <w:shd w:val="clear" w:color="auto" w:fill="auto"/>
            <w:noWrap/>
            <w:vAlign w:val="bottom"/>
            <w:hideMark/>
          </w:tcPr>
          <w:p w14:paraId="4D6CF1BB"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67826A86" w14:textId="77777777" w:rsidR="00123944" w:rsidRPr="00BC7A27" w:rsidRDefault="00123944" w:rsidP="00AF4036">
            <w:pPr>
              <w:jc w:val="both"/>
              <w:rPr>
                <w:color w:val="000000"/>
              </w:rPr>
            </w:pPr>
            <w:r w:rsidRPr="00BC7A27">
              <w:rPr>
                <w:color w:val="000000"/>
              </w:rPr>
              <w:t>id</w:t>
            </w:r>
          </w:p>
        </w:tc>
        <w:tc>
          <w:tcPr>
            <w:tcW w:w="3013" w:type="dxa"/>
            <w:tcBorders>
              <w:top w:val="nil"/>
              <w:left w:val="nil"/>
              <w:bottom w:val="single" w:sz="4" w:space="0" w:color="auto"/>
              <w:right w:val="single" w:sz="4" w:space="0" w:color="auto"/>
            </w:tcBorders>
            <w:shd w:val="clear" w:color="auto" w:fill="auto"/>
            <w:vAlign w:val="bottom"/>
            <w:hideMark/>
          </w:tcPr>
          <w:p w14:paraId="113D7D7C" w14:textId="77777777" w:rsidR="00123944" w:rsidRPr="00BC7A27" w:rsidRDefault="00123944" w:rsidP="00AF4036">
            <w:pPr>
              <w:jc w:val="both"/>
              <w:rPr>
                <w:i/>
                <w:iCs/>
                <w:color w:val="000000"/>
              </w:rPr>
            </w:pPr>
            <w:r w:rsidRPr="00BC7A27">
              <w:rPr>
                <w:i/>
                <w:iCs/>
                <w:color w:val="000000"/>
              </w:rPr>
              <w:t>Údaj z registru územní identifikace, adres a nemovitostí</w:t>
            </w:r>
          </w:p>
        </w:tc>
      </w:tr>
      <w:tr w:rsidR="00123944" w14:paraId="02CB4F04" w14:textId="77777777" w:rsidTr="00AF4036">
        <w:trPr>
          <w:trHeight w:val="315"/>
        </w:trPr>
        <w:tc>
          <w:tcPr>
            <w:tcW w:w="694" w:type="dxa"/>
            <w:tcBorders>
              <w:top w:val="nil"/>
              <w:left w:val="single" w:sz="4" w:space="0" w:color="auto"/>
              <w:bottom w:val="single" w:sz="4" w:space="0" w:color="auto"/>
              <w:right w:val="single" w:sz="4" w:space="0" w:color="auto"/>
            </w:tcBorders>
          </w:tcPr>
          <w:p w14:paraId="4CF4A562" w14:textId="77777777" w:rsidR="00123944" w:rsidRPr="00BC7A27" w:rsidRDefault="00123944" w:rsidP="00AF4036">
            <w:pPr>
              <w:jc w:val="both"/>
              <w:rPr>
                <w:color w:val="000000"/>
              </w:rPr>
            </w:pPr>
            <w:r w:rsidRPr="00BC7A27">
              <w:rPr>
                <w:color w:val="000000"/>
              </w:rPr>
              <w:t>6</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0798946" w14:textId="77777777" w:rsidR="00123944" w:rsidRPr="00BC7A27" w:rsidRDefault="00123944" w:rsidP="00AF4036">
            <w:pPr>
              <w:jc w:val="both"/>
              <w:rPr>
                <w:color w:val="000000"/>
              </w:rPr>
            </w:pPr>
            <w:r w:rsidRPr="00BC7A27">
              <w:rPr>
                <w:color w:val="000000"/>
              </w:rPr>
              <w:t>DTM/DMVS</w:t>
            </w:r>
          </w:p>
        </w:tc>
        <w:tc>
          <w:tcPr>
            <w:tcW w:w="680" w:type="dxa"/>
            <w:tcBorders>
              <w:top w:val="nil"/>
              <w:left w:val="nil"/>
              <w:bottom w:val="single" w:sz="4" w:space="0" w:color="auto"/>
              <w:right w:val="single" w:sz="4" w:space="0" w:color="auto"/>
            </w:tcBorders>
            <w:shd w:val="clear" w:color="auto" w:fill="auto"/>
            <w:noWrap/>
            <w:vAlign w:val="bottom"/>
            <w:hideMark/>
          </w:tcPr>
          <w:p w14:paraId="3194391E"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1E6002F3" w14:textId="77777777" w:rsidR="00123944" w:rsidRPr="00BC7A27" w:rsidRDefault="00123944" w:rsidP="00AF4036">
            <w:pPr>
              <w:jc w:val="both"/>
              <w:rPr>
                <w:color w:val="000000"/>
              </w:rPr>
            </w:pPr>
            <w:r w:rsidRPr="00BC7A27">
              <w:rPr>
                <w:color w:val="000000"/>
              </w:rPr>
              <w:t>id</w:t>
            </w:r>
          </w:p>
        </w:tc>
        <w:tc>
          <w:tcPr>
            <w:tcW w:w="3013" w:type="dxa"/>
            <w:tcBorders>
              <w:top w:val="nil"/>
              <w:left w:val="nil"/>
              <w:bottom w:val="single" w:sz="4" w:space="0" w:color="auto"/>
              <w:right w:val="single" w:sz="4" w:space="0" w:color="auto"/>
            </w:tcBorders>
            <w:shd w:val="clear" w:color="auto" w:fill="auto"/>
            <w:vAlign w:val="bottom"/>
            <w:hideMark/>
          </w:tcPr>
          <w:p w14:paraId="645DEFF4" w14:textId="77777777" w:rsidR="00123944" w:rsidRPr="00BC7A27" w:rsidRDefault="00123944" w:rsidP="00AF4036">
            <w:pPr>
              <w:jc w:val="both"/>
              <w:rPr>
                <w:i/>
                <w:iCs/>
                <w:color w:val="000000"/>
              </w:rPr>
            </w:pPr>
            <w:r w:rsidRPr="00BC7A27">
              <w:rPr>
                <w:i/>
                <w:iCs/>
                <w:color w:val="000000"/>
              </w:rPr>
              <w:t>Údaj z digitální technické mapy</w:t>
            </w:r>
          </w:p>
        </w:tc>
      </w:tr>
      <w:tr w:rsidR="00123944" w14:paraId="7E02CBA5" w14:textId="77777777" w:rsidTr="00AF4036">
        <w:trPr>
          <w:trHeight w:val="315"/>
        </w:trPr>
        <w:tc>
          <w:tcPr>
            <w:tcW w:w="694" w:type="dxa"/>
            <w:tcBorders>
              <w:top w:val="nil"/>
              <w:left w:val="single" w:sz="4" w:space="0" w:color="auto"/>
              <w:bottom w:val="single" w:sz="4" w:space="0" w:color="auto"/>
              <w:right w:val="single" w:sz="4" w:space="0" w:color="auto"/>
            </w:tcBorders>
          </w:tcPr>
          <w:p w14:paraId="4CA30B18" w14:textId="77777777" w:rsidR="00123944" w:rsidRPr="00BC7A27" w:rsidRDefault="00123944" w:rsidP="00AF4036">
            <w:pPr>
              <w:jc w:val="both"/>
              <w:rPr>
                <w:color w:val="000000"/>
              </w:rPr>
            </w:pPr>
            <w:r w:rsidRPr="00BC7A27">
              <w:rPr>
                <w:color w:val="000000"/>
              </w:rPr>
              <w:t>7</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5ED6BDE" w14:textId="77777777" w:rsidR="00123944" w:rsidRPr="00BC7A27" w:rsidRDefault="00123944" w:rsidP="00AF4036">
            <w:pPr>
              <w:jc w:val="both"/>
              <w:rPr>
                <w:color w:val="000000"/>
              </w:rPr>
            </w:pPr>
            <w:r w:rsidRPr="00BC7A27">
              <w:rPr>
                <w:color w:val="000000" w:themeColor="text1"/>
              </w:rPr>
              <w:t>Katastrální území</w:t>
            </w:r>
          </w:p>
        </w:tc>
        <w:tc>
          <w:tcPr>
            <w:tcW w:w="680" w:type="dxa"/>
            <w:tcBorders>
              <w:top w:val="nil"/>
              <w:left w:val="nil"/>
              <w:bottom w:val="single" w:sz="4" w:space="0" w:color="auto"/>
              <w:right w:val="single" w:sz="4" w:space="0" w:color="auto"/>
            </w:tcBorders>
            <w:shd w:val="clear" w:color="auto" w:fill="auto"/>
            <w:noWrap/>
            <w:vAlign w:val="bottom"/>
            <w:hideMark/>
          </w:tcPr>
          <w:p w14:paraId="204FED74"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355551C2" w14:textId="77777777" w:rsidR="00123944" w:rsidRPr="00BC7A27" w:rsidRDefault="00123944" w:rsidP="00AF4036">
            <w:pPr>
              <w:jc w:val="both"/>
              <w:rPr>
                <w:color w:val="000000"/>
              </w:rPr>
            </w:pPr>
            <w:r w:rsidRPr="00BC7A27">
              <w:rPr>
                <w:color w:val="000000" w:themeColor="text1"/>
              </w:rPr>
              <w:t>id</w:t>
            </w:r>
          </w:p>
        </w:tc>
        <w:tc>
          <w:tcPr>
            <w:tcW w:w="3013" w:type="dxa"/>
            <w:tcBorders>
              <w:top w:val="nil"/>
              <w:left w:val="nil"/>
              <w:bottom w:val="single" w:sz="4" w:space="0" w:color="auto"/>
              <w:right w:val="single" w:sz="4" w:space="0" w:color="auto"/>
            </w:tcBorders>
            <w:shd w:val="clear" w:color="auto" w:fill="auto"/>
            <w:vAlign w:val="bottom"/>
            <w:hideMark/>
          </w:tcPr>
          <w:p w14:paraId="252E586B" w14:textId="77777777" w:rsidR="00123944" w:rsidRPr="00BC7A27" w:rsidRDefault="00123944" w:rsidP="00AF4036">
            <w:pPr>
              <w:jc w:val="both"/>
              <w:rPr>
                <w:i/>
                <w:iCs/>
                <w:color w:val="000000"/>
              </w:rPr>
            </w:pPr>
            <w:r w:rsidRPr="00BC7A27">
              <w:rPr>
                <w:i/>
                <w:iCs/>
                <w:color w:val="000000"/>
              </w:rPr>
              <w:t>Údaj z katastru nemovitostí</w:t>
            </w:r>
          </w:p>
        </w:tc>
      </w:tr>
      <w:tr w:rsidR="00123944" w14:paraId="57B23C57" w14:textId="77777777" w:rsidTr="00AF4036">
        <w:trPr>
          <w:trHeight w:val="315"/>
        </w:trPr>
        <w:tc>
          <w:tcPr>
            <w:tcW w:w="694" w:type="dxa"/>
            <w:tcBorders>
              <w:top w:val="nil"/>
              <w:left w:val="single" w:sz="4" w:space="0" w:color="auto"/>
              <w:bottom w:val="single" w:sz="4" w:space="0" w:color="auto"/>
              <w:right w:val="single" w:sz="4" w:space="0" w:color="auto"/>
            </w:tcBorders>
          </w:tcPr>
          <w:p w14:paraId="4C4B83C8" w14:textId="77777777" w:rsidR="00123944" w:rsidRPr="00BC7A27" w:rsidRDefault="00123944" w:rsidP="00AF4036">
            <w:pPr>
              <w:jc w:val="both"/>
              <w:rPr>
                <w:color w:val="000000"/>
              </w:rPr>
            </w:pPr>
            <w:r w:rsidRPr="00BC7A27">
              <w:rPr>
                <w:color w:val="000000"/>
              </w:rPr>
              <w:t>8</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80B7FD4" w14:textId="77777777" w:rsidR="00123944" w:rsidRPr="00BC7A27" w:rsidRDefault="00123944" w:rsidP="00AF4036">
            <w:pPr>
              <w:jc w:val="both"/>
              <w:rPr>
                <w:color w:val="000000"/>
              </w:rPr>
            </w:pPr>
            <w:r w:rsidRPr="00BC7A27">
              <w:rPr>
                <w:color w:val="000000"/>
              </w:rPr>
              <w:t>Parcela</w:t>
            </w:r>
          </w:p>
        </w:tc>
        <w:tc>
          <w:tcPr>
            <w:tcW w:w="680" w:type="dxa"/>
            <w:tcBorders>
              <w:top w:val="nil"/>
              <w:left w:val="nil"/>
              <w:bottom w:val="single" w:sz="4" w:space="0" w:color="auto"/>
              <w:right w:val="single" w:sz="4" w:space="0" w:color="auto"/>
            </w:tcBorders>
            <w:shd w:val="clear" w:color="auto" w:fill="auto"/>
            <w:noWrap/>
            <w:vAlign w:val="bottom"/>
            <w:hideMark/>
          </w:tcPr>
          <w:p w14:paraId="3C339845"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22656802" w14:textId="77777777" w:rsidR="00123944" w:rsidRPr="00BC7A27" w:rsidRDefault="00123944" w:rsidP="00AF4036">
            <w:pPr>
              <w:jc w:val="both"/>
              <w:rPr>
                <w:color w:val="000000"/>
              </w:rPr>
            </w:pPr>
            <w:r w:rsidRPr="00BC7A27">
              <w:rPr>
                <w:color w:val="000000" w:themeColor="text1"/>
              </w:rPr>
              <w:t>id</w:t>
            </w:r>
          </w:p>
        </w:tc>
        <w:tc>
          <w:tcPr>
            <w:tcW w:w="3013" w:type="dxa"/>
            <w:tcBorders>
              <w:top w:val="nil"/>
              <w:left w:val="nil"/>
              <w:bottom w:val="single" w:sz="4" w:space="0" w:color="auto"/>
              <w:right w:val="single" w:sz="4" w:space="0" w:color="auto"/>
            </w:tcBorders>
            <w:shd w:val="clear" w:color="auto" w:fill="auto"/>
            <w:vAlign w:val="bottom"/>
            <w:hideMark/>
          </w:tcPr>
          <w:p w14:paraId="2753DF82" w14:textId="77777777" w:rsidR="00123944" w:rsidRPr="00BC7A27" w:rsidRDefault="00123944" w:rsidP="00AF4036">
            <w:pPr>
              <w:jc w:val="both"/>
              <w:rPr>
                <w:i/>
                <w:iCs/>
                <w:color w:val="000000"/>
              </w:rPr>
            </w:pPr>
            <w:r w:rsidRPr="00BC7A27">
              <w:rPr>
                <w:i/>
                <w:iCs/>
                <w:color w:val="000000"/>
              </w:rPr>
              <w:t>Údaj z katastru nemovitostí</w:t>
            </w:r>
          </w:p>
        </w:tc>
      </w:tr>
      <w:tr w:rsidR="00123944" w14:paraId="0FEF08F6" w14:textId="77777777" w:rsidTr="00AF4036">
        <w:trPr>
          <w:trHeight w:val="1200"/>
        </w:trPr>
        <w:tc>
          <w:tcPr>
            <w:tcW w:w="694" w:type="dxa"/>
            <w:tcBorders>
              <w:top w:val="nil"/>
              <w:left w:val="single" w:sz="4" w:space="0" w:color="auto"/>
              <w:bottom w:val="single" w:sz="4" w:space="0" w:color="auto"/>
              <w:right w:val="single" w:sz="4" w:space="0" w:color="auto"/>
            </w:tcBorders>
          </w:tcPr>
          <w:p w14:paraId="6BC1C5B2" w14:textId="77777777" w:rsidR="00123944" w:rsidRPr="00BC7A27" w:rsidRDefault="00123944" w:rsidP="00AF4036">
            <w:pPr>
              <w:jc w:val="both"/>
              <w:rPr>
                <w:color w:val="000000"/>
              </w:rPr>
            </w:pPr>
            <w:r w:rsidRPr="00BC7A27">
              <w:rPr>
                <w:color w:val="000000"/>
              </w:rPr>
              <w:t>9</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3CA33AE" w14:textId="77777777" w:rsidR="00123944" w:rsidRPr="00BC7A27" w:rsidRDefault="00123944" w:rsidP="00AF4036">
            <w:pPr>
              <w:jc w:val="both"/>
              <w:rPr>
                <w:color w:val="000000"/>
              </w:rPr>
            </w:pPr>
            <w:r w:rsidRPr="00BC7A27">
              <w:rPr>
                <w:color w:val="000000"/>
              </w:rPr>
              <w:t>Definiční bod</w:t>
            </w:r>
          </w:p>
        </w:tc>
        <w:tc>
          <w:tcPr>
            <w:tcW w:w="680" w:type="dxa"/>
            <w:tcBorders>
              <w:top w:val="nil"/>
              <w:left w:val="nil"/>
              <w:bottom w:val="single" w:sz="4" w:space="0" w:color="auto"/>
              <w:right w:val="single" w:sz="4" w:space="0" w:color="auto"/>
            </w:tcBorders>
            <w:shd w:val="clear" w:color="auto" w:fill="auto"/>
            <w:noWrap/>
            <w:vAlign w:val="bottom"/>
            <w:hideMark/>
          </w:tcPr>
          <w:p w14:paraId="7F2D50FB" w14:textId="77777777" w:rsidR="00123944" w:rsidRPr="00BC7A27" w:rsidRDefault="00123944" w:rsidP="00AF4036">
            <w:pPr>
              <w:jc w:val="both"/>
              <w:rPr>
                <w:color w:val="000000"/>
              </w:rPr>
            </w:pPr>
            <w:r w:rsidRPr="00BC7A27">
              <w:rPr>
                <w:color w:val="000000"/>
              </w:rPr>
              <w:t>-</w:t>
            </w: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888A4EC" w14:textId="77777777" w:rsidR="00123944" w:rsidRPr="00BC7A27" w:rsidRDefault="00123944" w:rsidP="00AF4036">
            <w:pPr>
              <w:jc w:val="both"/>
              <w:rPr>
                <w:color w:val="000000"/>
              </w:rPr>
            </w:pPr>
            <w:r w:rsidRPr="00BC7A27">
              <w:rPr>
                <w:color w:val="000000"/>
              </w:rPr>
              <w:t> </w:t>
            </w:r>
          </w:p>
        </w:tc>
        <w:tc>
          <w:tcPr>
            <w:tcW w:w="3013" w:type="dxa"/>
            <w:tcBorders>
              <w:top w:val="nil"/>
              <w:left w:val="nil"/>
              <w:bottom w:val="single" w:sz="4" w:space="0" w:color="auto"/>
              <w:right w:val="single" w:sz="4" w:space="0" w:color="auto"/>
            </w:tcBorders>
            <w:shd w:val="clear" w:color="auto" w:fill="auto"/>
            <w:vAlign w:val="bottom"/>
            <w:hideMark/>
          </w:tcPr>
          <w:p w14:paraId="7D2BAF3F" w14:textId="77777777" w:rsidR="00123944" w:rsidRPr="00BC7A27" w:rsidRDefault="00123944" w:rsidP="00AF4036">
            <w:pPr>
              <w:jc w:val="both"/>
              <w:rPr>
                <w:i/>
                <w:iCs/>
                <w:color w:val="000000"/>
              </w:rPr>
            </w:pPr>
            <w:r w:rsidRPr="00BC7A27">
              <w:rPr>
                <w:i/>
                <w:color w:val="000000" w:themeColor="text1"/>
              </w:rPr>
              <w:t xml:space="preserve">Definiční bod musí ležet v parcele zadané v detailu stavebního objektu, nebo v polygonu parcely podle KN (stavební objekt je zapsaný v KN), nebo v katastrálním území, do kterého parcela </w:t>
            </w:r>
            <w:proofErr w:type="gramStart"/>
            <w:r w:rsidRPr="00BC7A27">
              <w:rPr>
                <w:i/>
                <w:color w:val="000000" w:themeColor="text1"/>
              </w:rPr>
              <w:t>patří</w:t>
            </w:r>
            <w:proofErr w:type="gramEnd"/>
          </w:p>
        </w:tc>
      </w:tr>
      <w:tr w:rsidR="00123944" w14:paraId="21B4E889" w14:textId="77777777" w:rsidTr="00AF4036">
        <w:trPr>
          <w:trHeight w:val="315"/>
        </w:trPr>
        <w:tc>
          <w:tcPr>
            <w:tcW w:w="694" w:type="dxa"/>
            <w:tcBorders>
              <w:top w:val="nil"/>
              <w:left w:val="single" w:sz="4" w:space="0" w:color="auto"/>
              <w:bottom w:val="single" w:sz="4" w:space="0" w:color="auto"/>
              <w:right w:val="single" w:sz="4" w:space="0" w:color="auto"/>
            </w:tcBorders>
          </w:tcPr>
          <w:p w14:paraId="60378F9F" w14:textId="77777777" w:rsidR="00123944" w:rsidRPr="00BC7A27" w:rsidRDefault="00123944" w:rsidP="00AF4036">
            <w:pPr>
              <w:jc w:val="both"/>
              <w:rPr>
                <w:color w:val="000000"/>
              </w:rPr>
            </w:pP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4E8DA0D3" w14:textId="77777777" w:rsidR="00123944" w:rsidRPr="00BC7A27" w:rsidRDefault="00123944" w:rsidP="00AF4036">
            <w:pPr>
              <w:jc w:val="both"/>
              <w:rPr>
                <w:color w:val="000000" w:themeColor="text1"/>
              </w:rPr>
            </w:pPr>
            <w:r w:rsidRPr="00BC7A27">
              <w:rPr>
                <w:color w:val="000000" w:themeColor="text1"/>
              </w:rPr>
              <w:t>Stavba umístěná v odstupové vzdálenosti od hranic pozemků nejméně 2 m</w:t>
            </w:r>
          </w:p>
        </w:tc>
        <w:tc>
          <w:tcPr>
            <w:tcW w:w="680" w:type="dxa"/>
            <w:tcBorders>
              <w:top w:val="nil"/>
              <w:left w:val="nil"/>
              <w:bottom w:val="single" w:sz="4" w:space="0" w:color="auto"/>
              <w:right w:val="single" w:sz="4" w:space="0" w:color="auto"/>
            </w:tcBorders>
            <w:shd w:val="clear" w:color="auto" w:fill="auto"/>
            <w:noWrap/>
            <w:vAlign w:val="bottom"/>
          </w:tcPr>
          <w:p w14:paraId="2A5FA53B"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tcPr>
          <w:p w14:paraId="32529576" w14:textId="77777777" w:rsidR="00123944" w:rsidRPr="00BC7A27" w:rsidRDefault="00123944" w:rsidP="00AF4036">
            <w:pPr>
              <w:jc w:val="both"/>
              <w:rPr>
                <w:color w:val="000000"/>
              </w:rPr>
            </w:pPr>
            <w:r w:rsidRPr="00BC7A27">
              <w:rPr>
                <w:color w:val="000000"/>
              </w:rPr>
              <w:t>Ano/Ne</w:t>
            </w:r>
          </w:p>
        </w:tc>
        <w:tc>
          <w:tcPr>
            <w:tcW w:w="3013" w:type="dxa"/>
            <w:tcBorders>
              <w:top w:val="nil"/>
              <w:left w:val="nil"/>
              <w:bottom w:val="single" w:sz="4" w:space="0" w:color="auto"/>
              <w:right w:val="single" w:sz="4" w:space="0" w:color="auto"/>
            </w:tcBorders>
            <w:shd w:val="clear" w:color="auto" w:fill="auto"/>
            <w:vAlign w:val="bottom"/>
          </w:tcPr>
          <w:p w14:paraId="253C9F38" w14:textId="77777777" w:rsidR="00123944" w:rsidRPr="00BC7A27" w:rsidRDefault="00123944" w:rsidP="00AF4036">
            <w:pPr>
              <w:jc w:val="both"/>
              <w:rPr>
                <w:i/>
                <w:color w:val="000000" w:themeColor="text1"/>
              </w:rPr>
            </w:pPr>
            <w:r w:rsidRPr="00BC7A27">
              <w:rPr>
                <w:i/>
                <w:color w:val="000000" w:themeColor="text1"/>
              </w:rPr>
              <w:t>-</w:t>
            </w:r>
          </w:p>
        </w:tc>
      </w:tr>
      <w:tr w:rsidR="00123944" w14:paraId="6B366304" w14:textId="77777777" w:rsidTr="00AF4036">
        <w:trPr>
          <w:trHeight w:val="315"/>
        </w:trPr>
        <w:tc>
          <w:tcPr>
            <w:tcW w:w="694" w:type="dxa"/>
            <w:tcBorders>
              <w:top w:val="nil"/>
              <w:left w:val="single" w:sz="4" w:space="0" w:color="auto"/>
              <w:bottom w:val="single" w:sz="4" w:space="0" w:color="auto"/>
              <w:right w:val="single" w:sz="4" w:space="0" w:color="auto"/>
            </w:tcBorders>
          </w:tcPr>
          <w:p w14:paraId="3449844C" w14:textId="77777777" w:rsidR="00123944" w:rsidRPr="00BC7A27" w:rsidRDefault="00123944" w:rsidP="00AF4036">
            <w:pPr>
              <w:jc w:val="both"/>
              <w:rPr>
                <w:color w:val="000000"/>
              </w:rPr>
            </w:pP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036517C1" w14:textId="77777777" w:rsidR="00123944" w:rsidRPr="00BC7A27" w:rsidRDefault="00123944" w:rsidP="00AF4036">
            <w:pPr>
              <w:jc w:val="both"/>
              <w:rPr>
                <w:color w:val="000000" w:themeColor="text1"/>
              </w:rPr>
            </w:pPr>
            <w:r w:rsidRPr="00BC7A27">
              <w:rPr>
                <w:color w:val="000000" w:themeColor="text1"/>
              </w:rPr>
              <w:t>Plocha části pozemku schopného vsakovat dešťové vody po umístění stavby bude nejméně 50 % z celkové plochy pozemku</w:t>
            </w:r>
          </w:p>
        </w:tc>
        <w:tc>
          <w:tcPr>
            <w:tcW w:w="680" w:type="dxa"/>
            <w:tcBorders>
              <w:top w:val="nil"/>
              <w:left w:val="nil"/>
              <w:bottom w:val="single" w:sz="4" w:space="0" w:color="auto"/>
              <w:right w:val="single" w:sz="4" w:space="0" w:color="auto"/>
            </w:tcBorders>
            <w:shd w:val="clear" w:color="auto" w:fill="auto"/>
            <w:noWrap/>
            <w:vAlign w:val="bottom"/>
          </w:tcPr>
          <w:p w14:paraId="584CE6CF"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tcPr>
          <w:p w14:paraId="193F66AC" w14:textId="77777777" w:rsidR="00123944" w:rsidRPr="00BC7A27" w:rsidRDefault="00123944" w:rsidP="00AF4036">
            <w:pPr>
              <w:jc w:val="both"/>
              <w:rPr>
                <w:color w:val="000000"/>
              </w:rPr>
            </w:pPr>
            <w:r w:rsidRPr="00BC7A27">
              <w:rPr>
                <w:color w:val="000000"/>
              </w:rPr>
              <w:t>Ano/Ne</w:t>
            </w:r>
          </w:p>
        </w:tc>
        <w:tc>
          <w:tcPr>
            <w:tcW w:w="3013" w:type="dxa"/>
            <w:tcBorders>
              <w:top w:val="nil"/>
              <w:left w:val="nil"/>
              <w:bottom w:val="single" w:sz="4" w:space="0" w:color="auto"/>
              <w:right w:val="single" w:sz="4" w:space="0" w:color="auto"/>
            </w:tcBorders>
            <w:shd w:val="clear" w:color="auto" w:fill="auto"/>
            <w:vAlign w:val="bottom"/>
          </w:tcPr>
          <w:p w14:paraId="3052954C" w14:textId="77777777" w:rsidR="00123944" w:rsidRPr="00BC7A27" w:rsidRDefault="00123944" w:rsidP="00AF4036">
            <w:pPr>
              <w:jc w:val="both"/>
              <w:rPr>
                <w:i/>
                <w:color w:val="000000" w:themeColor="text1"/>
              </w:rPr>
            </w:pPr>
            <w:r w:rsidRPr="00BC7A27">
              <w:rPr>
                <w:i/>
                <w:color w:val="000000" w:themeColor="text1"/>
              </w:rPr>
              <w:t>-</w:t>
            </w:r>
          </w:p>
        </w:tc>
      </w:tr>
      <w:tr w:rsidR="00123944" w14:paraId="61343223" w14:textId="77777777" w:rsidTr="00AF4036">
        <w:trPr>
          <w:trHeight w:val="315"/>
        </w:trPr>
        <w:tc>
          <w:tcPr>
            <w:tcW w:w="694" w:type="dxa"/>
            <w:tcBorders>
              <w:top w:val="nil"/>
              <w:left w:val="single" w:sz="4" w:space="0" w:color="auto"/>
              <w:bottom w:val="single" w:sz="4" w:space="0" w:color="auto"/>
              <w:right w:val="single" w:sz="4" w:space="0" w:color="auto"/>
            </w:tcBorders>
          </w:tcPr>
          <w:p w14:paraId="20818B90" w14:textId="77777777" w:rsidR="00123944" w:rsidRPr="00BC7A27" w:rsidRDefault="00123944" w:rsidP="00AF4036">
            <w:pPr>
              <w:jc w:val="both"/>
              <w:rPr>
                <w:color w:val="000000"/>
              </w:rPr>
            </w:pPr>
            <w:r w:rsidRPr="00BC7A27">
              <w:rPr>
                <w:color w:val="000000"/>
              </w:rPr>
              <w:t>10</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4D3D793" w14:textId="77777777" w:rsidR="00123944" w:rsidRPr="00BC7A27" w:rsidRDefault="00123944" w:rsidP="00AF4036">
            <w:pPr>
              <w:jc w:val="both"/>
              <w:rPr>
                <w:color w:val="000000"/>
              </w:rPr>
            </w:pPr>
            <w:r w:rsidRPr="00BC7A27">
              <w:rPr>
                <w:color w:val="000000" w:themeColor="text1"/>
              </w:rPr>
              <w:t>Vztah k jiným stavbám</w:t>
            </w:r>
          </w:p>
        </w:tc>
        <w:tc>
          <w:tcPr>
            <w:tcW w:w="680" w:type="dxa"/>
            <w:tcBorders>
              <w:top w:val="nil"/>
              <w:left w:val="nil"/>
              <w:bottom w:val="single" w:sz="4" w:space="0" w:color="auto"/>
              <w:right w:val="single" w:sz="4" w:space="0" w:color="auto"/>
            </w:tcBorders>
            <w:shd w:val="clear" w:color="auto" w:fill="auto"/>
            <w:noWrap/>
            <w:vAlign w:val="bottom"/>
            <w:hideMark/>
          </w:tcPr>
          <w:p w14:paraId="6E01E815"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5A316AFC" w14:textId="77777777" w:rsidR="00123944" w:rsidRPr="00BC7A27" w:rsidRDefault="00123944" w:rsidP="00AF4036">
            <w:pPr>
              <w:jc w:val="both"/>
              <w:rPr>
                <w:color w:val="000000"/>
              </w:rPr>
            </w:pPr>
            <w:r w:rsidRPr="00BC7A27">
              <w:rPr>
                <w:color w:val="000000"/>
              </w:rPr>
              <w:t>model vazeb</w:t>
            </w:r>
          </w:p>
        </w:tc>
        <w:tc>
          <w:tcPr>
            <w:tcW w:w="3013" w:type="dxa"/>
            <w:tcBorders>
              <w:top w:val="nil"/>
              <w:left w:val="nil"/>
              <w:bottom w:val="single" w:sz="4" w:space="0" w:color="auto"/>
              <w:right w:val="single" w:sz="4" w:space="0" w:color="auto"/>
            </w:tcBorders>
            <w:shd w:val="clear" w:color="auto" w:fill="auto"/>
            <w:vAlign w:val="bottom"/>
            <w:hideMark/>
          </w:tcPr>
          <w:p w14:paraId="34E21B0B" w14:textId="77777777" w:rsidR="00123944" w:rsidRPr="00BC7A27" w:rsidRDefault="00123944" w:rsidP="00AF4036">
            <w:pPr>
              <w:jc w:val="both"/>
              <w:rPr>
                <w:i/>
                <w:iCs/>
                <w:color w:val="000000"/>
              </w:rPr>
            </w:pPr>
            <w:r w:rsidRPr="00BC7A27">
              <w:rPr>
                <w:i/>
                <w:color w:val="000000" w:themeColor="text1"/>
              </w:rPr>
              <w:t>-</w:t>
            </w:r>
          </w:p>
        </w:tc>
      </w:tr>
      <w:tr w:rsidR="00123944" w14:paraId="031F2011" w14:textId="77777777" w:rsidTr="00AF4036">
        <w:trPr>
          <w:trHeight w:val="315"/>
        </w:trPr>
        <w:tc>
          <w:tcPr>
            <w:tcW w:w="694" w:type="dxa"/>
            <w:tcBorders>
              <w:top w:val="nil"/>
              <w:left w:val="single" w:sz="4" w:space="0" w:color="auto"/>
              <w:bottom w:val="single" w:sz="4" w:space="0" w:color="auto"/>
              <w:right w:val="single" w:sz="4" w:space="0" w:color="auto"/>
            </w:tcBorders>
          </w:tcPr>
          <w:p w14:paraId="2A744AF3" w14:textId="77777777" w:rsidR="00123944" w:rsidRPr="00BC7A27" w:rsidRDefault="00123944" w:rsidP="00AF4036">
            <w:pPr>
              <w:jc w:val="both"/>
              <w:rPr>
                <w:color w:val="000000"/>
              </w:rPr>
            </w:pPr>
            <w:r w:rsidRPr="00BC7A27">
              <w:rPr>
                <w:color w:val="000000"/>
              </w:rPr>
              <w:t>11</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A6C04C6" w14:textId="77777777" w:rsidR="00123944" w:rsidRPr="00BC7A27" w:rsidRDefault="00123944" w:rsidP="00AF4036">
            <w:pPr>
              <w:jc w:val="both"/>
              <w:rPr>
                <w:color w:val="000000"/>
              </w:rPr>
            </w:pPr>
            <w:r w:rsidRPr="00BC7A27">
              <w:rPr>
                <w:color w:val="000000"/>
              </w:rPr>
              <w:t>Vznik</w:t>
            </w:r>
          </w:p>
        </w:tc>
        <w:tc>
          <w:tcPr>
            <w:tcW w:w="680" w:type="dxa"/>
            <w:tcBorders>
              <w:top w:val="nil"/>
              <w:left w:val="nil"/>
              <w:bottom w:val="single" w:sz="4" w:space="0" w:color="auto"/>
              <w:right w:val="single" w:sz="4" w:space="0" w:color="auto"/>
            </w:tcBorders>
            <w:shd w:val="clear" w:color="auto" w:fill="auto"/>
            <w:noWrap/>
            <w:vAlign w:val="bottom"/>
            <w:hideMark/>
          </w:tcPr>
          <w:p w14:paraId="2CFFF81F"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72DE8F15" w14:textId="77777777" w:rsidR="00123944" w:rsidRPr="00BC7A27" w:rsidRDefault="00123944" w:rsidP="00AF4036">
            <w:pPr>
              <w:jc w:val="both"/>
              <w:rPr>
                <w:color w:val="000000"/>
              </w:rPr>
            </w:pPr>
            <w:r w:rsidRPr="00BC7A27">
              <w:rPr>
                <w:color w:val="000000"/>
              </w:rPr>
              <w:t>datum</w:t>
            </w:r>
          </w:p>
        </w:tc>
        <w:tc>
          <w:tcPr>
            <w:tcW w:w="3013" w:type="dxa"/>
            <w:tcBorders>
              <w:top w:val="nil"/>
              <w:left w:val="nil"/>
              <w:bottom w:val="single" w:sz="4" w:space="0" w:color="auto"/>
              <w:right w:val="single" w:sz="4" w:space="0" w:color="auto"/>
            </w:tcBorders>
            <w:shd w:val="clear" w:color="auto" w:fill="auto"/>
            <w:vAlign w:val="bottom"/>
            <w:hideMark/>
          </w:tcPr>
          <w:p w14:paraId="5F23FFF4" w14:textId="77777777" w:rsidR="00123944" w:rsidRPr="00BC7A27" w:rsidRDefault="00123944" w:rsidP="00AF4036">
            <w:pPr>
              <w:jc w:val="both"/>
              <w:rPr>
                <w:i/>
                <w:iCs/>
                <w:color w:val="000000"/>
              </w:rPr>
            </w:pPr>
            <w:r w:rsidRPr="00BC7A27">
              <w:rPr>
                <w:i/>
                <w:iCs/>
                <w:color w:val="000000"/>
              </w:rPr>
              <w:t>-</w:t>
            </w:r>
          </w:p>
        </w:tc>
      </w:tr>
      <w:tr w:rsidR="00123944" w14:paraId="6C7C84FB" w14:textId="77777777" w:rsidTr="00AF4036">
        <w:trPr>
          <w:trHeight w:val="315"/>
        </w:trPr>
        <w:tc>
          <w:tcPr>
            <w:tcW w:w="694" w:type="dxa"/>
            <w:tcBorders>
              <w:top w:val="nil"/>
              <w:left w:val="single" w:sz="4" w:space="0" w:color="auto"/>
              <w:bottom w:val="single" w:sz="4" w:space="0" w:color="auto"/>
              <w:right w:val="single" w:sz="4" w:space="0" w:color="auto"/>
            </w:tcBorders>
          </w:tcPr>
          <w:p w14:paraId="5C1DD948" w14:textId="77777777" w:rsidR="00123944" w:rsidRPr="00BC7A27" w:rsidRDefault="00123944" w:rsidP="00AF4036">
            <w:pPr>
              <w:jc w:val="both"/>
              <w:rPr>
                <w:color w:val="000000"/>
              </w:rPr>
            </w:pPr>
            <w:r w:rsidRPr="00BC7A27">
              <w:rPr>
                <w:color w:val="000000"/>
              </w:rPr>
              <w:t>12</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0258657" w14:textId="77777777" w:rsidR="00123944" w:rsidRPr="00BC7A27" w:rsidRDefault="00123944" w:rsidP="00AF4036">
            <w:pPr>
              <w:jc w:val="both"/>
              <w:rPr>
                <w:color w:val="000000"/>
              </w:rPr>
            </w:pPr>
            <w:r w:rsidRPr="00BC7A27">
              <w:rPr>
                <w:color w:val="000000"/>
              </w:rPr>
              <w:t>Zánik</w:t>
            </w:r>
          </w:p>
        </w:tc>
        <w:tc>
          <w:tcPr>
            <w:tcW w:w="680" w:type="dxa"/>
            <w:tcBorders>
              <w:top w:val="nil"/>
              <w:left w:val="nil"/>
              <w:bottom w:val="single" w:sz="4" w:space="0" w:color="auto"/>
              <w:right w:val="single" w:sz="4" w:space="0" w:color="auto"/>
            </w:tcBorders>
            <w:shd w:val="clear" w:color="auto" w:fill="auto"/>
            <w:noWrap/>
            <w:vAlign w:val="bottom"/>
            <w:hideMark/>
          </w:tcPr>
          <w:p w14:paraId="3A9F604B"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0F3DE8EE" w14:textId="77777777" w:rsidR="00123944" w:rsidRPr="00BC7A27" w:rsidRDefault="00123944" w:rsidP="00AF4036">
            <w:pPr>
              <w:jc w:val="both"/>
              <w:rPr>
                <w:color w:val="000000"/>
              </w:rPr>
            </w:pPr>
            <w:r w:rsidRPr="00BC7A27">
              <w:rPr>
                <w:color w:val="000000"/>
              </w:rPr>
              <w:t>datum</w:t>
            </w:r>
          </w:p>
        </w:tc>
        <w:tc>
          <w:tcPr>
            <w:tcW w:w="3013" w:type="dxa"/>
            <w:tcBorders>
              <w:top w:val="nil"/>
              <w:left w:val="nil"/>
              <w:bottom w:val="single" w:sz="4" w:space="0" w:color="auto"/>
              <w:right w:val="single" w:sz="4" w:space="0" w:color="auto"/>
            </w:tcBorders>
            <w:shd w:val="clear" w:color="auto" w:fill="auto"/>
            <w:vAlign w:val="bottom"/>
            <w:hideMark/>
          </w:tcPr>
          <w:p w14:paraId="551D9F7E" w14:textId="77777777" w:rsidR="00123944" w:rsidRPr="00BC7A27" w:rsidRDefault="00123944" w:rsidP="00AF4036">
            <w:pPr>
              <w:jc w:val="both"/>
              <w:rPr>
                <w:i/>
                <w:iCs/>
                <w:color w:val="000000"/>
              </w:rPr>
            </w:pPr>
            <w:r w:rsidRPr="00BC7A27">
              <w:rPr>
                <w:i/>
                <w:iCs/>
                <w:color w:val="000000"/>
              </w:rPr>
              <w:t>-</w:t>
            </w:r>
          </w:p>
        </w:tc>
      </w:tr>
      <w:tr w:rsidR="00123944" w14:paraId="34917CA2" w14:textId="77777777" w:rsidTr="00AF4036">
        <w:trPr>
          <w:trHeight w:val="315"/>
        </w:trPr>
        <w:tc>
          <w:tcPr>
            <w:tcW w:w="694" w:type="dxa"/>
            <w:tcBorders>
              <w:top w:val="nil"/>
              <w:left w:val="single" w:sz="4" w:space="0" w:color="auto"/>
              <w:bottom w:val="single" w:sz="4" w:space="0" w:color="auto"/>
              <w:right w:val="single" w:sz="4" w:space="0" w:color="auto"/>
            </w:tcBorders>
          </w:tcPr>
          <w:p w14:paraId="000673B8" w14:textId="77777777" w:rsidR="00123944" w:rsidRPr="00BC7A27" w:rsidRDefault="00123944" w:rsidP="00AF4036">
            <w:pPr>
              <w:jc w:val="both"/>
              <w:rPr>
                <w:color w:val="000000"/>
              </w:rPr>
            </w:pP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129207EE" w14:textId="77777777" w:rsidR="00123944" w:rsidRPr="00BC7A27" w:rsidRDefault="00123944" w:rsidP="00AF4036">
            <w:pPr>
              <w:jc w:val="both"/>
              <w:rPr>
                <w:color w:val="000000"/>
              </w:rPr>
            </w:pPr>
            <w:r w:rsidRPr="00BC7A27">
              <w:rPr>
                <w:color w:val="000000"/>
              </w:rPr>
              <w:t>Změna</w:t>
            </w:r>
          </w:p>
        </w:tc>
        <w:tc>
          <w:tcPr>
            <w:tcW w:w="680" w:type="dxa"/>
            <w:tcBorders>
              <w:top w:val="nil"/>
              <w:left w:val="nil"/>
              <w:bottom w:val="single" w:sz="4" w:space="0" w:color="auto"/>
              <w:right w:val="single" w:sz="4" w:space="0" w:color="auto"/>
            </w:tcBorders>
            <w:shd w:val="clear" w:color="auto" w:fill="auto"/>
            <w:noWrap/>
            <w:vAlign w:val="bottom"/>
          </w:tcPr>
          <w:p w14:paraId="0746DDC7"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tcPr>
          <w:p w14:paraId="44B6D1C9" w14:textId="77777777" w:rsidR="00123944" w:rsidRPr="00BC7A27" w:rsidRDefault="00123944" w:rsidP="00AF4036">
            <w:pPr>
              <w:jc w:val="both"/>
              <w:rPr>
                <w:color w:val="000000"/>
              </w:rPr>
            </w:pPr>
            <w:r w:rsidRPr="00BC7A27">
              <w:rPr>
                <w:color w:val="000000"/>
              </w:rPr>
              <w:t>datum</w:t>
            </w:r>
          </w:p>
        </w:tc>
        <w:tc>
          <w:tcPr>
            <w:tcW w:w="3013" w:type="dxa"/>
            <w:tcBorders>
              <w:top w:val="nil"/>
              <w:left w:val="nil"/>
              <w:bottom w:val="single" w:sz="4" w:space="0" w:color="auto"/>
              <w:right w:val="single" w:sz="4" w:space="0" w:color="auto"/>
            </w:tcBorders>
            <w:shd w:val="clear" w:color="auto" w:fill="auto"/>
            <w:vAlign w:val="bottom"/>
          </w:tcPr>
          <w:p w14:paraId="349AE009" w14:textId="77777777" w:rsidR="00123944" w:rsidRPr="00BC7A27" w:rsidRDefault="00123944" w:rsidP="00AF4036">
            <w:pPr>
              <w:jc w:val="both"/>
              <w:rPr>
                <w:i/>
                <w:iCs/>
                <w:color w:val="000000"/>
              </w:rPr>
            </w:pPr>
            <w:r w:rsidRPr="00BC7A27">
              <w:rPr>
                <w:color w:val="000000"/>
              </w:rPr>
              <w:t>Poslední evidovaná stavební úprava</w:t>
            </w:r>
          </w:p>
        </w:tc>
      </w:tr>
      <w:tr w:rsidR="00123944" w14:paraId="16CBF7A5" w14:textId="77777777" w:rsidTr="00AF4036">
        <w:trPr>
          <w:trHeight w:val="315"/>
        </w:trPr>
        <w:tc>
          <w:tcPr>
            <w:tcW w:w="694" w:type="dxa"/>
            <w:tcBorders>
              <w:top w:val="nil"/>
              <w:left w:val="single" w:sz="4" w:space="0" w:color="auto"/>
              <w:bottom w:val="single" w:sz="4" w:space="0" w:color="auto"/>
              <w:right w:val="single" w:sz="4" w:space="0" w:color="auto"/>
            </w:tcBorders>
          </w:tcPr>
          <w:p w14:paraId="4C6711A4" w14:textId="77777777" w:rsidR="00123944" w:rsidRPr="00BC7A27" w:rsidRDefault="00123944" w:rsidP="00AF4036">
            <w:pPr>
              <w:jc w:val="both"/>
              <w:rPr>
                <w:color w:val="000000"/>
              </w:rPr>
            </w:pPr>
            <w:r w:rsidRPr="00BC7A27">
              <w:rPr>
                <w:color w:val="000000"/>
              </w:rPr>
              <w:t>13</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91CA2A9" w14:textId="77777777" w:rsidR="00123944" w:rsidRPr="00BC7A27" w:rsidRDefault="00123944" w:rsidP="00AF4036">
            <w:pPr>
              <w:jc w:val="both"/>
              <w:rPr>
                <w:color w:val="000000"/>
              </w:rPr>
            </w:pPr>
            <w:r w:rsidRPr="00BC7A27">
              <w:rPr>
                <w:color w:val="000000"/>
              </w:rPr>
              <w:t>Obestavěný prostor</w:t>
            </w:r>
          </w:p>
        </w:tc>
        <w:tc>
          <w:tcPr>
            <w:tcW w:w="680" w:type="dxa"/>
            <w:tcBorders>
              <w:top w:val="nil"/>
              <w:left w:val="nil"/>
              <w:bottom w:val="single" w:sz="4" w:space="0" w:color="auto"/>
              <w:right w:val="single" w:sz="4" w:space="0" w:color="auto"/>
            </w:tcBorders>
            <w:shd w:val="clear" w:color="auto" w:fill="auto"/>
            <w:noWrap/>
            <w:vAlign w:val="bottom"/>
            <w:hideMark/>
          </w:tcPr>
          <w:p w14:paraId="4A98FE51" w14:textId="77777777" w:rsidR="00123944" w:rsidRPr="00BC7A27" w:rsidRDefault="00123944" w:rsidP="00AF4036">
            <w:pPr>
              <w:jc w:val="both"/>
              <w:rPr>
                <w:color w:val="000000"/>
              </w:rPr>
            </w:pPr>
            <w:r w:rsidRPr="00BC7A27">
              <w:rPr>
                <w:color w:val="000000"/>
              </w:rPr>
              <w:t>m3</w:t>
            </w:r>
          </w:p>
        </w:tc>
        <w:tc>
          <w:tcPr>
            <w:tcW w:w="1420" w:type="dxa"/>
            <w:tcBorders>
              <w:top w:val="nil"/>
              <w:left w:val="nil"/>
              <w:bottom w:val="single" w:sz="4" w:space="0" w:color="auto"/>
              <w:right w:val="single" w:sz="4" w:space="0" w:color="auto"/>
            </w:tcBorders>
            <w:shd w:val="clear" w:color="auto" w:fill="auto"/>
            <w:noWrap/>
            <w:vAlign w:val="bottom"/>
            <w:hideMark/>
          </w:tcPr>
          <w:p w14:paraId="6A6149DB" w14:textId="77777777" w:rsidR="00123944" w:rsidRPr="00BC7A27" w:rsidRDefault="00123944" w:rsidP="00AF4036">
            <w:pPr>
              <w:jc w:val="both"/>
              <w:rPr>
                <w:color w:val="000000"/>
              </w:rPr>
            </w:pPr>
            <w:r w:rsidRPr="00BC7A27">
              <w:rPr>
                <w:color w:val="000000"/>
              </w:rPr>
              <w:t>0-999999,9</w:t>
            </w:r>
          </w:p>
        </w:tc>
        <w:tc>
          <w:tcPr>
            <w:tcW w:w="3013" w:type="dxa"/>
            <w:tcBorders>
              <w:top w:val="nil"/>
              <w:left w:val="nil"/>
              <w:bottom w:val="single" w:sz="4" w:space="0" w:color="auto"/>
              <w:right w:val="single" w:sz="4" w:space="0" w:color="auto"/>
            </w:tcBorders>
            <w:shd w:val="clear" w:color="auto" w:fill="auto"/>
            <w:vAlign w:val="bottom"/>
            <w:hideMark/>
          </w:tcPr>
          <w:p w14:paraId="315B4DFF" w14:textId="77777777" w:rsidR="00123944" w:rsidRPr="00BC7A27" w:rsidRDefault="00123944" w:rsidP="00AF4036">
            <w:pPr>
              <w:jc w:val="both"/>
              <w:rPr>
                <w:i/>
                <w:iCs/>
                <w:color w:val="000000"/>
              </w:rPr>
            </w:pPr>
            <w:r w:rsidRPr="00BC7A27">
              <w:rPr>
                <w:i/>
                <w:color w:val="000000" w:themeColor="text1"/>
              </w:rPr>
              <w:t>výpočet ČSN 73 40 55</w:t>
            </w:r>
          </w:p>
        </w:tc>
      </w:tr>
      <w:tr w:rsidR="00123944" w14:paraId="648A7066" w14:textId="77777777" w:rsidTr="00AF4036">
        <w:trPr>
          <w:trHeight w:val="315"/>
        </w:trPr>
        <w:tc>
          <w:tcPr>
            <w:tcW w:w="694" w:type="dxa"/>
            <w:tcBorders>
              <w:top w:val="nil"/>
              <w:left w:val="single" w:sz="4" w:space="0" w:color="auto"/>
              <w:bottom w:val="single" w:sz="4" w:space="0" w:color="auto"/>
              <w:right w:val="single" w:sz="4" w:space="0" w:color="auto"/>
            </w:tcBorders>
          </w:tcPr>
          <w:p w14:paraId="29E83DC6" w14:textId="77777777" w:rsidR="00123944" w:rsidRPr="00BC7A27" w:rsidRDefault="00123944" w:rsidP="00AF4036">
            <w:pPr>
              <w:jc w:val="both"/>
              <w:rPr>
                <w:color w:val="000000"/>
              </w:rPr>
            </w:pPr>
            <w:r w:rsidRPr="00BC7A27">
              <w:rPr>
                <w:color w:val="000000"/>
              </w:rPr>
              <w:t>14</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D969DAF" w14:textId="77777777" w:rsidR="00123944" w:rsidRPr="00BC7A27" w:rsidRDefault="00123944" w:rsidP="00AF4036">
            <w:pPr>
              <w:jc w:val="both"/>
              <w:rPr>
                <w:color w:val="000000"/>
              </w:rPr>
            </w:pPr>
            <w:r w:rsidRPr="00BC7A27">
              <w:rPr>
                <w:color w:val="000000"/>
              </w:rPr>
              <w:t>Zastavěná plocha</w:t>
            </w:r>
          </w:p>
        </w:tc>
        <w:tc>
          <w:tcPr>
            <w:tcW w:w="680" w:type="dxa"/>
            <w:tcBorders>
              <w:top w:val="nil"/>
              <w:left w:val="nil"/>
              <w:bottom w:val="single" w:sz="4" w:space="0" w:color="auto"/>
              <w:right w:val="single" w:sz="4" w:space="0" w:color="auto"/>
            </w:tcBorders>
            <w:shd w:val="clear" w:color="auto" w:fill="auto"/>
            <w:noWrap/>
            <w:vAlign w:val="bottom"/>
            <w:hideMark/>
          </w:tcPr>
          <w:p w14:paraId="262C2ABA" w14:textId="77777777" w:rsidR="00123944" w:rsidRPr="00BC7A27" w:rsidRDefault="00123944" w:rsidP="00AF4036">
            <w:pPr>
              <w:jc w:val="both"/>
              <w:rPr>
                <w:color w:val="000000"/>
              </w:rPr>
            </w:pPr>
            <w:r w:rsidRPr="00BC7A27">
              <w:rPr>
                <w:color w:val="000000"/>
              </w:rPr>
              <w:t>m2</w:t>
            </w:r>
          </w:p>
        </w:tc>
        <w:tc>
          <w:tcPr>
            <w:tcW w:w="1420" w:type="dxa"/>
            <w:tcBorders>
              <w:top w:val="nil"/>
              <w:left w:val="nil"/>
              <w:bottom w:val="single" w:sz="4" w:space="0" w:color="auto"/>
              <w:right w:val="single" w:sz="4" w:space="0" w:color="auto"/>
            </w:tcBorders>
            <w:shd w:val="clear" w:color="auto" w:fill="auto"/>
            <w:noWrap/>
            <w:vAlign w:val="bottom"/>
            <w:hideMark/>
          </w:tcPr>
          <w:p w14:paraId="076FE77B" w14:textId="77777777" w:rsidR="00123944" w:rsidRPr="00BC7A27" w:rsidRDefault="00123944" w:rsidP="00AF4036">
            <w:pPr>
              <w:jc w:val="both"/>
              <w:rPr>
                <w:color w:val="000000"/>
              </w:rPr>
            </w:pPr>
            <w:r w:rsidRPr="00BC7A27">
              <w:rPr>
                <w:color w:val="000000"/>
              </w:rPr>
              <w:t>0-99999,9</w:t>
            </w:r>
          </w:p>
        </w:tc>
        <w:tc>
          <w:tcPr>
            <w:tcW w:w="3013" w:type="dxa"/>
            <w:tcBorders>
              <w:top w:val="nil"/>
              <w:left w:val="nil"/>
              <w:bottom w:val="single" w:sz="4" w:space="0" w:color="auto"/>
              <w:right w:val="single" w:sz="4" w:space="0" w:color="auto"/>
            </w:tcBorders>
            <w:shd w:val="clear" w:color="auto" w:fill="auto"/>
            <w:vAlign w:val="bottom"/>
            <w:hideMark/>
          </w:tcPr>
          <w:p w14:paraId="6D0E6588" w14:textId="77777777" w:rsidR="00123944" w:rsidRPr="00123944" w:rsidRDefault="00123944" w:rsidP="00AF4036">
            <w:pPr>
              <w:jc w:val="both"/>
              <w:rPr>
                <w:i/>
                <w:color w:val="000000" w:themeColor="text1"/>
                <w:highlight w:val="yellow"/>
              </w:rPr>
            </w:pPr>
            <w:r w:rsidRPr="00123944">
              <w:rPr>
                <w:i/>
                <w:color w:val="000000" w:themeColor="text1"/>
                <w:highlight w:val="yellow"/>
              </w:rPr>
              <w:t>-</w:t>
            </w:r>
          </w:p>
          <w:p w14:paraId="65C157D4" w14:textId="77777777" w:rsidR="00123944" w:rsidRPr="00123944" w:rsidRDefault="00123944" w:rsidP="00AF4036">
            <w:pPr>
              <w:jc w:val="both"/>
              <w:rPr>
                <w:b/>
                <w:bCs/>
                <w:color w:val="000000" w:themeColor="text1"/>
                <w:highlight w:val="yellow"/>
                <w:u w:val="single"/>
              </w:rPr>
            </w:pPr>
            <w:r w:rsidRPr="00123944">
              <w:rPr>
                <w:b/>
                <w:bCs/>
                <w:color w:val="000000" w:themeColor="text1"/>
                <w:highlight w:val="yellow"/>
                <w:u w:val="single"/>
              </w:rPr>
              <w:t>Připomínka:</w:t>
            </w:r>
          </w:p>
          <w:p w14:paraId="6B101F37" w14:textId="5683B5C1" w:rsidR="00123944" w:rsidRPr="00123944" w:rsidRDefault="00123944" w:rsidP="00AF4036">
            <w:pPr>
              <w:jc w:val="both"/>
              <w:rPr>
                <w:i/>
                <w:iCs/>
                <w:color w:val="000000"/>
                <w:highlight w:val="yellow"/>
              </w:rPr>
            </w:pPr>
            <w:r w:rsidRPr="00123944">
              <w:rPr>
                <w:b/>
                <w:bCs/>
                <w:color w:val="000000"/>
                <w:highlight w:val="yellow"/>
                <w:u w:val="single"/>
              </w:rPr>
              <w:t>Zde nutno jasně definovat, podle kterého předpisu / normy.</w:t>
            </w:r>
          </w:p>
        </w:tc>
      </w:tr>
      <w:tr w:rsidR="00123944" w14:paraId="2DF8F625" w14:textId="77777777" w:rsidTr="00AF4036">
        <w:trPr>
          <w:trHeight w:val="315"/>
        </w:trPr>
        <w:tc>
          <w:tcPr>
            <w:tcW w:w="694" w:type="dxa"/>
            <w:tcBorders>
              <w:top w:val="nil"/>
              <w:left w:val="single" w:sz="4" w:space="0" w:color="auto"/>
              <w:bottom w:val="single" w:sz="4" w:space="0" w:color="auto"/>
              <w:right w:val="single" w:sz="4" w:space="0" w:color="auto"/>
            </w:tcBorders>
          </w:tcPr>
          <w:p w14:paraId="2E06D6CB" w14:textId="77777777" w:rsidR="00123944" w:rsidRPr="00BC7A27" w:rsidRDefault="00123944" w:rsidP="00AF4036">
            <w:pPr>
              <w:jc w:val="both"/>
              <w:rPr>
                <w:color w:val="000000"/>
              </w:rPr>
            </w:pPr>
            <w:r w:rsidRPr="00BC7A27">
              <w:rPr>
                <w:color w:val="000000"/>
              </w:rPr>
              <w:t>15</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76AE623" w14:textId="77777777" w:rsidR="00123944" w:rsidRPr="00BC7A27" w:rsidRDefault="00123944" w:rsidP="00AF4036">
            <w:pPr>
              <w:jc w:val="both"/>
              <w:rPr>
                <w:color w:val="000000"/>
              </w:rPr>
            </w:pPr>
            <w:r w:rsidRPr="00BC7A27">
              <w:rPr>
                <w:color w:val="000000"/>
              </w:rPr>
              <w:t>Podlahová plocha</w:t>
            </w:r>
          </w:p>
        </w:tc>
        <w:tc>
          <w:tcPr>
            <w:tcW w:w="680" w:type="dxa"/>
            <w:tcBorders>
              <w:top w:val="nil"/>
              <w:left w:val="nil"/>
              <w:bottom w:val="single" w:sz="4" w:space="0" w:color="auto"/>
              <w:right w:val="single" w:sz="4" w:space="0" w:color="auto"/>
            </w:tcBorders>
            <w:shd w:val="clear" w:color="auto" w:fill="auto"/>
            <w:noWrap/>
            <w:vAlign w:val="bottom"/>
            <w:hideMark/>
          </w:tcPr>
          <w:p w14:paraId="3B0BB5FD" w14:textId="77777777" w:rsidR="00123944" w:rsidRPr="00BC7A27" w:rsidRDefault="00123944" w:rsidP="00AF4036">
            <w:pPr>
              <w:jc w:val="both"/>
              <w:rPr>
                <w:color w:val="000000"/>
              </w:rPr>
            </w:pPr>
            <w:r w:rsidRPr="00BC7A27">
              <w:rPr>
                <w:color w:val="000000"/>
              </w:rPr>
              <w:t>m2</w:t>
            </w:r>
          </w:p>
        </w:tc>
        <w:tc>
          <w:tcPr>
            <w:tcW w:w="1420" w:type="dxa"/>
            <w:tcBorders>
              <w:top w:val="nil"/>
              <w:left w:val="nil"/>
              <w:bottom w:val="single" w:sz="4" w:space="0" w:color="auto"/>
              <w:right w:val="single" w:sz="4" w:space="0" w:color="auto"/>
            </w:tcBorders>
            <w:shd w:val="clear" w:color="auto" w:fill="auto"/>
            <w:noWrap/>
            <w:vAlign w:val="bottom"/>
            <w:hideMark/>
          </w:tcPr>
          <w:p w14:paraId="4B518C9E" w14:textId="77777777" w:rsidR="00123944" w:rsidRPr="00BC7A27" w:rsidRDefault="00123944" w:rsidP="00AF4036">
            <w:pPr>
              <w:jc w:val="both"/>
              <w:rPr>
                <w:color w:val="000000"/>
              </w:rPr>
            </w:pPr>
            <w:r w:rsidRPr="00BC7A27">
              <w:rPr>
                <w:color w:val="000000"/>
              </w:rPr>
              <w:t>0-99999,9</w:t>
            </w:r>
          </w:p>
        </w:tc>
        <w:tc>
          <w:tcPr>
            <w:tcW w:w="3013" w:type="dxa"/>
            <w:tcBorders>
              <w:top w:val="nil"/>
              <w:left w:val="nil"/>
              <w:bottom w:val="single" w:sz="4" w:space="0" w:color="auto"/>
              <w:right w:val="single" w:sz="4" w:space="0" w:color="auto"/>
            </w:tcBorders>
            <w:shd w:val="clear" w:color="auto" w:fill="auto"/>
            <w:vAlign w:val="bottom"/>
            <w:hideMark/>
          </w:tcPr>
          <w:p w14:paraId="78C0645B" w14:textId="77777777" w:rsidR="00123944" w:rsidRDefault="00123944" w:rsidP="00AF4036">
            <w:pPr>
              <w:jc w:val="both"/>
              <w:rPr>
                <w:i/>
                <w:color w:val="000000" w:themeColor="text1"/>
              </w:rPr>
            </w:pPr>
            <w:r w:rsidRPr="00BC7A27">
              <w:rPr>
                <w:i/>
                <w:color w:val="000000" w:themeColor="text1"/>
              </w:rPr>
              <w:t>-</w:t>
            </w:r>
          </w:p>
          <w:p w14:paraId="07D6DCAA" w14:textId="77777777" w:rsidR="00123944" w:rsidRPr="00123944" w:rsidRDefault="00123944" w:rsidP="00123944">
            <w:pPr>
              <w:jc w:val="both"/>
              <w:rPr>
                <w:b/>
                <w:bCs/>
                <w:color w:val="000000" w:themeColor="text1"/>
                <w:highlight w:val="yellow"/>
                <w:u w:val="single"/>
              </w:rPr>
            </w:pPr>
            <w:r w:rsidRPr="00123944">
              <w:rPr>
                <w:b/>
                <w:bCs/>
                <w:color w:val="000000" w:themeColor="text1"/>
                <w:highlight w:val="yellow"/>
                <w:u w:val="single"/>
              </w:rPr>
              <w:t>Připomínka:</w:t>
            </w:r>
          </w:p>
          <w:p w14:paraId="128C5DD9" w14:textId="58DC24EC" w:rsidR="00123944" w:rsidRPr="00BC7A27" w:rsidRDefault="00123944" w:rsidP="00123944">
            <w:pPr>
              <w:jc w:val="both"/>
              <w:rPr>
                <w:i/>
                <w:iCs/>
                <w:color w:val="000000"/>
              </w:rPr>
            </w:pPr>
            <w:r w:rsidRPr="00123944">
              <w:rPr>
                <w:b/>
                <w:bCs/>
                <w:color w:val="000000"/>
                <w:highlight w:val="yellow"/>
                <w:u w:val="single"/>
              </w:rPr>
              <w:t>Zde nutno jasně definovat, podle kterého předpisu / normy.</w:t>
            </w:r>
          </w:p>
        </w:tc>
      </w:tr>
      <w:tr w:rsidR="00123944" w14:paraId="792B81F1" w14:textId="77777777" w:rsidTr="00AF4036">
        <w:trPr>
          <w:trHeight w:val="315"/>
        </w:trPr>
        <w:tc>
          <w:tcPr>
            <w:tcW w:w="694" w:type="dxa"/>
            <w:tcBorders>
              <w:top w:val="nil"/>
              <w:left w:val="single" w:sz="4" w:space="0" w:color="auto"/>
              <w:bottom w:val="single" w:sz="4" w:space="0" w:color="auto"/>
              <w:right w:val="single" w:sz="4" w:space="0" w:color="auto"/>
            </w:tcBorders>
          </w:tcPr>
          <w:p w14:paraId="4307B8A4" w14:textId="77777777" w:rsidR="00123944" w:rsidRPr="00BC7A27" w:rsidRDefault="00123944" w:rsidP="00AF4036">
            <w:pPr>
              <w:jc w:val="both"/>
              <w:rPr>
                <w:color w:val="000000"/>
              </w:rPr>
            </w:pPr>
            <w:r w:rsidRPr="00BC7A27">
              <w:rPr>
                <w:color w:val="000000"/>
              </w:rPr>
              <w:t>16</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A434532" w14:textId="77777777" w:rsidR="00123944" w:rsidRPr="00BC7A27" w:rsidRDefault="00123944" w:rsidP="00AF4036">
            <w:pPr>
              <w:jc w:val="both"/>
              <w:rPr>
                <w:color w:val="000000"/>
              </w:rPr>
            </w:pPr>
            <w:r w:rsidRPr="00BC7A27">
              <w:rPr>
                <w:color w:val="000000"/>
              </w:rPr>
              <w:t xml:space="preserve">Počet </w:t>
            </w:r>
            <w:proofErr w:type="gramStart"/>
            <w:r w:rsidRPr="00BC7A27">
              <w:rPr>
                <w:color w:val="000000"/>
              </w:rPr>
              <w:t>podlaží - nadzemní</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14:paraId="21C24BEF" w14:textId="77777777" w:rsidR="00123944" w:rsidRPr="00BC7A27" w:rsidRDefault="00123944" w:rsidP="00AF4036">
            <w:pPr>
              <w:jc w:val="both"/>
              <w:rPr>
                <w:color w:val="000000"/>
              </w:rPr>
            </w:pPr>
            <w:r w:rsidRPr="00BC7A27">
              <w:rPr>
                <w:color w:val="000000"/>
              </w:rPr>
              <w:t>ks</w:t>
            </w:r>
          </w:p>
        </w:tc>
        <w:tc>
          <w:tcPr>
            <w:tcW w:w="1420" w:type="dxa"/>
            <w:tcBorders>
              <w:top w:val="nil"/>
              <w:left w:val="nil"/>
              <w:bottom w:val="single" w:sz="4" w:space="0" w:color="auto"/>
              <w:right w:val="single" w:sz="4" w:space="0" w:color="auto"/>
            </w:tcBorders>
            <w:shd w:val="clear" w:color="auto" w:fill="auto"/>
            <w:noWrap/>
            <w:vAlign w:val="bottom"/>
            <w:hideMark/>
          </w:tcPr>
          <w:p w14:paraId="35E7CF37" w14:textId="77777777" w:rsidR="00123944" w:rsidRPr="00BC7A27" w:rsidRDefault="00123944" w:rsidP="00AF4036">
            <w:pPr>
              <w:jc w:val="both"/>
              <w:rPr>
                <w:color w:val="000000"/>
              </w:rPr>
            </w:pPr>
            <w:r w:rsidRPr="00BC7A27">
              <w:rPr>
                <w:color w:val="000000"/>
              </w:rPr>
              <w:t>0-999</w:t>
            </w:r>
          </w:p>
        </w:tc>
        <w:tc>
          <w:tcPr>
            <w:tcW w:w="3013" w:type="dxa"/>
            <w:tcBorders>
              <w:top w:val="nil"/>
              <w:left w:val="nil"/>
              <w:bottom w:val="single" w:sz="4" w:space="0" w:color="auto"/>
              <w:right w:val="single" w:sz="4" w:space="0" w:color="auto"/>
            </w:tcBorders>
            <w:shd w:val="clear" w:color="auto" w:fill="auto"/>
            <w:vAlign w:val="bottom"/>
            <w:hideMark/>
          </w:tcPr>
          <w:p w14:paraId="19053E16" w14:textId="77777777" w:rsidR="00123944" w:rsidRPr="00BC7A27" w:rsidRDefault="00123944" w:rsidP="00AF4036">
            <w:pPr>
              <w:jc w:val="both"/>
              <w:rPr>
                <w:i/>
                <w:iCs/>
                <w:color w:val="000000"/>
              </w:rPr>
            </w:pPr>
            <w:r w:rsidRPr="00BC7A27">
              <w:rPr>
                <w:i/>
                <w:iCs/>
                <w:color w:val="000000"/>
              </w:rPr>
              <w:t>pouze u pozemních staveb</w:t>
            </w:r>
          </w:p>
        </w:tc>
      </w:tr>
      <w:tr w:rsidR="00123944" w14:paraId="42AE2113" w14:textId="77777777" w:rsidTr="00AF4036">
        <w:trPr>
          <w:trHeight w:val="315"/>
        </w:trPr>
        <w:tc>
          <w:tcPr>
            <w:tcW w:w="694" w:type="dxa"/>
            <w:tcBorders>
              <w:top w:val="nil"/>
              <w:left w:val="single" w:sz="4" w:space="0" w:color="auto"/>
              <w:bottom w:val="single" w:sz="4" w:space="0" w:color="auto"/>
              <w:right w:val="single" w:sz="4" w:space="0" w:color="auto"/>
            </w:tcBorders>
          </w:tcPr>
          <w:p w14:paraId="15250459" w14:textId="77777777" w:rsidR="00123944" w:rsidRPr="00BC7A27" w:rsidRDefault="00123944" w:rsidP="00AF4036">
            <w:pPr>
              <w:jc w:val="both"/>
              <w:rPr>
                <w:color w:val="000000"/>
              </w:rPr>
            </w:pPr>
            <w:r w:rsidRPr="00BC7A27">
              <w:rPr>
                <w:color w:val="000000"/>
              </w:rPr>
              <w:t>17</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8247F4E" w14:textId="77777777" w:rsidR="00123944" w:rsidRPr="00BC7A27" w:rsidRDefault="00123944" w:rsidP="00AF4036">
            <w:pPr>
              <w:jc w:val="both"/>
              <w:rPr>
                <w:color w:val="000000"/>
              </w:rPr>
            </w:pPr>
            <w:r w:rsidRPr="00BC7A27">
              <w:rPr>
                <w:color w:val="000000"/>
              </w:rPr>
              <w:t xml:space="preserve">Počet </w:t>
            </w:r>
            <w:proofErr w:type="gramStart"/>
            <w:r w:rsidRPr="00BC7A27">
              <w:rPr>
                <w:color w:val="000000"/>
              </w:rPr>
              <w:t>podlaží - podzemní</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14:paraId="3B34BD49" w14:textId="77777777" w:rsidR="00123944" w:rsidRPr="00BC7A27" w:rsidRDefault="00123944" w:rsidP="00AF4036">
            <w:pPr>
              <w:jc w:val="both"/>
              <w:rPr>
                <w:color w:val="000000"/>
              </w:rPr>
            </w:pPr>
            <w:r w:rsidRPr="00BC7A27">
              <w:rPr>
                <w:color w:val="000000"/>
              </w:rPr>
              <w:t>ks</w:t>
            </w:r>
          </w:p>
        </w:tc>
        <w:tc>
          <w:tcPr>
            <w:tcW w:w="1420" w:type="dxa"/>
            <w:tcBorders>
              <w:top w:val="nil"/>
              <w:left w:val="nil"/>
              <w:bottom w:val="single" w:sz="4" w:space="0" w:color="auto"/>
              <w:right w:val="single" w:sz="4" w:space="0" w:color="auto"/>
            </w:tcBorders>
            <w:shd w:val="clear" w:color="auto" w:fill="auto"/>
            <w:noWrap/>
            <w:vAlign w:val="bottom"/>
            <w:hideMark/>
          </w:tcPr>
          <w:p w14:paraId="714E6D36" w14:textId="77777777" w:rsidR="00123944" w:rsidRPr="00BC7A27" w:rsidRDefault="00123944" w:rsidP="00AF4036">
            <w:pPr>
              <w:jc w:val="both"/>
              <w:rPr>
                <w:color w:val="000000"/>
              </w:rPr>
            </w:pPr>
            <w:r w:rsidRPr="00BC7A27">
              <w:rPr>
                <w:color w:val="000000"/>
              </w:rPr>
              <w:t>0-999</w:t>
            </w:r>
          </w:p>
        </w:tc>
        <w:tc>
          <w:tcPr>
            <w:tcW w:w="3013" w:type="dxa"/>
            <w:tcBorders>
              <w:top w:val="nil"/>
              <w:left w:val="nil"/>
              <w:bottom w:val="single" w:sz="4" w:space="0" w:color="auto"/>
              <w:right w:val="single" w:sz="4" w:space="0" w:color="auto"/>
            </w:tcBorders>
            <w:shd w:val="clear" w:color="auto" w:fill="auto"/>
            <w:vAlign w:val="bottom"/>
            <w:hideMark/>
          </w:tcPr>
          <w:p w14:paraId="68C0ACB2" w14:textId="77777777" w:rsidR="00123944" w:rsidRPr="00BC7A27" w:rsidRDefault="00123944" w:rsidP="00AF4036">
            <w:pPr>
              <w:jc w:val="both"/>
              <w:rPr>
                <w:i/>
                <w:iCs/>
                <w:color w:val="000000"/>
              </w:rPr>
            </w:pPr>
            <w:r w:rsidRPr="00BC7A27">
              <w:rPr>
                <w:i/>
                <w:iCs/>
                <w:color w:val="000000"/>
              </w:rPr>
              <w:t>pouze u pozemních staveb</w:t>
            </w:r>
          </w:p>
        </w:tc>
      </w:tr>
      <w:tr w:rsidR="00123944" w14:paraId="52F435BB" w14:textId="77777777" w:rsidTr="00AF4036">
        <w:trPr>
          <w:trHeight w:val="315"/>
        </w:trPr>
        <w:tc>
          <w:tcPr>
            <w:tcW w:w="694" w:type="dxa"/>
            <w:tcBorders>
              <w:top w:val="nil"/>
              <w:left w:val="single" w:sz="4" w:space="0" w:color="auto"/>
              <w:bottom w:val="single" w:sz="4" w:space="0" w:color="auto"/>
              <w:right w:val="single" w:sz="4" w:space="0" w:color="auto"/>
            </w:tcBorders>
          </w:tcPr>
          <w:p w14:paraId="2D37ABC6" w14:textId="77777777" w:rsidR="00123944" w:rsidRPr="00BC7A27" w:rsidRDefault="00123944" w:rsidP="00AF4036">
            <w:pPr>
              <w:jc w:val="both"/>
              <w:rPr>
                <w:color w:val="000000"/>
              </w:rPr>
            </w:pPr>
            <w:r w:rsidRPr="00BC7A27">
              <w:rPr>
                <w:color w:val="000000"/>
              </w:rPr>
              <w:lastRenderedPageBreak/>
              <w:t>18</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BC5848D" w14:textId="77777777" w:rsidR="00123944" w:rsidRPr="00BC7A27" w:rsidRDefault="00123944" w:rsidP="00AF4036">
            <w:pPr>
              <w:jc w:val="both"/>
              <w:rPr>
                <w:color w:val="000000"/>
              </w:rPr>
            </w:pPr>
            <w:r w:rsidRPr="00BC7A27">
              <w:rPr>
                <w:color w:val="000000" w:themeColor="text1"/>
              </w:rPr>
              <w:t>Výška stavby</w:t>
            </w:r>
          </w:p>
        </w:tc>
        <w:tc>
          <w:tcPr>
            <w:tcW w:w="680" w:type="dxa"/>
            <w:tcBorders>
              <w:top w:val="nil"/>
              <w:left w:val="nil"/>
              <w:bottom w:val="single" w:sz="4" w:space="0" w:color="auto"/>
              <w:right w:val="single" w:sz="4" w:space="0" w:color="auto"/>
            </w:tcBorders>
            <w:shd w:val="clear" w:color="auto" w:fill="auto"/>
            <w:noWrap/>
            <w:vAlign w:val="bottom"/>
            <w:hideMark/>
          </w:tcPr>
          <w:p w14:paraId="737AE2D8" w14:textId="77777777" w:rsidR="00123944" w:rsidRPr="00BC7A27" w:rsidRDefault="00123944" w:rsidP="00AF4036">
            <w:pPr>
              <w:jc w:val="both"/>
              <w:rPr>
                <w:color w:val="000000"/>
              </w:rPr>
            </w:pPr>
            <w:r w:rsidRPr="00BC7A27">
              <w:rPr>
                <w:color w:val="000000"/>
              </w:rPr>
              <w:t>m</w:t>
            </w:r>
          </w:p>
        </w:tc>
        <w:tc>
          <w:tcPr>
            <w:tcW w:w="1420" w:type="dxa"/>
            <w:tcBorders>
              <w:top w:val="nil"/>
              <w:left w:val="nil"/>
              <w:bottom w:val="single" w:sz="4" w:space="0" w:color="auto"/>
              <w:right w:val="single" w:sz="4" w:space="0" w:color="auto"/>
            </w:tcBorders>
            <w:shd w:val="clear" w:color="auto" w:fill="auto"/>
            <w:noWrap/>
            <w:vAlign w:val="bottom"/>
            <w:hideMark/>
          </w:tcPr>
          <w:p w14:paraId="4C5D7F90" w14:textId="77777777" w:rsidR="00123944" w:rsidRPr="00BC7A27" w:rsidRDefault="00123944" w:rsidP="00AF4036">
            <w:pPr>
              <w:jc w:val="both"/>
              <w:rPr>
                <w:color w:val="000000"/>
              </w:rPr>
            </w:pPr>
            <w:r w:rsidRPr="00BC7A27">
              <w:rPr>
                <w:color w:val="000000"/>
              </w:rPr>
              <w:t>0-999</w:t>
            </w:r>
          </w:p>
        </w:tc>
        <w:tc>
          <w:tcPr>
            <w:tcW w:w="3013" w:type="dxa"/>
            <w:tcBorders>
              <w:top w:val="nil"/>
              <w:left w:val="nil"/>
              <w:bottom w:val="single" w:sz="4" w:space="0" w:color="auto"/>
              <w:right w:val="single" w:sz="4" w:space="0" w:color="auto"/>
            </w:tcBorders>
            <w:shd w:val="clear" w:color="auto" w:fill="auto"/>
            <w:vAlign w:val="bottom"/>
            <w:hideMark/>
          </w:tcPr>
          <w:p w14:paraId="4BF22FED" w14:textId="77777777" w:rsidR="00123944" w:rsidRDefault="00123944" w:rsidP="00AF4036">
            <w:pPr>
              <w:jc w:val="both"/>
              <w:rPr>
                <w:i/>
                <w:color w:val="000000" w:themeColor="text1"/>
              </w:rPr>
            </w:pPr>
            <w:r w:rsidRPr="457C6863">
              <w:rPr>
                <w:i/>
                <w:color w:val="000000" w:themeColor="text1"/>
              </w:rPr>
              <w:t>-</w:t>
            </w:r>
          </w:p>
          <w:p w14:paraId="25257968" w14:textId="77777777" w:rsidR="00123944" w:rsidRPr="00123944" w:rsidRDefault="00123944" w:rsidP="00123944">
            <w:pPr>
              <w:jc w:val="both"/>
              <w:rPr>
                <w:b/>
                <w:bCs/>
                <w:color w:val="000000" w:themeColor="text1"/>
                <w:highlight w:val="yellow"/>
                <w:u w:val="single"/>
              </w:rPr>
            </w:pPr>
            <w:r w:rsidRPr="00123944">
              <w:rPr>
                <w:b/>
                <w:bCs/>
                <w:color w:val="000000" w:themeColor="text1"/>
                <w:highlight w:val="yellow"/>
                <w:u w:val="single"/>
              </w:rPr>
              <w:t>Připomínka:</w:t>
            </w:r>
          </w:p>
          <w:p w14:paraId="39F3A455" w14:textId="29AF4A3F" w:rsidR="00123944" w:rsidRPr="00BC7A27" w:rsidRDefault="00123944" w:rsidP="00123944">
            <w:pPr>
              <w:jc w:val="both"/>
              <w:rPr>
                <w:i/>
                <w:iCs/>
                <w:color w:val="000000"/>
              </w:rPr>
            </w:pPr>
            <w:r w:rsidRPr="00123944">
              <w:rPr>
                <w:b/>
                <w:bCs/>
                <w:color w:val="000000"/>
                <w:highlight w:val="yellow"/>
                <w:u w:val="single"/>
              </w:rPr>
              <w:t>Zde nutno jasně definovat, podle kterého předpisu / normy.</w:t>
            </w:r>
          </w:p>
        </w:tc>
      </w:tr>
      <w:tr w:rsidR="00123944" w14:paraId="26E30AEC" w14:textId="77777777" w:rsidTr="00AF4036">
        <w:trPr>
          <w:trHeight w:val="315"/>
        </w:trPr>
        <w:tc>
          <w:tcPr>
            <w:tcW w:w="694" w:type="dxa"/>
            <w:tcBorders>
              <w:top w:val="nil"/>
              <w:left w:val="single" w:sz="4" w:space="0" w:color="auto"/>
              <w:bottom w:val="single" w:sz="4" w:space="0" w:color="auto"/>
              <w:right w:val="single" w:sz="4" w:space="0" w:color="auto"/>
            </w:tcBorders>
          </w:tcPr>
          <w:p w14:paraId="7DBE3380" w14:textId="77777777" w:rsidR="00123944" w:rsidRPr="00BC7A27" w:rsidRDefault="00123944" w:rsidP="00AF4036">
            <w:pPr>
              <w:jc w:val="both"/>
              <w:rPr>
                <w:color w:val="000000"/>
              </w:rPr>
            </w:pPr>
            <w:r w:rsidRPr="00BC7A27">
              <w:rPr>
                <w:color w:val="000000"/>
              </w:rPr>
              <w:t>19</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4CABD46" w14:textId="77777777" w:rsidR="00123944" w:rsidRPr="00BC7A27" w:rsidRDefault="00123944" w:rsidP="00AF4036">
            <w:pPr>
              <w:jc w:val="both"/>
              <w:rPr>
                <w:color w:val="000000"/>
              </w:rPr>
            </w:pPr>
            <w:r w:rsidRPr="00BC7A27">
              <w:rPr>
                <w:color w:val="000000"/>
              </w:rPr>
              <w:t>Hloubka stavby</w:t>
            </w:r>
          </w:p>
        </w:tc>
        <w:tc>
          <w:tcPr>
            <w:tcW w:w="680" w:type="dxa"/>
            <w:tcBorders>
              <w:top w:val="nil"/>
              <w:left w:val="nil"/>
              <w:bottom w:val="single" w:sz="4" w:space="0" w:color="auto"/>
              <w:right w:val="single" w:sz="4" w:space="0" w:color="auto"/>
            </w:tcBorders>
            <w:shd w:val="clear" w:color="auto" w:fill="auto"/>
            <w:noWrap/>
            <w:vAlign w:val="bottom"/>
            <w:hideMark/>
          </w:tcPr>
          <w:p w14:paraId="70CBDEFF" w14:textId="77777777" w:rsidR="00123944" w:rsidRPr="00BC7A27" w:rsidRDefault="00123944" w:rsidP="00AF4036">
            <w:pPr>
              <w:jc w:val="both"/>
              <w:rPr>
                <w:color w:val="000000"/>
              </w:rPr>
            </w:pPr>
            <w:r w:rsidRPr="00BC7A27">
              <w:rPr>
                <w:color w:val="000000"/>
              </w:rPr>
              <w:t>m</w:t>
            </w:r>
          </w:p>
        </w:tc>
        <w:tc>
          <w:tcPr>
            <w:tcW w:w="1420" w:type="dxa"/>
            <w:tcBorders>
              <w:top w:val="nil"/>
              <w:left w:val="nil"/>
              <w:bottom w:val="single" w:sz="4" w:space="0" w:color="auto"/>
              <w:right w:val="single" w:sz="4" w:space="0" w:color="auto"/>
            </w:tcBorders>
            <w:shd w:val="clear" w:color="auto" w:fill="auto"/>
            <w:noWrap/>
            <w:vAlign w:val="bottom"/>
            <w:hideMark/>
          </w:tcPr>
          <w:p w14:paraId="5836E228" w14:textId="77777777" w:rsidR="00123944" w:rsidRPr="00BC7A27" w:rsidRDefault="00123944" w:rsidP="00AF4036">
            <w:pPr>
              <w:jc w:val="both"/>
              <w:rPr>
                <w:color w:val="000000"/>
              </w:rPr>
            </w:pPr>
            <w:r w:rsidRPr="00BC7A27">
              <w:rPr>
                <w:color w:val="000000"/>
              </w:rPr>
              <w:t>0-999</w:t>
            </w:r>
          </w:p>
        </w:tc>
        <w:tc>
          <w:tcPr>
            <w:tcW w:w="3013" w:type="dxa"/>
            <w:tcBorders>
              <w:top w:val="nil"/>
              <w:left w:val="nil"/>
              <w:bottom w:val="single" w:sz="4" w:space="0" w:color="auto"/>
              <w:right w:val="single" w:sz="4" w:space="0" w:color="auto"/>
            </w:tcBorders>
            <w:shd w:val="clear" w:color="auto" w:fill="auto"/>
            <w:vAlign w:val="bottom"/>
            <w:hideMark/>
          </w:tcPr>
          <w:p w14:paraId="1AA35734" w14:textId="77777777" w:rsidR="00123944" w:rsidRPr="00123944" w:rsidRDefault="00123944" w:rsidP="00AF4036">
            <w:pPr>
              <w:jc w:val="both"/>
              <w:rPr>
                <w:i/>
                <w:color w:val="000000" w:themeColor="text1"/>
                <w:highlight w:val="yellow"/>
              </w:rPr>
            </w:pPr>
            <w:r w:rsidRPr="00123944">
              <w:rPr>
                <w:i/>
                <w:color w:val="000000" w:themeColor="text1"/>
                <w:highlight w:val="yellow"/>
              </w:rPr>
              <w:t>-</w:t>
            </w:r>
          </w:p>
          <w:p w14:paraId="07552356" w14:textId="77777777" w:rsidR="00123944" w:rsidRPr="00123944" w:rsidRDefault="00123944" w:rsidP="00123944">
            <w:pPr>
              <w:jc w:val="both"/>
              <w:rPr>
                <w:b/>
                <w:bCs/>
                <w:color w:val="000000" w:themeColor="text1"/>
                <w:highlight w:val="yellow"/>
                <w:u w:val="single"/>
              </w:rPr>
            </w:pPr>
            <w:r w:rsidRPr="00123944">
              <w:rPr>
                <w:b/>
                <w:bCs/>
                <w:color w:val="000000" w:themeColor="text1"/>
                <w:highlight w:val="yellow"/>
                <w:u w:val="single"/>
              </w:rPr>
              <w:t>Připomínka:</w:t>
            </w:r>
          </w:p>
          <w:p w14:paraId="4C8F0C98" w14:textId="68394B9E" w:rsidR="00123944" w:rsidRPr="00123944" w:rsidRDefault="00123944" w:rsidP="00123944">
            <w:pPr>
              <w:jc w:val="both"/>
              <w:rPr>
                <w:i/>
                <w:iCs/>
                <w:color w:val="000000"/>
                <w:highlight w:val="yellow"/>
              </w:rPr>
            </w:pPr>
            <w:r w:rsidRPr="00123944">
              <w:rPr>
                <w:b/>
                <w:bCs/>
                <w:color w:val="000000"/>
                <w:highlight w:val="yellow"/>
                <w:u w:val="single"/>
              </w:rPr>
              <w:t>Zde nutno jasně definovat, podle kterého předpisu / normy.</w:t>
            </w:r>
          </w:p>
        </w:tc>
      </w:tr>
      <w:tr w:rsidR="00123944" w14:paraId="4463CB49" w14:textId="77777777" w:rsidTr="00AF4036">
        <w:trPr>
          <w:trHeight w:val="315"/>
        </w:trPr>
        <w:tc>
          <w:tcPr>
            <w:tcW w:w="694" w:type="dxa"/>
            <w:tcBorders>
              <w:top w:val="nil"/>
              <w:left w:val="single" w:sz="4" w:space="0" w:color="auto"/>
              <w:bottom w:val="single" w:sz="4" w:space="0" w:color="auto"/>
              <w:right w:val="single" w:sz="4" w:space="0" w:color="auto"/>
            </w:tcBorders>
          </w:tcPr>
          <w:p w14:paraId="6F26C231" w14:textId="77777777" w:rsidR="00123944" w:rsidRPr="00BC7A27" w:rsidRDefault="00123944" w:rsidP="00AF4036">
            <w:pPr>
              <w:jc w:val="both"/>
              <w:rPr>
                <w:color w:val="000000"/>
              </w:rPr>
            </w:pPr>
            <w:r w:rsidRPr="00BC7A27">
              <w:rPr>
                <w:color w:val="000000"/>
              </w:rPr>
              <w:t>20</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CF4D66D" w14:textId="77777777" w:rsidR="00123944" w:rsidRPr="00BC7A27" w:rsidRDefault="00123944" w:rsidP="00AF4036">
            <w:pPr>
              <w:jc w:val="both"/>
              <w:rPr>
                <w:color w:val="000000"/>
              </w:rPr>
            </w:pPr>
            <w:r w:rsidRPr="00BC7A27">
              <w:rPr>
                <w:color w:val="000000" w:themeColor="text1"/>
              </w:rPr>
              <w:t>Celkové náklady</w:t>
            </w:r>
          </w:p>
        </w:tc>
        <w:tc>
          <w:tcPr>
            <w:tcW w:w="680" w:type="dxa"/>
            <w:tcBorders>
              <w:top w:val="nil"/>
              <w:left w:val="nil"/>
              <w:bottom w:val="single" w:sz="4" w:space="0" w:color="auto"/>
              <w:right w:val="single" w:sz="4" w:space="0" w:color="auto"/>
            </w:tcBorders>
            <w:shd w:val="clear" w:color="auto" w:fill="auto"/>
            <w:noWrap/>
            <w:vAlign w:val="bottom"/>
            <w:hideMark/>
          </w:tcPr>
          <w:p w14:paraId="17D2DA68" w14:textId="77777777" w:rsidR="00123944" w:rsidRPr="00BC7A27" w:rsidRDefault="00123944" w:rsidP="00AF4036">
            <w:pPr>
              <w:jc w:val="both"/>
              <w:rPr>
                <w:color w:val="000000"/>
              </w:rPr>
            </w:pPr>
            <w:r w:rsidRPr="00BC7A27">
              <w:rPr>
                <w:color w:val="000000" w:themeColor="text1"/>
              </w:rPr>
              <w:t>mil. Kč</w:t>
            </w:r>
          </w:p>
        </w:tc>
        <w:tc>
          <w:tcPr>
            <w:tcW w:w="1420" w:type="dxa"/>
            <w:tcBorders>
              <w:top w:val="nil"/>
              <w:left w:val="nil"/>
              <w:bottom w:val="single" w:sz="4" w:space="0" w:color="auto"/>
              <w:right w:val="single" w:sz="4" w:space="0" w:color="auto"/>
            </w:tcBorders>
            <w:shd w:val="clear" w:color="auto" w:fill="auto"/>
            <w:noWrap/>
            <w:vAlign w:val="bottom"/>
            <w:hideMark/>
          </w:tcPr>
          <w:p w14:paraId="0F119436" w14:textId="77777777" w:rsidR="00123944" w:rsidRPr="00BC7A27" w:rsidRDefault="00123944" w:rsidP="00AF4036">
            <w:pPr>
              <w:jc w:val="both"/>
              <w:rPr>
                <w:color w:val="000000"/>
              </w:rPr>
            </w:pPr>
            <w:r w:rsidRPr="00BC7A27">
              <w:rPr>
                <w:color w:val="000000"/>
              </w:rPr>
              <w:t>0-999999999</w:t>
            </w:r>
          </w:p>
        </w:tc>
        <w:tc>
          <w:tcPr>
            <w:tcW w:w="3013" w:type="dxa"/>
            <w:tcBorders>
              <w:top w:val="nil"/>
              <w:left w:val="nil"/>
              <w:bottom w:val="single" w:sz="4" w:space="0" w:color="auto"/>
              <w:right w:val="single" w:sz="4" w:space="0" w:color="auto"/>
            </w:tcBorders>
            <w:shd w:val="clear" w:color="auto" w:fill="auto"/>
            <w:vAlign w:val="bottom"/>
            <w:hideMark/>
          </w:tcPr>
          <w:p w14:paraId="306F9996" w14:textId="77777777" w:rsidR="00123944" w:rsidRPr="00BC7A27" w:rsidRDefault="00123944" w:rsidP="00AF4036">
            <w:pPr>
              <w:jc w:val="both"/>
              <w:rPr>
                <w:i/>
                <w:iCs/>
                <w:color w:val="000000"/>
              </w:rPr>
            </w:pPr>
            <w:r w:rsidRPr="00BC7A27">
              <w:rPr>
                <w:i/>
                <w:iCs/>
                <w:color w:val="000000"/>
              </w:rPr>
              <w:t>-</w:t>
            </w:r>
          </w:p>
        </w:tc>
      </w:tr>
      <w:tr w:rsidR="00123944" w14:paraId="30D1E39C" w14:textId="77777777" w:rsidTr="00AF4036">
        <w:trPr>
          <w:trHeight w:val="600"/>
        </w:trPr>
        <w:tc>
          <w:tcPr>
            <w:tcW w:w="694" w:type="dxa"/>
            <w:tcBorders>
              <w:top w:val="nil"/>
              <w:left w:val="single" w:sz="4" w:space="0" w:color="auto"/>
              <w:bottom w:val="single" w:sz="4" w:space="0" w:color="auto"/>
              <w:right w:val="single" w:sz="4" w:space="0" w:color="auto"/>
            </w:tcBorders>
          </w:tcPr>
          <w:p w14:paraId="437A8769" w14:textId="77777777" w:rsidR="00123944" w:rsidRPr="00BC7A27" w:rsidRDefault="00123944" w:rsidP="00AF4036">
            <w:pPr>
              <w:jc w:val="both"/>
              <w:rPr>
                <w:color w:val="000000"/>
              </w:rPr>
            </w:pPr>
            <w:r w:rsidRPr="00BC7A27">
              <w:rPr>
                <w:color w:val="000000"/>
              </w:rPr>
              <w:t>21</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EA9A375" w14:textId="77777777" w:rsidR="00123944" w:rsidRPr="00BC7A27" w:rsidRDefault="00123944" w:rsidP="00AF4036">
            <w:pPr>
              <w:jc w:val="both"/>
              <w:rPr>
                <w:color w:val="000000"/>
              </w:rPr>
            </w:pPr>
            <w:r w:rsidRPr="00BC7A27">
              <w:rPr>
                <w:color w:val="000000"/>
              </w:rPr>
              <w:t>Způsob využití areálu</w:t>
            </w:r>
          </w:p>
        </w:tc>
        <w:tc>
          <w:tcPr>
            <w:tcW w:w="680" w:type="dxa"/>
            <w:tcBorders>
              <w:top w:val="nil"/>
              <w:left w:val="nil"/>
              <w:bottom w:val="single" w:sz="4" w:space="0" w:color="auto"/>
              <w:right w:val="single" w:sz="4" w:space="0" w:color="auto"/>
            </w:tcBorders>
            <w:shd w:val="clear" w:color="auto" w:fill="auto"/>
            <w:noWrap/>
            <w:vAlign w:val="bottom"/>
            <w:hideMark/>
          </w:tcPr>
          <w:p w14:paraId="5CF090F3"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13F5A521" w14:textId="77777777" w:rsidR="00123944" w:rsidRPr="00BC7A27" w:rsidRDefault="00123944" w:rsidP="00AF4036">
            <w:pPr>
              <w:jc w:val="both"/>
              <w:rPr>
                <w:color w:val="000000"/>
              </w:rPr>
            </w:pPr>
            <w:r w:rsidRPr="00BC7A27">
              <w:rPr>
                <w:color w:val="000000"/>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51CC9736" w14:textId="77777777" w:rsidR="00123944" w:rsidRPr="00BC7A27" w:rsidRDefault="00123944" w:rsidP="00AF4036">
            <w:pPr>
              <w:jc w:val="both"/>
              <w:rPr>
                <w:i/>
                <w:iCs/>
                <w:color w:val="000000"/>
              </w:rPr>
            </w:pPr>
            <w:r w:rsidRPr="00BC7A27">
              <w:rPr>
                <w:i/>
                <w:color w:val="000000" w:themeColor="text1"/>
              </w:rPr>
              <w:t>Číselník CC</w:t>
            </w:r>
          </w:p>
        </w:tc>
      </w:tr>
      <w:tr w:rsidR="00123944" w14:paraId="598A694A" w14:textId="77777777" w:rsidTr="00AF4036">
        <w:trPr>
          <w:trHeight w:val="315"/>
        </w:trPr>
        <w:tc>
          <w:tcPr>
            <w:tcW w:w="694" w:type="dxa"/>
            <w:tcBorders>
              <w:top w:val="nil"/>
              <w:left w:val="single" w:sz="4" w:space="0" w:color="auto"/>
              <w:bottom w:val="single" w:sz="4" w:space="0" w:color="auto"/>
              <w:right w:val="single" w:sz="4" w:space="0" w:color="auto"/>
            </w:tcBorders>
          </w:tcPr>
          <w:p w14:paraId="7F15AE36" w14:textId="77777777" w:rsidR="00123944" w:rsidRPr="00BC7A27" w:rsidRDefault="00123944" w:rsidP="00AF4036">
            <w:pPr>
              <w:jc w:val="both"/>
              <w:rPr>
                <w:color w:val="000000"/>
              </w:rPr>
            </w:pPr>
            <w:r w:rsidRPr="00BC7A27">
              <w:rPr>
                <w:color w:val="000000"/>
              </w:rPr>
              <w:t>22</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DC7D567" w14:textId="77777777" w:rsidR="00123944" w:rsidRDefault="00123944" w:rsidP="00AF4036">
            <w:pPr>
              <w:jc w:val="both"/>
              <w:rPr>
                <w:color w:val="000000" w:themeColor="text1"/>
              </w:rPr>
            </w:pPr>
            <w:r w:rsidRPr="00BC7A27">
              <w:rPr>
                <w:color w:val="000000" w:themeColor="text1"/>
              </w:rPr>
              <w:t>Počet bytů</w:t>
            </w:r>
          </w:p>
          <w:p w14:paraId="6A4401D4" w14:textId="67FCF062" w:rsidR="00123944" w:rsidRPr="00123944" w:rsidRDefault="00123944" w:rsidP="00AF4036">
            <w:pPr>
              <w:jc w:val="both"/>
              <w:rPr>
                <w:b/>
                <w:bCs/>
                <w:color w:val="000000" w:themeColor="text1"/>
                <w:highlight w:val="yellow"/>
                <w:u w:val="single"/>
              </w:rPr>
            </w:pPr>
            <w:r w:rsidRPr="00123944">
              <w:rPr>
                <w:b/>
                <w:bCs/>
                <w:color w:val="000000" w:themeColor="text1"/>
                <w:highlight w:val="yellow"/>
                <w:u w:val="single"/>
              </w:rPr>
              <w:t>Připomínka:</w:t>
            </w:r>
          </w:p>
          <w:p w14:paraId="7DC945F3" w14:textId="27375EBE" w:rsidR="00123944" w:rsidRPr="00BC7A27" w:rsidRDefault="00123944" w:rsidP="00AF4036">
            <w:pPr>
              <w:jc w:val="both"/>
              <w:rPr>
                <w:color w:val="000000"/>
              </w:rPr>
            </w:pPr>
            <w:r w:rsidRPr="00123944">
              <w:rPr>
                <w:b/>
                <w:bCs/>
                <w:color w:val="000000"/>
                <w:highlight w:val="yellow"/>
                <w:u w:val="single"/>
              </w:rPr>
              <w:t>Požadujeme upřesnit, že v rámci záměru (povolení vícero objektů IS a komunikací) bude vždy evidován každý objekt zvlášť</w:t>
            </w:r>
            <w:r>
              <w:rPr>
                <w:b/>
                <w:bCs/>
                <w:color w:val="000000"/>
                <w:u w:val="single"/>
              </w:rPr>
              <w:t>.</w:t>
            </w:r>
          </w:p>
        </w:tc>
        <w:tc>
          <w:tcPr>
            <w:tcW w:w="680" w:type="dxa"/>
            <w:tcBorders>
              <w:top w:val="nil"/>
              <w:left w:val="nil"/>
              <w:bottom w:val="single" w:sz="4" w:space="0" w:color="auto"/>
              <w:right w:val="single" w:sz="4" w:space="0" w:color="auto"/>
            </w:tcBorders>
            <w:shd w:val="clear" w:color="auto" w:fill="auto"/>
            <w:noWrap/>
            <w:vAlign w:val="bottom"/>
            <w:hideMark/>
          </w:tcPr>
          <w:p w14:paraId="2D8D708B" w14:textId="77777777" w:rsidR="00123944" w:rsidRPr="00BC7A27" w:rsidRDefault="00123944" w:rsidP="00AF4036">
            <w:pPr>
              <w:jc w:val="both"/>
              <w:rPr>
                <w:color w:val="000000"/>
              </w:rPr>
            </w:pPr>
            <w:r w:rsidRPr="00BC7A27">
              <w:rPr>
                <w:color w:val="000000"/>
              </w:rPr>
              <w:t>ks</w:t>
            </w:r>
          </w:p>
        </w:tc>
        <w:tc>
          <w:tcPr>
            <w:tcW w:w="1420" w:type="dxa"/>
            <w:tcBorders>
              <w:top w:val="nil"/>
              <w:left w:val="nil"/>
              <w:bottom w:val="single" w:sz="4" w:space="0" w:color="auto"/>
              <w:right w:val="single" w:sz="4" w:space="0" w:color="auto"/>
            </w:tcBorders>
            <w:shd w:val="clear" w:color="auto" w:fill="auto"/>
            <w:noWrap/>
            <w:vAlign w:val="bottom"/>
            <w:hideMark/>
          </w:tcPr>
          <w:p w14:paraId="26234250" w14:textId="77777777" w:rsidR="00123944" w:rsidRPr="00BC7A27" w:rsidRDefault="00123944" w:rsidP="00AF4036">
            <w:pPr>
              <w:jc w:val="both"/>
              <w:rPr>
                <w:color w:val="000000"/>
              </w:rPr>
            </w:pPr>
            <w:r w:rsidRPr="00BC7A27">
              <w:rPr>
                <w:color w:val="000000"/>
              </w:rPr>
              <w:t>0-999</w:t>
            </w:r>
          </w:p>
        </w:tc>
        <w:tc>
          <w:tcPr>
            <w:tcW w:w="3013" w:type="dxa"/>
            <w:tcBorders>
              <w:top w:val="nil"/>
              <w:left w:val="nil"/>
              <w:bottom w:val="single" w:sz="4" w:space="0" w:color="auto"/>
              <w:right w:val="single" w:sz="4" w:space="0" w:color="auto"/>
            </w:tcBorders>
            <w:shd w:val="clear" w:color="auto" w:fill="auto"/>
            <w:vAlign w:val="bottom"/>
            <w:hideMark/>
          </w:tcPr>
          <w:p w14:paraId="31B3CB48" w14:textId="77777777" w:rsidR="00123944" w:rsidRPr="00BC7A27" w:rsidRDefault="00123944" w:rsidP="00AF4036">
            <w:pPr>
              <w:jc w:val="both"/>
              <w:rPr>
                <w:i/>
                <w:iCs/>
                <w:color w:val="000000"/>
              </w:rPr>
            </w:pPr>
            <w:r w:rsidRPr="00BC7A27">
              <w:rPr>
                <w:i/>
                <w:iCs/>
                <w:color w:val="000000"/>
              </w:rPr>
              <w:t>-</w:t>
            </w:r>
          </w:p>
        </w:tc>
      </w:tr>
      <w:tr w:rsidR="00123944" w14:paraId="600FF01F" w14:textId="77777777" w:rsidTr="00AF4036">
        <w:trPr>
          <w:trHeight w:val="315"/>
        </w:trPr>
        <w:tc>
          <w:tcPr>
            <w:tcW w:w="694" w:type="dxa"/>
            <w:tcBorders>
              <w:top w:val="nil"/>
              <w:left w:val="single" w:sz="4" w:space="0" w:color="auto"/>
              <w:bottom w:val="single" w:sz="4" w:space="0" w:color="auto"/>
              <w:right w:val="single" w:sz="4" w:space="0" w:color="auto"/>
            </w:tcBorders>
          </w:tcPr>
          <w:p w14:paraId="2DF61772" w14:textId="77777777" w:rsidR="00123944" w:rsidRPr="00BC7A27" w:rsidRDefault="00123944" w:rsidP="00AF4036">
            <w:pPr>
              <w:jc w:val="both"/>
              <w:rPr>
                <w:color w:val="000000"/>
              </w:rPr>
            </w:pP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54EE48E7" w14:textId="77777777" w:rsidR="00123944" w:rsidRPr="00BC7A27" w:rsidRDefault="00123944" w:rsidP="00AF4036">
            <w:pPr>
              <w:jc w:val="both"/>
              <w:rPr>
                <w:color w:val="000000" w:themeColor="text1"/>
              </w:rPr>
            </w:pPr>
            <w:r w:rsidRPr="00BC7A27">
              <w:rPr>
                <w:color w:val="000000" w:themeColor="text1"/>
              </w:rPr>
              <w:t>Počet bytů zvláštního určení</w:t>
            </w:r>
          </w:p>
        </w:tc>
        <w:tc>
          <w:tcPr>
            <w:tcW w:w="680" w:type="dxa"/>
            <w:tcBorders>
              <w:top w:val="nil"/>
              <w:left w:val="nil"/>
              <w:bottom w:val="single" w:sz="4" w:space="0" w:color="auto"/>
              <w:right w:val="single" w:sz="4" w:space="0" w:color="auto"/>
            </w:tcBorders>
            <w:shd w:val="clear" w:color="auto" w:fill="auto"/>
            <w:noWrap/>
            <w:vAlign w:val="bottom"/>
          </w:tcPr>
          <w:p w14:paraId="546FB39D" w14:textId="77777777" w:rsidR="00123944" w:rsidRPr="00BC7A27" w:rsidRDefault="00123944" w:rsidP="00AF4036">
            <w:pPr>
              <w:jc w:val="both"/>
              <w:rPr>
                <w:color w:val="000000"/>
              </w:rPr>
            </w:pPr>
            <w:r w:rsidRPr="00BC7A27">
              <w:rPr>
                <w:color w:val="000000"/>
              </w:rPr>
              <w:t>ks</w:t>
            </w:r>
          </w:p>
        </w:tc>
        <w:tc>
          <w:tcPr>
            <w:tcW w:w="1420" w:type="dxa"/>
            <w:tcBorders>
              <w:top w:val="nil"/>
              <w:left w:val="nil"/>
              <w:bottom w:val="single" w:sz="4" w:space="0" w:color="auto"/>
              <w:right w:val="single" w:sz="4" w:space="0" w:color="auto"/>
            </w:tcBorders>
            <w:shd w:val="clear" w:color="auto" w:fill="auto"/>
            <w:noWrap/>
            <w:vAlign w:val="bottom"/>
          </w:tcPr>
          <w:p w14:paraId="5C4A64E0" w14:textId="77777777" w:rsidR="00123944" w:rsidRPr="00BC7A27" w:rsidRDefault="00123944" w:rsidP="00AF4036">
            <w:pPr>
              <w:jc w:val="both"/>
              <w:rPr>
                <w:color w:val="000000"/>
              </w:rPr>
            </w:pPr>
            <w:r w:rsidRPr="00BC7A27">
              <w:rPr>
                <w:color w:val="000000"/>
              </w:rPr>
              <w:t>0-999</w:t>
            </w:r>
          </w:p>
        </w:tc>
        <w:tc>
          <w:tcPr>
            <w:tcW w:w="3013" w:type="dxa"/>
            <w:tcBorders>
              <w:top w:val="nil"/>
              <w:left w:val="nil"/>
              <w:bottom w:val="single" w:sz="4" w:space="0" w:color="auto"/>
              <w:right w:val="single" w:sz="4" w:space="0" w:color="auto"/>
            </w:tcBorders>
            <w:shd w:val="clear" w:color="auto" w:fill="auto"/>
            <w:vAlign w:val="bottom"/>
          </w:tcPr>
          <w:p w14:paraId="2D0CD339" w14:textId="77777777" w:rsidR="00123944" w:rsidRPr="00BC7A27" w:rsidRDefault="00123944" w:rsidP="00AF4036">
            <w:pPr>
              <w:jc w:val="both"/>
              <w:rPr>
                <w:i/>
                <w:iCs/>
                <w:color w:val="000000"/>
              </w:rPr>
            </w:pPr>
            <w:r w:rsidRPr="00BC7A27">
              <w:rPr>
                <w:i/>
                <w:iCs/>
                <w:color w:val="000000"/>
              </w:rPr>
              <w:t>-</w:t>
            </w:r>
          </w:p>
        </w:tc>
      </w:tr>
      <w:tr w:rsidR="00123944" w14:paraId="2ED73063" w14:textId="77777777" w:rsidTr="00AF4036">
        <w:trPr>
          <w:trHeight w:val="315"/>
        </w:trPr>
        <w:tc>
          <w:tcPr>
            <w:tcW w:w="694" w:type="dxa"/>
            <w:tcBorders>
              <w:top w:val="nil"/>
              <w:left w:val="single" w:sz="4" w:space="0" w:color="auto"/>
              <w:bottom w:val="single" w:sz="4" w:space="0" w:color="auto"/>
              <w:right w:val="single" w:sz="4" w:space="0" w:color="auto"/>
            </w:tcBorders>
          </w:tcPr>
          <w:p w14:paraId="5E7BBADD" w14:textId="77777777" w:rsidR="00123944" w:rsidRPr="00BC7A27" w:rsidRDefault="00123944" w:rsidP="00AF4036">
            <w:pPr>
              <w:jc w:val="both"/>
              <w:rPr>
                <w:color w:val="000000"/>
              </w:rPr>
            </w:pPr>
          </w:p>
        </w:tc>
        <w:tc>
          <w:tcPr>
            <w:tcW w:w="3402" w:type="dxa"/>
            <w:tcBorders>
              <w:top w:val="nil"/>
              <w:left w:val="single" w:sz="4" w:space="0" w:color="auto"/>
              <w:bottom w:val="single" w:sz="4" w:space="0" w:color="auto"/>
              <w:right w:val="single" w:sz="4" w:space="0" w:color="auto"/>
            </w:tcBorders>
            <w:shd w:val="clear" w:color="auto" w:fill="auto"/>
            <w:noWrap/>
            <w:vAlign w:val="bottom"/>
          </w:tcPr>
          <w:p w14:paraId="63DD5A43" w14:textId="77777777" w:rsidR="00123944" w:rsidRDefault="00123944" w:rsidP="00AF4036">
            <w:pPr>
              <w:jc w:val="both"/>
              <w:rPr>
                <w:color w:val="000000" w:themeColor="text1"/>
              </w:rPr>
            </w:pPr>
            <w:r w:rsidRPr="00BC7A27">
              <w:rPr>
                <w:color w:val="000000" w:themeColor="text1"/>
              </w:rPr>
              <w:t>Plocha bytů</w:t>
            </w:r>
          </w:p>
          <w:p w14:paraId="04DDDC1B" w14:textId="30A3047B" w:rsidR="00123944" w:rsidRPr="00123944" w:rsidRDefault="00123944" w:rsidP="00AF4036">
            <w:pPr>
              <w:jc w:val="both"/>
              <w:rPr>
                <w:b/>
                <w:bCs/>
                <w:color w:val="000000" w:themeColor="text1"/>
                <w:highlight w:val="yellow"/>
                <w:u w:val="single"/>
              </w:rPr>
            </w:pPr>
            <w:r w:rsidRPr="00123944">
              <w:rPr>
                <w:b/>
                <w:bCs/>
                <w:color w:val="000000" w:themeColor="text1"/>
                <w:highlight w:val="yellow"/>
                <w:u w:val="single"/>
              </w:rPr>
              <w:t>Připomínka:</w:t>
            </w:r>
          </w:p>
          <w:p w14:paraId="4BBC95D0" w14:textId="5394CAC1" w:rsidR="00123944" w:rsidRPr="00BC7A27" w:rsidRDefault="00123944" w:rsidP="00AF4036">
            <w:pPr>
              <w:jc w:val="both"/>
              <w:rPr>
                <w:color w:val="000000" w:themeColor="text1"/>
              </w:rPr>
            </w:pPr>
            <w:r w:rsidRPr="00123944">
              <w:rPr>
                <w:b/>
                <w:bCs/>
                <w:color w:val="000000" w:themeColor="text1"/>
                <w:highlight w:val="yellow"/>
                <w:u w:val="single"/>
              </w:rPr>
              <w:t>Je potřeba řešit i plochy nebytových prostor (komerční prostory, ateliéry, kanceláře apod.).</w:t>
            </w:r>
          </w:p>
        </w:tc>
        <w:tc>
          <w:tcPr>
            <w:tcW w:w="680" w:type="dxa"/>
            <w:tcBorders>
              <w:top w:val="nil"/>
              <w:left w:val="nil"/>
              <w:bottom w:val="single" w:sz="4" w:space="0" w:color="auto"/>
              <w:right w:val="single" w:sz="4" w:space="0" w:color="auto"/>
            </w:tcBorders>
            <w:shd w:val="clear" w:color="auto" w:fill="auto"/>
            <w:noWrap/>
            <w:vAlign w:val="bottom"/>
          </w:tcPr>
          <w:p w14:paraId="1CCC2B20" w14:textId="77777777" w:rsidR="00123944" w:rsidRPr="00BC7A27" w:rsidRDefault="00123944" w:rsidP="00AF4036">
            <w:pPr>
              <w:jc w:val="both"/>
              <w:rPr>
                <w:color w:val="000000"/>
              </w:rPr>
            </w:pPr>
            <w:r w:rsidRPr="00BC7A27">
              <w:rPr>
                <w:color w:val="000000"/>
              </w:rPr>
              <w:t>m2</w:t>
            </w:r>
          </w:p>
        </w:tc>
        <w:tc>
          <w:tcPr>
            <w:tcW w:w="1420" w:type="dxa"/>
            <w:tcBorders>
              <w:top w:val="nil"/>
              <w:left w:val="nil"/>
              <w:bottom w:val="single" w:sz="4" w:space="0" w:color="auto"/>
              <w:right w:val="single" w:sz="4" w:space="0" w:color="auto"/>
            </w:tcBorders>
            <w:shd w:val="clear" w:color="auto" w:fill="auto"/>
            <w:noWrap/>
            <w:vAlign w:val="bottom"/>
          </w:tcPr>
          <w:p w14:paraId="5F9F26F1" w14:textId="77777777" w:rsidR="00123944" w:rsidRPr="00BC7A27" w:rsidRDefault="00123944" w:rsidP="00AF4036">
            <w:pPr>
              <w:jc w:val="both"/>
              <w:rPr>
                <w:color w:val="000000"/>
              </w:rPr>
            </w:pPr>
            <w:r w:rsidRPr="00BC7A27">
              <w:rPr>
                <w:color w:val="000000"/>
              </w:rPr>
              <w:t>0-99999</w:t>
            </w:r>
          </w:p>
        </w:tc>
        <w:tc>
          <w:tcPr>
            <w:tcW w:w="3013" w:type="dxa"/>
            <w:tcBorders>
              <w:top w:val="nil"/>
              <w:left w:val="nil"/>
              <w:bottom w:val="single" w:sz="4" w:space="0" w:color="auto"/>
              <w:right w:val="single" w:sz="4" w:space="0" w:color="auto"/>
            </w:tcBorders>
            <w:shd w:val="clear" w:color="auto" w:fill="auto"/>
            <w:vAlign w:val="bottom"/>
          </w:tcPr>
          <w:p w14:paraId="77A5CDDB" w14:textId="77777777" w:rsidR="00123944" w:rsidRPr="00BC7A27" w:rsidRDefault="00123944" w:rsidP="00AF4036">
            <w:pPr>
              <w:jc w:val="both"/>
              <w:rPr>
                <w:i/>
                <w:iCs/>
                <w:color w:val="000000"/>
              </w:rPr>
            </w:pPr>
            <w:r w:rsidRPr="00BC7A27">
              <w:rPr>
                <w:i/>
                <w:iCs/>
                <w:color w:val="000000"/>
              </w:rPr>
              <w:t>-</w:t>
            </w:r>
          </w:p>
        </w:tc>
      </w:tr>
      <w:tr w:rsidR="00123944" w14:paraId="72C4D1D3" w14:textId="77777777" w:rsidTr="00AF4036">
        <w:trPr>
          <w:trHeight w:val="315"/>
        </w:trPr>
        <w:tc>
          <w:tcPr>
            <w:tcW w:w="694" w:type="dxa"/>
            <w:tcBorders>
              <w:top w:val="nil"/>
              <w:left w:val="single" w:sz="4" w:space="0" w:color="auto"/>
              <w:bottom w:val="single" w:sz="4" w:space="0" w:color="auto"/>
              <w:right w:val="single" w:sz="4" w:space="0" w:color="auto"/>
            </w:tcBorders>
          </w:tcPr>
          <w:p w14:paraId="10681A1D" w14:textId="77777777" w:rsidR="00123944" w:rsidRPr="00BC7A27" w:rsidRDefault="00123944" w:rsidP="00AF4036">
            <w:pPr>
              <w:jc w:val="both"/>
              <w:rPr>
                <w:color w:val="000000"/>
              </w:rPr>
            </w:pPr>
            <w:r w:rsidRPr="00BC7A27">
              <w:rPr>
                <w:color w:val="000000"/>
              </w:rPr>
              <w:t>23</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4BE7D57" w14:textId="77777777" w:rsidR="00123944" w:rsidRPr="00BC7A27" w:rsidRDefault="00123944" w:rsidP="00AF4036">
            <w:pPr>
              <w:jc w:val="both"/>
              <w:rPr>
                <w:color w:val="000000"/>
              </w:rPr>
            </w:pPr>
            <w:r w:rsidRPr="00BC7A27">
              <w:rPr>
                <w:color w:val="000000" w:themeColor="text1"/>
              </w:rPr>
              <w:t>Druh konstrukčního systému</w:t>
            </w:r>
          </w:p>
        </w:tc>
        <w:tc>
          <w:tcPr>
            <w:tcW w:w="680" w:type="dxa"/>
            <w:tcBorders>
              <w:top w:val="nil"/>
              <w:left w:val="nil"/>
              <w:bottom w:val="single" w:sz="4" w:space="0" w:color="auto"/>
              <w:right w:val="single" w:sz="4" w:space="0" w:color="auto"/>
            </w:tcBorders>
            <w:shd w:val="clear" w:color="auto" w:fill="auto"/>
            <w:noWrap/>
            <w:vAlign w:val="bottom"/>
            <w:hideMark/>
          </w:tcPr>
          <w:p w14:paraId="1ADB2BEE"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6530FB36" w14:textId="77777777" w:rsidR="00123944" w:rsidRPr="00BC7A27" w:rsidRDefault="00123944" w:rsidP="00AF4036">
            <w:pPr>
              <w:jc w:val="both"/>
              <w:rPr>
                <w:color w:val="000000"/>
              </w:rPr>
            </w:pPr>
            <w:r w:rsidRPr="00BC7A27">
              <w:rPr>
                <w:color w:val="000000"/>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232237D6" w14:textId="77777777" w:rsidR="00123944" w:rsidRPr="00BC7A27" w:rsidRDefault="00123944" w:rsidP="00AF4036">
            <w:pPr>
              <w:jc w:val="both"/>
              <w:rPr>
                <w:i/>
                <w:iCs/>
                <w:color w:val="000000"/>
              </w:rPr>
            </w:pPr>
            <w:r w:rsidRPr="00BC7A27">
              <w:rPr>
                <w:i/>
                <w:iCs/>
                <w:color w:val="000000" w:themeColor="text1"/>
              </w:rPr>
              <w:t>Číselník příloha č.7</w:t>
            </w:r>
          </w:p>
        </w:tc>
      </w:tr>
      <w:tr w:rsidR="00123944" w14:paraId="3CFC8962" w14:textId="77777777" w:rsidTr="00AF4036">
        <w:trPr>
          <w:trHeight w:val="315"/>
        </w:trPr>
        <w:tc>
          <w:tcPr>
            <w:tcW w:w="694" w:type="dxa"/>
            <w:tcBorders>
              <w:top w:val="nil"/>
              <w:left w:val="single" w:sz="4" w:space="0" w:color="auto"/>
              <w:bottom w:val="single" w:sz="4" w:space="0" w:color="auto"/>
              <w:right w:val="single" w:sz="4" w:space="0" w:color="auto"/>
            </w:tcBorders>
          </w:tcPr>
          <w:p w14:paraId="03B277A1" w14:textId="77777777" w:rsidR="00123944" w:rsidRPr="00BC7A27" w:rsidRDefault="00123944" w:rsidP="00AF4036">
            <w:pPr>
              <w:jc w:val="both"/>
              <w:rPr>
                <w:color w:val="000000"/>
              </w:rPr>
            </w:pPr>
            <w:r w:rsidRPr="00BC7A27">
              <w:rPr>
                <w:color w:val="000000"/>
              </w:rPr>
              <w:t>24</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0A40538" w14:textId="77777777" w:rsidR="00123944" w:rsidRPr="00BC7A27" w:rsidRDefault="00123944" w:rsidP="00AF4036">
            <w:pPr>
              <w:jc w:val="both"/>
              <w:rPr>
                <w:color w:val="000000"/>
              </w:rPr>
            </w:pPr>
            <w:r w:rsidRPr="00BC7A27">
              <w:rPr>
                <w:color w:val="000000" w:themeColor="text1"/>
              </w:rPr>
              <w:t>Způsob zhotovení svislých konstrukcí</w:t>
            </w:r>
          </w:p>
        </w:tc>
        <w:tc>
          <w:tcPr>
            <w:tcW w:w="680" w:type="dxa"/>
            <w:tcBorders>
              <w:top w:val="nil"/>
              <w:left w:val="nil"/>
              <w:bottom w:val="single" w:sz="4" w:space="0" w:color="auto"/>
              <w:right w:val="single" w:sz="4" w:space="0" w:color="auto"/>
            </w:tcBorders>
            <w:shd w:val="clear" w:color="auto" w:fill="auto"/>
            <w:noWrap/>
            <w:vAlign w:val="bottom"/>
            <w:hideMark/>
          </w:tcPr>
          <w:p w14:paraId="5F693C37"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6337E205" w14:textId="77777777" w:rsidR="00123944" w:rsidRPr="00BC7A27" w:rsidRDefault="00123944" w:rsidP="00AF4036">
            <w:pPr>
              <w:jc w:val="both"/>
              <w:rPr>
                <w:color w:val="000000"/>
              </w:rPr>
            </w:pPr>
            <w:r w:rsidRPr="00BC7A27">
              <w:rPr>
                <w:color w:val="000000"/>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71E6C410" w14:textId="77777777" w:rsidR="00123944" w:rsidRPr="00BC7A27" w:rsidRDefault="00123944" w:rsidP="00AF4036">
            <w:pPr>
              <w:jc w:val="both"/>
              <w:rPr>
                <w:i/>
                <w:iCs/>
                <w:color w:val="000000"/>
              </w:rPr>
            </w:pPr>
            <w:r w:rsidRPr="00BC7A27">
              <w:rPr>
                <w:i/>
                <w:iCs/>
                <w:color w:val="000000" w:themeColor="text1"/>
              </w:rPr>
              <w:t>Číselník příloha č.7</w:t>
            </w:r>
          </w:p>
        </w:tc>
      </w:tr>
      <w:tr w:rsidR="00123944" w14:paraId="1E1CF355" w14:textId="77777777" w:rsidTr="00AF4036">
        <w:trPr>
          <w:trHeight w:val="315"/>
        </w:trPr>
        <w:tc>
          <w:tcPr>
            <w:tcW w:w="694" w:type="dxa"/>
            <w:tcBorders>
              <w:top w:val="nil"/>
              <w:left w:val="single" w:sz="4" w:space="0" w:color="auto"/>
              <w:bottom w:val="single" w:sz="4" w:space="0" w:color="auto"/>
              <w:right w:val="single" w:sz="4" w:space="0" w:color="auto"/>
            </w:tcBorders>
          </w:tcPr>
          <w:p w14:paraId="3F2F39E9" w14:textId="77777777" w:rsidR="00123944" w:rsidRPr="00BC7A27" w:rsidRDefault="00123944" w:rsidP="00AF4036">
            <w:pPr>
              <w:jc w:val="both"/>
              <w:rPr>
                <w:color w:val="000000"/>
              </w:rPr>
            </w:pPr>
            <w:r w:rsidRPr="00BC7A27">
              <w:rPr>
                <w:color w:val="000000"/>
              </w:rPr>
              <w:t>25</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1CD7A29" w14:textId="77777777" w:rsidR="00123944" w:rsidRPr="00BC7A27" w:rsidRDefault="00123944" w:rsidP="00AF4036">
            <w:pPr>
              <w:jc w:val="both"/>
              <w:rPr>
                <w:color w:val="000000"/>
              </w:rPr>
            </w:pPr>
            <w:r w:rsidRPr="00BC7A27">
              <w:rPr>
                <w:color w:val="000000"/>
              </w:rPr>
              <w:t>Materiál svislých konstrukcí</w:t>
            </w:r>
          </w:p>
        </w:tc>
        <w:tc>
          <w:tcPr>
            <w:tcW w:w="680" w:type="dxa"/>
            <w:tcBorders>
              <w:top w:val="nil"/>
              <w:left w:val="nil"/>
              <w:bottom w:val="single" w:sz="4" w:space="0" w:color="auto"/>
              <w:right w:val="single" w:sz="4" w:space="0" w:color="auto"/>
            </w:tcBorders>
            <w:shd w:val="clear" w:color="auto" w:fill="auto"/>
            <w:noWrap/>
            <w:vAlign w:val="bottom"/>
            <w:hideMark/>
          </w:tcPr>
          <w:p w14:paraId="12D43A8F"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72D7343F" w14:textId="77777777" w:rsidR="00123944" w:rsidRPr="00BC7A27" w:rsidRDefault="00123944" w:rsidP="00AF4036">
            <w:pPr>
              <w:jc w:val="both"/>
              <w:rPr>
                <w:color w:val="000000"/>
              </w:rPr>
            </w:pPr>
            <w:r w:rsidRPr="00BC7A27">
              <w:rPr>
                <w:color w:val="000000"/>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44FC4CD9" w14:textId="77777777" w:rsidR="00123944" w:rsidRPr="00BC7A27" w:rsidRDefault="00123944" w:rsidP="00AF4036">
            <w:pPr>
              <w:jc w:val="both"/>
              <w:rPr>
                <w:i/>
                <w:iCs/>
                <w:color w:val="000000"/>
              </w:rPr>
            </w:pPr>
            <w:r w:rsidRPr="00BC7A27">
              <w:rPr>
                <w:i/>
                <w:iCs/>
                <w:color w:val="000000" w:themeColor="text1"/>
              </w:rPr>
              <w:t>Číselník příloha č.7</w:t>
            </w:r>
          </w:p>
        </w:tc>
      </w:tr>
      <w:tr w:rsidR="00123944" w14:paraId="55C093C6" w14:textId="77777777" w:rsidTr="00AF4036">
        <w:trPr>
          <w:trHeight w:val="315"/>
        </w:trPr>
        <w:tc>
          <w:tcPr>
            <w:tcW w:w="694" w:type="dxa"/>
            <w:tcBorders>
              <w:top w:val="nil"/>
              <w:left w:val="single" w:sz="4" w:space="0" w:color="auto"/>
              <w:bottom w:val="single" w:sz="4" w:space="0" w:color="auto"/>
              <w:right w:val="single" w:sz="4" w:space="0" w:color="auto"/>
            </w:tcBorders>
          </w:tcPr>
          <w:p w14:paraId="57AFB6D4" w14:textId="77777777" w:rsidR="00123944" w:rsidRPr="00BC7A27" w:rsidRDefault="00123944" w:rsidP="00AF4036">
            <w:pPr>
              <w:jc w:val="both"/>
              <w:rPr>
                <w:color w:val="000000"/>
              </w:rPr>
            </w:pPr>
            <w:r w:rsidRPr="00BC7A27">
              <w:rPr>
                <w:color w:val="000000"/>
              </w:rPr>
              <w:t>26</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B05D0A4" w14:textId="77777777" w:rsidR="00123944" w:rsidRPr="00BC7A27" w:rsidRDefault="00123944" w:rsidP="00AF4036">
            <w:pPr>
              <w:jc w:val="both"/>
              <w:rPr>
                <w:color w:val="000000"/>
              </w:rPr>
            </w:pPr>
            <w:r w:rsidRPr="00BC7A27">
              <w:rPr>
                <w:color w:val="000000"/>
              </w:rPr>
              <w:t>Způsob vytápění</w:t>
            </w:r>
          </w:p>
        </w:tc>
        <w:tc>
          <w:tcPr>
            <w:tcW w:w="680" w:type="dxa"/>
            <w:tcBorders>
              <w:top w:val="nil"/>
              <w:left w:val="nil"/>
              <w:bottom w:val="single" w:sz="4" w:space="0" w:color="auto"/>
              <w:right w:val="single" w:sz="4" w:space="0" w:color="auto"/>
            </w:tcBorders>
            <w:shd w:val="clear" w:color="auto" w:fill="auto"/>
            <w:noWrap/>
            <w:vAlign w:val="bottom"/>
            <w:hideMark/>
          </w:tcPr>
          <w:p w14:paraId="7921CD16"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20C5B6F6" w14:textId="77777777" w:rsidR="00123944" w:rsidRPr="00BC7A27" w:rsidRDefault="00123944" w:rsidP="00AF4036">
            <w:pPr>
              <w:jc w:val="both"/>
              <w:rPr>
                <w:color w:val="000000"/>
              </w:rPr>
            </w:pPr>
            <w:r w:rsidRPr="00BC7A27">
              <w:rPr>
                <w:color w:val="000000"/>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5C08B97B" w14:textId="77777777" w:rsidR="00123944" w:rsidRPr="00BC7A27" w:rsidRDefault="00123944" w:rsidP="00AF4036">
            <w:pPr>
              <w:jc w:val="both"/>
              <w:rPr>
                <w:i/>
                <w:iCs/>
                <w:color w:val="000000"/>
              </w:rPr>
            </w:pPr>
            <w:r w:rsidRPr="00BC7A27">
              <w:rPr>
                <w:i/>
                <w:iCs/>
                <w:color w:val="000000" w:themeColor="text1"/>
              </w:rPr>
              <w:t>Číselník příloha č.7</w:t>
            </w:r>
          </w:p>
        </w:tc>
      </w:tr>
      <w:tr w:rsidR="00123944" w14:paraId="299661F8" w14:textId="77777777" w:rsidTr="00AF4036">
        <w:trPr>
          <w:trHeight w:val="315"/>
        </w:trPr>
        <w:tc>
          <w:tcPr>
            <w:tcW w:w="694" w:type="dxa"/>
            <w:tcBorders>
              <w:top w:val="nil"/>
              <w:left w:val="single" w:sz="4" w:space="0" w:color="auto"/>
              <w:bottom w:val="single" w:sz="4" w:space="0" w:color="auto"/>
              <w:right w:val="single" w:sz="4" w:space="0" w:color="auto"/>
            </w:tcBorders>
          </w:tcPr>
          <w:p w14:paraId="57F208F1" w14:textId="77777777" w:rsidR="00123944" w:rsidRPr="00BC7A27" w:rsidRDefault="00123944" w:rsidP="00AF4036">
            <w:pPr>
              <w:jc w:val="both"/>
              <w:rPr>
                <w:color w:val="000000"/>
              </w:rPr>
            </w:pPr>
            <w:r w:rsidRPr="00BC7A27">
              <w:rPr>
                <w:color w:val="000000"/>
              </w:rPr>
              <w:t>27</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B4DE29C" w14:textId="77777777" w:rsidR="00123944" w:rsidRPr="00BC7A27" w:rsidRDefault="00123944" w:rsidP="00AF4036">
            <w:pPr>
              <w:jc w:val="both"/>
              <w:rPr>
                <w:color w:val="000000"/>
              </w:rPr>
            </w:pPr>
            <w:r w:rsidRPr="00BC7A27">
              <w:rPr>
                <w:color w:val="000000"/>
              </w:rPr>
              <w:t>Materiál vytápění</w:t>
            </w:r>
          </w:p>
        </w:tc>
        <w:tc>
          <w:tcPr>
            <w:tcW w:w="680" w:type="dxa"/>
            <w:tcBorders>
              <w:top w:val="nil"/>
              <w:left w:val="nil"/>
              <w:bottom w:val="single" w:sz="4" w:space="0" w:color="auto"/>
              <w:right w:val="single" w:sz="4" w:space="0" w:color="auto"/>
            </w:tcBorders>
            <w:shd w:val="clear" w:color="auto" w:fill="auto"/>
            <w:noWrap/>
            <w:vAlign w:val="bottom"/>
            <w:hideMark/>
          </w:tcPr>
          <w:p w14:paraId="75FB6B70"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49558FC3" w14:textId="77777777" w:rsidR="00123944" w:rsidRPr="00BC7A27" w:rsidRDefault="00123944" w:rsidP="00AF4036">
            <w:pPr>
              <w:jc w:val="both"/>
              <w:rPr>
                <w:color w:val="000000"/>
              </w:rPr>
            </w:pPr>
            <w:r w:rsidRPr="00BC7A27">
              <w:rPr>
                <w:color w:val="000000"/>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72791137" w14:textId="77777777" w:rsidR="00123944" w:rsidRPr="00BC7A27" w:rsidRDefault="00123944" w:rsidP="00AF4036">
            <w:pPr>
              <w:jc w:val="both"/>
              <w:rPr>
                <w:i/>
                <w:iCs/>
                <w:color w:val="000000"/>
              </w:rPr>
            </w:pPr>
            <w:r w:rsidRPr="00BC7A27">
              <w:rPr>
                <w:i/>
                <w:iCs/>
                <w:color w:val="000000" w:themeColor="text1"/>
              </w:rPr>
              <w:t>Číselník příloha č.7</w:t>
            </w:r>
          </w:p>
        </w:tc>
      </w:tr>
      <w:tr w:rsidR="00123944" w14:paraId="6152C6BA" w14:textId="77777777" w:rsidTr="00AF4036">
        <w:trPr>
          <w:trHeight w:val="315"/>
        </w:trPr>
        <w:tc>
          <w:tcPr>
            <w:tcW w:w="694" w:type="dxa"/>
            <w:tcBorders>
              <w:top w:val="nil"/>
              <w:left w:val="single" w:sz="4" w:space="0" w:color="auto"/>
              <w:bottom w:val="single" w:sz="4" w:space="0" w:color="auto"/>
              <w:right w:val="single" w:sz="4" w:space="0" w:color="auto"/>
            </w:tcBorders>
          </w:tcPr>
          <w:p w14:paraId="09392BA8" w14:textId="77777777" w:rsidR="00123944" w:rsidRPr="00BC7A27" w:rsidRDefault="00123944" w:rsidP="00AF4036">
            <w:pPr>
              <w:jc w:val="both"/>
              <w:rPr>
                <w:color w:val="000000"/>
              </w:rPr>
            </w:pPr>
            <w:r w:rsidRPr="00BC7A27">
              <w:rPr>
                <w:color w:val="000000"/>
              </w:rPr>
              <w:t>28</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14C8739" w14:textId="77777777" w:rsidR="00123944" w:rsidRPr="00BC7A27" w:rsidRDefault="00123944" w:rsidP="00AF4036">
            <w:pPr>
              <w:jc w:val="both"/>
              <w:rPr>
                <w:color w:val="000000"/>
              </w:rPr>
            </w:pPr>
            <w:r w:rsidRPr="00BC7A27">
              <w:rPr>
                <w:color w:val="000000"/>
              </w:rPr>
              <w:t>Zdroj vody</w:t>
            </w:r>
          </w:p>
        </w:tc>
        <w:tc>
          <w:tcPr>
            <w:tcW w:w="680" w:type="dxa"/>
            <w:tcBorders>
              <w:top w:val="nil"/>
              <w:left w:val="nil"/>
              <w:bottom w:val="single" w:sz="4" w:space="0" w:color="auto"/>
              <w:right w:val="single" w:sz="4" w:space="0" w:color="auto"/>
            </w:tcBorders>
            <w:shd w:val="clear" w:color="auto" w:fill="auto"/>
            <w:noWrap/>
            <w:vAlign w:val="bottom"/>
            <w:hideMark/>
          </w:tcPr>
          <w:p w14:paraId="1FEC8295"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4F5A3EC2" w14:textId="77777777" w:rsidR="00123944" w:rsidRPr="00BC7A27" w:rsidRDefault="00123944" w:rsidP="00AF4036">
            <w:pPr>
              <w:jc w:val="both"/>
              <w:rPr>
                <w:color w:val="000000"/>
              </w:rPr>
            </w:pPr>
            <w:r w:rsidRPr="00BC7A27">
              <w:rPr>
                <w:color w:val="000000"/>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54266DE5" w14:textId="77777777" w:rsidR="00123944" w:rsidRPr="00BC7A27" w:rsidRDefault="00123944" w:rsidP="00AF4036">
            <w:pPr>
              <w:jc w:val="both"/>
              <w:rPr>
                <w:i/>
                <w:iCs/>
                <w:color w:val="000000"/>
              </w:rPr>
            </w:pPr>
            <w:r w:rsidRPr="00BC7A27">
              <w:rPr>
                <w:i/>
                <w:iCs/>
                <w:color w:val="000000" w:themeColor="text1"/>
              </w:rPr>
              <w:t>Číselník příloha č.7</w:t>
            </w:r>
          </w:p>
        </w:tc>
      </w:tr>
      <w:tr w:rsidR="00123944" w14:paraId="7341B296" w14:textId="77777777" w:rsidTr="00AF4036">
        <w:trPr>
          <w:trHeight w:val="315"/>
        </w:trPr>
        <w:tc>
          <w:tcPr>
            <w:tcW w:w="694" w:type="dxa"/>
            <w:tcBorders>
              <w:top w:val="nil"/>
              <w:left w:val="single" w:sz="4" w:space="0" w:color="auto"/>
              <w:bottom w:val="single" w:sz="4" w:space="0" w:color="auto"/>
              <w:right w:val="single" w:sz="4" w:space="0" w:color="auto"/>
            </w:tcBorders>
          </w:tcPr>
          <w:p w14:paraId="3F9EB3EC" w14:textId="77777777" w:rsidR="00123944" w:rsidRPr="00BC7A27" w:rsidRDefault="00123944" w:rsidP="00AF4036">
            <w:pPr>
              <w:jc w:val="both"/>
              <w:rPr>
                <w:color w:val="000000"/>
              </w:rPr>
            </w:pPr>
            <w:r w:rsidRPr="00BC7A27">
              <w:rPr>
                <w:color w:val="000000"/>
              </w:rPr>
              <w:t>29</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6694338" w14:textId="77777777" w:rsidR="00123944" w:rsidRPr="00BC7A27" w:rsidRDefault="00123944" w:rsidP="00AF4036">
            <w:pPr>
              <w:jc w:val="both"/>
              <w:rPr>
                <w:color w:val="000000"/>
              </w:rPr>
            </w:pPr>
            <w:r w:rsidRPr="00BC7A27">
              <w:rPr>
                <w:color w:val="000000"/>
              </w:rPr>
              <w:t>Nakládání s odpadními vodami</w:t>
            </w:r>
          </w:p>
        </w:tc>
        <w:tc>
          <w:tcPr>
            <w:tcW w:w="680" w:type="dxa"/>
            <w:tcBorders>
              <w:top w:val="nil"/>
              <w:left w:val="nil"/>
              <w:bottom w:val="single" w:sz="4" w:space="0" w:color="auto"/>
              <w:right w:val="single" w:sz="4" w:space="0" w:color="auto"/>
            </w:tcBorders>
            <w:shd w:val="clear" w:color="auto" w:fill="auto"/>
            <w:noWrap/>
            <w:vAlign w:val="bottom"/>
            <w:hideMark/>
          </w:tcPr>
          <w:p w14:paraId="4F44970E"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1563DA84" w14:textId="77777777" w:rsidR="00123944" w:rsidRPr="00BC7A27" w:rsidRDefault="00123944" w:rsidP="00AF4036">
            <w:pPr>
              <w:jc w:val="both"/>
              <w:rPr>
                <w:color w:val="000000"/>
              </w:rPr>
            </w:pPr>
            <w:r w:rsidRPr="00BC7A27">
              <w:rPr>
                <w:color w:val="000000"/>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32C2B90B" w14:textId="77777777" w:rsidR="00123944" w:rsidRPr="00BC7A27" w:rsidRDefault="00123944" w:rsidP="00AF4036">
            <w:pPr>
              <w:jc w:val="both"/>
              <w:rPr>
                <w:i/>
                <w:iCs/>
                <w:color w:val="000000"/>
              </w:rPr>
            </w:pPr>
            <w:r w:rsidRPr="00BC7A27">
              <w:rPr>
                <w:i/>
                <w:iCs/>
                <w:color w:val="000000" w:themeColor="text1"/>
              </w:rPr>
              <w:t>Číselník příloha č.7</w:t>
            </w:r>
          </w:p>
        </w:tc>
      </w:tr>
      <w:tr w:rsidR="00123944" w14:paraId="5EEB0C82" w14:textId="77777777" w:rsidTr="00AF4036">
        <w:trPr>
          <w:trHeight w:val="315"/>
        </w:trPr>
        <w:tc>
          <w:tcPr>
            <w:tcW w:w="694" w:type="dxa"/>
            <w:tcBorders>
              <w:top w:val="nil"/>
              <w:left w:val="single" w:sz="4" w:space="0" w:color="auto"/>
              <w:bottom w:val="single" w:sz="4" w:space="0" w:color="auto"/>
              <w:right w:val="single" w:sz="4" w:space="0" w:color="auto"/>
            </w:tcBorders>
          </w:tcPr>
          <w:p w14:paraId="3A6D0B4B" w14:textId="77777777" w:rsidR="00123944" w:rsidRPr="00BC7A27" w:rsidRDefault="00123944" w:rsidP="00AF4036">
            <w:pPr>
              <w:jc w:val="both"/>
              <w:rPr>
                <w:color w:val="000000"/>
              </w:rPr>
            </w:pPr>
            <w:r w:rsidRPr="00BC7A27">
              <w:rPr>
                <w:color w:val="000000"/>
              </w:rPr>
              <w:t>30</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4571E2E" w14:textId="77777777" w:rsidR="00123944" w:rsidRPr="00BC7A27" w:rsidRDefault="00123944" w:rsidP="00AF4036">
            <w:pPr>
              <w:jc w:val="both"/>
              <w:rPr>
                <w:color w:val="000000"/>
              </w:rPr>
            </w:pPr>
            <w:r w:rsidRPr="00BC7A27">
              <w:rPr>
                <w:color w:val="000000"/>
              </w:rPr>
              <w:t>Zdroj plynu</w:t>
            </w:r>
          </w:p>
        </w:tc>
        <w:tc>
          <w:tcPr>
            <w:tcW w:w="680" w:type="dxa"/>
            <w:tcBorders>
              <w:top w:val="nil"/>
              <w:left w:val="nil"/>
              <w:bottom w:val="single" w:sz="4" w:space="0" w:color="auto"/>
              <w:right w:val="single" w:sz="4" w:space="0" w:color="auto"/>
            </w:tcBorders>
            <w:shd w:val="clear" w:color="auto" w:fill="auto"/>
            <w:noWrap/>
            <w:vAlign w:val="bottom"/>
            <w:hideMark/>
          </w:tcPr>
          <w:p w14:paraId="1D2D8DB3"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77A1CE56" w14:textId="77777777" w:rsidR="00123944" w:rsidRPr="00BC7A27" w:rsidRDefault="00123944" w:rsidP="00AF4036">
            <w:pPr>
              <w:jc w:val="both"/>
              <w:rPr>
                <w:color w:val="000000"/>
              </w:rPr>
            </w:pPr>
            <w:r w:rsidRPr="00BC7A27">
              <w:rPr>
                <w:color w:val="000000"/>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1575AFEE" w14:textId="77777777" w:rsidR="00123944" w:rsidRPr="00BC7A27" w:rsidRDefault="00123944" w:rsidP="00AF4036">
            <w:pPr>
              <w:jc w:val="both"/>
              <w:rPr>
                <w:i/>
                <w:iCs/>
                <w:color w:val="000000"/>
              </w:rPr>
            </w:pPr>
            <w:r w:rsidRPr="00BC7A27">
              <w:rPr>
                <w:i/>
                <w:iCs/>
                <w:color w:val="000000" w:themeColor="text1"/>
              </w:rPr>
              <w:t>Číselník příloha č.7</w:t>
            </w:r>
          </w:p>
        </w:tc>
      </w:tr>
      <w:tr w:rsidR="00123944" w14:paraId="325818BA" w14:textId="77777777" w:rsidTr="00AF4036">
        <w:trPr>
          <w:trHeight w:val="315"/>
        </w:trPr>
        <w:tc>
          <w:tcPr>
            <w:tcW w:w="694" w:type="dxa"/>
            <w:tcBorders>
              <w:top w:val="nil"/>
              <w:left w:val="single" w:sz="4" w:space="0" w:color="auto"/>
              <w:bottom w:val="single" w:sz="4" w:space="0" w:color="auto"/>
              <w:right w:val="single" w:sz="4" w:space="0" w:color="auto"/>
            </w:tcBorders>
          </w:tcPr>
          <w:p w14:paraId="7A4BC944" w14:textId="77777777" w:rsidR="00123944" w:rsidRPr="00BC7A27" w:rsidRDefault="00123944" w:rsidP="00AF4036">
            <w:pPr>
              <w:jc w:val="both"/>
              <w:rPr>
                <w:color w:val="000000"/>
              </w:rPr>
            </w:pPr>
            <w:r w:rsidRPr="00BC7A27">
              <w:rPr>
                <w:color w:val="000000"/>
              </w:rPr>
              <w:t>31</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8752113" w14:textId="77777777" w:rsidR="00123944" w:rsidRPr="00BC7A27" w:rsidRDefault="00123944" w:rsidP="00AF4036">
            <w:pPr>
              <w:jc w:val="both"/>
              <w:rPr>
                <w:color w:val="000000"/>
              </w:rPr>
            </w:pPr>
            <w:r w:rsidRPr="00BC7A27">
              <w:rPr>
                <w:color w:val="000000" w:themeColor="text1"/>
              </w:rPr>
              <w:t>Zdroj elektrické energie</w:t>
            </w:r>
          </w:p>
        </w:tc>
        <w:tc>
          <w:tcPr>
            <w:tcW w:w="680" w:type="dxa"/>
            <w:tcBorders>
              <w:top w:val="nil"/>
              <w:left w:val="nil"/>
              <w:bottom w:val="single" w:sz="4" w:space="0" w:color="auto"/>
              <w:right w:val="single" w:sz="4" w:space="0" w:color="auto"/>
            </w:tcBorders>
            <w:shd w:val="clear" w:color="auto" w:fill="auto"/>
            <w:noWrap/>
            <w:vAlign w:val="bottom"/>
            <w:hideMark/>
          </w:tcPr>
          <w:p w14:paraId="5082BAFB"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424C0A4C" w14:textId="77777777" w:rsidR="00123944" w:rsidRPr="00BC7A27" w:rsidRDefault="00123944" w:rsidP="00AF4036">
            <w:pPr>
              <w:jc w:val="both"/>
              <w:rPr>
                <w:color w:val="000000"/>
              </w:rPr>
            </w:pPr>
            <w:r w:rsidRPr="00BC7A27">
              <w:rPr>
                <w:color w:val="000000"/>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7A33DAA6" w14:textId="77777777" w:rsidR="00123944" w:rsidRPr="00BC7A27" w:rsidRDefault="00123944" w:rsidP="00AF4036">
            <w:pPr>
              <w:jc w:val="both"/>
              <w:rPr>
                <w:i/>
                <w:iCs/>
                <w:color w:val="000000"/>
              </w:rPr>
            </w:pPr>
            <w:r w:rsidRPr="00BC7A27">
              <w:rPr>
                <w:i/>
                <w:iCs/>
                <w:color w:val="000000" w:themeColor="text1"/>
              </w:rPr>
              <w:t>Číselník příloha č.7</w:t>
            </w:r>
          </w:p>
        </w:tc>
      </w:tr>
      <w:tr w:rsidR="00123944" w14:paraId="31012DA7" w14:textId="77777777" w:rsidTr="00AF4036">
        <w:trPr>
          <w:trHeight w:val="315"/>
        </w:trPr>
        <w:tc>
          <w:tcPr>
            <w:tcW w:w="694" w:type="dxa"/>
            <w:tcBorders>
              <w:top w:val="nil"/>
              <w:left w:val="single" w:sz="4" w:space="0" w:color="auto"/>
              <w:bottom w:val="single" w:sz="4" w:space="0" w:color="auto"/>
              <w:right w:val="single" w:sz="4" w:space="0" w:color="auto"/>
            </w:tcBorders>
          </w:tcPr>
          <w:p w14:paraId="78B96C29" w14:textId="77777777" w:rsidR="00123944" w:rsidRPr="00BC7A27" w:rsidRDefault="00123944" w:rsidP="00AF4036">
            <w:pPr>
              <w:jc w:val="both"/>
              <w:rPr>
                <w:color w:val="000000"/>
              </w:rPr>
            </w:pPr>
            <w:r w:rsidRPr="00BC7A27">
              <w:rPr>
                <w:color w:val="000000"/>
              </w:rPr>
              <w:t>32</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C7763DE" w14:textId="77777777" w:rsidR="00123944" w:rsidRPr="00BC7A27" w:rsidRDefault="00123944" w:rsidP="00AF4036">
            <w:pPr>
              <w:jc w:val="both"/>
              <w:rPr>
                <w:color w:val="000000"/>
              </w:rPr>
            </w:pPr>
            <w:r w:rsidRPr="00BC7A27">
              <w:rPr>
                <w:color w:val="000000"/>
              </w:rPr>
              <w:t>Datová konektivita a sítě</w:t>
            </w:r>
          </w:p>
        </w:tc>
        <w:tc>
          <w:tcPr>
            <w:tcW w:w="680" w:type="dxa"/>
            <w:tcBorders>
              <w:top w:val="nil"/>
              <w:left w:val="nil"/>
              <w:bottom w:val="single" w:sz="4" w:space="0" w:color="auto"/>
              <w:right w:val="single" w:sz="4" w:space="0" w:color="auto"/>
            </w:tcBorders>
            <w:shd w:val="clear" w:color="auto" w:fill="auto"/>
            <w:noWrap/>
            <w:vAlign w:val="bottom"/>
            <w:hideMark/>
          </w:tcPr>
          <w:p w14:paraId="0B3F28F9"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11138C89" w14:textId="77777777" w:rsidR="00123944" w:rsidRPr="00BC7A27" w:rsidRDefault="00123944" w:rsidP="00AF4036">
            <w:pPr>
              <w:jc w:val="both"/>
              <w:rPr>
                <w:color w:val="000000"/>
              </w:rPr>
            </w:pPr>
            <w:r w:rsidRPr="00BC7A27">
              <w:rPr>
                <w:color w:val="000000"/>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36032076" w14:textId="77777777" w:rsidR="00123944" w:rsidRPr="00BC7A27" w:rsidRDefault="00123944" w:rsidP="00AF4036">
            <w:pPr>
              <w:jc w:val="both"/>
              <w:rPr>
                <w:i/>
                <w:iCs/>
                <w:color w:val="000000"/>
              </w:rPr>
            </w:pPr>
            <w:r w:rsidRPr="00BC7A27">
              <w:rPr>
                <w:i/>
                <w:iCs/>
                <w:color w:val="000000" w:themeColor="text1"/>
              </w:rPr>
              <w:t>Číselník příloha č.7</w:t>
            </w:r>
          </w:p>
        </w:tc>
      </w:tr>
      <w:tr w:rsidR="00123944" w14:paraId="051ED84E" w14:textId="77777777" w:rsidTr="00AF4036">
        <w:trPr>
          <w:trHeight w:val="315"/>
        </w:trPr>
        <w:tc>
          <w:tcPr>
            <w:tcW w:w="694" w:type="dxa"/>
            <w:tcBorders>
              <w:top w:val="nil"/>
              <w:left w:val="single" w:sz="4" w:space="0" w:color="auto"/>
              <w:bottom w:val="single" w:sz="4" w:space="0" w:color="auto"/>
              <w:right w:val="single" w:sz="4" w:space="0" w:color="auto"/>
            </w:tcBorders>
          </w:tcPr>
          <w:p w14:paraId="154130E5" w14:textId="77777777" w:rsidR="00123944" w:rsidRPr="00BC7A27" w:rsidRDefault="00123944" w:rsidP="00AF4036">
            <w:pPr>
              <w:jc w:val="both"/>
              <w:rPr>
                <w:color w:val="000000"/>
              </w:rPr>
            </w:pPr>
            <w:r w:rsidRPr="00BC7A27">
              <w:rPr>
                <w:color w:val="000000"/>
              </w:rPr>
              <w:t>33</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0FD70C6" w14:textId="77777777" w:rsidR="00123944" w:rsidRPr="00BC7A27" w:rsidRDefault="00123944" w:rsidP="00AF4036">
            <w:pPr>
              <w:jc w:val="both"/>
              <w:rPr>
                <w:color w:val="000000"/>
              </w:rPr>
            </w:pPr>
            <w:r w:rsidRPr="00BC7A27">
              <w:rPr>
                <w:color w:val="000000"/>
              </w:rPr>
              <w:t>Vybavení výtahem</w:t>
            </w:r>
          </w:p>
        </w:tc>
        <w:tc>
          <w:tcPr>
            <w:tcW w:w="680" w:type="dxa"/>
            <w:tcBorders>
              <w:top w:val="nil"/>
              <w:left w:val="nil"/>
              <w:bottom w:val="single" w:sz="4" w:space="0" w:color="auto"/>
              <w:right w:val="single" w:sz="4" w:space="0" w:color="auto"/>
            </w:tcBorders>
            <w:shd w:val="clear" w:color="auto" w:fill="auto"/>
            <w:noWrap/>
            <w:vAlign w:val="bottom"/>
            <w:hideMark/>
          </w:tcPr>
          <w:p w14:paraId="15DC1C85"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383EE3D3" w14:textId="77777777" w:rsidR="00123944" w:rsidRPr="00BC7A27" w:rsidRDefault="00123944" w:rsidP="00AF4036">
            <w:pPr>
              <w:jc w:val="both"/>
              <w:rPr>
                <w:color w:val="000000"/>
              </w:rPr>
            </w:pPr>
            <w:r w:rsidRPr="00BC7A27">
              <w:rPr>
                <w:color w:val="000000"/>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5FB6DBE5" w14:textId="77777777" w:rsidR="00123944" w:rsidRPr="00BC7A27" w:rsidRDefault="00123944" w:rsidP="00AF4036">
            <w:pPr>
              <w:jc w:val="both"/>
              <w:rPr>
                <w:i/>
                <w:iCs/>
                <w:color w:val="000000"/>
              </w:rPr>
            </w:pPr>
            <w:r w:rsidRPr="00BC7A27">
              <w:rPr>
                <w:i/>
                <w:iCs/>
                <w:color w:val="000000" w:themeColor="text1"/>
              </w:rPr>
              <w:t>Číselník příloha č.7</w:t>
            </w:r>
          </w:p>
        </w:tc>
      </w:tr>
      <w:tr w:rsidR="00123944" w14:paraId="65E0F16D" w14:textId="77777777" w:rsidTr="00AF4036">
        <w:trPr>
          <w:trHeight w:val="315"/>
        </w:trPr>
        <w:tc>
          <w:tcPr>
            <w:tcW w:w="694" w:type="dxa"/>
            <w:tcBorders>
              <w:top w:val="nil"/>
              <w:left w:val="single" w:sz="4" w:space="0" w:color="auto"/>
              <w:bottom w:val="single" w:sz="4" w:space="0" w:color="auto"/>
              <w:right w:val="single" w:sz="4" w:space="0" w:color="auto"/>
            </w:tcBorders>
          </w:tcPr>
          <w:p w14:paraId="0B5CE255" w14:textId="77777777" w:rsidR="00123944" w:rsidRPr="00BC7A27" w:rsidRDefault="00123944" w:rsidP="00AF4036">
            <w:pPr>
              <w:jc w:val="both"/>
              <w:rPr>
                <w:color w:val="000000"/>
              </w:rPr>
            </w:pPr>
            <w:r w:rsidRPr="00BC7A27">
              <w:rPr>
                <w:color w:val="000000"/>
              </w:rPr>
              <w:t>34</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563A0FD" w14:textId="77777777" w:rsidR="00123944" w:rsidRPr="00BC7A27" w:rsidRDefault="00123944" w:rsidP="00AF4036">
            <w:pPr>
              <w:jc w:val="both"/>
              <w:rPr>
                <w:color w:val="000000"/>
              </w:rPr>
            </w:pPr>
            <w:r w:rsidRPr="00BC7A27">
              <w:rPr>
                <w:color w:val="000000"/>
              </w:rPr>
              <w:t>Ochrana</w:t>
            </w:r>
          </w:p>
        </w:tc>
        <w:tc>
          <w:tcPr>
            <w:tcW w:w="680" w:type="dxa"/>
            <w:tcBorders>
              <w:top w:val="nil"/>
              <w:left w:val="nil"/>
              <w:bottom w:val="single" w:sz="4" w:space="0" w:color="auto"/>
              <w:right w:val="single" w:sz="4" w:space="0" w:color="auto"/>
            </w:tcBorders>
            <w:shd w:val="clear" w:color="auto" w:fill="auto"/>
            <w:noWrap/>
            <w:vAlign w:val="bottom"/>
            <w:hideMark/>
          </w:tcPr>
          <w:p w14:paraId="5A23AFAC" w14:textId="77777777" w:rsidR="00123944" w:rsidRPr="00BC7A27" w:rsidRDefault="00123944" w:rsidP="00AF4036">
            <w:pPr>
              <w:jc w:val="both"/>
              <w:rPr>
                <w:color w:val="000000"/>
              </w:rPr>
            </w:pPr>
            <w:r w:rsidRPr="00BC7A27">
              <w:rPr>
                <w:color w:val="000000"/>
              </w:rPr>
              <w:t>-</w:t>
            </w:r>
          </w:p>
        </w:tc>
        <w:tc>
          <w:tcPr>
            <w:tcW w:w="1420" w:type="dxa"/>
            <w:tcBorders>
              <w:top w:val="nil"/>
              <w:left w:val="nil"/>
              <w:bottom w:val="single" w:sz="4" w:space="0" w:color="auto"/>
              <w:right w:val="single" w:sz="4" w:space="0" w:color="auto"/>
            </w:tcBorders>
            <w:shd w:val="clear" w:color="auto" w:fill="auto"/>
            <w:noWrap/>
            <w:vAlign w:val="bottom"/>
            <w:hideMark/>
          </w:tcPr>
          <w:p w14:paraId="2617484E" w14:textId="77777777" w:rsidR="00123944" w:rsidRPr="00BC7A27" w:rsidRDefault="00123944" w:rsidP="00AF4036">
            <w:pPr>
              <w:jc w:val="both"/>
              <w:rPr>
                <w:color w:val="000000"/>
              </w:rPr>
            </w:pPr>
            <w:r w:rsidRPr="00BC7A27">
              <w:rPr>
                <w:color w:val="000000" w:themeColor="text1"/>
              </w:rPr>
              <w:t>číselník</w:t>
            </w:r>
          </w:p>
        </w:tc>
        <w:tc>
          <w:tcPr>
            <w:tcW w:w="3013" w:type="dxa"/>
            <w:tcBorders>
              <w:top w:val="nil"/>
              <w:left w:val="nil"/>
              <w:bottom w:val="single" w:sz="4" w:space="0" w:color="auto"/>
              <w:right w:val="single" w:sz="4" w:space="0" w:color="auto"/>
            </w:tcBorders>
            <w:shd w:val="clear" w:color="auto" w:fill="auto"/>
            <w:vAlign w:val="bottom"/>
            <w:hideMark/>
          </w:tcPr>
          <w:p w14:paraId="663DA49C" w14:textId="77777777" w:rsidR="00123944" w:rsidRPr="00BC7A27" w:rsidRDefault="00123944" w:rsidP="00AF4036">
            <w:pPr>
              <w:jc w:val="both"/>
              <w:rPr>
                <w:i/>
                <w:iCs/>
                <w:color w:val="000000"/>
              </w:rPr>
            </w:pPr>
            <w:r w:rsidRPr="00BC7A27">
              <w:rPr>
                <w:i/>
                <w:iCs/>
                <w:color w:val="000000" w:themeColor="text1"/>
              </w:rPr>
              <w:t>Číselník příloha č.7</w:t>
            </w:r>
          </w:p>
        </w:tc>
      </w:tr>
      <w:tr w:rsidR="00123944" w14:paraId="1FA0592C" w14:textId="77777777" w:rsidTr="00AF4036">
        <w:trPr>
          <w:trHeight w:val="315"/>
        </w:trPr>
        <w:tc>
          <w:tcPr>
            <w:tcW w:w="694" w:type="dxa"/>
            <w:tcBorders>
              <w:top w:val="nil"/>
              <w:left w:val="single" w:sz="4" w:space="0" w:color="auto"/>
              <w:bottom w:val="single" w:sz="4" w:space="0" w:color="auto"/>
              <w:right w:val="single" w:sz="4" w:space="0" w:color="auto"/>
            </w:tcBorders>
          </w:tcPr>
          <w:p w14:paraId="019ACD00" w14:textId="77777777" w:rsidR="00123944" w:rsidRPr="00BC7A27" w:rsidRDefault="00123944" w:rsidP="00AF4036">
            <w:pPr>
              <w:jc w:val="both"/>
              <w:rPr>
                <w:color w:val="000000"/>
              </w:rPr>
            </w:pPr>
            <w:r w:rsidRPr="00BC7A27">
              <w:rPr>
                <w:color w:val="000000"/>
              </w:rPr>
              <w:t>35</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AB729C8" w14:textId="77777777" w:rsidR="00123944" w:rsidRPr="00BC7A27" w:rsidRDefault="00123944" w:rsidP="00AF4036">
            <w:pPr>
              <w:jc w:val="both"/>
              <w:rPr>
                <w:color w:val="000000"/>
              </w:rPr>
            </w:pPr>
            <w:r w:rsidRPr="00BC7A27">
              <w:rPr>
                <w:color w:val="000000" w:themeColor="text1"/>
              </w:rPr>
              <w:t>Celkový instalovaný výkon výroby elektrické energie</w:t>
            </w:r>
          </w:p>
        </w:tc>
        <w:tc>
          <w:tcPr>
            <w:tcW w:w="680" w:type="dxa"/>
            <w:tcBorders>
              <w:top w:val="nil"/>
              <w:left w:val="nil"/>
              <w:bottom w:val="single" w:sz="4" w:space="0" w:color="auto"/>
              <w:right w:val="single" w:sz="4" w:space="0" w:color="auto"/>
            </w:tcBorders>
            <w:shd w:val="clear" w:color="auto" w:fill="auto"/>
            <w:noWrap/>
            <w:vAlign w:val="bottom"/>
            <w:hideMark/>
          </w:tcPr>
          <w:p w14:paraId="4FCA9AA6" w14:textId="77777777" w:rsidR="00123944" w:rsidRPr="00BC7A27" w:rsidRDefault="00123944" w:rsidP="00AF4036">
            <w:pPr>
              <w:jc w:val="both"/>
              <w:rPr>
                <w:color w:val="000000"/>
              </w:rPr>
            </w:pPr>
            <w:r w:rsidRPr="00BC7A27">
              <w:rPr>
                <w:color w:val="000000"/>
              </w:rPr>
              <w:t>MW</w:t>
            </w:r>
          </w:p>
        </w:tc>
        <w:tc>
          <w:tcPr>
            <w:tcW w:w="1420" w:type="dxa"/>
            <w:tcBorders>
              <w:top w:val="nil"/>
              <w:left w:val="nil"/>
              <w:bottom w:val="single" w:sz="4" w:space="0" w:color="auto"/>
              <w:right w:val="single" w:sz="4" w:space="0" w:color="auto"/>
            </w:tcBorders>
            <w:shd w:val="clear" w:color="auto" w:fill="auto"/>
            <w:noWrap/>
            <w:vAlign w:val="bottom"/>
            <w:hideMark/>
          </w:tcPr>
          <w:p w14:paraId="2A9BB21A" w14:textId="77777777" w:rsidR="00123944" w:rsidRPr="00BC7A27" w:rsidRDefault="00123944" w:rsidP="00AF4036">
            <w:pPr>
              <w:jc w:val="both"/>
              <w:rPr>
                <w:color w:val="000000"/>
              </w:rPr>
            </w:pPr>
            <w:r w:rsidRPr="00BC7A27">
              <w:rPr>
                <w:color w:val="000000"/>
              </w:rPr>
              <w:t>0-9999</w:t>
            </w:r>
          </w:p>
        </w:tc>
        <w:tc>
          <w:tcPr>
            <w:tcW w:w="3013" w:type="dxa"/>
            <w:tcBorders>
              <w:top w:val="nil"/>
              <w:left w:val="nil"/>
              <w:bottom w:val="single" w:sz="4" w:space="0" w:color="auto"/>
              <w:right w:val="single" w:sz="4" w:space="0" w:color="auto"/>
            </w:tcBorders>
            <w:shd w:val="clear" w:color="auto" w:fill="auto"/>
            <w:vAlign w:val="bottom"/>
            <w:hideMark/>
          </w:tcPr>
          <w:p w14:paraId="320C5EDF" w14:textId="77777777" w:rsidR="00123944" w:rsidRPr="00BC7A27" w:rsidRDefault="00123944" w:rsidP="00AF4036">
            <w:pPr>
              <w:jc w:val="both"/>
              <w:rPr>
                <w:color w:val="000000"/>
              </w:rPr>
            </w:pPr>
            <w:r w:rsidRPr="00BC7A27">
              <w:rPr>
                <w:color w:val="000000"/>
              </w:rPr>
              <w:t>-</w:t>
            </w:r>
          </w:p>
        </w:tc>
      </w:tr>
    </w:tbl>
    <w:p w14:paraId="12064837" w14:textId="77777777" w:rsidR="00123944" w:rsidRPr="00EF32DD" w:rsidRDefault="00123944" w:rsidP="00123944">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lastRenderedPageBreak/>
        <w:t>tato připomínka je zásadní</w:t>
      </w:r>
    </w:p>
    <w:p w14:paraId="65899D63" w14:textId="0413319B" w:rsidR="00123944" w:rsidRDefault="00123944" w:rsidP="00123944">
      <w:pPr>
        <w:spacing w:after="200" w:line="276" w:lineRule="auto"/>
        <w:jc w:val="both"/>
        <w:rPr>
          <w:szCs w:val="20"/>
        </w:rPr>
      </w:pPr>
      <w:r>
        <w:rPr>
          <w:szCs w:val="20"/>
        </w:rPr>
        <w:t>19. K příloze č. 8 část IV zmínka o BIM</w:t>
      </w:r>
    </w:p>
    <w:p w14:paraId="247AE990" w14:textId="33924DB7" w:rsidR="00123944" w:rsidRDefault="00123944" w:rsidP="00123944">
      <w:pPr>
        <w:spacing w:after="200" w:line="276" w:lineRule="auto"/>
        <w:jc w:val="both"/>
        <w:rPr>
          <w:szCs w:val="20"/>
        </w:rPr>
      </w:pPr>
      <w:r w:rsidRPr="00123944">
        <w:rPr>
          <w:szCs w:val="20"/>
        </w:rPr>
        <w:t xml:space="preserve">BIM (informační model stavby) rozhodně není „vizualizací“ ale souhrnem dat a informací o stavbě, která by měla souhlasit s výkresovou částí dokumentace. Je tedy otázkou, zda v datovém kontejneru musí být vždy stavební výkresy ve formátu PDF, nebo v případě, že je vložen </w:t>
      </w:r>
      <w:proofErr w:type="gramStart"/>
      <w:r w:rsidRPr="00123944">
        <w:rPr>
          <w:szCs w:val="20"/>
        </w:rPr>
        <w:t>model - soubor</w:t>
      </w:r>
      <w:proofErr w:type="gramEnd"/>
      <w:r w:rsidRPr="00123944">
        <w:rPr>
          <w:szCs w:val="20"/>
        </w:rPr>
        <w:t xml:space="preserve"> formátu IFC se od výkresové části dokumentace upouští (v rozsahu vloženého BIM modelu)</w:t>
      </w:r>
      <w:r>
        <w:rPr>
          <w:szCs w:val="20"/>
        </w:rPr>
        <w:t>. Prosíme objasnit.</w:t>
      </w:r>
    </w:p>
    <w:p w14:paraId="0E16AC27" w14:textId="77777777" w:rsidR="00123944" w:rsidRPr="00EF32DD" w:rsidRDefault="00123944" w:rsidP="00123944">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319A78BD" w14:textId="3977ECC5" w:rsidR="00123944" w:rsidRDefault="00123944" w:rsidP="00123944">
      <w:pPr>
        <w:spacing w:after="200" w:line="276" w:lineRule="auto"/>
        <w:jc w:val="both"/>
        <w:rPr>
          <w:szCs w:val="20"/>
        </w:rPr>
      </w:pPr>
      <w:r>
        <w:rPr>
          <w:szCs w:val="20"/>
        </w:rPr>
        <w:t xml:space="preserve">20. K příloze č. 8 část IV. 1 časové razítko </w:t>
      </w:r>
    </w:p>
    <w:p w14:paraId="50E2E6E8" w14:textId="2BF5A02D" w:rsidR="00123944" w:rsidRDefault="00123944" w:rsidP="00123944">
      <w:pPr>
        <w:spacing w:after="200" w:line="276" w:lineRule="auto"/>
        <w:jc w:val="both"/>
        <w:rPr>
          <w:szCs w:val="20"/>
        </w:rPr>
      </w:pPr>
      <w:r w:rsidRPr="00123944">
        <w:rPr>
          <w:szCs w:val="20"/>
        </w:rPr>
        <w:t>Je skutečně nezbytné evidovat i milisekundy? Zbytečně to prodlužuje celý název souboru/balíčku. Pozor na max. délku znaků (praktičnost).</w:t>
      </w:r>
    </w:p>
    <w:p w14:paraId="6482E4FB" w14:textId="77777777" w:rsidR="00123944" w:rsidRPr="00EF32DD" w:rsidRDefault="00123944" w:rsidP="00123944">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12BC7FE3" w14:textId="3B2855AA" w:rsidR="00123944" w:rsidRDefault="00123944" w:rsidP="00123944">
      <w:pPr>
        <w:spacing w:after="200" w:line="276" w:lineRule="auto"/>
        <w:jc w:val="both"/>
        <w:rPr>
          <w:szCs w:val="20"/>
        </w:rPr>
      </w:pPr>
      <w:r>
        <w:rPr>
          <w:szCs w:val="20"/>
        </w:rPr>
        <w:t xml:space="preserve">21. K příloze č. 8 část IV. 4 </w:t>
      </w:r>
    </w:p>
    <w:p w14:paraId="23E0CE73" w14:textId="507730A5" w:rsidR="00123944" w:rsidRPr="00BC7A27" w:rsidRDefault="00123944" w:rsidP="00123944">
      <w:pPr>
        <w:spacing w:after="200" w:line="276" w:lineRule="auto"/>
        <w:jc w:val="both"/>
        <w:rPr>
          <w:szCs w:val="20"/>
        </w:rPr>
      </w:pPr>
      <w:r>
        <w:rPr>
          <w:szCs w:val="20"/>
        </w:rPr>
        <w:t>Prosíme rozšířit výčet formátů</w:t>
      </w:r>
      <w:r w:rsidRPr="00123944">
        <w:rPr>
          <w:szCs w:val="20"/>
        </w:rPr>
        <w:t xml:space="preserve"> i o formáty </w:t>
      </w:r>
      <w:proofErr w:type="spellStart"/>
      <w:r w:rsidRPr="00123944">
        <w:rPr>
          <w:szCs w:val="20"/>
        </w:rPr>
        <w:t>DOCx</w:t>
      </w:r>
      <w:proofErr w:type="spellEnd"/>
      <w:r w:rsidRPr="00123944">
        <w:rPr>
          <w:szCs w:val="20"/>
        </w:rPr>
        <w:t xml:space="preserve">, </w:t>
      </w:r>
      <w:proofErr w:type="spellStart"/>
      <w:r w:rsidRPr="00123944">
        <w:rPr>
          <w:szCs w:val="20"/>
        </w:rPr>
        <w:t>XLSx</w:t>
      </w:r>
      <w:proofErr w:type="spellEnd"/>
      <w:r w:rsidRPr="00123944">
        <w:rPr>
          <w:szCs w:val="20"/>
        </w:rPr>
        <w:t xml:space="preserve">, PNG, BMP, TIFF, </w:t>
      </w:r>
      <w:proofErr w:type="spellStart"/>
      <w:r w:rsidRPr="00123944">
        <w:rPr>
          <w:szCs w:val="20"/>
        </w:rPr>
        <w:t>BIMx</w:t>
      </w:r>
      <w:proofErr w:type="spellEnd"/>
      <w:r>
        <w:rPr>
          <w:szCs w:val="20"/>
        </w:rPr>
        <w:t>.</w:t>
      </w:r>
    </w:p>
    <w:p w14:paraId="087F77A2" w14:textId="77777777" w:rsidR="00123944" w:rsidRPr="00EF32DD" w:rsidRDefault="00123944" w:rsidP="00123944">
      <w:pPr>
        <w:pBdr>
          <w:bottom w:val="single" w:sz="4" w:space="1" w:color="auto"/>
        </w:pBdr>
        <w:spacing w:after="200"/>
        <w:jc w:val="right"/>
        <w:rPr>
          <w:rFonts w:asciiTheme="minorHAnsi" w:eastAsiaTheme="minorHAnsi" w:hAnsiTheme="minorHAnsi" w:cstheme="minorHAnsi"/>
          <w:lang w:eastAsia="en-US"/>
        </w:rPr>
      </w:pPr>
      <w:r w:rsidRPr="00EF32DD">
        <w:rPr>
          <w:rFonts w:asciiTheme="minorHAnsi" w:eastAsiaTheme="minorHAnsi" w:hAnsiTheme="minorHAnsi" w:cstheme="minorHAnsi"/>
          <w:lang w:eastAsia="en-US"/>
        </w:rPr>
        <w:t>tato připomínka je zásadní</w:t>
      </w:r>
    </w:p>
    <w:p w14:paraId="05042C87" w14:textId="77777777" w:rsidR="00223A56" w:rsidRPr="00EF32DD" w:rsidRDefault="00223A56" w:rsidP="00EF32DD">
      <w:pPr>
        <w:rPr>
          <w:rFonts w:asciiTheme="minorHAnsi" w:hAnsiTheme="minorHAnsi" w:cstheme="minorHAnsi"/>
          <w:u w:val="single"/>
        </w:rPr>
      </w:pPr>
    </w:p>
    <w:p w14:paraId="643ADC16" w14:textId="77777777" w:rsidR="00223A56" w:rsidRPr="00EF32DD" w:rsidRDefault="00223A56" w:rsidP="00EF32DD">
      <w:pPr>
        <w:rPr>
          <w:rFonts w:asciiTheme="minorHAnsi" w:hAnsiTheme="minorHAnsi" w:cstheme="minorHAnsi"/>
          <w:u w:val="single"/>
        </w:rPr>
      </w:pPr>
    </w:p>
    <w:p w14:paraId="0724E386" w14:textId="1FBE57CB" w:rsidR="00860F6C" w:rsidRPr="00EF32DD" w:rsidRDefault="00860F6C" w:rsidP="00EF32DD">
      <w:pPr>
        <w:rPr>
          <w:rFonts w:asciiTheme="minorHAnsi" w:hAnsiTheme="minorHAnsi" w:cstheme="minorHAnsi"/>
          <w:b/>
          <w:caps/>
        </w:rPr>
      </w:pPr>
      <w:r w:rsidRPr="00EF32DD">
        <w:rPr>
          <w:rFonts w:asciiTheme="minorHAnsi" w:hAnsiTheme="minorHAnsi" w:cstheme="minorHAnsi"/>
          <w:u w:val="single"/>
        </w:rPr>
        <w:t>Kontaktní osoby:</w:t>
      </w:r>
    </w:p>
    <w:p w14:paraId="2D394527" w14:textId="77777777" w:rsidR="00860F6C" w:rsidRPr="00EF32DD" w:rsidRDefault="00860F6C" w:rsidP="00EF32DD">
      <w:pPr>
        <w:shd w:val="clear" w:color="auto" w:fill="FFFFFF"/>
        <w:jc w:val="both"/>
        <w:rPr>
          <w:rFonts w:asciiTheme="minorHAnsi" w:hAnsiTheme="minorHAnsi" w:cstheme="minorHAnsi"/>
          <w:bCs/>
          <w:color w:val="000000" w:themeColor="text1"/>
        </w:rPr>
      </w:pPr>
    </w:p>
    <w:p w14:paraId="394F3D8F" w14:textId="6BEC518F" w:rsidR="009419A3" w:rsidRDefault="009419A3" w:rsidP="009419A3">
      <w:pPr>
        <w:shd w:val="clear" w:color="auto" w:fill="FFFFFF"/>
        <w:jc w:val="both"/>
        <w:rPr>
          <w:rFonts w:asciiTheme="minorHAnsi" w:hAnsiTheme="minorHAnsi" w:cstheme="minorHAnsi"/>
          <w:bCs/>
          <w:color w:val="000000" w:themeColor="text1"/>
        </w:rPr>
      </w:pPr>
      <w:r w:rsidRPr="00EF32DD">
        <w:rPr>
          <w:rFonts w:asciiTheme="minorHAnsi" w:hAnsiTheme="minorHAnsi" w:cstheme="minorHAnsi"/>
          <w:bCs/>
          <w:color w:val="000000" w:themeColor="text1"/>
        </w:rPr>
        <w:t>Mgr. Jakub Machytka</w:t>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EF32DD">
        <w:rPr>
          <w:rFonts w:asciiTheme="minorHAnsi" w:hAnsiTheme="minorHAnsi" w:cstheme="minorHAnsi"/>
          <w:bCs/>
          <w:color w:val="000000" w:themeColor="text1"/>
        </w:rPr>
        <w:t xml:space="preserve">e-mail: </w:t>
      </w:r>
      <w:hyperlink r:id="rId11" w:history="1">
        <w:r w:rsidRPr="00BE298C">
          <w:rPr>
            <w:rStyle w:val="Hypertextovodkaz"/>
            <w:rFonts w:asciiTheme="minorHAnsi" w:hAnsiTheme="minorHAnsi" w:cstheme="minorHAnsi"/>
            <w:bCs/>
          </w:rPr>
          <w:t>jakub.machytka@uzs.cz</w:t>
        </w:r>
      </w:hyperlink>
      <w:r>
        <w:rPr>
          <w:rFonts w:asciiTheme="minorHAnsi" w:hAnsiTheme="minorHAnsi" w:cstheme="minorHAnsi"/>
          <w:bCs/>
          <w:color w:val="000000" w:themeColor="text1"/>
        </w:rPr>
        <w:t xml:space="preserve"> </w:t>
      </w:r>
      <w:r w:rsidR="00AD0F28">
        <w:rPr>
          <w:rFonts w:asciiTheme="minorHAnsi" w:hAnsiTheme="minorHAnsi" w:cstheme="minorHAnsi"/>
          <w:bCs/>
          <w:color w:val="000000" w:themeColor="text1"/>
        </w:rPr>
        <w:tab/>
      </w:r>
      <w:r w:rsidR="00AD0F28">
        <w:rPr>
          <w:rFonts w:asciiTheme="minorHAnsi" w:hAnsiTheme="minorHAnsi" w:cstheme="minorHAnsi"/>
          <w:bCs/>
          <w:color w:val="000000" w:themeColor="text1"/>
        </w:rPr>
        <w:tab/>
      </w:r>
      <w:r w:rsidRPr="00EF32DD">
        <w:rPr>
          <w:rFonts w:asciiTheme="minorHAnsi" w:hAnsiTheme="minorHAnsi" w:cstheme="minorHAnsi"/>
          <w:bCs/>
          <w:color w:val="000000" w:themeColor="text1"/>
        </w:rPr>
        <w:t>tel:</w:t>
      </w:r>
      <w:r w:rsidR="00AD0F28">
        <w:rPr>
          <w:rFonts w:asciiTheme="minorHAnsi" w:hAnsiTheme="minorHAnsi" w:cstheme="minorHAnsi"/>
          <w:bCs/>
          <w:color w:val="000000" w:themeColor="text1"/>
        </w:rPr>
        <w:tab/>
      </w:r>
      <w:r w:rsidRPr="00EF32DD">
        <w:rPr>
          <w:rFonts w:asciiTheme="minorHAnsi" w:hAnsiTheme="minorHAnsi" w:cstheme="minorHAnsi"/>
          <w:bCs/>
          <w:color w:val="000000" w:themeColor="text1"/>
        </w:rPr>
        <w:t>727 956</w:t>
      </w:r>
      <w:r w:rsidR="00AA5406">
        <w:rPr>
          <w:rFonts w:asciiTheme="minorHAnsi" w:hAnsiTheme="minorHAnsi" w:cstheme="minorHAnsi"/>
          <w:bCs/>
          <w:color w:val="000000" w:themeColor="text1"/>
        </w:rPr>
        <w:t> </w:t>
      </w:r>
      <w:r w:rsidRPr="00EF32DD">
        <w:rPr>
          <w:rFonts w:asciiTheme="minorHAnsi" w:hAnsiTheme="minorHAnsi" w:cstheme="minorHAnsi"/>
          <w:bCs/>
          <w:color w:val="000000" w:themeColor="text1"/>
        </w:rPr>
        <w:t>059</w:t>
      </w:r>
    </w:p>
    <w:p w14:paraId="41B5C672" w14:textId="3AF8660F" w:rsidR="00AA5406" w:rsidRPr="00EF32DD" w:rsidRDefault="00CB4152" w:rsidP="009419A3">
      <w:pPr>
        <w:shd w:val="clear" w:color="auto" w:fill="FFFFFF"/>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JUDr. Hana </w:t>
      </w:r>
      <w:proofErr w:type="spellStart"/>
      <w:r>
        <w:rPr>
          <w:rFonts w:asciiTheme="minorHAnsi" w:hAnsiTheme="minorHAnsi" w:cstheme="minorHAnsi"/>
          <w:bCs/>
          <w:color w:val="000000" w:themeColor="text1"/>
        </w:rPr>
        <w:t>Nevřal</w:t>
      </w:r>
      <w:r w:rsidR="005F7AC7">
        <w:rPr>
          <w:rFonts w:asciiTheme="minorHAnsi" w:hAnsiTheme="minorHAnsi" w:cstheme="minorHAnsi"/>
          <w:bCs/>
          <w:color w:val="000000" w:themeColor="text1"/>
        </w:rPr>
        <w:t>ová</w:t>
      </w:r>
      <w:proofErr w:type="spellEnd"/>
      <w:r w:rsidR="005F7AC7">
        <w:rPr>
          <w:rFonts w:asciiTheme="minorHAnsi" w:hAnsiTheme="minorHAnsi" w:cstheme="minorHAnsi"/>
          <w:bCs/>
          <w:color w:val="000000" w:themeColor="text1"/>
        </w:rPr>
        <w:t xml:space="preserve"> </w:t>
      </w:r>
      <w:r w:rsidR="005F7AC7">
        <w:rPr>
          <w:rFonts w:asciiTheme="minorHAnsi" w:hAnsiTheme="minorHAnsi" w:cstheme="minorHAnsi"/>
          <w:bCs/>
          <w:color w:val="000000" w:themeColor="text1"/>
        </w:rPr>
        <w:tab/>
        <w:t>e-mail:</w:t>
      </w:r>
      <w:r w:rsidR="005F7AC7">
        <w:rPr>
          <w:rFonts w:asciiTheme="minorHAnsi" w:hAnsiTheme="minorHAnsi" w:cstheme="minorHAnsi"/>
          <w:bCs/>
          <w:color w:val="000000" w:themeColor="text1"/>
        </w:rPr>
        <w:tab/>
      </w:r>
      <w:hyperlink r:id="rId12" w:history="1">
        <w:r w:rsidR="006C42B7" w:rsidRPr="00E443B5">
          <w:rPr>
            <w:rStyle w:val="Hypertextovodkaz"/>
            <w:rFonts w:asciiTheme="minorHAnsi" w:hAnsiTheme="minorHAnsi" w:cstheme="minorHAnsi"/>
            <w:bCs/>
          </w:rPr>
          <w:t>hana.nevralova@metrostav.cz</w:t>
        </w:r>
      </w:hyperlink>
      <w:r w:rsidR="006C42B7">
        <w:rPr>
          <w:rFonts w:asciiTheme="minorHAnsi" w:hAnsiTheme="minorHAnsi" w:cstheme="minorHAnsi"/>
          <w:bCs/>
          <w:color w:val="000000" w:themeColor="text1"/>
        </w:rPr>
        <w:tab/>
        <w:t>mob:</w:t>
      </w:r>
      <w:r w:rsidR="006C42B7">
        <w:rPr>
          <w:rFonts w:asciiTheme="minorHAnsi" w:hAnsiTheme="minorHAnsi" w:cstheme="minorHAnsi"/>
          <w:bCs/>
          <w:color w:val="000000" w:themeColor="text1"/>
        </w:rPr>
        <w:tab/>
        <w:t xml:space="preserve">602 191 221 </w:t>
      </w:r>
    </w:p>
    <w:p w14:paraId="7840C288" w14:textId="7A4803CB" w:rsidR="00860F6C" w:rsidRDefault="00860F6C" w:rsidP="00EF32DD">
      <w:pPr>
        <w:pStyle w:val="indent"/>
        <w:shd w:val="clear" w:color="auto" w:fill="FFFFFF"/>
        <w:spacing w:before="0" w:after="0"/>
        <w:ind w:firstLine="0"/>
        <w:textAlignment w:val="top"/>
        <w:rPr>
          <w:rFonts w:asciiTheme="minorHAnsi" w:hAnsiTheme="minorHAnsi" w:cstheme="minorHAnsi"/>
        </w:rPr>
      </w:pPr>
      <w:r w:rsidRPr="00EF32DD">
        <w:rPr>
          <w:rFonts w:asciiTheme="minorHAnsi" w:hAnsiTheme="minorHAnsi" w:cstheme="minorHAnsi"/>
        </w:rPr>
        <w:t>Dr. Jan Zikeš</w:t>
      </w:r>
      <w:r w:rsidRPr="00EF32DD">
        <w:rPr>
          <w:rFonts w:asciiTheme="minorHAnsi" w:hAnsiTheme="minorHAnsi" w:cstheme="minorHAnsi"/>
        </w:rPr>
        <w:tab/>
      </w:r>
      <w:r w:rsidRPr="00EF32DD">
        <w:rPr>
          <w:rFonts w:asciiTheme="minorHAnsi" w:hAnsiTheme="minorHAnsi" w:cstheme="minorHAnsi"/>
        </w:rPr>
        <w:tab/>
      </w:r>
      <w:r w:rsidRPr="00EF32DD">
        <w:rPr>
          <w:rFonts w:asciiTheme="minorHAnsi" w:hAnsiTheme="minorHAnsi" w:cstheme="minorHAnsi"/>
        </w:rPr>
        <w:tab/>
        <w:t>e-mail:</w:t>
      </w:r>
      <w:r w:rsidRPr="00EF32DD">
        <w:rPr>
          <w:rFonts w:asciiTheme="minorHAnsi" w:hAnsiTheme="minorHAnsi" w:cstheme="minorHAnsi"/>
        </w:rPr>
        <w:tab/>
      </w:r>
      <w:hyperlink r:id="rId13" w:history="1">
        <w:r w:rsidRPr="00EF32DD">
          <w:rPr>
            <w:rStyle w:val="Hypertextovodkaz"/>
            <w:rFonts w:asciiTheme="minorHAnsi" w:hAnsiTheme="minorHAnsi" w:cstheme="minorHAnsi"/>
          </w:rPr>
          <w:t>zikes@kzps.cz</w:t>
        </w:r>
      </w:hyperlink>
      <w:r w:rsidRPr="00EF32DD">
        <w:rPr>
          <w:rFonts w:asciiTheme="minorHAnsi" w:hAnsiTheme="minorHAnsi" w:cstheme="minorHAnsi"/>
        </w:rPr>
        <w:tab/>
      </w:r>
      <w:r w:rsidRPr="00EF32DD">
        <w:rPr>
          <w:rFonts w:asciiTheme="minorHAnsi" w:hAnsiTheme="minorHAnsi" w:cstheme="minorHAnsi"/>
        </w:rPr>
        <w:tab/>
      </w:r>
      <w:r w:rsidRPr="00EF32DD">
        <w:rPr>
          <w:rFonts w:asciiTheme="minorHAnsi" w:hAnsiTheme="minorHAnsi" w:cstheme="minorHAnsi"/>
        </w:rPr>
        <w:tab/>
      </w:r>
      <w:r w:rsidRPr="00EF32DD">
        <w:rPr>
          <w:rFonts w:asciiTheme="minorHAnsi" w:hAnsiTheme="minorHAnsi" w:cstheme="minorHAnsi"/>
        </w:rPr>
        <w:tab/>
        <w:t>tel:</w:t>
      </w:r>
      <w:r w:rsidRPr="00EF32DD">
        <w:rPr>
          <w:rFonts w:asciiTheme="minorHAnsi" w:hAnsiTheme="minorHAnsi" w:cstheme="minorHAnsi"/>
        </w:rPr>
        <w:tab/>
        <w:t>222 324</w:t>
      </w:r>
      <w:r w:rsidR="00AD0F28">
        <w:rPr>
          <w:rFonts w:asciiTheme="minorHAnsi" w:hAnsiTheme="minorHAnsi" w:cstheme="minorHAnsi"/>
        </w:rPr>
        <w:t> </w:t>
      </w:r>
      <w:r w:rsidRPr="00EF32DD">
        <w:rPr>
          <w:rFonts w:asciiTheme="minorHAnsi" w:hAnsiTheme="minorHAnsi" w:cstheme="minorHAnsi"/>
        </w:rPr>
        <w:t>985</w:t>
      </w:r>
    </w:p>
    <w:p w14:paraId="6773C79A" w14:textId="77777777" w:rsidR="00860F6C" w:rsidRPr="00EF32DD" w:rsidRDefault="00860F6C" w:rsidP="00EF32DD">
      <w:pPr>
        <w:jc w:val="both"/>
        <w:rPr>
          <w:rFonts w:asciiTheme="minorHAnsi" w:hAnsiTheme="minorHAnsi" w:cstheme="minorHAnsi"/>
        </w:rPr>
      </w:pPr>
    </w:p>
    <w:p w14:paraId="5FBD43DF" w14:textId="77777777" w:rsidR="00860F6C" w:rsidRPr="00EF32DD" w:rsidRDefault="00860F6C" w:rsidP="00EF32DD">
      <w:pPr>
        <w:jc w:val="both"/>
        <w:rPr>
          <w:rFonts w:asciiTheme="minorHAnsi" w:hAnsiTheme="minorHAnsi" w:cstheme="minorHAnsi"/>
        </w:rPr>
      </w:pPr>
    </w:p>
    <w:p w14:paraId="7AE1B58C" w14:textId="3BE76378" w:rsidR="00860F6C" w:rsidRPr="00EF32DD" w:rsidRDefault="00860F6C" w:rsidP="00EF32DD">
      <w:pPr>
        <w:jc w:val="both"/>
        <w:rPr>
          <w:rFonts w:asciiTheme="minorHAnsi" w:hAnsiTheme="minorHAnsi" w:cstheme="minorHAnsi"/>
        </w:rPr>
      </w:pPr>
      <w:r w:rsidRPr="00EF32DD">
        <w:rPr>
          <w:rFonts w:asciiTheme="minorHAnsi" w:hAnsiTheme="minorHAnsi" w:cstheme="minorHAnsi"/>
        </w:rPr>
        <w:t xml:space="preserve">V Praze dne </w:t>
      </w:r>
      <w:r w:rsidR="00AD0F28">
        <w:rPr>
          <w:rFonts w:asciiTheme="minorHAnsi" w:hAnsiTheme="minorHAnsi" w:cstheme="minorHAnsi"/>
        </w:rPr>
        <w:t>29. dubna</w:t>
      </w:r>
      <w:r w:rsidRPr="00EF32DD">
        <w:rPr>
          <w:rFonts w:asciiTheme="minorHAnsi" w:hAnsiTheme="minorHAnsi" w:cstheme="minorHAnsi"/>
        </w:rPr>
        <w:t xml:space="preserve"> 2024</w:t>
      </w:r>
    </w:p>
    <w:p w14:paraId="3FFEBF82" w14:textId="77777777" w:rsidR="00860F6C" w:rsidRPr="00EF32DD" w:rsidRDefault="00860F6C" w:rsidP="00EF32DD">
      <w:pPr>
        <w:jc w:val="both"/>
        <w:rPr>
          <w:rFonts w:asciiTheme="minorHAnsi" w:hAnsiTheme="minorHAnsi" w:cstheme="minorHAnsi"/>
        </w:rPr>
      </w:pPr>
    </w:p>
    <w:p w14:paraId="2B05BD9D" w14:textId="77777777" w:rsidR="00860F6C" w:rsidRPr="00EF32DD" w:rsidRDefault="00860F6C" w:rsidP="00EF32DD">
      <w:pPr>
        <w:jc w:val="both"/>
        <w:rPr>
          <w:rFonts w:asciiTheme="minorHAnsi" w:hAnsiTheme="minorHAnsi" w:cstheme="minorHAnsi"/>
        </w:rPr>
      </w:pPr>
    </w:p>
    <w:p w14:paraId="1647EC48" w14:textId="77777777" w:rsidR="00860F6C" w:rsidRPr="00EF32DD" w:rsidRDefault="00860F6C" w:rsidP="00EF32DD">
      <w:pPr>
        <w:jc w:val="both"/>
        <w:rPr>
          <w:rFonts w:asciiTheme="minorHAnsi" w:hAnsiTheme="minorHAnsi" w:cstheme="minorHAnsi"/>
        </w:rPr>
      </w:pPr>
    </w:p>
    <w:p w14:paraId="60403B21" w14:textId="77777777" w:rsidR="00860F6C" w:rsidRPr="00EF32DD" w:rsidRDefault="00860F6C" w:rsidP="00EF32DD">
      <w:pPr>
        <w:jc w:val="both"/>
        <w:rPr>
          <w:rFonts w:asciiTheme="minorHAnsi" w:hAnsiTheme="minorHAnsi" w:cstheme="minorHAnsi"/>
          <w:b/>
          <w:bCs/>
          <w:i/>
          <w:iCs/>
        </w:rPr>
      </w:pPr>
    </w:p>
    <w:p w14:paraId="1B294AF1" w14:textId="77777777" w:rsidR="00860F6C" w:rsidRPr="00EF32DD" w:rsidRDefault="00860F6C" w:rsidP="00EF32DD">
      <w:pPr>
        <w:jc w:val="right"/>
        <w:rPr>
          <w:rStyle w:val="Siln"/>
          <w:rFonts w:asciiTheme="minorHAnsi" w:hAnsiTheme="minorHAnsi" w:cstheme="minorHAnsi"/>
          <w:shd w:val="clear" w:color="auto" w:fill="FFFFFF"/>
        </w:rPr>
      </w:pPr>
      <w:r w:rsidRPr="00EF32DD">
        <w:rPr>
          <w:rStyle w:val="Siln"/>
          <w:rFonts w:asciiTheme="minorHAnsi" w:hAnsiTheme="minorHAnsi" w:cstheme="minorHAnsi"/>
          <w:shd w:val="clear" w:color="auto" w:fill="FFFFFF"/>
        </w:rPr>
        <w:t>Ing. Jiří Horecký, Ph.D., MSc., MBA</w:t>
      </w:r>
    </w:p>
    <w:p w14:paraId="1A2CACE3" w14:textId="77777777" w:rsidR="00860F6C" w:rsidRPr="00EF32DD" w:rsidRDefault="00860F6C" w:rsidP="00EF32DD">
      <w:pPr>
        <w:ind w:left="6372"/>
        <w:jc w:val="both"/>
        <w:rPr>
          <w:rFonts w:asciiTheme="minorHAnsi" w:hAnsiTheme="minorHAnsi" w:cstheme="minorHAnsi"/>
          <w:b/>
          <w:bCs/>
        </w:rPr>
      </w:pPr>
      <w:r w:rsidRPr="00EF32DD">
        <w:rPr>
          <w:rFonts w:asciiTheme="minorHAnsi" w:hAnsiTheme="minorHAnsi" w:cstheme="minorHAnsi"/>
          <w:b/>
          <w:bCs/>
        </w:rPr>
        <w:t xml:space="preserve">      p r e z i d e n t</w:t>
      </w:r>
    </w:p>
    <w:p w14:paraId="3EF12FD2" w14:textId="77777777" w:rsidR="00860F6C" w:rsidRPr="00860F6C" w:rsidRDefault="00860F6C" w:rsidP="00860F6C">
      <w:pPr>
        <w:jc w:val="both"/>
        <w:rPr>
          <w:rFonts w:asciiTheme="minorHAnsi" w:hAnsiTheme="minorHAnsi" w:cstheme="minorHAnsi"/>
        </w:rPr>
      </w:pPr>
    </w:p>
    <w:p w14:paraId="45C45D56" w14:textId="77777777" w:rsidR="00860F6C" w:rsidRPr="00860F6C" w:rsidRDefault="00860F6C" w:rsidP="00860F6C">
      <w:pPr>
        <w:jc w:val="both"/>
        <w:rPr>
          <w:rFonts w:asciiTheme="minorHAnsi" w:hAnsiTheme="minorHAnsi" w:cstheme="minorHAnsi"/>
        </w:rPr>
      </w:pPr>
    </w:p>
    <w:p w14:paraId="193D821D" w14:textId="77777777" w:rsidR="00860F6C" w:rsidRPr="00860F6C" w:rsidRDefault="00860F6C" w:rsidP="00860F6C">
      <w:pPr>
        <w:jc w:val="both"/>
        <w:rPr>
          <w:rFonts w:asciiTheme="minorHAnsi" w:hAnsiTheme="minorHAnsi" w:cstheme="minorHAnsi"/>
        </w:rPr>
      </w:pPr>
    </w:p>
    <w:p w14:paraId="67B54C27" w14:textId="77777777" w:rsidR="00860F6C" w:rsidRPr="00860F6C" w:rsidRDefault="00860F6C" w:rsidP="00860F6C">
      <w:pPr>
        <w:jc w:val="both"/>
        <w:rPr>
          <w:rFonts w:asciiTheme="minorHAnsi" w:hAnsiTheme="minorHAnsi" w:cstheme="minorHAnsi"/>
        </w:rPr>
      </w:pPr>
    </w:p>
    <w:p w14:paraId="0D6E7C0F" w14:textId="77777777" w:rsidR="00C445B4" w:rsidRDefault="00C445B4" w:rsidP="00141DD7">
      <w:pPr>
        <w:shd w:val="clear" w:color="auto" w:fill="FFFFFF"/>
        <w:jc w:val="both"/>
        <w:rPr>
          <w:rFonts w:asciiTheme="minorHAnsi" w:hAnsiTheme="minorHAnsi" w:cstheme="minorHAnsi"/>
          <w:bCs/>
          <w:color w:val="000000" w:themeColor="text1"/>
          <w:sz w:val="22"/>
          <w:szCs w:val="22"/>
        </w:rPr>
      </w:pPr>
    </w:p>
    <w:p w14:paraId="632F5A91" w14:textId="0E22743B" w:rsidR="00257420" w:rsidRPr="00257420" w:rsidRDefault="00257420" w:rsidP="00141DD7"/>
    <w:sectPr w:rsidR="00257420" w:rsidRPr="00257420" w:rsidSect="00E070C3">
      <w:headerReference w:type="default" r:id="rId14"/>
      <w:footerReference w:type="default" r:id="rId15"/>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B079E" w14:textId="77777777" w:rsidR="007A67C9" w:rsidRDefault="007A67C9" w:rsidP="00A717AD">
      <w:r>
        <w:separator/>
      </w:r>
    </w:p>
  </w:endnote>
  <w:endnote w:type="continuationSeparator" w:id="0">
    <w:p w14:paraId="14F06D28" w14:textId="77777777" w:rsidR="007A67C9" w:rsidRDefault="007A67C9"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No5 T OT">
    <w:altName w:val="Calibri"/>
    <w:panose1 w:val="00000000000000000000"/>
    <w:charset w:val="00"/>
    <w:family w:val="modern"/>
    <w:notTrueType/>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647FC" w14:textId="77777777" w:rsidR="007A67C9" w:rsidRDefault="007A67C9" w:rsidP="00A717AD">
      <w:r>
        <w:separator/>
      </w:r>
    </w:p>
  </w:footnote>
  <w:footnote w:type="continuationSeparator" w:id="0">
    <w:p w14:paraId="614BE7D2" w14:textId="77777777" w:rsidR="007A67C9" w:rsidRDefault="007A67C9"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A10E6"/>
    <w:multiLevelType w:val="hybridMultilevel"/>
    <w:tmpl w:val="89783534"/>
    <w:lvl w:ilvl="0" w:tplc="AEC8B5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525C28"/>
    <w:multiLevelType w:val="hybridMultilevel"/>
    <w:tmpl w:val="9DFC3602"/>
    <w:lvl w:ilvl="0" w:tplc="514899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8A3A3B"/>
    <w:multiLevelType w:val="hybridMultilevel"/>
    <w:tmpl w:val="5A6A07A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CFB0E2D"/>
    <w:multiLevelType w:val="hybridMultilevel"/>
    <w:tmpl w:val="19A6799C"/>
    <w:lvl w:ilvl="0" w:tplc="A2447A46">
      <w:start w:val="1"/>
      <w:numFmt w:val="decimal"/>
      <w:pStyle w:val="Odst1"/>
      <w:lvlText w:val="(%1)"/>
      <w:lvlJc w:val="left"/>
      <w:pPr>
        <w:ind w:left="717" w:hanging="360"/>
      </w:pPr>
      <w:rPr>
        <w:rFonts w:ascii="Times New Roman" w:hAnsi="Times New Roman" w:cs="Times New Roman" w:hint="default"/>
        <w:sz w:val="24"/>
        <w:szCs w:val="24"/>
      </w:rPr>
    </w:lvl>
    <w:lvl w:ilvl="1" w:tplc="6DACC0CE">
      <w:start w:val="1"/>
      <w:numFmt w:val="lowerLetter"/>
      <w:lvlText w:val="%2."/>
      <w:lvlJc w:val="left"/>
      <w:pPr>
        <w:ind w:left="1437" w:hanging="360"/>
      </w:pPr>
    </w:lvl>
    <w:lvl w:ilvl="2" w:tplc="47DC11B0" w:tentative="1">
      <w:start w:val="1"/>
      <w:numFmt w:val="lowerRoman"/>
      <w:lvlText w:val="%3."/>
      <w:lvlJc w:val="right"/>
      <w:pPr>
        <w:ind w:left="2157" w:hanging="180"/>
      </w:pPr>
    </w:lvl>
    <w:lvl w:ilvl="3" w:tplc="FFC84710" w:tentative="1">
      <w:start w:val="1"/>
      <w:numFmt w:val="decimal"/>
      <w:lvlText w:val="%4."/>
      <w:lvlJc w:val="left"/>
      <w:pPr>
        <w:ind w:left="2877" w:hanging="360"/>
      </w:pPr>
    </w:lvl>
    <w:lvl w:ilvl="4" w:tplc="C5AE59C8" w:tentative="1">
      <w:start w:val="1"/>
      <w:numFmt w:val="lowerLetter"/>
      <w:lvlText w:val="%5."/>
      <w:lvlJc w:val="left"/>
      <w:pPr>
        <w:ind w:left="3597" w:hanging="360"/>
      </w:pPr>
    </w:lvl>
    <w:lvl w:ilvl="5" w:tplc="CA800480" w:tentative="1">
      <w:start w:val="1"/>
      <w:numFmt w:val="lowerRoman"/>
      <w:lvlText w:val="%6."/>
      <w:lvlJc w:val="right"/>
      <w:pPr>
        <w:ind w:left="4317" w:hanging="180"/>
      </w:pPr>
    </w:lvl>
    <w:lvl w:ilvl="6" w:tplc="05502478" w:tentative="1">
      <w:start w:val="1"/>
      <w:numFmt w:val="decimal"/>
      <w:lvlText w:val="%7."/>
      <w:lvlJc w:val="left"/>
      <w:pPr>
        <w:ind w:left="5037" w:hanging="360"/>
      </w:pPr>
    </w:lvl>
    <w:lvl w:ilvl="7" w:tplc="938E119C" w:tentative="1">
      <w:start w:val="1"/>
      <w:numFmt w:val="lowerLetter"/>
      <w:lvlText w:val="%8."/>
      <w:lvlJc w:val="left"/>
      <w:pPr>
        <w:ind w:left="5757" w:hanging="360"/>
      </w:pPr>
    </w:lvl>
    <w:lvl w:ilvl="8" w:tplc="EC4CB186" w:tentative="1">
      <w:start w:val="1"/>
      <w:numFmt w:val="lowerRoman"/>
      <w:lvlText w:val="%9."/>
      <w:lvlJc w:val="right"/>
      <w:pPr>
        <w:ind w:left="6477" w:hanging="180"/>
      </w:pPr>
    </w:lvl>
  </w:abstractNum>
  <w:abstractNum w:abstractNumId="4" w15:restartNumberingAfterBreak="0">
    <w:nsid w:val="5F2967AE"/>
    <w:multiLevelType w:val="hybridMultilevel"/>
    <w:tmpl w:val="E6642040"/>
    <w:lvl w:ilvl="0" w:tplc="BAF017B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4C79BE"/>
    <w:multiLevelType w:val="hybridMultilevel"/>
    <w:tmpl w:val="64AE0374"/>
    <w:lvl w:ilvl="0" w:tplc="514899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6550613">
    <w:abstractNumId w:val="4"/>
  </w:num>
  <w:num w:numId="2" w16cid:durableId="963537527">
    <w:abstractNumId w:val="2"/>
  </w:num>
  <w:num w:numId="3" w16cid:durableId="688019928">
    <w:abstractNumId w:val="5"/>
  </w:num>
  <w:num w:numId="4" w16cid:durableId="1227837756">
    <w:abstractNumId w:val="1"/>
  </w:num>
  <w:num w:numId="5" w16cid:durableId="582029783">
    <w:abstractNumId w:val="0"/>
  </w:num>
  <w:num w:numId="6" w16cid:durableId="1376001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42C05"/>
    <w:rsid w:val="00045158"/>
    <w:rsid w:val="000B4FAF"/>
    <w:rsid w:val="00104BA7"/>
    <w:rsid w:val="00104D75"/>
    <w:rsid w:val="00123944"/>
    <w:rsid w:val="00141DD7"/>
    <w:rsid w:val="00223A56"/>
    <w:rsid w:val="00257420"/>
    <w:rsid w:val="00477425"/>
    <w:rsid w:val="005F7AC7"/>
    <w:rsid w:val="006C42B7"/>
    <w:rsid w:val="007A67C9"/>
    <w:rsid w:val="0085374F"/>
    <w:rsid w:val="00860F6C"/>
    <w:rsid w:val="008739B6"/>
    <w:rsid w:val="00874FF8"/>
    <w:rsid w:val="009322C4"/>
    <w:rsid w:val="009419A3"/>
    <w:rsid w:val="009767C2"/>
    <w:rsid w:val="00A717AD"/>
    <w:rsid w:val="00AA5406"/>
    <w:rsid w:val="00AD0F28"/>
    <w:rsid w:val="00B2255E"/>
    <w:rsid w:val="00B31A70"/>
    <w:rsid w:val="00C12B09"/>
    <w:rsid w:val="00C445B4"/>
    <w:rsid w:val="00C74A3F"/>
    <w:rsid w:val="00C84C24"/>
    <w:rsid w:val="00CB4152"/>
    <w:rsid w:val="00E070C3"/>
    <w:rsid w:val="00E22AA5"/>
    <w:rsid w:val="00EF32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paragraph" w:styleId="Odstavecseseznamem">
    <w:name w:val="List Paragraph"/>
    <w:basedOn w:val="Normln"/>
    <w:uiPriority w:val="34"/>
    <w:qFormat/>
    <w:rsid w:val="00123944"/>
    <w:pPr>
      <w:ind w:left="720"/>
      <w:contextualSpacing/>
    </w:pPr>
  </w:style>
  <w:style w:type="paragraph" w:styleId="Textkomente">
    <w:name w:val="annotation text"/>
    <w:basedOn w:val="Normln"/>
    <w:link w:val="TextkomenteChar"/>
    <w:uiPriority w:val="99"/>
    <w:unhideWhenUsed/>
    <w:rsid w:val="00123944"/>
    <w:pPr>
      <w:jc w:val="both"/>
    </w:pPr>
    <w:rPr>
      <w:sz w:val="20"/>
      <w:szCs w:val="20"/>
      <w:lang w:eastAsia="cs-CZ"/>
    </w:rPr>
  </w:style>
  <w:style w:type="character" w:customStyle="1" w:styleId="TextkomenteChar">
    <w:name w:val="Text komentáře Char"/>
    <w:basedOn w:val="Standardnpsmoodstavce"/>
    <w:link w:val="Textkomente"/>
    <w:uiPriority w:val="99"/>
    <w:rsid w:val="00123944"/>
    <w:rPr>
      <w:rFonts w:ascii="Times New Roman" w:eastAsia="Times New Roman" w:hAnsi="Times New Roman" w:cs="Times New Roman"/>
      <w:kern w:val="0"/>
      <w:sz w:val="20"/>
      <w:szCs w:val="20"/>
      <w:lang w:eastAsia="cs-CZ"/>
      <w14:ligatures w14:val="none"/>
    </w:rPr>
  </w:style>
  <w:style w:type="character" w:styleId="Odkaznakoment">
    <w:name w:val="annotation reference"/>
    <w:basedOn w:val="Standardnpsmoodstavce"/>
    <w:uiPriority w:val="99"/>
    <w:semiHidden/>
    <w:unhideWhenUsed/>
    <w:rsid w:val="00123944"/>
    <w:rPr>
      <w:sz w:val="16"/>
      <w:szCs w:val="16"/>
    </w:rPr>
  </w:style>
  <w:style w:type="paragraph" w:customStyle="1" w:styleId="Odst1">
    <w:name w:val="Odst (1)"/>
    <w:link w:val="Odst1Char"/>
    <w:qFormat/>
    <w:rsid w:val="00123944"/>
    <w:pPr>
      <w:numPr>
        <w:numId w:val="6"/>
      </w:numPr>
      <w:tabs>
        <w:tab w:val="left" w:pos="426"/>
      </w:tabs>
      <w:spacing w:after="200" w:line="276" w:lineRule="auto"/>
      <w:jc w:val="both"/>
    </w:pPr>
    <w:rPr>
      <w:rFonts w:ascii="Times New Roman" w:eastAsia="Times New Roman" w:hAnsi="Times New Roman" w:cs="Times New Roman"/>
      <w:kern w:val="0"/>
      <w:sz w:val="24"/>
      <w:szCs w:val="24"/>
      <w:lang w:eastAsia="cs-CZ"/>
      <w14:ligatures w14:val="none"/>
    </w:rPr>
  </w:style>
  <w:style w:type="character" w:customStyle="1" w:styleId="Odst1Char">
    <w:name w:val="Odst (1) Char"/>
    <w:basedOn w:val="Standardnpsmoodstavce"/>
    <w:link w:val="Odst1"/>
    <w:rsid w:val="00123944"/>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ikes@kzps.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a.nevralova@metrosta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kub.machytka@uzs.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2.xml><?xml version="1.0" encoding="utf-8"?>
<ds:datastoreItem xmlns:ds="http://schemas.openxmlformats.org/officeDocument/2006/customXml" ds:itemID="{44475DB2-245E-4C9A-96DD-E3B5EFD7B61B}">
  <ds:schemaRefs>
    <ds:schemaRef ds:uri="http://schemas.openxmlformats.org/officeDocument/2006/bibliography"/>
  </ds:schemaRefs>
</ds:datastoreItem>
</file>

<file path=customXml/itemProps3.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customXml/itemProps4.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2776</Words>
  <Characters>16380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Zikes</cp:lastModifiedBy>
  <cp:revision>2</cp:revision>
  <dcterms:created xsi:type="dcterms:W3CDTF">2024-04-29T21:23:00Z</dcterms:created>
  <dcterms:modified xsi:type="dcterms:W3CDTF">2024-04-29T21:23:00Z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