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6E68A22C" w14:textId="0331AD8E" w:rsidR="00B2255E" w:rsidRDefault="00C445B4" w:rsidP="0085374F">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návrhu</w:t>
      </w:r>
      <w:r w:rsidR="00B2255E" w:rsidRPr="009E4828">
        <w:rPr>
          <w:rFonts w:asciiTheme="minorHAnsi" w:hAnsiTheme="minorHAnsi" w:cstheme="minorHAnsi"/>
          <w:b/>
          <w:bCs/>
        </w:rPr>
        <w:t> </w:t>
      </w:r>
      <w:r w:rsidR="00B2255E">
        <w:rPr>
          <w:rFonts w:asciiTheme="minorHAnsi" w:hAnsiTheme="minorHAnsi" w:cstheme="minorHAnsi"/>
          <w:b/>
          <w:bCs/>
        </w:rPr>
        <w:t>„</w:t>
      </w:r>
      <w:r w:rsidR="0085374F" w:rsidRPr="0085374F">
        <w:rPr>
          <w:rFonts w:asciiTheme="minorHAnsi" w:hAnsiTheme="minorHAnsi" w:cstheme="minorHAnsi"/>
          <w:b/>
          <w:bCs/>
        </w:rPr>
        <w:t>Program</w:t>
      </w:r>
      <w:r w:rsidR="0085374F">
        <w:rPr>
          <w:rFonts w:asciiTheme="minorHAnsi" w:hAnsiTheme="minorHAnsi" w:cstheme="minorHAnsi"/>
          <w:b/>
          <w:bCs/>
        </w:rPr>
        <w:t>u</w:t>
      </w:r>
      <w:r w:rsidR="0085374F" w:rsidRPr="0085374F">
        <w:rPr>
          <w:rFonts w:asciiTheme="minorHAnsi" w:hAnsiTheme="minorHAnsi" w:cstheme="minorHAnsi"/>
          <w:b/>
          <w:bCs/>
        </w:rPr>
        <w:t xml:space="preserve"> ZÁRUKA 2024 až 2030</w:t>
      </w:r>
      <w:r w:rsidR="00B2255E">
        <w:rPr>
          <w:rFonts w:asciiTheme="minorHAnsi" w:hAnsiTheme="minorHAnsi" w:cstheme="minorHAnsi"/>
          <w:b/>
          <w:bCs/>
        </w:rPr>
        <w:t>“</w:t>
      </w:r>
    </w:p>
    <w:p w14:paraId="3F226AB2" w14:textId="77777777" w:rsidR="00B2255E" w:rsidRDefault="00B2255E" w:rsidP="00B2255E">
      <w:pPr>
        <w:jc w:val="center"/>
        <w:rPr>
          <w:rFonts w:asciiTheme="minorHAnsi" w:hAnsiTheme="minorHAnsi" w:cstheme="minorHAnsi"/>
          <w:b/>
          <w:bCs/>
        </w:rPr>
      </w:pPr>
    </w:p>
    <w:p w14:paraId="2663FA1E" w14:textId="77777777" w:rsidR="00B2255E" w:rsidRPr="004832B7" w:rsidRDefault="00B2255E" w:rsidP="00B2255E">
      <w:pPr>
        <w:ind w:firstLine="708"/>
        <w:jc w:val="both"/>
        <w:rPr>
          <w:rFonts w:asciiTheme="minorHAnsi" w:hAnsiTheme="minorHAnsi" w:cstheme="minorHAnsi"/>
        </w:rPr>
      </w:pPr>
    </w:p>
    <w:p w14:paraId="647F275D" w14:textId="4E6DA824" w:rsidR="00B2255E" w:rsidRPr="004832B7" w:rsidRDefault="00B2255E" w:rsidP="00B2255E">
      <w:pPr>
        <w:ind w:firstLine="708"/>
        <w:jc w:val="both"/>
        <w:rPr>
          <w:rFonts w:asciiTheme="minorHAnsi" w:hAnsiTheme="minorHAnsi" w:cstheme="minorHAnsi"/>
        </w:rPr>
      </w:pPr>
      <w:r w:rsidRPr="004832B7">
        <w:rPr>
          <w:rFonts w:asciiTheme="minorHAnsi" w:hAnsiTheme="minorHAnsi" w:cstheme="minorHAnsi"/>
        </w:rPr>
        <w:t xml:space="preserve">V rámci mezirezortního připomínkového řízení jsme obdrželi výše uvedený návrh a k tomuto Konfederace zaměstnavatelských a podnikatelských svazů ČR (KZPS ČR) uplatňuje následující </w:t>
      </w:r>
      <w:r w:rsidR="008739B6" w:rsidRPr="00104BA7">
        <w:rPr>
          <w:rFonts w:asciiTheme="minorHAnsi" w:hAnsiTheme="minorHAnsi" w:cstheme="minorHAnsi"/>
          <w:b/>
          <w:bCs/>
        </w:rPr>
        <w:t>doporučuj</w:t>
      </w:r>
      <w:r w:rsidR="00104BA7" w:rsidRPr="00104BA7">
        <w:rPr>
          <w:rFonts w:asciiTheme="minorHAnsi" w:hAnsiTheme="minorHAnsi" w:cstheme="minorHAnsi"/>
          <w:b/>
          <w:bCs/>
        </w:rPr>
        <w:t>ící a z</w:t>
      </w:r>
      <w:r w:rsidR="00104BA7">
        <w:rPr>
          <w:rFonts w:asciiTheme="minorHAnsi" w:hAnsiTheme="minorHAnsi" w:cstheme="minorHAnsi"/>
          <w:b/>
          <w:bCs/>
        </w:rPr>
        <w:t>á</w:t>
      </w:r>
      <w:r w:rsidR="00104BA7" w:rsidRPr="00104BA7">
        <w:rPr>
          <w:rFonts w:asciiTheme="minorHAnsi" w:hAnsiTheme="minorHAnsi" w:cstheme="minorHAnsi"/>
          <w:b/>
          <w:bCs/>
        </w:rPr>
        <w:t xml:space="preserve">sadní </w:t>
      </w:r>
      <w:r w:rsidRPr="00104BA7">
        <w:rPr>
          <w:rFonts w:asciiTheme="minorHAnsi" w:hAnsiTheme="minorHAnsi" w:cstheme="minorHAnsi"/>
          <w:b/>
          <w:bCs/>
        </w:rPr>
        <w:t>připomínky</w:t>
      </w:r>
      <w:r w:rsidRPr="004832B7">
        <w:rPr>
          <w:rFonts w:asciiTheme="minorHAnsi" w:hAnsiTheme="minorHAnsi" w:cstheme="minorHAnsi"/>
        </w:rPr>
        <w:t>:</w:t>
      </w:r>
    </w:p>
    <w:p w14:paraId="1F6A617F" w14:textId="77777777" w:rsidR="0085374F" w:rsidRDefault="0085374F" w:rsidP="00141DD7">
      <w:pPr>
        <w:spacing w:after="200"/>
        <w:rPr>
          <w:rFonts w:asciiTheme="minorHAnsi" w:eastAsiaTheme="minorHAnsi" w:hAnsiTheme="minorHAnsi" w:cstheme="minorHAnsi"/>
          <w:b/>
          <w:sz w:val="22"/>
          <w:szCs w:val="22"/>
          <w:u w:val="single"/>
          <w:lang w:eastAsia="en-US"/>
        </w:rPr>
      </w:pPr>
    </w:p>
    <w:p w14:paraId="1CD0EFC6" w14:textId="1FB93671" w:rsidR="00141DD7" w:rsidRPr="00CC2A26" w:rsidRDefault="00141DD7" w:rsidP="00141DD7">
      <w:pPr>
        <w:spacing w:after="200"/>
        <w:rPr>
          <w:rFonts w:asciiTheme="minorHAnsi" w:eastAsiaTheme="minorHAnsi" w:hAnsiTheme="minorHAnsi" w:cstheme="minorHAnsi"/>
          <w:b/>
          <w:sz w:val="22"/>
          <w:szCs w:val="22"/>
          <w:u w:val="single"/>
          <w:lang w:eastAsia="en-US"/>
        </w:rPr>
      </w:pPr>
      <w:r w:rsidRPr="00CC2A26">
        <w:rPr>
          <w:rFonts w:asciiTheme="minorHAnsi" w:eastAsiaTheme="minorHAnsi" w:hAnsiTheme="minorHAnsi" w:cstheme="minorHAnsi"/>
          <w:b/>
          <w:sz w:val="22"/>
          <w:szCs w:val="22"/>
          <w:u w:val="single"/>
          <w:lang w:eastAsia="en-US"/>
        </w:rPr>
        <w:t>Obecné připomínky</w:t>
      </w:r>
    </w:p>
    <w:p w14:paraId="168B4404" w14:textId="77777777" w:rsidR="00141DD7" w:rsidRPr="00A86DD9" w:rsidRDefault="00141DD7" w:rsidP="00141DD7">
      <w:pPr>
        <w:spacing w:before="100" w:beforeAutospacing="1" w:after="100" w:afterAutospacing="1"/>
        <w:jc w:val="both"/>
        <w:rPr>
          <w:rFonts w:asciiTheme="minorHAnsi" w:eastAsiaTheme="minorHAnsi" w:hAnsiTheme="minorHAnsi" w:cstheme="minorHAnsi"/>
          <w:sz w:val="22"/>
          <w:szCs w:val="22"/>
          <w:lang w:eastAsia="en-US"/>
        </w:rPr>
      </w:pPr>
      <w:r w:rsidRPr="00A86DD9">
        <w:rPr>
          <w:rFonts w:asciiTheme="minorHAnsi" w:eastAsiaTheme="minorHAnsi" w:hAnsiTheme="minorHAnsi" w:cstheme="minorHAnsi"/>
          <w:sz w:val="22"/>
          <w:szCs w:val="22"/>
          <w:lang w:eastAsia="en-US"/>
        </w:rPr>
        <w:t xml:space="preserve">V současnosti i do budoucna bude potřeba pro uspokojení tržních požadavků na záruční schémata ze strany státu cca 2 mld. Kč finančních zdrojů ročně. To může nabídnout segmentu MSP záruky v objemu cca 15 mld. Kč ročně s tím, že se tak budeme moci vrátit alespoň na úroveň v </w:t>
      </w:r>
      <w:proofErr w:type="spellStart"/>
      <w:r w:rsidRPr="00A86DD9">
        <w:rPr>
          <w:rFonts w:asciiTheme="minorHAnsi" w:eastAsiaTheme="minorHAnsi" w:hAnsiTheme="minorHAnsi" w:cstheme="minorHAnsi"/>
          <w:sz w:val="22"/>
          <w:szCs w:val="22"/>
          <w:lang w:eastAsia="en-US"/>
        </w:rPr>
        <w:t>předcovidovém</w:t>
      </w:r>
      <w:proofErr w:type="spellEnd"/>
      <w:r w:rsidRPr="00A86DD9">
        <w:rPr>
          <w:rFonts w:asciiTheme="minorHAnsi" w:eastAsiaTheme="minorHAnsi" w:hAnsiTheme="minorHAnsi" w:cstheme="minorHAnsi"/>
          <w:sz w:val="22"/>
          <w:szCs w:val="22"/>
          <w:lang w:eastAsia="en-US"/>
        </w:rPr>
        <w:t xml:space="preserve"> období. </w:t>
      </w:r>
    </w:p>
    <w:p w14:paraId="77BD130F" w14:textId="77777777" w:rsidR="00141DD7" w:rsidRPr="00A86DD9" w:rsidRDefault="00141DD7" w:rsidP="00141DD7">
      <w:pPr>
        <w:spacing w:before="100" w:beforeAutospacing="1" w:after="100" w:afterAutospacing="1"/>
        <w:jc w:val="both"/>
        <w:rPr>
          <w:rFonts w:asciiTheme="minorHAnsi" w:eastAsiaTheme="minorEastAsia" w:hAnsiTheme="minorHAnsi" w:cstheme="minorHAnsi"/>
          <w:sz w:val="22"/>
          <w:szCs w:val="22"/>
          <w:lang w:eastAsia="zh-TW"/>
        </w:rPr>
      </w:pPr>
      <w:r w:rsidRPr="00A86DD9">
        <w:rPr>
          <w:rFonts w:asciiTheme="minorHAnsi" w:eastAsiaTheme="minorHAnsi" w:hAnsiTheme="minorHAnsi" w:cstheme="minorHAnsi"/>
          <w:sz w:val="22"/>
          <w:szCs w:val="22"/>
          <w:lang w:eastAsia="en-US"/>
        </w:rPr>
        <w:t>Zároveň je zřetelný požadavek, že ČR bude muset projít výraznou transformací ekonomiky, která bude mít dopad na financování segmentu MSP. Níže v tabulce přikládáme kumulativní přehled záruk poskytnutých v rámci záručních programů podpory v uplynulých 5 letech. Objem záruk v tomto programu však považujeme za absolutně nedostatečný pro přicházející a neodvratitelnou transformaci české ekonomiky, která se nutně dotkne též segmentu MSP. </w:t>
      </w:r>
    </w:p>
    <w:tbl>
      <w:tblPr>
        <w:tblW w:w="4691" w:type="dxa"/>
        <w:jc w:val="center"/>
        <w:tblCellMar>
          <w:left w:w="0" w:type="dxa"/>
          <w:right w:w="0" w:type="dxa"/>
        </w:tblCellMar>
        <w:tblLook w:val="04A0" w:firstRow="1" w:lastRow="0" w:firstColumn="1" w:lastColumn="0" w:noHBand="0" w:noVBand="1"/>
      </w:tblPr>
      <w:tblGrid>
        <w:gridCol w:w="1129"/>
        <w:gridCol w:w="2835"/>
        <w:gridCol w:w="727"/>
      </w:tblGrid>
      <w:tr w:rsidR="00141DD7" w:rsidRPr="00A86DD9" w14:paraId="15CD6A74" w14:textId="77777777" w:rsidTr="005E44BA">
        <w:trPr>
          <w:trHeight w:val="288"/>
          <w:jc w:val="center"/>
        </w:trPr>
        <w:tc>
          <w:tcPr>
            <w:tcW w:w="1129" w:type="dxa"/>
            <w:tcBorders>
              <w:top w:val="single" w:sz="8" w:space="0" w:color="auto"/>
              <w:left w:val="single" w:sz="8" w:space="0" w:color="auto"/>
              <w:bottom w:val="single" w:sz="8" w:space="0" w:color="auto"/>
              <w:right w:val="single" w:sz="8" w:space="0" w:color="auto"/>
            </w:tcBorders>
            <w:shd w:val="clear" w:color="auto" w:fill="002060"/>
            <w:noWrap/>
            <w:tcMar>
              <w:top w:w="0" w:type="dxa"/>
              <w:left w:w="70" w:type="dxa"/>
              <w:bottom w:w="0" w:type="dxa"/>
              <w:right w:w="70" w:type="dxa"/>
            </w:tcMar>
            <w:vAlign w:val="bottom"/>
            <w:hideMark/>
          </w:tcPr>
          <w:p w14:paraId="2B911CD6"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b/>
                <w:bCs/>
                <w:color w:val="FFFFFF"/>
                <w:sz w:val="22"/>
                <w:szCs w:val="22"/>
                <w:lang w:eastAsia="en-US"/>
                <w14:ligatures w14:val="standardContextual"/>
              </w:rPr>
              <w:t>rok</w:t>
            </w:r>
          </w:p>
        </w:tc>
        <w:tc>
          <w:tcPr>
            <w:tcW w:w="2835"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bottom"/>
            <w:hideMark/>
          </w:tcPr>
          <w:p w14:paraId="790C1747"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b/>
                <w:bCs/>
                <w:color w:val="FFFFFF"/>
                <w:sz w:val="22"/>
                <w:szCs w:val="22"/>
                <w:lang w:eastAsia="en-US"/>
                <w14:ligatures w14:val="standardContextual"/>
              </w:rPr>
              <w:t xml:space="preserve">objem poskytnutých záruk </w:t>
            </w:r>
          </w:p>
        </w:tc>
        <w:tc>
          <w:tcPr>
            <w:tcW w:w="727"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bottom"/>
            <w:hideMark/>
          </w:tcPr>
          <w:p w14:paraId="5FE60151"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b/>
                <w:bCs/>
                <w:color w:val="FFFFFF"/>
                <w:sz w:val="22"/>
                <w:szCs w:val="22"/>
                <w:lang w:eastAsia="en-US"/>
                <w14:ligatures w14:val="standardContextual"/>
              </w:rPr>
              <w:t xml:space="preserve">počet </w:t>
            </w:r>
          </w:p>
        </w:tc>
      </w:tr>
      <w:tr w:rsidR="00141DD7" w:rsidRPr="00A86DD9" w14:paraId="6E8213EA" w14:textId="77777777" w:rsidTr="005E44BA">
        <w:trPr>
          <w:trHeight w:val="288"/>
          <w:jc w:val="center"/>
        </w:trPr>
        <w:tc>
          <w:tcPr>
            <w:tcW w:w="11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799872"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sz w:val="22"/>
                <w:szCs w:val="22"/>
                <w:lang w:eastAsia="en-US"/>
                <w14:ligatures w14:val="standardContextual"/>
              </w:rPr>
              <w:t>2019</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D9F8A6"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13 874 751 876 Kč</w:t>
            </w:r>
          </w:p>
        </w:tc>
        <w:tc>
          <w:tcPr>
            <w:tcW w:w="7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4CABB"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5 705</w:t>
            </w:r>
          </w:p>
        </w:tc>
      </w:tr>
      <w:tr w:rsidR="00141DD7" w:rsidRPr="00A86DD9" w14:paraId="70ECA14D" w14:textId="77777777" w:rsidTr="005E44BA">
        <w:trPr>
          <w:trHeight w:val="288"/>
          <w:jc w:val="center"/>
        </w:trPr>
        <w:tc>
          <w:tcPr>
            <w:tcW w:w="11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42E9C1"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sz w:val="22"/>
                <w:szCs w:val="22"/>
                <w:lang w:eastAsia="en-US"/>
                <w14:ligatures w14:val="standardContextual"/>
              </w:rPr>
              <w:t>2020</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0E3A67"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22 455 288 544 Kč</w:t>
            </w:r>
          </w:p>
        </w:tc>
        <w:tc>
          <w:tcPr>
            <w:tcW w:w="7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E3381D"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7 115</w:t>
            </w:r>
          </w:p>
        </w:tc>
      </w:tr>
      <w:tr w:rsidR="00141DD7" w:rsidRPr="00A86DD9" w14:paraId="655F55FC" w14:textId="77777777" w:rsidTr="005E44BA">
        <w:trPr>
          <w:trHeight w:val="288"/>
          <w:jc w:val="center"/>
        </w:trPr>
        <w:tc>
          <w:tcPr>
            <w:tcW w:w="11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F4EEF9"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sz w:val="22"/>
                <w:szCs w:val="22"/>
                <w:lang w:eastAsia="en-US"/>
                <w14:ligatures w14:val="standardContextual"/>
              </w:rPr>
              <w:t>2021</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80A4CC"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9 837 523 095 Kč</w:t>
            </w:r>
          </w:p>
        </w:tc>
        <w:tc>
          <w:tcPr>
            <w:tcW w:w="7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3ECD85"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3 039</w:t>
            </w:r>
          </w:p>
        </w:tc>
      </w:tr>
      <w:tr w:rsidR="00141DD7" w:rsidRPr="00A86DD9" w14:paraId="61F978EF" w14:textId="77777777" w:rsidTr="005E44BA">
        <w:trPr>
          <w:trHeight w:val="288"/>
          <w:jc w:val="center"/>
        </w:trPr>
        <w:tc>
          <w:tcPr>
            <w:tcW w:w="11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728941"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sz w:val="22"/>
                <w:szCs w:val="22"/>
                <w:lang w:eastAsia="en-US"/>
                <w14:ligatures w14:val="standardContextual"/>
              </w:rPr>
              <w:t>2022</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83AE2"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14 270 756 525 Kč</w:t>
            </w:r>
          </w:p>
        </w:tc>
        <w:tc>
          <w:tcPr>
            <w:tcW w:w="7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C7D9C0"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3 491</w:t>
            </w:r>
          </w:p>
        </w:tc>
      </w:tr>
      <w:tr w:rsidR="00141DD7" w:rsidRPr="00A86DD9" w14:paraId="01B60A62" w14:textId="77777777" w:rsidTr="005E44BA">
        <w:trPr>
          <w:trHeight w:val="288"/>
          <w:jc w:val="center"/>
        </w:trPr>
        <w:tc>
          <w:tcPr>
            <w:tcW w:w="11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A14F07"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sz w:val="22"/>
                <w:szCs w:val="22"/>
                <w:lang w:eastAsia="en-US"/>
                <w14:ligatures w14:val="standardContextual"/>
              </w:rPr>
              <w:t>2023</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619017"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8 460 527 283 Kč</w:t>
            </w:r>
          </w:p>
        </w:tc>
        <w:tc>
          <w:tcPr>
            <w:tcW w:w="7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E1A650"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3 649</w:t>
            </w:r>
          </w:p>
        </w:tc>
      </w:tr>
      <w:tr w:rsidR="00141DD7" w:rsidRPr="00A86DD9" w14:paraId="604A07F5" w14:textId="77777777" w:rsidTr="005E44BA">
        <w:trPr>
          <w:trHeight w:val="288"/>
          <w:jc w:val="center"/>
        </w:trPr>
        <w:tc>
          <w:tcPr>
            <w:tcW w:w="11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B8F15F"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sz w:val="22"/>
                <w:szCs w:val="22"/>
                <w:lang w:eastAsia="en-US"/>
                <w14:ligatures w14:val="standardContextual"/>
              </w:rPr>
              <w:t>2024 - plán</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0A3F4"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4 300 000 000 Kč</w:t>
            </w:r>
          </w:p>
        </w:tc>
        <w:tc>
          <w:tcPr>
            <w:tcW w:w="7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6E9B56" w14:textId="77777777" w:rsidR="00141DD7" w:rsidRPr="00A86DD9" w:rsidRDefault="00141DD7" w:rsidP="005E44BA">
            <w:pPr>
              <w:spacing w:after="200" w:line="276" w:lineRule="auto"/>
              <w:jc w:val="both"/>
              <w:rPr>
                <w:rFonts w:asciiTheme="minorHAnsi" w:eastAsiaTheme="minorHAnsi" w:hAnsiTheme="minorHAnsi" w:cstheme="minorHAnsi"/>
                <w:sz w:val="22"/>
                <w:szCs w:val="22"/>
                <w:lang w:eastAsia="en-US"/>
                <w14:ligatures w14:val="standardContextual"/>
              </w:rPr>
            </w:pPr>
            <w:r w:rsidRPr="00A86DD9">
              <w:rPr>
                <w:rFonts w:asciiTheme="minorHAnsi" w:eastAsiaTheme="minorHAnsi" w:hAnsiTheme="minorHAnsi" w:cstheme="minorHAnsi"/>
                <w:color w:val="000000"/>
                <w:sz w:val="22"/>
                <w:szCs w:val="22"/>
                <w:lang w:eastAsia="en-US"/>
                <w14:ligatures w14:val="standardContextual"/>
              </w:rPr>
              <w:t>2 800</w:t>
            </w:r>
          </w:p>
        </w:tc>
      </w:tr>
    </w:tbl>
    <w:p w14:paraId="13203A6B" w14:textId="77777777" w:rsidR="00141DD7" w:rsidRPr="00A86DD9" w:rsidRDefault="00141DD7" w:rsidP="00141DD7">
      <w:pPr>
        <w:spacing w:after="120" w:line="276" w:lineRule="auto"/>
        <w:jc w:val="both"/>
        <w:rPr>
          <w:rFonts w:asciiTheme="minorHAnsi" w:eastAsiaTheme="minorHAnsi" w:hAnsiTheme="minorHAnsi" w:cstheme="minorHAnsi"/>
          <w:sz w:val="22"/>
          <w:szCs w:val="22"/>
          <w:lang w:eastAsia="en-US"/>
        </w:rPr>
      </w:pPr>
      <w:r w:rsidRPr="00A86DD9">
        <w:rPr>
          <w:rFonts w:asciiTheme="minorHAnsi" w:eastAsiaTheme="minorHAnsi" w:hAnsiTheme="minorHAnsi" w:cstheme="minorHAnsi"/>
          <w:sz w:val="22"/>
          <w:szCs w:val="22"/>
          <w:lang w:eastAsia="en-US"/>
        </w:rPr>
        <w:t xml:space="preserve">Předpokládáme, že povinným účastníkem, garantem i tvůrcem těchto finančních nástrojů a produktů musí být NRB. V případě, že tomu tak není, považujeme minimálně za nešťastné, že NRB není ani účastníkem tohoto připomínkového řízení, přičemž materiál nebyl s NRB ani konzultován. </w:t>
      </w:r>
    </w:p>
    <w:p w14:paraId="566DCA60" w14:textId="77777777" w:rsidR="00141DD7" w:rsidRPr="00A86DD9" w:rsidRDefault="00141DD7" w:rsidP="00141DD7">
      <w:pPr>
        <w:spacing w:after="120" w:line="276" w:lineRule="auto"/>
        <w:jc w:val="both"/>
        <w:rPr>
          <w:rFonts w:asciiTheme="minorHAnsi" w:eastAsiaTheme="minorHAnsi" w:hAnsiTheme="minorHAnsi" w:cstheme="minorHAnsi"/>
          <w:sz w:val="22"/>
          <w:szCs w:val="22"/>
          <w:lang w:eastAsia="en-US"/>
        </w:rPr>
      </w:pPr>
      <w:r w:rsidRPr="00A86DD9">
        <w:rPr>
          <w:rFonts w:asciiTheme="minorHAnsi" w:eastAsiaTheme="minorHAnsi" w:hAnsiTheme="minorHAnsi" w:cstheme="minorHAnsi"/>
          <w:sz w:val="22"/>
          <w:szCs w:val="22"/>
          <w:lang w:eastAsia="en-US"/>
        </w:rPr>
        <w:t>Materiál dále kromě jiného vůbec nedefinuje potřebu investic včetně způsobu jejich financování s ohledem na inovační, energetickou a dekarbonizační transformaci české ekonomiky.</w:t>
      </w:r>
    </w:p>
    <w:p w14:paraId="4CF9A4DC" w14:textId="77777777" w:rsidR="00141DD7" w:rsidRPr="00C74A3F" w:rsidRDefault="00141DD7" w:rsidP="00141DD7">
      <w:pPr>
        <w:pBdr>
          <w:bottom w:val="single" w:sz="4" w:space="1" w:color="auto"/>
        </w:pBdr>
        <w:spacing w:after="200"/>
        <w:jc w:val="right"/>
        <w:rPr>
          <w:rFonts w:asciiTheme="minorHAnsi" w:eastAsiaTheme="minorHAnsi" w:hAnsiTheme="minorHAnsi" w:cstheme="minorHAnsi"/>
          <w:b/>
          <w:bCs/>
          <w:sz w:val="22"/>
          <w:szCs w:val="22"/>
          <w:lang w:eastAsia="en-US"/>
        </w:rPr>
      </w:pPr>
      <w:r w:rsidRPr="00C74A3F">
        <w:rPr>
          <w:rFonts w:asciiTheme="minorHAnsi" w:eastAsiaTheme="minorHAnsi" w:hAnsiTheme="minorHAnsi" w:cstheme="minorHAnsi"/>
          <w:b/>
          <w:bCs/>
          <w:sz w:val="22"/>
          <w:szCs w:val="22"/>
          <w:lang w:eastAsia="en-US"/>
        </w:rPr>
        <w:t>tato připomínka je zásadní</w:t>
      </w:r>
    </w:p>
    <w:p w14:paraId="4376124D" w14:textId="77777777" w:rsidR="00C74A3F" w:rsidRDefault="00C74A3F" w:rsidP="00141DD7">
      <w:pPr>
        <w:shd w:val="clear" w:color="auto" w:fill="FFFFFF"/>
        <w:spacing w:after="120"/>
        <w:jc w:val="both"/>
        <w:rPr>
          <w:rFonts w:asciiTheme="minorHAnsi" w:hAnsiTheme="minorHAnsi" w:cstheme="minorHAnsi"/>
          <w:b/>
          <w:bCs/>
          <w:color w:val="222222"/>
          <w:sz w:val="22"/>
          <w:szCs w:val="22"/>
          <w:u w:val="single"/>
          <w:lang w:eastAsia="en-US"/>
        </w:rPr>
      </w:pPr>
    </w:p>
    <w:p w14:paraId="2036598D" w14:textId="05DE7D35" w:rsidR="00141DD7" w:rsidRPr="00CC2A26" w:rsidRDefault="00141DD7" w:rsidP="00141DD7">
      <w:pPr>
        <w:shd w:val="clear" w:color="auto" w:fill="FFFFFF"/>
        <w:spacing w:after="120"/>
        <w:jc w:val="both"/>
        <w:rPr>
          <w:rFonts w:asciiTheme="minorHAnsi" w:hAnsiTheme="minorHAnsi" w:cstheme="minorHAnsi"/>
          <w:b/>
          <w:bCs/>
          <w:color w:val="222222"/>
          <w:sz w:val="22"/>
          <w:szCs w:val="22"/>
          <w:u w:val="single"/>
          <w:lang w:eastAsia="en-US"/>
        </w:rPr>
      </w:pPr>
      <w:r w:rsidRPr="00CC2A26">
        <w:rPr>
          <w:rFonts w:asciiTheme="minorHAnsi" w:hAnsiTheme="minorHAnsi" w:cstheme="minorHAnsi"/>
          <w:b/>
          <w:bCs/>
          <w:color w:val="222222"/>
          <w:sz w:val="22"/>
          <w:szCs w:val="22"/>
          <w:u w:val="single"/>
          <w:lang w:eastAsia="en-US"/>
        </w:rPr>
        <w:lastRenderedPageBreak/>
        <w:t>Konkrétní připomínky</w:t>
      </w:r>
    </w:p>
    <w:p w14:paraId="60163097" w14:textId="77777777" w:rsidR="00141DD7" w:rsidRPr="00A86DD9" w:rsidRDefault="00141DD7" w:rsidP="00141DD7">
      <w:pPr>
        <w:spacing w:after="120" w:line="276" w:lineRule="auto"/>
        <w:jc w:val="both"/>
        <w:rPr>
          <w:rFonts w:asciiTheme="minorHAnsi" w:eastAsiaTheme="minorHAnsi" w:hAnsiTheme="minorHAnsi" w:cstheme="minorHAnsi"/>
          <w:sz w:val="22"/>
          <w:szCs w:val="22"/>
          <w:lang w:eastAsia="en-US"/>
        </w:rPr>
      </w:pPr>
      <w:r w:rsidRPr="00A86DD9">
        <w:rPr>
          <w:rFonts w:asciiTheme="minorHAnsi" w:eastAsiaTheme="minorHAnsi" w:hAnsiTheme="minorHAnsi" w:cstheme="minorHAnsi"/>
          <w:sz w:val="22"/>
          <w:szCs w:val="22"/>
          <w:lang w:eastAsia="en-US"/>
        </w:rPr>
        <w:t>Z textu programu není zřejmé, že zárukou lze samostatně zajistit pouze provozní úvěr, a to bez vazby na investici. Prosíme o upřesnění v tomto smyslu (část 4.3, str. 7).</w:t>
      </w:r>
    </w:p>
    <w:p w14:paraId="4E52FDCD" w14:textId="77777777" w:rsidR="00141DD7" w:rsidRPr="00C74A3F" w:rsidRDefault="00141DD7" w:rsidP="00141DD7">
      <w:pPr>
        <w:pBdr>
          <w:bottom w:val="single" w:sz="4" w:space="1" w:color="auto"/>
        </w:pBdr>
        <w:shd w:val="clear" w:color="auto" w:fill="FFFFFF"/>
        <w:spacing w:after="120"/>
        <w:jc w:val="right"/>
        <w:rPr>
          <w:rFonts w:asciiTheme="minorHAnsi" w:hAnsiTheme="minorHAnsi" w:cstheme="minorHAnsi"/>
          <w:b/>
          <w:color w:val="222222"/>
          <w:sz w:val="22"/>
          <w:szCs w:val="22"/>
          <w:lang w:eastAsia="en-US"/>
        </w:rPr>
      </w:pPr>
      <w:r w:rsidRPr="00C74A3F">
        <w:rPr>
          <w:rFonts w:asciiTheme="minorHAnsi" w:hAnsiTheme="minorHAnsi" w:cstheme="minorHAnsi"/>
          <w:b/>
          <w:color w:val="222222"/>
          <w:sz w:val="22"/>
          <w:szCs w:val="22"/>
          <w:lang w:eastAsia="en-US"/>
        </w:rPr>
        <w:t>tato připomínka je zásadní</w:t>
      </w:r>
    </w:p>
    <w:p w14:paraId="60DF7F5B" w14:textId="77777777" w:rsidR="00141DD7" w:rsidRPr="00A86DD9" w:rsidRDefault="00141DD7" w:rsidP="00141DD7">
      <w:pPr>
        <w:spacing w:after="120" w:line="276" w:lineRule="auto"/>
        <w:jc w:val="both"/>
        <w:rPr>
          <w:rFonts w:asciiTheme="minorHAnsi" w:eastAsiaTheme="minorHAnsi" w:hAnsiTheme="minorHAnsi" w:cstheme="minorHAnsi"/>
          <w:sz w:val="22"/>
          <w:szCs w:val="22"/>
          <w:lang w:eastAsia="en-US"/>
        </w:rPr>
      </w:pPr>
      <w:r w:rsidRPr="00A86DD9">
        <w:rPr>
          <w:rFonts w:asciiTheme="minorHAnsi" w:eastAsiaTheme="minorHAnsi" w:hAnsiTheme="minorHAnsi" w:cstheme="minorHAnsi"/>
          <w:sz w:val="22"/>
          <w:szCs w:val="22"/>
          <w:lang w:eastAsia="en-US"/>
        </w:rPr>
        <w:t>V kapitole 5.1 prosíme změnit podmínku omezující splatnost zaručovaného úvěru (viz třetí odrážka) na podmínku omezující pouze dobu ručení s tím, že splatnost nebude omezena, a bude tedy možné, aby přesahovala dobu ručení – obdobně jako to je v současném programu Záruka 2015-2023:</w:t>
      </w:r>
    </w:p>
    <w:p w14:paraId="7925B6BF" w14:textId="77777777" w:rsidR="00141DD7" w:rsidRPr="00A86DD9" w:rsidRDefault="00141DD7" w:rsidP="00141DD7">
      <w:pPr>
        <w:spacing w:after="120" w:line="276" w:lineRule="auto"/>
        <w:jc w:val="both"/>
        <w:rPr>
          <w:rFonts w:asciiTheme="minorHAnsi" w:eastAsiaTheme="minorHAnsi" w:hAnsiTheme="minorHAnsi" w:cstheme="minorHAnsi"/>
          <w:sz w:val="22"/>
          <w:szCs w:val="22"/>
          <w:lang w:eastAsia="en-US"/>
        </w:rPr>
      </w:pPr>
      <w:r w:rsidRPr="00A86DD9">
        <w:rPr>
          <w:rFonts w:asciiTheme="minorHAnsi" w:eastAsiaTheme="minorHAnsi" w:hAnsiTheme="minorHAnsi" w:cstheme="minorHAnsi"/>
          <w:sz w:val="22"/>
          <w:szCs w:val="22"/>
          <w:lang w:eastAsia="en-US"/>
        </w:rPr>
        <w:t>„délka ručení: dle vyhlášené Výzvy k podávání žádostí, maximálně 7 let; v případě Projektu s převažujícím podílem způsobilých výdajů na pořízení nebo technické zhodnocení nemovitých věcí maximálně 10 let“</w:t>
      </w:r>
    </w:p>
    <w:p w14:paraId="36E0C4C8" w14:textId="77777777" w:rsidR="00141DD7" w:rsidRPr="00CC2A26" w:rsidRDefault="00141DD7" w:rsidP="00141DD7">
      <w:pPr>
        <w:spacing w:after="120" w:line="276" w:lineRule="auto"/>
        <w:jc w:val="both"/>
        <w:rPr>
          <w:rFonts w:asciiTheme="minorHAnsi" w:eastAsiaTheme="minorHAnsi" w:hAnsiTheme="minorHAnsi" w:cstheme="minorHAnsi"/>
          <w:sz w:val="22"/>
          <w:szCs w:val="22"/>
          <w:u w:val="single"/>
          <w:lang w:eastAsia="en-US"/>
        </w:rPr>
      </w:pPr>
      <w:r w:rsidRPr="00CC2A26">
        <w:rPr>
          <w:rFonts w:asciiTheme="minorHAnsi" w:eastAsiaTheme="minorHAnsi" w:hAnsiTheme="minorHAnsi" w:cstheme="minorHAnsi"/>
          <w:sz w:val="22"/>
          <w:szCs w:val="22"/>
          <w:u w:val="single"/>
          <w:lang w:eastAsia="en-US"/>
        </w:rPr>
        <w:t>Odůvodnění</w:t>
      </w:r>
      <w:r w:rsidRPr="00A86DD9">
        <w:rPr>
          <w:rFonts w:asciiTheme="minorHAnsi" w:eastAsiaTheme="minorHAnsi" w:hAnsiTheme="minorHAnsi" w:cstheme="minorHAnsi"/>
          <w:sz w:val="22"/>
          <w:szCs w:val="22"/>
          <w:u w:val="single"/>
          <w:lang w:eastAsia="en-US"/>
        </w:rPr>
        <w:t xml:space="preserve">: </w:t>
      </w:r>
    </w:p>
    <w:p w14:paraId="67EA0F2F" w14:textId="77777777" w:rsidR="00141DD7" w:rsidRPr="00A86DD9" w:rsidRDefault="00141DD7" w:rsidP="00141DD7">
      <w:pPr>
        <w:spacing w:after="120" w:line="276" w:lineRule="auto"/>
        <w:jc w:val="both"/>
        <w:rPr>
          <w:rFonts w:asciiTheme="minorHAnsi" w:eastAsiaTheme="minorHAnsi" w:hAnsiTheme="minorHAnsi" w:cstheme="minorHAnsi"/>
          <w:sz w:val="22"/>
          <w:szCs w:val="22"/>
          <w:lang w:eastAsia="en-US"/>
        </w:rPr>
      </w:pPr>
      <w:r w:rsidRPr="00CC2A26">
        <w:rPr>
          <w:rFonts w:asciiTheme="minorHAnsi" w:eastAsiaTheme="minorHAnsi" w:hAnsiTheme="minorHAnsi" w:cstheme="minorHAnsi"/>
          <w:sz w:val="22"/>
          <w:szCs w:val="22"/>
          <w:lang w:eastAsia="en-US"/>
        </w:rPr>
        <w:t>Ú</w:t>
      </w:r>
      <w:r w:rsidRPr="00A86DD9">
        <w:rPr>
          <w:rFonts w:asciiTheme="minorHAnsi" w:eastAsiaTheme="minorHAnsi" w:hAnsiTheme="minorHAnsi" w:cstheme="minorHAnsi"/>
          <w:sz w:val="22"/>
          <w:szCs w:val="22"/>
          <w:lang w:eastAsia="en-US"/>
        </w:rPr>
        <w:t>věry na financování projektů s delší dobou návratnosti mají delší splatnost. Například úvěry na snížení energetické náročnosti budov mají často delší dobu návratnosti a úvěry na jejich financování tak mívají splatnost i delší než 10 let. Pokud by text programu zůstal v původním znění, nebylo by možné tyto úvěry v programu Záruka 2024-2030 zaručit. Naopak, pokud bude text upraven dle návrhu, bude to možné.</w:t>
      </w:r>
    </w:p>
    <w:p w14:paraId="195578CF" w14:textId="77777777" w:rsidR="00141DD7" w:rsidRPr="00C74A3F" w:rsidRDefault="00141DD7" w:rsidP="00141DD7">
      <w:pPr>
        <w:pBdr>
          <w:bottom w:val="single" w:sz="4" w:space="1" w:color="auto"/>
        </w:pBdr>
        <w:shd w:val="clear" w:color="auto" w:fill="FFFFFF"/>
        <w:spacing w:after="120"/>
        <w:jc w:val="right"/>
        <w:rPr>
          <w:rFonts w:asciiTheme="minorHAnsi" w:hAnsiTheme="minorHAnsi" w:cstheme="minorHAnsi"/>
          <w:b/>
          <w:color w:val="222222"/>
          <w:sz w:val="22"/>
          <w:szCs w:val="22"/>
          <w:lang w:eastAsia="en-US"/>
        </w:rPr>
      </w:pPr>
      <w:r w:rsidRPr="00C74A3F">
        <w:rPr>
          <w:rFonts w:asciiTheme="minorHAnsi" w:hAnsiTheme="minorHAnsi" w:cstheme="minorHAnsi"/>
          <w:b/>
          <w:color w:val="222222"/>
          <w:sz w:val="22"/>
          <w:szCs w:val="22"/>
          <w:lang w:eastAsia="en-US"/>
        </w:rPr>
        <w:t>tato připomínka je zásadní</w:t>
      </w:r>
    </w:p>
    <w:p w14:paraId="7F0864E7" w14:textId="77777777" w:rsidR="00141DD7" w:rsidRPr="00A86DD9" w:rsidRDefault="00141DD7" w:rsidP="00141DD7">
      <w:pPr>
        <w:spacing w:after="120" w:line="276" w:lineRule="auto"/>
        <w:jc w:val="both"/>
        <w:rPr>
          <w:rFonts w:asciiTheme="minorHAnsi" w:eastAsiaTheme="minorHAnsi" w:hAnsiTheme="minorHAnsi" w:cstheme="minorHAnsi"/>
          <w:sz w:val="22"/>
          <w:szCs w:val="22"/>
          <w:lang w:eastAsia="en-US"/>
        </w:rPr>
      </w:pPr>
      <w:r w:rsidRPr="00A86DD9">
        <w:rPr>
          <w:rFonts w:asciiTheme="minorHAnsi" w:eastAsiaTheme="minorHAnsi" w:hAnsiTheme="minorHAnsi" w:cstheme="minorHAnsi"/>
          <w:sz w:val="22"/>
          <w:szCs w:val="22"/>
          <w:lang w:eastAsia="en-US"/>
        </w:rPr>
        <w:t xml:space="preserve">Program ZÁRUKA 2024 až 2030 bude realizován ve spolupráci a prostřednictvím MPO a NRB, přičemž tzv. „protizáruka“ EK (tj. Záruka EU) ve výši 80 mil. EUR je využitelná pouze ke krytí části rizika ex-post (z portfoliových záruk NRB za úvěry spolupracujících komerčních bank poskytnutých podnikatelům), a to po přepočtu a odečtení kurzového rizika. Uvedené 2 mld. Kč označené v přiložené tabulce jako „Plnění z protizáruky“ nelze považovat za standardní zdroje programu. Plnění z protizáruky bude uskutečněno pouze u případů zaručovaných úvěrů, které klienti nebudou splácet, a to s časovým odstupem. Pro ilustraci uvádíme rámcový časový harmonogram programu s odkazem na mezní termíny: </w:t>
      </w:r>
    </w:p>
    <w:p w14:paraId="0013EB9B" w14:textId="77777777" w:rsidR="00141DD7" w:rsidRPr="00CC2A26" w:rsidRDefault="00141DD7" w:rsidP="00141DD7">
      <w:pPr>
        <w:spacing w:after="120" w:line="276" w:lineRule="auto"/>
        <w:jc w:val="both"/>
        <w:rPr>
          <w:rFonts w:asciiTheme="minorHAnsi" w:eastAsiaTheme="minorHAnsi" w:hAnsiTheme="minorHAnsi" w:cstheme="minorHAnsi"/>
          <w:sz w:val="22"/>
          <w:szCs w:val="22"/>
          <w:lang w:eastAsia="en-US"/>
        </w:rPr>
      </w:pPr>
      <w:r w:rsidRPr="00A86DD9">
        <w:rPr>
          <w:rFonts w:asciiTheme="minorHAnsi" w:eastAsiaTheme="minorHAnsi" w:hAnsiTheme="minorHAnsi" w:cstheme="minorHAnsi"/>
          <w:sz w:val="22"/>
          <w:szCs w:val="22"/>
          <w:lang w:eastAsia="en-US"/>
        </w:rPr>
        <w:t>Podpis smluv s komerčními bankami musí proběhnout do konce roku 2027, vytváření úvěrových portfolií ze strany bank může probíhat do konce roku 2030, plnění ze záruk může být až do roku 2040 (v případě investičních úvěrů se jedná až o desetileté záruky) a konečné uzavření a vypořádání celého programu proběhne do roku 2042. Objem ve výši 2 mld. Kč z protizáruky se tedy skutečně do programu z převážné části vrátí, ale nikoliv v letech 2027-2030 (jak uvádí materiál), ale průběžně v letech 2025 až 2042 podle toho, jak bude plněno ze záruk, přičemž lze předpokládat, že k většímu defaultu bude docházet spíše po roce 2030 než před ním. Konstrukce čísel v tabulce je zavádějící vzhledem k tomu, že počítá 2 mld. Kč z protizáruky jako zdroje, což za zdroje nelze považovat.</w:t>
      </w:r>
    </w:p>
    <w:p w14:paraId="17424C30" w14:textId="77777777" w:rsidR="00141DD7" w:rsidRPr="00C74A3F" w:rsidRDefault="00141DD7" w:rsidP="00141DD7">
      <w:pPr>
        <w:pBdr>
          <w:bottom w:val="single" w:sz="4" w:space="1" w:color="auto"/>
        </w:pBdr>
        <w:shd w:val="clear" w:color="auto" w:fill="FFFFFF"/>
        <w:spacing w:after="120"/>
        <w:jc w:val="right"/>
        <w:rPr>
          <w:rFonts w:asciiTheme="minorHAnsi" w:hAnsiTheme="minorHAnsi" w:cstheme="minorHAnsi"/>
          <w:b/>
          <w:color w:val="222222"/>
          <w:sz w:val="22"/>
          <w:szCs w:val="22"/>
          <w:lang w:eastAsia="en-US"/>
        </w:rPr>
      </w:pPr>
      <w:r w:rsidRPr="00C74A3F">
        <w:rPr>
          <w:rFonts w:asciiTheme="minorHAnsi" w:hAnsiTheme="minorHAnsi" w:cstheme="minorHAnsi"/>
          <w:b/>
          <w:color w:val="222222"/>
          <w:sz w:val="22"/>
          <w:szCs w:val="22"/>
          <w:lang w:eastAsia="en-US"/>
        </w:rPr>
        <w:t>tato připomínka je zásadní</w:t>
      </w:r>
    </w:p>
    <w:p w14:paraId="65718DBA" w14:textId="77777777" w:rsidR="00141DD7" w:rsidRPr="00CC2A26" w:rsidRDefault="00141DD7" w:rsidP="00141DD7">
      <w:pPr>
        <w:spacing w:after="120" w:line="276" w:lineRule="auto"/>
        <w:jc w:val="both"/>
        <w:rPr>
          <w:rFonts w:asciiTheme="minorHAnsi" w:eastAsiaTheme="minorHAnsi" w:hAnsiTheme="minorHAnsi" w:cstheme="minorHAnsi"/>
          <w:sz w:val="22"/>
          <w:szCs w:val="22"/>
          <w:lang w:eastAsia="en-US"/>
        </w:rPr>
      </w:pPr>
      <w:r w:rsidRPr="00CC2A26">
        <w:rPr>
          <w:rFonts w:asciiTheme="minorHAnsi" w:eastAsiaTheme="minorHAnsi" w:hAnsiTheme="minorHAnsi" w:cstheme="minorHAnsi"/>
          <w:sz w:val="22"/>
          <w:szCs w:val="22"/>
          <w:lang w:eastAsia="en-US"/>
        </w:rPr>
        <w:t>Souběh podpor (část 7, str. 8) – prosíme o upřesnění, zda je možná kumulace podpor (například součet dotace a hrubého grantového ekvivalentu záruky) do výše maximálního limitu veřejné podpory nebo zda je explicitně zakázáno, aby na způsobilý výdaj podpořený zárukou byla poskytnuta jakákoliv jiná veřejná podpora, tj. na takový způsobilý výdaj již není možné nic čerpat</w:t>
      </w:r>
    </w:p>
    <w:p w14:paraId="5056FA38" w14:textId="77777777" w:rsidR="00141DD7" w:rsidRPr="00CC2A26" w:rsidRDefault="00141DD7" w:rsidP="00141DD7">
      <w:pPr>
        <w:pBdr>
          <w:bottom w:val="single" w:sz="4" w:space="1" w:color="auto"/>
        </w:pBdr>
        <w:shd w:val="clear" w:color="auto" w:fill="FFFFFF"/>
        <w:spacing w:after="120"/>
        <w:jc w:val="right"/>
        <w:rPr>
          <w:rFonts w:asciiTheme="minorHAnsi" w:hAnsiTheme="minorHAnsi" w:cstheme="minorHAnsi"/>
          <w:bCs/>
          <w:color w:val="222222"/>
          <w:sz w:val="22"/>
          <w:szCs w:val="22"/>
          <w:lang w:eastAsia="en-US"/>
        </w:rPr>
      </w:pPr>
      <w:r w:rsidRPr="00CC2A26">
        <w:rPr>
          <w:rFonts w:asciiTheme="minorHAnsi" w:hAnsiTheme="minorHAnsi" w:cstheme="minorHAnsi"/>
          <w:bCs/>
          <w:color w:val="222222"/>
          <w:sz w:val="22"/>
          <w:szCs w:val="22"/>
          <w:lang w:eastAsia="en-US"/>
        </w:rPr>
        <w:lastRenderedPageBreak/>
        <w:t xml:space="preserve">tato připomínka je </w:t>
      </w:r>
      <w:r w:rsidRPr="00CC2A26">
        <w:rPr>
          <w:rFonts w:asciiTheme="minorHAnsi" w:hAnsiTheme="minorHAnsi" w:cstheme="minorHAnsi"/>
          <w:b/>
          <w:color w:val="222222"/>
          <w:sz w:val="22"/>
          <w:szCs w:val="22"/>
          <w:lang w:eastAsia="en-US"/>
        </w:rPr>
        <w:t>doporučující</w:t>
      </w:r>
    </w:p>
    <w:p w14:paraId="33CA2251" w14:textId="77777777" w:rsidR="00141DD7" w:rsidRPr="00860F6C" w:rsidRDefault="00141DD7" w:rsidP="00141DD7">
      <w:pPr>
        <w:spacing w:after="120" w:line="276" w:lineRule="auto"/>
        <w:jc w:val="both"/>
        <w:rPr>
          <w:rFonts w:asciiTheme="minorHAnsi" w:eastAsiaTheme="minorHAnsi" w:hAnsiTheme="minorHAnsi" w:cstheme="minorHAnsi"/>
          <w:lang w:eastAsia="en-US"/>
        </w:rPr>
      </w:pPr>
      <w:r w:rsidRPr="00CC2A26">
        <w:rPr>
          <w:rFonts w:asciiTheme="minorHAnsi" w:eastAsiaTheme="minorHAnsi" w:hAnsiTheme="minorHAnsi" w:cstheme="minorHAnsi"/>
          <w:sz w:val="22"/>
          <w:szCs w:val="22"/>
          <w:lang w:eastAsia="en-US"/>
        </w:rPr>
        <w:t>V textu programu nejsou stano</w:t>
      </w:r>
      <w:r w:rsidRPr="00860F6C">
        <w:rPr>
          <w:rFonts w:asciiTheme="minorHAnsi" w:eastAsiaTheme="minorHAnsi" w:hAnsiTheme="minorHAnsi" w:cstheme="minorHAnsi"/>
          <w:lang w:eastAsia="en-US"/>
        </w:rPr>
        <w:t>veny/uvedeny maximální limity pro zajištěné úvěry, a to jak provozní, tak investiční – prosíme o doplnění do textu programu (část 5.1, str. 7).</w:t>
      </w:r>
    </w:p>
    <w:p w14:paraId="6C934D72" w14:textId="77777777" w:rsidR="00141DD7" w:rsidRPr="00C74A3F" w:rsidRDefault="00141DD7" w:rsidP="00141DD7">
      <w:pPr>
        <w:pBdr>
          <w:bottom w:val="single" w:sz="4" w:space="1" w:color="auto"/>
        </w:pBdr>
        <w:shd w:val="clear" w:color="auto" w:fill="FFFFFF"/>
        <w:spacing w:after="120"/>
        <w:jc w:val="right"/>
        <w:rPr>
          <w:rFonts w:asciiTheme="minorHAnsi" w:hAnsiTheme="minorHAnsi" w:cstheme="minorHAnsi"/>
          <w:b/>
          <w:color w:val="222222"/>
          <w:lang w:eastAsia="en-US"/>
        </w:rPr>
      </w:pPr>
      <w:r w:rsidRPr="00C74A3F">
        <w:rPr>
          <w:rFonts w:asciiTheme="minorHAnsi" w:hAnsiTheme="minorHAnsi" w:cstheme="minorHAnsi"/>
          <w:b/>
          <w:color w:val="222222"/>
          <w:lang w:eastAsia="en-US"/>
        </w:rPr>
        <w:t>tato připomínka je doporučující</w:t>
      </w:r>
    </w:p>
    <w:p w14:paraId="42AB43C4" w14:textId="77777777" w:rsidR="00C445B4" w:rsidRPr="00860F6C" w:rsidRDefault="00C445B4" w:rsidP="00141DD7">
      <w:pPr>
        <w:shd w:val="clear" w:color="auto" w:fill="FFFFFF"/>
        <w:jc w:val="both"/>
        <w:rPr>
          <w:rFonts w:asciiTheme="minorHAnsi" w:hAnsiTheme="minorHAnsi" w:cstheme="minorHAnsi"/>
          <w:bCs/>
          <w:color w:val="000000" w:themeColor="text1"/>
        </w:rPr>
      </w:pPr>
    </w:p>
    <w:p w14:paraId="72176905" w14:textId="77777777" w:rsidR="00860F6C" w:rsidRPr="00860F6C" w:rsidRDefault="00860F6C" w:rsidP="00860F6C">
      <w:pPr>
        <w:shd w:val="clear" w:color="auto" w:fill="FFFFFF"/>
        <w:jc w:val="both"/>
        <w:rPr>
          <w:rFonts w:asciiTheme="minorHAnsi" w:hAnsiTheme="minorHAnsi" w:cstheme="minorHAnsi"/>
          <w:bCs/>
          <w:color w:val="000000"/>
        </w:rPr>
      </w:pPr>
    </w:p>
    <w:p w14:paraId="0724E386" w14:textId="77777777" w:rsidR="00860F6C" w:rsidRPr="00860F6C" w:rsidRDefault="00860F6C" w:rsidP="00860F6C">
      <w:pPr>
        <w:rPr>
          <w:rFonts w:asciiTheme="minorHAnsi" w:hAnsiTheme="minorHAnsi" w:cstheme="minorHAnsi"/>
          <w:b/>
          <w:caps/>
        </w:rPr>
      </w:pPr>
      <w:r w:rsidRPr="00860F6C">
        <w:rPr>
          <w:rFonts w:asciiTheme="minorHAnsi" w:hAnsiTheme="minorHAnsi" w:cstheme="minorHAnsi"/>
          <w:u w:val="single"/>
        </w:rPr>
        <w:t>Kontaktní osoby:</w:t>
      </w:r>
    </w:p>
    <w:p w14:paraId="2D394527" w14:textId="77777777" w:rsidR="00860F6C" w:rsidRPr="00860F6C" w:rsidRDefault="00860F6C" w:rsidP="00860F6C">
      <w:pPr>
        <w:shd w:val="clear" w:color="auto" w:fill="FFFFFF"/>
        <w:jc w:val="both"/>
        <w:rPr>
          <w:rFonts w:asciiTheme="minorHAnsi" w:hAnsiTheme="minorHAnsi" w:cstheme="minorHAnsi"/>
          <w:bCs/>
          <w:color w:val="000000" w:themeColor="text1"/>
        </w:rPr>
      </w:pPr>
    </w:p>
    <w:p w14:paraId="5C2DECDC" w14:textId="50728BF0" w:rsidR="00860F6C" w:rsidRPr="00860F6C" w:rsidRDefault="00860F6C" w:rsidP="00860F6C">
      <w:pPr>
        <w:shd w:val="clear" w:color="auto" w:fill="FFFFFF"/>
        <w:jc w:val="both"/>
        <w:rPr>
          <w:rFonts w:asciiTheme="minorHAnsi" w:hAnsiTheme="minorHAnsi" w:cstheme="minorHAnsi"/>
          <w:bCs/>
          <w:color w:val="000000" w:themeColor="text1"/>
        </w:rPr>
      </w:pPr>
      <w:r w:rsidRPr="00860F6C">
        <w:rPr>
          <w:rFonts w:asciiTheme="minorHAnsi" w:hAnsiTheme="minorHAnsi" w:cstheme="minorHAnsi"/>
          <w:bCs/>
          <w:color w:val="000000" w:themeColor="text1"/>
        </w:rPr>
        <w:t>Petr Procházka</w:t>
      </w:r>
      <w:r w:rsidR="009767C2">
        <w:rPr>
          <w:rFonts w:asciiTheme="minorHAnsi" w:hAnsiTheme="minorHAnsi" w:cstheme="minorHAnsi"/>
          <w:bCs/>
          <w:color w:val="000000" w:themeColor="text1"/>
        </w:rPr>
        <w:tab/>
      </w:r>
      <w:r w:rsidR="009767C2">
        <w:rPr>
          <w:rFonts w:asciiTheme="minorHAnsi" w:hAnsiTheme="minorHAnsi" w:cstheme="minorHAnsi"/>
          <w:bCs/>
          <w:color w:val="000000" w:themeColor="text1"/>
        </w:rPr>
        <w:tab/>
      </w:r>
      <w:r w:rsidRPr="00860F6C">
        <w:rPr>
          <w:rFonts w:asciiTheme="minorHAnsi" w:hAnsiTheme="minorHAnsi" w:cstheme="minorHAnsi"/>
          <w:bCs/>
          <w:color w:val="000000" w:themeColor="text1"/>
        </w:rPr>
        <w:t>e-mail:</w:t>
      </w:r>
      <w:r w:rsidR="009767C2">
        <w:rPr>
          <w:rFonts w:asciiTheme="minorHAnsi" w:hAnsiTheme="minorHAnsi" w:cstheme="minorHAnsi"/>
          <w:bCs/>
          <w:color w:val="000000" w:themeColor="text1"/>
        </w:rPr>
        <w:tab/>
      </w:r>
      <w:hyperlink r:id="rId9" w:history="1">
        <w:r w:rsidR="009767C2" w:rsidRPr="007C04CA">
          <w:rPr>
            <w:rStyle w:val="Hypertextovodkaz"/>
            <w:rFonts w:asciiTheme="minorHAnsi" w:hAnsiTheme="minorHAnsi" w:cstheme="minorHAnsi"/>
            <w:bCs/>
          </w:rPr>
          <w:t>petr.prochazka@cbaonline.cz</w:t>
        </w:r>
      </w:hyperlink>
      <w:r w:rsidR="009767C2">
        <w:rPr>
          <w:rFonts w:asciiTheme="minorHAnsi" w:hAnsiTheme="minorHAnsi" w:cstheme="minorHAnsi"/>
          <w:bCs/>
          <w:color w:val="000000" w:themeColor="text1"/>
        </w:rPr>
        <w:t xml:space="preserve"> </w:t>
      </w:r>
      <w:r w:rsidR="009767C2">
        <w:rPr>
          <w:rFonts w:asciiTheme="minorHAnsi" w:hAnsiTheme="minorHAnsi" w:cstheme="minorHAnsi"/>
          <w:bCs/>
          <w:color w:val="000000" w:themeColor="text1"/>
        </w:rPr>
        <w:tab/>
      </w:r>
      <w:r w:rsidRPr="00860F6C">
        <w:rPr>
          <w:rFonts w:asciiTheme="minorHAnsi" w:hAnsiTheme="minorHAnsi" w:cstheme="minorHAnsi"/>
          <w:bCs/>
          <w:color w:val="000000" w:themeColor="text1"/>
        </w:rPr>
        <w:t>tel: 736 524</w:t>
      </w:r>
      <w:r w:rsidRPr="00860F6C">
        <w:rPr>
          <w:rFonts w:asciiTheme="minorHAnsi" w:hAnsiTheme="minorHAnsi" w:cstheme="minorHAnsi"/>
          <w:bCs/>
          <w:color w:val="000000" w:themeColor="text1"/>
        </w:rPr>
        <w:t> </w:t>
      </w:r>
      <w:r w:rsidRPr="00860F6C">
        <w:rPr>
          <w:rFonts w:asciiTheme="minorHAnsi" w:hAnsiTheme="minorHAnsi" w:cstheme="minorHAnsi"/>
          <w:bCs/>
          <w:color w:val="000000" w:themeColor="text1"/>
        </w:rPr>
        <w:t>432</w:t>
      </w:r>
    </w:p>
    <w:p w14:paraId="7840C288" w14:textId="77777777" w:rsidR="00860F6C" w:rsidRPr="00860F6C" w:rsidRDefault="00860F6C" w:rsidP="00860F6C">
      <w:pPr>
        <w:pStyle w:val="indent"/>
        <w:shd w:val="clear" w:color="auto" w:fill="FFFFFF"/>
        <w:spacing w:before="0" w:after="0"/>
        <w:ind w:firstLine="0"/>
        <w:textAlignment w:val="top"/>
        <w:rPr>
          <w:rFonts w:asciiTheme="minorHAnsi" w:hAnsiTheme="minorHAnsi" w:cstheme="minorHAnsi"/>
        </w:rPr>
      </w:pPr>
      <w:r w:rsidRPr="00860F6C">
        <w:rPr>
          <w:rFonts w:asciiTheme="minorHAnsi" w:hAnsiTheme="minorHAnsi" w:cstheme="minorHAnsi"/>
        </w:rPr>
        <w:t>Dr. Jan Zikeš</w:t>
      </w:r>
      <w:r w:rsidRPr="00860F6C">
        <w:rPr>
          <w:rFonts w:asciiTheme="minorHAnsi" w:hAnsiTheme="minorHAnsi" w:cstheme="minorHAnsi"/>
        </w:rPr>
        <w:tab/>
      </w:r>
      <w:r w:rsidRPr="00860F6C">
        <w:rPr>
          <w:rFonts w:asciiTheme="minorHAnsi" w:hAnsiTheme="minorHAnsi" w:cstheme="minorHAnsi"/>
        </w:rPr>
        <w:tab/>
      </w:r>
      <w:r w:rsidRPr="00860F6C">
        <w:rPr>
          <w:rFonts w:asciiTheme="minorHAnsi" w:hAnsiTheme="minorHAnsi" w:cstheme="minorHAnsi"/>
        </w:rPr>
        <w:tab/>
        <w:t>e-mail:</w:t>
      </w:r>
      <w:r w:rsidRPr="00860F6C">
        <w:rPr>
          <w:rFonts w:asciiTheme="minorHAnsi" w:hAnsiTheme="minorHAnsi" w:cstheme="minorHAnsi"/>
        </w:rPr>
        <w:tab/>
      </w:r>
      <w:hyperlink r:id="rId10" w:history="1">
        <w:r w:rsidRPr="00860F6C">
          <w:rPr>
            <w:rStyle w:val="Hypertextovodkaz"/>
            <w:rFonts w:asciiTheme="minorHAnsi" w:hAnsiTheme="minorHAnsi" w:cstheme="minorHAnsi"/>
          </w:rPr>
          <w:t>zikes@kzps.cz</w:t>
        </w:r>
      </w:hyperlink>
      <w:r w:rsidRPr="00860F6C">
        <w:rPr>
          <w:rFonts w:asciiTheme="minorHAnsi" w:hAnsiTheme="minorHAnsi" w:cstheme="minorHAnsi"/>
        </w:rPr>
        <w:tab/>
      </w:r>
      <w:r w:rsidRPr="00860F6C">
        <w:rPr>
          <w:rFonts w:asciiTheme="minorHAnsi" w:hAnsiTheme="minorHAnsi" w:cstheme="minorHAnsi"/>
        </w:rPr>
        <w:tab/>
      </w:r>
      <w:r w:rsidRPr="00860F6C">
        <w:rPr>
          <w:rFonts w:asciiTheme="minorHAnsi" w:hAnsiTheme="minorHAnsi" w:cstheme="minorHAnsi"/>
        </w:rPr>
        <w:tab/>
      </w:r>
      <w:r w:rsidRPr="00860F6C">
        <w:rPr>
          <w:rFonts w:asciiTheme="minorHAnsi" w:hAnsiTheme="minorHAnsi" w:cstheme="minorHAnsi"/>
        </w:rPr>
        <w:tab/>
        <w:t>tel:</w:t>
      </w:r>
      <w:r w:rsidRPr="00860F6C">
        <w:rPr>
          <w:rFonts w:asciiTheme="minorHAnsi" w:hAnsiTheme="minorHAnsi" w:cstheme="minorHAnsi"/>
        </w:rPr>
        <w:tab/>
        <w:t>222 324 985</w:t>
      </w:r>
    </w:p>
    <w:p w14:paraId="6773C79A" w14:textId="77777777" w:rsidR="00860F6C" w:rsidRPr="00860F6C" w:rsidRDefault="00860F6C" w:rsidP="00860F6C">
      <w:pPr>
        <w:jc w:val="both"/>
        <w:rPr>
          <w:rFonts w:asciiTheme="minorHAnsi" w:hAnsiTheme="minorHAnsi" w:cstheme="minorHAnsi"/>
        </w:rPr>
      </w:pPr>
    </w:p>
    <w:p w14:paraId="5FBD43DF" w14:textId="77777777" w:rsidR="00860F6C" w:rsidRPr="00860F6C" w:rsidRDefault="00860F6C" w:rsidP="00860F6C">
      <w:pPr>
        <w:jc w:val="both"/>
        <w:rPr>
          <w:rFonts w:asciiTheme="minorHAnsi" w:hAnsiTheme="minorHAnsi" w:cstheme="minorHAnsi"/>
        </w:rPr>
      </w:pPr>
    </w:p>
    <w:p w14:paraId="7AE1B58C" w14:textId="07EC0F5F" w:rsidR="00860F6C" w:rsidRPr="00860F6C" w:rsidRDefault="00860F6C" w:rsidP="00860F6C">
      <w:pPr>
        <w:jc w:val="both"/>
        <w:rPr>
          <w:rFonts w:asciiTheme="minorHAnsi" w:hAnsiTheme="minorHAnsi" w:cstheme="minorHAnsi"/>
        </w:rPr>
      </w:pPr>
      <w:r w:rsidRPr="00860F6C">
        <w:rPr>
          <w:rFonts w:asciiTheme="minorHAnsi" w:hAnsiTheme="minorHAnsi" w:cstheme="minorHAnsi"/>
        </w:rPr>
        <w:t xml:space="preserve">V Praze dne </w:t>
      </w:r>
      <w:r w:rsidR="009767C2">
        <w:rPr>
          <w:rFonts w:asciiTheme="minorHAnsi" w:hAnsiTheme="minorHAnsi" w:cstheme="minorHAnsi"/>
        </w:rPr>
        <w:t>18. dubna</w:t>
      </w:r>
      <w:r w:rsidRPr="00860F6C">
        <w:rPr>
          <w:rFonts w:asciiTheme="minorHAnsi" w:hAnsiTheme="minorHAnsi" w:cstheme="minorHAnsi"/>
        </w:rPr>
        <w:t xml:space="preserve"> 2024</w:t>
      </w:r>
    </w:p>
    <w:p w14:paraId="3FFEBF82" w14:textId="77777777" w:rsidR="00860F6C" w:rsidRPr="00860F6C" w:rsidRDefault="00860F6C" w:rsidP="00860F6C">
      <w:pPr>
        <w:jc w:val="both"/>
        <w:rPr>
          <w:rFonts w:asciiTheme="minorHAnsi" w:hAnsiTheme="minorHAnsi" w:cstheme="minorHAnsi"/>
        </w:rPr>
      </w:pPr>
    </w:p>
    <w:p w14:paraId="2B05BD9D" w14:textId="77777777" w:rsidR="00860F6C" w:rsidRPr="00860F6C" w:rsidRDefault="00860F6C" w:rsidP="00860F6C">
      <w:pPr>
        <w:jc w:val="both"/>
        <w:rPr>
          <w:rFonts w:asciiTheme="minorHAnsi" w:hAnsiTheme="minorHAnsi" w:cstheme="minorHAnsi"/>
        </w:rPr>
      </w:pPr>
    </w:p>
    <w:p w14:paraId="1647EC48" w14:textId="77777777" w:rsidR="00860F6C" w:rsidRPr="00860F6C" w:rsidRDefault="00860F6C" w:rsidP="00860F6C">
      <w:pPr>
        <w:jc w:val="both"/>
        <w:rPr>
          <w:rFonts w:asciiTheme="minorHAnsi" w:hAnsiTheme="minorHAnsi" w:cstheme="minorHAnsi"/>
        </w:rPr>
      </w:pPr>
    </w:p>
    <w:p w14:paraId="60403B21" w14:textId="77777777" w:rsidR="00860F6C" w:rsidRPr="00860F6C" w:rsidRDefault="00860F6C" w:rsidP="00860F6C">
      <w:pPr>
        <w:jc w:val="both"/>
        <w:rPr>
          <w:rFonts w:asciiTheme="minorHAnsi" w:hAnsiTheme="minorHAnsi" w:cstheme="minorHAnsi"/>
          <w:b/>
          <w:bCs/>
          <w:i/>
          <w:iCs/>
        </w:rPr>
      </w:pPr>
    </w:p>
    <w:p w14:paraId="1B294AF1" w14:textId="77777777" w:rsidR="00860F6C" w:rsidRPr="00860F6C" w:rsidRDefault="00860F6C" w:rsidP="00860F6C">
      <w:pPr>
        <w:jc w:val="right"/>
        <w:rPr>
          <w:rStyle w:val="Siln"/>
          <w:rFonts w:asciiTheme="minorHAnsi" w:hAnsiTheme="minorHAnsi" w:cstheme="minorHAnsi"/>
          <w:shd w:val="clear" w:color="auto" w:fill="FFFFFF"/>
        </w:rPr>
      </w:pPr>
      <w:r w:rsidRPr="00860F6C">
        <w:rPr>
          <w:rStyle w:val="Siln"/>
          <w:rFonts w:asciiTheme="minorHAnsi" w:hAnsiTheme="minorHAnsi" w:cstheme="minorHAnsi"/>
          <w:shd w:val="clear" w:color="auto" w:fill="FFFFFF"/>
        </w:rPr>
        <w:t xml:space="preserve">Ing. Jiří Horecký, Ph.D., </w:t>
      </w:r>
      <w:proofErr w:type="spellStart"/>
      <w:r w:rsidRPr="00860F6C">
        <w:rPr>
          <w:rStyle w:val="Siln"/>
          <w:rFonts w:asciiTheme="minorHAnsi" w:hAnsiTheme="minorHAnsi" w:cstheme="minorHAnsi"/>
          <w:shd w:val="clear" w:color="auto" w:fill="FFFFFF"/>
        </w:rPr>
        <w:t>MSc</w:t>
      </w:r>
      <w:proofErr w:type="spellEnd"/>
      <w:r w:rsidRPr="00860F6C">
        <w:rPr>
          <w:rStyle w:val="Siln"/>
          <w:rFonts w:asciiTheme="minorHAnsi" w:hAnsiTheme="minorHAnsi" w:cstheme="minorHAnsi"/>
          <w:shd w:val="clear" w:color="auto" w:fill="FFFFFF"/>
        </w:rPr>
        <w:t>., MBA</w:t>
      </w:r>
    </w:p>
    <w:p w14:paraId="1A2CACE3" w14:textId="77777777" w:rsidR="00860F6C" w:rsidRPr="00860F6C" w:rsidRDefault="00860F6C" w:rsidP="00860F6C">
      <w:pPr>
        <w:ind w:left="6372"/>
        <w:jc w:val="both"/>
        <w:rPr>
          <w:rFonts w:asciiTheme="minorHAnsi" w:hAnsiTheme="minorHAnsi" w:cstheme="minorHAnsi"/>
          <w:b/>
          <w:bCs/>
        </w:rPr>
      </w:pPr>
      <w:r w:rsidRPr="00860F6C">
        <w:rPr>
          <w:rFonts w:asciiTheme="minorHAnsi" w:hAnsiTheme="minorHAnsi" w:cstheme="minorHAnsi"/>
          <w:b/>
          <w:bCs/>
        </w:rPr>
        <w:t xml:space="preserve">      p r e z i d e n t</w:t>
      </w:r>
    </w:p>
    <w:p w14:paraId="3EF12FD2" w14:textId="77777777" w:rsidR="00860F6C" w:rsidRPr="00860F6C" w:rsidRDefault="00860F6C" w:rsidP="00860F6C">
      <w:pPr>
        <w:jc w:val="both"/>
        <w:rPr>
          <w:rFonts w:asciiTheme="minorHAnsi" w:hAnsiTheme="minorHAnsi" w:cstheme="minorHAnsi"/>
        </w:rPr>
      </w:pPr>
    </w:p>
    <w:p w14:paraId="45C45D56" w14:textId="77777777" w:rsidR="00860F6C" w:rsidRPr="00860F6C" w:rsidRDefault="00860F6C" w:rsidP="00860F6C">
      <w:pPr>
        <w:jc w:val="both"/>
        <w:rPr>
          <w:rFonts w:asciiTheme="minorHAnsi" w:hAnsiTheme="minorHAnsi" w:cstheme="minorHAnsi"/>
        </w:rPr>
      </w:pPr>
    </w:p>
    <w:p w14:paraId="193D821D" w14:textId="77777777" w:rsidR="00860F6C" w:rsidRPr="00860F6C" w:rsidRDefault="00860F6C" w:rsidP="00860F6C">
      <w:pPr>
        <w:jc w:val="both"/>
        <w:rPr>
          <w:rFonts w:asciiTheme="minorHAnsi" w:hAnsiTheme="minorHAnsi" w:cstheme="minorHAnsi"/>
        </w:rPr>
      </w:pPr>
    </w:p>
    <w:p w14:paraId="67B54C27" w14:textId="77777777" w:rsidR="00860F6C" w:rsidRPr="00860F6C" w:rsidRDefault="00860F6C" w:rsidP="00860F6C">
      <w:pPr>
        <w:jc w:val="both"/>
        <w:rPr>
          <w:rFonts w:asciiTheme="minorHAnsi" w:hAnsiTheme="minorHAnsi" w:cstheme="minorHAnsi"/>
        </w:rPr>
      </w:pPr>
    </w:p>
    <w:p w14:paraId="00B34B3D"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0D6E7C0F"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632F5A91" w14:textId="0E22743B" w:rsidR="00257420" w:rsidRPr="00257420" w:rsidRDefault="00257420" w:rsidP="00141DD7"/>
    <w:sectPr w:rsidR="00257420" w:rsidRPr="00257420" w:rsidSect="00E070C3">
      <w:headerReference w:type="default" r:id="rId11"/>
      <w:footerReference w:type="default" r:id="rId12"/>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00DA" w14:textId="77777777" w:rsidR="00A717AD" w:rsidRDefault="00A717AD" w:rsidP="00A717AD">
      <w:r>
        <w:separator/>
      </w:r>
    </w:p>
  </w:endnote>
  <w:endnote w:type="continuationSeparator" w:id="0">
    <w:p w14:paraId="51538C5F" w14:textId="77777777" w:rsidR="00A717AD" w:rsidRDefault="00A717AD"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AD6B" w14:textId="77777777" w:rsidR="00A717AD" w:rsidRDefault="00A717AD" w:rsidP="00A717AD">
      <w:r>
        <w:separator/>
      </w:r>
    </w:p>
  </w:footnote>
  <w:footnote w:type="continuationSeparator" w:id="0">
    <w:p w14:paraId="13EDA769" w14:textId="77777777" w:rsidR="00A717AD" w:rsidRDefault="00A717AD"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42C05"/>
    <w:rsid w:val="00104BA7"/>
    <w:rsid w:val="00141DD7"/>
    <w:rsid w:val="00257420"/>
    <w:rsid w:val="0085374F"/>
    <w:rsid w:val="00860F6C"/>
    <w:rsid w:val="008739B6"/>
    <w:rsid w:val="00874FF8"/>
    <w:rsid w:val="009322C4"/>
    <w:rsid w:val="009767C2"/>
    <w:rsid w:val="00A717AD"/>
    <w:rsid w:val="00B2255E"/>
    <w:rsid w:val="00C12B09"/>
    <w:rsid w:val="00C445B4"/>
    <w:rsid w:val="00C74A3F"/>
    <w:rsid w:val="00C84C24"/>
    <w:rsid w:val="00E070C3"/>
    <w:rsid w:val="00E22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ikes@kzps.cz" TargetMode="External"/><Relationship Id="rId4" Type="http://schemas.openxmlformats.org/officeDocument/2006/relationships/styles" Target="styles.xml"/><Relationship Id="rId9" Type="http://schemas.openxmlformats.org/officeDocument/2006/relationships/hyperlink" Target="mailto:petr.prochazka@cbaonline.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778</Words>
  <Characters>4595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12</cp:revision>
  <dcterms:created xsi:type="dcterms:W3CDTF">2024-04-15T14:48:00Z</dcterms:created>
  <dcterms:modified xsi:type="dcterms:W3CDTF">2024-04-18T08:10:00Z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