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3309D37" w:rsidR="00D442C1" w:rsidRDefault="002B7592" w:rsidP="006132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51C7A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6132DE" w:rsidRPr="006132DE">
        <w:rPr>
          <w:rFonts w:asciiTheme="minorHAnsi" w:hAnsiTheme="minorHAnsi" w:cstheme="minorHAnsi"/>
          <w:b/>
          <w:bCs/>
          <w:sz w:val="24"/>
          <w:szCs w:val="24"/>
        </w:rPr>
        <w:t>Plánu legislativních prací vlády na rok 2024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EFFCDB8" w14:textId="77777777" w:rsidR="00843B66" w:rsidRDefault="00843B66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122519" w14:textId="27A5F8B7" w:rsidR="004A79D9" w:rsidRPr="00F075AD" w:rsidRDefault="004A79D9" w:rsidP="00F075AD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Pr="00F075AD">
        <w:rPr>
          <w:rFonts w:asciiTheme="minorHAnsi" w:hAnsiTheme="minorHAnsi" w:cstheme="minorHAnsi"/>
          <w:b/>
          <w:bCs/>
          <w:sz w:val="24"/>
          <w:szCs w:val="24"/>
        </w:rPr>
        <w:t xml:space="preserve">zásadní </w:t>
      </w:r>
      <w:r w:rsidR="00F075AD" w:rsidRPr="00F075AD">
        <w:rPr>
          <w:rFonts w:asciiTheme="minorHAnsi" w:hAnsiTheme="minorHAnsi" w:cstheme="minorHAnsi"/>
          <w:b/>
          <w:bCs/>
          <w:sz w:val="24"/>
          <w:szCs w:val="24"/>
        </w:rPr>
        <w:t xml:space="preserve">a doporučující </w:t>
      </w:r>
      <w:r w:rsidRPr="00F075AD">
        <w:rPr>
          <w:rFonts w:asciiTheme="minorHAnsi" w:hAnsiTheme="minorHAnsi" w:cstheme="minorHAnsi"/>
          <w:b/>
          <w:bCs/>
          <w:sz w:val="24"/>
          <w:szCs w:val="24"/>
        </w:rPr>
        <w:t>připomínky</w:t>
      </w:r>
      <w:r w:rsidRPr="00F075AD">
        <w:rPr>
          <w:rFonts w:asciiTheme="minorHAnsi" w:hAnsiTheme="minorHAnsi" w:cstheme="minorHAnsi"/>
          <w:sz w:val="24"/>
          <w:szCs w:val="24"/>
        </w:rPr>
        <w:t>:</w:t>
      </w:r>
    </w:p>
    <w:p w14:paraId="352603A1" w14:textId="77777777" w:rsidR="004A79D9" w:rsidRPr="00F075AD" w:rsidRDefault="004A79D9" w:rsidP="00F075AD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0D9F74B" w14:textId="77777777" w:rsidR="00843B66" w:rsidRPr="00F075AD" w:rsidRDefault="00843B66" w:rsidP="00F075AD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551E72" w14:textId="77777777" w:rsidR="00F075AD" w:rsidRPr="00F075AD" w:rsidRDefault="00F075AD" w:rsidP="00F075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DD973" w14:textId="77777777" w:rsidR="00F075AD" w:rsidRPr="00F075AD" w:rsidRDefault="00F075AD" w:rsidP="00F075A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>Do návrhu Plánu legislativních prací vlády na rok 2024, do kapitoly „Místopředseda vlády a ministr práce a sociálních věcí“ je třeba zařadit</w:t>
      </w:r>
      <w:r w:rsidRPr="00F075AD">
        <w:rPr>
          <w:rFonts w:asciiTheme="minorHAnsi" w:hAnsiTheme="minorHAnsi" w:cstheme="minorHAnsi"/>
          <w:b/>
          <w:bCs/>
          <w:sz w:val="24"/>
          <w:szCs w:val="24"/>
        </w:rPr>
        <w:t xml:space="preserve"> návrh novelizace zákona č. 435/2004 Sb., o zaměstnanosti</w:t>
      </w:r>
      <w:r w:rsidRPr="00F075AD">
        <w:rPr>
          <w:rFonts w:asciiTheme="minorHAnsi" w:hAnsiTheme="minorHAnsi" w:cstheme="minorHAnsi"/>
          <w:sz w:val="24"/>
          <w:szCs w:val="24"/>
        </w:rPr>
        <w:t>, který by obsahoval alespoň částečnou úpravu současného systému zaměstnávání osob se zdravotním postižením.</w:t>
      </w:r>
    </w:p>
    <w:p w14:paraId="420BE90B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DF823C9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  <w:u w:val="single"/>
        </w:rPr>
        <w:t>Odůvodnění:</w:t>
      </w:r>
      <w:r w:rsidRPr="00F075AD">
        <w:rPr>
          <w:rFonts w:asciiTheme="minorHAnsi" w:hAnsiTheme="minorHAnsi" w:cstheme="minorHAnsi"/>
          <w:sz w:val="24"/>
          <w:szCs w:val="24"/>
        </w:rPr>
        <w:t xml:space="preserve"> Takováto úprava by mohla vést k alespoň částečné nápravě trhu a ochraně zaměstnavatelů OZP a v konečném důsledku i k ochraně samotných OZP zaměstnaných na „chráněném“ trhu práce. Zároveň by omezila nadužívání příspěvku na podporu zaměstnanosti OZP a tím vedla k úsporám ve státním rozpočtu. Jde o problematiku, kterou </w:t>
      </w:r>
      <w:proofErr w:type="gramStart"/>
      <w:r w:rsidRPr="00F075AD">
        <w:rPr>
          <w:rFonts w:asciiTheme="minorHAnsi" w:hAnsiTheme="minorHAnsi" w:cstheme="minorHAnsi"/>
          <w:sz w:val="24"/>
          <w:szCs w:val="24"/>
        </w:rPr>
        <w:t>řeší</w:t>
      </w:r>
      <w:proofErr w:type="gramEnd"/>
      <w:r w:rsidRPr="00F075AD">
        <w:rPr>
          <w:rFonts w:asciiTheme="minorHAnsi" w:hAnsiTheme="minorHAnsi" w:cstheme="minorHAnsi"/>
          <w:sz w:val="24"/>
          <w:szCs w:val="24"/>
        </w:rPr>
        <w:t xml:space="preserve"> ustanovená pracovní skupina při MPSV ČR.</w:t>
      </w:r>
    </w:p>
    <w:p w14:paraId="1381B93A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2ABAC6D" w14:textId="77777777" w:rsidR="00F075AD" w:rsidRPr="00F075AD" w:rsidRDefault="00F075AD" w:rsidP="00F075AD">
      <w:pPr>
        <w:ind w:firstLine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75AD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3F02C0F1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7B0B464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01054E2D" w14:textId="77777777" w:rsidR="00F075AD" w:rsidRPr="00F075AD" w:rsidRDefault="00F075AD" w:rsidP="00F075A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bCs/>
          <w:sz w:val="24"/>
          <w:szCs w:val="24"/>
        </w:rPr>
        <w:t xml:space="preserve">Do návrhu Plánu legislativních prací vlády na rok 2024, do kapitoly „Místopředseda vlády a ministr zdravotnictví“ navrhujeme zařadit </w:t>
      </w:r>
      <w:r w:rsidRPr="00F075AD">
        <w:rPr>
          <w:rFonts w:asciiTheme="minorHAnsi" w:hAnsiTheme="minorHAnsi" w:cstheme="minorHAnsi"/>
          <w:b/>
          <w:sz w:val="24"/>
          <w:szCs w:val="24"/>
        </w:rPr>
        <w:t>návrh novelizace zákona o elektronickém zdravotnictví a popř. také návrh novelizace zákona o zdravotních službách</w:t>
      </w:r>
      <w:r w:rsidRPr="00F075AD">
        <w:rPr>
          <w:rFonts w:asciiTheme="minorHAnsi" w:hAnsiTheme="minorHAnsi" w:cstheme="minorHAnsi"/>
          <w:bCs/>
          <w:sz w:val="24"/>
          <w:szCs w:val="24"/>
        </w:rPr>
        <w:t xml:space="preserve">, které by zajistily přizpůsobení českého právního řádu plné implementaci nařízení o EHDS a celkově zlepšily a navýšily ambice ČR spojené s vytvářením českého </w:t>
      </w:r>
      <w:proofErr w:type="spellStart"/>
      <w:r w:rsidRPr="00F075AD">
        <w:rPr>
          <w:rFonts w:asciiTheme="minorHAnsi" w:hAnsiTheme="minorHAnsi" w:cstheme="minorHAnsi"/>
          <w:bCs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bCs/>
          <w:sz w:val="24"/>
          <w:szCs w:val="24"/>
        </w:rPr>
        <w:t xml:space="preserve"> (NEHR) systému tak, aby bylo možno do zdravotnické dokumentace NAHLÍŽET, nikoli si ji pouze elektronicky vyměňovat, stejně jako zajistily otevřenější </w:t>
      </w:r>
      <w:proofErr w:type="spellStart"/>
      <w:r w:rsidRPr="00F075AD">
        <w:rPr>
          <w:rFonts w:asciiTheme="minorHAnsi" w:hAnsiTheme="minorHAnsi" w:cstheme="minorHAnsi"/>
          <w:bCs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5AD">
        <w:rPr>
          <w:rFonts w:asciiTheme="minorHAnsi" w:hAnsiTheme="minorHAnsi" w:cstheme="minorHAnsi"/>
          <w:bCs/>
          <w:sz w:val="24"/>
          <w:szCs w:val="24"/>
        </w:rPr>
        <w:t>governance</w:t>
      </w:r>
      <w:proofErr w:type="spellEnd"/>
      <w:r w:rsidRPr="00F075AD">
        <w:rPr>
          <w:rFonts w:asciiTheme="minorHAnsi" w:hAnsiTheme="minorHAnsi" w:cstheme="minorHAnsi"/>
          <w:bCs/>
          <w:sz w:val="24"/>
          <w:szCs w:val="24"/>
        </w:rPr>
        <w:t xml:space="preserve"> a použití </w:t>
      </w:r>
      <w:proofErr w:type="spellStart"/>
      <w:r w:rsidRPr="00F075AD">
        <w:rPr>
          <w:rFonts w:asciiTheme="minorHAnsi" w:hAnsiTheme="minorHAnsi" w:cstheme="minorHAnsi"/>
          <w:bCs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bCs/>
          <w:sz w:val="24"/>
          <w:szCs w:val="24"/>
        </w:rPr>
        <w:t xml:space="preserve"> také pro prevenci dublování výkonů a celkově k dosáhnutí o mnoho vyšší efektivity systému, která je jedinou cestou k dlouhodobé udržitelnosti zdravotnického systému.</w:t>
      </w:r>
    </w:p>
    <w:p w14:paraId="4394D2C3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F666872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075AD">
        <w:rPr>
          <w:rFonts w:asciiTheme="minorHAnsi" w:hAnsiTheme="minorHAnsi" w:cstheme="minorHAnsi"/>
          <w:sz w:val="24"/>
          <w:szCs w:val="24"/>
          <w:u w:val="single"/>
        </w:rPr>
        <w:t>Odůvodnění:</w:t>
      </w:r>
      <w:r w:rsidRPr="00F075AD">
        <w:rPr>
          <w:rFonts w:asciiTheme="minorHAnsi" w:hAnsiTheme="minorHAnsi" w:cstheme="minorHAnsi"/>
          <w:sz w:val="24"/>
          <w:szCs w:val="24"/>
        </w:rPr>
        <w:t xml:space="preserve"> Ministr zdravotnictví v plánu legislativních prací pro rok 2024 nenavrhuje novelizovat zákon o elektronizaci zdravotnictví. Přestože je tento zákon platný již od roku 2022, ukazuje se nyní, v období přípravy implementace a budování reálného integrovaného rozhraní pro výměnu zdravotnických dat, že zákon tak, jak je nastaven, nevyhovuje mezinárodnímu pojetí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>. Zákon vytváří pouze základní právní prostředí pro nejzákladnější formu NEHR (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National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EHR </w:t>
      </w:r>
      <w:proofErr w:type="spellStart"/>
      <w:proofErr w:type="gramStart"/>
      <w:r w:rsidRPr="00F075AD">
        <w:rPr>
          <w:rFonts w:asciiTheme="minorHAnsi" w:hAnsiTheme="minorHAnsi" w:cstheme="minorHAnsi"/>
          <w:sz w:val="24"/>
          <w:szCs w:val="24"/>
        </w:rPr>
        <w:t>system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- sdílení</w:t>
      </w:r>
      <w:proofErr w:type="gramEnd"/>
      <w:r w:rsidRPr="00F075AD">
        <w:rPr>
          <w:rFonts w:asciiTheme="minorHAnsi" w:hAnsiTheme="minorHAnsi" w:cstheme="minorHAnsi"/>
          <w:sz w:val="24"/>
          <w:szCs w:val="24"/>
        </w:rPr>
        <w:t xml:space="preserve"> zdravotnické dokumentace na národní úrovni). Zákon konkrétně upravuje sdílení zdravotnické dokumentace mezi </w:t>
      </w:r>
      <w:r w:rsidRPr="00F075AD">
        <w:rPr>
          <w:rFonts w:asciiTheme="minorHAnsi" w:hAnsiTheme="minorHAnsi" w:cstheme="minorHAnsi"/>
          <w:sz w:val="24"/>
          <w:szCs w:val="24"/>
        </w:rPr>
        <w:lastRenderedPageBreak/>
        <w:t xml:space="preserve">lékaři a směrem k pacientovi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prostřednitcví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>, „dočasného úložiště dat“. Nejedná se tedy o reálné nahlížení do zdravotnické dokumentace pacienta lékařem a nejedná se o reálné nahlížení pacienta do veškeré své zdravotnické dokumentace tak, jak předpokládá nařízení o EHDS (čl. 3 odst. 1): „Právo na přístup ke svým osobním elektronickým zdravotním datům v kontextu primárního použití dat, a to okamžitě, zdarma a v jednoduše čitelném, konsolidovaném a dostupném formátu.“.</w:t>
      </w:r>
    </w:p>
    <w:p w14:paraId="56C1A80B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 xml:space="preserve">Výše popsané principy zákona o elektronizaci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zdravotnictí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jsou bohužel nejsou v souladu nejen s připravovaným nařízením o EHDS, ale také s WHO koncepcí „Digital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>“. WHO v oblasti sdílení zdravotních dat definuje NEHR jako systém, který „</w:t>
      </w:r>
      <w:r w:rsidRPr="00F075AD">
        <w:rPr>
          <w:rFonts w:asciiTheme="minorHAnsi" w:hAnsiTheme="minorHAnsi" w:cstheme="minorHAnsi"/>
          <w:i/>
          <w:iCs/>
          <w:sz w:val="24"/>
          <w:szCs w:val="24"/>
        </w:rPr>
        <w:t>typicky umožňuje náhled do zdravotnické dokumentace pacienta lékařům napříč zdravotním systémem .... a zredukuje potřebu duplikovat testy a zrychlí hodnotící procesy v urgentních situacích tím, že poskytne přístup k informacím o medikaci, laboratorním výsledkům a zobrazovacím metodám</w:t>
      </w:r>
      <w:r w:rsidRPr="00F075AD">
        <w:rPr>
          <w:rFonts w:asciiTheme="minorHAnsi" w:hAnsiTheme="minorHAnsi" w:cstheme="minorHAnsi"/>
          <w:sz w:val="24"/>
          <w:szCs w:val="24"/>
        </w:rPr>
        <w:t xml:space="preserve">“. (REF: WHO „Digital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WHO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European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Region 2023: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ongoing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journey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commitment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transformation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, str. 32). </w:t>
      </w:r>
    </w:p>
    <w:p w14:paraId="5E588489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 xml:space="preserve">Zákon o elektronizaci zdravotnictví však takový systém nenavrhuje a máme tedy za to, že je třeba tento zákon novelizovat a využít plně a efektivně velkorysou nabídku EU financovat vytváření národního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systému, který však vyhovuje představám EU (potažmo WHO) o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jako NEHR.</w:t>
      </w:r>
    </w:p>
    <w:p w14:paraId="04E1741C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 xml:space="preserve">Máme za to, že zákon o elektronizaci zdravotnictví potřebuje být novelizován také proto, že nenaplňuje 3 ze 4 strategických priorit WHO nezbytných při budování funkčního a efektivního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. Zákon naplňuje pouze první prioritu (nastavit normy a vyvinout technické řešení), avšak již nenaplňuje prioritu spočívající v rozšíření národních kapacit k lepšímu řízení digitální transformace zdravotního sektoru a k pokročilé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digtální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zdravotní gramotnosti, stejně jako nevidíme nastavení prostředí k cílenému budování  networkingu, dialogu a výměně znalostí a zkušeností mezi partnery, stakeholdery a širší veřejností a bohužel se obáváme, že zákon o elektronizaci zdravotnictví spolu s Národní strategií pro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neumožní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naplňění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ani čtvrté priority, a to umožnit díky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provádět horizontální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scanning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či analýzy určitých oblastí a identifikovat řešení, v jejichž centru stojí pacient a která pomohou ovlivňovat veřejné zdraví a zdravotní systémy v digitální éře, která nás čeká. </w:t>
      </w:r>
    </w:p>
    <w:p w14:paraId="582FFEB5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 xml:space="preserve">Zákon o elektronizaci zdravotnictví neobsahuje dostatečný a otevřený systém dohledu a řízení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eHealth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, rezignuje na vytvoření národního dohledového orgánu, složeného ze státních, soukromých a pacientských složek a žádným způsobem se nevypořádává s budoucností digitálního zdraví a zdravotnictví, která již reálně nastala – tedy AI použití a hluboké učení, systémový přístup k sekundárním datům, pravidla pro tvoření a zacházení se sekundárními daty, certifikace EHR systémů různých </w:t>
      </w:r>
      <w:proofErr w:type="spellStart"/>
      <w:r w:rsidRPr="00F075AD">
        <w:rPr>
          <w:rFonts w:asciiTheme="minorHAnsi" w:hAnsiTheme="minorHAnsi" w:cstheme="minorHAnsi"/>
          <w:sz w:val="24"/>
          <w:szCs w:val="24"/>
        </w:rPr>
        <w:t>wearables</w:t>
      </w:r>
      <w:proofErr w:type="spellEnd"/>
      <w:r w:rsidRPr="00F075AD">
        <w:rPr>
          <w:rFonts w:asciiTheme="minorHAnsi" w:hAnsiTheme="minorHAnsi" w:cstheme="minorHAnsi"/>
          <w:sz w:val="24"/>
          <w:szCs w:val="24"/>
        </w:rPr>
        <w:t xml:space="preserve"> a wellness aplikací. </w:t>
      </w:r>
    </w:p>
    <w:p w14:paraId="444B49DC" w14:textId="77777777" w:rsidR="00F075AD" w:rsidRPr="00F075AD" w:rsidRDefault="00F075AD" w:rsidP="00F075A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>Na tyto nutné změny není pamatováno v Plánu legislativních prací vlády pro rok 2024, přestože je již dnes více než zřejmé, že nařízení o EHDS bude přijato v roce 2024 a český právní řád bude muset být značně upraven, aby vyhovoval těmto požadavkům (a to nejen prostřednictvím zákona o elektronizaci zdravotnictví, ale také prostřednictvím zákon a o zdravotních službách, jehož novela však také není v Plánu legislativních prací 2024 zahrnuta).</w:t>
      </w:r>
    </w:p>
    <w:p w14:paraId="175D4A2D" w14:textId="77777777" w:rsidR="00F075AD" w:rsidRPr="00F075AD" w:rsidRDefault="00F075AD" w:rsidP="00F075AD">
      <w:pPr>
        <w:shd w:val="clear" w:color="auto" w:fill="FFFFFF"/>
        <w:ind w:left="360"/>
        <w:jc w:val="both"/>
        <w:textAlignment w:val="center"/>
        <w:rPr>
          <w:rFonts w:asciiTheme="minorHAnsi" w:hAnsiTheme="minorHAnsi" w:cstheme="minorHAnsi"/>
          <w:i/>
          <w:iCs/>
          <w:color w:val="0194CB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>Naši připomínku považujeme za zásadní také v návaznosti na vyjádření MZ ČR z října 2023 ke zprávě NKÚ o zpožďování elektronizace zdravotnictví „</w:t>
      </w:r>
      <w:r w:rsidRPr="00F075AD">
        <w:rPr>
          <w:rFonts w:asciiTheme="minorHAnsi" w:hAnsiTheme="minorHAnsi" w:cstheme="minorHAnsi"/>
          <w:i/>
          <w:iCs/>
          <w:sz w:val="24"/>
          <w:szCs w:val="24"/>
          <w:u w:val="single"/>
        </w:rPr>
        <w:t>V současné době tak zákon o elektronizaci zdravotnictví představuje první elementární fázi elektronizace zdravotnictví</w:t>
      </w:r>
      <w:r w:rsidRPr="00F075AD">
        <w:rPr>
          <w:rFonts w:asciiTheme="minorHAnsi" w:hAnsiTheme="minorHAnsi" w:cstheme="minorHAnsi"/>
          <w:i/>
          <w:iCs/>
          <w:sz w:val="24"/>
          <w:szCs w:val="24"/>
        </w:rPr>
        <w:t xml:space="preserve">, která umožnila vznik jeho základní infrastruktury a základních centrálních služeb elektronického zdravotnictví, které jsou aktuálně ve výstavbě, a to s využitím prostředků </w:t>
      </w:r>
      <w:r w:rsidRPr="00F075AD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Národního plánu obnovy,“ uvedl Jakob. A doplnil, že v legislativním procesu je novela zákona pro další fáze elektronizace. </w:t>
      </w:r>
      <w:r w:rsidRPr="00F075AD">
        <w:rPr>
          <w:rFonts w:asciiTheme="minorHAnsi" w:hAnsiTheme="minorHAnsi" w:cstheme="minorHAnsi"/>
          <w:color w:val="222222"/>
          <w:sz w:val="24"/>
          <w:szCs w:val="24"/>
        </w:rPr>
        <w:t>(REF:</w:t>
      </w:r>
      <w:r w:rsidRPr="00F075AD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F075AD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 xml:space="preserve">Elektronizace zdravotnictví se zpožďuje, upozorňuje Nejvyšší kontrolní </w:t>
        </w:r>
        <w:proofErr w:type="gramStart"/>
        <w:r w:rsidRPr="00F075AD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úřad - Zdravotnický</w:t>
        </w:r>
        <w:proofErr w:type="gramEnd"/>
        <w:r w:rsidRPr="00F075AD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 xml:space="preserve"> deník (zdravotnickydenik.cz)</w:t>
        </w:r>
      </w:hyperlink>
      <w:r w:rsidRPr="00F075AD">
        <w:rPr>
          <w:rFonts w:asciiTheme="minorHAnsi" w:hAnsiTheme="minorHAnsi" w:cstheme="minorHAnsi"/>
          <w:sz w:val="24"/>
          <w:szCs w:val="24"/>
        </w:rPr>
        <w:t xml:space="preserve">. Jisté je, že navrhovaná novela (2023) žádný z nedostatků pojetí zákona o elektronizaci zdravotnictví </w:t>
      </w:r>
      <w:proofErr w:type="gramStart"/>
      <w:r w:rsidRPr="00F075AD">
        <w:rPr>
          <w:rFonts w:asciiTheme="minorHAnsi" w:hAnsiTheme="minorHAnsi" w:cstheme="minorHAnsi"/>
          <w:sz w:val="24"/>
          <w:szCs w:val="24"/>
        </w:rPr>
        <w:t>neřeší</w:t>
      </w:r>
      <w:proofErr w:type="gramEnd"/>
      <w:r w:rsidRPr="00F075AD">
        <w:rPr>
          <w:rFonts w:asciiTheme="minorHAnsi" w:hAnsiTheme="minorHAnsi" w:cstheme="minorHAnsi"/>
          <w:sz w:val="24"/>
          <w:szCs w:val="24"/>
        </w:rPr>
        <w:t xml:space="preserve"> a je tedy třeba zákona novelizovat opakovaně.</w:t>
      </w:r>
    </w:p>
    <w:p w14:paraId="70F35E3C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732559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75AD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336CA36C" w14:textId="77777777" w:rsidR="00F075AD" w:rsidRPr="00F075AD" w:rsidRDefault="00F075AD" w:rsidP="00F075AD">
      <w:pPr>
        <w:numPr>
          <w:ilvl w:val="0"/>
          <w:numId w:val="17"/>
        </w:numPr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bCs/>
          <w:sz w:val="24"/>
          <w:szCs w:val="24"/>
        </w:rPr>
        <w:t xml:space="preserve">Do návrhu Plánu legislativních prací vlády na rok 2024, do kapitoly „Ministr financí“ navrhujeme zařadit </w:t>
      </w:r>
      <w:r w:rsidRPr="00F075AD">
        <w:rPr>
          <w:rFonts w:asciiTheme="minorHAnsi" w:hAnsiTheme="minorHAnsi" w:cstheme="minorHAnsi"/>
          <w:b/>
          <w:sz w:val="24"/>
          <w:szCs w:val="24"/>
        </w:rPr>
        <w:t>novou úpravu elektronické evidence tržeb</w:t>
      </w:r>
      <w:r w:rsidRPr="00F075AD">
        <w:rPr>
          <w:rFonts w:asciiTheme="minorHAnsi" w:hAnsiTheme="minorHAnsi" w:cstheme="minorHAnsi"/>
          <w:bCs/>
          <w:sz w:val="24"/>
          <w:szCs w:val="24"/>
        </w:rPr>
        <w:t>.</w:t>
      </w:r>
    </w:p>
    <w:p w14:paraId="69C622C6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130FD23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  <w:u w:val="single"/>
        </w:rPr>
        <w:t xml:space="preserve">Odůvodnění: </w:t>
      </w:r>
      <w:r w:rsidRPr="00F075AD">
        <w:rPr>
          <w:rFonts w:asciiTheme="minorHAnsi" w:hAnsiTheme="minorHAnsi" w:cstheme="minorHAnsi"/>
          <w:sz w:val="24"/>
          <w:szCs w:val="24"/>
        </w:rPr>
        <w:t>Původní zákon o elektronické evidenci tržeb byl zrušen. Přestože se domníváme, že šlo o nesprávné rozhodnutí připouštíme, že potřeboval jisté úpravy. V současné době, kdy z důvodu vnějších i vnitřních okolností se hledají zdroje pro snížení zadlužení státu, je aktuální se touto oblastí opět zabývat. Prvním příkladem je snaha Ministerstva pro místní rozvoj, které ve snaze utlumit šedou ekonomiku v oblasti cestovního ruchu a narovnat tržní prostředí připravuje systém e-Turista,</w:t>
      </w:r>
      <w:r w:rsidRPr="00F075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075AD">
        <w:rPr>
          <w:rFonts w:asciiTheme="minorHAnsi" w:hAnsiTheme="minorHAnsi" w:cstheme="minorHAnsi"/>
          <w:sz w:val="24"/>
          <w:szCs w:val="24"/>
        </w:rPr>
        <w:t>obdobný zrušenému EET. Záměrem je i zmírnit bezpečnostní riziko s tím spojené. Tento záměr považujeme za opodstatněný. Samozřejmě, že zrušený zákon nelze převzít v tehdejší podobě, ale je třeba úpravu přizpůsobit současným technologiím a přezkoumat obsah se záměrem odstranit případné zbytečné administrativní povinnosti.</w:t>
      </w:r>
    </w:p>
    <w:p w14:paraId="7F6C278A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7335D4D6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75AD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733311BF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093CBDE8" w14:textId="77777777" w:rsidR="00F075AD" w:rsidRPr="00F075AD" w:rsidRDefault="00F075AD" w:rsidP="00F075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4E27F2" w14:textId="77777777" w:rsidR="00F075AD" w:rsidRPr="00F075AD" w:rsidRDefault="00F075AD" w:rsidP="00F075AD">
      <w:pPr>
        <w:numPr>
          <w:ilvl w:val="0"/>
          <w:numId w:val="17"/>
        </w:numPr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bCs/>
          <w:sz w:val="24"/>
          <w:szCs w:val="24"/>
        </w:rPr>
        <w:t xml:space="preserve">Do návrhu Plánu legislativních prací vlády na rok 2024, do kapitoly „Ministr průmyslu a obchodu“ navrhujeme zařadit </w:t>
      </w:r>
      <w:r w:rsidRPr="00F075AD">
        <w:rPr>
          <w:rFonts w:asciiTheme="minorHAnsi" w:hAnsiTheme="minorHAnsi" w:cstheme="minorHAnsi"/>
          <w:b/>
          <w:sz w:val="24"/>
          <w:szCs w:val="24"/>
        </w:rPr>
        <w:t>revizi zákona č. 40/1995 Sb., o regulaci reklamy</w:t>
      </w:r>
      <w:r w:rsidRPr="00F075AD">
        <w:rPr>
          <w:rFonts w:asciiTheme="minorHAnsi" w:hAnsiTheme="minorHAnsi" w:cstheme="minorHAnsi"/>
          <w:bCs/>
          <w:sz w:val="24"/>
          <w:szCs w:val="24"/>
        </w:rPr>
        <w:t>.</w:t>
      </w:r>
    </w:p>
    <w:p w14:paraId="235F77BC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208134DA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  <w:u w:val="single"/>
        </w:rPr>
        <w:t>Odůvodnění:</w:t>
      </w:r>
      <w:r w:rsidRPr="00F075AD">
        <w:rPr>
          <w:rFonts w:asciiTheme="minorHAnsi" w:hAnsiTheme="minorHAnsi" w:cstheme="minorHAnsi"/>
          <w:sz w:val="24"/>
          <w:szCs w:val="24"/>
        </w:rPr>
        <w:t xml:space="preserve"> </w:t>
      </w:r>
      <w:r w:rsidRPr="00F075AD">
        <w:rPr>
          <w:rFonts w:asciiTheme="minorHAnsi" w:hAnsiTheme="minorHAnsi" w:cstheme="minorHAnsi"/>
          <w:bCs/>
          <w:sz w:val="24"/>
          <w:szCs w:val="24"/>
        </w:rPr>
        <w:t>Zákon o regulaci reklamy z pohledu pravidel pro humánní léčivé přípravky se v kontextu dnešní doby jeví jako poměrně zastaralý. Zkušenosti z poslední doby ukazují, že absolutní zákaz komunikace informací o léčivých přípravcích (zejména těch na předpis) směrem k veřejnosti jednak není obecně respektován (viz opakovaně medializované informace o konkrétních léčivých přípravcích a jejich účinnosti např. v souvislosti s covid-19), a zároveň nutí veřejnost vyhledávat si požadované informace o léčivých přípravcích na nedůvěryhodných webových stránkách, sociálních sítích apod., což následně vede k tomu, že veřejnost snáze podléhá dezinformacím. Podle našeho názoru tedy nazrál čas na racionální rozvolnění současných pravidel tak, aby subjekty, které mají o léčivých přípravcích nejvíce informací (tedy jejich výrobci), měly možnost tyto informace řízeně komunikovat i na laickou veřejnost, aniž by to bylo považováno za nedovolenou reklamu. Dále bude vhodné zamyslet se i nad dalšími tématy, jako například zda by nebylo na místě definovat, že zdravotní sestry jsou rovněž zdravotnickými odborníky – to by jim významně usnadnilo situaci při získávání odborných medicínských informací, které potřebují ke své práci. Rovněž by stálo za to zvážit možnosti širšího využívání prostředků digitální komunikace (QR kódy apod.). S ohledem na výše uvedené doporučujeme důkladnou revizi zákona o regulaci reklamy v oblasti reklamy na léčivé přípravky.</w:t>
      </w:r>
    </w:p>
    <w:p w14:paraId="17D54299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68B249" w14:textId="77777777" w:rsidR="00F075AD" w:rsidRPr="00F075AD" w:rsidRDefault="00F075AD" w:rsidP="00F075AD">
      <w:pPr>
        <w:ind w:left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75AD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2A8C7808" w14:textId="77777777" w:rsidR="00F075AD" w:rsidRPr="00F075AD" w:rsidRDefault="00F075AD" w:rsidP="00F075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6BEDA2" w14:textId="77777777" w:rsidR="004A79D9" w:rsidRPr="00F075AD" w:rsidRDefault="004A79D9" w:rsidP="00F075AD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  <w:u w:val="single"/>
        </w:rPr>
        <w:lastRenderedPageBreak/>
        <w:t>Kontaktní osoby:</w:t>
      </w:r>
    </w:p>
    <w:p w14:paraId="4F882F33" w14:textId="77777777" w:rsidR="004A79D9" w:rsidRPr="00F075AD" w:rsidRDefault="004A79D9" w:rsidP="00F075A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6879F14" w14:textId="77777777" w:rsidR="004A79D9" w:rsidRPr="00F075AD" w:rsidRDefault="004A79D9" w:rsidP="00F075A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075A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JUDr. Zdeněk Čáp</w:t>
      </w:r>
      <w:r w:rsidRPr="00F075A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075A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2" w:history="1">
        <w:r w:rsidRPr="00F075AD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cap@scmvd.cz</w:t>
        </w:r>
      </w:hyperlink>
      <w:r w:rsidRPr="00F075A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075A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075A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Pr="00F075A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224 109 314</w:t>
      </w:r>
    </w:p>
    <w:p w14:paraId="0BEE9D28" w14:textId="77777777" w:rsidR="004A79D9" w:rsidRPr="00F075AD" w:rsidRDefault="004A79D9" w:rsidP="00F075AD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F075AD">
        <w:rPr>
          <w:rFonts w:asciiTheme="minorHAnsi" w:hAnsiTheme="minorHAnsi" w:cstheme="minorHAnsi"/>
        </w:rPr>
        <w:t>Dr. Jan Zikeš</w:t>
      </w:r>
      <w:r w:rsidRPr="00F075AD">
        <w:rPr>
          <w:rFonts w:asciiTheme="minorHAnsi" w:hAnsiTheme="minorHAnsi" w:cstheme="minorHAnsi"/>
        </w:rPr>
        <w:tab/>
      </w:r>
      <w:r w:rsidRPr="00F075AD">
        <w:rPr>
          <w:rFonts w:asciiTheme="minorHAnsi" w:hAnsiTheme="minorHAnsi" w:cstheme="minorHAnsi"/>
        </w:rPr>
        <w:tab/>
      </w:r>
      <w:r w:rsidRPr="00F075AD">
        <w:rPr>
          <w:rFonts w:asciiTheme="minorHAnsi" w:hAnsiTheme="minorHAnsi" w:cstheme="minorHAnsi"/>
        </w:rPr>
        <w:tab/>
        <w:t>e-mail:</w:t>
      </w:r>
      <w:r w:rsidRPr="00F075AD">
        <w:rPr>
          <w:rFonts w:asciiTheme="minorHAnsi" w:hAnsiTheme="minorHAnsi" w:cstheme="minorHAnsi"/>
        </w:rPr>
        <w:tab/>
      </w:r>
      <w:hyperlink r:id="rId13" w:history="1">
        <w:r w:rsidRPr="00F075AD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F075AD">
        <w:rPr>
          <w:rFonts w:asciiTheme="minorHAnsi" w:hAnsiTheme="minorHAnsi" w:cstheme="minorHAnsi"/>
        </w:rPr>
        <w:tab/>
      </w:r>
      <w:r w:rsidRPr="00F075AD">
        <w:rPr>
          <w:rFonts w:asciiTheme="minorHAnsi" w:hAnsiTheme="minorHAnsi" w:cstheme="minorHAnsi"/>
        </w:rPr>
        <w:tab/>
      </w:r>
      <w:r w:rsidRPr="00F075AD">
        <w:rPr>
          <w:rFonts w:asciiTheme="minorHAnsi" w:hAnsiTheme="minorHAnsi" w:cstheme="minorHAnsi"/>
        </w:rPr>
        <w:tab/>
      </w:r>
      <w:r w:rsidRPr="00F075AD">
        <w:rPr>
          <w:rFonts w:asciiTheme="minorHAnsi" w:hAnsiTheme="minorHAnsi" w:cstheme="minorHAnsi"/>
        </w:rPr>
        <w:tab/>
        <w:t>tel:</w:t>
      </w:r>
      <w:r w:rsidRPr="00F075AD">
        <w:rPr>
          <w:rFonts w:asciiTheme="minorHAnsi" w:hAnsiTheme="minorHAnsi" w:cstheme="minorHAnsi"/>
        </w:rPr>
        <w:tab/>
        <w:t>222 324 985</w:t>
      </w:r>
    </w:p>
    <w:p w14:paraId="5C0FC7AB" w14:textId="77777777" w:rsidR="004A79D9" w:rsidRPr="00F075AD" w:rsidRDefault="004A79D9" w:rsidP="00F075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BD78A" w14:textId="77777777" w:rsidR="004A79D9" w:rsidRPr="00F075AD" w:rsidRDefault="004A79D9" w:rsidP="00F075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B172BFB" w:rsidR="00FD1397" w:rsidRDefault="009A436D" w:rsidP="00F075AD">
      <w:pPr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F075AD">
        <w:rPr>
          <w:rFonts w:asciiTheme="minorHAnsi" w:hAnsiTheme="minorHAnsi" w:cstheme="minorHAnsi"/>
          <w:sz w:val="24"/>
          <w:szCs w:val="24"/>
        </w:rPr>
        <w:t xml:space="preserve"> </w:t>
      </w:r>
      <w:r w:rsidR="00D40ED5" w:rsidRPr="00F075AD">
        <w:rPr>
          <w:rFonts w:asciiTheme="minorHAnsi" w:hAnsiTheme="minorHAnsi" w:cstheme="minorHAnsi"/>
          <w:sz w:val="24"/>
          <w:szCs w:val="24"/>
        </w:rPr>
        <w:t>1</w:t>
      </w:r>
      <w:r w:rsidR="00F14969">
        <w:rPr>
          <w:rFonts w:asciiTheme="minorHAnsi" w:hAnsiTheme="minorHAnsi" w:cstheme="minorHAnsi"/>
          <w:sz w:val="24"/>
          <w:szCs w:val="24"/>
        </w:rPr>
        <w:t>6. listopadu</w:t>
      </w:r>
      <w:r w:rsidR="00CF3AB9" w:rsidRPr="00F075AD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E1B223B" w14:textId="77777777" w:rsidR="00C97318" w:rsidRPr="00F075AD" w:rsidRDefault="00C97318" w:rsidP="00F075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C57E2" w14:textId="77777777" w:rsidR="00940161" w:rsidRPr="00F075AD" w:rsidRDefault="00940161" w:rsidP="00F075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F075AD" w:rsidRDefault="009846A5" w:rsidP="00F075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F075AD" w:rsidRDefault="00BF1917" w:rsidP="00F075A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2A28AB" w:rsidRPr="00F075AD">
        <w:rPr>
          <w:rFonts w:asciiTheme="minorHAnsi" w:hAnsiTheme="minorHAnsi" w:cstheme="minorHAnsi"/>
          <w:sz w:val="24"/>
          <w:szCs w:val="24"/>
        </w:rPr>
        <w:tab/>
      </w:r>
      <w:r w:rsidR="002A28AB" w:rsidRPr="00F075AD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F075AD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F075AD">
      <w:pPr>
        <w:jc w:val="both"/>
        <w:rPr>
          <w:rFonts w:asciiTheme="minorHAnsi" w:hAnsiTheme="minorHAnsi" w:cstheme="minorHAnsi"/>
          <w:sz w:val="24"/>
          <w:szCs w:val="24"/>
        </w:rPr>
      </w:pPr>
      <w:r w:rsidRPr="00F075AD">
        <w:rPr>
          <w:rFonts w:asciiTheme="minorHAnsi" w:hAnsiTheme="minorHAnsi" w:cstheme="minorHAnsi"/>
          <w:sz w:val="24"/>
          <w:szCs w:val="24"/>
        </w:rPr>
        <w:tab/>
      </w:r>
      <w:r w:rsidRPr="00F075A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F075AD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F075AD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E825FB" w:rsidRPr="00F075AD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F1A8" w14:textId="77777777" w:rsidR="0062766A" w:rsidRDefault="0062766A">
      <w:r>
        <w:separator/>
      </w:r>
    </w:p>
    <w:p w14:paraId="32696A5C" w14:textId="77777777" w:rsidR="0062766A" w:rsidRDefault="0062766A"/>
  </w:endnote>
  <w:endnote w:type="continuationSeparator" w:id="0">
    <w:p w14:paraId="66E52E09" w14:textId="77777777" w:rsidR="0062766A" w:rsidRDefault="0062766A">
      <w:r>
        <w:continuationSeparator/>
      </w:r>
    </w:p>
    <w:p w14:paraId="012402C7" w14:textId="77777777" w:rsidR="0062766A" w:rsidRDefault="0062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7399" w14:textId="77777777" w:rsidR="0062766A" w:rsidRDefault="0062766A">
      <w:r>
        <w:separator/>
      </w:r>
    </w:p>
    <w:p w14:paraId="08636C42" w14:textId="77777777" w:rsidR="0062766A" w:rsidRDefault="0062766A"/>
  </w:footnote>
  <w:footnote w:type="continuationSeparator" w:id="0">
    <w:p w14:paraId="5D4C7D87" w14:textId="77777777" w:rsidR="0062766A" w:rsidRDefault="0062766A">
      <w:r>
        <w:continuationSeparator/>
      </w:r>
    </w:p>
    <w:p w14:paraId="5A78873F" w14:textId="77777777" w:rsidR="0062766A" w:rsidRDefault="00627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F1931"/>
    <w:multiLevelType w:val="hybridMultilevel"/>
    <w:tmpl w:val="5EE055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634293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32DE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318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075AD"/>
    <w:rsid w:val="00F13A1B"/>
    <w:rsid w:val="00F14969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F075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p@scmvd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dravotnickydenik.cz/2023/10/elektronizace-zdravotnictvi-se-zpozduje-upozornuje-nejvyssi-kontrolni-ura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1366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10079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40</cp:revision>
  <cp:lastPrinted>2016-10-12T10:41:00Z</cp:lastPrinted>
  <dcterms:created xsi:type="dcterms:W3CDTF">2020-07-21T13:09:00Z</dcterms:created>
  <dcterms:modified xsi:type="dcterms:W3CDTF">2023-11-16T12:58:00Z</dcterms:modified>
</cp:coreProperties>
</file>