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1A7D" w14:textId="1C6945F8" w:rsidR="00CD5A5C" w:rsidRDefault="00B047F9">
      <w:pPr>
        <w:pStyle w:val="Nzev"/>
        <w:pBdr>
          <w:bottom w:val="none" w:sz="0" w:space="0" w:color="auto"/>
        </w:pBdr>
        <w:jc w:val="left"/>
        <w:rPr>
          <w:rFonts w:ascii="Arial" w:hAnsi="Arial"/>
        </w:rPr>
      </w:pPr>
      <w:r>
        <w:rPr>
          <w:b w:val="0"/>
          <w:i w:val="0"/>
          <w:noProof/>
        </w:rPr>
        <w:drawing>
          <wp:anchor distT="0" distB="0" distL="114300" distR="114300" simplePos="0" relativeHeight="251657728" behindDoc="0" locked="0" layoutInCell="0" allowOverlap="1" wp14:anchorId="761718AB" wp14:editId="67EDDB74">
            <wp:simplePos x="0" y="0"/>
            <wp:positionH relativeFrom="column">
              <wp:posOffset>31750</wp:posOffset>
            </wp:positionH>
            <wp:positionV relativeFrom="paragraph">
              <wp:posOffset>0</wp:posOffset>
            </wp:positionV>
            <wp:extent cx="1151890" cy="34226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342265"/>
                    </a:xfrm>
                    <a:prstGeom prst="rect">
                      <a:avLst/>
                    </a:prstGeom>
                    <a:noFill/>
                  </pic:spPr>
                </pic:pic>
              </a:graphicData>
            </a:graphic>
            <wp14:sizeRelH relativeFrom="page">
              <wp14:pctWidth>0</wp14:pctWidth>
            </wp14:sizeRelH>
            <wp14:sizeRelV relativeFrom="page">
              <wp14:pctHeight>0</wp14:pctHeight>
            </wp14:sizeRelV>
          </wp:anchor>
        </w:drawing>
      </w:r>
    </w:p>
    <w:p w14:paraId="18271603" w14:textId="5B63BD7D" w:rsidR="00CD5A5C" w:rsidRDefault="00CD5A5C" w:rsidP="0064259D">
      <w:pPr>
        <w:pStyle w:val="Nzev"/>
        <w:pBdr>
          <w:bottom w:val="none" w:sz="0" w:space="0" w:color="auto"/>
        </w:pBdr>
        <w:jc w:val="left"/>
        <w:rPr>
          <w:rFonts w:ascii="Arial" w:hAnsi="Arial"/>
          <w:sz w:val="24"/>
        </w:rPr>
      </w:pPr>
      <w:r>
        <w:rPr>
          <w:rFonts w:ascii="Arial" w:hAnsi="Arial"/>
          <w:sz w:val="24"/>
        </w:rPr>
        <w:t>Konfederace</w:t>
      </w:r>
    </w:p>
    <w:p w14:paraId="2E843A72" w14:textId="25F7DF3A" w:rsidR="00CD5A5C" w:rsidRDefault="00CD5A5C" w:rsidP="0064259D">
      <w:pPr>
        <w:pStyle w:val="Nzev"/>
        <w:pBdr>
          <w:bottom w:val="none" w:sz="0" w:space="0" w:color="auto"/>
        </w:pBdr>
        <w:jc w:val="left"/>
        <w:rPr>
          <w:rFonts w:ascii="Arial" w:hAnsi="Arial"/>
          <w:sz w:val="24"/>
        </w:rPr>
      </w:pPr>
      <w:r>
        <w:rPr>
          <w:rFonts w:ascii="Arial" w:hAnsi="Arial"/>
          <w:sz w:val="24"/>
        </w:rPr>
        <w:t>zaměstnavatelských a podnikatelských svazů ČR</w:t>
      </w:r>
    </w:p>
    <w:p w14:paraId="1AC3CCE9" w14:textId="77777777" w:rsidR="00CD5A5C" w:rsidRDefault="00CD5A5C" w:rsidP="0064259D">
      <w:pPr>
        <w:pStyle w:val="Nzev"/>
        <w:pBdr>
          <w:bottom w:val="none" w:sz="0" w:space="0" w:color="auto"/>
        </w:pBdr>
        <w:jc w:val="left"/>
        <w:rPr>
          <w:rFonts w:ascii="Arial" w:hAnsi="Arial"/>
        </w:rPr>
        <w:sectPr w:rsidR="00CD5A5C" w:rsidSect="002F1DD2">
          <w:headerReference w:type="even" r:id="rId9"/>
          <w:headerReference w:type="default" r:id="rId10"/>
          <w:pgSz w:w="11906" w:h="16838"/>
          <w:pgMar w:top="1417" w:right="1417" w:bottom="1417" w:left="1417" w:header="624" w:footer="624" w:gutter="0"/>
          <w:cols w:num="2" w:space="708"/>
          <w:titlePg/>
          <w:docGrid w:linePitch="272"/>
        </w:sectPr>
      </w:pPr>
    </w:p>
    <w:p w14:paraId="6498D611" w14:textId="427231F6" w:rsidR="00CD5A5C" w:rsidRDefault="00CD5A5C" w:rsidP="0064259D">
      <w:pPr>
        <w:rPr>
          <w:sz w:val="18"/>
        </w:rPr>
      </w:pPr>
      <w:r>
        <w:rPr>
          <w:i/>
          <w:sz w:val="18"/>
        </w:rPr>
        <w:t xml:space="preserve"> Sekretariát:</w:t>
      </w:r>
      <w:r>
        <w:rPr>
          <w:i/>
          <w:sz w:val="18"/>
        </w:rPr>
        <w:tab/>
        <w:t xml:space="preserve">    </w:t>
      </w:r>
      <w:r>
        <w:rPr>
          <w:i/>
          <w:sz w:val="18"/>
        </w:rPr>
        <w:tab/>
        <w:t xml:space="preserve"> </w:t>
      </w:r>
      <w:r w:rsidR="007F5296">
        <w:rPr>
          <w:sz w:val="18"/>
        </w:rPr>
        <w:t>Václavské nám. 21</w:t>
      </w:r>
      <w:r w:rsidR="00E307C6">
        <w:rPr>
          <w:sz w:val="18"/>
        </w:rPr>
        <w:tab/>
        <w:t xml:space="preserve">               </w:t>
      </w:r>
      <w:r w:rsidR="00CB444F">
        <w:rPr>
          <w:sz w:val="18"/>
        </w:rPr>
        <w:t>tel.: 2</w:t>
      </w:r>
      <w:r w:rsidR="007F5296">
        <w:rPr>
          <w:sz w:val="18"/>
        </w:rPr>
        <w:t>22</w:t>
      </w:r>
      <w:r w:rsidR="00CB444F">
        <w:rPr>
          <w:sz w:val="18"/>
        </w:rPr>
        <w:t> </w:t>
      </w:r>
      <w:r w:rsidR="003D3118">
        <w:rPr>
          <w:sz w:val="18"/>
        </w:rPr>
        <w:t>324</w:t>
      </w:r>
      <w:r w:rsidR="00CB444F">
        <w:rPr>
          <w:sz w:val="18"/>
        </w:rPr>
        <w:t xml:space="preserve"> </w:t>
      </w:r>
      <w:r w:rsidR="003D3118">
        <w:rPr>
          <w:sz w:val="18"/>
        </w:rPr>
        <w:t>985</w:t>
      </w:r>
    </w:p>
    <w:p w14:paraId="565938B2" w14:textId="77777777" w:rsidR="00CD5A5C" w:rsidRDefault="003D3118" w:rsidP="0064259D">
      <w:pPr>
        <w:pBdr>
          <w:bottom w:val="single" w:sz="6" w:space="1" w:color="auto"/>
        </w:pBdr>
        <w:ind w:firstLine="708"/>
        <w:rPr>
          <w:sz w:val="18"/>
        </w:rPr>
      </w:pPr>
      <w:r>
        <w:rPr>
          <w:sz w:val="18"/>
        </w:rPr>
        <w:t xml:space="preserve">                   </w:t>
      </w:r>
      <w:r>
        <w:rPr>
          <w:sz w:val="18"/>
        </w:rPr>
        <w:tab/>
        <w:t xml:space="preserve"> </w:t>
      </w:r>
      <w:r w:rsidR="003A2553">
        <w:rPr>
          <w:sz w:val="18"/>
        </w:rPr>
        <w:t>110 0</w:t>
      </w:r>
      <w:r w:rsidR="00197D36">
        <w:rPr>
          <w:sz w:val="18"/>
        </w:rPr>
        <w:t>0 Praha</w:t>
      </w:r>
      <w:r w:rsidR="00CB444F">
        <w:rPr>
          <w:sz w:val="18"/>
        </w:rPr>
        <w:t xml:space="preserve"> </w:t>
      </w:r>
      <w:r>
        <w:rPr>
          <w:sz w:val="18"/>
        </w:rPr>
        <w:t>1</w:t>
      </w:r>
      <w:r w:rsidR="00E307C6">
        <w:rPr>
          <w:sz w:val="18"/>
        </w:rPr>
        <w:tab/>
      </w:r>
      <w:r w:rsidR="00E307C6">
        <w:rPr>
          <w:sz w:val="18"/>
        </w:rPr>
        <w:tab/>
        <w:t xml:space="preserve">               </w:t>
      </w:r>
      <w:r w:rsidR="00CB444F">
        <w:rPr>
          <w:sz w:val="18"/>
        </w:rPr>
        <w:t>fax: 2</w:t>
      </w:r>
      <w:r w:rsidR="007F5296">
        <w:rPr>
          <w:sz w:val="18"/>
        </w:rPr>
        <w:t>24</w:t>
      </w:r>
      <w:r w:rsidR="00173E77">
        <w:rPr>
          <w:sz w:val="18"/>
        </w:rPr>
        <w:t> </w:t>
      </w:r>
      <w:r w:rsidR="007F5296">
        <w:rPr>
          <w:sz w:val="18"/>
        </w:rPr>
        <w:t>1</w:t>
      </w:r>
      <w:r w:rsidR="00173E77">
        <w:rPr>
          <w:sz w:val="18"/>
        </w:rPr>
        <w:t>0</w:t>
      </w:r>
      <w:r w:rsidR="007F5296">
        <w:rPr>
          <w:sz w:val="18"/>
        </w:rPr>
        <w:t>9</w:t>
      </w:r>
      <w:r w:rsidR="00173E77">
        <w:rPr>
          <w:sz w:val="18"/>
        </w:rPr>
        <w:t xml:space="preserve"> </w:t>
      </w:r>
      <w:proofErr w:type="gramStart"/>
      <w:r w:rsidR="00173E77">
        <w:rPr>
          <w:sz w:val="18"/>
        </w:rPr>
        <w:t>3</w:t>
      </w:r>
      <w:r w:rsidR="007F5296">
        <w:rPr>
          <w:sz w:val="18"/>
        </w:rPr>
        <w:t>74</w:t>
      </w:r>
      <w:r w:rsidR="00CD5A5C">
        <w:rPr>
          <w:sz w:val="18"/>
        </w:rPr>
        <w:t xml:space="preserve">  </w:t>
      </w:r>
      <w:r w:rsidR="00CD5A5C">
        <w:rPr>
          <w:sz w:val="18"/>
        </w:rPr>
        <w:tab/>
      </w:r>
      <w:proofErr w:type="gramEnd"/>
      <w:r w:rsidR="00CD5A5C">
        <w:rPr>
          <w:sz w:val="18"/>
        </w:rPr>
        <w:t xml:space="preserve">            </w:t>
      </w:r>
      <w:r w:rsidR="005543D8">
        <w:rPr>
          <w:sz w:val="18"/>
        </w:rPr>
        <w:tab/>
      </w:r>
      <w:r w:rsidR="00E307C6">
        <w:rPr>
          <w:sz w:val="18"/>
        </w:rPr>
        <w:t xml:space="preserve">            </w:t>
      </w:r>
      <w:r w:rsidR="00CD5A5C">
        <w:rPr>
          <w:sz w:val="18"/>
        </w:rPr>
        <w:t xml:space="preserve">mail: </w:t>
      </w:r>
      <w:hyperlink r:id="rId11" w:history="1">
        <w:r w:rsidR="001551F1" w:rsidRPr="00EB37F2">
          <w:rPr>
            <w:rStyle w:val="Hypertextovodkaz"/>
            <w:sz w:val="18"/>
          </w:rPr>
          <w:t>kzps@kzps.cz</w:t>
        </w:r>
      </w:hyperlink>
      <w:r w:rsidR="001551F1">
        <w:rPr>
          <w:sz w:val="18"/>
        </w:rPr>
        <w:t xml:space="preserve"> </w:t>
      </w:r>
    </w:p>
    <w:p w14:paraId="37E0DB6F" w14:textId="77777777" w:rsidR="004715AB" w:rsidRDefault="004715AB" w:rsidP="0064259D">
      <w:pPr>
        <w:pBdr>
          <w:bottom w:val="single" w:sz="6" w:space="1" w:color="auto"/>
        </w:pBdr>
        <w:ind w:firstLine="708"/>
        <w:rPr>
          <w:sz w:val="18"/>
        </w:rPr>
      </w:pPr>
    </w:p>
    <w:p w14:paraId="17A087A5" w14:textId="18D82158" w:rsidR="002A7D42" w:rsidRPr="00B411A7" w:rsidRDefault="002A7D42" w:rsidP="007A2819">
      <w:pPr>
        <w:jc w:val="center"/>
        <w:rPr>
          <w:rFonts w:ascii="Calibri" w:hAnsi="Calibri" w:cs="Arial"/>
          <w:b/>
          <w:bCs/>
          <w:sz w:val="52"/>
          <w:szCs w:val="52"/>
        </w:rPr>
      </w:pPr>
      <w:r w:rsidRPr="00B411A7">
        <w:rPr>
          <w:rFonts w:ascii="Calibri" w:hAnsi="Calibri" w:cs="Arial"/>
          <w:b/>
          <w:bCs/>
          <w:sz w:val="52"/>
          <w:szCs w:val="52"/>
        </w:rPr>
        <w:t>S</w:t>
      </w:r>
      <w:r w:rsidR="00D93E30" w:rsidRPr="00B411A7">
        <w:rPr>
          <w:rFonts w:ascii="Calibri" w:hAnsi="Calibri" w:cs="Arial"/>
          <w:b/>
          <w:bCs/>
          <w:sz w:val="52"/>
          <w:szCs w:val="52"/>
        </w:rPr>
        <w:t> </w:t>
      </w:r>
      <w:r w:rsidRPr="00B411A7">
        <w:rPr>
          <w:rFonts w:ascii="Calibri" w:hAnsi="Calibri" w:cs="Arial"/>
          <w:b/>
          <w:bCs/>
          <w:sz w:val="52"/>
          <w:szCs w:val="52"/>
        </w:rPr>
        <w:t>t</w:t>
      </w:r>
      <w:r w:rsidR="00D93E30" w:rsidRPr="00B411A7">
        <w:rPr>
          <w:rFonts w:ascii="Calibri" w:hAnsi="Calibri" w:cs="Arial"/>
          <w:b/>
          <w:bCs/>
          <w:sz w:val="52"/>
          <w:szCs w:val="52"/>
        </w:rPr>
        <w:t xml:space="preserve"> </w:t>
      </w:r>
      <w:r w:rsidRPr="00B411A7">
        <w:rPr>
          <w:rFonts w:ascii="Calibri" w:hAnsi="Calibri" w:cs="Arial"/>
          <w:b/>
          <w:bCs/>
          <w:sz w:val="52"/>
          <w:szCs w:val="52"/>
        </w:rPr>
        <w:t>a</w:t>
      </w:r>
      <w:r w:rsidR="00D93E30" w:rsidRPr="00B411A7">
        <w:rPr>
          <w:rFonts w:ascii="Calibri" w:hAnsi="Calibri" w:cs="Arial"/>
          <w:b/>
          <w:bCs/>
          <w:sz w:val="52"/>
          <w:szCs w:val="52"/>
        </w:rPr>
        <w:t xml:space="preserve"> </w:t>
      </w:r>
      <w:r w:rsidRPr="00B411A7">
        <w:rPr>
          <w:rFonts w:ascii="Calibri" w:hAnsi="Calibri" w:cs="Arial"/>
          <w:b/>
          <w:bCs/>
          <w:sz w:val="52"/>
          <w:szCs w:val="52"/>
        </w:rPr>
        <w:t>n</w:t>
      </w:r>
      <w:r w:rsidR="00D93E30" w:rsidRPr="00B411A7">
        <w:rPr>
          <w:rFonts w:ascii="Calibri" w:hAnsi="Calibri" w:cs="Arial"/>
          <w:b/>
          <w:bCs/>
          <w:sz w:val="52"/>
          <w:szCs w:val="52"/>
        </w:rPr>
        <w:t xml:space="preserve"> </w:t>
      </w:r>
      <w:r w:rsidRPr="00B411A7">
        <w:rPr>
          <w:rFonts w:ascii="Calibri" w:hAnsi="Calibri" w:cs="Arial"/>
          <w:b/>
          <w:bCs/>
          <w:sz w:val="52"/>
          <w:szCs w:val="52"/>
        </w:rPr>
        <w:t>o</w:t>
      </w:r>
      <w:r w:rsidR="00D93E30" w:rsidRPr="00B411A7">
        <w:rPr>
          <w:rFonts w:ascii="Calibri" w:hAnsi="Calibri" w:cs="Arial"/>
          <w:b/>
          <w:bCs/>
          <w:sz w:val="52"/>
          <w:szCs w:val="52"/>
        </w:rPr>
        <w:t xml:space="preserve"> </w:t>
      </w:r>
      <w:r w:rsidRPr="00B411A7">
        <w:rPr>
          <w:rFonts w:ascii="Calibri" w:hAnsi="Calibri" w:cs="Arial"/>
          <w:b/>
          <w:bCs/>
          <w:sz w:val="52"/>
          <w:szCs w:val="52"/>
        </w:rPr>
        <w:t>v</w:t>
      </w:r>
      <w:r w:rsidR="00D93E30" w:rsidRPr="00B411A7">
        <w:rPr>
          <w:rFonts w:ascii="Calibri" w:hAnsi="Calibri" w:cs="Arial"/>
          <w:b/>
          <w:bCs/>
          <w:sz w:val="52"/>
          <w:szCs w:val="52"/>
        </w:rPr>
        <w:t> </w:t>
      </w:r>
      <w:r w:rsidRPr="00B411A7">
        <w:rPr>
          <w:rFonts w:ascii="Calibri" w:hAnsi="Calibri" w:cs="Arial"/>
          <w:b/>
          <w:bCs/>
          <w:sz w:val="52"/>
          <w:szCs w:val="52"/>
        </w:rPr>
        <w:t>i</w:t>
      </w:r>
      <w:r w:rsidR="00D93E30" w:rsidRPr="00B411A7">
        <w:rPr>
          <w:rFonts w:ascii="Calibri" w:hAnsi="Calibri" w:cs="Arial"/>
          <w:b/>
          <w:bCs/>
          <w:sz w:val="52"/>
          <w:szCs w:val="52"/>
        </w:rPr>
        <w:t xml:space="preserve"> </w:t>
      </w:r>
      <w:r w:rsidRPr="00B411A7">
        <w:rPr>
          <w:rFonts w:ascii="Calibri" w:hAnsi="Calibri" w:cs="Arial"/>
          <w:b/>
          <w:bCs/>
          <w:sz w:val="52"/>
          <w:szCs w:val="52"/>
        </w:rPr>
        <w:t>s</w:t>
      </w:r>
      <w:r w:rsidR="00D93E30" w:rsidRPr="00B411A7">
        <w:rPr>
          <w:rFonts w:ascii="Calibri" w:hAnsi="Calibri" w:cs="Arial"/>
          <w:b/>
          <w:bCs/>
          <w:sz w:val="52"/>
          <w:szCs w:val="52"/>
        </w:rPr>
        <w:t> </w:t>
      </w:r>
      <w:r w:rsidRPr="00B411A7">
        <w:rPr>
          <w:rFonts w:ascii="Calibri" w:hAnsi="Calibri" w:cs="Arial"/>
          <w:b/>
          <w:bCs/>
          <w:sz w:val="52"/>
          <w:szCs w:val="52"/>
        </w:rPr>
        <w:t>k</w:t>
      </w:r>
      <w:r w:rsidR="00D93E30" w:rsidRPr="00B411A7">
        <w:rPr>
          <w:rFonts w:ascii="Calibri" w:hAnsi="Calibri" w:cs="Arial"/>
          <w:b/>
          <w:bCs/>
          <w:sz w:val="52"/>
          <w:szCs w:val="52"/>
        </w:rPr>
        <w:t xml:space="preserve"> </w:t>
      </w:r>
      <w:r w:rsidRPr="00B411A7">
        <w:rPr>
          <w:rFonts w:ascii="Calibri" w:hAnsi="Calibri" w:cs="Arial"/>
          <w:b/>
          <w:bCs/>
          <w:sz w:val="52"/>
          <w:szCs w:val="52"/>
        </w:rPr>
        <w:t xml:space="preserve">o </w:t>
      </w:r>
    </w:p>
    <w:p w14:paraId="048083CF" w14:textId="77777777" w:rsidR="00B24F35" w:rsidRPr="009E4828" w:rsidRDefault="002A7D42" w:rsidP="009E4828">
      <w:pPr>
        <w:jc w:val="center"/>
        <w:rPr>
          <w:rFonts w:asciiTheme="minorHAnsi" w:hAnsiTheme="minorHAnsi" w:cstheme="minorHAnsi"/>
          <w:b/>
          <w:bCs/>
          <w:sz w:val="24"/>
          <w:szCs w:val="24"/>
        </w:rPr>
      </w:pPr>
      <w:r w:rsidRPr="009E4828">
        <w:rPr>
          <w:rFonts w:asciiTheme="minorHAnsi" w:hAnsiTheme="minorHAnsi" w:cstheme="minorHAnsi"/>
          <w:b/>
          <w:bCs/>
          <w:sz w:val="24"/>
          <w:szCs w:val="24"/>
        </w:rPr>
        <w:t xml:space="preserve">Konfederace zaměstnavatelských </w:t>
      </w:r>
      <w:r w:rsidR="00362461" w:rsidRPr="009E4828">
        <w:rPr>
          <w:rFonts w:asciiTheme="minorHAnsi" w:hAnsiTheme="minorHAnsi" w:cstheme="minorHAnsi"/>
          <w:b/>
          <w:bCs/>
          <w:sz w:val="24"/>
          <w:szCs w:val="24"/>
        </w:rPr>
        <w:t xml:space="preserve">a podnikatelských </w:t>
      </w:r>
      <w:r w:rsidRPr="009E4828">
        <w:rPr>
          <w:rFonts w:asciiTheme="minorHAnsi" w:hAnsiTheme="minorHAnsi" w:cstheme="minorHAnsi"/>
          <w:b/>
          <w:bCs/>
          <w:sz w:val="24"/>
          <w:szCs w:val="24"/>
        </w:rPr>
        <w:t>svazů ČR</w:t>
      </w:r>
    </w:p>
    <w:p w14:paraId="6C1EB35A" w14:textId="797EA300" w:rsidR="00D442C1" w:rsidRDefault="002B7592" w:rsidP="006E638C">
      <w:pPr>
        <w:jc w:val="center"/>
        <w:rPr>
          <w:rFonts w:asciiTheme="minorHAnsi" w:hAnsiTheme="minorHAnsi" w:cstheme="minorHAnsi"/>
          <w:b/>
          <w:bCs/>
          <w:sz w:val="24"/>
          <w:szCs w:val="24"/>
        </w:rPr>
      </w:pPr>
      <w:r w:rsidRPr="009E4828">
        <w:rPr>
          <w:rFonts w:asciiTheme="minorHAnsi" w:hAnsiTheme="minorHAnsi" w:cstheme="minorHAnsi"/>
          <w:b/>
          <w:bCs/>
          <w:sz w:val="24"/>
          <w:szCs w:val="24"/>
        </w:rPr>
        <w:t>k</w:t>
      </w:r>
      <w:r w:rsidR="00FA2314" w:rsidRPr="009E4828">
        <w:rPr>
          <w:rFonts w:asciiTheme="minorHAnsi" w:hAnsiTheme="minorHAnsi" w:cstheme="minorHAnsi"/>
          <w:b/>
          <w:bCs/>
          <w:sz w:val="24"/>
          <w:szCs w:val="24"/>
        </w:rPr>
        <w:t> </w:t>
      </w:r>
      <w:r w:rsidR="00011F2C">
        <w:rPr>
          <w:rFonts w:asciiTheme="minorHAnsi" w:hAnsiTheme="minorHAnsi" w:cstheme="minorHAnsi"/>
          <w:b/>
          <w:bCs/>
          <w:sz w:val="24"/>
          <w:szCs w:val="24"/>
        </w:rPr>
        <w:t>„</w:t>
      </w:r>
      <w:r w:rsidR="00D414D3" w:rsidRPr="00D414D3">
        <w:rPr>
          <w:rFonts w:asciiTheme="minorHAnsi" w:hAnsiTheme="minorHAnsi" w:cstheme="minorHAnsi"/>
          <w:b/>
          <w:bCs/>
          <w:sz w:val="24"/>
          <w:szCs w:val="24"/>
        </w:rPr>
        <w:t>Návrh</w:t>
      </w:r>
      <w:r w:rsidR="00D414D3">
        <w:rPr>
          <w:rFonts w:asciiTheme="minorHAnsi" w:hAnsiTheme="minorHAnsi" w:cstheme="minorHAnsi"/>
          <w:b/>
          <w:bCs/>
          <w:sz w:val="24"/>
          <w:szCs w:val="24"/>
        </w:rPr>
        <w:t xml:space="preserve">u </w:t>
      </w:r>
      <w:r w:rsidR="00D414D3" w:rsidRPr="00D414D3">
        <w:rPr>
          <w:rFonts w:asciiTheme="minorHAnsi" w:hAnsiTheme="minorHAnsi" w:cstheme="minorHAnsi"/>
          <w:b/>
          <w:bCs/>
          <w:sz w:val="24"/>
          <w:szCs w:val="24"/>
        </w:rPr>
        <w:t>zákona o konsolidaci veřejných rozpočtů</w:t>
      </w:r>
      <w:r w:rsidR="00D21B8B">
        <w:rPr>
          <w:rFonts w:asciiTheme="minorHAnsi" w:hAnsiTheme="minorHAnsi" w:cstheme="minorHAnsi"/>
          <w:b/>
          <w:bCs/>
          <w:sz w:val="24"/>
          <w:szCs w:val="24"/>
        </w:rPr>
        <w:t>“</w:t>
      </w:r>
    </w:p>
    <w:p w14:paraId="3158C308" w14:textId="7BB799E5" w:rsidR="00F94FD6" w:rsidRDefault="00F94FD6" w:rsidP="00F94FD6">
      <w:pPr>
        <w:jc w:val="center"/>
        <w:rPr>
          <w:rFonts w:asciiTheme="minorHAnsi" w:hAnsiTheme="minorHAnsi" w:cstheme="minorHAnsi"/>
          <w:b/>
          <w:bCs/>
          <w:sz w:val="24"/>
          <w:szCs w:val="24"/>
        </w:rPr>
      </w:pPr>
    </w:p>
    <w:p w14:paraId="24BA5B47" w14:textId="2DE4E247" w:rsidR="00DD03DC" w:rsidRPr="00161CD9" w:rsidRDefault="00DD03DC" w:rsidP="00C50846">
      <w:pPr>
        <w:ind w:firstLine="708"/>
        <w:jc w:val="both"/>
        <w:rPr>
          <w:rFonts w:asciiTheme="minorHAnsi" w:hAnsiTheme="minorHAnsi" w:cstheme="minorHAnsi"/>
          <w:sz w:val="24"/>
          <w:szCs w:val="24"/>
        </w:rPr>
      </w:pPr>
      <w:r w:rsidRPr="00C50846">
        <w:rPr>
          <w:rFonts w:asciiTheme="minorHAnsi" w:hAnsiTheme="minorHAnsi" w:cstheme="minorHAnsi"/>
          <w:sz w:val="24"/>
          <w:szCs w:val="24"/>
        </w:rPr>
        <w:t xml:space="preserve">V rámci mezirezortního připomínkového řízení jsme obdrželi uvedený návrh. K němu Konfederace zaměstnavatelských a podnikatelských svazů ČR (KZPS ČR) uplatňuje následující </w:t>
      </w:r>
      <w:r w:rsidRPr="00161CD9">
        <w:rPr>
          <w:rFonts w:asciiTheme="minorHAnsi" w:hAnsiTheme="minorHAnsi" w:cstheme="minorHAnsi"/>
          <w:sz w:val="24"/>
          <w:szCs w:val="24"/>
        </w:rPr>
        <w:t>doporu</w:t>
      </w:r>
      <w:r w:rsidR="00C50846" w:rsidRPr="00161CD9">
        <w:rPr>
          <w:rFonts w:asciiTheme="minorHAnsi" w:hAnsiTheme="minorHAnsi" w:cstheme="minorHAnsi"/>
          <w:sz w:val="24"/>
          <w:szCs w:val="24"/>
        </w:rPr>
        <w:t xml:space="preserve">čující a zásadní </w:t>
      </w:r>
      <w:r w:rsidRPr="00161CD9">
        <w:rPr>
          <w:rFonts w:asciiTheme="minorHAnsi" w:hAnsiTheme="minorHAnsi" w:cstheme="minorHAnsi"/>
          <w:sz w:val="24"/>
          <w:szCs w:val="24"/>
        </w:rPr>
        <w:t>připomínky:</w:t>
      </w:r>
    </w:p>
    <w:p w14:paraId="1B717ACD" w14:textId="6B80D5FF" w:rsidR="00320994" w:rsidRPr="004E2C90" w:rsidRDefault="00320994" w:rsidP="004E2C90">
      <w:pPr>
        <w:jc w:val="both"/>
        <w:rPr>
          <w:rFonts w:asciiTheme="minorHAnsi" w:hAnsiTheme="minorHAnsi" w:cstheme="minorHAnsi"/>
          <w:b/>
          <w:bCs/>
          <w:sz w:val="24"/>
          <w:szCs w:val="24"/>
        </w:rPr>
      </w:pPr>
    </w:p>
    <w:p w14:paraId="72822FD6" w14:textId="77777777" w:rsidR="009A158B" w:rsidRDefault="009A158B" w:rsidP="00AE56F8">
      <w:pPr>
        <w:jc w:val="both"/>
        <w:rPr>
          <w:rFonts w:asciiTheme="minorHAnsi" w:hAnsiTheme="minorHAnsi" w:cstheme="minorHAnsi"/>
          <w:b/>
          <w:bCs/>
          <w:color w:val="FF0000"/>
          <w:sz w:val="28"/>
          <w:szCs w:val="28"/>
        </w:rPr>
      </w:pPr>
    </w:p>
    <w:p w14:paraId="5A647FD9" w14:textId="4300030F" w:rsidR="00534070" w:rsidRPr="007E7D28" w:rsidRDefault="00534070" w:rsidP="00AE56F8">
      <w:pPr>
        <w:jc w:val="both"/>
        <w:rPr>
          <w:rFonts w:asciiTheme="minorHAnsi" w:hAnsiTheme="minorHAnsi" w:cstheme="minorHAnsi"/>
          <w:b/>
          <w:bCs/>
          <w:color w:val="FF0000"/>
          <w:sz w:val="28"/>
          <w:szCs w:val="28"/>
          <w:u w:val="single"/>
        </w:rPr>
      </w:pPr>
      <w:r w:rsidRPr="007E7D28">
        <w:rPr>
          <w:rFonts w:asciiTheme="minorHAnsi" w:hAnsiTheme="minorHAnsi" w:cstheme="minorHAnsi"/>
          <w:b/>
          <w:bCs/>
          <w:color w:val="FF0000"/>
          <w:sz w:val="28"/>
          <w:szCs w:val="28"/>
          <w:u w:val="single"/>
        </w:rPr>
        <w:t>Obecné připomínky:</w:t>
      </w:r>
    </w:p>
    <w:p w14:paraId="3F429DA2" w14:textId="77777777" w:rsidR="009A158B" w:rsidRDefault="009A158B" w:rsidP="00AE56F8">
      <w:pPr>
        <w:jc w:val="both"/>
        <w:rPr>
          <w:rFonts w:asciiTheme="minorHAnsi" w:hAnsiTheme="minorHAnsi" w:cstheme="minorHAnsi"/>
          <w:b/>
          <w:bCs/>
          <w:sz w:val="24"/>
          <w:szCs w:val="24"/>
        </w:rPr>
      </w:pPr>
    </w:p>
    <w:p w14:paraId="389A4734" w14:textId="30BC6257" w:rsidR="009A158B" w:rsidRPr="005F63B5" w:rsidRDefault="009A158B" w:rsidP="009A158B">
      <w:pPr>
        <w:spacing w:after="160"/>
        <w:jc w:val="both"/>
        <w:rPr>
          <w:rFonts w:asciiTheme="minorHAnsi" w:hAnsiTheme="minorHAnsi" w:cstheme="minorHAnsi"/>
          <w:b/>
          <w:bCs/>
          <w:sz w:val="24"/>
          <w:szCs w:val="24"/>
        </w:rPr>
      </w:pPr>
      <w:r w:rsidRPr="005F63B5">
        <w:rPr>
          <w:rFonts w:asciiTheme="minorHAnsi" w:hAnsiTheme="minorHAnsi" w:cstheme="minorHAnsi"/>
          <w:b/>
          <w:bCs/>
          <w:sz w:val="24"/>
          <w:szCs w:val="24"/>
        </w:rPr>
        <w:t xml:space="preserve">V první řadě je třeba říct, že současná česká vláda je ve funkci téměř už jeden a půl roku, a přesto ke konsolidaci veřejných financí přistupuje se zpožděním a v notném spěchu. Bez ohledu na to, že takto zásadní soubor opatření citelně ovlivní finanční situaci firem i domácností, se </w:t>
      </w:r>
      <w:proofErr w:type="gramStart"/>
      <w:r w:rsidRPr="005F63B5">
        <w:rPr>
          <w:rFonts w:asciiTheme="minorHAnsi" w:hAnsiTheme="minorHAnsi" w:cstheme="minorHAnsi"/>
          <w:b/>
          <w:bCs/>
          <w:sz w:val="24"/>
          <w:szCs w:val="24"/>
        </w:rPr>
        <w:t>řeší</w:t>
      </w:r>
      <w:proofErr w:type="gramEnd"/>
      <w:r w:rsidRPr="005F63B5">
        <w:rPr>
          <w:rFonts w:asciiTheme="minorHAnsi" w:hAnsiTheme="minorHAnsi" w:cstheme="minorHAnsi"/>
          <w:b/>
          <w:bCs/>
          <w:sz w:val="24"/>
          <w:szCs w:val="24"/>
        </w:rPr>
        <w:t xml:space="preserve"> ve zkráceném řízení neumožňujíc až na jednu výjimku téměř žádnou diskusi </w:t>
      </w:r>
      <w:r w:rsidR="00F05486" w:rsidRPr="005F63B5">
        <w:rPr>
          <w:rFonts w:asciiTheme="minorHAnsi" w:hAnsiTheme="minorHAnsi" w:cstheme="minorHAnsi"/>
          <w:b/>
          <w:bCs/>
          <w:sz w:val="24"/>
          <w:szCs w:val="24"/>
        </w:rPr>
        <w:t>je třeba alespoň vyzdvihnout odpovědný přístup ministra práce a sociálních věcí, který byl ochoten o jeho návrzích předem se sociálními partnery diskutovat</w:t>
      </w:r>
      <w:r w:rsidR="00D03AC8">
        <w:rPr>
          <w:rFonts w:asciiTheme="minorHAnsi" w:hAnsiTheme="minorHAnsi" w:cstheme="minorHAnsi"/>
          <w:b/>
          <w:bCs/>
          <w:sz w:val="24"/>
          <w:szCs w:val="24"/>
        </w:rPr>
        <w:t>,</w:t>
      </w:r>
      <w:r w:rsidR="00F05486" w:rsidRPr="005F63B5">
        <w:rPr>
          <w:rFonts w:asciiTheme="minorHAnsi" w:hAnsiTheme="minorHAnsi" w:cstheme="minorHAnsi"/>
          <w:b/>
          <w:bCs/>
          <w:sz w:val="24"/>
          <w:szCs w:val="24"/>
        </w:rPr>
        <w:t xml:space="preserve"> </w:t>
      </w:r>
      <w:r w:rsidRPr="005F63B5">
        <w:rPr>
          <w:rFonts w:asciiTheme="minorHAnsi" w:hAnsiTheme="minorHAnsi" w:cstheme="minorHAnsi"/>
          <w:b/>
          <w:bCs/>
          <w:sz w:val="24"/>
          <w:szCs w:val="24"/>
        </w:rPr>
        <w:t xml:space="preserve">zatímco MF ČR, které připravilo větší část návrhů do poslední chvíle všechna opatření utajovalo. </w:t>
      </w:r>
    </w:p>
    <w:p w14:paraId="11AA713B" w14:textId="0012015D" w:rsidR="009A158B" w:rsidRPr="005F63B5" w:rsidRDefault="009A158B" w:rsidP="009A158B">
      <w:pPr>
        <w:spacing w:after="160"/>
        <w:jc w:val="both"/>
        <w:rPr>
          <w:rFonts w:asciiTheme="minorHAnsi" w:hAnsiTheme="minorHAnsi" w:cstheme="minorHAnsi"/>
          <w:b/>
          <w:bCs/>
          <w:sz w:val="24"/>
          <w:szCs w:val="24"/>
        </w:rPr>
      </w:pPr>
      <w:r w:rsidRPr="005F63B5">
        <w:rPr>
          <w:rFonts w:asciiTheme="minorHAnsi" w:hAnsiTheme="minorHAnsi" w:cstheme="minorHAnsi"/>
          <w:b/>
          <w:bCs/>
          <w:sz w:val="24"/>
          <w:szCs w:val="24"/>
        </w:rPr>
        <w:t xml:space="preserve">Nyní je nám „velkoryse“ poskytnut </w:t>
      </w:r>
      <w:r>
        <w:rPr>
          <w:rFonts w:asciiTheme="minorHAnsi" w:hAnsiTheme="minorHAnsi" w:cstheme="minorHAnsi"/>
          <w:b/>
          <w:bCs/>
          <w:sz w:val="24"/>
          <w:szCs w:val="24"/>
        </w:rPr>
        <w:t>čtyřdenní</w:t>
      </w:r>
      <w:r w:rsidRPr="005F63B5">
        <w:rPr>
          <w:rFonts w:asciiTheme="minorHAnsi" w:hAnsiTheme="minorHAnsi" w:cstheme="minorHAnsi"/>
          <w:b/>
          <w:bCs/>
          <w:sz w:val="24"/>
          <w:szCs w:val="24"/>
        </w:rPr>
        <w:t xml:space="preserve"> termín k prostudování a připomínkování všech návrhů, navíc v podobě, která je sama o sobě neuvěřitelná. Nepřehledný balík 22 souborů, které nejsou nijak intuitivně označeny, je docela jasnou ilustrací efektivní činnosti byrokratického aparátu ve 21. století. Nemluvě o předkládací zprávě, kterou čitatel po chvíli najde v podobě 238stránkového dokumentu. To vše dohromady dává jasný signál, že zájem předkladatelů o připomínky ze strany zaměstnavatelů je čistým formalismem, na kterém </w:t>
      </w:r>
      <w:r w:rsidR="0033223C">
        <w:rPr>
          <w:rFonts w:asciiTheme="minorHAnsi" w:hAnsiTheme="minorHAnsi" w:cstheme="minorHAnsi"/>
          <w:b/>
          <w:bCs/>
          <w:sz w:val="24"/>
          <w:szCs w:val="24"/>
        </w:rPr>
        <w:t xml:space="preserve">značná část členů </w:t>
      </w:r>
      <w:r w:rsidRPr="005F63B5">
        <w:rPr>
          <w:rFonts w:asciiTheme="minorHAnsi" w:hAnsiTheme="minorHAnsi" w:cstheme="minorHAnsi"/>
          <w:b/>
          <w:bCs/>
          <w:sz w:val="24"/>
          <w:szCs w:val="24"/>
        </w:rPr>
        <w:t xml:space="preserve">nehodlá participovat. Zvlášť když </w:t>
      </w:r>
      <w:r w:rsidR="00101361">
        <w:rPr>
          <w:rFonts w:asciiTheme="minorHAnsi" w:hAnsiTheme="minorHAnsi" w:cstheme="minorHAnsi"/>
          <w:b/>
          <w:bCs/>
          <w:sz w:val="24"/>
          <w:szCs w:val="24"/>
        </w:rPr>
        <w:t xml:space="preserve">členové vlády </w:t>
      </w:r>
      <w:r w:rsidRPr="005F63B5">
        <w:rPr>
          <w:rFonts w:asciiTheme="minorHAnsi" w:hAnsiTheme="minorHAnsi" w:cstheme="minorHAnsi"/>
          <w:b/>
          <w:bCs/>
          <w:sz w:val="24"/>
          <w:szCs w:val="24"/>
        </w:rPr>
        <w:t>předem avizuj</w:t>
      </w:r>
      <w:r w:rsidR="008B6DB1">
        <w:rPr>
          <w:rFonts w:asciiTheme="minorHAnsi" w:hAnsiTheme="minorHAnsi" w:cstheme="minorHAnsi"/>
          <w:b/>
          <w:bCs/>
          <w:sz w:val="24"/>
          <w:szCs w:val="24"/>
        </w:rPr>
        <w:t>í</w:t>
      </w:r>
      <w:r w:rsidRPr="005F63B5">
        <w:rPr>
          <w:rFonts w:asciiTheme="minorHAnsi" w:hAnsiTheme="minorHAnsi" w:cstheme="minorHAnsi"/>
          <w:b/>
          <w:bCs/>
          <w:sz w:val="24"/>
          <w:szCs w:val="24"/>
        </w:rPr>
        <w:t>, že v tzv. konsolidačním balíčku nehodl</w:t>
      </w:r>
      <w:r w:rsidR="008B6DB1">
        <w:rPr>
          <w:rFonts w:asciiTheme="minorHAnsi" w:hAnsiTheme="minorHAnsi" w:cstheme="minorHAnsi"/>
          <w:b/>
          <w:bCs/>
          <w:sz w:val="24"/>
          <w:szCs w:val="24"/>
        </w:rPr>
        <w:t>ají</w:t>
      </w:r>
      <w:r w:rsidRPr="005F63B5">
        <w:rPr>
          <w:rFonts w:asciiTheme="minorHAnsi" w:hAnsiTheme="minorHAnsi" w:cstheme="minorHAnsi"/>
          <w:b/>
          <w:bCs/>
          <w:sz w:val="24"/>
          <w:szCs w:val="24"/>
        </w:rPr>
        <w:t xml:space="preserve"> nic měnit. </w:t>
      </w:r>
    </w:p>
    <w:p w14:paraId="5C899467" w14:textId="79662733" w:rsidR="00534070" w:rsidRDefault="00534070" w:rsidP="00AE56F8">
      <w:pPr>
        <w:jc w:val="both"/>
        <w:rPr>
          <w:rFonts w:asciiTheme="minorHAnsi" w:hAnsiTheme="minorHAnsi" w:cstheme="minorHAnsi"/>
          <w:b/>
          <w:bCs/>
          <w:sz w:val="24"/>
          <w:szCs w:val="24"/>
        </w:rPr>
      </w:pPr>
      <w:r w:rsidRPr="00534070">
        <w:rPr>
          <w:rFonts w:asciiTheme="minorHAnsi" w:hAnsiTheme="minorHAnsi" w:cstheme="minorHAnsi"/>
          <w:b/>
          <w:bCs/>
          <w:sz w:val="24"/>
          <w:szCs w:val="24"/>
        </w:rPr>
        <w:t>Časový prostor pro vnější připomínkové řízení je zcela nedostatečný, nelze se kvalifikovaně vyjádřit ke změnám 57 zákonů se zásadním finančním i administrativním dopadem do podnikatelské sféry včetně dopadu na koupěschopnost obyvatelstva, natož zpracovat legislativně technické připomínky k navrhovaným změnám.</w:t>
      </w:r>
    </w:p>
    <w:p w14:paraId="71D6E31D" w14:textId="77777777" w:rsidR="00AE56F8" w:rsidRPr="0064475E" w:rsidRDefault="00AE56F8" w:rsidP="00AE56F8">
      <w:pPr>
        <w:jc w:val="both"/>
        <w:rPr>
          <w:rFonts w:asciiTheme="minorHAnsi" w:hAnsiTheme="minorHAnsi" w:cstheme="minorHAnsi"/>
          <w:b/>
          <w:bCs/>
          <w:sz w:val="24"/>
          <w:szCs w:val="24"/>
        </w:rPr>
      </w:pPr>
    </w:p>
    <w:p w14:paraId="250F14D4" w14:textId="77777777" w:rsidR="00534070" w:rsidRPr="0064475E" w:rsidRDefault="00534070" w:rsidP="00AE56F8">
      <w:pPr>
        <w:jc w:val="both"/>
        <w:rPr>
          <w:rFonts w:asciiTheme="minorHAnsi" w:hAnsiTheme="minorHAnsi" w:cstheme="minorHAnsi"/>
          <w:b/>
          <w:bCs/>
          <w:sz w:val="24"/>
          <w:szCs w:val="24"/>
        </w:rPr>
      </w:pPr>
      <w:r w:rsidRPr="0064475E">
        <w:rPr>
          <w:rFonts w:asciiTheme="minorHAnsi" w:hAnsiTheme="minorHAnsi" w:cstheme="minorHAnsi"/>
          <w:b/>
          <w:bCs/>
          <w:sz w:val="24"/>
          <w:szCs w:val="24"/>
        </w:rPr>
        <w:t>K novele zákona o dani z přidané hodnoty (část třicátá třetí návrhu).</w:t>
      </w:r>
    </w:p>
    <w:p w14:paraId="4E9EC196" w14:textId="0DB04713" w:rsidR="00534070" w:rsidRPr="0064475E" w:rsidRDefault="00534070" w:rsidP="00AE56F8">
      <w:pPr>
        <w:jc w:val="both"/>
        <w:rPr>
          <w:rFonts w:asciiTheme="minorHAnsi" w:hAnsiTheme="minorHAnsi" w:cstheme="minorHAnsi"/>
          <w:b/>
          <w:bCs/>
          <w:sz w:val="24"/>
          <w:szCs w:val="24"/>
        </w:rPr>
      </w:pPr>
      <w:r w:rsidRPr="0064475E">
        <w:rPr>
          <w:rFonts w:asciiTheme="minorHAnsi" w:hAnsiTheme="minorHAnsi" w:cstheme="minorHAnsi"/>
          <w:b/>
          <w:bCs/>
          <w:sz w:val="24"/>
          <w:szCs w:val="24"/>
        </w:rPr>
        <w:t>Vzhledem ke zrušení tří stávajících sazeb a nahrazením dvou snížených (15</w:t>
      </w:r>
      <w:r w:rsidR="00A933CC" w:rsidRPr="0064475E">
        <w:rPr>
          <w:rFonts w:asciiTheme="minorHAnsi" w:hAnsiTheme="minorHAnsi" w:cstheme="minorHAnsi"/>
          <w:b/>
          <w:bCs/>
          <w:sz w:val="24"/>
          <w:szCs w:val="24"/>
        </w:rPr>
        <w:t xml:space="preserve"> </w:t>
      </w:r>
      <w:r w:rsidRPr="0064475E">
        <w:rPr>
          <w:rFonts w:asciiTheme="minorHAnsi" w:hAnsiTheme="minorHAnsi" w:cstheme="minorHAnsi"/>
          <w:b/>
          <w:bCs/>
          <w:sz w:val="24"/>
          <w:szCs w:val="24"/>
        </w:rPr>
        <w:t>% a 10</w:t>
      </w:r>
      <w:r w:rsidR="00A933CC" w:rsidRPr="0064475E">
        <w:rPr>
          <w:rFonts w:asciiTheme="minorHAnsi" w:hAnsiTheme="minorHAnsi" w:cstheme="minorHAnsi"/>
          <w:b/>
          <w:bCs/>
          <w:sz w:val="24"/>
          <w:szCs w:val="24"/>
        </w:rPr>
        <w:t xml:space="preserve"> </w:t>
      </w:r>
      <w:r w:rsidRPr="0064475E">
        <w:rPr>
          <w:rFonts w:asciiTheme="minorHAnsi" w:hAnsiTheme="minorHAnsi" w:cstheme="minorHAnsi"/>
          <w:b/>
          <w:bCs/>
          <w:sz w:val="24"/>
          <w:szCs w:val="24"/>
        </w:rPr>
        <w:t>%) jednou sníženou (</w:t>
      </w:r>
      <w:proofErr w:type="gramStart"/>
      <w:r w:rsidRPr="0064475E">
        <w:rPr>
          <w:rFonts w:asciiTheme="minorHAnsi" w:hAnsiTheme="minorHAnsi" w:cstheme="minorHAnsi"/>
          <w:b/>
          <w:bCs/>
          <w:sz w:val="24"/>
          <w:szCs w:val="24"/>
        </w:rPr>
        <w:t>12%</w:t>
      </w:r>
      <w:proofErr w:type="gramEnd"/>
      <w:r w:rsidRPr="0064475E">
        <w:rPr>
          <w:rFonts w:asciiTheme="minorHAnsi" w:hAnsiTheme="minorHAnsi" w:cstheme="minorHAnsi"/>
          <w:b/>
          <w:bCs/>
          <w:sz w:val="24"/>
          <w:szCs w:val="24"/>
        </w:rPr>
        <w:t>) s argumentací, že to přinese zjednodušení této daně, zásadně nesouhlasíme. Rovněž argument, že přesunem potravin z </w:t>
      </w:r>
      <w:proofErr w:type="gramStart"/>
      <w:r w:rsidRPr="0064475E">
        <w:rPr>
          <w:rFonts w:asciiTheme="minorHAnsi" w:hAnsiTheme="minorHAnsi" w:cstheme="minorHAnsi"/>
          <w:b/>
          <w:bCs/>
          <w:sz w:val="24"/>
          <w:szCs w:val="24"/>
        </w:rPr>
        <w:t>15%</w:t>
      </w:r>
      <w:proofErr w:type="gramEnd"/>
      <w:r w:rsidRPr="0064475E">
        <w:rPr>
          <w:rFonts w:asciiTheme="minorHAnsi" w:hAnsiTheme="minorHAnsi" w:cstheme="minorHAnsi"/>
          <w:b/>
          <w:bCs/>
          <w:sz w:val="24"/>
          <w:szCs w:val="24"/>
        </w:rPr>
        <w:t xml:space="preserve"> do 12% dojde ke zlevnění této komodity, nepovažujeme za reálný. </w:t>
      </w:r>
    </w:p>
    <w:p w14:paraId="3B7576A7" w14:textId="7E4A7622" w:rsidR="00534070" w:rsidRDefault="00534070" w:rsidP="00AE56F8">
      <w:pPr>
        <w:jc w:val="both"/>
        <w:rPr>
          <w:rFonts w:asciiTheme="minorHAnsi" w:hAnsiTheme="minorHAnsi" w:cstheme="minorHAnsi"/>
          <w:b/>
          <w:bCs/>
          <w:sz w:val="24"/>
          <w:szCs w:val="24"/>
        </w:rPr>
      </w:pPr>
      <w:r w:rsidRPr="0064475E">
        <w:rPr>
          <w:rFonts w:asciiTheme="minorHAnsi" w:hAnsiTheme="minorHAnsi" w:cstheme="minorHAnsi"/>
          <w:b/>
          <w:bCs/>
          <w:sz w:val="24"/>
          <w:szCs w:val="24"/>
        </w:rPr>
        <w:t>Jedna technická připomínka: v části 34 čl. LVI (zákon o zaměstnanosti) je chybné číslování navržených změn, v důvodové zprávě je již číslování správné.</w:t>
      </w:r>
    </w:p>
    <w:p w14:paraId="22751B54" w14:textId="77777777" w:rsidR="009A6EEB" w:rsidRPr="0064475E" w:rsidRDefault="009A6EEB" w:rsidP="00AE56F8">
      <w:pPr>
        <w:jc w:val="both"/>
        <w:rPr>
          <w:rFonts w:asciiTheme="minorHAnsi" w:hAnsiTheme="minorHAnsi" w:cstheme="minorHAnsi"/>
          <w:b/>
          <w:bCs/>
          <w:sz w:val="24"/>
          <w:szCs w:val="24"/>
        </w:rPr>
      </w:pPr>
    </w:p>
    <w:p w14:paraId="4F86AC85" w14:textId="333C6C0A" w:rsidR="00F26D6B" w:rsidRPr="0064475E" w:rsidRDefault="00F26D6B" w:rsidP="00F26D6B">
      <w:pPr>
        <w:jc w:val="both"/>
        <w:textAlignment w:val="baseline"/>
        <w:rPr>
          <w:rFonts w:asciiTheme="minorHAnsi" w:hAnsiTheme="minorHAnsi" w:cstheme="minorHAnsi"/>
          <w:b/>
          <w:bCs/>
          <w:sz w:val="24"/>
          <w:szCs w:val="24"/>
          <w:bdr w:val="none" w:sz="0" w:space="0" w:color="auto" w:frame="1"/>
        </w:rPr>
      </w:pPr>
      <w:r w:rsidRPr="00F26D6B">
        <w:rPr>
          <w:rFonts w:asciiTheme="minorHAnsi" w:hAnsiTheme="minorHAnsi" w:cstheme="minorHAnsi"/>
          <w:b/>
          <w:bCs/>
          <w:sz w:val="24"/>
          <w:szCs w:val="24"/>
        </w:rPr>
        <w:lastRenderedPageBreak/>
        <w:t>1) </w:t>
      </w:r>
      <w:r w:rsidRPr="00F26D6B">
        <w:rPr>
          <w:rFonts w:asciiTheme="minorHAnsi" w:hAnsiTheme="minorHAnsi" w:cstheme="minorHAnsi"/>
          <w:b/>
          <w:bCs/>
          <w:sz w:val="24"/>
          <w:szCs w:val="24"/>
          <w:bdr w:val="none" w:sz="0" w:space="0" w:color="auto" w:frame="1"/>
        </w:rPr>
        <w:t> </w:t>
      </w:r>
      <w:r w:rsidR="00C644E9" w:rsidRPr="0064475E">
        <w:rPr>
          <w:rFonts w:asciiTheme="minorHAnsi" w:hAnsiTheme="minorHAnsi" w:cstheme="minorHAnsi"/>
          <w:b/>
          <w:bCs/>
          <w:sz w:val="24"/>
          <w:szCs w:val="24"/>
          <w:bdr w:val="none" w:sz="0" w:space="0" w:color="auto" w:frame="1"/>
        </w:rPr>
        <w:t>V</w:t>
      </w:r>
      <w:r w:rsidRPr="00F26D6B">
        <w:rPr>
          <w:rFonts w:asciiTheme="minorHAnsi" w:hAnsiTheme="minorHAnsi" w:cstheme="minorHAnsi"/>
          <w:b/>
          <w:bCs/>
          <w:sz w:val="24"/>
          <w:szCs w:val="24"/>
          <w:bdr w:val="none" w:sz="0" w:space="0" w:color="auto" w:frame="1"/>
        </w:rPr>
        <w:t xml:space="preserve"> RIA k uvedenému zákonu úplně chybí zmínka o navýšení odvodů OSVČ, v rámci dopadů na firmy se hodnotí pouze zvýšení daně z příjmu právnických osob</w:t>
      </w:r>
    </w:p>
    <w:p w14:paraId="7C9542E1" w14:textId="76543E32" w:rsidR="00F26D6B" w:rsidRPr="00F26D6B" w:rsidRDefault="00F26D6B" w:rsidP="00F26D6B">
      <w:pPr>
        <w:jc w:val="both"/>
        <w:textAlignment w:val="baseline"/>
        <w:rPr>
          <w:rFonts w:asciiTheme="minorHAnsi" w:hAnsiTheme="minorHAnsi" w:cstheme="minorHAnsi"/>
          <w:b/>
          <w:bCs/>
          <w:sz w:val="24"/>
          <w:szCs w:val="24"/>
        </w:rPr>
      </w:pPr>
      <w:r w:rsidRPr="00F26D6B">
        <w:rPr>
          <w:rFonts w:asciiTheme="minorHAnsi" w:hAnsiTheme="minorHAnsi" w:cstheme="minorHAnsi"/>
          <w:b/>
          <w:bCs/>
          <w:sz w:val="24"/>
          <w:szCs w:val="24"/>
        </w:rPr>
        <w:t xml:space="preserve">2) </w:t>
      </w:r>
      <w:r w:rsidR="00C644E9" w:rsidRPr="0064475E">
        <w:rPr>
          <w:rFonts w:asciiTheme="minorHAnsi" w:hAnsiTheme="minorHAnsi" w:cstheme="minorHAnsi"/>
          <w:b/>
          <w:bCs/>
          <w:sz w:val="24"/>
          <w:szCs w:val="24"/>
        </w:rPr>
        <w:t>N</w:t>
      </w:r>
      <w:r w:rsidRPr="00F26D6B">
        <w:rPr>
          <w:rFonts w:asciiTheme="minorHAnsi" w:hAnsiTheme="minorHAnsi" w:cstheme="minorHAnsi"/>
          <w:b/>
          <w:bCs/>
          <w:sz w:val="24"/>
          <w:szCs w:val="24"/>
        </w:rPr>
        <w:t>avržená opatření k dohodám o provedení práce znamenají enormní nárůst byrokracie na obou stranách (pro zaměstnavatele i úředníky resortu MPSV) a nejistoty pro zaměstnavatele týkající se nákladů na mzdy dohodářů (ČSSZ dodatečně může sdělit, že mzdu je nutné zatížit pojištěním...).</w:t>
      </w:r>
    </w:p>
    <w:p w14:paraId="73287F6E" w14:textId="77777777" w:rsidR="00F26D6B" w:rsidRDefault="00F26D6B" w:rsidP="00AE56F8">
      <w:pPr>
        <w:jc w:val="both"/>
        <w:rPr>
          <w:rFonts w:asciiTheme="minorHAnsi" w:hAnsiTheme="minorHAnsi" w:cstheme="minorHAnsi"/>
          <w:b/>
          <w:bCs/>
          <w:sz w:val="24"/>
          <w:szCs w:val="24"/>
        </w:rPr>
      </w:pPr>
    </w:p>
    <w:p w14:paraId="06A8A7DA" w14:textId="45F4AB84" w:rsidR="00534070" w:rsidRPr="007E7D28" w:rsidRDefault="00534070" w:rsidP="00AE56F8">
      <w:pPr>
        <w:jc w:val="both"/>
        <w:rPr>
          <w:rFonts w:asciiTheme="minorHAnsi" w:hAnsiTheme="minorHAnsi" w:cstheme="minorHAnsi"/>
          <w:b/>
          <w:bCs/>
          <w:color w:val="FF0000"/>
          <w:sz w:val="28"/>
          <w:szCs w:val="28"/>
          <w:u w:val="single"/>
        </w:rPr>
      </w:pPr>
      <w:r w:rsidRPr="007E7D28">
        <w:rPr>
          <w:rFonts w:asciiTheme="minorHAnsi" w:hAnsiTheme="minorHAnsi" w:cstheme="minorHAnsi"/>
          <w:b/>
          <w:bCs/>
          <w:color w:val="FF0000"/>
          <w:sz w:val="28"/>
          <w:szCs w:val="28"/>
          <w:u w:val="single"/>
        </w:rPr>
        <w:t>Věcné zásadní připomínky:</w:t>
      </w:r>
    </w:p>
    <w:p w14:paraId="4D46C8B8" w14:textId="77777777" w:rsidR="005506DC" w:rsidRDefault="005506DC" w:rsidP="00AE56F8">
      <w:pPr>
        <w:jc w:val="both"/>
        <w:rPr>
          <w:rFonts w:asciiTheme="minorHAnsi" w:hAnsiTheme="minorHAnsi" w:cstheme="minorHAnsi"/>
          <w:b/>
          <w:bCs/>
          <w:sz w:val="24"/>
          <w:szCs w:val="24"/>
        </w:rPr>
      </w:pPr>
    </w:p>
    <w:p w14:paraId="42DBED1A" w14:textId="31B62ACD" w:rsidR="00E017F9" w:rsidRPr="00E017F9" w:rsidRDefault="00E017F9" w:rsidP="00E017F9">
      <w:pPr>
        <w:pStyle w:val="Odstavecseseznamem"/>
        <w:numPr>
          <w:ilvl w:val="0"/>
          <w:numId w:val="31"/>
        </w:numPr>
        <w:jc w:val="both"/>
        <w:rPr>
          <w:rFonts w:asciiTheme="minorHAnsi" w:hAnsiTheme="minorHAnsi" w:cstheme="minorHAnsi"/>
          <w:b/>
          <w:bCs/>
          <w:sz w:val="24"/>
          <w:szCs w:val="24"/>
          <w:u w:val="single"/>
        </w:rPr>
      </w:pPr>
      <w:r w:rsidRPr="00E017F9">
        <w:rPr>
          <w:rFonts w:asciiTheme="minorHAnsi" w:hAnsiTheme="minorHAnsi" w:cstheme="minorHAnsi"/>
          <w:b/>
          <w:bCs/>
          <w:sz w:val="24"/>
          <w:szCs w:val="24"/>
          <w:u w:val="single"/>
        </w:rPr>
        <w:t xml:space="preserve">část </w:t>
      </w:r>
      <w:proofErr w:type="gramStart"/>
      <w:r w:rsidRPr="00E017F9">
        <w:rPr>
          <w:rFonts w:asciiTheme="minorHAnsi" w:hAnsiTheme="minorHAnsi" w:cstheme="minorHAnsi"/>
          <w:b/>
          <w:bCs/>
          <w:sz w:val="24"/>
          <w:szCs w:val="24"/>
          <w:u w:val="single"/>
        </w:rPr>
        <w:t>třetí - novelizace</w:t>
      </w:r>
      <w:proofErr w:type="gramEnd"/>
      <w:r w:rsidRPr="00E017F9">
        <w:rPr>
          <w:rFonts w:asciiTheme="minorHAnsi" w:hAnsiTheme="minorHAnsi" w:cstheme="minorHAnsi"/>
          <w:b/>
          <w:bCs/>
          <w:sz w:val="24"/>
          <w:szCs w:val="24"/>
          <w:u w:val="single"/>
        </w:rPr>
        <w:t xml:space="preserve"> zákona č. 44/1988 Sb., o ochraně a využití nerostného bohatství</w:t>
      </w:r>
    </w:p>
    <w:p w14:paraId="1D3B6E0A" w14:textId="77777777" w:rsidR="00E017F9" w:rsidRPr="004338C1" w:rsidRDefault="00E017F9" w:rsidP="00E017F9">
      <w:pPr>
        <w:jc w:val="both"/>
        <w:rPr>
          <w:rFonts w:asciiTheme="minorHAnsi" w:hAnsiTheme="minorHAnsi" w:cstheme="minorHAnsi"/>
          <w:b/>
          <w:bCs/>
          <w:sz w:val="24"/>
          <w:szCs w:val="24"/>
          <w:u w:val="single"/>
        </w:rPr>
      </w:pPr>
      <w:r w:rsidRPr="004338C1">
        <w:rPr>
          <w:rFonts w:asciiTheme="minorHAnsi" w:hAnsiTheme="minorHAnsi" w:cstheme="minorHAnsi"/>
          <w:b/>
          <w:bCs/>
          <w:sz w:val="24"/>
          <w:szCs w:val="24"/>
          <w:u w:val="single"/>
        </w:rPr>
        <w:t>§ 33d odst. 2</w:t>
      </w:r>
    </w:p>
    <w:p w14:paraId="0BF924EB"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Navrhuje se navýšení úhrady z dobývacího prostoru, ve kterém je povolena hornická činnost spočívající v přípravě, otvírce a dobývání výhradního ložiska, z 1000,--Kč/ha na 1500,--Kč/ha.</w:t>
      </w:r>
    </w:p>
    <w:p w14:paraId="7009F015" w14:textId="77777777" w:rsidR="00E017F9" w:rsidRPr="004338C1" w:rsidRDefault="00E017F9" w:rsidP="00E017F9">
      <w:pPr>
        <w:jc w:val="both"/>
        <w:rPr>
          <w:rFonts w:asciiTheme="minorHAnsi" w:hAnsiTheme="minorHAnsi" w:cstheme="minorHAnsi"/>
          <w:b/>
          <w:bCs/>
          <w:sz w:val="24"/>
          <w:szCs w:val="24"/>
          <w:u w:val="single"/>
        </w:rPr>
      </w:pPr>
      <w:r w:rsidRPr="004338C1">
        <w:rPr>
          <w:rFonts w:asciiTheme="minorHAnsi" w:hAnsiTheme="minorHAnsi" w:cstheme="minorHAnsi"/>
          <w:b/>
          <w:bCs/>
          <w:sz w:val="24"/>
          <w:szCs w:val="24"/>
          <w:u w:val="single"/>
        </w:rPr>
        <w:t>Navrhujeme od navrhované novelizace upustit.</w:t>
      </w:r>
    </w:p>
    <w:p w14:paraId="484C55FB" w14:textId="77777777" w:rsidR="00E017F9" w:rsidRPr="004338C1" w:rsidRDefault="00E017F9" w:rsidP="00E017F9">
      <w:pPr>
        <w:jc w:val="both"/>
        <w:rPr>
          <w:rFonts w:asciiTheme="minorHAnsi" w:hAnsiTheme="minorHAnsi" w:cstheme="minorHAnsi"/>
          <w:b/>
          <w:bCs/>
          <w:sz w:val="24"/>
          <w:szCs w:val="24"/>
          <w:u w:val="single"/>
        </w:rPr>
      </w:pPr>
      <w:r w:rsidRPr="004338C1">
        <w:rPr>
          <w:rFonts w:asciiTheme="minorHAnsi" w:hAnsiTheme="minorHAnsi" w:cstheme="minorHAnsi"/>
          <w:b/>
          <w:bCs/>
          <w:sz w:val="24"/>
          <w:szCs w:val="24"/>
          <w:u w:val="single"/>
        </w:rPr>
        <w:t>Tato připomínka je ZÁSADNÍ.</w:t>
      </w:r>
    </w:p>
    <w:p w14:paraId="338B5DDE" w14:textId="77777777" w:rsidR="00E017F9" w:rsidRPr="004338C1" w:rsidRDefault="00E017F9" w:rsidP="00E017F9">
      <w:pPr>
        <w:jc w:val="both"/>
        <w:rPr>
          <w:rFonts w:asciiTheme="minorHAnsi" w:hAnsiTheme="minorHAnsi" w:cstheme="minorHAnsi"/>
          <w:b/>
          <w:bCs/>
          <w:sz w:val="24"/>
          <w:szCs w:val="24"/>
          <w:u w:val="single"/>
        </w:rPr>
      </w:pPr>
    </w:p>
    <w:p w14:paraId="049CE5C5" w14:textId="77777777" w:rsidR="00E017F9" w:rsidRPr="005A141D" w:rsidRDefault="00E017F9" w:rsidP="00E017F9">
      <w:pPr>
        <w:jc w:val="both"/>
        <w:rPr>
          <w:rFonts w:asciiTheme="minorHAnsi" w:hAnsiTheme="minorHAnsi" w:cstheme="minorHAnsi"/>
          <w:sz w:val="24"/>
          <w:szCs w:val="24"/>
          <w:u w:val="single"/>
        </w:rPr>
      </w:pPr>
      <w:r w:rsidRPr="005A141D">
        <w:rPr>
          <w:rFonts w:asciiTheme="minorHAnsi" w:hAnsiTheme="minorHAnsi" w:cstheme="minorHAnsi"/>
          <w:sz w:val="24"/>
          <w:szCs w:val="24"/>
          <w:u w:val="single"/>
        </w:rPr>
        <w:t>Odůvodnění:</w:t>
      </w:r>
    </w:p>
    <w:p w14:paraId="12275B0F"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 xml:space="preserve">Návrh na navýšení sazeb úhrad z dobývacího prostoru </w:t>
      </w:r>
      <w:r w:rsidRPr="004338C1">
        <w:rPr>
          <w:rFonts w:asciiTheme="minorHAnsi" w:hAnsiTheme="minorHAnsi" w:cstheme="minorHAnsi"/>
          <w:b/>
          <w:bCs/>
          <w:sz w:val="24"/>
          <w:szCs w:val="24"/>
        </w:rPr>
        <w:t>nebyl obsažen ve vládou představeném konsolidačním balíčku</w:t>
      </w:r>
      <w:r w:rsidRPr="004338C1">
        <w:rPr>
          <w:rFonts w:asciiTheme="minorHAnsi" w:hAnsiTheme="minorHAnsi" w:cstheme="minorHAnsi"/>
          <w:sz w:val="24"/>
          <w:szCs w:val="24"/>
        </w:rPr>
        <w:t xml:space="preserve"> (ozdravného plánu pro veřejné finance) dne 11.5.2023 a zveřejněném na webových stránkách Ministerstva financí. </w:t>
      </w:r>
    </w:p>
    <w:p w14:paraId="0ADD1389"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 xml:space="preserve">Dobývací prostor je v jeho hranicích na povrchu </w:t>
      </w:r>
      <w:r w:rsidRPr="004338C1">
        <w:rPr>
          <w:rFonts w:asciiTheme="minorHAnsi" w:hAnsiTheme="minorHAnsi" w:cstheme="minorHAnsi"/>
          <w:b/>
          <w:bCs/>
          <w:sz w:val="24"/>
          <w:szCs w:val="24"/>
          <w:u w:val="single"/>
        </w:rPr>
        <w:t>rozhodnutím o využití území</w:t>
      </w:r>
      <w:r w:rsidRPr="004338C1">
        <w:rPr>
          <w:rFonts w:asciiTheme="minorHAnsi" w:hAnsiTheme="minorHAnsi" w:cstheme="minorHAnsi"/>
          <w:sz w:val="24"/>
          <w:szCs w:val="24"/>
        </w:rPr>
        <w:t xml:space="preserve">, které nezakládá těžebnímu podnikateli právo na zahájení těžby (tím je až rozhodnutí o povolení hornické činnosti – dobývání). </w:t>
      </w:r>
    </w:p>
    <w:p w14:paraId="5E433460"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Stanovení dobývacího prostoru je rozhodnutím, které:</w:t>
      </w:r>
    </w:p>
    <w:p w14:paraId="533D3D43" w14:textId="77777777" w:rsidR="00E017F9" w:rsidRPr="004338C1" w:rsidRDefault="00E017F9" w:rsidP="00E017F9">
      <w:pPr>
        <w:pStyle w:val="Odstavecseseznamem"/>
        <w:widowControl w:val="0"/>
        <w:numPr>
          <w:ilvl w:val="0"/>
          <w:numId w:val="22"/>
        </w:numPr>
        <w:overflowPunct w:val="0"/>
        <w:autoSpaceDE w:val="0"/>
        <w:autoSpaceDN w:val="0"/>
        <w:adjustRightInd w:val="0"/>
        <w:spacing w:before="120" w:after="0" w:line="240" w:lineRule="auto"/>
        <w:jc w:val="both"/>
        <w:textAlignment w:val="baseline"/>
        <w:rPr>
          <w:rFonts w:asciiTheme="minorHAnsi" w:hAnsiTheme="minorHAnsi" w:cstheme="minorHAnsi"/>
          <w:sz w:val="24"/>
          <w:szCs w:val="24"/>
        </w:rPr>
      </w:pPr>
      <w:r w:rsidRPr="004338C1">
        <w:rPr>
          <w:rFonts w:asciiTheme="minorHAnsi" w:hAnsiTheme="minorHAnsi" w:cstheme="minorHAnsi"/>
          <w:sz w:val="24"/>
          <w:szCs w:val="24"/>
        </w:rPr>
        <w:t xml:space="preserve">vymezuje maximální možný prostor na povrchu a pod povrchem, kde je možno realizovat hornickou činnost za předpokladu získání jejího povolení (určení administrativní hranice); </w:t>
      </w:r>
    </w:p>
    <w:p w14:paraId="6F640CE0" w14:textId="77777777" w:rsidR="00E017F9" w:rsidRPr="004338C1" w:rsidRDefault="00E017F9" w:rsidP="00E017F9">
      <w:pPr>
        <w:pStyle w:val="Odstavecseseznamem"/>
        <w:widowControl w:val="0"/>
        <w:numPr>
          <w:ilvl w:val="0"/>
          <w:numId w:val="22"/>
        </w:numPr>
        <w:overflowPunct w:val="0"/>
        <w:autoSpaceDE w:val="0"/>
        <w:autoSpaceDN w:val="0"/>
        <w:adjustRightInd w:val="0"/>
        <w:spacing w:before="120" w:after="0" w:line="240" w:lineRule="auto"/>
        <w:jc w:val="both"/>
        <w:textAlignment w:val="baseline"/>
        <w:rPr>
          <w:rFonts w:asciiTheme="minorHAnsi" w:hAnsiTheme="minorHAnsi" w:cstheme="minorHAnsi"/>
          <w:sz w:val="24"/>
          <w:szCs w:val="24"/>
        </w:rPr>
      </w:pPr>
      <w:r w:rsidRPr="004338C1">
        <w:rPr>
          <w:rFonts w:asciiTheme="minorHAnsi" w:hAnsiTheme="minorHAnsi" w:cstheme="minorHAnsi"/>
          <w:sz w:val="24"/>
          <w:szCs w:val="24"/>
        </w:rPr>
        <w:t>znamená pro organizaci exkluzivní dobývací právo k danému nerostu v daném území.</w:t>
      </w:r>
    </w:p>
    <w:p w14:paraId="6C4EEFE6" w14:textId="77777777" w:rsidR="00E017F9" w:rsidRPr="004338C1" w:rsidRDefault="00E017F9" w:rsidP="00E017F9">
      <w:pPr>
        <w:jc w:val="both"/>
        <w:rPr>
          <w:rFonts w:asciiTheme="minorHAnsi" w:hAnsiTheme="minorHAnsi" w:cstheme="minorHAnsi"/>
          <w:b/>
          <w:bCs/>
          <w:sz w:val="24"/>
          <w:szCs w:val="24"/>
        </w:rPr>
      </w:pPr>
    </w:p>
    <w:p w14:paraId="2B563494" w14:textId="77777777" w:rsidR="00E017F9" w:rsidRPr="004338C1" w:rsidRDefault="00E017F9" w:rsidP="00E017F9">
      <w:pPr>
        <w:jc w:val="both"/>
        <w:rPr>
          <w:rFonts w:asciiTheme="minorHAnsi" w:hAnsiTheme="minorHAnsi" w:cstheme="minorHAnsi"/>
          <w:b/>
          <w:bCs/>
          <w:sz w:val="24"/>
          <w:szCs w:val="24"/>
        </w:rPr>
      </w:pPr>
      <w:r w:rsidRPr="004338C1">
        <w:rPr>
          <w:rFonts w:asciiTheme="minorHAnsi" w:hAnsiTheme="minorHAnsi" w:cstheme="minorHAnsi"/>
          <w:b/>
          <w:bCs/>
          <w:sz w:val="24"/>
          <w:szCs w:val="24"/>
        </w:rPr>
        <w:t>Dobývací prostor je určitou prostorovou entitou, ze které plynou oprávnění pro jejího držitele, nikoliv však ve smyslu povolení konkrétní činnosti.</w:t>
      </w:r>
    </w:p>
    <w:p w14:paraId="0BCF6B3E" w14:textId="77777777" w:rsidR="00A74C19" w:rsidRDefault="00A74C19" w:rsidP="00E017F9">
      <w:pPr>
        <w:jc w:val="both"/>
        <w:rPr>
          <w:rFonts w:asciiTheme="minorHAnsi" w:hAnsiTheme="minorHAnsi" w:cstheme="minorHAnsi"/>
          <w:b/>
          <w:bCs/>
          <w:sz w:val="24"/>
          <w:szCs w:val="24"/>
          <w:u w:val="single"/>
        </w:rPr>
      </w:pPr>
    </w:p>
    <w:p w14:paraId="252BEC81" w14:textId="3A37DABE" w:rsidR="00E017F9" w:rsidRPr="004338C1" w:rsidRDefault="00E017F9" w:rsidP="00E017F9">
      <w:pPr>
        <w:jc w:val="both"/>
        <w:rPr>
          <w:rFonts w:asciiTheme="minorHAnsi" w:hAnsiTheme="minorHAnsi" w:cstheme="minorHAnsi"/>
          <w:b/>
          <w:bCs/>
          <w:sz w:val="24"/>
          <w:szCs w:val="24"/>
          <w:u w:val="single"/>
        </w:rPr>
      </w:pPr>
      <w:r w:rsidRPr="004338C1">
        <w:rPr>
          <w:rFonts w:asciiTheme="minorHAnsi" w:hAnsiTheme="minorHAnsi" w:cstheme="minorHAnsi"/>
          <w:b/>
          <w:bCs/>
          <w:sz w:val="24"/>
          <w:szCs w:val="24"/>
          <w:u w:val="single"/>
        </w:rPr>
        <w:t>Základní principy úhrady:</w:t>
      </w:r>
    </w:p>
    <w:p w14:paraId="211CE96E" w14:textId="77777777" w:rsidR="00E017F9" w:rsidRPr="004338C1" w:rsidRDefault="00E017F9" w:rsidP="00E017F9">
      <w:pPr>
        <w:pStyle w:val="Odstavecseseznamem"/>
        <w:numPr>
          <w:ilvl w:val="0"/>
          <w:numId w:val="28"/>
        </w:numPr>
        <w:spacing w:after="160" w:line="240" w:lineRule="auto"/>
        <w:jc w:val="both"/>
        <w:rPr>
          <w:rFonts w:asciiTheme="minorHAnsi" w:hAnsiTheme="minorHAnsi" w:cstheme="minorHAnsi"/>
          <w:sz w:val="24"/>
          <w:szCs w:val="24"/>
        </w:rPr>
      </w:pPr>
      <w:r w:rsidRPr="004338C1">
        <w:rPr>
          <w:rFonts w:asciiTheme="minorHAnsi" w:hAnsiTheme="minorHAnsi" w:cstheme="minorHAnsi"/>
          <w:sz w:val="24"/>
          <w:szCs w:val="24"/>
        </w:rPr>
        <w:t>Sazba úhrady je stanovena „</w:t>
      </w:r>
      <w:r w:rsidRPr="004338C1">
        <w:rPr>
          <w:rFonts w:asciiTheme="minorHAnsi" w:hAnsiTheme="minorHAnsi" w:cstheme="minorHAnsi"/>
          <w:b/>
          <w:bCs/>
          <w:sz w:val="24"/>
          <w:szCs w:val="24"/>
        </w:rPr>
        <w:t>jako univerzální</w:t>
      </w:r>
      <w:r w:rsidRPr="004338C1">
        <w:rPr>
          <w:rFonts w:asciiTheme="minorHAnsi" w:hAnsiTheme="minorHAnsi" w:cstheme="minorHAnsi"/>
          <w:sz w:val="24"/>
          <w:szCs w:val="24"/>
        </w:rPr>
        <w:t>“ bez dalšího členění dle druhu nerostu a způsobu těžby.</w:t>
      </w:r>
    </w:p>
    <w:p w14:paraId="6D33EF42" w14:textId="77777777" w:rsidR="00E017F9" w:rsidRPr="004338C1" w:rsidRDefault="00E017F9" w:rsidP="00E017F9">
      <w:pPr>
        <w:pStyle w:val="Odstavecseseznamem"/>
        <w:numPr>
          <w:ilvl w:val="0"/>
          <w:numId w:val="28"/>
        </w:numPr>
        <w:spacing w:after="160" w:line="240" w:lineRule="auto"/>
        <w:jc w:val="both"/>
        <w:rPr>
          <w:rFonts w:asciiTheme="minorHAnsi" w:hAnsiTheme="minorHAnsi" w:cstheme="minorHAnsi"/>
          <w:sz w:val="24"/>
          <w:szCs w:val="24"/>
        </w:rPr>
      </w:pPr>
      <w:r w:rsidRPr="004338C1">
        <w:rPr>
          <w:rFonts w:asciiTheme="minorHAnsi" w:hAnsiTheme="minorHAnsi" w:cstheme="minorHAnsi"/>
          <w:sz w:val="24"/>
          <w:szCs w:val="24"/>
        </w:rPr>
        <w:t xml:space="preserve">Platba </w:t>
      </w:r>
      <w:r w:rsidRPr="004338C1">
        <w:rPr>
          <w:rFonts w:asciiTheme="minorHAnsi" w:hAnsiTheme="minorHAnsi" w:cstheme="minorHAnsi"/>
          <w:b/>
          <w:bCs/>
          <w:sz w:val="24"/>
          <w:szCs w:val="24"/>
        </w:rPr>
        <w:t>je odváděna i v případě, že v daném dobývacím prostoru nedochází k těžbě</w:t>
      </w:r>
      <w:r w:rsidRPr="004338C1">
        <w:rPr>
          <w:rFonts w:asciiTheme="minorHAnsi" w:hAnsiTheme="minorHAnsi" w:cstheme="minorHAnsi"/>
          <w:sz w:val="24"/>
          <w:szCs w:val="24"/>
        </w:rPr>
        <w:t xml:space="preserve">, v případě DP se však jedná o úhradu, která je ponížena. </w:t>
      </w:r>
    </w:p>
    <w:p w14:paraId="7C6EB00F" w14:textId="77777777" w:rsidR="00E017F9" w:rsidRPr="004338C1" w:rsidRDefault="00E017F9" w:rsidP="00E017F9">
      <w:pPr>
        <w:pStyle w:val="Odstavecseseznamem"/>
        <w:numPr>
          <w:ilvl w:val="0"/>
          <w:numId w:val="28"/>
        </w:numPr>
        <w:spacing w:after="160" w:line="240" w:lineRule="auto"/>
        <w:jc w:val="both"/>
        <w:rPr>
          <w:rFonts w:asciiTheme="minorHAnsi" w:hAnsiTheme="minorHAnsi" w:cstheme="minorHAnsi"/>
          <w:sz w:val="24"/>
          <w:szCs w:val="24"/>
        </w:rPr>
      </w:pPr>
      <w:r w:rsidRPr="004338C1">
        <w:rPr>
          <w:rFonts w:asciiTheme="minorHAnsi" w:hAnsiTheme="minorHAnsi" w:cstheme="minorHAnsi"/>
          <w:sz w:val="24"/>
          <w:szCs w:val="24"/>
        </w:rPr>
        <w:t xml:space="preserve">Pokud nedochází k těžbě pouze na části DP, je poplatek hrazen v plné výši, aniž by tato skutečnost byla zohledněna. </w:t>
      </w:r>
    </w:p>
    <w:p w14:paraId="3D651DAB" w14:textId="77777777" w:rsidR="00E017F9"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 xml:space="preserve">K 1.1.2017 došlo </w:t>
      </w:r>
      <w:r w:rsidRPr="004338C1">
        <w:rPr>
          <w:rFonts w:asciiTheme="minorHAnsi" w:hAnsiTheme="minorHAnsi" w:cstheme="minorHAnsi"/>
          <w:b/>
          <w:bCs/>
          <w:sz w:val="24"/>
          <w:szCs w:val="24"/>
          <w:u w:val="single"/>
        </w:rPr>
        <w:t>ke skokovému, desetinásobnému, navýšení sazby úhrady</w:t>
      </w:r>
      <w:r w:rsidRPr="004338C1">
        <w:rPr>
          <w:rFonts w:asciiTheme="minorHAnsi" w:hAnsiTheme="minorHAnsi" w:cstheme="minorHAnsi"/>
          <w:sz w:val="24"/>
          <w:szCs w:val="24"/>
        </w:rPr>
        <w:t xml:space="preserve"> za dobývací prostor. Dle údajů Českého báňského úřadu činila souhrnná výše úhrad za DP v úhradovém období roku 2016 </w:t>
      </w:r>
      <w:proofErr w:type="gramStart"/>
      <w:r w:rsidRPr="004338C1">
        <w:rPr>
          <w:rFonts w:asciiTheme="minorHAnsi" w:hAnsiTheme="minorHAnsi" w:cstheme="minorHAnsi"/>
          <w:sz w:val="24"/>
          <w:szCs w:val="24"/>
        </w:rPr>
        <w:t>13,687.848,-</w:t>
      </w:r>
      <w:proofErr w:type="gramEnd"/>
      <w:r w:rsidRPr="004338C1">
        <w:rPr>
          <w:rFonts w:asciiTheme="minorHAnsi" w:hAnsiTheme="minorHAnsi" w:cstheme="minorHAnsi"/>
          <w:sz w:val="24"/>
          <w:szCs w:val="24"/>
        </w:rPr>
        <w:t xml:space="preserve">Kč, v roce 2017 tato úhrada činila </w:t>
      </w:r>
      <w:r w:rsidRPr="004338C1">
        <w:rPr>
          <w:rFonts w:asciiTheme="minorHAnsi" w:hAnsiTheme="minorHAnsi" w:cstheme="minorHAnsi"/>
          <w:b/>
          <w:bCs/>
          <w:sz w:val="24"/>
          <w:szCs w:val="24"/>
        </w:rPr>
        <w:t>96,303.750,-Kč, v roce 2021 pak 82,823.450,--Kč.</w:t>
      </w:r>
      <w:r w:rsidRPr="004338C1">
        <w:rPr>
          <w:rFonts w:asciiTheme="minorHAnsi" w:hAnsiTheme="minorHAnsi" w:cstheme="minorHAnsi"/>
          <w:sz w:val="24"/>
          <w:szCs w:val="24"/>
        </w:rPr>
        <w:t xml:space="preserve"> </w:t>
      </w:r>
    </w:p>
    <w:p w14:paraId="374574E2" w14:textId="77777777" w:rsidR="00F065D4" w:rsidRDefault="00F065D4" w:rsidP="00E017F9">
      <w:pPr>
        <w:jc w:val="both"/>
        <w:rPr>
          <w:rFonts w:asciiTheme="minorHAnsi" w:hAnsiTheme="minorHAnsi" w:cstheme="minorHAnsi"/>
          <w:sz w:val="24"/>
          <w:szCs w:val="24"/>
        </w:rPr>
      </w:pPr>
    </w:p>
    <w:p w14:paraId="019B493E" w14:textId="77777777" w:rsidR="004628F7" w:rsidRDefault="004628F7" w:rsidP="00E017F9">
      <w:pPr>
        <w:jc w:val="both"/>
        <w:rPr>
          <w:rFonts w:asciiTheme="minorHAnsi" w:hAnsiTheme="minorHAnsi" w:cstheme="minorHAnsi"/>
          <w:sz w:val="24"/>
          <w:szCs w:val="24"/>
        </w:rPr>
      </w:pPr>
    </w:p>
    <w:p w14:paraId="13AF32C3" w14:textId="77777777" w:rsidR="004628F7" w:rsidRPr="004338C1" w:rsidRDefault="004628F7" w:rsidP="00E017F9">
      <w:pPr>
        <w:jc w:val="both"/>
        <w:rPr>
          <w:rFonts w:asciiTheme="minorHAnsi" w:hAnsiTheme="minorHAnsi" w:cstheme="minorHAnsi"/>
          <w:sz w:val="24"/>
          <w:szCs w:val="24"/>
        </w:rPr>
      </w:pPr>
    </w:p>
    <w:p w14:paraId="6B300A73" w14:textId="77777777" w:rsidR="00E017F9" w:rsidRPr="004338C1" w:rsidRDefault="00E017F9" w:rsidP="00E017F9">
      <w:pPr>
        <w:pStyle w:val="Odstavecseseznamem"/>
        <w:numPr>
          <w:ilvl w:val="0"/>
          <w:numId w:val="27"/>
        </w:numPr>
        <w:spacing w:after="160" w:line="240" w:lineRule="auto"/>
        <w:jc w:val="both"/>
        <w:rPr>
          <w:rFonts w:asciiTheme="minorHAnsi" w:hAnsiTheme="minorHAnsi" w:cstheme="minorHAnsi"/>
          <w:b/>
          <w:bCs/>
          <w:sz w:val="24"/>
          <w:szCs w:val="24"/>
          <w:u w:val="single"/>
        </w:rPr>
      </w:pPr>
      <w:r w:rsidRPr="004338C1">
        <w:rPr>
          <w:rFonts w:asciiTheme="minorHAnsi" w:hAnsiTheme="minorHAnsi" w:cstheme="minorHAnsi"/>
          <w:b/>
          <w:bCs/>
          <w:sz w:val="24"/>
          <w:szCs w:val="24"/>
          <w:u w:val="single"/>
        </w:rPr>
        <w:t>Srovnání s poplatky za stanovený dobývací prostor v některých evropských zemích</w:t>
      </w:r>
    </w:p>
    <w:p w14:paraId="2D0DDC1C" w14:textId="77777777" w:rsidR="00E017F9" w:rsidRPr="004338C1" w:rsidRDefault="00E017F9" w:rsidP="00E017F9">
      <w:pPr>
        <w:pStyle w:val="Odstavecseseznamem"/>
        <w:spacing w:line="240" w:lineRule="auto"/>
        <w:jc w:val="both"/>
        <w:rPr>
          <w:rFonts w:asciiTheme="minorHAnsi" w:hAnsiTheme="minorHAnsi" w:cstheme="minorHAnsi"/>
          <w:b/>
          <w:bCs/>
          <w:sz w:val="24"/>
          <w:szCs w:val="24"/>
          <w:u w:val="single"/>
        </w:rPr>
      </w:pPr>
    </w:p>
    <w:p w14:paraId="07C1DB3E" w14:textId="77777777" w:rsidR="00E017F9" w:rsidRPr="004338C1" w:rsidRDefault="00E017F9" w:rsidP="00E017F9">
      <w:pPr>
        <w:pStyle w:val="Odstavecseseznamem"/>
        <w:numPr>
          <w:ilvl w:val="0"/>
          <w:numId w:val="26"/>
        </w:numPr>
        <w:spacing w:after="160" w:line="240" w:lineRule="auto"/>
        <w:jc w:val="both"/>
        <w:rPr>
          <w:rFonts w:asciiTheme="minorHAnsi" w:hAnsiTheme="minorHAnsi" w:cstheme="minorHAnsi"/>
          <w:b/>
          <w:bCs/>
          <w:sz w:val="24"/>
          <w:szCs w:val="24"/>
        </w:rPr>
      </w:pPr>
      <w:r w:rsidRPr="004338C1">
        <w:rPr>
          <w:rFonts w:asciiTheme="minorHAnsi" w:hAnsiTheme="minorHAnsi" w:cstheme="minorHAnsi"/>
          <w:b/>
          <w:bCs/>
          <w:sz w:val="24"/>
          <w:szCs w:val="24"/>
        </w:rPr>
        <w:t>Slovensko</w:t>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i/>
          <w:iCs/>
          <w:sz w:val="24"/>
          <w:szCs w:val="24"/>
        </w:rPr>
        <w:tab/>
      </w:r>
      <w:r w:rsidRPr="004338C1">
        <w:rPr>
          <w:rFonts w:asciiTheme="minorHAnsi" w:hAnsiTheme="minorHAnsi" w:cstheme="minorHAnsi"/>
          <w:i/>
          <w:iCs/>
          <w:sz w:val="24"/>
          <w:szCs w:val="24"/>
        </w:rPr>
        <w:tab/>
      </w:r>
      <w:r w:rsidRPr="004338C1">
        <w:rPr>
          <w:rFonts w:asciiTheme="minorHAnsi" w:hAnsiTheme="minorHAnsi" w:cstheme="minorHAnsi"/>
          <w:sz w:val="24"/>
          <w:szCs w:val="24"/>
        </w:rPr>
        <w:t>663,88 EUR/km</w:t>
      </w:r>
      <w:r w:rsidRPr="004338C1">
        <w:rPr>
          <w:rFonts w:asciiTheme="minorHAnsi" w:hAnsiTheme="minorHAnsi" w:cstheme="minorHAnsi"/>
          <w:sz w:val="24"/>
          <w:szCs w:val="24"/>
          <w:vertAlign w:val="superscript"/>
        </w:rPr>
        <w:t>2</w:t>
      </w:r>
    </w:p>
    <w:p w14:paraId="33048E6D" w14:textId="77777777" w:rsidR="00E017F9" w:rsidRPr="004338C1" w:rsidRDefault="00E017F9" w:rsidP="00E017F9">
      <w:pPr>
        <w:pStyle w:val="Odstavecseseznamem"/>
        <w:numPr>
          <w:ilvl w:val="0"/>
          <w:numId w:val="26"/>
        </w:numPr>
        <w:spacing w:after="160" w:line="240" w:lineRule="auto"/>
        <w:jc w:val="both"/>
        <w:rPr>
          <w:rFonts w:asciiTheme="minorHAnsi" w:hAnsiTheme="minorHAnsi" w:cstheme="minorHAnsi"/>
          <w:b/>
          <w:bCs/>
          <w:sz w:val="24"/>
          <w:szCs w:val="24"/>
        </w:rPr>
      </w:pPr>
      <w:r w:rsidRPr="004338C1">
        <w:rPr>
          <w:rFonts w:asciiTheme="minorHAnsi" w:hAnsiTheme="minorHAnsi" w:cstheme="minorHAnsi"/>
          <w:b/>
          <w:bCs/>
          <w:sz w:val="24"/>
          <w:szCs w:val="24"/>
        </w:rPr>
        <w:t>Rakousko</w:t>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sz w:val="24"/>
          <w:szCs w:val="24"/>
        </w:rPr>
        <w:t>výše specifikována smluvně</w:t>
      </w:r>
    </w:p>
    <w:p w14:paraId="50D8A837" w14:textId="77777777" w:rsidR="00E017F9" w:rsidRPr="004338C1" w:rsidRDefault="00E017F9" w:rsidP="00E017F9">
      <w:pPr>
        <w:pStyle w:val="Odstavecseseznamem"/>
        <w:numPr>
          <w:ilvl w:val="0"/>
          <w:numId w:val="26"/>
        </w:numPr>
        <w:spacing w:after="160" w:line="240" w:lineRule="auto"/>
        <w:jc w:val="both"/>
        <w:rPr>
          <w:rFonts w:asciiTheme="minorHAnsi" w:hAnsiTheme="minorHAnsi" w:cstheme="minorHAnsi"/>
          <w:b/>
          <w:bCs/>
          <w:sz w:val="24"/>
          <w:szCs w:val="24"/>
        </w:rPr>
      </w:pPr>
      <w:r w:rsidRPr="004338C1">
        <w:rPr>
          <w:rFonts w:asciiTheme="minorHAnsi" w:hAnsiTheme="minorHAnsi" w:cstheme="minorHAnsi"/>
          <w:b/>
          <w:bCs/>
          <w:sz w:val="24"/>
          <w:szCs w:val="24"/>
        </w:rPr>
        <w:t xml:space="preserve">Německo </w:t>
      </w:r>
      <w:r w:rsidRPr="004338C1">
        <w:rPr>
          <w:rFonts w:asciiTheme="minorHAnsi" w:hAnsiTheme="minorHAnsi" w:cstheme="minorHAnsi"/>
          <w:sz w:val="24"/>
          <w:szCs w:val="24"/>
        </w:rPr>
        <w:t>odlišnosti ve spolkových zemích)</w:t>
      </w:r>
      <w:r w:rsidRPr="004338C1">
        <w:rPr>
          <w:rFonts w:asciiTheme="minorHAnsi" w:hAnsiTheme="minorHAnsi" w:cstheme="minorHAnsi"/>
          <w:b/>
          <w:bCs/>
          <w:sz w:val="24"/>
          <w:szCs w:val="24"/>
        </w:rPr>
        <w:tab/>
      </w:r>
      <w:r w:rsidRPr="004338C1">
        <w:rPr>
          <w:rFonts w:asciiTheme="minorHAnsi" w:hAnsiTheme="minorHAnsi" w:cstheme="minorHAnsi"/>
          <w:sz w:val="24"/>
          <w:szCs w:val="24"/>
        </w:rPr>
        <w:t>80 EUR/km</w:t>
      </w:r>
      <w:r w:rsidRPr="004338C1">
        <w:rPr>
          <w:rFonts w:asciiTheme="minorHAnsi" w:hAnsiTheme="minorHAnsi" w:cstheme="minorHAnsi"/>
          <w:sz w:val="24"/>
          <w:szCs w:val="24"/>
          <w:vertAlign w:val="superscript"/>
        </w:rPr>
        <w:t xml:space="preserve">2 </w:t>
      </w:r>
      <w:r w:rsidRPr="004338C1">
        <w:rPr>
          <w:rFonts w:asciiTheme="minorHAnsi" w:hAnsiTheme="minorHAnsi" w:cstheme="minorHAnsi"/>
          <w:sz w:val="24"/>
          <w:szCs w:val="24"/>
        </w:rPr>
        <w:t xml:space="preserve">(Dolní Sasko) </w:t>
      </w:r>
    </w:p>
    <w:p w14:paraId="22BA1DCC" w14:textId="77777777" w:rsidR="00E017F9" w:rsidRPr="004338C1" w:rsidRDefault="00E017F9" w:rsidP="00E017F9">
      <w:pPr>
        <w:pStyle w:val="Odstavecseseznamem"/>
        <w:numPr>
          <w:ilvl w:val="0"/>
          <w:numId w:val="26"/>
        </w:numPr>
        <w:spacing w:after="160" w:line="240" w:lineRule="auto"/>
        <w:jc w:val="both"/>
        <w:rPr>
          <w:rFonts w:asciiTheme="minorHAnsi" w:hAnsiTheme="minorHAnsi" w:cstheme="minorHAnsi"/>
          <w:b/>
          <w:bCs/>
          <w:sz w:val="24"/>
          <w:szCs w:val="24"/>
        </w:rPr>
      </w:pPr>
      <w:r w:rsidRPr="004338C1">
        <w:rPr>
          <w:rFonts w:asciiTheme="minorHAnsi" w:hAnsiTheme="minorHAnsi" w:cstheme="minorHAnsi"/>
          <w:b/>
          <w:bCs/>
          <w:sz w:val="24"/>
          <w:szCs w:val="24"/>
        </w:rPr>
        <w:t>Polsko</w:t>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b/>
          <w:bCs/>
          <w:sz w:val="24"/>
          <w:szCs w:val="24"/>
        </w:rPr>
        <w:tab/>
      </w:r>
      <w:r w:rsidRPr="004338C1">
        <w:rPr>
          <w:rFonts w:asciiTheme="minorHAnsi" w:hAnsiTheme="minorHAnsi" w:cstheme="minorHAnsi"/>
          <w:sz w:val="24"/>
          <w:szCs w:val="24"/>
        </w:rPr>
        <w:t>poplatek za zřízení těžebního prostoru na základě soukromoprávní smlouvy mezi státem a těžařem</w:t>
      </w:r>
    </w:p>
    <w:p w14:paraId="5915F074" w14:textId="77777777" w:rsidR="00E017F9" w:rsidRPr="004338C1" w:rsidRDefault="00E017F9" w:rsidP="00E017F9">
      <w:pPr>
        <w:pStyle w:val="Odstavecseseznamem"/>
        <w:numPr>
          <w:ilvl w:val="0"/>
          <w:numId w:val="26"/>
        </w:numPr>
        <w:spacing w:after="160" w:line="240" w:lineRule="auto"/>
        <w:jc w:val="both"/>
        <w:rPr>
          <w:rFonts w:asciiTheme="minorHAnsi" w:hAnsiTheme="minorHAnsi" w:cstheme="minorHAnsi"/>
          <w:b/>
          <w:bCs/>
          <w:sz w:val="24"/>
          <w:szCs w:val="24"/>
        </w:rPr>
      </w:pPr>
      <w:r w:rsidRPr="004338C1">
        <w:rPr>
          <w:rFonts w:asciiTheme="minorHAnsi" w:hAnsiTheme="minorHAnsi" w:cstheme="minorHAnsi"/>
          <w:b/>
          <w:bCs/>
          <w:sz w:val="24"/>
          <w:szCs w:val="24"/>
        </w:rPr>
        <w:t>Maďarsko</w:t>
      </w:r>
      <w:r w:rsidRPr="004338C1">
        <w:rPr>
          <w:rFonts w:asciiTheme="minorHAnsi" w:hAnsiTheme="minorHAnsi" w:cstheme="minorHAnsi"/>
          <w:sz w:val="24"/>
          <w:szCs w:val="24"/>
        </w:rPr>
        <w:tab/>
      </w:r>
      <w:r w:rsidRPr="004338C1">
        <w:rPr>
          <w:rFonts w:asciiTheme="minorHAnsi" w:hAnsiTheme="minorHAnsi" w:cstheme="minorHAnsi"/>
          <w:sz w:val="24"/>
          <w:szCs w:val="24"/>
        </w:rPr>
        <w:tab/>
      </w:r>
      <w:r w:rsidRPr="004338C1">
        <w:rPr>
          <w:rFonts w:asciiTheme="minorHAnsi" w:hAnsiTheme="minorHAnsi" w:cstheme="minorHAnsi"/>
          <w:sz w:val="24"/>
          <w:szCs w:val="24"/>
        </w:rPr>
        <w:tab/>
      </w:r>
      <w:r w:rsidRPr="004338C1">
        <w:rPr>
          <w:rFonts w:asciiTheme="minorHAnsi" w:hAnsiTheme="minorHAnsi" w:cstheme="minorHAnsi"/>
          <w:sz w:val="24"/>
          <w:szCs w:val="24"/>
        </w:rPr>
        <w:tab/>
      </w:r>
      <w:r w:rsidRPr="004338C1">
        <w:rPr>
          <w:rFonts w:asciiTheme="minorHAnsi" w:hAnsiTheme="minorHAnsi" w:cstheme="minorHAnsi"/>
          <w:sz w:val="24"/>
          <w:szCs w:val="24"/>
        </w:rPr>
        <w:tab/>
        <w:t>nehradí se</w:t>
      </w:r>
    </w:p>
    <w:p w14:paraId="39B667B6" w14:textId="77777777" w:rsidR="00E017F9" w:rsidRPr="004338C1" w:rsidRDefault="00E017F9" w:rsidP="00E017F9">
      <w:pPr>
        <w:jc w:val="both"/>
        <w:rPr>
          <w:rFonts w:asciiTheme="minorHAnsi" w:hAnsiTheme="minorHAnsi" w:cstheme="minorHAnsi"/>
          <w:sz w:val="24"/>
          <w:szCs w:val="24"/>
        </w:rPr>
      </w:pPr>
    </w:p>
    <w:p w14:paraId="25B5753B" w14:textId="77777777" w:rsidR="00E017F9" w:rsidRPr="004338C1" w:rsidRDefault="00E017F9" w:rsidP="00E017F9">
      <w:pPr>
        <w:ind w:left="360"/>
        <w:jc w:val="both"/>
        <w:rPr>
          <w:rFonts w:asciiTheme="minorHAnsi" w:hAnsiTheme="minorHAnsi" w:cstheme="minorHAnsi"/>
          <w:sz w:val="24"/>
          <w:szCs w:val="24"/>
        </w:rPr>
      </w:pPr>
      <w:r w:rsidRPr="004338C1">
        <w:rPr>
          <w:rFonts w:asciiTheme="minorHAnsi" w:hAnsiTheme="minorHAnsi" w:cstheme="minorHAnsi"/>
          <w:sz w:val="24"/>
          <w:szCs w:val="24"/>
        </w:rPr>
        <w:t>Následující tabulka pro srovnání ukazuje přepočet úhrad jednotlivých zemí na úhradu za hektar v Kč. Pro přepočet EUR byl použit kurz 24 Kč/1 Euro. Přepočet je vždy zaokrouhlen. Srovnání je provedeno se sazbou v DP, ve kterém je povolena hornická činnost.</w:t>
      </w:r>
    </w:p>
    <w:tbl>
      <w:tblPr>
        <w:tblW w:w="907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2"/>
        <w:gridCol w:w="1701"/>
        <w:gridCol w:w="1437"/>
        <w:gridCol w:w="1980"/>
        <w:gridCol w:w="2385"/>
      </w:tblGrid>
      <w:tr w:rsidR="00E017F9" w:rsidRPr="004338C1" w14:paraId="5EAE75AD" w14:textId="77777777" w:rsidTr="0023611C">
        <w:trPr>
          <w:trHeight w:val="996"/>
        </w:trPr>
        <w:tc>
          <w:tcPr>
            <w:tcW w:w="1572" w:type="dxa"/>
          </w:tcPr>
          <w:p w14:paraId="3D5F102E"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Země</w:t>
            </w:r>
          </w:p>
        </w:tc>
        <w:tc>
          <w:tcPr>
            <w:tcW w:w="1701" w:type="dxa"/>
          </w:tcPr>
          <w:p w14:paraId="02FC93F3"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Sazba v Kč</w:t>
            </w:r>
          </w:p>
        </w:tc>
        <w:tc>
          <w:tcPr>
            <w:tcW w:w="1437" w:type="dxa"/>
          </w:tcPr>
          <w:p w14:paraId="2EC47F96"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 xml:space="preserve">Přepočet jednotky dané země na hektary </w:t>
            </w:r>
          </w:p>
        </w:tc>
        <w:tc>
          <w:tcPr>
            <w:tcW w:w="1980" w:type="dxa"/>
          </w:tcPr>
          <w:p w14:paraId="435F5AB6"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Sazba za 1 ha v Kč</w:t>
            </w:r>
          </w:p>
        </w:tc>
        <w:tc>
          <w:tcPr>
            <w:tcW w:w="2385" w:type="dxa"/>
          </w:tcPr>
          <w:p w14:paraId="3C27D1F5"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Sazba v ČR v Kč</w:t>
            </w:r>
          </w:p>
        </w:tc>
      </w:tr>
      <w:tr w:rsidR="00E017F9" w:rsidRPr="004338C1" w14:paraId="4A84C13F" w14:textId="77777777" w:rsidTr="0023611C">
        <w:trPr>
          <w:trHeight w:val="705"/>
        </w:trPr>
        <w:tc>
          <w:tcPr>
            <w:tcW w:w="1572" w:type="dxa"/>
          </w:tcPr>
          <w:p w14:paraId="65E5473C"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Slovensko</w:t>
            </w:r>
          </w:p>
        </w:tc>
        <w:tc>
          <w:tcPr>
            <w:tcW w:w="1701" w:type="dxa"/>
          </w:tcPr>
          <w:p w14:paraId="27EABD63"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 xml:space="preserve">15933 </w:t>
            </w:r>
          </w:p>
        </w:tc>
        <w:tc>
          <w:tcPr>
            <w:tcW w:w="1437" w:type="dxa"/>
          </w:tcPr>
          <w:p w14:paraId="73704AB7"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100</w:t>
            </w:r>
          </w:p>
        </w:tc>
        <w:tc>
          <w:tcPr>
            <w:tcW w:w="1980" w:type="dxa"/>
          </w:tcPr>
          <w:p w14:paraId="35EF40D2"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159</w:t>
            </w:r>
          </w:p>
        </w:tc>
        <w:tc>
          <w:tcPr>
            <w:tcW w:w="2385" w:type="dxa"/>
            <w:vAlign w:val="center"/>
          </w:tcPr>
          <w:p w14:paraId="36969952"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1000</w:t>
            </w:r>
          </w:p>
        </w:tc>
      </w:tr>
      <w:tr w:rsidR="00E017F9" w:rsidRPr="004338C1" w14:paraId="3D57AFC5" w14:textId="77777777" w:rsidTr="0023611C">
        <w:trPr>
          <w:trHeight w:val="615"/>
        </w:trPr>
        <w:tc>
          <w:tcPr>
            <w:tcW w:w="1572" w:type="dxa"/>
          </w:tcPr>
          <w:p w14:paraId="61F65B49"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Německo</w:t>
            </w:r>
          </w:p>
          <w:p w14:paraId="4318F1B6"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(Dolní Sasko)</w:t>
            </w:r>
          </w:p>
        </w:tc>
        <w:tc>
          <w:tcPr>
            <w:tcW w:w="1701" w:type="dxa"/>
          </w:tcPr>
          <w:p w14:paraId="2EFDA610"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1920</w:t>
            </w:r>
          </w:p>
        </w:tc>
        <w:tc>
          <w:tcPr>
            <w:tcW w:w="1437" w:type="dxa"/>
          </w:tcPr>
          <w:p w14:paraId="53D89093"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100</w:t>
            </w:r>
          </w:p>
        </w:tc>
        <w:tc>
          <w:tcPr>
            <w:tcW w:w="1980" w:type="dxa"/>
          </w:tcPr>
          <w:p w14:paraId="362F2C4C"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19</w:t>
            </w:r>
          </w:p>
        </w:tc>
        <w:tc>
          <w:tcPr>
            <w:tcW w:w="2385" w:type="dxa"/>
            <w:vAlign w:val="center"/>
          </w:tcPr>
          <w:p w14:paraId="4AC331BB"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1000</w:t>
            </w:r>
          </w:p>
        </w:tc>
      </w:tr>
      <w:tr w:rsidR="00E017F9" w:rsidRPr="004338C1" w14:paraId="2BDFCDC3" w14:textId="77777777" w:rsidTr="0023611C">
        <w:trPr>
          <w:trHeight w:val="480"/>
        </w:trPr>
        <w:tc>
          <w:tcPr>
            <w:tcW w:w="1572" w:type="dxa"/>
          </w:tcPr>
          <w:p w14:paraId="67FEF46D"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Maďarsko</w:t>
            </w:r>
          </w:p>
        </w:tc>
        <w:tc>
          <w:tcPr>
            <w:tcW w:w="1701" w:type="dxa"/>
          </w:tcPr>
          <w:p w14:paraId="3AF3EDF6"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0</w:t>
            </w:r>
          </w:p>
        </w:tc>
        <w:tc>
          <w:tcPr>
            <w:tcW w:w="1437" w:type="dxa"/>
          </w:tcPr>
          <w:p w14:paraId="3AFCD394"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0</w:t>
            </w:r>
          </w:p>
        </w:tc>
        <w:tc>
          <w:tcPr>
            <w:tcW w:w="1980" w:type="dxa"/>
          </w:tcPr>
          <w:p w14:paraId="104DAD1C"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0</w:t>
            </w:r>
          </w:p>
        </w:tc>
        <w:tc>
          <w:tcPr>
            <w:tcW w:w="2385" w:type="dxa"/>
            <w:vAlign w:val="center"/>
          </w:tcPr>
          <w:p w14:paraId="0EF6C492"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1000</w:t>
            </w:r>
          </w:p>
        </w:tc>
      </w:tr>
      <w:tr w:rsidR="00E017F9" w:rsidRPr="004338C1" w14:paraId="4BD967F3" w14:textId="77777777" w:rsidTr="0023611C">
        <w:trPr>
          <w:trHeight w:val="540"/>
        </w:trPr>
        <w:tc>
          <w:tcPr>
            <w:tcW w:w="1572" w:type="dxa"/>
          </w:tcPr>
          <w:p w14:paraId="43E57892"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 xml:space="preserve">Rakousko </w:t>
            </w:r>
          </w:p>
        </w:tc>
        <w:tc>
          <w:tcPr>
            <w:tcW w:w="1701" w:type="dxa"/>
          </w:tcPr>
          <w:p w14:paraId="554F64DC"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nelze srovnat</w:t>
            </w:r>
          </w:p>
        </w:tc>
        <w:tc>
          <w:tcPr>
            <w:tcW w:w="1437" w:type="dxa"/>
          </w:tcPr>
          <w:p w14:paraId="61DD345F" w14:textId="77777777" w:rsidR="00E017F9" w:rsidRPr="004338C1" w:rsidRDefault="00E017F9" w:rsidP="0023611C">
            <w:pPr>
              <w:jc w:val="both"/>
              <w:rPr>
                <w:rFonts w:asciiTheme="minorHAnsi" w:hAnsiTheme="minorHAnsi" w:cstheme="minorHAnsi"/>
                <w:sz w:val="24"/>
                <w:szCs w:val="24"/>
              </w:rPr>
            </w:pPr>
          </w:p>
        </w:tc>
        <w:tc>
          <w:tcPr>
            <w:tcW w:w="1980" w:type="dxa"/>
          </w:tcPr>
          <w:p w14:paraId="7E2F024A" w14:textId="77777777" w:rsidR="00E017F9" w:rsidRPr="004338C1" w:rsidRDefault="00E017F9" w:rsidP="0023611C">
            <w:pPr>
              <w:jc w:val="both"/>
              <w:rPr>
                <w:rFonts w:asciiTheme="minorHAnsi" w:hAnsiTheme="minorHAnsi" w:cstheme="minorHAnsi"/>
                <w:sz w:val="24"/>
                <w:szCs w:val="24"/>
              </w:rPr>
            </w:pPr>
          </w:p>
        </w:tc>
        <w:tc>
          <w:tcPr>
            <w:tcW w:w="2385" w:type="dxa"/>
            <w:vAlign w:val="center"/>
          </w:tcPr>
          <w:p w14:paraId="6C77D2A8"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1000</w:t>
            </w:r>
          </w:p>
        </w:tc>
      </w:tr>
      <w:tr w:rsidR="00E017F9" w:rsidRPr="004338C1" w14:paraId="419230FC" w14:textId="77777777" w:rsidTr="0023611C">
        <w:trPr>
          <w:trHeight w:val="540"/>
        </w:trPr>
        <w:tc>
          <w:tcPr>
            <w:tcW w:w="1572" w:type="dxa"/>
          </w:tcPr>
          <w:p w14:paraId="6E75A4EC"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Polsko</w:t>
            </w:r>
          </w:p>
        </w:tc>
        <w:tc>
          <w:tcPr>
            <w:tcW w:w="1701" w:type="dxa"/>
          </w:tcPr>
          <w:p w14:paraId="3244F529" w14:textId="77777777" w:rsidR="00E017F9" w:rsidRPr="004338C1" w:rsidRDefault="00E017F9" w:rsidP="0023611C">
            <w:pPr>
              <w:jc w:val="both"/>
              <w:rPr>
                <w:rFonts w:asciiTheme="minorHAnsi" w:hAnsiTheme="minorHAnsi" w:cstheme="minorHAnsi"/>
                <w:sz w:val="24"/>
                <w:szCs w:val="24"/>
              </w:rPr>
            </w:pPr>
            <w:r w:rsidRPr="004338C1">
              <w:rPr>
                <w:rFonts w:asciiTheme="minorHAnsi" w:hAnsiTheme="minorHAnsi" w:cstheme="minorHAnsi"/>
                <w:sz w:val="24"/>
                <w:szCs w:val="24"/>
              </w:rPr>
              <w:t>nelze srovnat</w:t>
            </w:r>
          </w:p>
        </w:tc>
        <w:tc>
          <w:tcPr>
            <w:tcW w:w="1437" w:type="dxa"/>
          </w:tcPr>
          <w:p w14:paraId="1A7DF073" w14:textId="77777777" w:rsidR="00E017F9" w:rsidRPr="004338C1" w:rsidRDefault="00E017F9" w:rsidP="0023611C">
            <w:pPr>
              <w:jc w:val="both"/>
              <w:rPr>
                <w:rFonts w:asciiTheme="minorHAnsi" w:hAnsiTheme="minorHAnsi" w:cstheme="minorHAnsi"/>
                <w:sz w:val="24"/>
                <w:szCs w:val="24"/>
              </w:rPr>
            </w:pPr>
          </w:p>
        </w:tc>
        <w:tc>
          <w:tcPr>
            <w:tcW w:w="1980" w:type="dxa"/>
          </w:tcPr>
          <w:p w14:paraId="6C7E3B59" w14:textId="77777777" w:rsidR="00E017F9" w:rsidRPr="004338C1" w:rsidRDefault="00E017F9" w:rsidP="0023611C">
            <w:pPr>
              <w:jc w:val="both"/>
              <w:rPr>
                <w:rFonts w:asciiTheme="minorHAnsi" w:hAnsiTheme="minorHAnsi" w:cstheme="minorHAnsi"/>
                <w:sz w:val="24"/>
                <w:szCs w:val="24"/>
              </w:rPr>
            </w:pPr>
          </w:p>
        </w:tc>
        <w:tc>
          <w:tcPr>
            <w:tcW w:w="2385" w:type="dxa"/>
            <w:vAlign w:val="center"/>
          </w:tcPr>
          <w:p w14:paraId="41B7C1CA" w14:textId="77777777" w:rsidR="00E017F9" w:rsidRPr="004338C1" w:rsidRDefault="00E017F9" w:rsidP="0023611C">
            <w:pPr>
              <w:jc w:val="both"/>
              <w:rPr>
                <w:rFonts w:asciiTheme="minorHAnsi" w:hAnsiTheme="minorHAnsi" w:cstheme="minorHAnsi"/>
                <w:b/>
                <w:bCs/>
                <w:sz w:val="24"/>
                <w:szCs w:val="24"/>
              </w:rPr>
            </w:pPr>
            <w:r w:rsidRPr="004338C1">
              <w:rPr>
                <w:rFonts w:asciiTheme="minorHAnsi" w:hAnsiTheme="minorHAnsi" w:cstheme="minorHAnsi"/>
                <w:b/>
                <w:bCs/>
                <w:sz w:val="24"/>
                <w:szCs w:val="24"/>
              </w:rPr>
              <w:t>1000</w:t>
            </w:r>
          </w:p>
        </w:tc>
      </w:tr>
    </w:tbl>
    <w:p w14:paraId="206DFBC8" w14:textId="77777777" w:rsidR="00E017F9" w:rsidRPr="004338C1" w:rsidRDefault="00E017F9" w:rsidP="00E017F9">
      <w:pPr>
        <w:jc w:val="both"/>
        <w:rPr>
          <w:rFonts w:asciiTheme="minorHAnsi" w:hAnsiTheme="minorHAnsi" w:cstheme="minorHAnsi"/>
          <w:sz w:val="24"/>
          <w:szCs w:val="24"/>
        </w:rPr>
      </w:pPr>
    </w:p>
    <w:p w14:paraId="3660DF07"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 xml:space="preserve">Při srovnání poplatků s nám nejbližšími sousedními zeměmi Slovenskem a Německem a dále Maďarskem lze učinit závěr, že úhrady za dobývací prostor jsou v ČR již nyní </w:t>
      </w:r>
      <w:r w:rsidRPr="004338C1">
        <w:rPr>
          <w:rFonts w:asciiTheme="minorHAnsi" w:hAnsiTheme="minorHAnsi" w:cstheme="minorHAnsi"/>
          <w:b/>
          <w:bCs/>
          <w:sz w:val="24"/>
          <w:szCs w:val="24"/>
          <w:u w:val="single"/>
        </w:rPr>
        <w:t>násobně vyšší</w:t>
      </w:r>
      <w:r w:rsidRPr="004338C1">
        <w:rPr>
          <w:rFonts w:asciiTheme="minorHAnsi" w:hAnsiTheme="minorHAnsi" w:cstheme="minorHAnsi"/>
          <w:sz w:val="24"/>
          <w:szCs w:val="24"/>
        </w:rPr>
        <w:t xml:space="preserve"> než v jiných zemích evropského prostoru.  </w:t>
      </w:r>
    </w:p>
    <w:p w14:paraId="3D58F24D"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 xml:space="preserve">Takto zásadní navýšení sazby úhrady z DP ve spojení se zatížením části těžebního sektoru daní z mimořádných zisků a současně v důvodové zprávě předpokládaným navýšením úhrad z vydobytých nerostů je </w:t>
      </w:r>
      <w:r w:rsidRPr="004338C1">
        <w:rPr>
          <w:rFonts w:asciiTheme="minorHAnsi" w:hAnsiTheme="minorHAnsi" w:cstheme="minorHAnsi"/>
          <w:b/>
          <w:bCs/>
          <w:sz w:val="24"/>
          <w:szCs w:val="24"/>
        </w:rPr>
        <w:t>extrémním zatížením tohoto podnikatelského sektoru</w:t>
      </w:r>
      <w:r w:rsidRPr="004338C1">
        <w:rPr>
          <w:rFonts w:asciiTheme="minorHAnsi" w:hAnsiTheme="minorHAnsi" w:cstheme="minorHAnsi"/>
          <w:sz w:val="24"/>
          <w:szCs w:val="24"/>
        </w:rPr>
        <w:t xml:space="preserve">, které povede v případě některých surovin ke ztrátě konkurenceschopnosti a současně omezení průzkumných aktivit.  </w:t>
      </w:r>
    </w:p>
    <w:p w14:paraId="185436E3" w14:textId="77777777" w:rsidR="00E017F9" w:rsidRPr="004338C1" w:rsidRDefault="00E017F9" w:rsidP="00E017F9">
      <w:pPr>
        <w:jc w:val="both"/>
        <w:rPr>
          <w:rFonts w:asciiTheme="minorHAnsi" w:hAnsiTheme="minorHAnsi" w:cstheme="minorHAnsi"/>
          <w:sz w:val="24"/>
          <w:szCs w:val="24"/>
        </w:rPr>
      </w:pPr>
    </w:p>
    <w:p w14:paraId="71CA5DCE"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b/>
          <w:bCs/>
          <w:sz w:val="24"/>
          <w:szCs w:val="24"/>
          <w:u w:val="single"/>
        </w:rPr>
        <w:t>ALTERNATIVNĚ</w:t>
      </w:r>
      <w:r w:rsidRPr="004338C1">
        <w:rPr>
          <w:rFonts w:asciiTheme="minorHAnsi" w:hAnsiTheme="minorHAnsi" w:cstheme="minorHAnsi"/>
          <w:sz w:val="24"/>
          <w:szCs w:val="24"/>
        </w:rPr>
        <w:t xml:space="preserve"> z důvodu předběžné opatrnosti, pokud nedojde k akceptaci připomínky k upuštění od novelizace, předkládáme TUTO ZÁSADNÍ PŘIPOMÍNKU na úpravu </w:t>
      </w:r>
      <w:r w:rsidRPr="004338C1">
        <w:rPr>
          <w:rFonts w:asciiTheme="minorHAnsi" w:hAnsiTheme="minorHAnsi" w:cstheme="minorHAnsi"/>
          <w:b/>
          <w:bCs/>
          <w:sz w:val="24"/>
          <w:szCs w:val="24"/>
          <w:u w:val="single"/>
        </w:rPr>
        <w:t>§ 33d odst. 2</w:t>
      </w:r>
      <w:r w:rsidRPr="004338C1">
        <w:rPr>
          <w:rFonts w:asciiTheme="minorHAnsi" w:hAnsiTheme="minorHAnsi" w:cstheme="minorHAnsi"/>
          <w:sz w:val="24"/>
          <w:szCs w:val="24"/>
        </w:rPr>
        <w:t>:</w:t>
      </w:r>
    </w:p>
    <w:p w14:paraId="7B7DA2A4"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 33d</w:t>
      </w:r>
    </w:p>
    <w:p w14:paraId="1DD562B2" w14:textId="04A2F96F" w:rsidR="00E017F9" w:rsidRPr="004338C1" w:rsidRDefault="00E017F9" w:rsidP="00E017F9">
      <w:pPr>
        <w:pStyle w:val="Odstavecseseznamem"/>
        <w:spacing w:before="120" w:line="240" w:lineRule="auto"/>
        <w:ind w:firstLine="425"/>
        <w:jc w:val="both"/>
        <w:rPr>
          <w:rFonts w:asciiTheme="minorHAnsi" w:hAnsiTheme="minorHAnsi" w:cstheme="minorHAnsi"/>
          <w:sz w:val="24"/>
          <w:szCs w:val="24"/>
        </w:rPr>
      </w:pPr>
      <w:r w:rsidRPr="004338C1">
        <w:rPr>
          <w:rFonts w:asciiTheme="minorHAnsi" w:hAnsiTheme="minorHAnsi" w:cstheme="minorHAnsi"/>
          <w:sz w:val="24"/>
          <w:szCs w:val="24"/>
        </w:rPr>
        <w:t xml:space="preserve">(2) Sazba úhrady z dobývacího prostoru činí </w:t>
      </w:r>
      <w:r w:rsidRPr="004338C1">
        <w:rPr>
          <w:rFonts w:asciiTheme="minorHAnsi" w:hAnsiTheme="minorHAnsi" w:cstheme="minorHAnsi"/>
          <w:strike/>
          <w:sz w:val="24"/>
          <w:szCs w:val="24"/>
        </w:rPr>
        <w:t>1 000</w:t>
      </w:r>
      <w:r w:rsidRPr="004338C1">
        <w:rPr>
          <w:rFonts w:asciiTheme="minorHAnsi" w:hAnsiTheme="minorHAnsi" w:cstheme="minorHAnsi"/>
          <w:sz w:val="24"/>
          <w:szCs w:val="24"/>
        </w:rPr>
        <w:t xml:space="preserve"> </w:t>
      </w:r>
      <w:r w:rsidRPr="004338C1">
        <w:rPr>
          <w:rFonts w:asciiTheme="minorHAnsi" w:hAnsiTheme="minorHAnsi" w:cstheme="minorHAnsi"/>
          <w:b/>
          <w:strike/>
          <w:sz w:val="24"/>
          <w:szCs w:val="24"/>
        </w:rPr>
        <w:t>1</w:t>
      </w:r>
      <w:r w:rsidR="001668FF">
        <w:rPr>
          <w:rFonts w:asciiTheme="minorHAnsi" w:hAnsiTheme="minorHAnsi" w:cstheme="minorHAnsi"/>
          <w:b/>
          <w:strike/>
          <w:sz w:val="24"/>
          <w:szCs w:val="24"/>
        </w:rPr>
        <w:t>.</w:t>
      </w:r>
      <w:r w:rsidRPr="004338C1">
        <w:rPr>
          <w:rFonts w:asciiTheme="minorHAnsi" w:hAnsiTheme="minorHAnsi" w:cstheme="minorHAnsi"/>
          <w:b/>
          <w:strike/>
          <w:sz w:val="24"/>
          <w:szCs w:val="24"/>
        </w:rPr>
        <w:t>500</w:t>
      </w:r>
      <w:r w:rsidRPr="004338C1">
        <w:rPr>
          <w:rFonts w:asciiTheme="minorHAnsi" w:hAnsiTheme="minorHAnsi" w:cstheme="minorHAnsi"/>
          <w:sz w:val="24"/>
          <w:szCs w:val="24"/>
        </w:rPr>
        <w:t xml:space="preserve"> </w:t>
      </w:r>
      <w:r w:rsidRPr="004338C1">
        <w:rPr>
          <w:rFonts w:asciiTheme="minorHAnsi" w:hAnsiTheme="minorHAnsi" w:cstheme="minorHAnsi"/>
          <w:b/>
          <w:bCs/>
          <w:color w:val="FF0000"/>
          <w:sz w:val="24"/>
          <w:szCs w:val="24"/>
        </w:rPr>
        <w:t>1</w:t>
      </w:r>
      <w:r w:rsidR="001668FF">
        <w:rPr>
          <w:rFonts w:asciiTheme="minorHAnsi" w:hAnsiTheme="minorHAnsi" w:cstheme="minorHAnsi"/>
          <w:b/>
          <w:bCs/>
          <w:color w:val="FF0000"/>
          <w:sz w:val="24"/>
          <w:szCs w:val="24"/>
        </w:rPr>
        <w:t>.</w:t>
      </w:r>
      <w:r w:rsidRPr="004338C1">
        <w:rPr>
          <w:rFonts w:asciiTheme="minorHAnsi" w:hAnsiTheme="minorHAnsi" w:cstheme="minorHAnsi"/>
          <w:b/>
          <w:bCs/>
          <w:color w:val="FF0000"/>
          <w:sz w:val="24"/>
          <w:szCs w:val="24"/>
        </w:rPr>
        <w:t xml:space="preserve">200 </w:t>
      </w:r>
      <w:r w:rsidRPr="004338C1">
        <w:rPr>
          <w:rFonts w:asciiTheme="minorHAnsi" w:hAnsiTheme="minorHAnsi" w:cstheme="minorHAnsi"/>
          <w:sz w:val="24"/>
          <w:szCs w:val="24"/>
        </w:rPr>
        <w:t xml:space="preserve">Kč </w:t>
      </w:r>
      <w:r w:rsidRPr="004338C1">
        <w:rPr>
          <w:rFonts w:asciiTheme="minorHAnsi" w:hAnsiTheme="minorHAnsi" w:cstheme="minorHAnsi"/>
          <w:color w:val="FF0000"/>
          <w:sz w:val="24"/>
          <w:szCs w:val="24"/>
        </w:rPr>
        <w:t>po dobu,</w:t>
      </w:r>
      <w:r w:rsidRPr="004338C1">
        <w:rPr>
          <w:rFonts w:asciiTheme="minorHAnsi" w:hAnsiTheme="minorHAnsi" w:cstheme="minorHAnsi"/>
          <w:sz w:val="24"/>
          <w:szCs w:val="24"/>
        </w:rPr>
        <w:t xml:space="preserve"> </w:t>
      </w:r>
      <w:r w:rsidRPr="004338C1">
        <w:rPr>
          <w:rFonts w:asciiTheme="minorHAnsi" w:hAnsiTheme="minorHAnsi" w:cstheme="minorHAnsi"/>
          <w:color w:val="FF0000"/>
          <w:sz w:val="24"/>
          <w:szCs w:val="24"/>
        </w:rPr>
        <w:t>kdy má současně organizace v dobývacím prostoru povinnost k úhradě z vydobytého nerostu dle § 33i odst. 2 písm. a)</w:t>
      </w:r>
      <w:proofErr w:type="gramStart"/>
      <w:r w:rsidRPr="004338C1">
        <w:rPr>
          <w:rFonts w:asciiTheme="minorHAnsi" w:hAnsiTheme="minorHAnsi" w:cstheme="minorHAnsi"/>
          <w:color w:val="FF0000"/>
          <w:sz w:val="24"/>
          <w:szCs w:val="24"/>
        </w:rPr>
        <w:t xml:space="preserve">. </w:t>
      </w:r>
      <w:r w:rsidRPr="004338C1">
        <w:rPr>
          <w:rFonts w:asciiTheme="minorHAnsi" w:hAnsiTheme="minorHAnsi" w:cstheme="minorHAnsi"/>
          <w:strike/>
          <w:sz w:val="24"/>
          <w:szCs w:val="24"/>
        </w:rPr>
        <w:t>,</w:t>
      </w:r>
      <w:proofErr w:type="gramEnd"/>
      <w:r w:rsidRPr="004338C1">
        <w:rPr>
          <w:rFonts w:asciiTheme="minorHAnsi" w:hAnsiTheme="minorHAnsi" w:cstheme="minorHAnsi"/>
          <w:strike/>
          <w:sz w:val="24"/>
          <w:szCs w:val="24"/>
        </w:rPr>
        <w:t xml:space="preserve"> jestliže v dobývacím prostoru je povolena hornická činnost spočívající v přípravě, otvírce a dobývání výhradního ložiska .</w:t>
      </w:r>
    </w:p>
    <w:p w14:paraId="63FA0EF5" w14:textId="77777777" w:rsidR="00E017F9" w:rsidRPr="004338C1" w:rsidRDefault="00E017F9" w:rsidP="00E017F9">
      <w:pPr>
        <w:jc w:val="both"/>
        <w:rPr>
          <w:rFonts w:asciiTheme="minorHAnsi" w:hAnsiTheme="minorHAnsi" w:cstheme="minorHAnsi"/>
          <w:b/>
          <w:bCs/>
          <w:sz w:val="24"/>
          <w:szCs w:val="24"/>
          <w:u w:val="single"/>
        </w:rPr>
      </w:pPr>
      <w:r w:rsidRPr="004338C1">
        <w:rPr>
          <w:rFonts w:asciiTheme="minorHAnsi" w:hAnsiTheme="minorHAnsi" w:cstheme="minorHAnsi"/>
          <w:b/>
          <w:bCs/>
          <w:sz w:val="24"/>
          <w:szCs w:val="24"/>
          <w:u w:val="single"/>
        </w:rPr>
        <w:t>Tato připomínka je ZÁSADNÍ.</w:t>
      </w:r>
    </w:p>
    <w:p w14:paraId="0B1CAC64" w14:textId="77777777" w:rsidR="00E017F9" w:rsidRDefault="00E017F9" w:rsidP="00E017F9">
      <w:pPr>
        <w:jc w:val="both"/>
        <w:rPr>
          <w:rFonts w:asciiTheme="minorHAnsi" w:hAnsiTheme="minorHAnsi" w:cstheme="minorHAnsi"/>
          <w:b/>
          <w:bCs/>
          <w:sz w:val="24"/>
          <w:szCs w:val="24"/>
          <w:u w:val="single"/>
        </w:rPr>
      </w:pPr>
    </w:p>
    <w:p w14:paraId="660E3492" w14:textId="77777777" w:rsidR="00E017F9" w:rsidRPr="00E017F9" w:rsidRDefault="00E017F9" w:rsidP="00E017F9">
      <w:pPr>
        <w:jc w:val="both"/>
        <w:rPr>
          <w:rFonts w:asciiTheme="minorHAnsi" w:hAnsiTheme="minorHAnsi" w:cstheme="minorHAnsi"/>
          <w:sz w:val="24"/>
          <w:szCs w:val="24"/>
          <w:u w:val="single"/>
        </w:rPr>
      </w:pPr>
      <w:r w:rsidRPr="00E017F9">
        <w:rPr>
          <w:rFonts w:asciiTheme="minorHAnsi" w:hAnsiTheme="minorHAnsi" w:cstheme="minorHAnsi"/>
          <w:sz w:val="24"/>
          <w:szCs w:val="24"/>
          <w:u w:val="single"/>
        </w:rPr>
        <w:lastRenderedPageBreak/>
        <w:t>Odůvodnění:</w:t>
      </w:r>
    </w:p>
    <w:p w14:paraId="4A03A060"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 xml:space="preserve">Dobývací prostor je v jeho hranicích na povrchu </w:t>
      </w:r>
      <w:r w:rsidRPr="004338C1">
        <w:rPr>
          <w:rFonts w:asciiTheme="minorHAnsi" w:hAnsiTheme="minorHAnsi" w:cstheme="minorHAnsi"/>
          <w:b/>
          <w:bCs/>
          <w:sz w:val="24"/>
          <w:szCs w:val="24"/>
          <w:u w:val="single"/>
        </w:rPr>
        <w:t>rozhodnutím o využití území</w:t>
      </w:r>
      <w:r w:rsidRPr="004338C1">
        <w:rPr>
          <w:rFonts w:asciiTheme="minorHAnsi" w:hAnsiTheme="minorHAnsi" w:cstheme="minorHAnsi"/>
          <w:sz w:val="24"/>
          <w:szCs w:val="24"/>
        </w:rPr>
        <w:t xml:space="preserve">, které nezakládá těžebnímu podnikateli právo na zahájení těžby (tím je až rozhodnutí o povolení hornické činnosti – dobývání). </w:t>
      </w:r>
    </w:p>
    <w:p w14:paraId="082C6CD4"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Stanovení dobývacího prostoru je rozhodnutím, které:</w:t>
      </w:r>
    </w:p>
    <w:p w14:paraId="2B57AE59" w14:textId="77777777" w:rsidR="00E017F9" w:rsidRPr="004338C1" w:rsidRDefault="00E017F9" w:rsidP="00E017F9">
      <w:pPr>
        <w:pStyle w:val="Odstavecseseznamem"/>
        <w:widowControl w:val="0"/>
        <w:numPr>
          <w:ilvl w:val="0"/>
          <w:numId w:val="22"/>
        </w:numPr>
        <w:overflowPunct w:val="0"/>
        <w:autoSpaceDE w:val="0"/>
        <w:autoSpaceDN w:val="0"/>
        <w:adjustRightInd w:val="0"/>
        <w:spacing w:before="120" w:after="0" w:line="240" w:lineRule="auto"/>
        <w:jc w:val="both"/>
        <w:textAlignment w:val="baseline"/>
        <w:rPr>
          <w:rFonts w:asciiTheme="minorHAnsi" w:hAnsiTheme="minorHAnsi" w:cstheme="minorHAnsi"/>
          <w:sz w:val="24"/>
          <w:szCs w:val="24"/>
        </w:rPr>
      </w:pPr>
      <w:r w:rsidRPr="004338C1">
        <w:rPr>
          <w:rFonts w:asciiTheme="minorHAnsi" w:hAnsiTheme="minorHAnsi" w:cstheme="minorHAnsi"/>
          <w:sz w:val="24"/>
          <w:szCs w:val="24"/>
        </w:rPr>
        <w:t>vymezuje maximální možný prostor na povrchu a pod povrchem, kde je možno realizovat hornickou činnost za předpokladu získání jejího povolení (</w:t>
      </w:r>
      <w:r w:rsidRPr="004338C1">
        <w:rPr>
          <w:rFonts w:asciiTheme="minorHAnsi" w:hAnsiTheme="minorHAnsi" w:cstheme="minorHAnsi"/>
          <w:b/>
          <w:bCs/>
          <w:sz w:val="24"/>
          <w:szCs w:val="24"/>
          <w:u w:val="single"/>
        </w:rPr>
        <w:t>určení administrativní hranice</w:t>
      </w:r>
      <w:r w:rsidRPr="004338C1">
        <w:rPr>
          <w:rFonts w:asciiTheme="minorHAnsi" w:hAnsiTheme="minorHAnsi" w:cstheme="minorHAnsi"/>
          <w:sz w:val="24"/>
          <w:szCs w:val="24"/>
        </w:rPr>
        <w:t xml:space="preserve">); </w:t>
      </w:r>
    </w:p>
    <w:p w14:paraId="5DC8620C" w14:textId="77777777" w:rsidR="00E017F9" w:rsidRPr="004338C1" w:rsidRDefault="00E017F9" w:rsidP="00E017F9">
      <w:pPr>
        <w:pStyle w:val="Odstavecseseznamem"/>
        <w:widowControl w:val="0"/>
        <w:numPr>
          <w:ilvl w:val="0"/>
          <w:numId w:val="22"/>
        </w:numPr>
        <w:overflowPunct w:val="0"/>
        <w:autoSpaceDE w:val="0"/>
        <w:autoSpaceDN w:val="0"/>
        <w:adjustRightInd w:val="0"/>
        <w:spacing w:before="120" w:after="0" w:line="240" w:lineRule="auto"/>
        <w:jc w:val="both"/>
        <w:textAlignment w:val="baseline"/>
        <w:rPr>
          <w:rFonts w:asciiTheme="minorHAnsi" w:hAnsiTheme="minorHAnsi" w:cstheme="minorHAnsi"/>
          <w:sz w:val="24"/>
          <w:szCs w:val="24"/>
        </w:rPr>
      </w:pPr>
      <w:r w:rsidRPr="004338C1">
        <w:rPr>
          <w:rFonts w:asciiTheme="minorHAnsi" w:hAnsiTheme="minorHAnsi" w:cstheme="minorHAnsi"/>
          <w:sz w:val="24"/>
          <w:szCs w:val="24"/>
        </w:rPr>
        <w:t>znamená pro organizaci exkluzivní dobývací právo k danému nerostu v daném území.</w:t>
      </w:r>
    </w:p>
    <w:p w14:paraId="6B665EC4" w14:textId="77777777" w:rsidR="00E017F9" w:rsidRPr="004338C1" w:rsidRDefault="00E017F9" w:rsidP="00E017F9">
      <w:pPr>
        <w:jc w:val="both"/>
        <w:rPr>
          <w:rFonts w:asciiTheme="minorHAnsi" w:hAnsiTheme="minorHAnsi" w:cstheme="minorHAnsi"/>
          <w:sz w:val="24"/>
          <w:szCs w:val="24"/>
        </w:rPr>
      </w:pPr>
    </w:p>
    <w:p w14:paraId="514E816F"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 xml:space="preserve">V aktuálním znění zákona uvedený mechanismus, kdy se sazba úhrady z dobývacího prostoru automaticky navyšuje v případě vydání rozhodnutí o povolení hornické činnosti, je mechanismem </w:t>
      </w:r>
      <w:r w:rsidRPr="004338C1">
        <w:rPr>
          <w:rFonts w:asciiTheme="minorHAnsi" w:hAnsiTheme="minorHAnsi" w:cstheme="minorHAnsi"/>
          <w:b/>
          <w:bCs/>
          <w:sz w:val="24"/>
          <w:szCs w:val="24"/>
        </w:rPr>
        <w:t>nepřesným</w:t>
      </w:r>
      <w:r w:rsidRPr="004338C1">
        <w:rPr>
          <w:rFonts w:asciiTheme="minorHAnsi" w:hAnsiTheme="minorHAnsi" w:cstheme="minorHAnsi"/>
          <w:sz w:val="24"/>
          <w:szCs w:val="24"/>
        </w:rPr>
        <w:t>. I když po vydání rozhodnutí o povolení hornické činnosti je hornická činnost zpravidla zahájena, nelze v případě její přípravné fáze ještě hovořit o dobývání nerostu, a tedy z ložiska není ani ekonomicky profitováno. Současně v případě vydobytí zásob, či ukončení těžby z jiných, např. enviromentálních důvodů, povolení k hornické činnosti nezaniká, dále tedy existuje zákonný předpoklad pro úhradu navýšené sazby, a to i přes skutečnost, že dobývání není realizováno. Pro upřesnění tedy navrhujeme úpravu textu tak, že zvýšená sazba bude hrazena po dobu dobývání nerostu, tzn. po dobu, kdy bude hrazena úhrada z vydobytého nerostu.</w:t>
      </w:r>
    </w:p>
    <w:p w14:paraId="4BC85F75" w14:textId="77777777" w:rsidR="00E017F9" w:rsidRPr="004338C1" w:rsidRDefault="00E017F9" w:rsidP="00E017F9">
      <w:pPr>
        <w:jc w:val="both"/>
        <w:rPr>
          <w:rFonts w:asciiTheme="minorHAnsi" w:hAnsiTheme="minorHAnsi" w:cstheme="minorHAnsi"/>
          <w:b/>
          <w:bCs/>
          <w:sz w:val="24"/>
          <w:szCs w:val="24"/>
          <w:u w:val="single"/>
        </w:rPr>
      </w:pPr>
      <w:r w:rsidRPr="004338C1">
        <w:rPr>
          <w:rFonts w:asciiTheme="minorHAnsi" w:hAnsiTheme="minorHAnsi" w:cstheme="minorHAnsi"/>
          <w:sz w:val="24"/>
          <w:szCs w:val="24"/>
        </w:rPr>
        <w:t xml:space="preserve">Současně navrhujeme změnu vyšší sazby z navrhovaných 1500 Kč/ha na </w:t>
      </w:r>
      <w:r w:rsidRPr="004338C1">
        <w:rPr>
          <w:rFonts w:asciiTheme="minorHAnsi" w:hAnsiTheme="minorHAnsi" w:cstheme="minorHAnsi"/>
          <w:b/>
          <w:bCs/>
          <w:sz w:val="24"/>
          <w:szCs w:val="24"/>
          <w:u w:val="single"/>
        </w:rPr>
        <w:t>1200 Kč/ha</w:t>
      </w:r>
      <w:r w:rsidRPr="004338C1">
        <w:rPr>
          <w:rFonts w:asciiTheme="minorHAnsi" w:hAnsiTheme="minorHAnsi" w:cstheme="minorHAnsi"/>
          <w:sz w:val="24"/>
          <w:szCs w:val="24"/>
        </w:rPr>
        <w:t xml:space="preserve">. Dobývání nerostných surovin nelze vnímat výlučně jako dobývání povrchovým způsobem. </w:t>
      </w:r>
      <w:r w:rsidRPr="004338C1">
        <w:rPr>
          <w:rFonts w:asciiTheme="minorHAnsi" w:hAnsiTheme="minorHAnsi" w:cstheme="minorHAnsi"/>
          <w:b/>
          <w:bCs/>
          <w:sz w:val="24"/>
          <w:szCs w:val="24"/>
          <w:u w:val="single"/>
        </w:rPr>
        <w:t>Úhrada z dobývacího prostu je univerzální úhradou bez zohlednění:</w:t>
      </w:r>
    </w:p>
    <w:p w14:paraId="6102E711" w14:textId="77777777" w:rsidR="00E017F9" w:rsidRPr="004338C1" w:rsidRDefault="00E017F9" w:rsidP="00E017F9">
      <w:pPr>
        <w:pStyle w:val="Odstavecseseznamem"/>
        <w:numPr>
          <w:ilvl w:val="0"/>
          <w:numId w:val="23"/>
        </w:numPr>
        <w:spacing w:after="160" w:line="240" w:lineRule="auto"/>
        <w:jc w:val="both"/>
        <w:rPr>
          <w:rFonts w:asciiTheme="minorHAnsi" w:hAnsiTheme="minorHAnsi" w:cstheme="minorHAnsi"/>
          <w:sz w:val="24"/>
          <w:szCs w:val="24"/>
        </w:rPr>
      </w:pPr>
      <w:r w:rsidRPr="004338C1">
        <w:rPr>
          <w:rFonts w:asciiTheme="minorHAnsi" w:hAnsiTheme="minorHAnsi" w:cstheme="minorHAnsi"/>
          <w:sz w:val="24"/>
          <w:szCs w:val="24"/>
        </w:rPr>
        <w:t>druhu vyhrazeného nerostu, pro který je DP stanoven nebo</w:t>
      </w:r>
    </w:p>
    <w:p w14:paraId="47674FAA" w14:textId="77777777" w:rsidR="00E017F9" w:rsidRPr="004338C1" w:rsidRDefault="00E017F9" w:rsidP="00E017F9">
      <w:pPr>
        <w:pStyle w:val="Odstavecseseznamem"/>
        <w:numPr>
          <w:ilvl w:val="0"/>
          <w:numId w:val="23"/>
        </w:numPr>
        <w:spacing w:after="160" w:line="240" w:lineRule="auto"/>
        <w:jc w:val="both"/>
        <w:rPr>
          <w:rFonts w:asciiTheme="minorHAnsi" w:hAnsiTheme="minorHAnsi" w:cstheme="minorHAnsi"/>
          <w:sz w:val="24"/>
          <w:szCs w:val="24"/>
        </w:rPr>
      </w:pPr>
      <w:r w:rsidRPr="004338C1">
        <w:rPr>
          <w:rFonts w:asciiTheme="minorHAnsi" w:hAnsiTheme="minorHAnsi" w:cstheme="minorHAnsi"/>
          <w:sz w:val="24"/>
          <w:szCs w:val="24"/>
        </w:rPr>
        <w:t>způsobu těžby:</w:t>
      </w:r>
    </w:p>
    <w:p w14:paraId="61681A73" w14:textId="77777777" w:rsidR="00E017F9" w:rsidRPr="004338C1" w:rsidRDefault="00E017F9" w:rsidP="00E017F9">
      <w:pPr>
        <w:pStyle w:val="Odstavecseseznamem"/>
        <w:numPr>
          <w:ilvl w:val="0"/>
          <w:numId w:val="24"/>
        </w:numPr>
        <w:spacing w:after="160" w:line="240" w:lineRule="auto"/>
        <w:jc w:val="both"/>
        <w:rPr>
          <w:rFonts w:asciiTheme="minorHAnsi" w:hAnsiTheme="minorHAnsi" w:cstheme="minorHAnsi"/>
          <w:sz w:val="24"/>
          <w:szCs w:val="24"/>
        </w:rPr>
      </w:pPr>
      <w:r w:rsidRPr="004338C1">
        <w:rPr>
          <w:rFonts w:asciiTheme="minorHAnsi" w:hAnsiTheme="minorHAnsi" w:cstheme="minorHAnsi"/>
          <w:sz w:val="24"/>
          <w:szCs w:val="24"/>
        </w:rPr>
        <w:t>podpovrchová těžba</w:t>
      </w:r>
    </w:p>
    <w:p w14:paraId="71CBAAFB" w14:textId="77777777" w:rsidR="00E017F9" w:rsidRPr="004338C1" w:rsidRDefault="00E017F9" w:rsidP="00E017F9">
      <w:pPr>
        <w:pStyle w:val="Odstavecseseznamem"/>
        <w:numPr>
          <w:ilvl w:val="0"/>
          <w:numId w:val="24"/>
        </w:numPr>
        <w:spacing w:after="160" w:line="240" w:lineRule="auto"/>
        <w:jc w:val="both"/>
        <w:rPr>
          <w:rFonts w:asciiTheme="minorHAnsi" w:hAnsiTheme="minorHAnsi" w:cstheme="minorHAnsi"/>
          <w:sz w:val="24"/>
          <w:szCs w:val="24"/>
        </w:rPr>
      </w:pPr>
      <w:r w:rsidRPr="004338C1">
        <w:rPr>
          <w:rFonts w:asciiTheme="minorHAnsi" w:hAnsiTheme="minorHAnsi" w:cstheme="minorHAnsi"/>
          <w:sz w:val="24"/>
          <w:szCs w:val="24"/>
        </w:rPr>
        <w:t>povrchová těžba</w:t>
      </w:r>
    </w:p>
    <w:p w14:paraId="2D6B4D08" w14:textId="77777777" w:rsidR="00E017F9" w:rsidRPr="004338C1" w:rsidRDefault="00E017F9" w:rsidP="00E017F9">
      <w:pPr>
        <w:pStyle w:val="Odstavecseseznamem"/>
        <w:numPr>
          <w:ilvl w:val="0"/>
          <w:numId w:val="24"/>
        </w:numPr>
        <w:spacing w:after="160" w:line="240" w:lineRule="auto"/>
        <w:jc w:val="both"/>
        <w:rPr>
          <w:rFonts w:asciiTheme="minorHAnsi" w:hAnsiTheme="minorHAnsi" w:cstheme="minorHAnsi"/>
          <w:sz w:val="24"/>
          <w:szCs w:val="24"/>
        </w:rPr>
      </w:pPr>
      <w:r w:rsidRPr="004338C1">
        <w:rPr>
          <w:rFonts w:asciiTheme="minorHAnsi" w:hAnsiTheme="minorHAnsi" w:cstheme="minorHAnsi"/>
          <w:sz w:val="24"/>
          <w:szCs w:val="24"/>
        </w:rPr>
        <w:t>technologie dobývání.</w:t>
      </w:r>
    </w:p>
    <w:p w14:paraId="0876EA7A"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Z tohoto důvodu je nezbytné také sazbu stanovit ve výši, která zohlední, že část území, na kterém je administrativně stanovena hranice dobývacího prostoru, není pro účely hornické činnosti využívána. Jedná se především o dobývací prostory, ve kterých probíhá hlubinná těžba, a to v takových hloubkách, které umožňují na povrchu existenci sídel či využívání krajiny k účelu, ke kterému je určena bez ohledu na administrativně vedenou hranici dobývacího prostoru, případně o části dobývacích prostorů, ve kterých není těžba možná z důvodů enviromentálních limitů, či jiných zákonných překážek. Tyto dobývací prostory současně nenaplňují zákonné podmínky pro úpravu jejich hranic a organizace má zákonnou povinnost k úhradě z dobývacího prostoru.</w:t>
      </w:r>
    </w:p>
    <w:p w14:paraId="550DF122" w14:textId="77777777" w:rsidR="00E017F9" w:rsidRPr="004338C1" w:rsidRDefault="00E017F9" w:rsidP="00E017F9">
      <w:pPr>
        <w:jc w:val="both"/>
        <w:rPr>
          <w:rFonts w:asciiTheme="minorHAnsi" w:hAnsiTheme="minorHAnsi" w:cstheme="minorHAnsi"/>
          <w:b/>
          <w:bCs/>
          <w:sz w:val="24"/>
          <w:szCs w:val="24"/>
          <w:u w:val="single"/>
        </w:rPr>
      </w:pPr>
    </w:p>
    <w:p w14:paraId="12E882A4" w14:textId="77777777" w:rsidR="00E017F9" w:rsidRPr="004338C1" w:rsidRDefault="00E017F9" w:rsidP="00E017F9">
      <w:pPr>
        <w:jc w:val="both"/>
        <w:rPr>
          <w:rFonts w:asciiTheme="minorHAnsi" w:hAnsiTheme="minorHAnsi" w:cstheme="minorHAnsi"/>
          <w:b/>
          <w:bCs/>
          <w:sz w:val="24"/>
          <w:szCs w:val="24"/>
          <w:u w:val="single"/>
        </w:rPr>
      </w:pPr>
      <w:r w:rsidRPr="004338C1">
        <w:rPr>
          <w:rFonts w:asciiTheme="minorHAnsi" w:hAnsiTheme="minorHAnsi" w:cstheme="minorHAnsi"/>
          <w:b/>
          <w:bCs/>
          <w:sz w:val="24"/>
          <w:szCs w:val="24"/>
          <w:u w:val="single"/>
        </w:rPr>
        <w:t>K důvodové zprávě:</w:t>
      </w:r>
    </w:p>
    <w:p w14:paraId="7CE88685" w14:textId="77777777" w:rsidR="00E017F9" w:rsidRPr="004338C1" w:rsidRDefault="00E017F9" w:rsidP="00E017F9">
      <w:pPr>
        <w:keepNext/>
        <w:widowControl w:val="0"/>
        <w:spacing w:after="120"/>
        <w:jc w:val="both"/>
        <w:rPr>
          <w:rFonts w:asciiTheme="minorHAnsi" w:hAnsiTheme="minorHAnsi" w:cstheme="minorHAnsi"/>
          <w:b/>
          <w:i/>
          <w:sz w:val="24"/>
          <w:szCs w:val="24"/>
          <w:u w:val="single"/>
        </w:rPr>
      </w:pPr>
      <w:r w:rsidRPr="004338C1">
        <w:rPr>
          <w:rFonts w:asciiTheme="minorHAnsi" w:hAnsiTheme="minorHAnsi" w:cstheme="minorHAnsi"/>
          <w:b/>
          <w:i/>
          <w:sz w:val="24"/>
          <w:szCs w:val="24"/>
          <w:u w:val="single"/>
        </w:rPr>
        <w:t>Část Gesce Ministerstva průmyslu a obchodu:</w:t>
      </w:r>
    </w:p>
    <w:p w14:paraId="7F7D9E50" w14:textId="77777777" w:rsidR="00E017F9" w:rsidRPr="004338C1" w:rsidRDefault="00E017F9" w:rsidP="00E017F9">
      <w:pPr>
        <w:pStyle w:val="Nadpis2"/>
        <w:widowControl w:val="0"/>
        <w:numPr>
          <w:ilvl w:val="2"/>
          <w:numId w:val="25"/>
        </w:numPr>
        <w:shd w:val="clear" w:color="auto" w:fill="FFFFFF"/>
        <w:tabs>
          <w:tab w:val="left" w:pos="567"/>
        </w:tabs>
        <w:spacing w:line="240" w:lineRule="auto"/>
        <w:ind w:left="2160" w:hanging="180"/>
        <w:rPr>
          <w:rFonts w:asciiTheme="minorHAnsi" w:hAnsiTheme="minorHAnsi" w:cstheme="minorHAnsi"/>
          <w:i/>
        </w:rPr>
      </w:pPr>
      <w:r w:rsidRPr="004338C1">
        <w:rPr>
          <w:rFonts w:asciiTheme="minorHAnsi" w:hAnsiTheme="minorHAnsi" w:cstheme="minorHAnsi"/>
          <w:i/>
        </w:rPr>
        <w:t>Zvýšení úhrad za dobývání nerostů</w:t>
      </w:r>
    </w:p>
    <w:p w14:paraId="62DA6F9F" w14:textId="77777777" w:rsidR="00E017F9" w:rsidRPr="004338C1" w:rsidRDefault="00E017F9" w:rsidP="00E017F9">
      <w:pPr>
        <w:jc w:val="both"/>
        <w:rPr>
          <w:rFonts w:asciiTheme="minorHAnsi" w:hAnsiTheme="minorHAnsi" w:cstheme="minorHAnsi"/>
          <w:sz w:val="24"/>
          <w:szCs w:val="24"/>
        </w:rPr>
      </w:pPr>
      <w:r w:rsidRPr="004338C1">
        <w:rPr>
          <w:rFonts w:asciiTheme="minorHAnsi" w:hAnsiTheme="minorHAnsi" w:cstheme="minorHAnsi"/>
          <w:sz w:val="24"/>
          <w:szCs w:val="24"/>
        </w:rPr>
        <w:t>V textu je uvedeno:</w:t>
      </w:r>
    </w:p>
    <w:p w14:paraId="70F900D3" w14:textId="77777777" w:rsidR="00E017F9" w:rsidRPr="004338C1" w:rsidRDefault="00E017F9" w:rsidP="00E017F9">
      <w:pPr>
        <w:widowControl w:val="0"/>
        <w:spacing w:after="120"/>
        <w:jc w:val="both"/>
        <w:rPr>
          <w:rFonts w:asciiTheme="minorHAnsi" w:eastAsia="Calibri" w:hAnsiTheme="minorHAnsi" w:cstheme="minorHAnsi"/>
          <w:sz w:val="24"/>
          <w:szCs w:val="24"/>
        </w:rPr>
      </w:pPr>
      <w:r w:rsidRPr="004338C1">
        <w:rPr>
          <w:rFonts w:asciiTheme="minorHAnsi" w:eastAsia="Calibri" w:hAnsiTheme="minorHAnsi" w:cstheme="minorHAnsi"/>
          <w:sz w:val="24"/>
          <w:szCs w:val="24"/>
        </w:rPr>
        <w:t xml:space="preserve">„V návaznosti na výše uvedené dojde ke změně rozpočtového určení výnosu z úhrady z vydobytého nerostu. </w:t>
      </w:r>
      <w:r w:rsidRPr="004338C1">
        <w:rPr>
          <w:rFonts w:asciiTheme="minorHAnsi" w:eastAsia="Calibri" w:hAnsiTheme="minorHAnsi" w:cstheme="minorHAnsi"/>
          <w:b/>
          <w:bCs/>
          <w:sz w:val="24"/>
          <w:szCs w:val="24"/>
          <w:u w:val="single"/>
        </w:rPr>
        <w:t>Zatímco v současné době je celý výnos z úhrady příjmem rozpočtů obcí</w:t>
      </w:r>
      <w:r w:rsidRPr="004338C1">
        <w:rPr>
          <w:rFonts w:asciiTheme="minorHAnsi" w:eastAsia="Calibri" w:hAnsiTheme="minorHAnsi" w:cstheme="minorHAnsi"/>
          <w:sz w:val="24"/>
          <w:szCs w:val="24"/>
        </w:rPr>
        <w:t>, tak navržené navýšení výnosu z úhrady z vydobytého nerostu bude rozděleno mezi obce a kraje, na jejichž území dochází k dobývání vyhrazeného nerostu.“</w:t>
      </w:r>
    </w:p>
    <w:p w14:paraId="1E80F58A" w14:textId="77777777" w:rsidR="00E017F9" w:rsidRPr="004338C1" w:rsidRDefault="00E017F9" w:rsidP="00E017F9">
      <w:pPr>
        <w:widowControl w:val="0"/>
        <w:spacing w:after="120"/>
        <w:jc w:val="both"/>
        <w:rPr>
          <w:rFonts w:asciiTheme="minorHAnsi" w:eastAsia="Calibri" w:hAnsiTheme="minorHAnsi" w:cstheme="minorHAnsi"/>
          <w:sz w:val="24"/>
          <w:szCs w:val="24"/>
        </w:rPr>
      </w:pPr>
      <w:r w:rsidRPr="004338C1">
        <w:rPr>
          <w:rFonts w:asciiTheme="minorHAnsi" w:eastAsia="Calibri" w:hAnsiTheme="minorHAnsi" w:cstheme="minorHAnsi"/>
          <w:sz w:val="24"/>
          <w:szCs w:val="24"/>
        </w:rPr>
        <w:lastRenderedPageBreak/>
        <w:t xml:space="preserve">Jedná se o nepřesnost důvodové zprávy, kdy aktuálně dle § 33n zákona č. 44/1988 Sb. je výnos z úhrady z části příjmem rozpočtu obce a z části příjmem státního rozpočtu. </w:t>
      </w:r>
    </w:p>
    <w:p w14:paraId="54585F16" w14:textId="77777777" w:rsidR="00E017F9" w:rsidRPr="00E017F9" w:rsidRDefault="00E017F9" w:rsidP="00E017F9">
      <w:pPr>
        <w:widowControl w:val="0"/>
        <w:spacing w:after="120"/>
        <w:jc w:val="both"/>
        <w:rPr>
          <w:rFonts w:asciiTheme="minorHAnsi" w:hAnsiTheme="minorHAnsi" w:cstheme="minorHAnsi"/>
          <w:b/>
          <w:bCs/>
          <w:sz w:val="24"/>
          <w:szCs w:val="24"/>
        </w:rPr>
      </w:pPr>
      <w:r w:rsidRPr="00E017F9">
        <w:rPr>
          <w:rFonts w:asciiTheme="minorHAnsi" w:eastAsia="Calibri" w:hAnsiTheme="minorHAnsi" w:cstheme="minorHAnsi"/>
          <w:b/>
          <w:bCs/>
          <w:sz w:val="24"/>
          <w:szCs w:val="24"/>
        </w:rPr>
        <w:t>Tato připomínka je ZÁSADNÍ a prosím provést opravu textu.</w:t>
      </w:r>
    </w:p>
    <w:p w14:paraId="5D44B26C" w14:textId="77777777" w:rsidR="00E017F9" w:rsidRPr="004338C1" w:rsidRDefault="00E017F9" w:rsidP="00E017F9">
      <w:pPr>
        <w:widowControl w:val="0"/>
        <w:spacing w:after="120"/>
        <w:jc w:val="both"/>
        <w:rPr>
          <w:rFonts w:asciiTheme="minorHAnsi" w:hAnsiTheme="minorHAnsi" w:cstheme="minorHAnsi"/>
          <w:sz w:val="24"/>
          <w:szCs w:val="24"/>
        </w:rPr>
      </w:pPr>
    </w:p>
    <w:p w14:paraId="2F7DB480" w14:textId="77777777" w:rsidR="00E017F9" w:rsidRPr="004338C1" w:rsidRDefault="00E017F9" w:rsidP="00E017F9">
      <w:pPr>
        <w:widowControl w:val="0"/>
        <w:spacing w:after="120"/>
        <w:jc w:val="both"/>
        <w:rPr>
          <w:rFonts w:asciiTheme="minorHAnsi" w:hAnsiTheme="minorHAnsi" w:cstheme="minorHAnsi"/>
          <w:sz w:val="24"/>
          <w:szCs w:val="24"/>
        </w:rPr>
      </w:pPr>
      <w:r w:rsidRPr="004338C1">
        <w:rPr>
          <w:rFonts w:asciiTheme="minorHAnsi" w:hAnsiTheme="minorHAnsi" w:cstheme="minorHAnsi"/>
          <w:sz w:val="24"/>
          <w:szCs w:val="24"/>
        </w:rPr>
        <w:t xml:space="preserve">Pro úplnost a z důvodu </w:t>
      </w:r>
      <w:r w:rsidRPr="004338C1">
        <w:rPr>
          <w:rFonts w:asciiTheme="minorHAnsi" w:hAnsiTheme="minorHAnsi" w:cstheme="minorHAnsi"/>
          <w:b/>
          <w:bCs/>
          <w:sz w:val="24"/>
          <w:szCs w:val="24"/>
        </w:rPr>
        <w:t>předběžné právní opatrnosti</w:t>
      </w:r>
      <w:r w:rsidRPr="004338C1">
        <w:rPr>
          <w:rFonts w:asciiTheme="minorHAnsi" w:hAnsiTheme="minorHAnsi" w:cstheme="minorHAnsi"/>
          <w:sz w:val="24"/>
          <w:szCs w:val="24"/>
        </w:rPr>
        <w:t xml:space="preserve"> </w:t>
      </w:r>
      <w:r w:rsidRPr="004338C1">
        <w:rPr>
          <w:rFonts w:asciiTheme="minorHAnsi" w:hAnsiTheme="minorHAnsi" w:cstheme="minorHAnsi"/>
          <w:b/>
          <w:bCs/>
          <w:sz w:val="24"/>
          <w:szCs w:val="24"/>
        </w:rPr>
        <w:t>k textu důvodové zprávy, kde je uvedeno</w:t>
      </w:r>
      <w:r w:rsidRPr="004338C1">
        <w:rPr>
          <w:rFonts w:asciiTheme="minorHAnsi" w:hAnsiTheme="minorHAnsi" w:cstheme="minorHAnsi"/>
          <w:sz w:val="24"/>
          <w:szCs w:val="24"/>
        </w:rPr>
        <w:t>:</w:t>
      </w:r>
    </w:p>
    <w:p w14:paraId="04824F1F" w14:textId="77777777" w:rsidR="00E017F9" w:rsidRPr="004338C1" w:rsidRDefault="00E017F9" w:rsidP="00E017F9">
      <w:pPr>
        <w:widowControl w:val="0"/>
        <w:spacing w:after="120"/>
        <w:jc w:val="both"/>
        <w:rPr>
          <w:rFonts w:asciiTheme="minorHAnsi" w:hAnsiTheme="minorHAnsi" w:cstheme="minorHAnsi"/>
          <w:i/>
          <w:iCs/>
          <w:sz w:val="24"/>
          <w:szCs w:val="24"/>
        </w:rPr>
      </w:pPr>
      <w:r w:rsidRPr="004338C1">
        <w:rPr>
          <w:rFonts w:asciiTheme="minorHAnsi" w:hAnsiTheme="minorHAnsi" w:cstheme="minorHAnsi"/>
          <w:sz w:val="24"/>
          <w:szCs w:val="24"/>
        </w:rPr>
        <w:t>„</w:t>
      </w:r>
      <w:r w:rsidRPr="004338C1">
        <w:rPr>
          <w:rFonts w:asciiTheme="minorHAnsi" w:hAnsiTheme="minorHAnsi" w:cstheme="minorHAnsi"/>
          <w:i/>
          <w:iCs/>
          <w:sz w:val="24"/>
          <w:szCs w:val="24"/>
        </w:rPr>
        <w:t xml:space="preserve">Současně budou zahájeny práce na novele nařízení vlády č. 98/2016 Sb., o sazbách úhrady. Vyhrazené nerosty budou rozděleny do tří skupin, a k vypočtenému podílu sazby k referenční ceně bude připočteno 3, 2 a 1 %, a následně dojde k matematickému výpočtu navýšené sazby úhrady z vydobytého nerostu. 3 % budou přičtena u uhlí povrchově dobývaného, 2 % budou přičtena u uhlovodíků (ropa, zemní plyn), stavebních surovin a některých ostatních nerostů, 1 % bude přičteno např. u silikátových surovin. Tyto nerosty čelí často zahraniční konkurenci ze zemí, kde odvod za vydobytý nerost je pro tyto kategorie odpuštěn. Touto novelou bude zohledněno, že úprava silikátových surovin je zpravidla velmi energeticky náročná, a to ať se jedná o pouhou mechanickou úpravu (drcení, třídění, sušení, mletí, dodržování zrnitostních křivek), ale i další typy úprav, zejména chemického složení, výstupní vlhkosti, viskozity a dalších. Tyto procesy jsou náročné na spotřebu elektrické energie a plynu. Současně bude přičteno 1 % u černého uhlí dobývaného </w:t>
      </w:r>
      <w:proofErr w:type="spellStart"/>
      <w:r w:rsidRPr="004338C1">
        <w:rPr>
          <w:rFonts w:asciiTheme="minorHAnsi" w:hAnsiTheme="minorHAnsi" w:cstheme="minorHAnsi"/>
          <w:i/>
          <w:iCs/>
          <w:sz w:val="24"/>
          <w:szCs w:val="24"/>
        </w:rPr>
        <w:t>hlubinně</w:t>
      </w:r>
      <w:proofErr w:type="spellEnd"/>
      <w:r w:rsidRPr="004338C1">
        <w:rPr>
          <w:rFonts w:asciiTheme="minorHAnsi" w:hAnsiTheme="minorHAnsi" w:cstheme="minorHAnsi"/>
          <w:i/>
          <w:iCs/>
          <w:sz w:val="24"/>
          <w:szCs w:val="24"/>
        </w:rPr>
        <w:t>.“</w:t>
      </w:r>
    </w:p>
    <w:p w14:paraId="162209B8" w14:textId="77777777" w:rsidR="00E017F9" w:rsidRPr="004338C1" w:rsidRDefault="00E017F9" w:rsidP="00E017F9">
      <w:pPr>
        <w:jc w:val="both"/>
        <w:rPr>
          <w:rFonts w:asciiTheme="minorHAnsi" w:hAnsiTheme="minorHAnsi" w:cstheme="minorHAnsi"/>
          <w:sz w:val="24"/>
          <w:szCs w:val="24"/>
        </w:rPr>
      </w:pPr>
    </w:p>
    <w:p w14:paraId="743EE6A7" w14:textId="32DB86D3" w:rsidR="00E017F9" w:rsidRDefault="00E017F9" w:rsidP="00E017F9">
      <w:pPr>
        <w:jc w:val="both"/>
        <w:rPr>
          <w:rFonts w:asciiTheme="minorHAnsi" w:hAnsiTheme="minorHAnsi" w:cstheme="minorHAnsi"/>
          <w:b/>
          <w:bCs/>
          <w:sz w:val="24"/>
          <w:szCs w:val="24"/>
        </w:rPr>
      </w:pPr>
      <w:r w:rsidRPr="004338C1">
        <w:rPr>
          <w:rFonts w:asciiTheme="minorHAnsi" w:hAnsiTheme="minorHAnsi" w:cstheme="minorHAnsi"/>
          <w:b/>
          <w:bCs/>
          <w:sz w:val="24"/>
          <w:szCs w:val="24"/>
        </w:rPr>
        <w:t>S ohledem na absenci textu návrhu novelizace nařízení vlády č. 98/2016 Sb. UPOZORŇUJEME, že uplatněné připomínky nelze vztahovat i k avizované novelizaci nařízení vlády č. 98/2016 Sb. a VYHRAZUJEME SI PRÁVO na uplatnění dalších připomínek v meziresortním připomínkovém řízení k návrhu novelizace citovaného nařízení vlády.</w:t>
      </w:r>
    </w:p>
    <w:p w14:paraId="6C8BBB53" w14:textId="77777777" w:rsidR="00E017F9" w:rsidRDefault="00E017F9" w:rsidP="00AE56F8">
      <w:pPr>
        <w:jc w:val="both"/>
        <w:rPr>
          <w:rFonts w:asciiTheme="minorHAnsi" w:hAnsiTheme="minorHAnsi" w:cstheme="minorHAnsi"/>
          <w:b/>
          <w:bCs/>
          <w:sz w:val="24"/>
          <w:szCs w:val="24"/>
        </w:rPr>
      </w:pPr>
    </w:p>
    <w:p w14:paraId="65F3539F" w14:textId="24F843C9" w:rsidR="00E017F9" w:rsidRPr="009D5253" w:rsidRDefault="00E31ED2" w:rsidP="00AE56F8">
      <w:pPr>
        <w:jc w:val="both"/>
        <w:rPr>
          <w:rFonts w:asciiTheme="minorHAnsi" w:hAnsiTheme="minorHAnsi" w:cstheme="minorHAnsi"/>
          <w:b/>
          <w:bCs/>
          <w:color w:val="FF0000"/>
          <w:sz w:val="24"/>
          <w:szCs w:val="24"/>
          <w:u w:val="single"/>
        </w:rPr>
      </w:pPr>
      <w:r w:rsidRPr="009D5253">
        <w:rPr>
          <w:rFonts w:asciiTheme="minorHAnsi" w:hAnsiTheme="minorHAnsi" w:cstheme="minorHAnsi"/>
          <w:b/>
          <w:bCs/>
          <w:color w:val="FF0000"/>
          <w:sz w:val="24"/>
          <w:szCs w:val="24"/>
          <w:u w:val="single"/>
        </w:rPr>
        <w:t>DÁLE:</w:t>
      </w:r>
    </w:p>
    <w:p w14:paraId="23549244" w14:textId="77777777" w:rsidR="00E31ED2" w:rsidRDefault="00E31ED2" w:rsidP="00AE56F8">
      <w:pPr>
        <w:jc w:val="both"/>
        <w:rPr>
          <w:rFonts w:asciiTheme="minorHAnsi" w:hAnsiTheme="minorHAnsi" w:cstheme="minorHAnsi"/>
          <w:b/>
          <w:bCs/>
          <w:sz w:val="24"/>
          <w:szCs w:val="24"/>
        </w:rPr>
      </w:pPr>
    </w:p>
    <w:p w14:paraId="10587AAA" w14:textId="449EAB79" w:rsidR="005506DC" w:rsidRPr="00D413CE" w:rsidRDefault="005506DC" w:rsidP="00D413CE">
      <w:pPr>
        <w:pStyle w:val="Odstavecseseznamem"/>
        <w:numPr>
          <w:ilvl w:val="0"/>
          <w:numId w:val="31"/>
        </w:numPr>
        <w:jc w:val="both"/>
        <w:rPr>
          <w:rFonts w:asciiTheme="minorHAnsi" w:hAnsiTheme="minorHAnsi" w:cstheme="minorHAnsi"/>
          <w:b/>
          <w:bCs/>
          <w:sz w:val="24"/>
          <w:szCs w:val="24"/>
        </w:rPr>
      </w:pPr>
      <w:r w:rsidRPr="00D413CE">
        <w:rPr>
          <w:rFonts w:asciiTheme="minorHAnsi" w:hAnsiTheme="minorHAnsi" w:cstheme="minorHAnsi"/>
          <w:b/>
          <w:bCs/>
          <w:sz w:val="24"/>
          <w:szCs w:val="24"/>
        </w:rPr>
        <w:t>K části šesté</w:t>
      </w:r>
    </w:p>
    <w:p w14:paraId="2D6678DE" w14:textId="77777777" w:rsidR="005506DC" w:rsidRPr="00534070" w:rsidRDefault="005506DC" w:rsidP="005506DC">
      <w:pPr>
        <w:jc w:val="both"/>
        <w:rPr>
          <w:rFonts w:asciiTheme="minorHAnsi" w:hAnsiTheme="minorHAnsi" w:cstheme="minorHAnsi"/>
          <w:b/>
          <w:bCs/>
          <w:sz w:val="24"/>
          <w:szCs w:val="24"/>
        </w:rPr>
      </w:pPr>
      <w:r w:rsidRPr="00534070">
        <w:rPr>
          <w:rFonts w:asciiTheme="minorHAnsi" w:hAnsiTheme="minorHAnsi" w:cstheme="minorHAnsi"/>
          <w:i/>
          <w:iCs/>
          <w:sz w:val="24"/>
          <w:szCs w:val="24"/>
        </w:rPr>
        <w:t xml:space="preserve">Změna zákona o organizaci a provádění sociálního zabezpečení – </w:t>
      </w:r>
      <w:r w:rsidRPr="00534070">
        <w:rPr>
          <w:rFonts w:asciiTheme="minorHAnsi" w:hAnsiTheme="minorHAnsi" w:cstheme="minorHAnsi"/>
          <w:b/>
          <w:bCs/>
          <w:sz w:val="24"/>
          <w:szCs w:val="24"/>
        </w:rPr>
        <w:t>vypustit celou šestou část</w:t>
      </w:r>
    </w:p>
    <w:p w14:paraId="4F379D76" w14:textId="5564F4A2" w:rsidR="005506DC" w:rsidRPr="00534070" w:rsidRDefault="005506DC" w:rsidP="005506DC">
      <w:pPr>
        <w:jc w:val="both"/>
        <w:rPr>
          <w:rFonts w:asciiTheme="minorHAnsi" w:hAnsiTheme="minorHAnsi" w:cstheme="minorHAnsi"/>
          <w:sz w:val="24"/>
          <w:szCs w:val="24"/>
        </w:rPr>
      </w:pPr>
      <w:r w:rsidRPr="00534070">
        <w:rPr>
          <w:rFonts w:asciiTheme="minorHAnsi" w:hAnsiTheme="minorHAnsi" w:cstheme="minorHAnsi"/>
          <w:b/>
          <w:bCs/>
          <w:sz w:val="24"/>
          <w:szCs w:val="24"/>
        </w:rPr>
        <w:t>Odůvodnění</w:t>
      </w:r>
      <w:r w:rsidRPr="00534070">
        <w:rPr>
          <w:rFonts w:asciiTheme="minorHAnsi" w:hAnsiTheme="minorHAnsi" w:cstheme="minorHAnsi"/>
          <w:sz w:val="24"/>
          <w:szCs w:val="24"/>
        </w:rPr>
        <w:t xml:space="preserve">: viz u části třicáté osmé </w:t>
      </w:r>
    </w:p>
    <w:p w14:paraId="58335E55" w14:textId="77777777" w:rsidR="005506DC" w:rsidRDefault="005506DC" w:rsidP="00AE56F8">
      <w:pPr>
        <w:jc w:val="both"/>
        <w:rPr>
          <w:rFonts w:asciiTheme="minorHAnsi" w:hAnsiTheme="minorHAnsi" w:cstheme="minorHAnsi"/>
          <w:b/>
          <w:bCs/>
          <w:sz w:val="24"/>
          <w:szCs w:val="24"/>
        </w:rPr>
      </w:pPr>
    </w:p>
    <w:p w14:paraId="7C540E7F" w14:textId="77777777" w:rsidR="00F3029D" w:rsidRPr="00534070" w:rsidRDefault="00F3029D" w:rsidP="00D413CE">
      <w:pPr>
        <w:pStyle w:val="Odstavecseseznamem"/>
        <w:numPr>
          <w:ilvl w:val="0"/>
          <w:numId w:val="31"/>
        </w:numPr>
        <w:spacing w:after="0" w:line="240" w:lineRule="auto"/>
        <w:ind w:left="426" w:hanging="568"/>
        <w:jc w:val="both"/>
        <w:rPr>
          <w:rFonts w:asciiTheme="minorHAnsi" w:hAnsiTheme="minorHAnsi" w:cstheme="minorHAnsi"/>
          <w:b/>
          <w:bCs/>
          <w:sz w:val="24"/>
          <w:szCs w:val="24"/>
        </w:rPr>
      </w:pPr>
      <w:r w:rsidRPr="00534070">
        <w:rPr>
          <w:rFonts w:asciiTheme="minorHAnsi" w:hAnsiTheme="minorHAnsi" w:cstheme="minorHAnsi"/>
          <w:b/>
          <w:bCs/>
          <w:sz w:val="24"/>
          <w:szCs w:val="24"/>
        </w:rPr>
        <w:t xml:space="preserve">K části osmé </w:t>
      </w:r>
    </w:p>
    <w:p w14:paraId="3FBD2921" w14:textId="77777777" w:rsidR="00F3029D" w:rsidRPr="00534070" w:rsidRDefault="00F3029D" w:rsidP="00F3029D">
      <w:pPr>
        <w:pStyle w:val="-wm-paragraf"/>
        <w:spacing w:before="120" w:beforeAutospacing="0" w:after="120" w:afterAutospacing="0"/>
        <w:ind w:left="360"/>
        <w:jc w:val="both"/>
        <w:rPr>
          <w:rFonts w:asciiTheme="minorHAnsi" w:hAnsiTheme="minorHAnsi" w:cstheme="minorHAnsi"/>
          <w:i/>
          <w:iCs/>
          <w:sz w:val="24"/>
          <w:szCs w:val="24"/>
        </w:rPr>
      </w:pPr>
      <w:r w:rsidRPr="00534070">
        <w:rPr>
          <w:rFonts w:asciiTheme="minorHAnsi" w:hAnsiTheme="minorHAnsi" w:cstheme="minorHAnsi"/>
          <w:i/>
          <w:iCs/>
          <w:sz w:val="24"/>
          <w:szCs w:val="24"/>
        </w:rPr>
        <w:t>Změna zákona o dani z nemovitých věcí</w:t>
      </w:r>
    </w:p>
    <w:p w14:paraId="56DFAEBA" w14:textId="77777777" w:rsidR="00F3029D" w:rsidRPr="00534070" w:rsidRDefault="00F3029D" w:rsidP="00F3029D">
      <w:pPr>
        <w:pStyle w:val="-wm-paragraf"/>
        <w:spacing w:before="120" w:beforeAutospacing="0" w:after="120" w:afterAutospacing="0"/>
        <w:jc w:val="both"/>
        <w:rPr>
          <w:rFonts w:asciiTheme="minorHAnsi" w:hAnsiTheme="minorHAnsi" w:cstheme="minorHAnsi"/>
          <w:sz w:val="24"/>
          <w:szCs w:val="24"/>
        </w:rPr>
      </w:pPr>
      <w:r w:rsidRPr="00534070">
        <w:rPr>
          <w:rFonts w:asciiTheme="minorHAnsi" w:hAnsiTheme="minorHAnsi" w:cstheme="minorHAnsi"/>
          <w:b/>
          <w:bCs/>
          <w:sz w:val="24"/>
          <w:szCs w:val="24"/>
        </w:rPr>
        <w:t>K bodu 6 - § 12ab Daň z pozemků za výpočtový list</w:t>
      </w:r>
    </w:p>
    <w:p w14:paraId="5E3F0A4F" w14:textId="77777777" w:rsidR="00F3029D" w:rsidRPr="00534070" w:rsidRDefault="00F3029D" w:rsidP="00F3029D">
      <w:pPr>
        <w:jc w:val="both"/>
        <w:rPr>
          <w:rFonts w:asciiTheme="minorHAnsi" w:hAnsiTheme="minorHAnsi" w:cstheme="minorHAnsi"/>
          <w:b/>
          <w:bCs/>
          <w:sz w:val="24"/>
          <w:szCs w:val="24"/>
        </w:rPr>
      </w:pPr>
      <w:r w:rsidRPr="00534070">
        <w:rPr>
          <w:rFonts w:asciiTheme="minorHAnsi" w:hAnsiTheme="minorHAnsi" w:cstheme="minorHAnsi"/>
          <w:b/>
          <w:bCs/>
          <w:sz w:val="24"/>
          <w:szCs w:val="24"/>
        </w:rPr>
        <w:t>Navrhujeme doplnit § 12ab, odstavec (4) takto:</w:t>
      </w:r>
    </w:p>
    <w:p w14:paraId="337B5264" w14:textId="0BF6EF40" w:rsidR="00F3029D" w:rsidRPr="00534070" w:rsidRDefault="00F3029D" w:rsidP="00F3029D">
      <w:pPr>
        <w:jc w:val="both"/>
        <w:rPr>
          <w:rFonts w:asciiTheme="minorHAnsi" w:hAnsiTheme="minorHAnsi" w:cstheme="minorHAnsi"/>
          <w:b/>
          <w:bCs/>
          <w:sz w:val="24"/>
          <w:szCs w:val="24"/>
        </w:rPr>
      </w:pPr>
      <w:r w:rsidRPr="00534070">
        <w:rPr>
          <w:rFonts w:asciiTheme="minorHAnsi" w:hAnsiTheme="minorHAnsi" w:cstheme="minorHAnsi"/>
          <w:b/>
          <w:bCs/>
          <w:sz w:val="24"/>
          <w:szCs w:val="24"/>
        </w:rPr>
        <w:t>Státní část daně z pozemků za výpočtový list činí výchozí daň z pozemků za tento výpočtový list. Do státní daně se nezapočte výchozí daň za tento výpočtový list z</w:t>
      </w:r>
      <w:r w:rsidR="001668FF">
        <w:rPr>
          <w:rFonts w:asciiTheme="minorHAnsi" w:hAnsiTheme="minorHAnsi" w:cstheme="minorHAnsi"/>
          <w:b/>
          <w:bCs/>
          <w:sz w:val="24"/>
          <w:szCs w:val="24"/>
        </w:rPr>
        <w:t xml:space="preserve"> </w:t>
      </w:r>
      <w:r w:rsidRPr="00534070">
        <w:rPr>
          <w:rFonts w:asciiTheme="minorHAnsi" w:hAnsiTheme="minorHAnsi" w:cstheme="minorHAnsi"/>
          <w:b/>
          <w:bCs/>
          <w:sz w:val="24"/>
          <w:szCs w:val="24"/>
        </w:rPr>
        <w:t>těchto druhů pozemků: orná půda, chmelnice, vinice, ovocný sad a trvalý travní porost.</w:t>
      </w:r>
    </w:p>
    <w:p w14:paraId="1D148A11" w14:textId="77777777" w:rsidR="00F3029D" w:rsidRPr="00534070" w:rsidRDefault="00F3029D" w:rsidP="00F3029D">
      <w:pPr>
        <w:jc w:val="both"/>
        <w:rPr>
          <w:rFonts w:asciiTheme="minorHAnsi" w:hAnsiTheme="minorHAnsi" w:cstheme="minorHAnsi"/>
          <w:b/>
          <w:bCs/>
          <w:sz w:val="24"/>
          <w:szCs w:val="24"/>
        </w:rPr>
      </w:pPr>
      <w:r w:rsidRPr="00534070">
        <w:rPr>
          <w:rFonts w:asciiTheme="minorHAnsi" w:hAnsiTheme="minorHAnsi" w:cstheme="minorHAnsi"/>
          <w:b/>
          <w:bCs/>
          <w:sz w:val="24"/>
          <w:szCs w:val="24"/>
        </w:rPr>
        <w:t>Odůvodnění:</w:t>
      </w:r>
    </w:p>
    <w:p w14:paraId="38016972" w14:textId="77777777" w:rsidR="00F3029D" w:rsidRPr="00534070" w:rsidRDefault="00F3029D" w:rsidP="00F3029D">
      <w:pPr>
        <w:jc w:val="both"/>
        <w:rPr>
          <w:rFonts w:asciiTheme="minorHAnsi" w:hAnsiTheme="minorHAnsi" w:cstheme="minorHAnsi"/>
          <w:sz w:val="24"/>
          <w:szCs w:val="24"/>
        </w:rPr>
      </w:pPr>
      <w:r w:rsidRPr="00534070">
        <w:rPr>
          <w:rFonts w:asciiTheme="minorHAnsi" w:hAnsiTheme="minorHAnsi" w:cstheme="minorHAnsi"/>
          <w:sz w:val="24"/>
          <w:szCs w:val="24"/>
        </w:rPr>
        <w:t xml:space="preserve">Navrhovaná daňová úprava postaví české zemědělce do velice nevýhodné pozice vůči zemědělcům v okolních zemích. Některé sousední země mají sice vyšší zdanění nemovitostí, ale dotace v těchto zemích nejsou předmětem daně. Kombinace navýšení daně z nemovitostí se zdaněním dotací způsobuje zásadní propad konkurenceschopnosti českého zemědělství oproti sousedním zemím. U daňového zvýhodnění tichých vín vláda zohledňuje situaci </w:t>
      </w:r>
      <w:r w:rsidRPr="00534070">
        <w:rPr>
          <w:rFonts w:asciiTheme="minorHAnsi" w:hAnsiTheme="minorHAnsi" w:cstheme="minorHAnsi"/>
          <w:sz w:val="24"/>
          <w:szCs w:val="24"/>
        </w:rPr>
        <w:lastRenderedPageBreak/>
        <w:t>v okolních zemích, u daní ze zemědělské půdy ji srovnání nezajímá – také se se sousedními zeměmi musíme srovnávat, domníváme se, že zde jde o podstatnější oblast.</w:t>
      </w:r>
    </w:p>
    <w:p w14:paraId="293707E4" w14:textId="77777777" w:rsidR="00F3029D" w:rsidRPr="00FC53B2" w:rsidRDefault="00F3029D" w:rsidP="00F3029D">
      <w:pPr>
        <w:jc w:val="both"/>
        <w:rPr>
          <w:rFonts w:asciiTheme="minorHAnsi" w:hAnsiTheme="minorHAnsi" w:cstheme="minorHAnsi"/>
          <w:sz w:val="24"/>
          <w:szCs w:val="24"/>
        </w:rPr>
      </w:pPr>
      <w:r w:rsidRPr="00FC53B2">
        <w:rPr>
          <w:rFonts w:asciiTheme="minorHAnsi" w:hAnsiTheme="minorHAnsi" w:cstheme="minorHAnsi"/>
          <w:sz w:val="24"/>
          <w:szCs w:val="24"/>
        </w:rPr>
        <w:t>V zájmu zvýšení ochrany půdního fondu (viz Programové prohlášení vlády) by bylo vhodnější místo navýšení daně z orné půdy, chmelnic, vinic, ovocných sadů a trvalého travního porostu navýšit zdanění zastavěné plochy.</w:t>
      </w:r>
    </w:p>
    <w:p w14:paraId="500B54FF" w14:textId="77777777" w:rsidR="00852603" w:rsidRDefault="00852603" w:rsidP="00852603">
      <w:pPr>
        <w:jc w:val="both"/>
        <w:rPr>
          <w:rFonts w:asciiTheme="minorHAnsi" w:hAnsiTheme="minorHAnsi" w:cstheme="minorHAnsi"/>
          <w:b/>
          <w:bCs/>
          <w:sz w:val="24"/>
          <w:szCs w:val="24"/>
        </w:rPr>
      </w:pPr>
    </w:p>
    <w:p w14:paraId="4F28088E" w14:textId="24CC6354" w:rsidR="00EA67D0" w:rsidRPr="00852603" w:rsidRDefault="00EA67D0" w:rsidP="00D413CE">
      <w:pPr>
        <w:pStyle w:val="Odstavecseseznamem"/>
        <w:numPr>
          <w:ilvl w:val="0"/>
          <w:numId w:val="31"/>
        </w:numPr>
        <w:spacing w:after="0" w:line="240" w:lineRule="auto"/>
        <w:ind w:left="426" w:hanging="568"/>
        <w:jc w:val="both"/>
        <w:rPr>
          <w:rFonts w:asciiTheme="minorHAnsi" w:hAnsiTheme="minorHAnsi" w:cstheme="minorHAnsi"/>
          <w:b/>
          <w:bCs/>
          <w:sz w:val="24"/>
          <w:szCs w:val="24"/>
        </w:rPr>
      </w:pPr>
      <w:r w:rsidRPr="00852603">
        <w:rPr>
          <w:rFonts w:asciiTheme="minorHAnsi" w:hAnsiTheme="minorHAnsi" w:cstheme="minorHAnsi"/>
          <w:b/>
          <w:bCs/>
          <w:sz w:val="24"/>
          <w:szCs w:val="24"/>
        </w:rPr>
        <w:t xml:space="preserve">K části deváté – Změna zákona o daních z příjmů </w:t>
      </w:r>
    </w:p>
    <w:p w14:paraId="3734628B" w14:textId="77777777" w:rsidR="00852603" w:rsidRPr="00852603" w:rsidRDefault="00852603" w:rsidP="00EA67D0">
      <w:pPr>
        <w:ind w:left="360"/>
        <w:rPr>
          <w:rFonts w:asciiTheme="minorHAnsi" w:eastAsia="Calibri" w:hAnsiTheme="minorHAnsi" w:cstheme="minorHAnsi"/>
          <w:b/>
          <w:bCs/>
          <w:sz w:val="16"/>
          <w:szCs w:val="16"/>
          <w:lang w:eastAsia="en-US"/>
        </w:rPr>
      </w:pPr>
    </w:p>
    <w:p w14:paraId="4DDD1124" w14:textId="029C09E6" w:rsidR="00EA67D0" w:rsidRPr="00AD4F44" w:rsidRDefault="00EA67D0" w:rsidP="00EA67D0">
      <w:pPr>
        <w:ind w:left="360"/>
        <w:rPr>
          <w:rFonts w:asciiTheme="minorHAnsi" w:eastAsia="Calibri" w:hAnsiTheme="minorHAnsi" w:cstheme="minorHAnsi"/>
          <w:b/>
          <w:bCs/>
          <w:sz w:val="24"/>
          <w:szCs w:val="24"/>
          <w:lang w:eastAsia="en-US"/>
        </w:rPr>
      </w:pPr>
      <w:r w:rsidRPr="00AD4F44">
        <w:rPr>
          <w:rFonts w:asciiTheme="minorHAnsi" w:eastAsia="Calibri" w:hAnsiTheme="minorHAnsi" w:cstheme="minorHAnsi"/>
          <w:b/>
          <w:bCs/>
          <w:sz w:val="24"/>
          <w:szCs w:val="24"/>
          <w:lang w:eastAsia="en-US"/>
        </w:rPr>
        <w:t xml:space="preserve">Bod 15 – vypustit </w:t>
      </w:r>
    </w:p>
    <w:p w14:paraId="34E77EF3" w14:textId="77777777" w:rsidR="00EA67D0" w:rsidRPr="00AD4F44" w:rsidRDefault="00EA67D0" w:rsidP="00EA67D0">
      <w:pPr>
        <w:ind w:left="360"/>
        <w:jc w:val="both"/>
        <w:rPr>
          <w:rFonts w:asciiTheme="minorHAnsi" w:eastAsia="Calibri" w:hAnsiTheme="minorHAnsi" w:cstheme="minorHAnsi"/>
          <w:sz w:val="24"/>
          <w:szCs w:val="24"/>
          <w:lang w:eastAsia="en-US"/>
        </w:rPr>
      </w:pPr>
      <w:r w:rsidRPr="00AD4F44">
        <w:rPr>
          <w:rFonts w:asciiTheme="minorHAnsi" w:eastAsia="Calibri" w:hAnsiTheme="minorHAnsi" w:cstheme="minorHAnsi"/>
          <w:b/>
          <w:bCs/>
          <w:sz w:val="24"/>
          <w:szCs w:val="24"/>
          <w:lang w:eastAsia="en-US"/>
        </w:rPr>
        <w:t>Odůvodnění</w:t>
      </w:r>
      <w:r w:rsidRPr="00AD4F44">
        <w:rPr>
          <w:rFonts w:asciiTheme="minorHAnsi" w:eastAsia="Calibri" w:hAnsiTheme="minorHAnsi" w:cstheme="minorHAnsi"/>
          <w:sz w:val="24"/>
          <w:szCs w:val="24"/>
          <w:lang w:eastAsia="en-US"/>
        </w:rPr>
        <w:t xml:space="preserve">: Nesouhlas s komplikovanou úpravou – u dohod o provedení práce ponechat stávající jednoznačnou úpravu – číselný limit pro zdanění srážkovou daní při zákonem stanovených podmínkách. </w:t>
      </w:r>
    </w:p>
    <w:p w14:paraId="190B5F85" w14:textId="77777777" w:rsidR="005D0023" w:rsidRDefault="005D0023" w:rsidP="00EA67D0">
      <w:pPr>
        <w:ind w:left="360"/>
        <w:rPr>
          <w:rFonts w:asciiTheme="minorHAnsi" w:eastAsia="Calibri" w:hAnsiTheme="minorHAnsi" w:cstheme="minorHAnsi"/>
          <w:b/>
          <w:bCs/>
          <w:sz w:val="24"/>
          <w:szCs w:val="24"/>
          <w:lang w:eastAsia="en-US"/>
        </w:rPr>
      </w:pPr>
    </w:p>
    <w:p w14:paraId="2FFE0732" w14:textId="7B4173FB" w:rsidR="00EA67D0" w:rsidRPr="00AD4F44" w:rsidRDefault="00EA67D0" w:rsidP="00EA67D0">
      <w:pPr>
        <w:ind w:left="360"/>
        <w:rPr>
          <w:rFonts w:asciiTheme="minorHAnsi" w:eastAsia="Calibri" w:hAnsiTheme="minorHAnsi" w:cstheme="minorHAnsi"/>
          <w:b/>
          <w:bCs/>
          <w:sz w:val="24"/>
          <w:szCs w:val="24"/>
          <w:lang w:eastAsia="en-US"/>
        </w:rPr>
      </w:pPr>
      <w:r w:rsidRPr="00AD4F44">
        <w:rPr>
          <w:rFonts w:asciiTheme="minorHAnsi" w:eastAsia="Calibri" w:hAnsiTheme="minorHAnsi" w:cstheme="minorHAnsi"/>
          <w:b/>
          <w:bCs/>
          <w:sz w:val="24"/>
          <w:szCs w:val="24"/>
          <w:lang w:eastAsia="en-US"/>
        </w:rPr>
        <w:t>Bod 17 – vypustit</w:t>
      </w:r>
    </w:p>
    <w:p w14:paraId="3F66D79D" w14:textId="5657DDC2" w:rsidR="00EA67D0" w:rsidRPr="00AD4F44" w:rsidRDefault="00EA67D0" w:rsidP="00EA67D0">
      <w:pPr>
        <w:ind w:left="360"/>
        <w:jc w:val="both"/>
        <w:rPr>
          <w:rFonts w:asciiTheme="minorHAnsi" w:eastAsia="Calibri" w:hAnsiTheme="minorHAnsi" w:cstheme="minorHAnsi"/>
          <w:sz w:val="24"/>
          <w:szCs w:val="24"/>
          <w:lang w:eastAsia="en-US"/>
        </w:rPr>
      </w:pPr>
      <w:r w:rsidRPr="00AD4F44">
        <w:rPr>
          <w:rFonts w:asciiTheme="minorHAnsi" w:eastAsia="Calibri" w:hAnsiTheme="minorHAnsi" w:cstheme="minorHAnsi"/>
          <w:b/>
          <w:bCs/>
          <w:sz w:val="24"/>
          <w:szCs w:val="24"/>
          <w:lang w:eastAsia="en-US"/>
        </w:rPr>
        <w:t>Odůvodnění</w:t>
      </w:r>
      <w:r w:rsidRPr="00AD4F44">
        <w:rPr>
          <w:rFonts w:asciiTheme="minorHAnsi" w:eastAsia="Calibri" w:hAnsiTheme="minorHAnsi" w:cstheme="minorHAnsi"/>
          <w:sz w:val="24"/>
          <w:szCs w:val="24"/>
          <w:lang w:eastAsia="en-US"/>
        </w:rPr>
        <w:t xml:space="preserve">: Ponechat možnost zaměstnavateli přispívat z FKSP, sociálního fondu nebo nedaňových výdajů na stávající nepeněžní benefity. Jde o motivační nástroj zaměstnavatele s dlouholetou tradicí. Navrhujeme ponechat rozsah tohoto benefitu se snížením limitu na rekreace, zájezdy na </w:t>
      </w:r>
      <w:proofErr w:type="gramStart"/>
      <w:r w:rsidRPr="00AD4F44">
        <w:rPr>
          <w:rFonts w:asciiTheme="minorHAnsi" w:eastAsia="Calibri" w:hAnsiTheme="minorHAnsi" w:cstheme="minorHAnsi"/>
          <w:sz w:val="24"/>
          <w:szCs w:val="24"/>
          <w:lang w:eastAsia="en-US"/>
        </w:rPr>
        <w:t>10</w:t>
      </w:r>
      <w:r w:rsidR="00017097">
        <w:rPr>
          <w:rFonts w:asciiTheme="minorHAnsi" w:eastAsia="Calibri" w:hAnsiTheme="minorHAnsi" w:cstheme="minorHAnsi"/>
          <w:sz w:val="24"/>
          <w:szCs w:val="24"/>
          <w:lang w:eastAsia="en-US"/>
        </w:rPr>
        <w:t>.</w:t>
      </w:r>
      <w:r w:rsidRPr="00AD4F44">
        <w:rPr>
          <w:rFonts w:asciiTheme="minorHAnsi" w:eastAsia="Calibri" w:hAnsiTheme="minorHAnsi" w:cstheme="minorHAnsi"/>
          <w:sz w:val="24"/>
          <w:szCs w:val="24"/>
          <w:lang w:eastAsia="en-US"/>
        </w:rPr>
        <w:t>000,-</w:t>
      </w:r>
      <w:proofErr w:type="gramEnd"/>
      <w:r w:rsidRPr="00AD4F44">
        <w:rPr>
          <w:rFonts w:asciiTheme="minorHAnsi" w:eastAsia="Calibri" w:hAnsiTheme="minorHAnsi" w:cstheme="minorHAnsi"/>
          <w:sz w:val="24"/>
          <w:szCs w:val="24"/>
          <w:lang w:eastAsia="en-US"/>
        </w:rPr>
        <w:t xml:space="preserve"> Kč ze stávajících </w:t>
      </w:r>
      <w:r w:rsidR="009C7D5D" w:rsidRPr="00AD4F44">
        <w:rPr>
          <w:rFonts w:asciiTheme="minorHAnsi" w:eastAsia="Calibri" w:hAnsiTheme="minorHAnsi" w:cstheme="minorHAnsi"/>
          <w:sz w:val="24"/>
          <w:szCs w:val="24"/>
          <w:lang w:eastAsia="en-US"/>
        </w:rPr>
        <w:t>20</w:t>
      </w:r>
      <w:r w:rsidR="009C7D5D">
        <w:rPr>
          <w:rFonts w:asciiTheme="minorHAnsi" w:eastAsia="Calibri" w:hAnsiTheme="minorHAnsi" w:cstheme="minorHAnsi"/>
          <w:sz w:val="24"/>
          <w:szCs w:val="24"/>
          <w:lang w:eastAsia="en-US"/>
        </w:rPr>
        <w:t>.</w:t>
      </w:r>
      <w:r w:rsidR="009C7D5D" w:rsidRPr="00AD4F44">
        <w:rPr>
          <w:rFonts w:asciiTheme="minorHAnsi" w:eastAsia="Calibri" w:hAnsiTheme="minorHAnsi" w:cstheme="minorHAnsi"/>
          <w:sz w:val="24"/>
          <w:szCs w:val="24"/>
          <w:lang w:eastAsia="en-US"/>
        </w:rPr>
        <w:t>000, -</w:t>
      </w:r>
      <w:r w:rsidRPr="00AD4F44">
        <w:rPr>
          <w:rFonts w:asciiTheme="minorHAnsi" w:eastAsia="Calibri" w:hAnsiTheme="minorHAnsi" w:cstheme="minorHAnsi"/>
          <w:sz w:val="24"/>
          <w:szCs w:val="24"/>
          <w:lang w:eastAsia="en-US"/>
        </w:rPr>
        <w:t xml:space="preserve"> Kč</w:t>
      </w:r>
    </w:p>
    <w:p w14:paraId="342EB66F" w14:textId="77777777" w:rsidR="00E737C5" w:rsidRDefault="00E737C5" w:rsidP="00EA67D0">
      <w:pPr>
        <w:ind w:left="360"/>
        <w:rPr>
          <w:rFonts w:asciiTheme="minorHAnsi" w:eastAsia="Calibri" w:hAnsiTheme="minorHAnsi" w:cstheme="minorHAnsi"/>
          <w:b/>
          <w:bCs/>
          <w:sz w:val="24"/>
          <w:szCs w:val="24"/>
          <w:lang w:eastAsia="en-US"/>
        </w:rPr>
      </w:pPr>
    </w:p>
    <w:p w14:paraId="676A82B1" w14:textId="3F2BD487" w:rsidR="00EA67D0" w:rsidRPr="00AD4F44" w:rsidRDefault="00EA67D0" w:rsidP="00EA67D0">
      <w:pPr>
        <w:ind w:left="360"/>
        <w:rPr>
          <w:rFonts w:asciiTheme="minorHAnsi" w:eastAsia="Calibri" w:hAnsiTheme="minorHAnsi" w:cstheme="minorHAnsi"/>
          <w:i/>
          <w:iCs/>
          <w:sz w:val="24"/>
          <w:szCs w:val="24"/>
          <w:lang w:eastAsia="en-US"/>
        </w:rPr>
      </w:pPr>
      <w:r w:rsidRPr="00AD4F44">
        <w:rPr>
          <w:rFonts w:asciiTheme="minorHAnsi" w:eastAsia="Calibri" w:hAnsiTheme="minorHAnsi" w:cstheme="minorHAnsi"/>
          <w:b/>
          <w:bCs/>
          <w:sz w:val="24"/>
          <w:szCs w:val="24"/>
          <w:lang w:eastAsia="en-US"/>
        </w:rPr>
        <w:t>Bod 43 – vypustit</w:t>
      </w:r>
    </w:p>
    <w:p w14:paraId="7C24A646" w14:textId="35D2E7D6" w:rsidR="00EA67D0" w:rsidRPr="00AD4F44" w:rsidRDefault="00EA67D0" w:rsidP="00EA67D0">
      <w:pPr>
        <w:ind w:left="360"/>
        <w:jc w:val="both"/>
        <w:rPr>
          <w:rFonts w:asciiTheme="minorHAnsi" w:eastAsia="Calibri" w:hAnsiTheme="minorHAnsi" w:cstheme="minorHAnsi"/>
          <w:sz w:val="24"/>
          <w:szCs w:val="24"/>
          <w:lang w:eastAsia="en-US"/>
        </w:rPr>
      </w:pPr>
      <w:r w:rsidRPr="00AD4F44">
        <w:rPr>
          <w:rFonts w:asciiTheme="minorHAnsi" w:eastAsia="Calibri" w:hAnsiTheme="minorHAnsi" w:cstheme="minorHAnsi"/>
          <w:b/>
          <w:bCs/>
          <w:sz w:val="24"/>
          <w:szCs w:val="24"/>
          <w:lang w:eastAsia="en-US"/>
        </w:rPr>
        <w:t>Odůvodnění</w:t>
      </w:r>
      <w:r w:rsidRPr="00AD4F44">
        <w:rPr>
          <w:rFonts w:asciiTheme="minorHAnsi" w:eastAsia="Calibri" w:hAnsiTheme="minorHAnsi" w:cstheme="minorHAnsi"/>
          <w:sz w:val="24"/>
          <w:szCs w:val="24"/>
          <w:lang w:eastAsia="en-US"/>
        </w:rPr>
        <w:t>: Zásadně nesouhlasíme s navýšením sazby daně z příjmů právnických osob z </w:t>
      </w:r>
      <w:proofErr w:type="gramStart"/>
      <w:r w:rsidRPr="00AD4F44">
        <w:rPr>
          <w:rFonts w:asciiTheme="minorHAnsi" w:eastAsia="Calibri" w:hAnsiTheme="minorHAnsi" w:cstheme="minorHAnsi"/>
          <w:sz w:val="24"/>
          <w:szCs w:val="24"/>
          <w:lang w:eastAsia="en-US"/>
        </w:rPr>
        <w:t>19%</w:t>
      </w:r>
      <w:proofErr w:type="gramEnd"/>
      <w:r w:rsidRPr="00AD4F44">
        <w:rPr>
          <w:rFonts w:asciiTheme="minorHAnsi" w:eastAsia="Calibri" w:hAnsiTheme="minorHAnsi" w:cstheme="minorHAnsi"/>
          <w:sz w:val="24"/>
          <w:szCs w:val="24"/>
          <w:lang w:eastAsia="en-US"/>
        </w:rPr>
        <w:t xml:space="preserve"> na 21%.</w:t>
      </w:r>
    </w:p>
    <w:p w14:paraId="250BD3CD" w14:textId="77777777" w:rsidR="00EA67D0" w:rsidRPr="00AD4F44" w:rsidRDefault="00EA67D0" w:rsidP="00EA67D0">
      <w:pPr>
        <w:ind w:left="360"/>
        <w:jc w:val="both"/>
        <w:rPr>
          <w:rFonts w:asciiTheme="minorHAnsi" w:eastAsia="Calibri" w:hAnsiTheme="minorHAnsi" w:cstheme="minorHAnsi"/>
          <w:sz w:val="24"/>
          <w:szCs w:val="24"/>
          <w:lang w:eastAsia="en-US"/>
        </w:rPr>
      </w:pPr>
    </w:p>
    <w:p w14:paraId="0B8F8536" w14:textId="77777777" w:rsidR="00F14748" w:rsidRPr="00534070" w:rsidRDefault="00F14748" w:rsidP="00D413CE">
      <w:pPr>
        <w:pStyle w:val="Odstavecseseznamem"/>
        <w:numPr>
          <w:ilvl w:val="0"/>
          <w:numId w:val="31"/>
        </w:numPr>
        <w:spacing w:after="0" w:line="240" w:lineRule="auto"/>
        <w:ind w:left="567" w:hanging="720"/>
        <w:jc w:val="both"/>
        <w:rPr>
          <w:rFonts w:asciiTheme="minorHAnsi" w:hAnsiTheme="minorHAnsi" w:cstheme="minorHAnsi"/>
          <w:b/>
          <w:bCs/>
          <w:sz w:val="24"/>
          <w:szCs w:val="24"/>
        </w:rPr>
      </w:pPr>
      <w:r w:rsidRPr="00534070">
        <w:rPr>
          <w:rFonts w:asciiTheme="minorHAnsi" w:hAnsiTheme="minorHAnsi" w:cstheme="minorHAnsi"/>
          <w:b/>
          <w:bCs/>
          <w:sz w:val="24"/>
          <w:szCs w:val="24"/>
        </w:rPr>
        <w:t>K části desáté Čl. XIV</w:t>
      </w:r>
    </w:p>
    <w:p w14:paraId="1BF61E45" w14:textId="77777777" w:rsidR="00F14748" w:rsidRPr="00534070" w:rsidRDefault="00F14748" w:rsidP="00F14748">
      <w:pPr>
        <w:jc w:val="both"/>
        <w:rPr>
          <w:rFonts w:asciiTheme="minorHAnsi" w:hAnsiTheme="minorHAnsi" w:cstheme="minorHAnsi"/>
          <w:i/>
          <w:iCs/>
          <w:sz w:val="24"/>
          <w:szCs w:val="24"/>
        </w:rPr>
      </w:pPr>
      <w:r w:rsidRPr="00534070">
        <w:rPr>
          <w:rFonts w:asciiTheme="minorHAnsi" w:hAnsiTheme="minorHAnsi" w:cstheme="minorHAnsi"/>
          <w:i/>
          <w:iCs/>
          <w:sz w:val="24"/>
          <w:szCs w:val="24"/>
        </w:rPr>
        <w:t xml:space="preserve">Změna zákona o daních z příjmů </w:t>
      </w:r>
    </w:p>
    <w:p w14:paraId="4BF3F2A4" w14:textId="77777777" w:rsidR="00F14748" w:rsidRPr="00534070" w:rsidRDefault="00F14748" w:rsidP="00F14748">
      <w:pPr>
        <w:jc w:val="both"/>
        <w:rPr>
          <w:rFonts w:asciiTheme="minorHAnsi" w:hAnsiTheme="minorHAnsi" w:cstheme="minorHAnsi"/>
          <w:b/>
          <w:bCs/>
          <w:sz w:val="24"/>
          <w:szCs w:val="24"/>
        </w:rPr>
      </w:pPr>
    </w:p>
    <w:p w14:paraId="68B0528B" w14:textId="77777777" w:rsidR="00F14748" w:rsidRPr="00534070" w:rsidRDefault="00F14748" w:rsidP="00F14748">
      <w:pPr>
        <w:jc w:val="both"/>
        <w:rPr>
          <w:rFonts w:asciiTheme="minorHAnsi" w:hAnsiTheme="minorHAnsi" w:cstheme="minorHAnsi"/>
          <w:b/>
          <w:bCs/>
          <w:sz w:val="24"/>
          <w:szCs w:val="24"/>
        </w:rPr>
      </w:pPr>
      <w:r w:rsidRPr="00534070">
        <w:rPr>
          <w:rFonts w:asciiTheme="minorHAnsi" w:hAnsiTheme="minorHAnsi" w:cstheme="minorHAnsi"/>
          <w:b/>
          <w:bCs/>
          <w:sz w:val="24"/>
          <w:szCs w:val="24"/>
        </w:rPr>
        <w:t xml:space="preserve">Bod 15 - vypustit </w:t>
      </w:r>
    </w:p>
    <w:p w14:paraId="4F5B9DF3" w14:textId="1645B502" w:rsidR="00F14748" w:rsidRPr="00534070" w:rsidRDefault="00F14748" w:rsidP="00F14748">
      <w:pPr>
        <w:jc w:val="both"/>
        <w:rPr>
          <w:rFonts w:asciiTheme="minorHAnsi" w:hAnsiTheme="minorHAnsi" w:cstheme="minorHAnsi"/>
          <w:sz w:val="24"/>
          <w:szCs w:val="24"/>
        </w:rPr>
      </w:pPr>
      <w:r w:rsidRPr="00534070">
        <w:rPr>
          <w:rFonts w:asciiTheme="minorHAnsi" w:hAnsiTheme="minorHAnsi" w:cstheme="minorHAnsi"/>
          <w:b/>
          <w:bCs/>
          <w:sz w:val="24"/>
          <w:szCs w:val="24"/>
        </w:rPr>
        <w:t>Odůvodnění</w:t>
      </w:r>
      <w:r w:rsidRPr="00534070">
        <w:rPr>
          <w:rFonts w:asciiTheme="minorHAnsi" w:hAnsiTheme="minorHAnsi" w:cstheme="minorHAnsi"/>
          <w:sz w:val="24"/>
          <w:szCs w:val="24"/>
        </w:rPr>
        <w:t xml:space="preserve">: viz u části třicáté </w:t>
      </w:r>
      <w:proofErr w:type="gramStart"/>
      <w:r w:rsidRPr="00534070">
        <w:rPr>
          <w:rFonts w:asciiTheme="minorHAnsi" w:hAnsiTheme="minorHAnsi" w:cstheme="minorHAnsi"/>
          <w:sz w:val="24"/>
          <w:szCs w:val="24"/>
        </w:rPr>
        <w:t>osmé - nesouhlas</w:t>
      </w:r>
      <w:proofErr w:type="gramEnd"/>
      <w:r w:rsidRPr="00534070">
        <w:rPr>
          <w:rFonts w:asciiTheme="minorHAnsi" w:hAnsiTheme="minorHAnsi" w:cstheme="minorHAnsi"/>
          <w:sz w:val="24"/>
          <w:szCs w:val="24"/>
        </w:rPr>
        <w:t xml:space="preserve"> komplikovanou úpravou u dohod o provedení práce ponechat stávající jednoznačnou úpravu – číselný limit pro zdanění srážkovou daní při zákonem stanovených podmínkách. </w:t>
      </w:r>
    </w:p>
    <w:p w14:paraId="08C74BFF" w14:textId="77777777" w:rsidR="00F14748" w:rsidRPr="00534070" w:rsidRDefault="00F14748" w:rsidP="00F14748">
      <w:pPr>
        <w:jc w:val="both"/>
        <w:rPr>
          <w:rFonts w:asciiTheme="minorHAnsi" w:hAnsiTheme="minorHAnsi" w:cstheme="minorHAnsi"/>
          <w:sz w:val="24"/>
          <w:szCs w:val="24"/>
        </w:rPr>
      </w:pPr>
    </w:p>
    <w:p w14:paraId="60BB2B82" w14:textId="77777777" w:rsidR="00F14748" w:rsidRPr="00534070" w:rsidRDefault="00F14748" w:rsidP="00F14748">
      <w:pPr>
        <w:jc w:val="both"/>
        <w:rPr>
          <w:rFonts w:asciiTheme="minorHAnsi" w:hAnsiTheme="minorHAnsi" w:cstheme="minorHAnsi"/>
          <w:b/>
          <w:bCs/>
          <w:sz w:val="24"/>
          <w:szCs w:val="24"/>
        </w:rPr>
      </w:pPr>
      <w:r w:rsidRPr="00534070">
        <w:rPr>
          <w:rFonts w:asciiTheme="minorHAnsi" w:hAnsiTheme="minorHAnsi" w:cstheme="minorHAnsi"/>
          <w:b/>
          <w:bCs/>
          <w:sz w:val="24"/>
          <w:szCs w:val="24"/>
        </w:rPr>
        <w:t>Bod 17 – vypustit</w:t>
      </w:r>
    </w:p>
    <w:p w14:paraId="07810B13" w14:textId="4BD96C7C" w:rsidR="00F14748" w:rsidRPr="00534070" w:rsidRDefault="00F14748" w:rsidP="00F14748">
      <w:pPr>
        <w:jc w:val="both"/>
        <w:rPr>
          <w:rFonts w:asciiTheme="minorHAnsi" w:hAnsiTheme="minorHAnsi" w:cstheme="minorHAnsi"/>
          <w:sz w:val="24"/>
          <w:szCs w:val="24"/>
        </w:rPr>
      </w:pPr>
      <w:r w:rsidRPr="00534070">
        <w:rPr>
          <w:rFonts w:asciiTheme="minorHAnsi" w:hAnsiTheme="minorHAnsi" w:cstheme="minorHAnsi"/>
          <w:b/>
          <w:bCs/>
          <w:sz w:val="24"/>
          <w:szCs w:val="24"/>
        </w:rPr>
        <w:t>Odůvodnění</w:t>
      </w:r>
      <w:r w:rsidRPr="00534070">
        <w:rPr>
          <w:rFonts w:asciiTheme="minorHAnsi" w:hAnsiTheme="minorHAnsi" w:cstheme="minorHAnsi"/>
          <w:sz w:val="24"/>
          <w:szCs w:val="24"/>
        </w:rPr>
        <w:t>: ponechat možnost zaměstnavateli přispívat z FKSP, sociálního fondu nebo nedaňových výdajů na stávající nepeněžní benefity. Jedná se o motivační nástroj zaměstnavatele s dlouholetou tradicí. Navrhujeme ponechat rozsah tohoto benefitu se snížením limitu na rekreace, zájezdy na 10 000,- Kč ze stávajících 20 000,- Kč</w:t>
      </w:r>
    </w:p>
    <w:p w14:paraId="72537839" w14:textId="77777777" w:rsidR="00F14748" w:rsidRDefault="00F14748" w:rsidP="00AE56F8">
      <w:pPr>
        <w:jc w:val="both"/>
        <w:rPr>
          <w:rFonts w:asciiTheme="minorHAnsi" w:hAnsiTheme="minorHAnsi" w:cstheme="minorHAnsi"/>
          <w:b/>
          <w:bCs/>
          <w:sz w:val="24"/>
          <w:szCs w:val="24"/>
        </w:rPr>
      </w:pPr>
    </w:p>
    <w:p w14:paraId="26CB442C" w14:textId="112AABCB" w:rsidR="009C0316" w:rsidRPr="00534070" w:rsidRDefault="009C0316" w:rsidP="00D413CE">
      <w:pPr>
        <w:pStyle w:val="Odstavecseseznamem"/>
        <w:numPr>
          <w:ilvl w:val="0"/>
          <w:numId w:val="31"/>
        </w:numPr>
        <w:spacing w:after="0" w:line="240" w:lineRule="auto"/>
        <w:ind w:left="0" w:firstLine="0"/>
        <w:jc w:val="both"/>
        <w:rPr>
          <w:rFonts w:asciiTheme="minorHAnsi" w:hAnsiTheme="minorHAnsi" w:cstheme="minorHAnsi"/>
          <w:sz w:val="24"/>
          <w:szCs w:val="24"/>
        </w:rPr>
      </w:pPr>
      <w:r w:rsidRPr="00534070">
        <w:rPr>
          <w:rFonts w:asciiTheme="minorHAnsi" w:hAnsiTheme="minorHAnsi" w:cstheme="minorHAnsi"/>
          <w:b/>
          <w:bCs/>
          <w:sz w:val="24"/>
          <w:szCs w:val="24"/>
        </w:rPr>
        <w:t xml:space="preserve">K části desáté </w:t>
      </w:r>
      <w:r w:rsidRPr="00534070">
        <w:rPr>
          <w:rFonts w:asciiTheme="minorHAnsi" w:hAnsiTheme="minorHAnsi" w:cstheme="minorHAnsi"/>
          <w:sz w:val="24"/>
          <w:szCs w:val="24"/>
        </w:rPr>
        <w:t>Čl.</w:t>
      </w:r>
      <w:r w:rsidR="009D5253">
        <w:rPr>
          <w:rFonts w:asciiTheme="minorHAnsi" w:hAnsiTheme="minorHAnsi" w:cstheme="minorHAnsi"/>
          <w:sz w:val="24"/>
          <w:szCs w:val="24"/>
        </w:rPr>
        <w:t xml:space="preserve"> </w:t>
      </w:r>
      <w:r w:rsidRPr="00534070">
        <w:rPr>
          <w:rFonts w:asciiTheme="minorHAnsi" w:hAnsiTheme="minorHAnsi" w:cstheme="minorHAnsi"/>
          <w:sz w:val="24"/>
          <w:szCs w:val="24"/>
        </w:rPr>
        <w:t>XVI</w:t>
      </w:r>
    </w:p>
    <w:p w14:paraId="5F0317BC" w14:textId="77777777" w:rsidR="009C0316" w:rsidRPr="00534070" w:rsidRDefault="009C0316" w:rsidP="009C0316">
      <w:pPr>
        <w:jc w:val="both"/>
        <w:rPr>
          <w:rFonts w:asciiTheme="minorHAnsi" w:hAnsiTheme="minorHAnsi" w:cstheme="minorHAnsi"/>
          <w:i/>
          <w:iCs/>
          <w:sz w:val="24"/>
          <w:szCs w:val="24"/>
        </w:rPr>
      </w:pPr>
      <w:r w:rsidRPr="00534070">
        <w:rPr>
          <w:rFonts w:asciiTheme="minorHAnsi" w:hAnsiTheme="minorHAnsi" w:cstheme="minorHAnsi"/>
          <w:i/>
          <w:iCs/>
          <w:sz w:val="24"/>
          <w:szCs w:val="24"/>
        </w:rPr>
        <w:t>Změna zákona o pojistném na sociální zabezpečení a příspěvku na státní politiku zaměstnanosti</w:t>
      </w:r>
    </w:p>
    <w:p w14:paraId="14B279A4" w14:textId="77777777" w:rsidR="009C0316" w:rsidRPr="00534070" w:rsidRDefault="009C0316" w:rsidP="009C0316">
      <w:pPr>
        <w:jc w:val="both"/>
        <w:rPr>
          <w:rFonts w:asciiTheme="minorHAnsi" w:hAnsiTheme="minorHAnsi" w:cstheme="minorHAnsi"/>
          <w:sz w:val="24"/>
          <w:szCs w:val="24"/>
        </w:rPr>
      </w:pPr>
      <w:r w:rsidRPr="00534070">
        <w:rPr>
          <w:rFonts w:asciiTheme="minorHAnsi" w:hAnsiTheme="minorHAnsi" w:cstheme="minorHAnsi"/>
          <w:b/>
          <w:bCs/>
          <w:sz w:val="24"/>
          <w:szCs w:val="24"/>
        </w:rPr>
        <w:t>vypustit body 1 až 13 a bod</w:t>
      </w:r>
      <w:r w:rsidRPr="00534070">
        <w:rPr>
          <w:rFonts w:asciiTheme="minorHAnsi" w:hAnsiTheme="minorHAnsi" w:cstheme="minorHAnsi"/>
          <w:sz w:val="24"/>
          <w:szCs w:val="24"/>
        </w:rPr>
        <w:t xml:space="preserve"> </w:t>
      </w:r>
      <w:r w:rsidRPr="00534070">
        <w:rPr>
          <w:rFonts w:asciiTheme="minorHAnsi" w:hAnsiTheme="minorHAnsi" w:cstheme="minorHAnsi"/>
          <w:b/>
          <w:bCs/>
          <w:sz w:val="24"/>
          <w:szCs w:val="24"/>
        </w:rPr>
        <w:t>20</w:t>
      </w:r>
      <w:r w:rsidRPr="00534070">
        <w:rPr>
          <w:rFonts w:asciiTheme="minorHAnsi" w:hAnsiTheme="minorHAnsi" w:cstheme="minorHAnsi"/>
          <w:sz w:val="24"/>
          <w:szCs w:val="24"/>
        </w:rPr>
        <w:t xml:space="preserve"> týkající se navrhovaného </w:t>
      </w:r>
      <w:proofErr w:type="spellStart"/>
      <w:r w:rsidRPr="00534070">
        <w:rPr>
          <w:rFonts w:asciiTheme="minorHAnsi" w:hAnsiTheme="minorHAnsi" w:cstheme="minorHAnsi"/>
          <w:sz w:val="24"/>
          <w:szCs w:val="24"/>
        </w:rPr>
        <w:t>zpojistnění</w:t>
      </w:r>
      <w:proofErr w:type="spellEnd"/>
      <w:r w:rsidRPr="00534070">
        <w:rPr>
          <w:rFonts w:asciiTheme="minorHAnsi" w:hAnsiTheme="minorHAnsi" w:cstheme="minorHAnsi"/>
          <w:sz w:val="24"/>
          <w:szCs w:val="24"/>
        </w:rPr>
        <w:t xml:space="preserve"> kumulovaných dohod o provedení práce</w:t>
      </w:r>
    </w:p>
    <w:p w14:paraId="1DF14319" w14:textId="77777777" w:rsidR="009C0316" w:rsidRDefault="009C0316" w:rsidP="009C0316">
      <w:pPr>
        <w:jc w:val="both"/>
        <w:rPr>
          <w:rFonts w:asciiTheme="minorHAnsi" w:hAnsiTheme="minorHAnsi" w:cstheme="minorHAnsi"/>
          <w:b/>
          <w:bCs/>
          <w:sz w:val="24"/>
          <w:szCs w:val="24"/>
        </w:rPr>
      </w:pPr>
    </w:p>
    <w:p w14:paraId="4BA7EA9A" w14:textId="16FC0AC0" w:rsidR="009C0316" w:rsidRDefault="009C0316" w:rsidP="009C0316">
      <w:pPr>
        <w:jc w:val="both"/>
        <w:rPr>
          <w:rFonts w:asciiTheme="minorHAnsi" w:hAnsiTheme="minorHAnsi" w:cstheme="minorHAnsi"/>
          <w:sz w:val="24"/>
          <w:szCs w:val="24"/>
        </w:rPr>
      </w:pPr>
      <w:r w:rsidRPr="00534070">
        <w:rPr>
          <w:rFonts w:asciiTheme="minorHAnsi" w:hAnsiTheme="minorHAnsi" w:cstheme="minorHAnsi"/>
          <w:b/>
          <w:bCs/>
          <w:sz w:val="24"/>
          <w:szCs w:val="24"/>
        </w:rPr>
        <w:t>Odůvodnění</w:t>
      </w:r>
      <w:r w:rsidRPr="00534070">
        <w:rPr>
          <w:rFonts w:asciiTheme="minorHAnsi" w:hAnsiTheme="minorHAnsi" w:cstheme="minorHAnsi"/>
          <w:sz w:val="24"/>
          <w:szCs w:val="24"/>
        </w:rPr>
        <w:t xml:space="preserve">: viz u části třicáté osmé </w:t>
      </w:r>
    </w:p>
    <w:p w14:paraId="40829DEF" w14:textId="77777777" w:rsidR="00600BA2" w:rsidRPr="00534070" w:rsidRDefault="00600BA2" w:rsidP="009C0316">
      <w:pPr>
        <w:jc w:val="both"/>
        <w:rPr>
          <w:rFonts w:asciiTheme="minorHAnsi" w:hAnsiTheme="minorHAnsi" w:cstheme="minorHAnsi"/>
          <w:sz w:val="24"/>
          <w:szCs w:val="24"/>
        </w:rPr>
      </w:pPr>
    </w:p>
    <w:p w14:paraId="3AED6012" w14:textId="77777777" w:rsidR="00510973" w:rsidRPr="00FC53B2" w:rsidRDefault="00510973" w:rsidP="00D413CE">
      <w:pPr>
        <w:pStyle w:val="Odstavecseseznamem"/>
        <w:numPr>
          <w:ilvl w:val="0"/>
          <w:numId w:val="31"/>
        </w:numPr>
        <w:spacing w:after="160" w:line="240" w:lineRule="auto"/>
        <w:ind w:left="426" w:hanging="426"/>
        <w:jc w:val="both"/>
        <w:rPr>
          <w:rFonts w:asciiTheme="minorHAnsi" w:hAnsiTheme="minorHAnsi" w:cstheme="minorHAnsi"/>
          <w:sz w:val="24"/>
          <w:szCs w:val="24"/>
        </w:rPr>
      </w:pPr>
      <w:r w:rsidRPr="00FC53B2">
        <w:rPr>
          <w:rFonts w:asciiTheme="minorHAnsi" w:hAnsiTheme="minorHAnsi" w:cstheme="minorHAnsi"/>
          <w:b/>
          <w:bCs/>
          <w:sz w:val="24"/>
          <w:szCs w:val="24"/>
        </w:rPr>
        <w:t xml:space="preserve">K části třicáté </w:t>
      </w:r>
      <w:r w:rsidRPr="00FC53B2">
        <w:rPr>
          <w:rFonts w:asciiTheme="minorHAnsi" w:hAnsiTheme="minorHAnsi" w:cstheme="minorHAnsi"/>
          <w:sz w:val="24"/>
          <w:szCs w:val="24"/>
        </w:rPr>
        <w:t>Čl. LI</w:t>
      </w:r>
    </w:p>
    <w:p w14:paraId="3F8B67E2" w14:textId="77777777" w:rsidR="00510973" w:rsidRPr="00FC53B2" w:rsidRDefault="00510973" w:rsidP="00510973">
      <w:pPr>
        <w:pStyle w:val="Odstavecseseznamem"/>
        <w:spacing w:line="240" w:lineRule="auto"/>
        <w:ind w:hanging="294"/>
        <w:jc w:val="both"/>
        <w:rPr>
          <w:rFonts w:asciiTheme="minorHAnsi" w:hAnsiTheme="minorHAnsi" w:cstheme="minorHAnsi"/>
          <w:i/>
          <w:iCs/>
          <w:sz w:val="24"/>
          <w:szCs w:val="24"/>
        </w:rPr>
      </w:pPr>
      <w:r w:rsidRPr="00FC53B2">
        <w:rPr>
          <w:rFonts w:asciiTheme="minorHAnsi" w:hAnsiTheme="minorHAnsi" w:cstheme="minorHAnsi"/>
          <w:i/>
          <w:iCs/>
          <w:sz w:val="24"/>
          <w:szCs w:val="24"/>
        </w:rPr>
        <w:t>Změna zákona o spotřebních daních</w:t>
      </w:r>
    </w:p>
    <w:p w14:paraId="621D1EAB" w14:textId="65B34736" w:rsidR="00510973" w:rsidRPr="00FC53B2" w:rsidRDefault="00510973" w:rsidP="00510973">
      <w:pPr>
        <w:jc w:val="both"/>
        <w:rPr>
          <w:rFonts w:asciiTheme="minorHAnsi" w:hAnsiTheme="minorHAnsi" w:cstheme="minorHAnsi"/>
          <w:b/>
          <w:bCs/>
          <w:sz w:val="24"/>
          <w:szCs w:val="24"/>
        </w:rPr>
      </w:pPr>
      <w:r w:rsidRPr="00FC53B2">
        <w:rPr>
          <w:rFonts w:asciiTheme="minorHAnsi" w:hAnsiTheme="minorHAnsi" w:cstheme="minorHAnsi"/>
          <w:b/>
          <w:bCs/>
          <w:sz w:val="24"/>
          <w:szCs w:val="24"/>
        </w:rPr>
        <w:lastRenderedPageBreak/>
        <w:t xml:space="preserve">K bodu 17 - § 57, odst. 13, věta </w:t>
      </w:r>
      <w:r w:rsidR="00FE34CA" w:rsidRPr="00FC53B2">
        <w:rPr>
          <w:rFonts w:asciiTheme="minorHAnsi" w:hAnsiTheme="minorHAnsi" w:cstheme="minorHAnsi"/>
          <w:b/>
          <w:bCs/>
          <w:sz w:val="24"/>
          <w:szCs w:val="24"/>
        </w:rPr>
        <w:t>první – Vratka</w:t>
      </w:r>
      <w:r w:rsidRPr="00FC53B2">
        <w:rPr>
          <w:rFonts w:asciiTheme="minorHAnsi" w:hAnsiTheme="minorHAnsi" w:cstheme="minorHAnsi"/>
          <w:b/>
          <w:bCs/>
          <w:sz w:val="24"/>
          <w:szCs w:val="24"/>
        </w:rPr>
        <w:t xml:space="preserve"> spotřební daně za minerální oleje</w:t>
      </w:r>
    </w:p>
    <w:p w14:paraId="122E7099" w14:textId="77777777" w:rsidR="00510973" w:rsidRPr="00FC53B2" w:rsidRDefault="00510973" w:rsidP="00510973">
      <w:pPr>
        <w:jc w:val="both"/>
        <w:rPr>
          <w:rFonts w:asciiTheme="minorHAnsi" w:hAnsiTheme="minorHAnsi" w:cstheme="minorHAnsi"/>
          <w:sz w:val="24"/>
          <w:szCs w:val="24"/>
        </w:rPr>
      </w:pPr>
      <w:r w:rsidRPr="00FC53B2">
        <w:rPr>
          <w:rFonts w:asciiTheme="minorHAnsi" w:hAnsiTheme="minorHAnsi" w:cstheme="minorHAnsi"/>
          <w:sz w:val="24"/>
          <w:szCs w:val="24"/>
        </w:rPr>
        <w:t>Dle našeho soudu došlo k chybné textaci v navržené změně, kde návrh předpokládá, že zemědělská výroba spočívá v rybníkářství dle zákona upravující rybářství. Z tohoto důvodu požadujeme navržené vložení textu „</w:t>
      </w:r>
      <w:r w:rsidRPr="00FC53B2">
        <w:rPr>
          <w:rFonts w:asciiTheme="minorHAnsi" w:hAnsiTheme="minorHAnsi" w:cstheme="minorHAnsi"/>
          <w:b/>
          <w:bCs/>
          <w:i/>
          <w:iCs/>
          <w:sz w:val="24"/>
          <w:szCs w:val="24"/>
        </w:rPr>
        <w:t>spočívající v rybníkářství dle zákona upravující rybářství</w:t>
      </w:r>
      <w:r w:rsidRPr="00FC53B2">
        <w:rPr>
          <w:rFonts w:asciiTheme="minorHAnsi" w:hAnsiTheme="minorHAnsi" w:cstheme="minorHAnsi"/>
          <w:sz w:val="24"/>
          <w:szCs w:val="24"/>
        </w:rPr>
        <w:t>“ ukotvit až za stávající text „</w:t>
      </w:r>
      <w:r w:rsidRPr="00FC53B2">
        <w:rPr>
          <w:rFonts w:asciiTheme="minorHAnsi" w:hAnsiTheme="minorHAnsi" w:cstheme="minorHAnsi"/>
          <w:b/>
          <w:bCs/>
          <w:i/>
          <w:iCs/>
          <w:sz w:val="24"/>
          <w:szCs w:val="24"/>
        </w:rPr>
        <w:t>zemědělská prvovýroba nebo provádění hospodaření v lese</w:t>
      </w:r>
      <w:r w:rsidRPr="00FC53B2">
        <w:rPr>
          <w:rFonts w:asciiTheme="minorHAnsi" w:hAnsiTheme="minorHAnsi" w:cstheme="minorHAnsi"/>
          <w:sz w:val="24"/>
          <w:szCs w:val="24"/>
        </w:rPr>
        <w:t>“, čímž se vyjasní sektory, pro které lze uplatňovat předmětnou vratku – tzn. zemědělství, lesnictví a rybníkářství.</w:t>
      </w:r>
    </w:p>
    <w:p w14:paraId="0F543F6F" w14:textId="77777777" w:rsidR="00AD4F44" w:rsidRDefault="00AD4F44" w:rsidP="00AD4F44">
      <w:pPr>
        <w:jc w:val="both"/>
        <w:rPr>
          <w:rFonts w:asciiTheme="minorHAnsi" w:hAnsiTheme="minorHAnsi" w:cstheme="minorHAnsi"/>
          <w:sz w:val="24"/>
          <w:szCs w:val="24"/>
        </w:rPr>
      </w:pPr>
    </w:p>
    <w:p w14:paraId="2E124623" w14:textId="77777777" w:rsidR="00AD4F44" w:rsidRPr="007131C8" w:rsidRDefault="00AD4F44" w:rsidP="00D413CE">
      <w:pPr>
        <w:pStyle w:val="Odstavecseseznamem"/>
        <w:numPr>
          <w:ilvl w:val="0"/>
          <w:numId w:val="31"/>
        </w:numPr>
        <w:spacing w:after="160" w:line="240" w:lineRule="auto"/>
        <w:ind w:left="426" w:hanging="426"/>
        <w:jc w:val="both"/>
        <w:rPr>
          <w:rFonts w:asciiTheme="minorHAnsi" w:hAnsiTheme="minorHAnsi" w:cstheme="minorHAnsi"/>
          <w:b/>
          <w:bCs/>
          <w:sz w:val="24"/>
          <w:szCs w:val="24"/>
        </w:rPr>
      </w:pPr>
      <w:r w:rsidRPr="007131C8">
        <w:rPr>
          <w:rFonts w:asciiTheme="minorHAnsi" w:hAnsiTheme="minorHAnsi" w:cstheme="minorHAnsi"/>
          <w:b/>
          <w:bCs/>
          <w:sz w:val="24"/>
          <w:szCs w:val="24"/>
        </w:rPr>
        <w:t>K části třicáté</w:t>
      </w:r>
      <w:r>
        <w:rPr>
          <w:rFonts w:asciiTheme="minorHAnsi" w:hAnsiTheme="minorHAnsi" w:cstheme="minorHAnsi"/>
          <w:b/>
          <w:bCs/>
          <w:sz w:val="24"/>
          <w:szCs w:val="24"/>
        </w:rPr>
        <w:t xml:space="preserve"> třetí</w:t>
      </w:r>
    </w:p>
    <w:p w14:paraId="0E198B21" w14:textId="77777777" w:rsidR="00AD4F44" w:rsidRPr="006B6CAC" w:rsidRDefault="00AD4F44" w:rsidP="00AD4F44">
      <w:pPr>
        <w:jc w:val="both"/>
        <w:rPr>
          <w:rFonts w:asciiTheme="minorHAnsi" w:hAnsiTheme="minorHAnsi" w:cstheme="minorHAnsi"/>
          <w:i/>
          <w:iCs/>
          <w:sz w:val="24"/>
          <w:szCs w:val="24"/>
        </w:rPr>
      </w:pPr>
      <w:r w:rsidRPr="006B6CAC">
        <w:rPr>
          <w:rFonts w:asciiTheme="minorHAnsi" w:hAnsiTheme="minorHAnsi" w:cstheme="minorHAnsi"/>
          <w:i/>
          <w:iCs/>
          <w:sz w:val="24"/>
          <w:szCs w:val="24"/>
        </w:rPr>
        <w:t>Změna zákona o dani z přidané hodnoty</w:t>
      </w:r>
    </w:p>
    <w:p w14:paraId="04FB1F5F" w14:textId="77777777" w:rsidR="00AD4F44" w:rsidRPr="00D4586D" w:rsidRDefault="00AD4F44" w:rsidP="00AD4F44">
      <w:pPr>
        <w:pStyle w:val="xmsonormal"/>
        <w:shd w:val="clear" w:color="auto" w:fill="FFFFFF"/>
        <w:spacing w:before="0" w:beforeAutospacing="0" w:after="0" w:afterAutospacing="0"/>
        <w:jc w:val="both"/>
        <w:rPr>
          <w:rFonts w:ascii="Franklin Gothic Book" w:hAnsi="Franklin Gothic Book"/>
          <w:color w:val="242424"/>
        </w:rPr>
      </w:pPr>
      <w:r>
        <w:rPr>
          <w:rFonts w:ascii="Calibri" w:hAnsi="Calibri" w:cs="Calibri"/>
          <w:color w:val="242424"/>
          <w:sz w:val="22"/>
          <w:szCs w:val="22"/>
          <w:bdr w:val="none" w:sz="0" w:space="0" w:color="auto" w:frame="1"/>
        </w:rPr>
        <w:t> </w:t>
      </w:r>
    </w:p>
    <w:p w14:paraId="30EF43B3" w14:textId="77777777" w:rsidR="00AD4F44" w:rsidRPr="00D4586D" w:rsidRDefault="00AD4F44" w:rsidP="00AD4F44">
      <w:pPr>
        <w:pStyle w:val="xmsonormal"/>
        <w:shd w:val="clear" w:color="auto" w:fill="FFFFFF"/>
        <w:spacing w:before="0" w:beforeAutospacing="0" w:after="0" w:afterAutospacing="0"/>
        <w:jc w:val="both"/>
        <w:rPr>
          <w:rFonts w:ascii="Franklin Gothic Book" w:hAnsi="Franklin Gothic Book"/>
          <w:color w:val="242424"/>
        </w:rPr>
      </w:pPr>
      <w:r w:rsidRPr="00D4586D">
        <w:rPr>
          <w:rFonts w:ascii="Calibri" w:hAnsi="Calibri" w:cs="Calibri"/>
          <w:color w:val="242424"/>
          <w:bdr w:val="none" w:sz="0" w:space="0" w:color="auto" w:frame="1"/>
        </w:rPr>
        <w:t>V návrhu zákona úplně chybí přechodná ustanovení, proto požadujeme doplnit následující přechodné ustanovení, obdobně jako bylo např. v zákoně č. 500/2012 Sb., čl. IV. Bod 2.</w:t>
      </w:r>
    </w:p>
    <w:p w14:paraId="6604E8BE" w14:textId="77777777" w:rsidR="00AD4F44" w:rsidRPr="00D4586D" w:rsidRDefault="00AD4F44" w:rsidP="00AD4F44">
      <w:pPr>
        <w:pStyle w:val="xmsonormal"/>
        <w:shd w:val="clear" w:color="auto" w:fill="FFFFFF"/>
        <w:spacing w:before="0" w:beforeAutospacing="0" w:after="0" w:afterAutospacing="0"/>
        <w:jc w:val="both"/>
        <w:rPr>
          <w:rFonts w:ascii="Franklin Gothic Book" w:hAnsi="Franklin Gothic Book"/>
          <w:color w:val="242424"/>
        </w:rPr>
      </w:pPr>
      <w:r w:rsidRPr="00D4586D">
        <w:rPr>
          <w:rFonts w:ascii="Calibri" w:hAnsi="Calibri" w:cs="Calibri"/>
          <w:b/>
          <w:bCs/>
          <w:i/>
          <w:iCs/>
          <w:color w:val="000000"/>
          <w:bdr w:val="none" w:sz="0" w:space="0" w:color="auto" w:frame="1"/>
          <w:shd w:val="clear" w:color="auto" w:fill="FFFFFF"/>
        </w:rPr>
        <w:t>„Při dodání vody, při poskytnutí služby spojené s odváděním a čištěním, případně zneškodňováním odpadních vod je plátce, který uskutečnil zdanitelné plnění se dnem uskutečnění zdanitelného plnění ode dne nabytí účinnosti tohoto zákona, oprávněn stanovit spotřebu samostatně za období přede dnem nabytí účinnosti tohoto zákona a samostatně za období ode dne nabytí účinnosti tohoto zákona na základě odečtu z měřicích zařízení ke dni předcházejícímu dni nabytí účinnosti tohoto zákona nebo na základě propočtu, je-li odečet z měřicích zařízení proveden až po tomto dni. V těchto případech pak u spotřeby za období přede dnem nabytí účinnosti tohoto zákona plátce uplatní sníženou sazbu daně platnou v tomto období a u spotřeby za období ode dne nabytí účinnosti tohoto zákona sníženou sazbu daně platnou od tohoto dne. Plátce při dodání vody, při poskytnutí služby spojené s odváděním a čištěním, případně zneškodňováním odpadních vod vztahujícím se výhradně k období přede dnem nabytí účinnosti tohoto zákona, uplatní sníženou sazbu daně platnou v tomto období, a to i v případě, kdy ke zjištění skutečné spotřeby dojde v období ode dne nabytí účinnosti tohoto zákona. V případě přijetí úplaty přede dnem nabytí účinnosti tohoto zákona, ze které vznikla povinnost přiznat daň, se uplatní tyto sazby ze základu daně stanoveného pro každé období podle </w:t>
      </w:r>
      <w:hyperlink r:id="rId12" w:history="1">
        <w:r w:rsidRPr="00D4586D">
          <w:rPr>
            <w:rStyle w:val="Hypertextovodkaz"/>
            <w:rFonts w:ascii="Calibri" w:hAnsi="Calibri" w:cs="Calibri"/>
            <w:b/>
            <w:bCs/>
            <w:i/>
            <w:iCs/>
            <w:color w:val="000000"/>
            <w:bdr w:val="none" w:sz="0" w:space="0" w:color="auto" w:frame="1"/>
            <w:shd w:val="clear" w:color="auto" w:fill="FFFFFF"/>
          </w:rPr>
          <w:t>§ 37a</w:t>
        </w:r>
      </w:hyperlink>
      <w:r w:rsidRPr="00D4586D">
        <w:rPr>
          <w:rFonts w:ascii="Calibri" w:hAnsi="Calibri" w:cs="Calibri"/>
          <w:b/>
          <w:bCs/>
          <w:i/>
          <w:iCs/>
          <w:color w:val="000000"/>
          <w:bdr w:val="none" w:sz="0" w:space="0" w:color="auto" w:frame="1"/>
          <w:shd w:val="clear" w:color="auto" w:fill="FFFFFF"/>
        </w:rPr>
        <w:t> zákona č. 235/2004 Sb., ve znění účinném ode dne nabytí účinnosti tohoto zákona.“</w:t>
      </w:r>
    </w:p>
    <w:p w14:paraId="65619C22" w14:textId="77777777" w:rsidR="00AD4F44" w:rsidRPr="00D4586D" w:rsidRDefault="00AD4F44" w:rsidP="00AD4F44">
      <w:pPr>
        <w:pStyle w:val="xmsolistparagraph"/>
        <w:shd w:val="clear" w:color="auto" w:fill="FFFFFF"/>
        <w:spacing w:before="0" w:beforeAutospacing="0" w:after="0" w:afterAutospacing="0"/>
        <w:jc w:val="both"/>
        <w:rPr>
          <w:rFonts w:ascii="Franklin Gothic Book" w:hAnsi="Franklin Gothic Book"/>
          <w:color w:val="242424"/>
        </w:rPr>
      </w:pPr>
      <w:r w:rsidRPr="00D4586D">
        <w:rPr>
          <w:rFonts w:ascii="Calibri" w:hAnsi="Calibri" w:cs="Calibri"/>
          <w:b/>
          <w:bCs/>
          <w:color w:val="242424"/>
          <w:bdr w:val="none" w:sz="0" w:space="0" w:color="auto" w:frame="1"/>
        </w:rPr>
        <w:t> </w:t>
      </w:r>
    </w:p>
    <w:p w14:paraId="6CAFBFC2" w14:textId="77777777" w:rsidR="00AD4F44" w:rsidRPr="00D4586D" w:rsidRDefault="00AD4F44" w:rsidP="00AD4F44">
      <w:pPr>
        <w:pStyle w:val="xmsolistparagraph"/>
        <w:shd w:val="clear" w:color="auto" w:fill="FFFFFF"/>
        <w:spacing w:before="0" w:beforeAutospacing="0" w:after="0" w:afterAutospacing="0"/>
        <w:jc w:val="both"/>
        <w:rPr>
          <w:rFonts w:ascii="Franklin Gothic Book" w:hAnsi="Franklin Gothic Book"/>
          <w:color w:val="242424"/>
        </w:rPr>
      </w:pPr>
      <w:r w:rsidRPr="00D4586D">
        <w:rPr>
          <w:rFonts w:ascii="Calibri" w:hAnsi="Calibri" w:cs="Calibri"/>
          <w:b/>
          <w:bCs/>
          <w:color w:val="242424"/>
          <w:bdr w:val="none" w:sz="0" w:space="0" w:color="auto" w:frame="1"/>
        </w:rPr>
        <w:t>Odůvodnění:</w:t>
      </w:r>
    </w:p>
    <w:p w14:paraId="2D5C5589" w14:textId="77777777" w:rsidR="00AD4F44" w:rsidRPr="00D4586D" w:rsidRDefault="00AD4F44" w:rsidP="00AD4F44">
      <w:pPr>
        <w:pStyle w:val="xmsolistparagraph"/>
        <w:shd w:val="clear" w:color="auto" w:fill="FFFFFF"/>
        <w:spacing w:before="0" w:beforeAutospacing="0" w:after="0" w:afterAutospacing="0"/>
        <w:jc w:val="both"/>
        <w:rPr>
          <w:rFonts w:ascii="Franklin Gothic Book" w:hAnsi="Franklin Gothic Book"/>
          <w:color w:val="242424"/>
        </w:rPr>
      </w:pPr>
      <w:r w:rsidRPr="00D4586D">
        <w:rPr>
          <w:rFonts w:ascii="Calibri" w:hAnsi="Calibri" w:cs="Calibri"/>
          <w:color w:val="242424"/>
          <w:bdr w:val="none" w:sz="0" w:space="0" w:color="auto" w:frame="1"/>
        </w:rPr>
        <w:t>Bez přechodného ustanovení bude výše sazby závislá na datu uskutečnění zdanitelného plnění, a tedy na dni odečtu z měřícího zařízení. Pokud odečteme např. 1 den před nabytím účinnosti zákona bude použita sazba DPH ve výši 10 %. Pokud odečteme např. 1 den po nabytí účinnosti zákona, bude použita sazba 12 %. Přestože v obou případech bude období, za které byla voda spotřebována (dodána) téměř stejné, uplatní se na každé plnění jiná sazba. Zákazníci tento způsob vnímají negativně. Proto navrhujeme umožnit v zákoně rozpočítat spotřebu do období před nabytím účinnosti zákona a na toto plnění uplatnit původní sazbu a na období po nabytí účinnosti zákona a na toto plnění uplatnit novou sazbu.</w:t>
      </w:r>
    </w:p>
    <w:p w14:paraId="7299BF7E" w14:textId="77777777" w:rsidR="00AD4F44" w:rsidRDefault="00AD4F44" w:rsidP="00AD4F44">
      <w:pPr>
        <w:spacing w:after="160"/>
        <w:jc w:val="both"/>
        <w:rPr>
          <w:rFonts w:asciiTheme="minorHAnsi" w:hAnsiTheme="minorHAnsi" w:cstheme="minorHAnsi"/>
          <w:b/>
          <w:bCs/>
          <w:sz w:val="24"/>
          <w:szCs w:val="24"/>
        </w:rPr>
      </w:pPr>
    </w:p>
    <w:p w14:paraId="13CCAFBB" w14:textId="298BDB63" w:rsidR="002E1936" w:rsidRPr="00BF608C" w:rsidRDefault="00CE1600" w:rsidP="00BF608C">
      <w:pPr>
        <w:pStyle w:val="Odstavecseseznamem"/>
        <w:numPr>
          <w:ilvl w:val="0"/>
          <w:numId w:val="31"/>
        </w:numPr>
        <w:spacing w:after="160"/>
        <w:jc w:val="both"/>
        <w:rPr>
          <w:rFonts w:asciiTheme="minorHAnsi" w:hAnsiTheme="minorHAnsi" w:cstheme="minorHAnsi"/>
          <w:b/>
          <w:bCs/>
          <w:sz w:val="24"/>
          <w:szCs w:val="24"/>
        </w:rPr>
      </w:pPr>
      <w:r w:rsidRPr="00BF608C">
        <w:rPr>
          <w:rFonts w:asciiTheme="minorHAnsi" w:hAnsiTheme="minorHAnsi" w:cstheme="minorHAnsi"/>
          <w:b/>
          <w:bCs/>
          <w:sz w:val="24"/>
          <w:szCs w:val="24"/>
        </w:rPr>
        <w:t xml:space="preserve">K části třicátá </w:t>
      </w:r>
      <w:r w:rsidR="002E1936" w:rsidRPr="00BF608C">
        <w:rPr>
          <w:rFonts w:asciiTheme="minorHAnsi" w:hAnsiTheme="minorHAnsi" w:cstheme="minorHAnsi"/>
          <w:b/>
          <w:bCs/>
          <w:sz w:val="24"/>
          <w:szCs w:val="24"/>
        </w:rPr>
        <w:t>– Změna zákona o pojistném na sociální zabezpečení a příspěvku na státní politiku zaměstnanosti – vypustit body 1 až 13 a bod 20 týkající se navrhovaného zavedení pojistného u kumulovaných dohod o provedení práce.</w:t>
      </w:r>
    </w:p>
    <w:p w14:paraId="2E7E4DC2" w14:textId="49C3B114" w:rsidR="002E1936" w:rsidRPr="0004273C" w:rsidRDefault="002E1936" w:rsidP="002E1936">
      <w:pPr>
        <w:ind w:left="360"/>
        <w:jc w:val="both"/>
        <w:rPr>
          <w:rFonts w:asciiTheme="minorHAnsi" w:eastAsia="Calibri" w:hAnsiTheme="minorHAnsi" w:cstheme="minorHAnsi"/>
          <w:sz w:val="24"/>
          <w:szCs w:val="24"/>
          <w:lang w:eastAsia="en-US"/>
        </w:rPr>
      </w:pPr>
      <w:r w:rsidRPr="0004273C">
        <w:rPr>
          <w:rFonts w:asciiTheme="minorHAnsi" w:eastAsia="Calibri" w:hAnsiTheme="minorHAnsi" w:cstheme="minorHAnsi"/>
          <w:b/>
          <w:bCs/>
          <w:sz w:val="24"/>
          <w:szCs w:val="24"/>
          <w:lang w:eastAsia="en-US"/>
        </w:rPr>
        <w:lastRenderedPageBreak/>
        <w:t>Odůvodnění</w:t>
      </w:r>
      <w:r w:rsidRPr="0004273C">
        <w:rPr>
          <w:rFonts w:asciiTheme="minorHAnsi" w:eastAsia="Calibri" w:hAnsiTheme="minorHAnsi" w:cstheme="minorHAnsi"/>
          <w:sz w:val="24"/>
          <w:szCs w:val="24"/>
          <w:lang w:eastAsia="en-US"/>
        </w:rPr>
        <w:t>: Zásadně nesouhlasíme s komplikovaným omezením úlev u kumulovaných dohod o provedení práce z důvodu velkého nárůstu administrativy jak na straně zaměstnavatele, tak na straně ČSSZ.</w:t>
      </w:r>
    </w:p>
    <w:p w14:paraId="5F36D20D" w14:textId="77777777" w:rsidR="00205840" w:rsidRPr="0004273C" w:rsidRDefault="00205840" w:rsidP="00205840">
      <w:pPr>
        <w:rPr>
          <w:rFonts w:asciiTheme="minorHAnsi" w:eastAsia="Calibri" w:hAnsiTheme="minorHAnsi" w:cstheme="minorHAnsi"/>
          <w:sz w:val="24"/>
          <w:szCs w:val="24"/>
        </w:rPr>
      </w:pPr>
    </w:p>
    <w:p w14:paraId="552532F5" w14:textId="3D6A560E" w:rsidR="00205840" w:rsidRPr="00B0495E" w:rsidRDefault="00205840" w:rsidP="00B0495E">
      <w:pPr>
        <w:pStyle w:val="Odstavecseseznamem"/>
        <w:numPr>
          <w:ilvl w:val="0"/>
          <w:numId w:val="29"/>
        </w:numPr>
        <w:jc w:val="both"/>
        <w:rPr>
          <w:rFonts w:asciiTheme="minorHAnsi" w:eastAsia="Calibri" w:hAnsiTheme="minorHAnsi" w:cstheme="minorHAnsi"/>
          <w:sz w:val="24"/>
          <w:szCs w:val="24"/>
        </w:rPr>
      </w:pPr>
      <w:r w:rsidRPr="00B0495E">
        <w:rPr>
          <w:rFonts w:asciiTheme="minorHAnsi" w:eastAsia="Calibri" w:hAnsiTheme="minorHAnsi" w:cstheme="minorHAnsi"/>
          <w:b/>
          <w:bCs/>
          <w:sz w:val="24"/>
          <w:szCs w:val="24"/>
        </w:rPr>
        <w:t xml:space="preserve">K části třicáté třetí – </w:t>
      </w:r>
      <w:r w:rsidRPr="00B0495E">
        <w:rPr>
          <w:rFonts w:asciiTheme="minorHAnsi" w:eastAsia="Calibri" w:hAnsiTheme="minorHAnsi" w:cstheme="minorHAnsi"/>
          <w:b/>
          <w:bCs/>
          <w:i/>
          <w:iCs/>
          <w:sz w:val="24"/>
          <w:szCs w:val="24"/>
        </w:rPr>
        <w:t>Změna zákona o dani z přidané hodnoty</w:t>
      </w:r>
      <w:r w:rsidRPr="00B0495E">
        <w:rPr>
          <w:rFonts w:asciiTheme="minorHAnsi" w:eastAsia="Calibri" w:hAnsiTheme="minorHAnsi" w:cstheme="minorHAnsi"/>
          <w:sz w:val="24"/>
          <w:szCs w:val="24"/>
        </w:rPr>
        <w:t xml:space="preserve"> – se zrušením tří stávajících sazeb a nahrazením dvou snížených (15 % a 10 %) jednou sníženou (12 %) s argumentací, že to přinese zjednodušení této daně, zásadně nesouhlasíme. Rovněž argument, že přesunem potravin ze sazby 15 % do 12 % dojde ke zlevnění této komodity, nepovažujeme za reálný. </w:t>
      </w:r>
    </w:p>
    <w:p w14:paraId="794A587F" w14:textId="77777777" w:rsidR="00205840" w:rsidRPr="0004273C" w:rsidRDefault="00205840" w:rsidP="00B0495E">
      <w:pPr>
        <w:numPr>
          <w:ilvl w:val="0"/>
          <w:numId w:val="29"/>
        </w:numPr>
        <w:spacing w:after="200" w:line="276" w:lineRule="auto"/>
        <w:contextualSpacing/>
        <w:jc w:val="both"/>
        <w:rPr>
          <w:rFonts w:asciiTheme="minorHAnsi" w:eastAsia="Calibri" w:hAnsiTheme="minorHAnsi" w:cstheme="minorHAnsi"/>
          <w:sz w:val="24"/>
          <w:szCs w:val="24"/>
        </w:rPr>
      </w:pPr>
      <w:r w:rsidRPr="00CE1600">
        <w:rPr>
          <w:rFonts w:asciiTheme="minorHAnsi" w:eastAsia="Calibri" w:hAnsiTheme="minorHAnsi" w:cstheme="minorHAnsi"/>
          <w:b/>
          <w:bCs/>
          <w:sz w:val="24"/>
          <w:szCs w:val="24"/>
        </w:rPr>
        <w:t xml:space="preserve">K části třicáté čtvrté – </w:t>
      </w:r>
      <w:r w:rsidRPr="00CE1600">
        <w:rPr>
          <w:rFonts w:asciiTheme="minorHAnsi" w:eastAsia="Calibri" w:hAnsiTheme="minorHAnsi" w:cstheme="minorHAnsi"/>
          <w:b/>
          <w:bCs/>
          <w:i/>
          <w:iCs/>
          <w:sz w:val="24"/>
          <w:szCs w:val="24"/>
        </w:rPr>
        <w:t>Změna zákona o zaměstnanosti</w:t>
      </w:r>
      <w:r w:rsidRPr="00CE1600">
        <w:rPr>
          <w:rFonts w:asciiTheme="minorHAnsi" w:eastAsia="Calibri" w:hAnsiTheme="minorHAnsi" w:cstheme="minorHAnsi"/>
          <w:b/>
          <w:bCs/>
          <w:sz w:val="24"/>
          <w:szCs w:val="24"/>
        </w:rPr>
        <w:t xml:space="preserve"> –</w:t>
      </w:r>
      <w:r w:rsidRPr="0004273C">
        <w:rPr>
          <w:rFonts w:asciiTheme="minorHAnsi" w:eastAsia="Calibri" w:hAnsiTheme="minorHAnsi" w:cstheme="minorHAnsi"/>
          <w:sz w:val="24"/>
          <w:szCs w:val="24"/>
        </w:rPr>
        <w:t xml:space="preserve"> chybné číslování novelizačních bodů (v důvodové zprávě je již číslování správné).</w:t>
      </w:r>
    </w:p>
    <w:p w14:paraId="3431E943" w14:textId="77777777" w:rsidR="00205840" w:rsidRPr="0004273C" w:rsidRDefault="00205840" w:rsidP="00205840">
      <w:pPr>
        <w:contextualSpacing/>
        <w:jc w:val="both"/>
        <w:rPr>
          <w:rFonts w:asciiTheme="minorHAnsi" w:eastAsia="Calibri" w:hAnsiTheme="minorHAnsi" w:cstheme="minorHAnsi"/>
          <w:sz w:val="24"/>
          <w:szCs w:val="24"/>
        </w:rPr>
      </w:pPr>
    </w:p>
    <w:p w14:paraId="79CE832E" w14:textId="1D3BF38A" w:rsidR="00205840" w:rsidRPr="00B0495E" w:rsidRDefault="00205840" w:rsidP="00B0495E">
      <w:pPr>
        <w:pStyle w:val="Odstavecseseznamem"/>
        <w:numPr>
          <w:ilvl w:val="0"/>
          <w:numId w:val="29"/>
        </w:numPr>
        <w:jc w:val="both"/>
        <w:rPr>
          <w:rFonts w:asciiTheme="minorHAnsi" w:eastAsia="Calibri" w:hAnsiTheme="minorHAnsi" w:cstheme="minorHAnsi"/>
          <w:sz w:val="24"/>
          <w:szCs w:val="24"/>
        </w:rPr>
      </w:pPr>
      <w:r w:rsidRPr="00B0495E">
        <w:rPr>
          <w:rFonts w:asciiTheme="minorHAnsi" w:eastAsia="Calibri" w:hAnsiTheme="minorHAnsi" w:cstheme="minorHAnsi"/>
          <w:b/>
          <w:bCs/>
          <w:sz w:val="24"/>
          <w:szCs w:val="24"/>
        </w:rPr>
        <w:t xml:space="preserve">K části třicáté osmé – </w:t>
      </w:r>
      <w:r w:rsidRPr="00B0495E">
        <w:rPr>
          <w:rFonts w:asciiTheme="minorHAnsi" w:eastAsia="Calibri" w:hAnsiTheme="minorHAnsi" w:cstheme="minorHAnsi"/>
          <w:b/>
          <w:bCs/>
          <w:i/>
          <w:iCs/>
          <w:sz w:val="24"/>
          <w:szCs w:val="24"/>
        </w:rPr>
        <w:t>Změna zákona o nemocenském pojištění</w:t>
      </w:r>
      <w:r w:rsidRPr="00B0495E">
        <w:rPr>
          <w:rFonts w:asciiTheme="minorHAnsi" w:eastAsia="Calibri" w:hAnsiTheme="minorHAnsi" w:cstheme="minorHAnsi"/>
          <w:sz w:val="24"/>
          <w:szCs w:val="24"/>
        </w:rPr>
        <w:t xml:space="preserve"> </w:t>
      </w:r>
      <w:r w:rsidRPr="00B0495E">
        <w:rPr>
          <w:rFonts w:asciiTheme="minorHAnsi" w:eastAsia="Calibri" w:hAnsiTheme="minorHAnsi" w:cstheme="minorHAnsi"/>
          <w:b/>
          <w:bCs/>
          <w:sz w:val="24"/>
          <w:szCs w:val="24"/>
        </w:rPr>
        <w:t>vypustit celou část třicátou osmou</w:t>
      </w:r>
      <w:r w:rsidRPr="00B0495E">
        <w:rPr>
          <w:rFonts w:asciiTheme="minorHAnsi" w:eastAsia="Calibri" w:hAnsiTheme="minorHAnsi" w:cstheme="minorHAnsi"/>
          <w:sz w:val="24"/>
          <w:szCs w:val="24"/>
        </w:rPr>
        <w:t>.</w:t>
      </w:r>
    </w:p>
    <w:p w14:paraId="028B85BC" w14:textId="68447DA2" w:rsidR="00205840" w:rsidRDefault="00205840" w:rsidP="006A5259">
      <w:pPr>
        <w:ind w:left="360"/>
        <w:jc w:val="both"/>
        <w:rPr>
          <w:rFonts w:asciiTheme="minorHAnsi" w:eastAsia="Calibri" w:hAnsiTheme="minorHAnsi" w:cstheme="minorHAnsi"/>
          <w:sz w:val="24"/>
          <w:szCs w:val="24"/>
          <w:lang w:eastAsia="en-US"/>
        </w:rPr>
      </w:pPr>
      <w:r w:rsidRPr="0004273C">
        <w:rPr>
          <w:rFonts w:asciiTheme="minorHAnsi" w:eastAsia="Calibri" w:hAnsiTheme="minorHAnsi" w:cstheme="minorHAnsi"/>
          <w:b/>
          <w:bCs/>
          <w:sz w:val="24"/>
          <w:szCs w:val="24"/>
          <w:lang w:eastAsia="en-US"/>
        </w:rPr>
        <w:t>Odůvodnění</w:t>
      </w:r>
      <w:r w:rsidRPr="0004273C">
        <w:rPr>
          <w:rFonts w:asciiTheme="minorHAnsi" w:eastAsia="Calibri" w:hAnsiTheme="minorHAnsi" w:cstheme="minorHAnsi"/>
          <w:sz w:val="24"/>
          <w:szCs w:val="24"/>
          <w:lang w:eastAsia="en-US"/>
        </w:rPr>
        <w:t xml:space="preserve">: Zásadně nesouhlasíme s komplikovanou úpravou úlev </w:t>
      </w:r>
      <w:proofErr w:type="gramStart"/>
      <w:r w:rsidRPr="0004273C">
        <w:rPr>
          <w:rFonts w:asciiTheme="minorHAnsi" w:eastAsia="Calibri" w:hAnsiTheme="minorHAnsi" w:cstheme="minorHAnsi"/>
          <w:sz w:val="24"/>
          <w:szCs w:val="24"/>
          <w:lang w:eastAsia="en-US"/>
        </w:rPr>
        <w:t>u  kumulovaných</w:t>
      </w:r>
      <w:proofErr w:type="gramEnd"/>
      <w:r w:rsidRPr="0004273C">
        <w:rPr>
          <w:rFonts w:asciiTheme="minorHAnsi" w:eastAsia="Calibri" w:hAnsiTheme="minorHAnsi" w:cstheme="minorHAnsi"/>
          <w:sz w:val="24"/>
          <w:szCs w:val="24"/>
          <w:lang w:eastAsia="en-US"/>
        </w:rPr>
        <w:t xml:space="preserve"> dohod o provedení práce z důvodu velkého nárůstu administrativy jak na straně zaměstnavatele,  tak na straně ČSSZ a se sdělovací „povinností“ zaměstnanců (u velké části takovýchto zaměstnanců jde o zákonnou povinnost, která nebude v praxi realizovatelná). Navíc je nevhodné stanovení limitu pro DPP, které nezakládají účast na pojištění, nikoli číselným limitem, ale ve vazbě na určitou procentuální výši průměrné mzdy.</w:t>
      </w:r>
    </w:p>
    <w:p w14:paraId="74D646AC" w14:textId="77777777" w:rsidR="006A5259" w:rsidRDefault="006A5259" w:rsidP="006A5259">
      <w:pPr>
        <w:ind w:left="360"/>
        <w:jc w:val="both"/>
        <w:rPr>
          <w:rFonts w:asciiTheme="minorHAnsi" w:eastAsia="Calibri" w:hAnsiTheme="minorHAnsi" w:cstheme="minorHAnsi"/>
          <w:sz w:val="24"/>
          <w:szCs w:val="24"/>
          <w:lang w:eastAsia="en-US"/>
        </w:rPr>
      </w:pPr>
    </w:p>
    <w:p w14:paraId="3987AED2" w14:textId="2369EF8C" w:rsidR="00071F59" w:rsidRPr="006A5259" w:rsidRDefault="00071F59" w:rsidP="006A5259">
      <w:pPr>
        <w:pStyle w:val="Odstavecseseznamem"/>
        <w:numPr>
          <w:ilvl w:val="0"/>
          <w:numId w:val="29"/>
        </w:numPr>
        <w:jc w:val="both"/>
        <w:rPr>
          <w:rFonts w:asciiTheme="minorHAnsi" w:hAnsiTheme="minorHAnsi" w:cstheme="minorHAnsi"/>
          <w:sz w:val="24"/>
          <w:szCs w:val="24"/>
        </w:rPr>
      </w:pPr>
      <w:r w:rsidRPr="006A5259">
        <w:rPr>
          <w:rFonts w:asciiTheme="minorHAnsi" w:hAnsiTheme="minorHAnsi" w:cstheme="minorHAnsi"/>
          <w:b/>
          <w:bCs/>
          <w:sz w:val="24"/>
          <w:szCs w:val="24"/>
        </w:rPr>
        <w:t>K části třicátá osmé</w:t>
      </w:r>
    </w:p>
    <w:p w14:paraId="254A8D73" w14:textId="77777777" w:rsidR="00071F59" w:rsidRPr="00534070" w:rsidRDefault="00071F59" w:rsidP="00071F59">
      <w:pPr>
        <w:jc w:val="both"/>
        <w:rPr>
          <w:rFonts w:asciiTheme="minorHAnsi" w:hAnsiTheme="minorHAnsi" w:cstheme="minorHAnsi"/>
          <w:b/>
          <w:bCs/>
          <w:sz w:val="24"/>
          <w:szCs w:val="24"/>
        </w:rPr>
      </w:pPr>
      <w:r w:rsidRPr="00534070">
        <w:rPr>
          <w:rFonts w:asciiTheme="minorHAnsi" w:hAnsiTheme="minorHAnsi" w:cstheme="minorHAnsi"/>
          <w:i/>
          <w:iCs/>
          <w:sz w:val="24"/>
          <w:szCs w:val="24"/>
        </w:rPr>
        <w:t xml:space="preserve"> Změna zákona o nemocenském pojištění</w:t>
      </w:r>
      <w:r w:rsidRPr="00534070">
        <w:rPr>
          <w:rFonts w:asciiTheme="minorHAnsi" w:hAnsiTheme="minorHAnsi" w:cstheme="minorHAnsi"/>
          <w:sz w:val="24"/>
          <w:szCs w:val="24"/>
        </w:rPr>
        <w:t xml:space="preserve"> – vypustit</w:t>
      </w:r>
      <w:r w:rsidRPr="00534070">
        <w:rPr>
          <w:rFonts w:asciiTheme="minorHAnsi" w:hAnsiTheme="minorHAnsi" w:cstheme="minorHAnsi"/>
          <w:b/>
          <w:bCs/>
          <w:sz w:val="24"/>
          <w:szCs w:val="24"/>
        </w:rPr>
        <w:t xml:space="preserve"> celou část třicátou osmou</w:t>
      </w:r>
    </w:p>
    <w:p w14:paraId="70B7F63B" w14:textId="77777777" w:rsidR="00071F59" w:rsidRDefault="00071F59" w:rsidP="00071F59">
      <w:pPr>
        <w:jc w:val="both"/>
        <w:rPr>
          <w:rFonts w:asciiTheme="minorHAnsi" w:hAnsiTheme="minorHAnsi" w:cstheme="minorHAnsi"/>
          <w:sz w:val="24"/>
          <w:szCs w:val="24"/>
        </w:rPr>
      </w:pPr>
      <w:r w:rsidRPr="00534070">
        <w:rPr>
          <w:rFonts w:asciiTheme="minorHAnsi" w:hAnsiTheme="minorHAnsi" w:cstheme="minorHAnsi"/>
          <w:b/>
          <w:bCs/>
          <w:sz w:val="24"/>
          <w:szCs w:val="24"/>
        </w:rPr>
        <w:t>Odůvodnění</w:t>
      </w:r>
      <w:r w:rsidRPr="00534070">
        <w:rPr>
          <w:rFonts w:asciiTheme="minorHAnsi" w:hAnsiTheme="minorHAnsi" w:cstheme="minorHAnsi"/>
          <w:sz w:val="24"/>
          <w:szCs w:val="24"/>
        </w:rPr>
        <w:t xml:space="preserve">: </w:t>
      </w:r>
      <w:r w:rsidRPr="00A933CC">
        <w:rPr>
          <w:rFonts w:asciiTheme="minorHAnsi" w:hAnsiTheme="minorHAnsi" w:cstheme="minorHAnsi"/>
          <w:b/>
          <w:bCs/>
          <w:color w:val="FF0000"/>
          <w:sz w:val="24"/>
          <w:szCs w:val="24"/>
          <w:u w:val="single"/>
        </w:rPr>
        <w:t xml:space="preserve">Zásadně nesouhlasíme s komplikovaným </w:t>
      </w:r>
      <w:proofErr w:type="spellStart"/>
      <w:r w:rsidRPr="00A933CC">
        <w:rPr>
          <w:rFonts w:asciiTheme="minorHAnsi" w:hAnsiTheme="minorHAnsi" w:cstheme="minorHAnsi"/>
          <w:b/>
          <w:bCs/>
          <w:color w:val="FF0000"/>
          <w:sz w:val="24"/>
          <w:szCs w:val="24"/>
          <w:u w:val="single"/>
        </w:rPr>
        <w:t>zastropováním</w:t>
      </w:r>
      <w:proofErr w:type="spellEnd"/>
      <w:r w:rsidRPr="00A933CC">
        <w:rPr>
          <w:rFonts w:asciiTheme="minorHAnsi" w:hAnsiTheme="minorHAnsi" w:cstheme="minorHAnsi"/>
          <w:color w:val="FF0000"/>
          <w:sz w:val="24"/>
          <w:szCs w:val="24"/>
        </w:rPr>
        <w:t xml:space="preserve"> </w:t>
      </w:r>
      <w:r w:rsidRPr="00534070">
        <w:rPr>
          <w:rFonts w:asciiTheme="minorHAnsi" w:hAnsiTheme="minorHAnsi" w:cstheme="minorHAnsi"/>
          <w:sz w:val="24"/>
          <w:szCs w:val="24"/>
        </w:rPr>
        <w:t xml:space="preserve">úlev u kumulovaných </w:t>
      </w:r>
      <w:r w:rsidRPr="00534070">
        <w:rPr>
          <w:rFonts w:asciiTheme="minorHAnsi" w:hAnsiTheme="minorHAnsi" w:cstheme="minorHAnsi"/>
          <w:b/>
          <w:bCs/>
          <w:sz w:val="24"/>
          <w:szCs w:val="24"/>
        </w:rPr>
        <w:t>dohod o provedení práce</w:t>
      </w:r>
      <w:r w:rsidRPr="00534070">
        <w:rPr>
          <w:rFonts w:asciiTheme="minorHAnsi" w:hAnsiTheme="minorHAnsi" w:cstheme="minorHAnsi"/>
          <w:sz w:val="24"/>
          <w:szCs w:val="24"/>
        </w:rPr>
        <w:t xml:space="preserve"> z důvodu velkého nárůstu administrativy jak na straně zaměstnavatele, tak na straně ČSSZ a se sdělovací „povinností“ zaměstnanců (</w:t>
      </w:r>
      <w:r w:rsidRPr="00534070">
        <w:rPr>
          <w:rFonts w:asciiTheme="minorHAnsi" w:hAnsiTheme="minorHAnsi" w:cstheme="minorHAnsi"/>
          <w:i/>
          <w:iCs/>
          <w:sz w:val="24"/>
          <w:szCs w:val="24"/>
        </w:rPr>
        <w:t>u velké části takovýchto zaměstnanců jde o zákonnou povinnost, která nebude v praxi realizovatelná).</w:t>
      </w:r>
      <w:r w:rsidRPr="00534070">
        <w:rPr>
          <w:rFonts w:asciiTheme="minorHAnsi" w:hAnsiTheme="minorHAnsi" w:cstheme="minorHAnsi"/>
          <w:sz w:val="24"/>
          <w:szCs w:val="24"/>
        </w:rPr>
        <w:t xml:space="preserve"> Navíc stanovení </w:t>
      </w:r>
      <w:proofErr w:type="gramStart"/>
      <w:r w:rsidRPr="00534070">
        <w:rPr>
          <w:rFonts w:asciiTheme="minorHAnsi" w:hAnsiTheme="minorHAnsi" w:cstheme="minorHAnsi"/>
          <w:sz w:val="24"/>
          <w:szCs w:val="24"/>
        </w:rPr>
        <w:t>limitu  pro</w:t>
      </w:r>
      <w:proofErr w:type="gramEnd"/>
      <w:r w:rsidRPr="00534070">
        <w:rPr>
          <w:rFonts w:asciiTheme="minorHAnsi" w:hAnsiTheme="minorHAnsi" w:cstheme="minorHAnsi"/>
          <w:sz w:val="24"/>
          <w:szCs w:val="24"/>
        </w:rPr>
        <w:t xml:space="preserve"> DPP, které nezakládají účast na pojištění nikoli číselným limitem, ale ve vazbě na určitou procentuální výši průměrné mzdy.</w:t>
      </w:r>
    </w:p>
    <w:p w14:paraId="0782F381" w14:textId="77777777" w:rsidR="00035F2C" w:rsidRDefault="00035F2C" w:rsidP="00546B96">
      <w:pPr>
        <w:shd w:val="clear" w:color="auto" w:fill="FFFFFF"/>
        <w:spacing w:after="120"/>
        <w:jc w:val="both"/>
        <w:rPr>
          <w:rFonts w:ascii="Calibri" w:hAnsi="Calibri" w:cs="Calibri"/>
          <w:b/>
          <w:bCs/>
          <w:color w:val="FF0000"/>
          <w:sz w:val="28"/>
          <w:szCs w:val="28"/>
          <w:u w:val="single"/>
          <w:lang w:eastAsia="en-GB"/>
        </w:rPr>
      </w:pPr>
    </w:p>
    <w:p w14:paraId="0082EB40" w14:textId="45C4534F" w:rsidR="00071F59" w:rsidRPr="007D04ED" w:rsidRDefault="007D04ED" w:rsidP="00546B96">
      <w:pPr>
        <w:shd w:val="clear" w:color="auto" w:fill="FFFFFF"/>
        <w:spacing w:after="120"/>
        <w:jc w:val="both"/>
        <w:rPr>
          <w:rFonts w:ascii="Calibri" w:hAnsi="Calibri" w:cs="Calibri"/>
          <w:b/>
          <w:bCs/>
          <w:color w:val="FF0000"/>
          <w:sz w:val="28"/>
          <w:szCs w:val="28"/>
          <w:u w:val="single"/>
          <w:lang w:eastAsia="en-GB"/>
        </w:rPr>
      </w:pPr>
      <w:r w:rsidRPr="007D04ED">
        <w:rPr>
          <w:rFonts w:ascii="Calibri" w:hAnsi="Calibri" w:cs="Calibri"/>
          <w:b/>
          <w:bCs/>
          <w:color w:val="FF0000"/>
          <w:sz w:val="28"/>
          <w:szCs w:val="28"/>
          <w:u w:val="single"/>
          <w:lang w:eastAsia="en-GB"/>
        </w:rPr>
        <w:t>DALŠÍ PŘIPOMÍNKY:</w:t>
      </w:r>
    </w:p>
    <w:p w14:paraId="220EEF1F" w14:textId="5B6D05C3" w:rsidR="00546B96" w:rsidRPr="00546B96" w:rsidRDefault="00546B96" w:rsidP="00546B96">
      <w:pPr>
        <w:shd w:val="clear" w:color="auto" w:fill="FFFFFF"/>
        <w:spacing w:after="120"/>
        <w:jc w:val="both"/>
        <w:rPr>
          <w:rFonts w:ascii="Calibri" w:hAnsi="Calibri" w:cs="Calibri"/>
          <w:b/>
          <w:bCs/>
          <w:color w:val="000000"/>
          <w:sz w:val="22"/>
          <w:szCs w:val="22"/>
          <w:u w:val="single"/>
          <w:lang w:eastAsia="en-GB"/>
        </w:rPr>
      </w:pPr>
      <w:r w:rsidRPr="00546B96">
        <w:rPr>
          <w:rFonts w:ascii="Calibri" w:hAnsi="Calibri" w:cs="Calibri"/>
          <w:b/>
          <w:bCs/>
          <w:color w:val="000000"/>
          <w:sz w:val="22"/>
          <w:szCs w:val="22"/>
          <w:u w:val="single"/>
          <w:lang w:eastAsia="en-GB"/>
        </w:rPr>
        <w:t>Obecné připomínky</w:t>
      </w:r>
    </w:p>
    <w:p w14:paraId="31F82A17"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1. Nesouhlasíme s návrhem, aby léčivé přípravky byly nově zatíženy DPH ve výši 12 %. Na drtivou většinu léčivých přípravků se dnes vztahuje druhá snížená sazbě DPH ve výši 10 % a tedy v důsledku návrhu dojde ke zvýšení DPH na léky. Nikoliv, jak byla veřejnost mylně informována, k jejímu snížení. Požadujeme korektní vyčíslení dopadů navrhovaného opatření.</w:t>
      </w:r>
    </w:p>
    <w:p w14:paraId="1873862E"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Současně upozorňujeme, že navrhované opatření bude mít dopad na jednu z nejzranitelnějších částí české populace, a to na pacienty. Druhou skupinou zasažených subjektů budou zdravotní pojišťovny, což zároveň znamená, že ve výsledku se veřejné prostředky jen přesunou z jedné kolonky do druhé, aniž by to znamenalo reálnou úsporu pro státní rozpočet.</w:t>
      </w:r>
    </w:p>
    <w:p w14:paraId="22EF53AD" w14:textId="77777777" w:rsidR="00546B96" w:rsidRPr="00546B96" w:rsidRDefault="00546B96" w:rsidP="00546B96">
      <w:pPr>
        <w:pBdr>
          <w:bottom w:val="single" w:sz="4" w:space="1" w:color="auto"/>
        </w:pBdr>
        <w:shd w:val="clear" w:color="auto" w:fill="FFFFFF"/>
        <w:spacing w:after="120"/>
        <w:jc w:val="right"/>
        <w:rPr>
          <w:rFonts w:ascii="Calibri" w:hAnsi="Calibri" w:cs="Calibri"/>
          <w:b/>
          <w:color w:val="000000"/>
          <w:sz w:val="22"/>
          <w:szCs w:val="22"/>
          <w:lang w:eastAsia="en-GB"/>
        </w:rPr>
      </w:pPr>
      <w:r w:rsidRPr="00546B96">
        <w:rPr>
          <w:rFonts w:ascii="Calibri" w:hAnsi="Calibri" w:cs="Calibri"/>
          <w:b/>
          <w:color w:val="000000"/>
          <w:sz w:val="22"/>
          <w:szCs w:val="22"/>
          <w:lang w:eastAsia="en-GB"/>
        </w:rPr>
        <w:t>Tato připomínka je zásadní</w:t>
      </w:r>
    </w:p>
    <w:p w14:paraId="27B259E0" w14:textId="77777777" w:rsidR="00D413CE" w:rsidRDefault="00D413CE" w:rsidP="00546B96">
      <w:pPr>
        <w:shd w:val="clear" w:color="auto" w:fill="FFFFFF"/>
        <w:spacing w:after="120"/>
        <w:jc w:val="both"/>
        <w:rPr>
          <w:rFonts w:ascii="Calibri" w:hAnsi="Calibri" w:cs="Calibri"/>
          <w:bCs/>
          <w:color w:val="000000"/>
          <w:sz w:val="22"/>
          <w:szCs w:val="22"/>
          <w:lang w:eastAsia="en-GB"/>
        </w:rPr>
      </w:pPr>
    </w:p>
    <w:p w14:paraId="5269D9D4" w14:textId="016D30D6"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lastRenderedPageBreak/>
        <w:t>Navrhujeme zařadit vzdělávání dospělých alespoň do snížené sazby 12</w:t>
      </w:r>
      <w:r w:rsidR="00D413CE">
        <w:rPr>
          <w:rFonts w:ascii="Calibri" w:hAnsi="Calibri" w:cs="Calibri"/>
          <w:bCs/>
          <w:color w:val="000000"/>
          <w:sz w:val="22"/>
          <w:szCs w:val="22"/>
          <w:lang w:eastAsia="en-GB"/>
        </w:rPr>
        <w:t xml:space="preserve"> </w:t>
      </w:r>
      <w:r w:rsidRPr="00546B96">
        <w:rPr>
          <w:rFonts w:ascii="Calibri" w:hAnsi="Calibri" w:cs="Calibri"/>
          <w:bCs/>
          <w:color w:val="000000"/>
          <w:sz w:val="22"/>
          <w:szCs w:val="22"/>
          <w:lang w:eastAsia="en-GB"/>
        </w:rPr>
        <w:t>% DPH a sjednotit sazbu za samostatnou zkoušku před autorizovanou osobou na 0 % DPH. Současně navrhujeme zachovat možnost daňového odpočtu při složení zkoušky.</w:t>
      </w:r>
    </w:p>
    <w:p w14:paraId="41D68CE2"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Snížená sazba DPH ukazuje na celospolečenský zájem státu. Stát deklaruje důraz na celoživotní vzdělávání občanů. DPH je jedna z bariér, proč se v ČR vzdělává jen málo osob v dospělém věku (dle MŠMT 8,5-10 %, tzn. že 90 % dospělých po ukončení škol se průběžně nevzdělává!). Je neopodstatněné mít nejvyšší sazbu DPH u služby, kde základní náklady jsou mzdy a dlouhodobý pronájem, kde žádné DPH na vstupu není odečítáno (platí se tedy 21 % z osobních nákladů a pronájmu!). Většina lidi není zvyklá SE V DOSPĚLÉM VĚKU vzdělávat, je nutno podpořit motivaci všemi prostředky (snížená sazba DPH, odpočty z daní...)</w:t>
      </w:r>
    </w:p>
    <w:p w14:paraId="5EE77F09" w14:textId="77777777" w:rsidR="00546B96" w:rsidRPr="00546B96" w:rsidRDefault="00546B96" w:rsidP="00546B96">
      <w:pPr>
        <w:pBdr>
          <w:bottom w:val="single" w:sz="4" w:space="1" w:color="auto"/>
        </w:pBdr>
        <w:shd w:val="clear" w:color="auto" w:fill="FFFFFF"/>
        <w:spacing w:after="120"/>
        <w:jc w:val="right"/>
        <w:rPr>
          <w:rFonts w:ascii="Calibri" w:hAnsi="Calibri" w:cs="Calibri"/>
          <w:b/>
          <w:color w:val="000000"/>
          <w:sz w:val="22"/>
          <w:szCs w:val="22"/>
          <w:lang w:eastAsia="en-GB"/>
        </w:rPr>
      </w:pPr>
      <w:r w:rsidRPr="00546B96">
        <w:rPr>
          <w:rFonts w:ascii="Calibri" w:hAnsi="Calibri" w:cs="Calibri"/>
          <w:b/>
          <w:color w:val="000000"/>
          <w:sz w:val="22"/>
          <w:szCs w:val="22"/>
          <w:lang w:eastAsia="en-GB"/>
        </w:rPr>
        <w:t>Tato připomínka je zásadní</w:t>
      </w:r>
    </w:p>
    <w:p w14:paraId="180A63C6" w14:textId="77777777" w:rsidR="00D413CE" w:rsidRDefault="00D413CE" w:rsidP="00546B96">
      <w:pPr>
        <w:shd w:val="clear" w:color="auto" w:fill="FFFFFF"/>
        <w:spacing w:after="120"/>
        <w:jc w:val="both"/>
        <w:rPr>
          <w:rFonts w:ascii="Calibri" w:hAnsi="Calibri" w:cs="Calibri"/>
          <w:bCs/>
          <w:color w:val="000000"/>
          <w:sz w:val="22"/>
          <w:szCs w:val="22"/>
          <w:lang w:eastAsia="en-GB"/>
        </w:rPr>
      </w:pPr>
    </w:p>
    <w:p w14:paraId="72015A4D" w14:textId="002EA206"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
          <w:color w:val="000000"/>
          <w:sz w:val="22"/>
          <w:szCs w:val="22"/>
          <w:lang w:eastAsia="en-GB"/>
        </w:rPr>
        <w:t>K části deváté, Změna zákona o daních</w:t>
      </w:r>
      <w:r w:rsidRPr="00546B96">
        <w:rPr>
          <w:rFonts w:ascii="Calibri" w:hAnsi="Calibri" w:cs="Calibri"/>
          <w:bCs/>
          <w:color w:val="000000"/>
          <w:sz w:val="22"/>
          <w:szCs w:val="22"/>
          <w:lang w:eastAsia="en-GB"/>
        </w:rPr>
        <w:t xml:space="preserve"> z příjmů, bodu č. 17 (V § 6 odst. 9 se písmeno d) zrušuje).</w:t>
      </w:r>
    </w:p>
    <w:p w14:paraId="38F23A9A"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Žádáme odstranění tohoto bodu a zachování současného stavu.</w:t>
      </w:r>
    </w:p>
    <w:p w14:paraId="3FBEFEE3" w14:textId="77777777" w:rsidR="00546B96" w:rsidRPr="00546B96" w:rsidRDefault="00546B96" w:rsidP="00546B96">
      <w:pPr>
        <w:spacing w:after="200" w:line="276" w:lineRule="auto"/>
        <w:rPr>
          <w:rFonts w:ascii="Calibri" w:eastAsia="Calibri" w:hAnsi="Calibri"/>
          <w:sz w:val="22"/>
          <w:szCs w:val="22"/>
          <w:u w:val="single"/>
          <w:lang w:eastAsia="en-US"/>
        </w:rPr>
      </w:pPr>
      <w:r w:rsidRPr="00546B96">
        <w:rPr>
          <w:rFonts w:ascii="Calibri" w:eastAsia="Calibri" w:hAnsi="Calibri"/>
          <w:sz w:val="22"/>
          <w:szCs w:val="22"/>
          <w:u w:val="single"/>
          <w:lang w:eastAsia="en-US"/>
        </w:rPr>
        <w:t>Odůvodnění:</w:t>
      </w:r>
    </w:p>
    <w:p w14:paraId="1D45153F"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lang w:eastAsia="en-US"/>
        </w:rPr>
        <w:t xml:space="preserve">Toto navrhované opatření </w:t>
      </w:r>
      <w:proofErr w:type="gramStart"/>
      <w:r w:rsidRPr="00546B96">
        <w:rPr>
          <w:rFonts w:ascii="Calibri" w:eastAsia="Calibri" w:hAnsi="Calibri" w:cs="Arial"/>
          <w:sz w:val="22"/>
          <w:szCs w:val="22"/>
          <w:lang w:eastAsia="en-US"/>
        </w:rPr>
        <w:t>ruší</w:t>
      </w:r>
      <w:proofErr w:type="gramEnd"/>
      <w:r w:rsidRPr="00546B96">
        <w:rPr>
          <w:rFonts w:ascii="Calibri" w:eastAsia="Calibri" w:hAnsi="Calibri" w:cs="Arial"/>
          <w:sz w:val="22"/>
          <w:szCs w:val="22"/>
          <w:lang w:eastAsia="en-US"/>
        </w:rPr>
        <w:t xml:space="preserve"> daňové zvýhodnění volnočasových benefitů a dotkne se zhruba tří čtvrtin všech českých zaměstnanců v soukromém i veřejném sektoru, tedy více než 3 milionů osob a firem všech velikostí. Jedná se proto o bezprecedentní zásah do fungujícího systému s minimálním nebo velmi pravděpodobně negativním rozpočtovým dopadem, který nebyl s hospodářskými partnery nijak diskutován, je v rozporu s mezinárodní praxí a neexistuje k němu dopadová studie.</w:t>
      </w:r>
    </w:p>
    <w:p w14:paraId="7E4CD000"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lang w:eastAsia="en-US"/>
        </w:rPr>
        <w:t>Volnočasové benefity představují velmi populární nástroj pro odměňování zaměstnanců. Z našich průzkumů ale vyplývá, že zrušení jejich daňového zvýhodnění by ale znamenalo, že je 94 % zaměstnavatelů přestane poskytovat, nebo výrazně omezí jejich objem. 86 % zaměstnavatelů se zároveň domnívá, že jsou volnočasové zaměstnanecké benefity vhodnou součástí odměňování zaměstnanců.</w:t>
      </w:r>
    </w:p>
    <w:p w14:paraId="63D48017"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hAnsi="Calibri" w:cs="Calibri"/>
          <w:color w:val="000000"/>
          <w:sz w:val="22"/>
          <w:szCs w:val="22"/>
          <w:lang w:eastAsia="en-GB"/>
        </w:rPr>
        <w:t xml:space="preserve">Zaměstnanecké benefity jsou v oblasti zdraví a pohody zaměstnanců oblastí, kterou je nutné podporovat zaměstnavateli i státem. Např. v době pandemie covid-19 to byli zaměstnavatelé, kteří na sebe převzali úlohu státu v oblasti veřejného zdraví a na své náklady nakupovali respirátory, dezinfekci, léky a další zdravotnické prostředky a poskytovali je zaměstnancům i jejich rodinám. Stát nebyl schopen efektivní pomoc zajistit. Po navrhované změně by se ovšem taková pomoc při příští epidemii, byť i jen chřipkové, zaměstnancům </w:t>
      </w:r>
      <w:proofErr w:type="spellStart"/>
      <w:r w:rsidRPr="00546B96">
        <w:rPr>
          <w:rFonts w:ascii="Calibri" w:hAnsi="Calibri" w:cs="Calibri"/>
          <w:color w:val="000000"/>
          <w:sz w:val="22"/>
          <w:szCs w:val="22"/>
          <w:lang w:eastAsia="en-GB"/>
        </w:rPr>
        <w:t>dodaňovala</w:t>
      </w:r>
      <w:proofErr w:type="spellEnd"/>
      <w:r w:rsidRPr="00546B96">
        <w:rPr>
          <w:rFonts w:ascii="Calibri" w:hAnsi="Calibri" w:cs="Calibri"/>
          <w:color w:val="000000"/>
          <w:sz w:val="22"/>
          <w:szCs w:val="22"/>
          <w:lang w:eastAsia="en-GB"/>
        </w:rPr>
        <w:t xml:space="preserve"> a zaměstnavatelé by za ni byli trestáni dodatečnými odvody na pojistném. Stát by se tak postaral o to, aby k podobné pomoci příště nedošlo.</w:t>
      </w:r>
    </w:p>
    <w:p w14:paraId="6A42E85E"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lang w:eastAsia="en-US"/>
        </w:rPr>
        <w:t>Největším přínosem benefitů je podle zaměstnavatelů podpora spokojenosti a motivace zaměstnanců. Dále to, že zaměstnanci vidí, že jim zaměstnavatel dává vedle mzdy i něco navíc, ale také to, že benefity podporují zdravý životní styl a psychickou pohodu zaměstnanců.</w:t>
      </w:r>
    </w:p>
    <w:p w14:paraId="23D93B36"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lang w:eastAsia="en-US"/>
        </w:rPr>
        <w:t xml:space="preserve">Předpokládaný výnos státní rozpočtu ve výši 1,4 miliardy je nereálný. Ministerstvo neuveřejnilo metodiku, jak k tomuto číslu došlo, ale pravděpodobně počítá s variantou, že budou zaměstnavatelé poskytovat benefity i nadále, nebo je nahradí navýšením mzdy. K tomu však evidentně nedojde. Benefity jsou již nyní poskytované z čistého zisku firmy, nemohou být zahrnuty do nákladů. Pokud bude zrušeno osvobození benefitů i na straně zaměstnance, musely by firmy z benefitů platit odvody ve výši 33,8 %. To téměř žádná firma neudělá a radši benefity </w:t>
      </w:r>
      <w:proofErr w:type="gramStart"/>
      <w:r w:rsidRPr="00546B96">
        <w:rPr>
          <w:rFonts w:ascii="Calibri" w:eastAsia="Calibri" w:hAnsi="Calibri" w:cs="Arial"/>
          <w:sz w:val="22"/>
          <w:szCs w:val="22"/>
          <w:lang w:eastAsia="en-US"/>
        </w:rPr>
        <w:t>zruší</w:t>
      </w:r>
      <w:proofErr w:type="gramEnd"/>
      <w:r w:rsidRPr="00546B96">
        <w:rPr>
          <w:rFonts w:ascii="Calibri" w:eastAsia="Calibri" w:hAnsi="Calibri" w:cs="Arial"/>
          <w:sz w:val="22"/>
          <w:szCs w:val="22"/>
          <w:lang w:eastAsia="en-US"/>
        </w:rPr>
        <w:t>.</w:t>
      </w:r>
    </w:p>
    <w:p w14:paraId="5FC15105"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lang w:eastAsia="en-US"/>
        </w:rPr>
        <w:t>Domníváme se, že při započtení všech faktorů bude dopad zrušení podpory benefitů na veřejné rozpočty výrazně negativní. Podle konzervativních předpokladů se bude jednat o odhadovou ztrátu 100 až 200 milionů Kč na jednu miliardu objemu zrušených benefitů.</w:t>
      </w:r>
    </w:p>
    <w:p w14:paraId="164E14D2" w14:textId="77777777" w:rsidR="00546B96" w:rsidRPr="00546B96" w:rsidRDefault="00546B96" w:rsidP="00546B96">
      <w:pPr>
        <w:pBdr>
          <w:bottom w:val="single" w:sz="4" w:space="1" w:color="auto"/>
        </w:pBdr>
        <w:spacing w:after="200" w:line="276" w:lineRule="auto"/>
        <w:jc w:val="right"/>
        <w:rPr>
          <w:rFonts w:ascii="Calibri" w:eastAsia="Calibri" w:hAnsi="Calibri"/>
          <w:b/>
          <w:bCs/>
          <w:sz w:val="22"/>
          <w:szCs w:val="22"/>
          <w:lang w:eastAsia="en-US"/>
        </w:rPr>
      </w:pPr>
      <w:r w:rsidRPr="00546B96">
        <w:rPr>
          <w:rFonts w:ascii="Calibri" w:eastAsia="Calibri" w:hAnsi="Calibri"/>
          <w:b/>
          <w:bCs/>
          <w:sz w:val="22"/>
          <w:szCs w:val="22"/>
          <w:lang w:eastAsia="en-US"/>
        </w:rPr>
        <w:t>tato připomínka je zásadní</w:t>
      </w:r>
    </w:p>
    <w:p w14:paraId="4C817443" w14:textId="0211B0D8"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lastRenderedPageBreak/>
        <w:t xml:space="preserve">K části 21. Změna rozpočtových pravidel, bodu 3 </w:t>
      </w:r>
      <w:proofErr w:type="gramStart"/>
      <w:r w:rsidRPr="00546B96">
        <w:rPr>
          <w:rFonts w:ascii="Calibri" w:hAnsi="Calibri" w:cs="Calibri"/>
          <w:bCs/>
          <w:color w:val="000000"/>
          <w:sz w:val="22"/>
          <w:szCs w:val="22"/>
          <w:lang w:eastAsia="en-GB"/>
        </w:rPr>
        <w:t>( §</w:t>
      </w:r>
      <w:proofErr w:type="gramEnd"/>
      <w:r w:rsidRPr="00546B96">
        <w:rPr>
          <w:rFonts w:ascii="Calibri" w:hAnsi="Calibri" w:cs="Calibri"/>
          <w:bCs/>
          <w:color w:val="000000"/>
          <w:sz w:val="22"/>
          <w:szCs w:val="22"/>
          <w:lang w:eastAsia="en-GB"/>
        </w:rPr>
        <w:t xml:space="preserve"> 48 odst. 8 větě první se za slovo „státu“ vkládají slova „ve výši 1 %“ a za větu první se vkládá věta „Nejméně 50 % ze základního přídělu podle věty první se použije na příspěvky na produkty spoření na stáří zaměstnanců, které jsou osvobozeny od daně z příjmů fyzických osob.“.) a části 9. Změna zákona o daních z příjmů, bodu 18 ( § 6 odst. 9 se písmeno f) včetně poznámky pod čarou č. 6a zrušuje)</w:t>
      </w:r>
      <w:r w:rsidR="001E1C05">
        <w:rPr>
          <w:rFonts w:ascii="Calibri" w:hAnsi="Calibri" w:cs="Calibri"/>
          <w:bCs/>
          <w:color w:val="000000"/>
          <w:sz w:val="22"/>
          <w:szCs w:val="22"/>
          <w:lang w:eastAsia="en-GB"/>
        </w:rPr>
        <w:t>.</w:t>
      </w:r>
    </w:p>
    <w:p w14:paraId="1D55FC1E" w14:textId="77777777" w:rsidR="00546B96" w:rsidRPr="00546B96" w:rsidRDefault="00546B96" w:rsidP="00546B96">
      <w:pPr>
        <w:spacing w:after="120"/>
        <w:jc w:val="both"/>
        <w:rPr>
          <w:rFonts w:ascii="Calibri" w:eastAsia="Calibri" w:hAnsi="Calibri" w:cs="Calibri"/>
          <w:sz w:val="22"/>
          <w:szCs w:val="22"/>
          <w:lang w:eastAsia="en-US"/>
        </w:rPr>
      </w:pPr>
      <w:r w:rsidRPr="00546B96">
        <w:rPr>
          <w:rFonts w:ascii="Calibri" w:eastAsia="Calibri" w:hAnsi="Calibri" w:cs="Calibri"/>
          <w:sz w:val="22"/>
          <w:szCs w:val="22"/>
          <w:lang w:eastAsia="en-US"/>
        </w:rPr>
        <w:t>Žádáme odstranění tohoto bodu a zachování současného stavu.</w:t>
      </w:r>
    </w:p>
    <w:p w14:paraId="06B5D335" w14:textId="77777777" w:rsidR="00546B96" w:rsidRPr="00546B96" w:rsidRDefault="00546B96" w:rsidP="00546B96">
      <w:pPr>
        <w:spacing w:after="120"/>
        <w:rPr>
          <w:rFonts w:ascii="Calibri" w:eastAsia="Calibri" w:hAnsi="Calibri" w:cs="Calibri"/>
          <w:sz w:val="22"/>
          <w:szCs w:val="22"/>
          <w:u w:val="single"/>
          <w:lang w:eastAsia="en-US"/>
        </w:rPr>
      </w:pPr>
      <w:r w:rsidRPr="00546B96">
        <w:rPr>
          <w:rFonts w:ascii="Calibri" w:eastAsia="Calibri" w:hAnsi="Calibri" w:cs="Calibri"/>
          <w:sz w:val="22"/>
          <w:szCs w:val="22"/>
          <w:u w:val="single"/>
          <w:lang w:eastAsia="en-US"/>
        </w:rPr>
        <w:t>Odůvodnění:</w:t>
      </w:r>
    </w:p>
    <w:p w14:paraId="08745699" w14:textId="77777777" w:rsidR="00546B96" w:rsidRPr="00546B96" w:rsidRDefault="00546B96" w:rsidP="00546B96">
      <w:pPr>
        <w:spacing w:after="200" w:line="276" w:lineRule="auto"/>
        <w:jc w:val="both"/>
        <w:rPr>
          <w:rFonts w:ascii="Calibri" w:hAnsi="Calibri" w:cs="Calibri"/>
          <w:sz w:val="22"/>
          <w:szCs w:val="22"/>
        </w:rPr>
      </w:pPr>
      <w:r w:rsidRPr="00546B96">
        <w:rPr>
          <w:rFonts w:ascii="Calibri" w:hAnsi="Calibri" w:cs="Calibri"/>
          <w:sz w:val="22"/>
          <w:szCs w:val="22"/>
        </w:rPr>
        <w:t>Fond kulturních a sociálních potřeb (FKSP) je pro veřejný sektor jedním z nástrojů, jak udržet a motivovat zaměstnance, kteří by jinak dali přednost soukromému sektoru s pružnější a dynamičtější platovou politikou. FKSP tak přispívá k udržení expertní úrovně veřejné správy v ČR</w:t>
      </w:r>
    </w:p>
    <w:p w14:paraId="722AE3DA" w14:textId="77777777" w:rsidR="00546B96" w:rsidRPr="00546B96" w:rsidRDefault="00546B96" w:rsidP="00546B96">
      <w:pPr>
        <w:spacing w:after="200" w:line="276" w:lineRule="auto"/>
        <w:jc w:val="both"/>
        <w:rPr>
          <w:rFonts w:ascii="Calibri" w:hAnsi="Calibri" w:cs="Calibri"/>
          <w:sz w:val="22"/>
          <w:szCs w:val="22"/>
        </w:rPr>
      </w:pPr>
      <w:r w:rsidRPr="00546B96">
        <w:rPr>
          <w:rFonts w:ascii="Calibri" w:hAnsi="Calibri" w:cs="Calibri"/>
          <w:sz w:val="22"/>
          <w:szCs w:val="22"/>
        </w:rPr>
        <w:t>Z fondu je možné mj. přispívat na nákup dioptrických brýlí, vitamíny, očkování proti infekčním nemocem dentální ošetření nebo péči o děti. Jedná se tedy výdaj, který je v ekonomice dále multiplikován a přispívá ke zdraví a vytváření podmínek pro výkon povolání uživatele.</w:t>
      </w:r>
    </w:p>
    <w:p w14:paraId="72740BD7" w14:textId="77777777" w:rsidR="00546B96" w:rsidRPr="00546B96" w:rsidRDefault="00546B96" w:rsidP="00546B96">
      <w:pPr>
        <w:spacing w:after="200" w:line="276" w:lineRule="auto"/>
        <w:jc w:val="both"/>
        <w:rPr>
          <w:rFonts w:ascii="Calibri" w:hAnsi="Calibri" w:cs="Calibri"/>
          <w:sz w:val="22"/>
          <w:szCs w:val="22"/>
        </w:rPr>
      </w:pPr>
      <w:r w:rsidRPr="00546B96">
        <w:rPr>
          <w:rFonts w:ascii="Calibri" w:hAnsi="Calibri" w:cs="Calibri"/>
          <w:sz w:val="22"/>
          <w:szCs w:val="22"/>
        </w:rPr>
        <w:t>Již dnes je příspěvek z FKSP nenárokový, parametrická změna tedy není nutná a dle našeho názoru přínos současného nastavení FKPS převyšuje potenciální benefity navrhované změny.</w:t>
      </w:r>
    </w:p>
    <w:p w14:paraId="68F73BCD" w14:textId="77777777" w:rsidR="00546B96" w:rsidRPr="00546B96" w:rsidRDefault="00546B96" w:rsidP="00B75FE0">
      <w:pPr>
        <w:spacing w:line="276" w:lineRule="auto"/>
        <w:jc w:val="both"/>
        <w:rPr>
          <w:rFonts w:ascii="Calibri" w:hAnsi="Calibri" w:cs="Calibri"/>
          <w:sz w:val="22"/>
          <w:szCs w:val="22"/>
        </w:rPr>
      </w:pPr>
      <w:r w:rsidRPr="00546B96">
        <w:rPr>
          <w:rFonts w:ascii="Calibri" w:hAnsi="Calibri" w:cs="Calibri"/>
          <w:sz w:val="22"/>
          <w:szCs w:val="22"/>
        </w:rPr>
        <w:t>Dodejme, že důvodová zpráva zmiňuje rigidnost současného znění vyhlášky, která svou povahou vede k nemožnosti využít FKSP na některé činnosti kulturního, sportovního či podobného rozvoje. Omezením objemu de facto na 25 % současného objemu budou zmíněné aktivy dostupné ještě výrazně méně.</w:t>
      </w:r>
    </w:p>
    <w:p w14:paraId="6FBE1BAF" w14:textId="77777777" w:rsidR="00546B96" w:rsidRPr="00546B96" w:rsidRDefault="00546B96" w:rsidP="00546B96">
      <w:pPr>
        <w:pBdr>
          <w:bottom w:val="single" w:sz="4" w:space="1" w:color="auto"/>
        </w:pBdr>
        <w:spacing w:after="200" w:line="276" w:lineRule="auto"/>
        <w:jc w:val="right"/>
        <w:rPr>
          <w:rFonts w:ascii="Calibri" w:eastAsia="Calibri" w:hAnsi="Calibri"/>
          <w:b/>
          <w:bCs/>
          <w:sz w:val="22"/>
          <w:szCs w:val="22"/>
          <w:lang w:eastAsia="en-US"/>
        </w:rPr>
      </w:pPr>
      <w:r w:rsidRPr="00546B96">
        <w:rPr>
          <w:rFonts w:ascii="Calibri" w:eastAsia="Calibri" w:hAnsi="Calibri"/>
          <w:b/>
          <w:bCs/>
          <w:sz w:val="22"/>
          <w:szCs w:val="22"/>
          <w:lang w:eastAsia="en-US"/>
        </w:rPr>
        <w:t>tato připomínka je zásadní</w:t>
      </w:r>
    </w:p>
    <w:p w14:paraId="183A0ECF" w14:textId="77777777" w:rsidR="00D215DD" w:rsidRDefault="00D215DD" w:rsidP="00546B96">
      <w:pPr>
        <w:shd w:val="clear" w:color="auto" w:fill="FFFFFF"/>
        <w:spacing w:after="120"/>
        <w:jc w:val="both"/>
        <w:rPr>
          <w:rFonts w:ascii="Calibri" w:hAnsi="Calibri" w:cs="Calibri"/>
          <w:bCs/>
          <w:color w:val="000000"/>
          <w:sz w:val="22"/>
          <w:szCs w:val="22"/>
          <w:lang w:eastAsia="en-GB"/>
        </w:rPr>
      </w:pPr>
    </w:p>
    <w:p w14:paraId="6B38FE36" w14:textId="7FD48D34"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 xml:space="preserve">K části 9., Změna zákona o daních z příjmů bod č. 46 (§ 24 odst. 2 písm. j) se bod 4 včetně poznámek pod čarou č. 23b a </w:t>
      </w:r>
      <w:proofErr w:type="gramStart"/>
      <w:r w:rsidRPr="00546B96">
        <w:rPr>
          <w:rFonts w:ascii="Calibri" w:hAnsi="Calibri" w:cs="Calibri"/>
          <w:bCs/>
          <w:color w:val="000000"/>
          <w:sz w:val="22"/>
          <w:szCs w:val="22"/>
          <w:lang w:eastAsia="en-GB"/>
        </w:rPr>
        <w:t>110a</w:t>
      </w:r>
      <w:proofErr w:type="gramEnd"/>
      <w:r w:rsidRPr="00546B96">
        <w:rPr>
          <w:rFonts w:ascii="Calibri" w:hAnsi="Calibri" w:cs="Calibri"/>
          <w:bCs/>
          <w:color w:val="000000"/>
          <w:sz w:val="22"/>
          <w:szCs w:val="22"/>
          <w:lang w:eastAsia="en-GB"/>
        </w:rPr>
        <w:t xml:space="preserve"> zrušuje.)</w:t>
      </w:r>
    </w:p>
    <w:p w14:paraId="047D3E5B"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Žádáme odstranění tohoto bodu a zachování současného stavu.</w:t>
      </w:r>
    </w:p>
    <w:p w14:paraId="4FAA61D3" w14:textId="77777777" w:rsidR="00D215DD" w:rsidRDefault="00D215DD" w:rsidP="00546B96">
      <w:pPr>
        <w:spacing w:after="120"/>
        <w:rPr>
          <w:rFonts w:ascii="Calibri" w:eastAsia="Calibri" w:hAnsi="Calibri"/>
          <w:sz w:val="22"/>
          <w:szCs w:val="22"/>
          <w:u w:val="single"/>
          <w:lang w:eastAsia="en-US"/>
        </w:rPr>
      </w:pPr>
    </w:p>
    <w:p w14:paraId="53CDC95A" w14:textId="0656EC0D" w:rsidR="00546B96" w:rsidRPr="00546B96" w:rsidRDefault="00546B96" w:rsidP="00546B96">
      <w:pPr>
        <w:spacing w:after="120"/>
        <w:rPr>
          <w:rFonts w:ascii="Calibri" w:eastAsia="Calibri" w:hAnsi="Calibri"/>
          <w:sz w:val="22"/>
          <w:szCs w:val="22"/>
          <w:u w:val="single"/>
          <w:lang w:eastAsia="en-US"/>
        </w:rPr>
      </w:pPr>
      <w:r w:rsidRPr="00546B96">
        <w:rPr>
          <w:rFonts w:ascii="Calibri" w:eastAsia="Calibri" w:hAnsi="Calibri"/>
          <w:sz w:val="22"/>
          <w:szCs w:val="22"/>
          <w:u w:val="single"/>
          <w:lang w:eastAsia="en-US"/>
        </w:rPr>
        <w:t>Odůvodnění:</w:t>
      </w:r>
    </w:p>
    <w:p w14:paraId="18B2668D" w14:textId="77777777" w:rsidR="00546B96" w:rsidRPr="00546B96" w:rsidRDefault="00546B96" w:rsidP="00546B96">
      <w:pPr>
        <w:spacing w:after="200"/>
        <w:jc w:val="both"/>
        <w:rPr>
          <w:rFonts w:ascii="Calibri" w:eastAsia="Calibri" w:hAnsi="Calibri"/>
          <w:sz w:val="22"/>
          <w:szCs w:val="22"/>
          <w:lang w:eastAsia="en-US"/>
        </w:rPr>
      </w:pPr>
      <w:r w:rsidRPr="00546B96">
        <w:rPr>
          <w:rFonts w:ascii="Calibri" w:eastAsia="Calibri" w:hAnsi="Calibri"/>
          <w:sz w:val="22"/>
          <w:szCs w:val="22"/>
          <w:lang w:eastAsia="en-US"/>
        </w:rPr>
        <w:t xml:space="preserve">Toto ustanovení novely </w:t>
      </w:r>
      <w:proofErr w:type="gramStart"/>
      <w:r w:rsidRPr="00546B96">
        <w:rPr>
          <w:rFonts w:ascii="Calibri" w:eastAsia="Calibri" w:hAnsi="Calibri"/>
          <w:sz w:val="22"/>
          <w:szCs w:val="22"/>
          <w:lang w:eastAsia="en-US"/>
        </w:rPr>
        <w:t>ruší</w:t>
      </w:r>
      <w:proofErr w:type="gramEnd"/>
      <w:r w:rsidRPr="00546B96">
        <w:rPr>
          <w:rFonts w:ascii="Calibri" w:eastAsia="Calibri" w:hAnsi="Calibri"/>
          <w:sz w:val="22"/>
          <w:szCs w:val="22"/>
          <w:lang w:eastAsia="en-US"/>
        </w:rPr>
        <w:t xml:space="preserve"> zavedený princip spoluúčasti zaměstnanců na podpoře zaměstnaneckého stravování. Nebylo konzultováno s ekonomickými a sociálními partnery, ani představeno na tiskové konferenci, ačkoliv zároveň představuje enormní zásah do systému podpory zaměstnaneckého stravování a principů, na kterých je postaven. Spoluúčast zaměstnance na svém stravování je zažitou praxí, které bezproblémově funguje. Systém je nastaven tak, že zaměstnavatel nehradí celou hodnotu oběda, ale je v ní omezen, a to dokonce nadvakrát. Nejprve tím, že má stanovenu horní hranici výše svého příspěvku na 70 % stravného při pracovní cestě na 5-12 hodin. Napodruhé tím, že může přispět pouze 55% hodnoty oběda. Tím, že musí být obě podmínky splněné zároveň, je zajištěno, že se zaměstnanec podílí poměrně stejně, ať jde oběd v jakékoliv části ČR. Pokud se princip spoluúčasti zruší, zaměstnanci </w:t>
      </w:r>
      <w:proofErr w:type="gramStart"/>
      <w:r w:rsidRPr="00546B96">
        <w:rPr>
          <w:rFonts w:ascii="Calibri" w:eastAsia="Calibri" w:hAnsi="Calibri"/>
          <w:sz w:val="22"/>
          <w:szCs w:val="22"/>
          <w:lang w:eastAsia="en-US"/>
        </w:rPr>
        <w:t>pozbydou</w:t>
      </w:r>
      <w:proofErr w:type="gramEnd"/>
      <w:r w:rsidRPr="00546B96">
        <w:rPr>
          <w:rFonts w:ascii="Calibri" w:eastAsia="Calibri" w:hAnsi="Calibri"/>
          <w:sz w:val="22"/>
          <w:szCs w:val="22"/>
          <w:lang w:eastAsia="en-US"/>
        </w:rPr>
        <w:t xml:space="preserve"> motivaci si na oběd přispívat, čímž ale zároveň dostanou v rámci příspěvku zdánlivě o polovinu méně. Vznikne tak uměle vyvolaný konflikt mezi zaměstnavateli a zaměstnanci (pokud je dnes průměr benefitu na stravování 120 Kč, najednou se bude jednat jen o 66 korun, který k obědu v žádném případě motivovat nebude). </w:t>
      </w:r>
    </w:p>
    <w:p w14:paraId="0F14F56F" w14:textId="77777777" w:rsidR="00546B96" w:rsidRPr="00546B96" w:rsidRDefault="00546B96" w:rsidP="00546B96">
      <w:pPr>
        <w:spacing w:after="200"/>
        <w:jc w:val="both"/>
        <w:rPr>
          <w:rFonts w:ascii="Calibri" w:eastAsia="Calibri" w:hAnsi="Calibri"/>
          <w:sz w:val="22"/>
          <w:szCs w:val="22"/>
          <w:lang w:eastAsia="en-US"/>
        </w:rPr>
      </w:pPr>
      <w:r w:rsidRPr="00546B96">
        <w:rPr>
          <w:rFonts w:ascii="Calibri" w:eastAsia="Calibri" w:hAnsi="Calibri"/>
          <w:sz w:val="22"/>
          <w:szCs w:val="22"/>
          <w:lang w:eastAsia="en-US"/>
        </w:rPr>
        <w:t xml:space="preserve">V přepočtu na celý měsíc o 22 pracovních dnech to je již 2,640 Kč dnes ve srovnání s 1,452 Kč při zrušení spoluúčasti. V přepočtu na rok po odečtení dovolených a kratších měsíců, jde o 12 tisíc korun. Tyto peníze se samozřejmě neztratí, ale nebudou účelově vázány na stravování. Domácnosti je tak </w:t>
      </w:r>
      <w:proofErr w:type="spellStart"/>
      <w:r w:rsidRPr="00546B96">
        <w:rPr>
          <w:rFonts w:ascii="Calibri" w:eastAsia="Calibri" w:hAnsi="Calibri"/>
          <w:sz w:val="22"/>
          <w:szCs w:val="22"/>
          <w:lang w:eastAsia="en-US"/>
        </w:rPr>
        <w:lastRenderedPageBreak/>
        <w:t>přealokují</w:t>
      </w:r>
      <w:proofErr w:type="spellEnd"/>
      <w:r w:rsidRPr="00546B96">
        <w:rPr>
          <w:rFonts w:ascii="Calibri" w:eastAsia="Calibri" w:hAnsi="Calibri"/>
          <w:sz w:val="22"/>
          <w:szCs w:val="22"/>
          <w:lang w:eastAsia="en-US"/>
        </w:rPr>
        <w:t xml:space="preserve"> ze stravování na jiné zboží a služby, včetně tabáku a alkoholu. Změna také negativně dopadne na kantýny, kterým </w:t>
      </w:r>
      <w:proofErr w:type="gramStart"/>
      <w:r w:rsidRPr="00546B96">
        <w:rPr>
          <w:rFonts w:ascii="Calibri" w:eastAsia="Calibri" w:hAnsi="Calibri"/>
          <w:sz w:val="22"/>
          <w:szCs w:val="22"/>
          <w:lang w:eastAsia="en-US"/>
        </w:rPr>
        <w:t>ubyde</w:t>
      </w:r>
      <w:proofErr w:type="gramEnd"/>
      <w:r w:rsidRPr="00546B96">
        <w:rPr>
          <w:rFonts w:ascii="Calibri" w:eastAsia="Calibri" w:hAnsi="Calibri"/>
          <w:sz w:val="22"/>
          <w:szCs w:val="22"/>
          <w:lang w:eastAsia="en-US"/>
        </w:rPr>
        <w:t xml:space="preserve"> strávníků, což v dlouhodobém horizontu může vést až k jejich likvidaci. </w:t>
      </w:r>
    </w:p>
    <w:p w14:paraId="32185E5E" w14:textId="77777777" w:rsidR="00546B96" w:rsidRPr="00546B96" w:rsidRDefault="00546B96" w:rsidP="00B75FE0">
      <w:pPr>
        <w:jc w:val="both"/>
        <w:rPr>
          <w:rFonts w:ascii="Calibri" w:eastAsia="Calibri" w:hAnsi="Calibri"/>
          <w:sz w:val="22"/>
          <w:szCs w:val="22"/>
          <w:lang w:eastAsia="en-US"/>
        </w:rPr>
      </w:pPr>
      <w:r w:rsidRPr="00546B96">
        <w:rPr>
          <w:rFonts w:ascii="Calibri" w:eastAsia="Calibri" w:hAnsi="Calibri"/>
          <w:sz w:val="22"/>
          <w:szCs w:val="22"/>
          <w:lang w:eastAsia="en-US"/>
        </w:rPr>
        <w:t>Zároveň připomínáme, že celá hodnota stravovacího benefitu (oběd v kantýně nebo stravenka) je dnes chráněn před exekucí, tedy i ta část, kterou si přispívá zaměstnanec ze své čisté mzdy. Dnes je v exekuci 600 tisíc zaměstnanců, kteří tak o svůj příspěvek na oběd přijdou, a to bude mít dramatický dopad na růst chudoby v ČR. Jestliže lidé bez exekuce výrazně omezí chození na obědy, tak lidé v exekuci přestanou chodit na obědy úplně s veškerými negativními dopady na zdraví, psychiku a produktivitu práce.</w:t>
      </w:r>
    </w:p>
    <w:p w14:paraId="6BE91B15" w14:textId="77777777" w:rsidR="00546B96" w:rsidRPr="00546B96" w:rsidRDefault="00546B96" w:rsidP="00546B96">
      <w:pPr>
        <w:pBdr>
          <w:bottom w:val="single" w:sz="4" w:space="1" w:color="auto"/>
        </w:pBdr>
        <w:spacing w:after="200" w:line="276" w:lineRule="auto"/>
        <w:jc w:val="right"/>
        <w:rPr>
          <w:rFonts w:ascii="Calibri" w:eastAsia="Calibri" w:hAnsi="Calibri"/>
          <w:b/>
          <w:bCs/>
          <w:sz w:val="22"/>
          <w:szCs w:val="22"/>
          <w:lang w:eastAsia="en-US"/>
        </w:rPr>
      </w:pPr>
      <w:r w:rsidRPr="00546B96">
        <w:rPr>
          <w:rFonts w:ascii="Calibri" w:eastAsia="Calibri" w:hAnsi="Calibri"/>
          <w:b/>
          <w:bCs/>
          <w:sz w:val="22"/>
          <w:szCs w:val="22"/>
          <w:lang w:eastAsia="en-US"/>
        </w:rPr>
        <w:t>tato připomínka je doporučující</w:t>
      </w:r>
    </w:p>
    <w:p w14:paraId="48C83C77" w14:textId="77777777" w:rsidR="00D215DD" w:rsidRDefault="00D215DD" w:rsidP="00546B96">
      <w:pPr>
        <w:shd w:val="clear" w:color="auto" w:fill="FFFFFF"/>
        <w:spacing w:after="120"/>
        <w:jc w:val="both"/>
        <w:rPr>
          <w:rFonts w:ascii="Calibri" w:hAnsi="Calibri" w:cs="Calibri"/>
          <w:bCs/>
          <w:color w:val="000000"/>
          <w:sz w:val="22"/>
          <w:szCs w:val="22"/>
          <w:lang w:eastAsia="en-GB"/>
        </w:rPr>
      </w:pPr>
    </w:p>
    <w:p w14:paraId="68C0D3C9" w14:textId="5677B0D8"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 xml:space="preserve">Návrh na ponechání požadavku na spoluúčast zaměstnanců </w:t>
      </w:r>
    </w:p>
    <w:p w14:paraId="4889BA3C"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lang w:eastAsia="en-US"/>
        </w:rPr>
        <w:t>V případě, že by nebyla vyslyšena naše připomínka k bodu 3. výše (ponechání současného znění §24 odst. 2 písm. j) bod 4. ZDP) požadujeme, aby byl v</w:t>
      </w:r>
      <w:r w:rsidRPr="00546B96">
        <w:rPr>
          <w:rFonts w:ascii="Calibri" w:eastAsia="Calibri" w:hAnsi="Calibri"/>
          <w:sz w:val="22"/>
          <w:szCs w:val="22"/>
          <w:lang w:eastAsia="en-US"/>
        </w:rPr>
        <w:t xml:space="preserve"> části deváté, Změna zákona o daních z příjmů, bod 46. upraven takto:</w:t>
      </w:r>
    </w:p>
    <w:p w14:paraId="66BA5F12" w14:textId="77777777" w:rsidR="00546B96" w:rsidRPr="00546B96" w:rsidRDefault="00546B96" w:rsidP="00546B96">
      <w:pPr>
        <w:ind w:left="567"/>
        <w:jc w:val="both"/>
        <w:rPr>
          <w:rFonts w:ascii="Calibri" w:hAnsi="Calibri"/>
          <w:i/>
          <w:iCs/>
          <w:sz w:val="22"/>
          <w:szCs w:val="22"/>
        </w:rPr>
      </w:pPr>
      <w:r w:rsidRPr="00546B96">
        <w:rPr>
          <w:rFonts w:ascii="Calibri" w:eastAsia="Calibri" w:hAnsi="Calibri" w:cs="Arial"/>
          <w:i/>
          <w:iCs/>
          <w:sz w:val="22"/>
          <w:szCs w:val="22"/>
          <w:lang w:eastAsia="en-US"/>
        </w:rPr>
        <w:t xml:space="preserve">46. </w:t>
      </w:r>
      <w:r w:rsidRPr="00546B96">
        <w:rPr>
          <w:rFonts w:ascii="Calibri" w:hAnsi="Calibri"/>
          <w:i/>
          <w:iCs/>
          <w:sz w:val="22"/>
          <w:szCs w:val="22"/>
        </w:rPr>
        <w:t>V § 24 odst. 2 písm. j) se bod 4 včetně poznámek pod čarou č. 23b a </w:t>
      </w:r>
      <w:proofErr w:type="gramStart"/>
      <w:r w:rsidRPr="00546B96">
        <w:rPr>
          <w:rFonts w:ascii="Calibri" w:hAnsi="Calibri"/>
          <w:i/>
          <w:iCs/>
          <w:sz w:val="22"/>
          <w:szCs w:val="22"/>
        </w:rPr>
        <w:t>110a</w:t>
      </w:r>
      <w:proofErr w:type="gramEnd"/>
      <w:r w:rsidRPr="00546B96">
        <w:rPr>
          <w:rFonts w:ascii="Calibri" w:hAnsi="Calibri"/>
          <w:i/>
          <w:iCs/>
          <w:sz w:val="22"/>
          <w:szCs w:val="22"/>
        </w:rPr>
        <w:t xml:space="preserve"> zrušuje.</w:t>
      </w:r>
    </w:p>
    <w:p w14:paraId="16DE1620" w14:textId="77777777" w:rsidR="00546B96" w:rsidRPr="00546B96" w:rsidRDefault="00546B96" w:rsidP="00546B96">
      <w:pPr>
        <w:ind w:left="567"/>
        <w:jc w:val="both"/>
        <w:rPr>
          <w:rFonts w:ascii="Calibri" w:eastAsia="Calibri" w:hAnsi="Calibri" w:cs="Arial"/>
          <w:i/>
          <w:iCs/>
          <w:sz w:val="22"/>
          <w:szCs w:val="22"/>
          <w:lang w:eastAsia="en-US"/>
        </w:rPr>
      </w:pPr>
      <w:r w:rsidRPr="00546B96">
        <w:rPr>
          <w:rFonts w:ascii="Calibri" w:eastAsia="Calibri" w:hAnsi="Calibri" w:cs="Arial"/>
          <w:i/>
          <w:iCs/>
          <w:sz w:val="22"/>
          <w:szCs w:val="22"/>
          <w:lang w:eastAsia="en-US"/>
        </w:rPr>
        <w:t>Dosavadní bod 5 se označuje jako bod 4. a na jeho konci se čárka nahrazuje tečkou a vkládají se slova “Pokud jde o příspěvky na stravování poskytované jako nepeněžní plnění ke spotřebě na pracovišti zaměstnance nebo v rámci stravování zajišťovaného prostřednictvím jiného poplatníka než zaměstnavatele, považuje se takový výdaj (náklad) za výdaj (náklad) podle §24 odstavce 1 tohoto zákona nejvýše do 55 % ceny jednoho jídla za jednu směnu podle zákoníku práce,“</w:t>
      </w:r>
    </w:p>
    <w:p w14:paraId="61038245"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u w:val="single"/>
          <w:lang w:eastAsia="en-US"/>
        </w:rPr>
        <w:t>Odůvodnění</w:t>
      </w:r>
      <w:r w:rsidRPr="00546B96">
        <w:rPr>
          <w:rFonts w:ascii="Calibri" w:eastAsia="Calibri" w:hAnsi="Calibri" w:cs="Arial"/>
          <w:sz w:val="22"/>
          <w:szCs w:val="22"/>
          <w:lang w:eastAsia="en-US"/>
        </w:rPr>
        <w:t xml:space="preserve">: </w:t>
      </w:r>
    </w:p>
    <w:p w14:paraId="5EA97731" w14:textId="77777777" w:rsidR="00546B96" w:rsidRPr="00546B96" w:rsidRDefault="00546B96" w:rsidP="00546B96">
      <w:pPr>
        <w:spacing w:after="200"/>
        <w:jc w:val="both"/>
        <w:rPr>
          <w:rFonts w:ascii="Calibri" w:eastAsia="Calibri" w:hAnsi="Calibri"/>
          <w:sz w:val="22"/>
          <w:szCs w:val="22"/>
          <w:lang w:eastAsia="en-US"/>
        </w:rPr>
      </w:pPr>
      <w:r w:rsidRPr="00546B96">
        <w:rPr>
          <w:rFonts w:ascii="Calibri" w:eastAsia="Calibri" w:hAnsi="Calibri"/>
          <w:sz w:val="22"/>
          <w:szCs w:val="22"/>
          <w:lang w:eastAsia="en-US"/>
        </w:rPr>
        <w:t xml:space="preserve">Spoluúčast zaměstnance na vlastním stravování je zažitou praxí, které bezproblémově funguje. Systém je nastaven tak, že zaměstnavatel nehradí celou hodnotu oběda. Tím, že zaměstnanec na stravování přispívá, je zajištěno, že se zaměstnanec podílí poměrně stejně, ať jde oběd v jakékoliv části ČR. Pokud se princip spoluúčasti zruší, zaměstnanci </w:t>
      </w:r>
      <w:proofErr w:type="gramStart"/>
      <w:r w:rsidRPr="00546B96">
        <w:rPr>
          <w:rFonts w:ascii="Calibri" w:eastAsia="Calibri" w:hAnsi="Calibri"/>
          <w:sz w:val="22"/>
          <w:szCs w:val="22"/>
          <w:lang w:eastAsia="en-US"/>
        </w:rPr>
        <w:t>pozbydou</w:t>
      </w:r>
      <w:proofErr w:type="gramEnd"/>
      <w:r w:rsidRPr="00546B96">
        <w:rPr>
          <w:rFonts w:ascii="Calibri" w:eastAsia="Calibri" w:hAnsi="Calibri"/>
          <w:sz w:val="22"/>
          <w:szCs w:val="22"/>
          <w:lang w:eastAsia="en-US"/>
        </w:rPr>
        <w:t xml:space="preserve"> motivaci si na oběd přispívat, čímž ale zároveň dostanou v rámci příspěvku zdánlivě o polovinu méně. Vznikne tak uměle vyvolaný konflikt mezi zaměstnavateli a zaměstnanci (pokud je dnes průměr benefitu na stravování 120 Kč, najednou se bude jednat jen o 66 korun, který k obědu v žádném případě motivovat nebude). </w:t>
      </w:r>
    </w:p>
    <w:p w14:paraId="264E82BF" w14:textId="77777777" w:rsidR="00546B96" w:rsidRPr="00546B96" w:rsidRDefault="00546B96" w:rsidP="00A44140">
      <w:pPr>
        <w:jc w:val="both"/>
        <w:rPr>
          <w:rFonts w:ascii="Calibri" w:eastAsia="Calibri" w:hAnsi="Calibri"/>
          <w:sz w:val="22"/>
          <w:szCs w:val="22"/>
          <w:lang w:eastAsia="en-US"/>
        </w:rPr>
      </w:pPr>
      <w:r w:rsidRPr="00546B96">
        <w:rPr>
          <w:rFonts w:ascii="Calibri" w:eastAsia="Calibri" w:hAnsi="Calibri"/>
          <w:sz w:val="22"/>
          <w:szCs w:val="22"/>
          <w:lang w:eastAsia="en-US"/>
        </w:rPr>
        <w:t xml:space="preserve">V přepočtu na celý měsíc o 22 pracovních dnech to je již 2,640 Kč dnes ve srovnání s 1,452 Kč při zrušení spoluúčasti. V přepočtu na rok po odečtení dovolených a kratších měsíců, jde o 12 tisíc korun. Tyto peníze se samozřejmě neztratí, ale nebudou účelově vázány na stravování. Domácnosti je tak </w:t>
      </w:r>
      <w:proofErr w:type="spellStart"/>
      <w:r w:rsidRPr="00546B96">
        <w:rPr>
          <w:rFonts w:ascii="Calibri" w:eastAsia="Calibri" w:hAnsi="Calibri"/>
          <w:sz w:val="22"/>
          <w:szCs w:val="22"/>
          <w:lang w:eastAsia="en-US"/>
        </w:rPr>
        <w:t>přealokují</w:t>
      </w:r>
      <w:proofErr w:type="spellEnd"/>
      <w:r w:rsidRPr="00546B96">
        <w:rPr>
          <w:rFonts w:ascii="Calibri" w:eastAsia="Calibri" w:hAnsi="Calibri"/>
          <w:sz w:val="22"/>
          <w:szCs w:val="22"/>
          <w:lang w:eastAsia="en-US"/>
        </w:rPr>
        <w:t xml:space="preserve"> ze stravování na jiné zboží a služby, včetně tabáku a alkoholu. Změna také negativně dopadne na kantýny, kterým </w:t>
      </w:r>
      <w:proofErr w:type="gramStart"/>
      <w:r w:rsidRPr="00546B96">
        <w:rPr>
          <w:rFonts w:ascii="Calibri" w:eastAsia="Calibri" w:hAnsi="Calibri"/>
          <w:sz w:val="22"/>
          <w:szCs w:val="22"/>
          <w:lang w:eastAsia="en-US"/>
        </w:rPr>
        <w:t>ubyde</w:t>
      </w:r>
      <w:proofErr w:type="gramEnd"/>
      <w:r w:rsidRPr="00546B96">
        <w:rPr>
          <w:rFonts w:ascii="Calibri" w:eastAsia="Calibri" w:hAnsi="Calibri"/>
          <w:sz w:val="22"/>
          <w:szCs w:val="22"/>
          <w:lang w:eastAsia="en-US"/>
        </w:rPr>
        <w:t xml:space="preserve"> strávníků, což v dlouhodobém horizontu může vést až k jejich likvidaci. </w:t>
      </w:r>
    </w:p>
    <w:p w14:paraId="2CFA9B1A" w14:textId="77777777" w:rsidR="00546B96" w:rsidRPr="00546B96" w:rsidRDefault="00546B96" w:rsidP="00546B96">
      <w:pPr>
        <w:pBdr>
          <w:bottom w:val="single" w:sz="4" w:space="1" w:color="auto"/>
        </w:pBdr>
        <w:spacing w:after="200" w:line="276" w:lineRule="auto"/>
        <w:jc w:val="right"/>
        <w:rPr>
          <w:rFonts w:ascii="Calibri" w:eastAsia="Calibri" w:hAnsi="Calibri"/>
          <w:b/>
          <w:bCs/>
          <w:sz w:val="22"/>
          <w:szCs w:val="22"/>
          <w:lang w:eastAsia="en-US"/>
        </w:rPr>
      </w:pPr>
      <w:r w:rsidRPr="00546B96">
        <w:rPr>
          <w:rFonts w:ascii="Calibri" w:eastAsia="Calibri" w:hAnsi="Calibri"/>
          <w:b/>
          <w:bCs/>
          <w:sz w:val="22"/>
          <w:szCs w:val="22"/>
          <w:lang w:eastAsia="en-US"/>
        </w:rPr>
        <w:t>tato připomínka je zásadní</w:t>
      </w:r>
    </w:p>
    <w:p w14:paraId="251CF363" w14:textId="44C46D95"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 xml:space="preserve">Návrh na omezení stravovacího paušálu u směn nad 11 hodin </w:t>
      </w:r>
    </w:p>
    <w:p w14:paraId="62B1E69E"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lang w:eastAsia="en-US"/>
        </w:rPr>
        <w:t>V případě, že by nebyla vyslyšena naše připomínka k bodu 4. výše (zrušení stravovacího paušálu) požadujeme, aby nebylo umožněno vyplácet peněžní příspěvek více než jedenkrát za směnu, bez ohledu na její délku, tj. aby byl v</w:t>
      </w:r>
      <w:r w:rsidRPr="00546B96">
        <w:rPr>
          <w:rFonts w:ascii="Calibri" w:eastAsia="Calibri" w:hAnsi="Calibri"/>
          <w:sz w:val="22"/>
          <w:szCs w:val="22"/>
          <w:lang w:eastAsia="en-US"/>
        </w:rPr>
        <w:t xml:space="preserve"> části deváté, Změna zákona o daních z příjmů, bod 16. upraven takto:</w:t>
      </w:r>
    </w:p>
    <w:p w14:paraId="5DE92A71" w14:textId="77777777" w:rsidR="00546B96" w:rsidRPr="00546B96" w:rsidRDefault="00546B96" w:rsidP="00546B96">
      <w:pPr>
        <w:ind w:left="567"/>
        <w:jc w:val="both"/>
        <w:rPr>
          <w:rFonts w:ascii="Calibri" w:eastAsia="Calibri" w:hAnsi="Calibri" w:cs="Arial"/>
          <w:i/>
          <w:iCs/>
          <w:sz w:val="22"/>
          <w:szCs w:val="22"/>
          <w:lang w:eastAsia="en-US"/>
        </w:rPr>
      </w:pPr>
    </w:p>
    <w:p w14:paraId="550E123B" w14:textId="77777777" w:rsidR="00546B96" w:rsidRPr="00546B96" w:rsidRDefault="00546B96" w:rsidP="00546B96">
      <w:pPr>
        <w:ind w:left="567"/>
        <w:jc w:val="both"/>
        <w:rPr>
          <w:rFonts w:ascii="Calibri" w:eastAsia="Calibri" w:hAnsi="Calibri" w:cs="Arial"/>
          <w:i/>
          <w:iCs/>
          <w:sz w:val="22"/>
          <w:szCs w:val="22"/>
          <w:lang w:eastAsia="en-US"/>
        </w:rPr>
      </w:pPr>
      <w:r w:rsidRPr="00546B96">
        <w:rPr>
          <w:rFonts w:ascii="Calibri" w:eastAsia="Calibri" w:hAnsi="Calibri" w:cs="Arial"/>
          <w:i/>
          <w:iCs/>
          <w:sz w:val="22"/>
          <w:szCs w:val="22"/>
          <w:lang w:eastAsia="en-US"/>
        </w:rPr>
        <w:t>16. V § 6 odst. 9 písmeno b) zní:</w:t>
      </w:r>
    </w:p>
    <w:p w14:paraId="17DE51D4" w14:textId="77777777" w:rsidR="00546B96" w:rsidRPr="00546B96" w:rsidRDefault="00546B96" w:rsidP="00546B96">
      <w:pPr>
        <w:ind w:left="567"/>
        <w:jc w:val="both"/>
        <w:rPr>
          <w:rFonts w:ascii="Calibri" w:eastAsia="Calibri" w:hAnsi="Calibri" w:cs="Arial"/>
          <w:i/>
          <w:iCs/>
          <w:sz w:val="22"/>
          <w:szCs w:val="22"/>
          <w:lang w:eastAsia="en-US"/>
        </w:rPr>
      </w:pPr>
      <w:r w:rsidRPr="00546B96">
        <w:rPr>
          <w:rFonts w:ascii="Calibri" w:eastAsia="Calibri" w:hAnsi="Calibri" w:cs="Arial"/>
          <w:i/>
          <w:iCs/>
          <w:sz w:val="22"/>
          <w:szCs w:val="22"/>
          <w:lang w:eastAsia="en-US"/>
        </w:rPr>
        <w:t xml:space="preserve">„b) příjem zaměstnance ve formě příspěvku na stravování poskytnutého zaměstnavatelem za jednu směnu podle zákoníku práce, pokud jeho přítomnost v práci během této směny trvala </w:t>
      </w:r>
      <w:r w:rsidRPr="00546B96">
        <w:rPr>
          <w:rFonts w:ascii="Calibri" w:eastAsia="Calibri" w:hAnsi="Calibri" w:cs="Arial"/>
          <w:i/>
          <w:iCs/>
          <w:sz w:val="22"/>
          <w:szCs w:val="22"/>
          <w:lang w:eastAsia="en-US"/>
        </w:rPr>
        <w:lastRenderedPageBreak/>
        <w:t>alespoň 3 hodiny a nevznikl mu během této směny nárok na stravné podle jiného právního předpisu, a to v úhrnu do výše 70 % horní hranice stravného, které lze poskytnout zaměstnancům odměňovaným platem při pracovní cestě trvající 5 až 12 hodin, a druhý příspěvek na stravování v úhrnu taktéž do výše 70 % této hranice, je-li tento druhý příspěvek poskytnut jiným způsobem než peněžitým příspěvkem jako další příspěvek v rámci stejné směny, pokud její délka v úhrnu s přestávkou v práci povinně poskytovanou zaměstnavatelem podle jiného právního předpisu je delší než 11 hodin; příspěvkem na stravování se pro účely daní z příjmů rozumí</w:t>
      </w:r>
    </w:p>
    <w:p w14:paraId="46F5F72D" w14:textId="77777777" w:rsidR="00546B96" w:rsidRPr="00546B96" w:rsidRDefault="00546B96" w:rsidP="00546B96">
      <w:pPr>
        <w:ind w:left="1418" w:hanging="284"/>
        <w:jc w:val="both"/>
        <w:rPr>
          <w:rFonts w:ascii="Calibri" w:eastAsia="Calibri" w:hAnsi="Calibri" w:cs="Arial"/>
          <w:i/>
          <w:iCs/>
          <w:sz w:val="22"/>
          <w:szCs w:val="22"/>
          <w:lang w:eastAsia="en-US"/>
        </w:rPr>
      </w:pPr>
      <w:r w:rsidRPr="00546B96">
        <w:rPr>
          <w:rFonts w:ascii="Calibri" w:eastAsia="Calibri" w:hAnsi="Calibri" w:cs="Arial"/>
          <w:i/>
          <w:iCs/>
          <w:sz w:val="22"/>
          <w:szCs w:val="22"/>
          <w:lang w:eastAsia="en-US"/>
        </w:rPr>
        <w:t xml:space="preserve">1. </w:t>
      </w:r>
      <w:r w:rsidRPr="00546B96">
        <w:rPr>
          <w:rFonts w:ascii="Calibri" w:eastAsia="Calibri" w:hAnsi="Calibri" w:cs="Arial"/>
          <w:i/>
          <w:iCs/>
          <w:sz w:val="22"/>
          <w:szCs w:val="22"/>
          <w:lang w:eastAsia="en-US"/>
        </w:rPr>
        <w:tab/>
        <w:t>stravování poskytované jako nepeněžní plnění ke spotřebě na pracovišti zaměstnance nebo v rámci stravování zajišťovaného prostřednictvím jiného poplatníka než zaměstnavatele, nebo</w:t>
      </w:r>
    </w:p>
    <w:p w14:paraId="651845EC" w14:textId="77777777" w:rsidR="00546B96" w:rsidRPr="00546B96" w:rsidRDefault="00546B96" w:rsidP="00546B96">
      <w:pPr>
        <w:ind w:left="1418" w:hanging="284"/>
        <w:jc w:val="both"/>
        <w:rPr>
          <w:rFonts w:ascii="Calibri" w:eastAsia="Calibri" w:hAnsi="Calibri" w:cs="Arial"/>
          <w:i/>
          <w:iCs/>
          <w:sz w:val="22"/>
          <w:szCs w:val="22"/>
          <w:lang w:eastAsia="en-US"/>
        </w:rPr>
      </w:pPr>
      <w:r w:rsidRPr="00546B96">
        <w:rPr>
          <w:rFonts w:ascii="Calibri" w:eastAsia="Calibri" w:hAnsi="Calibri" w:cs="Arial"/>
          <w:i/>
          <w:iCs/>
          <w:sz w:val="22"/>
          <w:szCs w:val="22"/>
          <w:lang w:eastAsia="en-US"/>
        </w:rPr>
        <w:t>2.</w:t>
      </w:r>
      <w:r w:rsidRPr="00546B96">
        <w:rPr>
          <w:rFonts w:ascii="Calibri" w:eastAsia="Calibri" w:hAnsi="Calibri" w:cs="Arial"/>
          <w:i/>
          <w:iCs/>
          <w:sz w:val="22"/>
          <w:szCs w:val="22"/>
          <w:lang w:eastAsia="en-US"/>
        </w:rPr>
        <w:tab/>
        <w:t>peněžitý příspěvek na stravování,“.</w:t>
      </w:r>
    </w:p>
    <w:p w14:paraId="6F3F60FF" w14:textId="77777777" w:rsidR="00546B96" w:rsidRPr="00546B96" w:rsidRDefault="00546B96" w:rsidP="00546B96">
      <w:pPr>
        <w:ind w:left="567"/>
        <w:jc w:val="both"/>
        <w:rPr>
          <w:rFonts w:ascii="Calibri" w:eastAsia="Calibri" w:hAnsi="Calibri" w:cs="Arial"/>
          <w:i/>
          <w:iCs/>
          <w:sz w:val="22"/>
          <w:szCs w:val="22"/>
          <w:lang w:eastAsia="en-US"/>
        </w:rPr>
      </w:pPr>
    </w:p>
    <w:p w14:paraId="6D7916E9" w14:textId="77777777" w:rsidR="00546B96" w:rsidRPr="00546B96" w:rsidRDefault="00546B96" w:rsidP="00546B96">
      <w:pPr>
        <w:spacing w:before="120" w:after="120"/>
        <w:jc w:val="both"/>
        <w:rPr>
          <w:rFonts w:ascii="Calibri" w:eastAsia="Calibri" w:hAnsi="Calibri" w:cs="Arial"/>
          <w:sz w:val="22"/>
          <w:szCs w:val="22"/>
          <w:lang w:eastAsia="en-US"/>
        </w:rPr>
      </w:pPr>
      <w:r w:rsidRPr="00546B96">
        <w:rPr>
          <w:rFonts w:ascii="Calibri" w:eastAsia="Calibri" w:hAnsi="Calibri" w:cs="Arial"/>
          <w:sz w:val="22"/>
          <w:szCs w:val="22"/>
          <w:u w:val="single"/>
          <w:lang w:eastAsia="en-US"/>
        </w:rPr>
        <w:t>Odůvodnění</w:t>
      </w:r>
      <w:r w:rsidRPr="00546B96">
        <w:rPr>
          <w:rFonts w:ascii="Calibri" w:eastAsia="Calibri" w:hAnsi="Calibri" w:cs="Arial"/>
          <w:sz w:val="22"/>
          <w:szCs w:val="22"/>
          <w:lang w:eastAsia="en-US"/>
        </w:rPr>
        <w:t xml:space="preserve">: </w:t>
      </w:r>
    </w:p>
    <w:p w14:paraId="5970E7A6" w14:textId="77777777" w:rsidR="00546B96" w:rsidRPr="00546B96" w:rsidRDefault="00546B96" w:rsidP="00546B96">
      <w:pPr>
        <w:spacing w:before="120" w:after="120"/>
        <w:jc w:val="both"/>
        <w:rPr>
          <w:rFonts w:ascii="Calibri" w:eastAsia="Calibri" w:hAnsi="Calibri"/>
          <w:sz w:val="22"/>
          <w:szCs w:val="22"/>
          <w:lang w:eastAsia="en-US"/>
        </w:rPr>
      </w:pPr>
      <w:r w:rsidRPr="00546B96">
        <w:rPr>
          <w:rFonts w:ascii="Calibri" w:eastAsia="Calibri" w:hAnsi="Calibri" w:cs="Arial"/>
          <w:sz w:val="22"/>
          <w:szCs w:val="22"/>
          <w:lang w:eastAsia="en-US"/>
        </w:rPr>
        <w:t xml:space="preserve">Stravovací paušál již dnes neplní svůj cíl přivést do systému podpory zaměstnaneckého stravování nové účastníky. Naopak dlouhodobě podkopová smysl systému podpory zaměstnaneckého stravování, který má primárně motivovat zaměstnance k zajištění plnohodnotné stravy během pracovní směny a o to více v případě směn trvajících více než 11 hodin. Paušál zároveň </w:t>
      </w:r>
      <w:proofErr w:type="gramStart"/>
      <w:r w:rsidRPr="00546B96">
        <w:rPr>
          <w:rFonts w:ascii="Calibri" w:eastAsia="Calibri" w:hAnsi="Calibri" w:cs="Arial"/>
          <w:sz w:val="22"/>
          <w:szCs w:val="22"/>
          <w:lang w:eastAsia="en-US"/>
        </w:rPr>
        <w:t>slouží</w:t>
      </w:r>
      <w:proofErr w:type="gramEnd"/>
      <w:r w:rsidRPr="00546B96">
        <w:rPr>
          <w:rFonts w:ascii="Calibri" w:eastAsia="Calibri" w:hAnsi="Calibri" w:cs="Arial"/>
          <w:sz w:val="22"/>
          <w:szCs w:val="22"/>
          <w:lang w:eastAsia="en-US"/>
        </w:rPr>
        <w:t xml:space="preserve"> k nežádoucí daňové optimalizaci. Navrhujme proto, aby byl omezen alespoň tak, že v případě směn delších než 11 hodin, musí být alespoň jeden z příspěvků na stravování poskytnut v nepeněžité podobě. Toto opatření zároveň umožní zaměstnavatelům udržet funkční závodní jídelny u dlouhých směn.</w:t>
      </w:r>
      <w:r w:rsidRPr="00546B96">
        <w:rPr>
          <w:rFonts w:ascii="Calibri" w:eastAsia="Calibri" w:hAnsi="Calibri"/>
          <w:sz w:val="22"/>
          <w:szCs w:val="22"/>
          <w:lang w:eastAsia="en-US"/>
        </w:rPr>
        <w:t xml:space="preserve"> </w:t>
      </w:r>
    </w:p>
    <w:p w14:paraId="5B73A0A6" w14:textId="77777777" w:rsidR="00546B96" w:rsidRPr="00546B96" w:rsidRDefault="00546B96" w:rsidP="00546B96">
      <w:pPr>
        <w:pBdr>
          <w:bottom w:val="single" w:sz="4" w:space="1" w:color="auto"/>
        </w:pBdr>
        <w:spacing w:after="200" w:line="276" w:lineRule="auto"/>
        <w:jc w:val="right"/>
        <w:rPr>
          <w:rFonts w:ascii="Calibri" w:eastAsia="Calibri" w:hAnsi="Calibri"/>
          <w:b/>
          <w:bCs/>
          <w:sz w:val="22"/>
          <w:szCs w:val="22"/>
          <w:lang w:eastAsia="en-US"/>
        </w:rPr>
      </w:pPr>
      <w:r w:rsidRPr="00546B96">
        <w:rPr>
          <w:rFonts w:ascii="Calibri" w:eastAsia="Calibri" w:hAnsi="Calibri"/>
          <w:b/>
          <w:bCs/>
          <w:sz w:val="22"/>
          <w:szCs w:val="22"/>
          <w:lang w:eastAsia="en-US"/>
        </w:rPr>
        <w:t>tato připomínka je zásadní</w:t>
      </w:r>
    </w:p>
    <w:p w14:paraId="7DE6D5DF" w14:textId="77777777" w:rsidR="00546B96" w:rsidRPr="00546B96" w:rsidRDefault="00546B96" w:rsidP="00546B96">
      <w:pPr>
        <w:shd w:val="clear" w:color="auto" w:fill="FFFFFF"/>
        <w:spacing w:after="120"/>
        <w:jc w:val="both"/>
        <w:rPr>
          <w:rFonts w:ascii="Calibri" w:hAnsi="Calibri" w:cs="Calibri"/>
          <w:b/>
          <w:color w:val="000000"/>
          <w:sz w:val="22"/>
          <w:szCs w:val="22"/>
          <w:lang w:eastAsia="en-GB"/>
        </w:rPr>
      </w:pPr>
      <w:r w:rsidRPr="00546B96">
        <w:rPr>
          <w:rFonts w:ascii="Calibri" w:hAnsi="Calibri" w:cs="Calibri"/>
          <w:b/>
          <w:color w:val="000000"/>
          <w:sz w:val="22"/>
          <w:szCs w:val="22"/>
          <w:lang w:eastAsia="en-GB"/>
        </w:rPr>
        <w:t>K části deváté, čl. XIV., bod 65:</w:t>
      </w:r>
    </w:p>
    <w:p w14:paraId="1BA7B67D"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V </w:t>
      </w:r>
      <w:proofErr w:type="spellStart"/>
      <w:r w:rsidRPr="00546B96">
        <w:rPr>
          <w:rFonts w:ascii="Calibri" w:hAnsi="Calibri" w:cs="Calibri"/>
          <w:bCs/>
          <w:color w:val="000000"/>
          <w:sz w:val="22"/>
          <w:szCs w:val="22"/>
          <w:lang w:eastAsia="en-GB"/>
        </w:rPr>
        <w:t>ust</w:t>
      </w:r>
      <w:proofErr w:type="spellEnd"/>
      <w:r w:rsidRPr="00546B96">
        <w:rPr>
          <w:rFonts w:ascii="Calibri" w:hAnsi="Calibri" w:cs="Calibri"/>
          <w:bCs/>
          <w:color w:val="000000"/>
          <w:sz w:val="22"/>
          <w:szCs w:val="22"/>
          <w:lang w:eastAsia="en-GB"/>
        </w:rPr>
        <w:t xml:space="preserve">. § 35bb navrhujeme v odstavci 2 doplnit o nově vložené písmeno b), které zní: </w:t>
      </w:r>
    </w:p>
    <w:p w14:paraId="0C10913C"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 xml:space="preserve">„b) </w:t>
      </w:r>
      <w:r w:rsidRPr="00546B96">
        <w:rPr>
          <w:rFonts w:ascii="Calibri" w:hAnsi="Calibri" w:cs="Calibri"/>
          <w:bCs/>
          <w:color w:val="000000"/>
          <w:sz w:val="22"/>
          <w:szCs w:val="22"/>
          <w:lang w:eastAsia="en-GB"/>
        </w:rPr>
        <w:tab/>
        <w:t>pokud poplatník žije ve společné domácnosti s manželem pečujícím o osobu, která je závislá na pomoci jiné osoby ve stupni III (těžká závislost) anebo stupni IV (úplná závislost), pokud spolu žijí v domácnosti, a“</w:t>
      </w:r>
    </w:p>
    <w:p w14:paraId="72A06AA2" w14:textId="77777777" w:rsidR="00546B96" w:rsidRPr="00546B96" w:rsidRDefault="00546B96" w:rsidP="00546B96">
      <w:pPr>
        <w:shd w:val="clear" w:color="auto" w:fill="FFFFFF"/>
        <w:spacing w:after="120"/>
        <w:jc w:val="both"/>
        <w:rPr>
          <w:rFonts w:ascii="Calibri" w:hAnsi="Calibri" w:cs="Calibri"/>
          <w:bCs/>
          <w:color w:val="000000"/>
          <w:sz w:val="22"/>
          <w:szCs w:val="22"/>
          <w:u w:val="single"/>
          <w:lang w:eastAsia="en-GB"/>
        </w:rPr>
      </w:pPr>
      <w:r w:rsidRPr="00546B96">
        <w:rPr>
          <w:rFonts w:ascii="Calibri" w:hAnsi="Calibri" w:cs="Calibri"/>
          <w:bCs/>
          <w:color w:val="000000"/>
          <w:sz w:val="22"/>
          <w:szCs w:val="22"/>
          <w:u w:val="single"/>
          <w:lang w:eastAsia="en-GB"/>
        </w:rPr>
        <w:t>Odůvodnění:</w:t>
      </w:r>
    </w:p>
    <w:p w14:paraId="0F27BFC4"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 xml:space="preserve">Sleva na nepracujícího manžela by měla zůstat zachována také pro osoby pečující o lidi s vysokým stupněm funkčního postižení, tedy těžkou či úplnou mírou závislosti ve smyslu zákona o sociálních službách. Máme za to, že zachování slevy na dani s sebou v těchto případech přináší i nezpochybnitelný fiskální přínos, neboť neformální péče zatěžuje veřejné rozpočty nepochybně </w:t>
      </w:r>
      <w:proofErr w:type="gramStart"/>
      <w:r w:rsidRPr="00546B96">
        <w:rPr>
          <w:rFonts w:ascii="Calibri" w:hAnsi="Calibri" w:cs="Calibri"/>
          <w:bCs/>
          <w:color w:val="000000"/>
          <w:sz w:val="22"/>
          <w:szCs w:val="22"/>
          <w:lang w:eastAsia="en-GB"/>
        </w:rPr>
        <w:t>méně,</w:t>
      </w:r>
      <w:proofErr w:type="gramEnd"/>
      <w:r w:rsidRPr="00546B96">
        <w:rPr>
          <w:rFonts w:ascii="Calibri" w:hAnsi="Calibri" w:cs="Calibri"/>
          <w:bCs/>
          <w:color w:val="000000"/>
          <w:sz w:val="22"/>
          <w:szCs w:val="22"/>
          <w:lang w:eastAsia="en-GB"/>
        </w:rPr>
        <w:t xml:space="preserve"> než péče poskytovaná v pobytových zařízeních sociálních služeb. </w:t>
      </w:r>
    </w:p>
    <w:p w14:paraId="02F47FE0" w14:textId="77777777" w:rsidR="00546B96" w:rsidRPr="00546B96" w:rsidRDefault="00546B96" w:rsidP="00546B96">
      <w:pPr>
        <w:pBdr>
          <w:bottom w:val="single" w:sz="4" w:space="1" w:color="auto"/>
        </w:pBdr>
        <w:shd w:val="clear" w:color="auto" w:fill="FFFFFF"/>
        <w:spacing w:after="120"/>
        <w:jc w:val="right"/>
        <w:rPr>
          <w:rFonts w:ascii="Calibri" w:hAnsi="Calibri" w:cs="Calibri"/>
          <w:b/>
          <w:color w:val="000000"/>
          <w:sz w:val="22"/>
          <w:szCs w:val="22"/>
          <w:lang w:eastAsia="en-GB"/>
        </w:rPr>
      </w:pPr>
      <w:r w:rsidRPr="00546B96">
        <w:rPr>
          <w:rFonts w:ascii="Calibri" w:hAnsi="Calibri" w:cs="Calibri"/>
          <w:b/>
          <w:color w:val="000000"/>
          <w:sz w:val="22"/>
          <w:szCs w:val="22"/>
          <w:lang w:eastAsia="en-GB"/>
        </w:rPr>
        <w:t>Tato připomínka je zásadní</w:t>
      </w:r>
    </w:p>
    <w:p w14:paraId="78DA544B" w14:textId="77777777" w:rsidR="00546B96" w:rsidRPr="00546B96" w:rsidRDefault="00546B96" w:rsidP="00546B96">
      <w:pPr>
        <w:shd w:val="clear" w:color="auto" w:fill="FFFFFF"/>
        <w:spacing w:after="120"/>
        <w:jc w:val="both"/>
        <w:rPr>
          <w:rFonts w:ascii="Calibri" w:hAnsi="Calibri" w:cs="Calibri"/>
          <w:b/>
          <w:color w:val="000000"/>
          <w:sz w:val="22"/>
          <w:szCs w:val="22"/>
          <w:lang w:eastAsia="en-GB"/>
        </w:rPr>
      </w:pPr>
      <w:r w:rsidRPr="00546B96">
        <w:rPr>
          <w:rFonts w:ascii="Calibri" w:hAnsi="Calibri" w:cs="Calibri"/>
          <w:b/>
          <w:color w:val="000000"/>
          <w:sz w:val="22"/>
          <w:szCs w:val="22"/>
          <w:lang w:eastAsia="en-GB"/>
        </w:rPr>
        <w:t>K části třicáté třetí, bod 27:</w:t>
      </w:r>
    </w:p>
    <w:p w14:paraId="6AE0A99F"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Z § 71i odst. 2 písm. a) se odstraňuje text „brožury, obrázkové knihy pro děti, předlohy ke kreslení pro děti nebo omalovánek pro děti, včetně zvukového záznamu přednesu jejich obsahu, jejichž“ a nahrazuje se slovem „jejíž“, text „byly obsaženy“ se nahrazuje textem „byla obsažena“ a slovo „jejich“ se nahrazuje slovem „jejího“.</w:t>
      </w:r>
    </w:p>
    <w:p w14:paraId="4AE6464F"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Úplné znění textu ustanovení s navrženými úpravami:</w:t>
      </w:r>
    </w:p>
    <w:p w14:paraId="7F2416AB"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a) elektronicky poskytovaná služba spočívající v poskytnutí knihy, jejíž dodání by bylo osvobozeno od daně, pokud by byla obsažena na hmotném nosiči, včetně jejího zpřístupnění v rámci veřejných knihovnických a informačních nebo dalších služeb poskytovaných podle knihovního zákona nebo obdobných služeb poskytovaných podle jiného právního předpisu,“</w:t>
      </w:r>
    </w:p>
    <w:p w14:paraId="629E9AA1" w14:textId="77777777" w:rsidR="00A44140" w:rsidRDefault="00A44140" w:rsidP="00546B96">
      <w:pPr>
        <w:shd w:val="clear" w:color="auto" w:fill="FFFFFF"/>
        <w:spacing w:after="120"/>
        <w:jc w:val="both"/>
        <w:rPr>
          <w:rFonts w:ascii="Calibri" w:hAnsi="Calibri" w:cs="Calibri"/>
          <w:bCs/>
          <w:color w:val="000000"/>
          <w:sz w:val="22"/>
          <w:szCs w:val="22"/>
          <w:u w:val="single"/>
          <w:lang w:eastAsia="en-GB"/>
        </w:rPr>
      </w:pPr>
    </w:p>
    <w:p w14:paraId="26869363" w14:textId="38990D43" w:rsidR="00546B96" w:rsidRPr="00546B96" w:rsidRDefault="00546B96" w:rsidP="00546B96">
      <w:pPr>
        <w:shd w:val="clear" w:color="auto" w:fill="FFFFFF"/>
        <w:spacing w:after="120"/>
        <w:jc w:val="both"/>
        <w:rPr>
          <w:rFonts w:ascii="Calibri" w:hAnsi="Calibri" w:cs="Calibri"/>
          <w:bCs/>
          <w:color w:val="000000"/>
          <w:sz w:val="22"/>
          <w:szCs w:val="22"/>
          <w:u w:val="single"/>
          <w:lang w:eastAsia="en-GB"/>
        </w:rPr>
      </w:pPr>
      <w:r w:rsidRPr="00546B96">
        <w:rPr>
          <w:rFonts w:ascii="Calibri" w:hAnsi="Calibri" w:cs="Calibri"/>
          <w:bCs/>
          <w:color w:val="000000"/>
          <w:sz w:val="22"/>
          <w:szCs w:val="22"/>
          <w:u w:val="single"/>
          <w:lang w:eastAsia="en-GB"/>
        </w:rPr>
        <w:lastRenderedPageBreak/>
        <w:t>Odůvodnění:</w:t>
      </w:r>
    </w:p>
    <w:p w14:paraId="13D0FAC9"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S ohledem na skutečnost, že v textu odst. 1 navrhovaného znění § 71i je nově obsažena legislativní definice pojmu „kniha“ pro účely DPH, je navrženo shodnou definici v odst. 2 písm. a) téhož ustanovení nahradit zkratkou „kniha“, jejíž obsah je definován v předchozím odstavci.</w:t>
      </w:r>
    </w:p>
    <w:p w14:paraId="53319EE0" w14:textId="77777777" w:rsidR="00546B96" w:rsidRPr="00546B96" w:rsidRDefault="00546B96" w:rsidP="00546B96">
      <w:pPr>
        <w:pBdr>
          <w:bottom w:val="single" w:sz="4" w:space="1" w:color="auto"/>
        </w:pBdr>
        <w:shd w:val="clear" w:color="auto" w:fill="FFFFFF"/>
        <w:spacing w:after="120"/>
        <w:jc w:val="right"/>
        <w:rPr>
          <w:rFonts w:ascii="Calibri" w:hAnsi="Calibri" w:cs="Calibri"/>
          <w:b/>
          <w:color w:val="000000"/>
          <w:sz w:val="22"/>
          <w:szCs w:val="22"/>
          <w:lang w:eastAsia="en-GB"/>
        </w:rPr>
      </w:pPr>
      <w:r w:rsidRPr="00546B96">
        <w:rPr>
          <w:rFonts w:ascii="Calibri" w:hAnsi="Calibri" w:cs="Calibri"/>
          <w:b/>
          <w:color w:val="000000"/>
          <w:sz w:val="22"/>
          <w:szCs w:val="22"/>
          <w:lang w:eastAsia="en-GB"/>
        </w:rPr>
        <w:t>Tato připomínka je zásadní</w:t>
      </w:r>
    </w:p>
    <w:p w14:paraId="30DEB13A" w14:textId="77777777" w:rsidR="00D215DD" w:rsidRDefault="00D215DD" w:rsidP="00546B96">
      <w:pPr>
        <w:shd w:val="clear" w:color="auto" w:fill="FFFFFF"/>
        <w:spacing w:after="120"/>
        <w:jc w:val="both"/>
        <w:rPr>
          <w:rFonts w:ascii="Calibri" w:hAnsi="Calibri" w:cs="Calibri"/>
          <w:b/>
          <w:color w:val="000000"/>
          <w:sz w:val="22"/>
          <w:szCs w:val="22"/>
          <w:lang w:eastAsia="en-GB"/>
        </w:rPr>
      </w:pPr>
    </w:p>
    <w:p w14:paraId="31A8D782" w14:textId="3B9DD41A" w:rsidR="00546B96" w:rsidRPr="00546B96" w:rsidRDefault="00546B96" w:rsidP="00546B96">
      <w:pPr>
        <w:shd w:val="clear" w:color="auto" w:fill="FFFFFF"/>
        <w:spacing w:after="120"/>
        <w:jc w:val="both"/>
        <w:rPr>
          <w:rFonts w:ascii="Calibri" w:hAnsi="Calibri" w:cs="Calibri"/>
          <w:b/>
          <w:color w:val="000000"/>
          <w:sz w:val="22"/>
          <w:szCs w:val="22"/>
          <w:lang w:eastAsia="en-GB"/>
        </w:rPr>
      </w:pPr>
      <w:r w:rsidRPr="00546B96">
        <w:rPr>
          <w:rFonts w:ascii="Calibri" w:hAnsi="Calibri" w:cs="Calibri"/>
          <w:b/>
          <w:color w:val="000000"/>
          <w:sz w:val="22"/>
          <w:szCs w:val="22"/>
          <w:lang w:eastAsia="en-GB"/>
        </w:rPr>
        <w:t>K části třicáté třetí, bod 27:</w:t>
      </w:r>
    </w:p>
    <w:p w14:paraId="356071CA"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Do § 71i se před stávající odst. 1 doplňuje nový odst. 1 v následujícím znění:</w:t>
      </w:r>
    </w:p>
    <w:p w14:paraId="4FFA2ADF"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 xml:space="preserve">„(1) </w:t>
      </w:r>
      <w:r w:rsidRPr="00546B96">
        <w:rPr>
          <w:rFonts w:ascii="Calibri" w:hAnsi="Calibri" w:cs="Calibri"/>
          <w:bCs/>
          <w:color w:val="000000"/>
          <w:sz w:val="22"/>
          <w:szCs w:val="22"/>
          <w:lang w:eastAsia="en-GB"/>
        </w:rPr>
        <w:tab/>
        <w:t>Od daně s nárokem na odpočet daně je osvobozeno dodání knih a poskytnutí obdobných služeb.“</w:t>
      </w:r>
    </w:p>
    <w:p w14:paraId="4B4B9AB5"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Dosavadní odstavce 1 a 2 se přečíslují na odst. 2 a 3.</w:t>
      </w:r>
    </w:p>
    <w:p w14:paraId="2E7AE899"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p>
    <w:p w14:paraId="3C39FD10" w14:textId="77777777" w:rsidR="00546B96" w:rsidRPr="00546B96" w:rsidRDefault="00546B96" w:rsidP="00546B96">
      <w:pPr>
        <w:shd w:val="clear" w:color="auto" w:fill="FFFFFF"/>
        <w:spacing w:after="120"/>
        <w:jc w:val="both"/>
        <w:rPr>
          <w:rFonts w:ascii="Calibri" w:hAnsi="Calibri" w:cs="Calibri"/>
          <w:bCs/>
          <w:color w:val="000000"/>
          <w:sz w:val="22"/>
          <w:szCs w:val="22"/>
          <w:u w:val="single"/>
          <w:lang w:eastAsia="en-GB"/>
        </w:rPr>
      </w:pPr>
      <w:r w:rsidRPr="00546B96">
        <w:rPr>
          <w:rFonts w:ascii="Calibri" w:hAnsi="Calibri" w:cs="Calibri"/>
          <w:bCs/>
          <w:color w:val="000000"/>
          <w:sz w:val="22"/>
          <w:szCs w:val="22"/>
          <w:u w:val="single"/>
          <w:lang w:eastAsia="en-GB"/>
        </w:rPr>
        <w:t xml:space="preserve">Odůvodnění: </w:t>
      </w:r>
    </w:p>
    <w:p w14:paraId="17AE3398"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Navržené doplnění má pouze formální charakter a navazuje na formulace užité v dosavadním textu zákona např. v ustanovení § 68.</w:t>
      </w:r>
    </w:p>
    <w:p w14:paraId="10FE0D76" w14:textId="77777777" w:rsidR="00546B96" w:rsidRPr="00546B96" w:rsidRDefault="00546B96" w:rsidP="00546B96">
      <w:pPr>
        <w:pBdr>
          <w:bottom w:val="single" w:sz="4" w:space="1" w:color="auto"/>
        </w:pBdr>
        <w:shd w:val="clear" w:color="auto" w:fill="FFFFFF"/>
        <w:spacing w:after="120"/>
        <w:jc w:val="right"/>
        <w:rPr>
          <w:rFonts w:ascii="Calibri" w:hAnsi="Calibri" w:cs="Calibri"/>
          <w:b/>
          <w:color w:val="000000"/>
          <w:sz w:val="22"/>
          <w:szCs w:val="22"/>
          <w:lang w:eastAsia="en-GB"/>
        </w:rPr>
      </w:pPr>
      <w:r w:rsidRPr="00546B96">
        <w:rPr>
          <w:rFonts w:ascii="Calibri" w:hAnsi="Calibri" w:cs="Calibri"/>
          <w:b/>
          <w:color w:val="000000"/>
          <w:sz w:val="22"/>
          <w:szCs w:val="22"/>
          <w:lang w:eastAsia="en-GB"/>
        </w:rPr>
        <w:t>Tato připomínka je zásadní</w:t>
      </w:r>
    </w:p>
    <w:p w14:paraId="7B16168A" w14:textId="77777777" w:rsidR="00D215DD" w:rsidRDefault="00D215DD" w:rsidP="00546B96">
      <w:pPr>
        <w:shd w:val="clear" w:color="auto" w:fill="FFFFFF"/>
        <w:spacing w:after="120"/>
        <w:jc w:val="both"/>
        <w:rPr>
          <w:rFonts w:ascii="Calibri" w:hAnsi="Calibri" w:cs="Calibri"/>
          <w:bCs/>
          <w:color w:val="000000"/>
          <w:sz w:val="22"/>
          <w:szCs w:val="22"/>
          <w:lang w:eastAsia="en-GB"/>
        </w:rPr>
      </w:pPr>
    </w:p>
    <w:p w14:paraId="7D572707" w14:textId="6A41D85B"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 xml:space="preserve">Navrhujeme zrušení bodů 20-25 v článku LI, bodů 5-8 v článku LII a odstranění bodů LI 20-25 ze všech odstavců článku XCIX. </w:t>
      </w:r>
    </w:p>
    <w:p w14:paraId="13813C78" w14:textId="77777777" w:rsidR="00546B96" w:rsidRPr="00546B96" w:rsidRDefault="00546B96" w:rsidP="00546B96">
      <w:pPr>
        <w:shd w:val="clear" w:color="auto" w:fill="FFFFFF"/>
        <w:spacing w:after="120"/>
        <w:jc w:val="both"/>
        <w:rPr>
          <w:rFonts w:ascii="Calibri" w:hAnsi="Calibri" w:cs="Calibri"/>
          <w:bCs/>
          <w:color w:val="000000"/>
          <w:sz w:val="22"/>
          <w:szCs w:val="22"/>
          <w:u w:val="single"/>
          <w:lang w:eastAsia="en-GB"/>
        </w:rPr>
      </w:pPr>
      <w:r w:rsidRPr="00546B96">
        <w:rPr>
          <w:rFonts w:ascii="Calibri" w:hAnsi="Calibri" w:cs="Calibri"/>
          <w:bCs/>
          <w:color w:val="000000"/>
          <w:sz w:val="22"/>
          <w:szCs w:val="22"/>
          <w:u w:val="single"/>
          <w:lang w:eastAsia="en-GB"/>
        </w:rPr>
        <w:t>Odůvodnění:</w:t>
      </w:r>
    </w:p>
    <w:p w14:paraId="5FF9840F"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Chce-li vláda dosáhnout vyššího inkasa ze spotřební daně na alkoholické nápoje, potom je jediná správná cesta zvýšit spotřební daň stejně na všechny druhy alkoholických nápojů. Protože je to zejména v oblasti tichého vína organizačně složitější, navrhujeme, aby bylo zrušeno zvýšení spotřební daně pouze na lihoviny od 1.1.2024 a v dalších následujících 4 letech a doplnilo se zvýšení spotřební daně na všechny alkoholické nápoje od 1.1.2025. Rok 2024 potom využít na přípravu infrastruktury výrobců tichého vína pro výběr spotřební daně.</w:t>
      </w:r>
    </w:p>
    <w:p w14:paraId="024C23B2" w14:textId="77777777" w:rsidR="00546B96" w:rsidRPr="00546B96" w:rsidRDefault="00546B96" w:rsidP="00546B96">
      <w:pPr>
        <w:shd w:val="clear" w:color="auto" w:fill="FFFFFF"/>
        <w:spacing w:after="120"/>
        <w:jc w:val="both"/>
        <w:rPr>
          <w:rFonts w:ascii="Calibri" w:hAnsi="Calibri" w:cs="Calibri"/>
          <w:bCs/>
          <w:color w:val="000000"/>
          <w:sz w:val="22"/>
          <w:szCs w:val="22"/>
          <w:lang w:eastAsia="en-GB"/>
        </w:rPr>
      </w:pPr>
      <w:r w:rsidRPr="00546B96">
        <w:rPr>
          <w:rFonts w:ascii="Calibri" w:hAnsi="Calibri" w:cs="Calibri"/>
          <w:bCs/>
          <w:color w:val="000000"/>
          <w:sz w:val="22"/>
          <w:szCs w:val="22"/>
          <w:lang w:eastAsia="en-GB"/>
        </w:rPr>
        <w:t xml:space="preserve">Dále navrhujeme jako termín pro zvýšení spotřební daně stanovit 1. duben namísto 1. ledna. Pro prodej alkoholických nápojů existují 2 </w:t>
      </w:r>
      <w:proofErr w:type="spellStart"/>
      <w:r w:rsidRPr="00546B96">
        <w:rPr>
          <w:rFonts w:ascii="Calibri" w:hAnsi="Calibri" w:cs="Calibri"/>
          <w:bCs/>
          <w:color w:val="000000"/>
          <w:sz w:val="22"/>
          <w:szCs w:val="22"/>
          <w:lang w:eastAsia="en-GB"/>
        </w:rPr>
        <w:t>peaková</w:t>
      </w:r>
      <w:proofErr w:type="spellEnd"/>
      <w:r w:rsidRPr="00546B96">
        <w:rPr>
          <w:rFonts w:ascii="Calibri" w:hAnsi="Calibri" w:cs="Calibri"/>
          <w:bCs/>
          <w:color w:val="000000"/>
          <w:sz w:val="22"/>
          <w:szCs w:val="22"/>
          <w:lang w:eastAsia="en-GB"/>
        </w:rPr>
        <w:t xml:space="preserve"> období – Vánoce a Velikonoce. Pokud se zvýšení spotřební daně naplánuje na 1. leden, existuje velká pravděpodobnost předzásobení spotřebitelů ve vánočním období a enormní pokles výběru v následujícím roce. Pokud se opatření udělá od 1.4., potom všechny výnosy přijdou do správného roku.</w:t>
      </w:r>
    </w:p>
    <w:p w14:paraId="3E021AE3" w14:textId="77777777" w:rsidR="00546B96" w:rsidRPr="00546B96" w:rsidRDefault="00546B96" w:rsidP="00546B96">
      <w:pPr>
        <w:pBdr>
          <w:bottom w:val="single" w:sz="4" w:space="1" w:color="auto"/>
        </w:pBdr>
        <w:shd w:val="clear" w:color="auto" w:fill="FFFFFF"/>
        <w:spacing w:after="120"/>
        <w:jc w:val="right"/>
        <w:rPr>
          <w:rFonts w:ascii="Calibri" w:hAnsi="Calibri" w:cs="Calibri"/>
          <w:b/>
          <w:color w:val="000000"/>
          <w:sz w:val="22"/>
          <w:szCs w:val="22"/>
          <w:lang w:eastAsia="en-GB"/>
        </w:rPr>
      </w:pPr>
      <w:r w:rsidRPr="00546B96">
        <w:rPr>
          <w:rFonts w:ascii="Calibri" w:hAnsi="Calibri" w:cs="Calibri"/>
          <w:b/>
          <w:color w:val="000000"/>
          <w:sz w:val="22"/>
          <w:szCs w:val="22"/>
          <w:lang w:eastAsia="en-GB"/>
        </w:rPr>
        <w:t>Tato připomínka je zásadní</w:t>
      </w:r>
    </w:p>
    <w:p w14:paraId="3B6D25B8" w14:textId="77777777" w:rsidR="007D581D" w:rsidRDefault="007D581D" w:rsidP="00AE56F8">
      <w:pPr>
        <w:jc w:val="both"/>
        <w:rPr>
          <w:rFonts w:asciiTheme="minorHAnsi" w:hAnsiTheme="minorHAnsi" w:cstheme="minorHAnsi"/>
          <w:sz w:val="24"/>
          <w:szCs w:val="24"/>
        </w:rPr>
      </w:pPr>
      <w:bookmarkStart w:id="0" w:name="_Hlk136087047"/>
    </w:p>
    <w:p w14:paraId="083FE676" w14:textId="77777777" w:rsidR="001E403F" w:rsidRPr="007D04ED" w:rsidRDefault="001E403F" w:rsidP="001E403F">
      <w:pPr>
        <w:shd w:val="clear" w:color="auto" w:fill="FFFFFF"/>
        <w:spacing w:after="120"/>
        <w:jc w:val="both"/>
        <w:rPr>
          <w:rFonts w:ascii="Calibri" w:hAnsi="Calibri" w:cs="Calibri"/>
          <w:b/>
          <w:bCs/>
          <w:color w:val="FF0000"/>
          <w:sz w:val="28"/>
          <w:szCs w:val="28"/>
          <w:u w:val="single"/>
          <w:lang w:eastAsia="en-GB"/>
        </w:rPr>
      </w:pPr>
      <w:r w:rsidRPr="007D04ED">
        <w:rPr>
          <w:rFonts w:ascii="Calibri" w:hAnsi="Calibri" w:cs="Calibri"/>
          <w:b/>
          <w:bCs/>
          <w:color w:val="FF0000"/>
          <w:sz w:val="28"/>
          <w:szCs w:val="28"/>
          <w:u w:val="single"/>
          <w:lang w:eastAsia="en-GB"/>
        </w:rPr>
        <w:t>DALŠÍ PŘIPOMÍNKY:</w:t>
      </w:r>
    </w:p>
    <w:p w14:paraId="5B009C14" w14:textId="77777777" w:rsidR="001E403F" w:rsidRPr="001E403F" w:rsidRDefault="001E403F" w:rsidP="000F6969">
      <w:pPr>
        <w:pStyle w:val="-wm-paragraf"/>
        <w:numPr>
          <w:ilvl w:val="0"/>
          <w:numId w:val="33"/>
        </w:numPr>
        <w:spacing w:before="120" w:beforeAutospacing="0" w:after="120" w:afterAutospacing="0"/>
        <w:jc w:val="both"/>
        <w:rPr>
          <w:rFonts w:asciiTheme="minorHAnsi" w:hAnsiTheme="minorHAnsi" w:cstheme="minorHAnsi"/>
          <w:b/>
          <w:bCs/>
          <w:sz w:val="24"/>
          <w:szCs w:val="24"/>
        </w:rPr>
      </w:pPr>
      <w:r w:rsidRPr="001E403F">
        <w:rPr>
          <w:rFonts w:asciiTheme="minorHAnsi" w:hAnsiTheme="minorHAnsi" w:cstheme="minorHAnsi"/>
          <w:b/>
          <w:bCs/>
          <w:sz w:val="24"/>
          <w:szCs w:val="24"/>
        </w:rPr>
        <w:t>Změna zákona o dani z nemovitých věcí</w:t>
      </w:r>
    </w:p>
    <w:p w14:paraId="41709870" w14:textId="77777777" w:rsidR="001E403F" w:rsidRPr="001E403F" w:rsidRDefault="001E403F" w:rsidP="000F6969">
      <w:pPr>
        <w:pStyle w:val="-wm-paragraf"/>
        <w:spacing w:before="120" w:beforeAutospacing="0" w:after="120" w:afterAutospacing="0"/>
        <w:jc w:val="both"/>
        <w:rPr>
          <w:rFonts w:asciiTheme="minorHAnsi" w:hAnsiTheme="minorHAnsi" w:cstheme="minorHAnsi"/>
          <w:b/>
          <w:bCs/>
          <w:sz w:val="24"/>
          <w:szCs w:val="24"/>
        </w:rPr>
      </w:pPr>
      <w:r w:rsidRPr="001E403F">
        <w:rPr>
          <w:rFonts w:asciiTheme="minorHAnsi" w:hAnsiTheme="minorHAnsi" w:cstheme="minorHAnsi"/>
          <w:b/>
          <w:bCs/>
          <w:sz w:val="24"/>
          <w:szCs w:val="24"/>
        </w:rPr>
        <w:t>Připomínka zásadní</w:t>
      </w:r>
    </w:p>
    <w:p w14:paraId="1794CD1E" w14:textId="77777777" w:rsidR="001E403F" w:rsidRPr="001E403F" w:rsidRDefault="001E403F" w:rsidP="000F6969">
      <w:pPr>
        <w:pStyle w:val="-wm-paragraf"/>
        <w:spacing w:before="120" w:beforeAutospacing="0" w:after="120" w:afterAutospacing="0"/>
        <w:jc w:val="both"/>
        <w:rPr>
          <w:rFonts w:asciiTheme="minorHAnsi" w:hAnsiTheme="minorHAnsi" w:cstheme="minorHAnsi"/>
          <w:sz w:val="24"/>
          <w:szCs w:val="24"/>
        </w:rPr>
      </w:pPr>
      <w:r w:rsidRPr="001E403F">
        <w:rPr>
          <w:rFonts w:asciiTheme="minorHAnsi" w:hAnsiTheme="minorHAnsi" w:cstheme="minorHAnsi"/>
          <w:b/>
          <w:bCs/>
          <w:sz w:val="24"/>
          <w:szCs w:val="24"/>
        </w:rPr>
        <w:t>§ 12ab</w:t>
      </w:r>
    </w:p>
    <w:p w14:paraId="428DB5DD" w14:textId="77777777" w:rsidR="001E403F" w:rsidRPr="001E403F" w:rsidRDefault="001E403F" w:rsidP="000F6969">
      <w:pPr>
        <w:pStyle w:val="-wm-nadpisparagrafu"/>
        <w:spacing w:before="120" w:beforeAutospacing="0" w:after="120" w:afterAutospacing="0"/>
        <w:jc w:val="both"/>
        <w:rPr>
          <w:rFonts w:asciiTheme="minorHAnsi" w:hAnsiTheme="minorHAnsi" w:cstheme="minorHAnsi"/>
          <w:sz w:val="24"/>
          <w:szCs w:val="24"/>
        </w:rPr>
      </w:pPr>
      <w:r w:rsidRPr="001E403F">
        <w:rPr>
          <w:rFonts w:asciiTheme="minorHAnsi" w:hAnsiTheme="minorHAnsi" w:cstheme="minorHAnsi"/>
          <w:b/>
          <w:bCs/>
          <w:sz w:val="24"/>
          <w:szCs w:val="24"/>
        </w:rPr>
        <w:t>Daň z pozemků za výpočtový list</w:t>
      </w:r>
    </w:p>
    <w:p w14:paraId="5186C171" w14:textId="77777777" w:rsidR="001E403F" w:rsidRPr="001E403F" w:rsidRDefault="001E403F" w:rsidP="000F6969">
      <w:pPr>
        <w:jc w:val="both"/>
        <w:rPr>
          <w:rFonts w:asciiTheme="minorHAnsi" w:hAnsiTheme="minorHAnsi" w:cstheme="minorHAnsi"/>
          <w:sz w:val="24"/>
          <w:szCs w:val="24"/>
        </w:rPr>
      </w:pPr>
      <w:r w:rsidRPr="001E403F">
        <w:rPr>
          <w:rFonts w:asciiTheme="minorHAnsi" w:hAnsiTheme="minorHAnsi" w:cstheme="minorHAnsi"/>
          <w:sz w:val="24"/>
          <w:szCs w:val="24"/>
        </w:rPr>
        <w:t xml:space="preserve">Zemědělský svaz ČR je proti navýšení daně z orné půdy, chmelnic, vinic, ovocných sadů a trvalých travních porostů tak, jak je uvedeno </w:t>
      </w:r>
      <w:proofErr w:type="gramStart"/>
      <w:r w:rsidRPr="001E403F">
        <w:rPr>
          <w:rFonts w:asciiTheme="minorHAnsi" w:hAnsiTheme="minorHAnsi" w:cstheme="minorHAnsi"/>
          <w:sz w:val="24"/>
          <w:szCs w:val="24"/>
        </w:rPr>
        <w:t>v  §</w:t>
      </w:r>
      <w:proofErr w:type="gramEnd"/>
      <w:r w:rsidRPr="001E403F">
        <w:rPr>
          <w:rFonts w:asciiTheme="minorHAnsi" w:hAnsiTheme="minorHAnsi" w:cstheme="minorHAnsi"/>
          <w:sz w:val="24"/>
          <w:szCs w:val="24"/>
        </w:rPr>
        <w:t xml:space="preserve"> 12ab, odstavci (4).</w:t>
      </w:r>
    </w:p>
    <w:p w14:paraId="5EB070DC" w14:textId="77777777" w:rsidR="001E403F" w:rsidRPr="001E403F" w:rsidRDefault="001E403F" w:rsidP="000F6969">
      <w:pPr>
        <w:jc w:val="both"/>
        <w:rPr>
          <w:rFonts w:asciiTheme="minorHAnsi" w:hAnsiTheme="minorHAnsi" w:cstheme="minorHAnsi"/>
          <w:sz w:val="24"/>
          <w:szCs w:val="24"/>
        </w:rPr>
      </w:pPr>
      <w:r w:rsidRPr="001E403F">
        <w:rPr>
          <w:rFonts w:asciiTheme="minorHAnsi" w:hAnsiTheme="minorHAnsi" w:cstheme="minorHAnsi"/>
          <w:sz w:val="24"/>
          <w:szCs w:val="24"/>
        </w:rPr>
        <w:lastRenderedPageBreak/>
        <w:t>Navrhovaná daňová úprava postaví české zemědělce do velice nevýhodné pozice vůči zemědělcům v okolních zemích. Některé sousední země mají sice vyšší zdanění nemovitostí, ale dotace v těchto zemích nejsou předmětem daně. Kombinace navýšení daně z nemovitostí se zdaněním dotací způsobuje zásadní propad konkurenceschopnosti českého zemědělství oproti sousedním zemím. U daňového zvýhodnění tichých vín vláda zohledňuje situaci v okolních zemích, u daní ze zemědělské půdy ji srovnání nezajímá – také se se sousedními zeměmi musíme srovnávat, domníváme se, že zde jde o podstatnější oblast.</w:t>
      </w:r>
    </w:p>
    <w:p w14:paraId="31E69FBC" w14:textId="77777777" w:rsidR="001E403F" w:rsidRPr="001E403F" w:rsidRDefault="001E403F" w:rsidP="000F6969">
      <w:pPr>
        <w:jc w:val="both"/>
        <w:rPr>
          <w:rFonts w:asciiTheme="minorHAnsi" w:hAnsiTheme="minorHAnsi" w:cstheme="minorHAnsi"/>
          <w:sz w:val="24"/>
          <w:szCs w:val="24"/>
        </w:rPr>
      </w:pPr>
      <w:r w:rsidRPr="001E403F">
        <w:rPr>
          <w:rFonts w:asciiTheme="minorHAnsi" w:hAnsiTheme="minorHAnsi" w:cstheme="minorHAnsi"/>
          <w:sz w:val="24"/>
          <w:szCs w:val="24"/>
        </w:rPr>
        <w:t>V zájmu zvýšení ochrany půdního fondu (viz Programové prohlášení vlády) by bylo vhodnější místo navýšení daně z orné půdy, chmelnic, vinic, ovocných sadů a trvalého travního porostu navýšit zdanění zastavěné plochy.</w:t>
      </w:r>
    </w:p>
    <w:p w14:paraId="778AB3C7" w14:textId="77777777" w:rsidR="001E403F" w:rsidRPr="001E403F" w:rsidRDefault="001E403F" w:rsidP="000F6969">
      <w:pPr>
        <w:jc w:val="both"/>
        <w:rPr>
          <w:rFonts w:asciiTheme="minorHAnsi" w:hAnsiTheme="minorHAnsi" w:cstheme="minorHAnsi"/>
          <w:sz w:val="24"/>
          <w:szCs w:val="24"/>
        </w:rPr>
      </w:pPr>
    </w:p>
    <w:p w14:paraId="1F1FDA3F" w14:textId="77777777" w:rsidR="001E403F" w:rsidRPr="001E403F" w:rsidRDefault="001E403F" w:rsidP="000F6969">
      <w:pPr>
        <w:jc w:val="both"/>
        <w:rPr>
          <w:rFonts w:asciiTheme="minorHAnsi" w:hAnsiTheme="minorHAnsi" w:cstheme="minorHAnsi"/>
          <w:sz w:val="24"/>
          <w:szCs w:val="24"/>
        </w:rPr>
      </w:pPr>
      <w:r w:rsidRPr="001E403F">
        <w:rPr>
          <w:rFonts w:asciiTheme="minorHAnsi" w:hAnsiTheme="minorHAnsi" w:cstheme="minorHAnsi"/>
          <w:sz w:val="24"/>
          <w:szCs w:val="24"/>
        </w:rPr>
        <w:t>Navrhujeme doplnit § 12ab, odstavec (4) takto:</w:t>
      </w:r>
    </w:p>
    <w:p w14:paraId="24046D98" w14:textId="77777777" w:rsidR="001E403F" w:rsidRPr="001E403F" w:rsidRDefault="001E403F" w:rsidP="000F6969">
      <w:pPr>
        <w:jc w:val="both"/>
        <w:rPr>
          <w:rFonts w:asciiTheme="minorHAnsi" w:hAnsiTheme="minorHAnsi" w:cstheme="minorHAnsi"/>
          <w:sz w:val="24"/>
          <w:szCs w:val="24"/>
        </w:rPr>
      </w:pPr>
      <w:r w:rsidRPr="001E403F">
        <w:rPr>
          <w:rFonts w:asciiTheme="minorHAnsi" w:hAnsiTheme="minorHAnsi" w:cstheme="minorHAnsi"/>
          <w:b/>
          <w:bCs/>
          <w:sz w:val="24"/>
          <w:szCs w:val="24"/>
        </w:rPr>
        <w:t>Státní část daně z pozemků za výpočtový list činí výchozí daň z pozemků za tento výpočtový list. Do státní daně se nezapočte výchozí daň za tento výpočtový list z těchto druhů pozemků: orná půda, chmelnice, vinice, ovocný sad a trvalý travní porost.</w:t>
      </w:r>
    </w:p>
    <w:p w14:paraId="58ED175D" w14:textId="77777777" w:rsidR="001E403F" w:rsidRPr="00915A00" w:rsidRDefault="001E403F" w:rsidP="000F6969">
      <w:pPr>
        <w:jc w:val="both"/>
        <w:rPr>
          <w:rFonts w:asciiTheme="minorHAnsi" w:hAnsiTheme="minorHAnsi" w:cstheme="minorHAnsi"/>
          <w:sz w:val="24"/>
          <w:szCs w:val="24"/>
        </w:rPr>
      </w:pPr>
    </w:p>
    <w:p w14:paraId="27DAB35B" w14:textId="77777777" w:rsidR="001E403F" w:rsidRPr="00915A00" w:rsidRDefault="001E403F" w:rsidP="002A4640">
      <w:pPr>
        <w:jc w:val="both"/>
        <w:rPr>
          <w:rFonts w:asciiTheme="minorHAnsi" w:hAnsiTheme="minorHAnsi" w:cstheme="minorHAnsi"/>
          <w:b/>
          <w:bCs/>
          <w:sz w:val="24"/>
          <w:szCs w:val="24"/>
        </w:rPr>
      </w:pPr>
    </w:p>
    <w:p w14:paraId="0C1F6B2D" w14:textId="77777777" w:rsidR="001E403F" w:rsidRPr="001E403F" w:rsidRDefault="001E403F" w:rsidP="000F6969">
      <w:pPr>
        <w:pStyle w:val="Odstavecseseznamem"/>
        <w:numPr>
          <w:ilvl w:val="0"/>
          <w:numId w:val="33"/>
        </w:numPr>
        <w:spacing w:after="0" w:line="240" w:lineRule="auto"/>
        <w:jc w:val="both"/>
        <w:rPr>
          <w:rFonts w:asciiTheme="minorHAnsi" w:hAnsiTheme="minorHAnsi" w:cstheme="minorHAnsi"/>
          <w:b/>
          <w:bCs/>
          <w:sz w:val="24"/>
          <w:szCs w:val="24"/>
        </w:rPr>
      </w:pPr>
      <w:r w:rsidRPr="001E403F">
        <w:rPr>
          <w:rFonts w:asciiTheme="minorHAnsi" w:hAnsiTheme="minorHAnsi" w:cstheme="minorHAnsi"/>
          <w:b/>
          <w:bCs/>
          <w:sz w:val="24"/>
          <w:szCs w:val="24"/>
        </w:rPr>
        <w:t>Změna zákona dani z příjmů</w:t>
      </w:r>
    </w:p>
    <w:p w14:paraId="2C5F4AE8" w14:textId="77777777" w:rsidR="001E403F" w:rsidRPr="001E403F" w:rsidRDefault="001E403F" w:rsidP="000F6969">
      <w:pPr>
        <w:jc w:val="both"/>
        <w:rPr>
          <w:rFonts w:asciiTheme="minorHAnsi" w:hAnsiTheme="minorHAnsi" w:cstheme="minorHAnsi"/>
          <w:b/>
          <w:bCs/>
          <w:sz w:val="24"/>
          <w:szCs w:val="24"/>
        </w:rPr>
      </w:pPr>
    </w:p>
    <w:p w14:paraId="5EC96A8A" w14:textId="77777777" w:rsidR="001E403F" w:rsidRPr="001E403F" w:rsidRDefault="001E403F" w:rsidP="000F6969">
      <w:pPr>
        <w:jc w:val="both"/>
        <w:rPr>
          <w:rFonts w:asciiTheme="minorHAnsi" w:hAnsiTheme="minorHAnsi" w:cstheme="minorHAnsi"/>
          <w:b/>
          <w:bCs/>
          <w:sz w:val="24"/>
          <w:szCs w:val="24"/>
        </w:rPr>
      </w:pPr>
      <w:r w:rsidRPr="001E403F">
        <w:rPr>
          <w:rFonts w:asciiTheme="minorHAnsi" w:hAnsiTheme="minorHAnsi" w:cstheme="minorHAnsi"/>
          <w:b/>
          <w:bCs/>
          <w:sz w:val="24"/>
          <w:szCs w:val="24"/>
        </w:rPr>
        <w:t>Připomínka zásadní</w:t>
      </w:r>
    </w:p>
    <w:p w14:paraId="70091C2D" w14:textId="77777777" w:rsidR="001E403F" w:rsidRPr="001E403F" w:rsidRDefault="001E403F" w:rsidP="000F6969">
      <w:pPr>
        <w:jc w:val="both"/>
        <w:rPr>
          <w:rFonts w:asciiTheme="minorHAnsi" w:hAnsiTheme="minorHAnsi" w:cstheme="minorHAnsi"/>
          <w:b/>
          <w:bCs/>
          <w:sz w:val="24"/>
          <w:szCs w:val="24"/>
        </w:rPr>
      </w:pPr>
    </w:p>
    <w:p w14:paraId="288AE7B4" w14:textId="77777777" w:rsidR="001E403F" w:rsidRPr="001E403F" w:rsidRDefault="001E403F" w:rsidP="000F6969">
      <w:pPr>
        <w:jc w:val="both"/>
        <w:rPr>
          <w:rFonts w:asciiTheme="minorHAnsi" w:hAnsiTheme="minorHAnsi" w:cstheme="minorHAnsi"/>
          <w:b/>
          <w:bCs/>
          <w:sz w:val="24"/>
          <w:szCs w:val="24"/>
        </w:rPr>
      </w:pPr>
      <w:r w:rsidRPr="001E403F">
        <w:rPr>
          <w:rFonts w:asciiTheme="minorHAnsi" w:hAnsiTheme="minorHAnsi" w:cstheme="minorHAnsi"/>
          <w:b/>
          <w:bCs/>
          <w:sz w:val="24"/>
          <w:szCs w:val="24"/>
        </w:rPr>
        <w:t>Příjmy ze závislé činnosti</w:t>
      </w:r>
    </w:p>
    <w:p w14:paraId="1BD2F69C" w14:textId="77777777" w:rsidR="001E403F" w:rsidRDefault="001E403F" w:rsidP="000F6969">
      <w:pPr>
        <w:jc w:val="both"/>
        <w:rPr>
          <w:rFonts w:asciiTheme="minorHAnsi" w:hAnsiTheme="minorHAnsi" w:cstheme="minorHAnsi"/>
          <w:b/>
          <w:bCs/>
          <w:sz w:val="24"/>
          <w:szCs w:val="24"/>
        </w:rPr>
      </w:pPr>
    </w:p>
    <w:p w14:paraId="146BD365" w14:textId="77777777" w:rsidR="00915A00" w:rsidRPr="001E403F" w:rsidRDefault="00915A00" w:rsidP="000F6969">
      <w:pPr>
        <w:jc w:val="both"/>
        <w:rPr>
          <w:rFonts w:asciiTheme="minorHAnsi" w:hAnsiTheme="minorHAnsi" w:cstheme="minorHAnsi"/>
          <w:b/>
          <w:bCs/>
          <w:sz w:val="24"/>
          <w:szCs w:val="24"/>
        </w:rPr>
      </w:pPr>
    </w:p>
    <w:p w14:paraId="074B7A8B" w14:textId="77777777" w:rsidR="001E403F" w:rsidRPr="001E403F" w:rsidRDefault="001E403F" w:rsidP="000F6969">
      <w:pPr>
        <w:jc w:val="both"/>
        <w:rPr>
          <w:rFonts w:asciiTheme="minorHAnsi" w:hAnsiTheme="minorHAnsi" w:cstheme="minorHAnsi"/>
          <w:b/>
          <w:bCs/>
          <w:sz w:val="24"/>
          <w:szCs w:val="24"/>
        </w:rPr>
      </w:pPr>
      <w:r w:rsidRPr="001E403F">
        <w:rPr>
          <w:rFonts w:asciiTheme="minorHAnsi" w:hAnsiTheme="minorHAnsi" w:cstheme="minorHAnsi"/>
          <w:b/>
          <w:bCs/>
          <w:sz w:val="24"/>
          <w:szCs w:val="24"/>
        </w:rPr>
        <w:t xml:space="preserve">§ 6, bod 9, </w:t>
      </w:r>
      <w:proofErr w:type="spellStart"/>
      <w:r w:rsidRPr="001E403F">
        <w:rPr>
          <w:rFonts w:asciiTheme="minorHAnsi" w:hAnsiTheme="minorHAnsi" w:cstheme="minorHAnsi"/>
          <w:b/>
          <w:bCs/>
          <w:sz w:val="24"/>
          <w:szCs w:val="24"/>
        </w:rPr>
        <w:t>písm</w:t>
      </w:r>
      <w:proofErr w:type="spellEnd"/>
      <w:r w:rsidRPr="001E403F">
        <w:rPr>
          <w:rFonts w:asciiTheme="minorHAnsi" w:hAnsiTheme="minorHAnsi" w:cstheme="minorHAnsi"/>
          <w:b/>
          <w:bCs/>
          <w:sz w:val="24"/>
          <w:szCs w:val="24"/>
        </w:rPr>
        <w:t xml:space="preserve"> d)</w:t>
      </w:r>
    </w:p>
    <w:p w14:paraId="75A8DEFD" w14:textId="77777777" w:rsidR="001E403F" w:rsidRPr="001E403F" w:rsidRDefault="001E403F" w:rsidP="000F6969">
      <w:pPr>
        <w:jc w:val="both"/>
        <w:rPr>
          <w:rFonts w:asciiTheme="minorHAnsi" w:hAnsiTheme="minorHAnsi" w:cstheme="minorHAnsi"/>
          <w:b/>
          <w:bCs/>
          <w:sz w:val="24"/>
          <w:szCs w:val="24"/>
        </w:rPr>
      </w:pPr>
    </w:p>
    <w:p w14:paraId="6A7F8E76" w14:textId="39F5CEBC" w:rsidR="001E403F" w:rsidRPr="001E403F" w:rsidRDefault="001E403F" w:rsidP="000F6969">
      <w:pPr>
        <w:jc w:val="both"/>
        <w:rPr>
          <w:rFonts w:asciiTheme="minorHAnsi" w:hAnsiTheme="minorHAnsi" w:cstheme="minorHAnsi"/>
          <w:b/>
          <w:bCs/>
          <w:sz w:val="24"/>
          <w:szCs w:val="24"/>
        </w:rPr>
      </w:pPr>
      <w:r w:rsidRPr="001E403F">
        <w:rPr>
          <w:rFonts w:asciiTheme="minorHAnsi" w:hAnsiTheme="minorHAnsi" w:cstheme="minorHAnsi"/>
          <w:sz w:val="24"/>
          <w:szCs w:val="24"/>
        </w:rPr>
        <w:t xml:space="preserve">Zemědělský svaz ČR je proti ztížení možnosti zaměstnavateli přispívat z FKSP, ze sociálního fondu, ze zisku po zdanění zaměstnanci, jedná se o motivační nástroj zaměstnavatele v pracovněprávní oblasti s dlouholetou tradicí, navrhujeme </w:t>
      </w:r>
      <w:r w:rsidRPr="001E403F">
        <w:rPr>
          <w:rFonts w:asciiTheme="minorHAnsi" w:hAnsiTheme="minorHAnsi" w:cstheme="minorHAnsi"/>
          <w:b/>
          <w:bCs/>
          <w:sz w:val="24"/>
          <w:szCs w:val="24"/>
        </w:rPr>
        <w:t xml:space="preserve">původní znění ponechat a snížit původní částku (bod 1.) na </w:t>
      </w:r>
      <w:r w:rsidR="001F7701" w:rsidRPr="001E403F">
        <w:rPr>
          <w:rFonts w:asciiTheme="minorHAnsi" w:hAnsiTheme="minorHAnsi" w:cstheme="minorHAnsi"/>
          <w:b/>
          <w:bCs/>
          <w:sz w:val="24"/>
          <w:szCs w:val="24"/>
        </w:rPr>
        <w:t>10</w:t>
      </w:r>
      <w:r w:rsidR="001F7701">
        <w:rPr>
          <w:rFonts w:asciiTheme="minorHAnsi" w:hAnsiTheme="minorHAnsi" w:cstheme="minorHAnsi"/>
          <w:b/>
          <w:bCs/>
          <w:sz w:val="24"/>
          <w:szCs w:val="24"/>
        </w:rPr>
        <w:t>.</w:t>
      </w:r>
      <w:r w:rsidR="001F7701" w:rsidRPr="001E403F">
        <w:rPr>
          <w:rFonts w:asciiTheme="minorHAnsi" w:hAnsiTheme="minorHAnsi" w:cstheme="minorHAnsi"/>
          <w:b/>
          <w:bCs/>
          <w:sz w:val="24"/>
          <w:szCs w:val="24"/>
        </w:rPr>
        <w:t>000, -</w:t>
      </w:r>
      <w:r w:rsidRPr="001E403F">
        <w:rPr>
          <w:rFonts w:asciiTheme="minorHAnsi" w:hAnsiTheme="minorHAnsi" w:cstheme="minorHAnsi"/>
          <w:b/>
          <w:bCs/>
          <w:sz w:val="24"/>
          <w:szCs w:val="24"/>
        </w:rPr>
        <w:t xml:space="preserve"> Kč.</w:t>
      </w:r>
    </w:p>
    <w:p w14:paraId="3A893D21" w14:textId="77777777" w:rsidR="001E403F" w:rsidRPr="001E403F" w:rsidRDefault="001E403F" w:rsidP="000F6969">
      <w:pPr>
        <w:jc w:val="both"/>
        <w:rPr>
          <w:rFonts w:asciiTheme="minorHAnsi" w:hAnsiTheme="minorHAnsi" w:cstheme="minorHAnsi"/>
          <w:sz w:val="24"/>
          <w:szCs w:val="24"/>
        </w:rPr>
      </w:pPr>
      <w:r w:rsidRPr="001E403F">
        <w:rPr>
          <w:rFonts w:asciiTheme="minorHAnsi" w:hAnsiTheme="minorHAnsi" w:cstheme="minorHAnsi"/>
          <w:sz w:val="24"/>
          <w:szCs w:val="24"/>
        </w:rPr>
        <w:t>Při srovnání s možností odpočtu nákupu tichého vína do hodnoty 500,- Kč se zjevně nabízí otázka, zda je nákup vína vhodnější formou podpory zaměstnance než příspěvek např. na zdravotní pomůcky?</w:t>
      </w:r>
    </w:p>
    <w:p w14:paraId="3DFAE2EB" w14:textId="77777777" w:rsidR="001E403F" w:rsidRPr="001E403F" w:rsidRDefault="001E403F" w:rsidP="000F6969">
      <w:pPr>
        <w:jc w:val="both"/>
        <w:rPr>
          <w:rFonts w:asciiTheme="minorHAnsi" w:hAnsiTheme="minorHAnsi" w:cstheme="minorHAnsi"/>
          <w:sz w:val="22"/>
          <w:szCs w:val="22"/>
        </w:rPr>
      </w:pPr>
    </w:p>
    <w:p w14:paraId="491DE7D6" w14:textId="77777777" w:rsidR="001E403F" w:rsidRDefault="001E403F" w:rsidP="000F6969">
      <w:pPr>
        <w:jc w:val="both"/>
        <w:rPr>
          <w:rFonts w:asciiTheme="minorHAnsi" w:hAnsiTheme="minorHAnsi" w:cstheme="minorHAnsi"/>
          <w:sz w:val="24"/>
          <w:szCs w:val="24"/>
        </w:rPr>
      </w:pPr>
    </w:p>
    <w:bookmarkEnd w:id="0"/>
    <w:p w14:paraId="72D20B61" w14:textId="77777777" w:rsidR="004D5050" w:rsidRDefault="004D5050" w:rsidP="00AE56F8">
      <w:pPr>
        <w:widowControl w:val="0"/>
        <w:autoSpaceDE w:val="0"/>
        <w:autoSpaceDN w:val="0"/>
        <w:adjustRightInd w:val="0"/>
        <w:jc w:val="both"/>
        <w:rPr>
          <w:rFonts w:asciiTheme="minorHAnsi" w:hAnsiTheme="minorHAnsi" w:cstheme="minorHAnsi"/>
          <w:sz w:val="24"/>
          <w:szCs w:val="24"/>
          <w:u w:val="single"/>
        </w:rPr>
      </w:pPr>
    </w:p>
    <w:p w14:paraId="4771BF7F" w14:textId="6763982E" w:rsidR="00116A85" w:rsidRPr="00FB652E" w:rsidRDefault="001932EA" w:rsidP="00AE56F8">
      <w:pPr>
        <w:widowControl w:val="0"/>
        <w:autoSpaceDE w:val="0"/>
        <w:autoSpaceDN w:val="0"/>
        <w:adjustRightInd w:val="0"/>
        <w:jc w:val="both"/>
        <w:rPr>
          <w:rFonts w:asciiTheme="minorHAnsi" w:hAnsiTheme="minorHAnsi" w:cstheme="minorHAnsi"/>
          <w:sz w:val="24"/>
          <w:szCs w:val="24"/>
          <w:u w:val="single"/>
        </w:rPr>
      </w:pPr>
      <w:r w:rsidRPr="00FB652E">
        <w:rPr>
          <w:rFonts w:asciiTheme="minorHAnsi" w:hAnsiTheme="minorHAnsi" w:cstheme="minorHAnsi"/>
          <w:sz w:val="24"/>
          <w:szCs w:val="24"/>
          <w:u w:val="single"/>
        </w:rPr>
        <w:t>K</w:t>
      </w:r>
      <w:r w:rsidR="00116A85" w:rsidRPr="00FB652E">
        <w:rPr>
          <w:rFonts w:asciiTheme="minorHAnsi" w:hAnsiTheme="minorHAnsi" w:cstheme="minorHAnsi"/>
          <w:sz w:val="24"/>
          <w:szCs w:val="24"/>
          <w:u w:val="single"/>
        </w:rPr>
        <w:t>ontaktní osob</w:t>
      </w:r>
      <w:r w:rsidR="00C02026" w:rsidRPr="00FB652E">
        <w:rPr>
          <w:rFonts w:asciiTheme="minorHAnsi" w:hAnsiTheme="minorHAnsi" w:cstheme="minorHAnsi"/>
          <w:sz w:val="24"/>
          <w:szCs w:val="24"/>
          <w:u w:val="single"/>
        </w:rPr>
        <w:t>y</w:t>
      </w:r>
      <w:r w:rsidR="00CC03A3">
        <w:rPr>
          <w:rFonts w:asciiTheme="minorHAnsi" w:hAnsiTheme="minorHAnsi" w:cstheme="minorHAnsi"/>
          <w:sz w:val="24"/>
          <w:szCs w:val="24"/>
          <w:u w:val="single"/>
        </w:rPr>
        <w:t xml:space="preserve"> dle oblasti</w:t>
      </w:r>
      <w:r w:rsidR="00116A85" w:rsidRPr="00FB652E">
        <w:rPr>
          <w:rFonts w:asciiTheme="minorHAnsi" w:hAnsiTheme="minorHAnsi" w:cstheme="minorHAnsi"/>
          <w:sz w:val="24"/>
          <w:szCs w:val="24"/>
          <w:u w:val="single"/>
        </w:rPr>
        <w:t>:</w:t>
      </w:r>
    </w:p>
    <w:p w14:paraId="707EFB56" w14:textId="77777777" w:rsidR="00090C74" w:rsidRPr="00FB652E" w:rsidRDefault="00090C74" w:rsidP="00AE56F8">
      <w:pPr>
        <w:shd w:val="clear" w:color="auto" w:fill="FFFFFF"/>
        <w:jc w:val="both"/>
        <w:rPr>
          <w:rFonts w:asciiTheme="minorHAnsi" w:hAnsiTheme="minorHAnsi" w:cstheme="minorHAnsi"/>
          <w:bCs/>
          <w:color w:val="000000" w:themeColor="text1"/>
          <w:sz w:val="24"/>
          <w:szCs w:val="24"/>
        </w:rPr>
      </w:pPr>
    </w:p>
    <w:p w14:paraId="6F4EF2C5" w14:textId="0BFD9CE6" w:rsidR="004D5050" w:rsidRDefault="004D5050" w:rsidP="00AE56F8">
      <w:pPr>
        <w:pStyle w:val="indent"/>
        <w:shd w:val="clear" w:color="auto" w:fill="FFFFFF"/>
        <w:spacing w:before="0" w:after="0"/>
        <w:ind w:firstLine="0"/>
        <w:textAlignment w:val="top"/>
        <w:rPr>
          <w:rFonts w:asciiTheme="minorHAnsi" w:hAnsiTheme="minorHAnsi" w:cstheme="minorHAnsi"/>
        </w:rPr>
      </w:pPr>
      <w:r>
        <w:rPr>
          <w:rFonts w:asciiTheme="minorHAnsi" w:hAnsiTheme="minorHAnsi" w:cstheme="minorHAnsi"/>
        </w:rPr>
        <w:t xml:space="preserve">Ing. </w:t>
      </w:r>
      <w:r w:rsidR="000B1175">
        <w:rPr>
          <w:rFonts w:asciiTheme="minorHAnsi" w:hAnsiTheme="minorHAnsi" w:cstheme="minorHAnsi"/>
        </w:rPr>
        <w:t xml:space="preserve">Soňa </w:t>
      </w:r>
      <w:r>
        <w:rPr>
          <w:rFonts w:asciiTheme="minorHAnsi" w:hAnsiTheme="minorHAnsi" w:cstheme="minorHAnsi"/>
        </w:rPr>
        <w:t>van Deelenová</w:t>
      </w:r>
      <w:r w:rsidR="0078527B">
        <w:rPr>
          <w:rFonts w:asciiTheme="minorHAnsi" w:hAnsiTheme="minorHAnsi" w:cstheme="minorHAnsi"/>
        </w:rPr>
        <w:tab/>
      </w:r>
      <w:r w:rsidR="0078527B">
        <w:rPr>
          <w:rFonts w:asciiTheme="minorHAnsi" w:hAnsiTheme="minorHAnsi" w:cstheme="minorHAnsi"/>
        </w:rPr>
        <w:tab/>
        <w:t>e-mail:</w:t>
      </w:r>
      <w:r w:rsidR="0078527B">
        <w:rPr>
          <w:rFonts w:asciiTheme="minorHAnsi" w:hAnsiTheme="minorHAnsi" w:cstheme="minorHAnsi"/>
        </w:rPr>
        <w:tab/>
      </w:r>
      <w:hyperlink r:id="rId13" w:history="1">
        <w:r w:rsidR="0078527B" w:rsidRPr="000142B0">
          <w:rPr>
            <w:rStyle w:val="Hypertextovodkaz"/>
            <w:rFonts w:asciiTheme="minorHAnsi" w:hAnsiTheme="minorHAnsi" w:cstheme="minorHAnsi"/>
          </w:rPr>
          <w:t>vandeelenov@scmvd.cz</w:t>
        </w:r>
      </w:hyperlink>
      <w:r w:rsidR="0078527B">
        <w:rPr>
          <w:rFonts w:asciiTheme="minorHAnsi" w:hAnsiTheme="minorHAnsi" w:cstheme="minorHAnsi"/>
        </w:rPr>
        <w:tab/>
        <w:t>tel:</w:t>
      </w:r>
      <w:r w:rsidR="0078527B">
        <w:rPr>
          <w:rFonts w:asciiTheme="minorHAnsi" w:hAnsiTheme="minorHAnsi" w:cstheme="minorHAnsi"/>
        </w:rPr>
        <w:tab/>
        <w:t>22</w:t>
      </w:r>
      <w:r w:rsidR="000B1175">
        <w:rPr>
          <w:rFonts w:asciiTheme="minorHAnsi" w:hAnsiTheme="minorHAnsi" w:cstheme="minorHAnsi"/>
        </w:rPr>
        <w:t>4 109 243</w:t>
      </w:r>
    </w:p>
    <w:p w14:paraId="6AA718CE" w14:textId="050C4906" w:rsidR="00116A85" w:rsidRPr="00FB652E" w:rsidRDefault="00B17C0F" w:rsidP="00AE56F8">
      <w:pPr>
        <w:pStyle w:val="indent"/>
        <w:shd w:val="clear" w:color="auto" w:fill="FFFFFF"/>
        <w:spacing w:before="0" w:after="0"/>
        <w:ind w:firstLine="0"/>
        <w:textAlignment w:val="top"/>
        <w:rPr>
          <w:rFonts w:asciiTheme="minorHAnsi" w:hAnsiTheme="minorHAnsi" w:cstheme="minorHAnsi"/>
        </w:rPr>
      </w:pPr>
      <w:r w:rsidRPr="00FB652E">
        <w:rPr>
          <w:rFonts w:asciiTheme="minorHAnsi" w:hAnsiTheme="minorHAnsi" w:cstheme="minorHAnsi"/>
        </w:rPr>
        <w:t>Dr.</w:t>
      </w:r>
      <w:r w:rsidR="00116A85" w:rsidRPr="00FB652E">
        <w:rPr>
          <w:rFonts w:asciiTheme="minorHAnsi" w:hAnsiTheme="minorHAnsi" w:cstheme="minorHAnsi"/>
        </w:rPr>
        <w:t xml:space="preserve"> Jan Zikeš</w:t>
      </w:r>
      <w:r w:rsidR="00C02026" w:rsidRPr="00FB652E">
        <w:rPr>
          <w:rFonts w:asciiTheme="minorHAnsi" w:hAnsiTheme="minorHAnsi" w:cstheme="minorHAnsi"/>
        </w:rPr>
        <w:tab/>
      </w:r>
      <w:r w:rsidR="00C02026" w:rsidRPr="00FB652E">
        <w:rPr>
          <w:rFonts w:asciiTheme="minorHAnsi" w:hAnsiTheme="minorHAnsi" w:cstheme="minorHAnsi"/>
        </w:rPr>
        <w:tab/>
      </w:r>
      <w:r w:rsidR="007D6A55" w:rsidRPr="00FB652E">
        <w:rPr>
          <w:rFonts w:asciiTheme="minorHAnsi" w:hAnsiTheme="minorHAnsi" w:cstheme="minorHAnsi"/>
        </w:rPr>
        <w:tab/>
      </w:r>
      <w:r w:rsidR="00F52BC5" w:rsidRPr="00FB652E">
        <w:rPr>
          <w:rFonts w:asciiTheme="minorHAnsi" w:hAnsiTheme="minorHAnsi" w:cstheme="minorHAnsi"/>
        </w:rPr>
        <w:tab/>
      </w:r>
      <w:r w:rsidR="00116A85" w:rsidRPr="00FB652E">
        <w:rPr>
          <w:rFonts w:asciiTheme="minorHAnsi" w:hAnsiTheme="minorHAnsi" w:cstheme="minorHAnsi"/>
        </w:rPr>
        <w:t>e</w:t>
      </w:r>
      <w:r w:rsidR="001932EA" w:rsidRPr="00FB652E">
        <w:rPr>
          <w:rFonts w:asciiTheme="minorHAnsi" w:hAnsiTheme="minorHAnsi" w:cstheme="minorHAnsi"/>
        </w:rPr>
        <w:t>-</w:t>
      </w:r>
      <w:r w:rsidR="00116A85" w:rsidRPr="00FB652E">
        <w:rPr>
          <w:rFonts w:asciiTheme="minorHAnsi" w:hAnsiTheme="minorHAnsi" w:cstheme="minorHAnsi"/>
        </w:rPr>
        <w:t>mail:</w:t>
      </w:r>
      <w:r w:rsidR="00B62EFD" w:rsidRPr="00FB652E">
        <w:rPr>
          <w:rFonts w:asciiTheme="minorHAnsi" w:hAnsiTheme="minorHAnsi" w:cstheme="minorHAnsi"/>
        </w:rPr>
        <w:tab/>
      </w:r>
      <w:hyperlink r:id="rId14" w:history="1">
        <w:r w:rsidR="00116A85" w:rsidRPr="00FB652E">
          <w:rPr>
            <w:rStyle w:val="Hypertextovodkaz"/>
            <w:rFonts w:asciiTheme="minorHAnsi" w:hAnsiTheme="minorHAnsi" w:cstheme="minorHAnsi"/>
          </w:rPr>
          <w:t>zikes@kzps.cz</w:t>
        </w:r>
      </w:hyperlink>
      <w:r w:rsidR="00C02026" w:rsidRPr="00FB652E">
        <w:rPr>
          <w:rFonts w:asciiTheme="minorHAnsi" w:hAnsiTheme="minorHAnsi" w:cstheme="minorHAnsi"/>
        </w:rPr>
        <w:tab/>
      </w:r>
      <w:r w:rsidR="00C02026" w:rsidRPr="00FB652E">
        <w:rPr>
          <w:rFonts w:asciiTheme="minorHAnsi" w:hAnsiTheme="minorHAnsi" w:cstheme="minorHAnsi"/>
        </w:rPr>
        <w:tab/>
      </w:r>
      <w:r w:rsidR="00680FD8" w:rsidRPr="00FB652E">
        <w:rPr>
          <w:rFonts w:asciiTheme="minorHAnsi" w:hAnsiTheme="minorHAnsi" w:cstheme="minorHAnsi"/>
        </w:rPr>
        <w:tab/>
      </w:r>
      <w:r w:rsidR="00116A85" w:rsidRPr="00FB652E">
        <w:rPr>
          <w:rFonts w:asciiTheme="minorHAnsi" w:hAnsiTheme="minorHAnsi" w:cstheme="minorHAnsi"/>
        </w:rPr>
        <w:t>tel:</w:t>
      </w:r>
      <w:r w:rsidR="00D442C1" w:rsidRPr="00FB652E">
        <w:rPr>
          <w:rFonts w:asciiTheme="minorHAnsi" w:hAnsiTheme="minorHAnsi" w:cstheme="minorHAnsi"/>
        </w:rPr>
        <w:tab/>
      </w:r>
      <w:r w:rsidR="00C02026" w:rsidRPr="00FB652E">
        <w:rPr>
          <w:rFonts w:asciiTheme="minorHAnsi" w:hAnsiTheme="minorHAnsi" w:cstheme="minorHAnsi"/>
        </w:rPr>
        <w:t>222 324</w:t>
      </w:r>
      <w:r w:rsidR="00915A00">
        <w:rPr>
          <w:rFonts w:asciiTheme="minorHAnsi" w:hAnsiTheme="minorHAnsi" w:cstheme="minorHAnsi"/>
        </w:rPr>
        <w:t> </w:t>
      </w:r>
      <w:r w:rsidR="00C02026" w:rsidRPr="00FB652E">
        <w:rPr>
          <w:rFonts w:asciiTheme="minorHAnsi" w:hAnsiTheme="minorHAnsi" w:cstheme="minorHAnsi"/>
        </w:rPr>
        <w:t>985</w:t>
      </w:r>
    </w:p>
    <w:p w14:paraId="5461661C" w14:textId="77777777" w:rsidR="000851F9" w:rsidRDefault="000851F9" w:rsidP="00AE56F8">
      <w:pPr>
        <w:jc w:val="both"/>
        <w:rPr>
          <w:rFonts w:asciiTheme="minorHAnsi" w:hAnsiTheme="minorHAnsi" w:cstheme="minorHAnsi"/>
          <w:sz w:val="24"/>
          <w:szCs w:val="24"/>
        </w:rPr>
      </w:pPr>
    </w:p>
    <w:p w14:paraId="725CCFF4" w14:textId="77777777" w:rsidR="00915A00" w:rsidRPr="00FB652E" w:rsidRDefault="00915A00" w:rsidP="00AE56F8">
      <w:pPr>
        <w:jc w:val="both"/>
        <w:rPr>
          <w:rFonts w:asciiTheme="minorHAnsi" w:hAnsiTheme="minorHAnsi" w:cstheme="minorHAnsi"/>
          <w:sz w:val="24"/>
          <w:szCs w:val="24"/>
        </w:rPr>
      </w:pPr>
    </w:p>
    <w:p w14:paraId="66FB6E07" w14:textId="681D5A15" w:rsidR="00FD1397" w:rsidRDefault="009A436D" w:rsidP="00AE56F8">
      <w:pPr>
        <w:jc w:val="both"/>
        <w:rPr>
          <w:rFonts w:asciiTheme="minorHAnsi" w:hAnsiTheme="minorHAnsi" w:cstheme="minorHAnsi"/>
          <w:sz w:val="24"/>
          <w:szCs w:val="24"/>
        </w:rPr>
      </w:pPr>
      <w:r w:rsidRPr="00FB652E">
        <w:rPr>
          <w:rFonts w:asciiTheme="minorHAnsi" w:hAnsiTheme="minorHAnsi" w:cstheme="minorHAnsi"/>
          <w:sz w:val="24"/>
          <w:szCs w:val="24"/>
        </w:rPr>
        <w:t>V Praze dne</w:t>
      </w:r>
      <w:r w:rsidR="00E140D6" w:rsidRPr="00FB652E">
        <w:rPr>
          <w:rFonts w:asciiTheme="minorHAnsi" w:hAnsiTheme="minorHAnsi" w:cstheme="minorHAnsi"/>
          <w:sz w:val="24"/>
          <w:szCs w:val="24"/>
        </w:rPr>
        <w:t xml:space="preserve"> </w:t>
      </w:r>
      <w:r w:rsidR="004E2C90" w:rsidRPr="00FB652E">
        <w:rPr>
          <w:rFonts w:asciiTheme="minorHAnsi" w:hAnsiTheme="minorHAnsi" w:cstheme="minorHAnsi"/>
          <w:sz w:val="24"/>
          <w:szCs w:val="24"/>
        </w:rPr>
        <w:t>29</w:t>
      </w:r>
      <w:r w:rsidR="00CF3AB9" w:rsidRPr="00FB652E">
        <w:rPr>
          <w:rFonts w:asciiTheme="minorHAnsi" w:hAnsiTheme="minorHAnsi" w:cstheme="minorHAnsi"/>
          <w:sz w:val="24"/>
          <w:szCs w:val="24"/>
        </w:rPr>
        <w:t xml:space="preserve">. </w:t>
      </w:r>
      <w:r w:rsidR="004E2C90" w:rsidRPr="00FB652E">
        <w:rPr>
          <w:rFonts w:asciiTheme="minorHAnsi" w:hAnsiTheme="minorHAnsi" w:cstheme="minorHAnsi"/>
          <w:sz w:val="24"/>
          <w:szCs w:val="24"/>
        </w:rPr>
        <w:t>května</w:t>
      </w:r>
      <w:r w:rsidR="00CF3AB9" w:rsidRPr="00FB652E">
        <w:rPr>
          <w:rFonts w:asciiTheme="minorHAnsi" w:hAnsiTheme="minorHAnsi" w:cstheme="minorHAnsi"/>
          <w:sz w:val="24"/>
          <w:szCs w:val="24"/>
        </w:rPr>
        <w:t xml:space="preserve"> 2023</w:t>
      </w:r>
    </w:p>
    <w:p w14:paraId="755E14DF" w14:textId="77777777" w:rsidR="00915A00" w:rsidRDefault="00915A00" w:rsidP="00AE56F8">
      <w:pPr>
        <w:jc w:val="both"/>
        <w:rPr>
          <w:rFonts w:asciiTheme="minorHAnsi" w:hAnsiTheme="minorHAnsi" w:cstheme="minorHAnsi"/>
          <w:sz w:val="24"/>
          <w:szCs w:val="24"/>
        </w:rPr>
      </w:pPr>
    </w:p>
    <w:p w14:paraId="6A3D797D" w14:textId="536A90FE" w:rsidR="009846A5" w:rsidRPr="00FB652E" w:rsidRDefault="009846A5" w:rsidP="00AE56F8">
      <w:pPr>
        <w:jc w:val="both"/>
        <w:rPr>
          <w:rFonts w:asciiTheme="minorHAnsi" w:hAnsiTheme="minorHAnsi" w:cstheme="minorHAnsi"/>
          <w:sz w:val="24"/>
          <w:szCs w:val="24"/>
        </w:rPr>
      </w:pPr>
    </w:p>
    <w:p w14:paraId="56B8F675" w14:textId="686D61F4" w:rsidR="006266A6" w:rsidRPr="00FB652E" w:rsidRDefault="00BF1917" w:rsidP="00AE56F8">
      <w:pPr>
        <w:jc w:val="both"/>
        <w:rPr>
          <w:rFonts w:asciiTheme="minorHAnsi" w:hAnsiTheme="minorHAnsi" w:cstheme="minorHAnsi"/>
          <w:b/>
          <w:sz w:val="24"/>
          <w:szCs w:val="24"/>
        </w:rPr>
      </w:pPr>
      <w:r w:rsidRPr="00FB652E">
        <w:rPr>
          <w:rFonts w:asciiTheme="minorHAnsi" w:hAnsiTheme="minorHAnsi" w:cstheme="minorHAnsi"/>
          <w:sz w:val="24"/>
          <w:szCs w:val="24"/>
        </w:rPr>
        <w:t xml:space="preserve"> </w:t>
      </w:r>
      <w:r w:rsidR="00E825FB" w:rsidRPr="00FB652E">
        <w:rPr>
          <w:rFonts w:asciiTheme="minorHAnsi" w:hAnsiTheme="minorHAnsi" w:cstheme="minorHAnsi"/>
          <w:sz w:val="24"/>
          <w:szCs w:val="24"/>
        </w:rPr>
        <w:tab/>
      </w:r>
      <w:r w:rsidR="00E825FB" w:rsidRPr="00FB652E">
        <w:rPr>
          <w:rFonts w:asciiTheme="minorHAnsi" w:hAnsiTheme="minorHAnsi" w:cstheme="minorHAnsi"/>
          <w:sz w:val="24"/>
          <w:szCs w:val="24"/>
        </w:rPr>
        <w:tab/>
      </w:r>
      <w:r w:rsidR="00E825FB" w:rsidRPr="00FB652E">
        <w:rPr>
          <w:rFonts w:asciiTheme="minorHAnsi" w:hAnsiTheme="minorHAnsi" w:cstheme="minorHAnsi"/>
          <w:sz w:val="24"/>
          <w:szCs w:val="24"/>
        </w:rPr>
        <w:tab/>
      </w:r>
      <w:r w:rsidR="00E825FB" w:rsidRPr="00FB652E">
        <w:rPr>
          <w:rFonts w:asciiTheme="minorHAnsi" w:hAnsiTheme="minorHAnsi" w:cstheme="minorHAnsi"/>
          <w:sz w:val="24"/>
          <w:szCs w:val="24"/>
        </w:rPr>
        <w:tab/>
      </w:r>
      <w:r w:rsidR="00E825FB" w:rsidRPr="00FB652E">
        <w:rPr>
          <w:rFonts w:asciiTheme="minorHAnsi" w:hAnsiTheme="minorHAnsi" w:cstheme="minorHAnsi"/>
          <w:sz w:val="24"/>
          <w:szCs w:val="24"/>
        </w:rPr>
        <w:tab/>
      </w:r>
      <w:r w:rsidR="00E825FB" w:rsidRPr="00FB652E">
        <w:rPr>
          <w:rFonts w:asciiTheme="minorHAnsi" w:hAnsiTheme="minorHAnsi" w:cstheme="minorHAnsi"/>
          <w:sz w:val="24"/>
          <w:szCs w:val="24"/>
        </w:rPr>
        <w:tab/>
      </w:r>
      <w:r w:rsidR="00E825FB" w:rsidRPr="00FB652E">
        <w:rPr>
          <w:rFonts w:asciiTheme="minorHAnsi" w:hAnsiTheme="minorHAnsi" w:cstheme="minorHAnsi"/>
          <w:sz w:val="24"/>
          <w:szCs w:val="24"/>
        </w:rPr>
        <w:tab/>
      </w:r>
      <w:r w:rsidR="00E825FB" w:rsidRPr="00FB652E">
        <w:rPr>
          <w:rFonts w:asciiTheme="minorHAnsi" w:hAnsiTheme="minorHAnsi" w:cstheme="minorHAnsi"/>
          <w:sz w:val="24"/>
          <w:szCs w:val="24"/>
        </w:rPr>
        <w:tab/>
      </w:r>
      <w:r w:rsidR="00E825FB" w:rsidRPr="00FB652E">
        <w:rPr>
          <w:rFonts w:asciiTheme="minorHAnsi" w:hAnsiTheme="minorHAnsi" w:cstheme="minorHAnsi"/>
          <w:sz w:val="24"/>
          <w:szCs w:val="24"/>
        </w:rPr>
        <w:tab/>
      </w:r>
      <w:r w:rsidR="002A28AB" w:rsidRPr="00FB652E">
        <w:rPr>
          <w:rFonts w:asciiTheme="minorHAnsi" w:hAnsiTheme="minorHAnsi" w:cstheme="minorHAnsi"/>
          <w:sz w:val="24"/>
          <w:szCs w:val="24"/>
        </w:rPr>
        <w:tab/>
      </w:r>
      <w:r w:rsidR="002A28AB" w:rsidRPr="00FB652E">
        <w:rPr>
          <w:rFonts w:asciiTheme="minorHAnsi" w:hAnsiTheme="minorHAnsi" w:cstheme="minorHAnsi"/>
          <w:b/>
          <w:sz w:val="24"/>
          <w:szCs w:val="24"/>
        </w:rPr>
        <w:t xml:space="preserve">        </w:t>
      </w:r>
      <w:r w:rsidR="00F645E4" w:rsidRPr="00FB652E">
        <w:rPr>
          <w:rFonts w:asciiTheme="minorHAnsi" w:hAnsiTheme="minorHAnsi" w:cstheme="minorHAnsi"/>
          <w:b/>
          <w:sz w:val="24"/>
          <w:szCs w:val="24"/>
        </w:rPr>
        <w:t>Jan W i e s n e r</w:t>
      </w:r>
    </w:p>
    <w:p w14:paraId="6570B970" w14:textId="3DEC77D6" w:rsidR="00915A00" w:rsidRPr="00FC53B2" w:rsidRDefault="00875CDF" w:rsidP="00AE56F8">
      <w:pPr>
        <w:jc w:val="both"/>
        <w:rPr>
          <w:rFonts w:asciiTheme="minorHAnsi" w:hAnsiTheme="minorHAnsi" w:cstheme="minorHAnsi"/>
          <w:sz w:val="24"/>
          <w:szCs w:val="24"/>
        </w:rPr>
      </w:pPr>
      <w:r w:rsidRPr="00FB652E">
        <w:rPr>
          <w:rFonts w:asciiTheme="minorHAnsi" w:hAnsiTheme="minorHAnsi" w:cstheme="minorHAnsi"/>
          <w:sz w:val="24"/>
          <w:szCs w:val="24"/>
        </w:rPr>
        <w:tab/>
      </w:r>
      <w:r w:rsidRPr="00FB652E">
        <w:rPr>
          <w:rFonts w:asciiTheme="minorHAnsi" w:hAnsiTheme="minorHAnsi" w:cstheme="minorHAnsi"/>
          <w:sz w:val="24"/>
          <w:szCs w:val="24"/>
        </w:rPr>
        <w:tab/>
        <w:t xml:space="preserve">                                                   </w:t>
      </w:r>
      <w:r w:rsidR="00F645E4" w:rsidRPr="00FB652E">
        <w:rPr>
          <w:rFonts w:asciiTheme="minorHAnsi" w:hAnsiTheme="minorHAnsi" w:cstheme="minorHAnsi"/>
          <w:sz w:val="24"/>
          <w:szCs w:val="24"/>
        </w:rPr>
        <w:t xml:space="preserve"> </w:t>
      </w:r>
      <w:r w:rsidR="00BF1917" w:rsidRPr="00FB652E">
        <w:rPr>
          <w:rFonts w:asciiTheme="minorHAnsi" w:hAnsiTheme="minorHAnsi" w:cstheme="minorHAnsi"/>
          <w:sz w:val="24"/>
          <w:szCs w:val="24"/>
        </w:rPr>
        <w:t xml:space="preserve">                        </w:t>
      </w:r>
      <w:r w:rsidR="00E825FB" w:rsidRPr="00FC53B2">
        <w:rPr>
          <w:rFonts w:asciiTheme="minorHAnsi" w:hAnsiTheme="minorHAnsi" w:cstheme="minorHAnsi"/>
          <w:sz w:val="24"/>
          <w:szCs w:val="24"/>
        </w:rPr>
        <w:tab/>
      </w:r>
      <w:r w:rsidR="00E825FB" w:rsidRPr="00FC53B2">
        <w:rPr>
          <w:rFonts w:asciiTheme="minorHAnsi" w:hAnsiTheme="minorHAnsi" w:cstheme="minorHAnsi"/>
          <w:sz w:val="24"/>
          <w:szCs w:val="24"/>
        </w:rPr>
        <w:tab/>
      </w:r>
      <w:r w:rsidR="002A28AB" w:rsidRPr="00FC53B2">
        <w:rPr>
          <w:rFonts w:asciiTheme="minorHAnsi" w:hAnsiTheme="minorHAnsi" w:cstheme="minorHAnsi"/>
          <w:sz w:val="24"/>
          <w:szCs w:val="24"/>
        </w:rPr>
        <w:tab/>
        <w:t xml:space="preserve">        </w:t>
      </w:r>
      <w:r w:rsidR="007D7760" w:rsidRPr="00FC53B2">
        <w:rPr>
          <w:rFonts w:asciiTheme="minorHAnsi" w:hAnsiTheme="minorHAnsi" w:cstheme="minorHAnsi"/>
          <w:sz w:val="24"/>
          <w:szCs w:val="24"/>
        </w:rPr>
        <w:t xml:space="preserve"> </w:t>
      </w:r>
      <w:r w:rsidR="002A28AB" w:rsidRPr="00FC53B2">
        <w:rPr>
          <w:rFonts w:asciiTheme="minorHAnsi" w:hAnsiTheme="minorHAnsi" w:cstheme="minorHAnsi"/>
          <w:sz w:val="24"/>
          <w:szCs w:val="24"/>
        </w:rPr>
        <w:t xml:space="preserve">    </w:t>
      </w:r>
      <w:r w:rsidR="00915A00">
        <w:rPr>
          <w:rFonts w:asciiTheme="minorHAnsi" w:hAnsiTheme="minorHAnsi" w:cstheme="minorHAnsi"/>
          <w:sz w:val="24"/>
          <w:szCs w:val="24"/>
        </w:rPr>
        <w:t>p</w:t>
      </w:r>
      <w:r w:rsidR="004016A2" w:rsidRPr="00FC53B2">
        <w:rPr>
          <w:rFonts w:asciiTheme="minorHAnsi" w:hAnsiTheme="minorHAnsi" w:cstheme="minorHAnsi"/>
          <w:sz w:val="24"/>
          <w:szCs w:val="24"/>
        </w:rPr>
        <w:t>rezident</w:t>
      </w:r>
    </w:p>
    <w:sectPr w:rsidR="00915A00" w:rsidRPr="00FC53B2" w:rsidSect="007D7760">
      <w:headerReference w:type="even" r:id="rId15"/>
      <w:type w:val="continuous"/>
      <w:pgSz w:w="11906" w:h="16838"/>
      <w:pgMar w:top="1417" w:right="1417" w:bottom="1417" w:left="1417" w:header="62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E910" w14:textId="77777777" w:rsidR="00C864F1" w:rsidRDefault="00C864F1">
      <w:r>
        <w:separator/>
      </w:r>
    </w:p>
    <w:p w14:paraId="1751F60A" w14:textId="77777777" w:rsidR="00C864F1" w:rsidRDefault="00C864F1"/>
  </w:endnote>
  <w:endnote w:type="continuationSeparator" w:id="0">
    <w:p w14:paraId="665C357F" w14:textId="77777777" w:rsidR="00C864F1" w:rsidRDefault="00C864F1">
      <w:r>
        <w:continuationSeparator/>
      </w:r>
    </w:p>
    <w:p w14:paraId="7A7D43CB" w14:textId="77777777" w:rsidR="00C864F1" w:rsidRDefault="00C86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99DC" w14:textId="77777777" w:rsidR="00C864F1" w:rsidRDefault="00C864F1">
      <w:r>
        <w:separator/>
      </w:r>
    </w:p>
    <w:p w14:paraId="747C5A52" w14:textId="77777777" w:rsidR="00C864F1" w:rsidRDefault="00C864F1"/>
  </w:footnote>
  <w:footnote w:type="continuationSeparator" w:id="0">
    <w:p w14:paraId="1C338922" w14:textId="77777777" w:rsidR="00C864F1" w:rsidRDefault="00C864F1">
      <w:r>
        <w:continuationSeparator/>
      </w:r>
    </w:p>
    <w:p w14:paraId="002093C1" w14:textId="77777777" w:rsidR="00C864F1" w:rsidRDefault="00C86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739F" w14:textId="77777777" w:rsidR="00EE5477" w:rsidRDefault="000D0DB3" w:rsidP="00387603">
    <w:pPr>
      <w:pStyle w:val="Zhlav"/>
      <w:framePr w:wrap="around" w:vAnchor="text" w:hAnchor="margin" w:xAlign="center" w:y="1"/>
      <w:rPr>
        <w:rStyle w:val="slostrnky"/>
      </w:rPr>
    </w:pPr>
    <w:r>
      <w:rPr>
        <w:rStyle w:val="slostrnky"/>
      </w:rPr>
      <w:fldChar w:fldCharType="begin"/>
    </w:r>
    <w:r w:rsidR="00EE5477">
      <w:rPr>
        <w:rStyle w:val="slostrnky"/>
      </w:rPr>
      <w:instrText xml:space="preserve">PAGE  </w:instrText>
    </w:r>
    <w:r>
      <w:rPr>
        <w:rStyle w:val="slostrnky"/>
      </w:rPr>
      <w:fldChar w:fldCharType="end"/>
    </w:r>
  </w:p>
  <w:p w14:paraId="65FF8AA1" w14:textId="77777777" w:rsidR="00EE5477" w:rsidRDefault="00EE54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67A5" w14:textId="77777777" w:rsidR="00EE5477" w:rsidRDefault="000D0DB3" w:rsidP="00387603">
    <w:pPr>
      <w:pStyle w:val="Zhlav"/>
      <w:framePr w:wrap="around" w:vAnchor="text" w:hAnchor="margin" w:xAlign="center" w:y="1"/>
      <w:rPr>
        <w:rStyle w:val="slostrnky"/>
      </w:rPr>
    </w:pPr>
    <w:r>
      <w:rPr>
        <w:rStyle w:val="slostrnky"/>
      </w:rPr>
      <w:fldChar w:fldCharType="begin"/>
    </w:r>
    <w:r w:rsidR="00EE5477">
      <w:rPr>
        <w:rStyle w:val="slostrnky"/>
      </w:rPr>
      <w:instrText xml:space="preserve">PAGE  </w:instrText>
    </w:r>
    <w:r>
      <w:rPr>
        <w:rStyle w:val="slostrnky"/>
      </w:rPr>
      <w:fldChar w:fldCharType="separate"/>
    </w:r>
    <w:r w:rsidR="0002661A">
      <w:rPr>
        <w:rStyle w:val="slostrnky"/>
        <w:noProof/>
      </w:rPr>
      <w:t>2</w:t>
    </w:r>
    <w:r>
      <w:rPr>
        <w:rStyle w:val="slostrnky"/>
      </w:rPr>
      <w:fldChar w:fldCharType="end"/>
    </w:r>
  </w:p>
  <w:p w14:paraId="03D4EE3A" w14:textId="77777777" w:rsidR="00EE5477" w:rsidRDefault="00EE54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014" w14:textId="77777777" w:rsidR="00EE5477" w:rsidRDefault="00EE5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9930C0C"/>
    <w:multiLevelType w:val="hybridMultilevel"/>
    <w:tmpl w:val="7310AD76"/>
    <w:lvl w:ilvl="0" w:tplc="75282324">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3F0720"/>
    <w:multiLevelType w:val="hybridMultilevel"/>
    <w:tmpl w:val="5FE09288"/>
    <w:lvl w:ilvl="0" w:tplc="4ED0E27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19C664BB"/>
    <w:multiLevelType w:val="hybridMultilevel"/>
    <w:tmpl w:val="8124BE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2287E"/>
    <w:multiLevelType w:val="hybridMultilevel"/>
    <w:tmpl w:val="D38EA16A"/>
    <w:lvl w:ilvl="0" w:tplc="CD4431DC">
      <w:start w:val="10"/>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0A0C2E"/>
    <w:multiLevelType w:val="hybridMultilevel"/>
    <w:tmpl w:val="D7AA3A1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832E70"/>
    <w:multiLevelType w:val="hybridMultilevel"/>
    <w:tmpl w:val="03AA0FE0"/>
    <w:lvl w:ilvl="0" w:tplc="60B80CA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286F72DF"/>
    <w:multiLevelType w:val="hybridMultilevel"/>
    <w:tmpl w:val="3CC261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312AF7"/>
    <w:multiLevelType w:val="hybridMultilevel"/>
    <w:tmpl w:val="C6E49614"/>
    <w:lvl w:ilvl="0" w:tplc="E75AF7A2">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64CFB"/>
    <w:multiLevelType w:val="hybridMultilevel"/>
    <w:tmpl w:val="28DE42EE"/>
    <w:lvl w:ilvl="0" w:tplc="E530DD8E">
      <w:start w:val="1"/>
      <w:numFmt w:val="bullet"/>
      <w:lvlText w:val="-"/>
      <w:lvlJc w:val="left"/>
      <w:pPr>
        <w:ind w:left="1776" w:hanging="360"/>
      </w:pPr>
      <w:rPr>
        <w:rFonts w:ascii="Calibri" w:eastAsiaTheme="minorHAns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35F12840"/>
    <w:multiLevelType w:val="hybridMultilevel"/>
    <w:tmpl w:val="70AC1012"/>
    <w:lvl w:ilvl="0" w:tplc="57F81EAE">
      <w:start w:val="1"/>
      <w:numFmt w:val="lowerLetter"/>
      <w:lvlText w:val="%1)"/>
      <w:lvlJc w:val="left"/>
      <w:pPr>
        <w:ind w:left="1352"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6687BA1"/>
    <w:multiLevelType w:val="hybridMultilevel"/>
    <w:tmpl w:val="250481EA"/>
    <w:name w:val="WW8Num62"/>
    <w:lvl w:ilvl="0" w:tplc="56D6CC68">
      <w:start w:val="1"/>
      <w:numFmt w:val="decimal"/>
      <w:lvlText w:val="(%1)"/>
      <w:lvlJc w:val="left"/>
      <w:pPr>
        <w:tabs>
          <w:tab w:val="num" w:pos="720"/>
        </w:tabs>
        <w:ind w:left="720" w:hanging="360"/>
      </w:pPr>
      <w:rPr>
        <w:rFonts w:cs="Times New Roman"/>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C72C0D"/>
    <w:multiLevelType w:val="hybridMultilevel"/>
    <w:tmpl w:val="643A8884"/>
    <w:lvl w:ilvl="0" w:tplc="18BC6D88">
      <w:start w:val="1"/>
      <w:numFmt w:val="upperRoman"/>
      <w:lvlText w:val="%1."/>
      <w:lvlJc w:val="left"/>
      <w:pPr>
        <w:ind w:left="1800" w:hanging="72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3" w15:restartNumberingAfterBreak="0">
    <w:nsid w:val="372D75FC"/>
    <w:multiLevelType w:val="hybridMultilevel"/>
    <w:tmpl w:val="6CEE7D0A"/>
    <w:lvl w:ilvl="0" w:tplc="98EE6842">
      <w:start w:val="1"/>
      <w:numFmt w:val="decimal"/>
      <w:lvlText w:val="%1)"/>
      <w:lvlJc w:val="left"/>
      <w:pPr>
        <w:ind w:left="19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EB03B5"/>
    <w:multiLevelType w:val="hybridMultilevel"/>
    <w:tmpl w:val="19BCA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BC50EB"/>
    <w:multiLevelType w:val="hybridMultilevel"/>
    <w:tmpl w:val="5FCA26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A60241"/>
    <w:multiLevelType w:val="hybridMultilevel"/>
    <w:tmpl w:val="8F9490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BF142D"/>
    <w:multiLevelType w:val="hybridMultilevel"/>
    <w:tmpl w:val="C4685234"/>
    <w:lvl w:ilvl="0" w:tplc="0E449C64">
      <w:start w:val="1"/>
      <w:numFmt w:val="decimal"/>
      <w:lvlText w:val="%1."/>
      <w:lvlJc w:val="left"/>
      <w:pPr>
        <w:ind w:left="720" w:hanging="360"/>
      </w:pPr>
      <w:rPr>
        <w:rFonts w:ascii="Calibri" w:eastAsia="Calibri"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4422321"/>
    <w:multiLevelType w:val="hybridMultilevel"/>
    <w:tmpl w:val="CAEA1B00"/>
    <w:lvl w:ilvl="0" w:tplc="13B0BE3E">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72E5286"/>
    <w:multiLevelType w:val="hybridMultilevel"/>
    <w:tmpl w:val="53D6942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442F05"/>
    <w:multiLevelType w:val="hybridMultilevel"/>
    <w:tmpl w:val="9538EA2C"/>
    <w:lvl w:ilvl="0" w:tplc="4BD0E354">
      <w:start w:val="1"/>
      <w:numFmt w:val="decimal"/>
      <w:lvlText w:val="%1)"/>
      <w:lvlJc w:val="left"/>
      <w:pPr>
        <w:ind w:left="36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5BB0427F"/>
    <w:multiLevelType w:val="hybridMultilevel"/>
    <w:tmpl w:val="9E9E7BE4"/>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16A7CA2"/>
    <w:multiLevelType w:val="multilevel"/>
    <w:tmpl w:val="2B5CD71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5D2596"/>
    <w:multiLevelType w:val="hybridMultilevel"/>
    <w:tmpl w:val="C09000A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917BCF"/>
    <w:multiLevelType w:val="hybridMultilevel"/>
    <w:tmpl w:val="146CE544"/>
    <w:lvl w:ilvl="0" w:tplc="5B068548">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AF1A1F"/>
    <w:multiLevelType w:val="multilevel"/>
    <w:tmpl w:val="D152D292"/>
    <w:lvl w:ilvl="0">
      <w:start w:val="1"/>
      <w:numFmt w:val="decimal"/>
      <w:pStyle w:val="Textbodunovely"/>
      <w:isLgl/>
      <w:lvlText w:val="(%1)"/>
      <w:lvlJc w:val="left"/>
      <w:pPr>
        <w:tabs>
          <w:tab w:val="num" w:pos="1207"/>
        </w:tabs>
        <w:ind w:left="425" w:firstLine="425"/>
      </w:pPr>
      <w:rPr>
        <w:rFonts w:cs="Times New Roman"/>
      </w:rPr>
    </w:lvl>
    <w:lvl w:ilvl="1">
      <w:start w:val="1"/>
      <w:numFmt w:val="lowerLetter"/>
      <w:lvlText w:val="%2)"/>
      <w:lvlJc w:val="left"/>
      <w:pPr>
        <w:tabs>
          <w:tab w:val="num" w:pos="1210"/>
        </w:tabs>
        <w:ind w:left="1210" w:hanging="360"/>
      </w:pPr>
      <w:rPr>
        <w:rFonts w:cs="Times New Roman" w:hint="default"/>
      </w:rPr>
    </w:lvl>
    <w:lvl w:ilvl="2">
      <w:start w:val="1"/>
      <w:numFmt w:val="decimal"/>
      <w:pStyle w:val="Nadpispozmn"/>
      <w:isLgl/>
      <w:lvlText w:val="%3."/>
      <w:lvlJc w:val="left"/>
      <w:pPr>
        <w:tabs>
          <w:tab w:val="num" w:pos="1275"/>
        </w:tabs>
        <w:ind w:left="1275" w:hanging="425"/>
      </w:pPr>
      <w:rPr>
        <w:rFonts w:cs="Times New Roman"/>
      </w:rPr>
    </w:lvl>
    <w:lvl w:ilvl="3">
      <w:start w:val="1"/>
      <w:numFmt w:val="decimal"/>
      <w:lvlText w:val="(%4)"/>
      <w:lvlJc w:val="left"/>
      <w:pPr>
        <w:tabs>
          <w:tab w:val="num" w:pos="1865"/>
        </w:tabs>
        <w:ind w:left="1865" w:hanging="360"/>
      </w:pPr>
      <w:rPr>
        <w:rFonts w:cs="Times New Roman"/>
      </w:rPr>
    </w:lvl>
    <w:lvl w:ilvl="4">
      <w:start w:val="1"/>
      <w:numFmt w:val="lowerLetter"/>
      <w:lvlText w:val="(%5)"/>
      <w:lvlJc w:val="left"/>
      <w:pPr>
        <w:tabs>
          <w:tab w:val="num" w:pos="2225"/>
        </w:tabs>
        <w:ind w:left="2225" w:hanging="360"/>
      </w:pPr>
      <w:rPr>
        <w:rFonts w:cs="Times New Roman"/>
      </w:rPr>
    </w:lvl>
    <w:lvl w:ilvl="5">
      <w:start w:val="1"/>
      <w:numFmt w:val="lowerRoman"/>
      <w:lvlText w:val="(%6)"/>
      <w:lvlJc w:val="left"/>
      <w:pPr>
        <w:tabs>
          <w:tab w:val="num" w:pos="2945"/>
        </w:tabs>
        <w:ind w:left="2585" w:hanging="360"/>
      </w:pPr>
      <w:rPr>
        <w:rFonts w:cs="Times New Roman"/>
      </w:rPr>
    </w:lvl>
    <w:lvl w:ilvl="6">
      <w:start w:val="1"/>
      <w:numFmt w:val="decimal"/>
      <w:lvlText w:val="%7."/>
      <w:lvlJc w:val="left"/>
      <w:pPr>
        <w:tabs>
          <w:tab w:val="num" w:pos="2945"/>
        </w:tabs>
        <w:ind w:left="2945" w:hanging="360"/>
      </w:pPr>
      <w:rPr>
        <w:rFonts w:cs="Times New Roman"/>
      </w:rPr>
    </w:lvl>
    <w:lvl w:ilvl="7">
      <w:start w:val="1"/>
      <w:numFmt w:val="lowerLetter"/>
      <w:lvlText w:val="%8."/>
      <w:lvlJc w:val="left"/>
      <w:pPr>
        <w:tabs>
          <w:tab w:val="num" w:pos="3305"/>
        </w:tabs>
        <w:ind w:left="3305" w:hanging="360"/>
      </w:pPr>
      <w:rPr>
        <w:rFonts w:cs="Times New Roman"/>
      </w:rPr>
    </w:lvl>
    <w:lvl w:ilvl="8">
      <w:start w:val="1"/>
      <w:numFmt w:val="lowerRoman"/>
      <w:lvlText w:val="%9."/>
      <w:lvlJc w:val="left"/>
      <w:pPr>
        <w:tabs>
          <w:tab w:val="num" w:pos="4025"/>
        </w:tabs>
        <w:ind w:left="3665" w:hanging="360"/>
      </w:pPr>
      <w:rPr>
        <w:rFonts w:cs="Times New Roman"/>
      </w:rPr>
    </w:lvl>
  </w:abstractNum>
  <w:abstractNum w:abstractNumId="26" w15:restartNumberingAfterBreak="0">
    <w:nsid w:val="6CF83A7C"/>
    <w:multiLevelType w:val="hybridMultilevel"/>
    <w:tmpl w:val="B0B225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3777261"/>
    <w:multiLevelType w:val="hybridMultilevel"/>
    <w:tmpl w:val="3D5C47F4"/>
    <w:lvl w:ilvl="0" w:tplc="EAB23F7E">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76773D3"/>
    <w:multiLevelType w:val="multilevel"/>
    <w:tmpl w:val="87402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45F54"/>
    <w:multiLevelType w:val="hybridMultilevel"/>
    <w:tmpl w:val="53729F16"/>
    <w:lvl w:ilvl="0" w:tplc="C138337A">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7A043852"/>
    <w:multiLevelType w:val="hybridMultilevel"/>
    <w:tmpl w:val="2FFE6B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073B9A"/>
    <w:multiLevelType w:val="hybridMultilevel"/>
    <w:tmpl w:val="93268632"/>
    <w:lvl w:ilvl="0" w:tplc="A306A2D8">
      <w:start w:val="1"/>
      <w:numFmt w:val="lowerLetter"/>
      <w:lvlText w:val="%1)"/>
      <w:lvlJc w:val="left"/>
      <w:pPr>
        <w:ind w:left="720" w:hanging="360"/>
      </w:pPr>
      <w:rPr>
        <w:rFonts w:asciiTheme="minorHAnsi" w:eastAsiaTheme="minorHAnsi"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715186">
    <w:abstractNumId w:val="25"/>
  </w:num>
  <w:num w:numId="2" w16cid:durableId="1377966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308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117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128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0780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868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234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5539496">
    <w:abstractNumId w:val="28"/>
  </w:num>
  <w:num w:numId="10" w16cid:durableId="2798403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5737433">
    <w:abstractNumId w:val="14"/>
  </w:num>
  <w:num w:numId="12" w16cid:durableId="1327368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400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33558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685149">
    <w:abstractNumId w:val="19"/>
  </w:num>
  <w:num w:numId="16" w16cid:durableId="422183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6286861">
    <w:abstractNumId w:val="13"/>
  </w:num>
  <w:num w:numId="18" w16cid:durableId="417679281">
    <w:abstractNumId w:val="29"/>
  </w:num>
  <w:num w:numId="19" w16cid:durableId="362748003">
    <w:abstractNumId w:val="1"/>
  </w:num>
  <w:num w:numId="20" w16cid:durableId="1387334184">
    <w:abstractNumId w:val="7"/>
  </w:num>
  <w:num w:numId="21" w16cid:durableId="112482625">
    <w:abstractNumId w:val="18"/>
  </w:num>
  <w:num w:numId="22" w16cid:durableId="1674724885">
    <w:abstractNumId w:val="5"/>
  </w:num>
  <w:num w:numId="23" w16cid:durableId="1460303338">
    <w:abstractNumId w:val="31"/>
  </w:num>
  <w:num w:numId="24" w16cid:durableId="1794861966">
    <w:abstractNumId w:val="9"/>
  </w:num>
  <w:num w:numId="25" w16cid:durableId="2093306969">
    <w:abstractNumId w:val="22"/>
  </w:num>
  <w:num w:numId="26" w16cid:durableId="277837665">
    <w:abstractNumId w:val="23"/>
  </w:num>
  <w:num w:numId="27" w16cid:durableId="414324307">
    <w:abstractNumId w:val="30"/>
  </w:num>
  <w:num w:numId="28" w16cid:durableId="874346753">
    <w:abstractNumId w:val="16"/>
  </w:num>
  <w:num w:numId="29" w16cid:durableId="897395403">
    <w:abstractNumId w:val="4"/>
  </w:num>
  <w:num w:numId="30" w16cid:durableId="399912892">
    <w:abstractNumId w:val="8"/>
  </w:num>
  <w:num w:numId="31" w16cid:durableId="2053188285">
    <w:abstractNumId w:val="3"/>
  </w:num>
  <w:num w:numId="32" w16cid:durableId="1151140282">
    <w:abstractNumId w:val="24"/>
  </w:num>
  <w:num w:numId="33" w16cid:durableId="18105125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DE"/>
    <w:rsid w:val="00000FFB"/>
    <w:rsid w:val="000047AD"/>
    <w:rsid w:val="00005623"/>
    <w:rsid w:val="00011008"/>
    <w:rsid w:val="00011F2C"/>
    <w:rsid w:val="00013D39"/>
    <w:rsid w:val="0001536A"/>
    <w:rsid w:val="00015F6D"/>
    <w:rsid w:val="00017097"/>
    <w:rsid w:val="00017766"/>
    <w:rsid w:val="000241B5"/>
    <w:rsid w:val="00025318"/>
    <w:rsid w:val="0002661A"/>
    <w:rsid w:val="000316FB"/>
    <w:rsid w:val="00032B96"/>
    <w:rsid w:val="00035F2C"/>
    <w:rsid w:val="0003614B"/>
    <w:rsid w:val="0004273C"/>
    <w:rsid w:val="00042DCF"/>
    <w:rsid w:val="00045C43"/>
    <w:rsid w:val="00047F1D"/>
    <w:rsid w:val="00053079"/>
    <w:rsid w:val="0006049E"/>
    <w:rsid w:val="00071F59"/>
    <w:rsid w:val="000741DD"/>
    <w:rsid w:val="0007717A"/>
    <w:rsid w:val="000851F9"/>
    <w:rsid w:val="00090C74"/>
    <w:rsid w:val="00094A96"/>
    <w:rsid w:val="00097BCC"/>
    <w:rsid w:val="000A2B2A"/>
    <w:rsid w:val="000B1175"/>
    <w:rsid w:val="000C19E5"/>
    <w:rsid w:val="000C3419"/>
    <w:rsid w:val="000C398B"/>
    <w:rsid w:val="000C5141"/>
    <w:rsid w:val="000C5666"/>
    <w:rsid w:val="000C7FEB"/>
    <w:rsid w:val="000D0DB3"/>
    <w:rsid w:val="000D268A"/>
    <w:rsid w:val="000D3732"/>
    <w:rsid w:val="000E4E55"/>
    <w:rsid w:val="000F0D0C"/>
    <w:rsid w:val="000F41EE"/>
    <w:rsid w:val="000F57D3"/>
    <w:rsid w:val="000F5A2C"/>
    <w:rsid w:val="000F5B67"/>
    <w:rsid w:val="000F6969"/>
    <w:rsid w:val="000F7E01"/>
    <w:rsid w:val="00101361"/>
    <w:rsid w:val="00103B71"/>
    <w:rsid w:val="00104230"/>
    <w:rsid w:val="001069AE"/>
    <w:rsid w:val="001111BD"/>
    <w:rsid w:val="00114A03"/>
    <w:rsid w:val="00116A85"/>
    <w:rsid w:val="00116FEC"/>
    <w:rsid w:val="001177C6"/>
    <w:rsid w:val="00121AA2"/>
    <w:rsid w:val="00123E03"/>
    <w:rsid w:val="00124FA4"/>
    <w:rsid w:val="001378DB"/>
    <w:rsid w:val="00143656"/>
    <w:rsid w:val="0014375C"/>
    <w:rsid w:val="00153A9A"/>
    <w:rsid w:val="001551F1"/>
    <w:rsid w:val="00157AC8"/>
    <w:rsid w:val="00161450"/>
    <w:rsid w:val="00161CD9"/>
    <w:rsid w:val="001668FF"/>
    <w:rsid w:val="00173CFC"/>
    <w:rsid w:val="00173E77"/>
    <w:rsid w:val="00185976"/>
    <w:rsid w:val="001871D2"/>
    <w:rsid w:val="001932EA"/>
    <w:rsid w:val="00197D36"/>
    <w:rsid w:val="001B5835"/>
    <w:rsid w:val="001B65E9"/>
    <w:rsid w:val="001B7A73"/>
    <w:rsid w:val="001C1AFF"/>
    <w:rsid w:val="001C3A98"/>
    <w:rsid w:val="001C4E43"/>
    <w:rsid w:val="001D0785"/>
    <w:rsid w:val="001D33FE"/>
    <w:rsid w:val="001D795C"/>
    <w:rsid w:val="001E1C05"/>
    <w:rsid w:val="001E1C60"/>
    <w:rsid w:val="001E403F"/>
    <w:rsid w:val="001E41CD"/>
    <w:rsid w:val="001E7C0C"/>
    <w:rsid w:val="001F553D"/>
    <w:rsid w:val="001F7701"/>
    <w:rsid w:val="00201C13"/>
    <w:rsid w:val="00205840"/>
    <w:rsid w:val="002070B7"/>
    <w:rsid w:val="00207DCF"/>
    <w:rsid w:val="00211FC8"/>
    <w:rsid w:val="00215445"/>
    <w:rsid w:val="0021797C"/>
    <w:rsid w:val="00217C07"/>
    <w:rsid w:val="00221264"/>
    <w:rsid w:val="00221E07"/>
    <w:rsid w:val="002234F6"/>
    <w:rsid w:val="00245443"/>
    <w:rsid w:val="00245FD4"/>
    <w:rsid w:val="00253562"/>
    <w:rsid w:val="00255928"/>
    <w:rsid w:val="0026166D"/>
    <w:rsid w:val="00265A8F"/>
    <w:rsid w:val="002742AA"/>
    <w:rsid w:val="00277430"/>
    <w:rsid w:val="002811EA"/>
    <w:rsid w:val="00284A00"/>
    <w:rsid w:val="00284BA6"/>
    <w:rsid w:val="00286143"/>
    <w:rsid w:val="00287343"/>
    <w:rsid w:val="0029687F"/>
    <w:rsid w:val="002A28AB"/>
    <w:rsid w:val="002A4640"/>
    <w:rsid w:val="002A4726"/>
    <w:rsid w:val="002A7D42"/>
    <w:rsid w:val="002B3243"/>
    <w:rsid w:val="002B7592"/>
    <w:rsid w:val="002C4354"/>
    <w:rsid w:val="002C72A2"/>
    <w:rsid w:val="002C7470"/>
    <w:rsid w:val="002D1F53"/>
    <w:rsid w:val="002D2146"/>
    <w:rsid w:val="002D25D0"/>
    <w:rsid w:val="002D408D"/>
    <w:rsid w:val="002D6C44"/>
    <w:rsid w:val="002E0A03"/>
    <w:rsid w:val="002E1936"/>
    <w:rsid w:val="002F1DD2"/>
    <w:rsid w:val="002F509D"/>
    <w:rsid w:val="00303B5C"/>
    <w:rsid w:val="00314659"/>
    <w:rsid w:val="00320994"/>
    <w:rsid w:val="00322368"/>
    <w:rsid w:val="0032541E"/>
    <w:rsid w:val="0033223C"/>
    <w:rsid w:val="0034139E"/>
    <w:rsid w:val="00341C04"/>
    <w:rsid w:val="00342D8C"/>
    <w:rsid w:val="003571E7"/>
    <w:rsid w:val="00362461"/>
    <w:rsid w:val="00364331"/>
    <w:rsid w:val="00365E6A"/>
    <w:rsid w:val="00367482"/>
    <w:rsid w:val="00377C66"/>
    <w:rsid w:val="00385BE5"/>
    <w:rsid w:val="00387603"/>
    <w:rsid w:val="00390A36"/>
    <w:rsid w:val="00391D1E"/>
    <w:rsid w:val="00396604"/>
    <w:rsid w:val="003A107C"/>
    <w:rsid w:val="003A2553"/>
    <w:rsid w:val="003A6DF5"/>
    <w:rsid w:val="003B0EB9"/>
    <w:rsid w:val="003B13D7"/>
    <w:rsid w:val="003B68AD"/>
    <w:rsid w:val="003D2358"/>
    <w:rsid w:val="003D27CC"/>
    <w:rsid w:val="003D3118"/>
    <w:rsid w:val="003D396A"/>
    <w:rsid w:val="003E0ABB"/>
    <w:rsid w:val="003E15C6"/>
    <w:rsid w:val="003E6E2F"/>
    <w:rsid w:val="003F114D"/>
    <w:rsid w:val="003F3927"/>
    <w:rsid w:val="004016A2"/>
    <w:rsid w:val="00406E12"/>
    <w:rsid w:val="004105E9"/>
    <w:rsid w:val="00411629"/>
    <w:rsid w:val="00415CFA"/>
    <w:rsid w:val="00420CD1"/>
    <w:rsid w:val="0042117F"/>
    <w:rsid w:val="00423055"/>
    <w:rsid w:val="00424155"/>
    <w:rsid w:val="00426637"/>
    <w:rsid w:val="004338C1"/>
    <w:rsid w:val="00437178"/>
    <w:rsid w:val="00437847"/>
    <w:rsid w:val="00437A15"/>
    <w:rsid w:val="00437BCC"/>
    <w:rsid w:val="0044077B"/>
    <w:rsid w:val="00446C89"/>
    <w:rsid w:val="00455126"/>
    <w:rsid w:val="00456CEA"/>
    <w:rsid w:val="004628F7"/>
    <w:rsid w:val="00462D24"/>
    <w:rsid w:val="00462E34"/>
    <w:rsid w:val="00464240"/>
    <w:rsid w:val="0046655B"/>
    <w:rsid w:val="004715AB"/>
    <w:rsid w:val="004764D4"/>
    <w:rsid w:val="00492FB2"/>
    <w:rsid w:val="0049407A"/>
    <w:rsid w:val="00494E51"/>
    <w:rsid w:val="00496AD1"/>
    <w:rsid w:val="00497102"/>
    <w:rsid w:val="004A05A0"/>
    <w:rsid w:val="004A3BA5"/>
    <w:rsid w:val="004A483A"/>
    <w:rsid w:val="004A6E27"/>
    <w:rsid w:val="004B1770"/>
    <w:rsid w:val="004B4252"/>
    <w:rsid w:val="004B7A62"/>
    <w:rsid w:val="004C1176"/>
    <w:rsid w:val="004C3639"/>
    <w:rsid w:val="004C4371"/>
    <w:rsid w:val="004C6FE9"/>
    <w:rsid w:val="004D2D2B"/>
    <w:rsid w:val="004D412E"/>
    <w:rsid w:val="004D4DB0"/>
    <w:rsid w:val="004D5050"/>
    <w:rsid w:val="004E2C90"/>
    <w:rsid w:val="004E42AE"/>
    <w:rsid w:val="004E5083"/>
    <w:rsid w:val="004F5693"/>
    <w:rsid w:val="005015EE"/>
    <w:rsid w:val="005021C6"/>
    <w:rsid w:val="005033CD"/>
    <w:rsid w:val="00503512"/>
    <w:rsid w:val="00503F4D"/>
    <w:rsid w:val="005065F2"/>
    <w:rsid w:val="00506EF7"/>
    <w:rsid w:val="00507B75"/>
    <w:rsid w:val="00510973"/>
    <w:rsid w:val="005124A6"/>
    <w:rsid w:val="00516DD6"/>
    <w:rsid w:val="005322F8"/>
    <w:rsid w:val="00534070"/>
    <w:rsid w:val="0053647B"/>
    <w:rsid w:val="005444B1"/>
    <w:rsid w:val="00546B96"/>
    <w:rsid w:val="005506DC"/>
    <w:rsid w:val="005543D0"/>
    <w:rsid w:val="005543D8"/>
    <w:rsid w:val="00556A1F"/>
    <w:rsid w:val="005725A8"/>
    <w:rsid w:val="00572921"/>
    <w:rsid w:val="005764E6"/>
    <w:rsid w:val="00580BDA"/>
    <w:rsid w:val="00581F48"/>
    <w:rsid w:val="00583D61"/>
    <w:rsid w:val="005853B5"/>
    <w:rsid w:val="00590DD1"/>
    <w:rsid w:val="005965F4"/>
    <w:rsid w:val="005967A9"/>
    <w:rsid w:val="005A058D"/>
    <w:rsid w:val="005A0F39"/>
    <w:rsid w:val="005A141D"/>
    <w:rsid w:val="005A3857"/>
    <w:rsid w:val="005A5D94"/>
    <w:rsid w:val="005A6BAA"/>
    <w:rsid w:val="005B1E95"/>
    <w:rsid w:val="005B2BFA"/>
    <w:rsid w:val="005B4202"/>
    <w:rsid w:val="005B65BE"/>
    <w:rsid w:val="005C082D"/>
    <w:rsid w:val="005C0EFA"/>
    <w:rsid w:val="005C2E27"/>
    <w:rsid w:val="005C5E3C"/>
    <w:rsid w:val="005D0023"/>
    <w:rsid w:val="005D3110"/>
    <w:rsid w:val="005D52A8"/>
    <w:rsid w:val="005D7AE8"/>
    <w:rsid w:val="005E4BBB"/>
    <w:rsid w:val="005F63B5"/>
    <w:rsid w:val="00600BA2"/>
    <w:rsid w:val="00614BB3"/>
    <w:rsid w:val="00626262"/>
    <w:rsid w:val="006266A6"/>
    <w:rsid w:val="00637B43"/>
    <w:rsid w:val="0064259D"/>
    <w:rsid w:val="0064475E"/>
    <w:rsid w:val="00645A4F"/>
    <w:rsid w:val="006470A5"/>
    <w:rsid w:val="006473BE"/>
    <w:rsid w:val="00652FEB"/>
    <w:rsid w:val="0065329E"/>
    <w:rsid w:val="006609DD"/>
    <w:rsid w:val="006640F5"/>
    <w:rsid w:val="00665CA6"/>
    <w:rsid w:val="006767B1"/>
    <w:rsid w:val="00677B7E"/>
    <w:rsid w:val="00680FD8"/>
    <w:rsid w:val="006826E0"/>
    <w:rsid w:val="00682D25"/>
    <w:rsid w:val="0068360D"/>
    <w:rsid w:val="006906BB"/>
    <w:rsid w:val="00690E0A"/>
    <w:rsid w:val="006A2DCA"/>
    <w:rsid w:val="006A5259"/>
    <w:rsid w:val="006A5C7B"/>
    <w:rsid w:val="006A7010"/>
    <w:rsid w:val="006B1D7D"/>
    <w:rsid w:val="006B55BF"/>
    <w:rsid w:val="006B6CAC"/>
    <w:rsid w:val="006C1474"/>
    <w:rsid w:val="006C207A"/>
    <w:rsid w:val="006C34B2"/>
    <w:rsid w:val="006C46E3"/>
    <w:rsid w:val="006C6C44"/>
    <w:rsid w:val="006D55E5"/>
    <w:rsid w:val="006E2552"/>
    <w:rsid w:val="006E2EBC"/>
    <w:rsid w:val="006E49C9"/>
    <w:rsid w:val="006E638C"/>
    <w:rsid w:val="006F25B9"/>
    <w:rsid w:val="007007F7"/>
    <w:rsid w:val="0070112A"/>
    <w:rsid w:val="00703308"/>
    <w:rsid w:val="00705D64"/>
    <w:rsid w:val="007131C8"/>
    <w:rsid w:val="00735439"/>
    <w:rsid w:val="00740649"/>
    <w:rsid w:val="00742421"/>
    <w:rsid w:val="00746159"/>
    <w:rsid w:val="00754FBB"/>
    <w:rsid w:val="00761CDE"/>
    <w:rsid w:val="00764AC2"/>
    <w:rsid w:val="007674C9"/>
    <w:rsid w:val="00774BAB"/>
    <w:rsid w:val="0077562F"/>
    <w:rsid w:val="00780AD3"/>
    <w:rsid w:val="00781673"/>
    <w:rsid w:val="0078299E"/>
    <w:rsid w:val="0078478A"/>
    <w:rsid w:val="0078527B"/>
    <w:rsid w:val="00790BC9"/>
    <w:rsid w:val="0079472A"/>
    <w:rsid w:val="007A2819"/>
    <w:rsid w:val="007B33ED"/>
    <w:rsid w:val="007B4FCA"/>
    <w:rsid w:val="007B5311"/>
    <w:rsid w:val="007C68CB"/>
    <w:rsid w:val="007D04ED"/>
    <w:rsid w:val="007D1992"/>
    <w:rsid w:val="007D31F8"/>
    <w:rsid w:val="007D3F83"/>
    <w:rsid w:val="007D581D"/>
    <w:rsid w:val="007D6A55"/>
    <w:rsid w:val="007D7760"/>
    <w:rsid w:val="007E4903"/>
    <w:rsid w:val="007E753A"/>
    <w:rsid w:val="007E7D28"/>
    <w:rsid w:val="007E7E37"/>
    <w:rsid w:val="007F5296"/>
    <w:rsid w:val="007F664F"/>
    <w:rsid w:val="00800419"/>
    <w:rsid w:val="00811E90"/>
    <w:rsid w:val="00821A80"/>
    <w:rsid w:val="0082559E"/>
    <w:rsid w:val="00830898"/>
    <w:rsid w:val="00842209"/>
    <w:rsid w:val="008431B4"/>
    <w:rsid w:val="00844379"/>
    <w:rsid w:val="00845538"/>
    <w:rsid w:val="00852603"/>
    <w:rsid w:val="00852D27"/>
    <w:rsid w:val="00857174"/>
    <w:rsid w:val="00860019"/>
    <w:rsid w:val="00861556"/>
    <w:rsid w:val="00864A5F"/>
    <w:rsid w:val="00865882"/>
    <w:rsid w:val="00870D2F"/>
    <w:rsid w:val="0087413E"/>
    <w:rsid w:val="00874D4A"/>
    <w:rsid w:val="00875CDF"/>
    <w:rsid w:val="00877EB8"/>
    <w:rsid w:val="00880B1D"/>
    <w:rsid w:val="0088730F"/>
    <w:rsid w:val="008A04E7"/>
    <w:rsid w:val="008A12E1"/>
    <w:rsid w:val="008A23AE"/>
    <w:rsid w:val="008A57BB"/>
    <w:rsid w:val="008A738B"/>
    <w:rsid w:val="008B070D"/>
    <w:rsid w:val="008B4288"/>
    <w:rsid w:val="008B4AE7"/>
    <w:rsid w:val="008B6DB1"/>
    <w:rsid w:val="008C1B6B"/>
    <w:rsid w:val="008D062B"/>
    <w:rsid w:val="008D20DF"/>
    <w:rsid w:val="008E0820"/>
    <w:rsid w:val="008E4725"/>
    <w:rsid w:val="008E5CB3"/>
    <w:rsid w:val="008F5E2E"/>
    <w:rsid w:val="00914C43"/>
    <w:rsid w:val="0091562C"/>
    <w:rsid w:val="00915632"/>
    <w:rsid w:val="00915A00"/>
    <w:rsid w:val="00922869"/>
    <w:rsid w:val="009242E1"/>
    <w:rsid w:val="009359CA"/>
    <w:rsid w:val="0093649E"/>
    <w:rsid w:val="00944690"/>
    <w:rsid w:val="00946FF6"/>
    <w:rsid w:val="00953CC5"/>
    <w:rsid w:val="009610CC"/>
    <w:rsid w:val="00961834"/>
    <w:rsid w:val="00965458"/>
    <w:rsid w:val="00970E2B"/>
    <w:rsid w:val="00974F6E"/>
    <w:rsid w:val="00975199"/>
    <w:rsid w:val="009779E6"/>
    <w:rsid w:val="00980112"/>
    <w:rsid w:val="00981CD5"/>
    <w:rsid w:val="009846A5"/>
    <w:rsid w:val="00991E8C"/>
    <w:rsid w:val="00993275"/>
    <w:rsid w:val="00994DDC"/>
    <w:rsid w:val="009A038F"/>
    <w:rsid w:val="009A158B"/>
    <w:rsid w:val="009A436D"/>
    <w:rsid w:val="009A4727"/>
    <w:rsid w:val="009A6EEB"/>
    <w:rsid w:val="009B4EAE"/>
    <w:rsid w:val="009B6644"/>
    <w:rsid w:val="009C0316"/>
    <w:rsid w:val="009C2365"/>
    <w:rsid w:val="009C675F"/>
    <w:rsid w:val="009C7D5D"/>
    <w:rsid w:val="009D11E4"/>
    <w:rsid w:val="009D172F"/>
    <w:rsid w:val="009D5253"/>
    <w:rsid w:val="009D64B6"/>
    <w:rsid w:val="009D780D"/>
    <w:rsid w:val="009E4828"/>
    <w:rsid w:val="009E7205"/>
    <w:rsid w:val="009E7412"/>
    <w:rsid w:val="00A007E9"/>
    <w:rsid w:val="00A01F00"/>
    <w:rsid w:val="00A04FAA"/>
    <w:rsid w:val="00A11B65"/>
    <w:rsid w:val="00A13EB8"/>
    <w:rsid w:val="00A17515"/>
    <w:rsid w:val="00A21AC4"/>
    <w:rsid w:val="00A2260C"/>
    <w:rsid w:val="00A27D1B"/>
    <w:rsid w:val="00A316BB"/>
    <w:rsid w:val="00A31FA0"/>
    <w:rsid w:val="00A35BF1"/>
    <w:rsid w:val="00A40DB3"/>
    <w:rsid w:val="00A44140"/>
    <w:rsid w:val="00A473B1"/>
    <w:rsid w:val="00A52797"/>
    <w:rsid w:val="00A56332"/>
    <w:rsid w:val="00A6149A"/>
    <w:rsid w:val="00A61DCD"/>
    <w:rsid w:val="00A74C19"/>
    <w:rsid w:val="00A76D46"/>
    <w:rsid w:val="00A839D6"/>
    <w:rsid w:val="00A85A7F"/>
    <w:rsid w:val="00A86870"/>
    <w:rsid w:val="00A92923"/>
    <w:rsid w:val="00A933CC"/>
    <w:rsid w:val="00A95D68"/>
    <w:rsid w:val="00A9703B"/>
    <w:rsid w:val="00AA0574"/>
    <w:rsid w:val="00AA6FF1"/>
    <w:rsid w:val="00AB2E81"/>
    <w:rsid w:val="00AB5774"/>
    <w:rsid w:val="00AC0ED2"/>
    <w:rsid w:val="00AC293D"/>
    <w:rsid w:val="00AD4F44"/>
    <w:rsid w:val="00AD5868"/>
    <w:rsid w:val="00AE2C7A"/>
    <w:rsid w:val="00AE4263"/>
    <w:rsid w:val="00AE56F8"/>
    <w:rsid w:val="00AF2724"/>
    <w:rsid w:val="00B047F9"/>
    <w:rsid w:val="00B0495E"/>
    <w:rsid w:val="00B07A5B"/>
    <w:rsid w:val="00B141EA"/>
    <w:rsid w:val="00B1455D"/>
    <w:rsid w:val="00B16608"/>
    <w:rsid w:val="00B17C0F"/>
    <w:rsid w:val="00B24F35"/>
    <w:rsid w:val="00B32A6C"/>
    <w:rsid w:val="00B36FC5"/>
    <w:rsid w:val="00B40987"/>
    <w:rsid w:val="00B411A7"/>
    <w:rsid w:val="00B418FC"/>
    <w:rsid w:val="00B60A3E"/>
    <w:rsid w:val="00B62EFD"/>
    <w:rsid w:val="00B63647"/>
    <w:rsid w:val="00B638EC"/>
    <w:rsid w:val="00B65818"/>
    <w:rsid w:val="00B668CD"/>
    <w:rsid w:val="00B71755"/>
    <w:rsid w:val="00B75FE0"/>
    <w:rsid w:val="00B77978"/>
    <w:rsid w:val="00B975D1"/>
    <w:rsid w:val="00BA20A6"/>
    <w:rsid w:val="00BA33A0"/>
    <w:rsid w:val="00BA3902"/>
    <w:rsid w:val="00BB5E9E"/>
    <w:rsid w:val="00BC0BCC"/>
    <w:rsid w:val="00BC2903"/>
    <w:rsid w:val="00BD20D0"/>
    <w:rsid w:val="00BE156C"/>
    <w:rsid w:val="00BE3557"/>
    <w:rsid w:val="00BE614C"/>
    <w:rsid w:val="00BE6B6C"/>
    <w:rsid w:val="00BE74A9"/>
    <w:rsid w:val="00BF1917"/>
    <w:rsid w:val="00BF2671"/>
    <w:rsid w:val="00BF337F"/>
    <w:rsid w:val="00BF608C"/>
    <w:rsid w:val="00C02026"/>
    <w:rsid w:val="00C05046"/>
    <w:rsid w:val="00C0764C"/>
    <w:rsid w:val="00C119D8"/>
    <w:rsid w:val="00C15F80"/>
    <w:rsid w:val="00C216DE"/>
    <w:rsid w:val="00C22668"/>
    <w:rsid w:val="00C244D5"/>
    <w:rsid w:val="00C50846"/>
    <w:rsid w:val="00C56467"/>
    <w:rsid w:val="00C612DA"/>
    <w:rsid w:val="00C644E9"/>
    <w:rsid w:val="00C64CFB"/>
    <w:rsid w:val="00C67F1D"/>
    <w:rsid w:val="00C75878"/>
    <w:rsid w:val="00C806D8"/>
    <w:rsid w:val="00C833FB"/>
    <w:rsid w:val="00C864F1"/>
    <w:rsid w:val="00C95361"/>
    <w:rsid w:val="00C95B91"/>
    <w:rsid w:val="00C969CF"/>
    <w:rsid w:val="00C97B14"/>
    <w:rsid w:val="00CA21E0"/>
    <w:rsid w:val="00CA3EA4"/>
    <w:rsid w:val="00CB444F"/>
    <w:rsid w:val="00CC03A3"/>
    <w:rsid w:val="00CC6080"/>
    <w:rsid w:val="00CD5A5C"/>
    <w:rsid w:val="00CD62A2"/>
    <w:rsid w:val="00CE1600"/>
    <w:rsid w:val="00CE2AB1"/>
    <w:rsid w:val="00CE3489"/>
    <w:rsid w:val="00CF056C"/>
    <w:rsid w:val="00CF3AB9"/>
    <w:rsid w:val="00CF7BF1"/>
    <w:rsid w:val="00CF7E52"/>
    <w:rsid w:val="00D03AC8"/>
    <w:rsid w:val="00D06C7B"/>
    <w:rsid w:val="00D076A4"/>
    <w:rsid w:val="00D11174"/>
    <w:rsid w:val="00D115B3"/>
    <w:rsid w:val="00D119BC"/>
    <w:rsid w:val="00D15D13"/>
    <w:rsid w:val="00D17502"/>
    <w:rsid w:val="00D215DD"/>
    <w:rsid w:val="00D21B8B"/>
    <w:rsid w:val="00D24742"/>
    <w:rsid w:val="00D25DF2"/>
    <w:rsid w:val="00D3376E"/>
    <w:rsid w:val="00D34BEA"/>
    <w:rsid w:val="00D35FDF"/>
    <w:rsid w:val="00D403D5"/>
    <w:rsid w:val="00D413CE"/>
    <w:rsid w:val="00D414D3"/>
    <w:rsid w:val="00D442C1"/>
    <w:rsid w:val="00D4586D"/>
    <w:rsid w:val="00D5573E"/>
    <w:rsid w:val="00D61561"/>
    <w:rsid w:val="00D667DF"/>
    <w:rsid w:val="00D761A4"/>
    <w:rsid w:val="00D80A51"/>
    <w:rsid w:val="00D83C5D"/>
    <w:rsid w:val="00D853BA"/>
    <w:rsid w:val="00D85BDD"/>
    <w:rsid w:val="00D90503"/>
    <w:rsid w:val="00D90743"/>
    <w:rsid w:val="00D90974"/>
    <w:rsid w:val="00D93E30"/>
    <w:rsid w:val="00DA1226"/>
    <w:rsid w:val="00DB0BA8"/>
    <w:rsid w:val="00DC337F"/>
    <w:rsid w:val="00DC7120"/>
    <w:rsid w:val="00DD03DC"/>
    <w:rsid w:val="00DD600C"/>
    <w:rsid w:val="00DE0A80"/>
    <w:rsid w:val="00DE0E3F"/>
    <w:rsid w:val="00DF06D4"/>
    <w:rsid w:val="00DF1305"/>
    <w:rsid w:val="00DF62FE"/>
    <w:rsid w:val="00DF6DAA"/>
    <w:rsid w:val="00E017F9"/>
    <w:rsid w:val="00E02947"/>
    <w:rsid w:val="00E11586"/>
    <w:rsid w:val="00E11A37"/>
    <w:rsid w:val="00E140D6"/>
    <w:rsid w:val="00E16ED7"/>
    <w:rsid w:val="00E25A56"/>
    <w:rsid w:val="00E25EB3"/>
    <w:rsid w:val="00E307C6"/>
    <w:rsid w:val="00E30833"/>
    <w:rsid w:val="00E31ED2"/>
    <w:rsid w:val="00E3258B"/>
    <w:rsid w:val="00E356F0"/>
    <w:rsid w:val="00E35787"/>
    <w:rsid w:val="00E36119"/>
    <w:rsid w:val="00E3780B"/>
    <w:rsid w:val="00E4120E"/>
    <w:rsid w:val="00E458F0"/>
    <w:rsid w:val="00E45E3C"/>
    <w:rsid w:val="00E51333"/>
    <w:rsid w:val="00E5372C"/>
    <w:rsid w:val="00E57D52"/>
    <w:rsid w:val="00E639C2"/>
    <w:rsid w:val="00E676C7"/>
    <w:rsid w:val="00E72723"/>
    <w:rsid w:val="00E737C5"/>
    <w:rsid w:val="00E73AD9"/>
    <w:rsid w:val="00E7434C"/>
    <w:rsid w:val="00E75851"/>
    <w:rsid w:val="00E76C62"/>
    <w:rsid w:val="00E825FB"/>
    <w:rsid w:val="00E83997"/>
    <w:rsid w:val="00E84FBB"/>
    <w:rsid w:val="00E8528E"/>
    <w:rsid w:val="00E90A11"/>
    <w:rsid w:val="00E90FC4"/>
    <w:rsid w:val="00E95BEF"/>
    <w:rsid w:val="00EA0041"/>
    <w:rsid w:val="00EA2220"/>
    <w:rsid w:val="00EA42F2"/>
    <w:rsid w:val="00EA67D0"/>
    <w:rsid w:val="00EA749F"/>
    <w:rsid w:val="00EB1C7B"/>
    <w:rsid w:val="00EB37F2"/>
    <w:rsid w:val="00EB5239"/>
    <w:rsid w:val="00EB5846"/>
    <w:rsid w:val="00EB6C1E"/>
    <w:rsid w:val="00EC0343"/>
    <w:rsid w:val="00EC3D5E"/>
    <w:rsid w:val="00ED5545"/>
    <w:rsid w:val="00EE3245"/>
    <w:rsid w:val="00EE5477"/>
    <w:rsid w:val="00EE57AD"/>
    <w:rsid w:val="00EE5931"/>
    <w:rsid w:val="00EF0FB2"/>
    <w:rsid w:val="00EF52D4"/>
    <w:rsid w:val="00F010E1"/>
    <w:rsid w:val="00F05486"/>
    <w:rsid w:val="00F065D4"/>
    <w:rsid w:val="00F13A1B"/>
    <w:rsid w:val="00F14748"/>
    <w:rsid w:val="00F17B4A"/>
    <w:rsid w:val="00F23D49"/>
    <w:rsid w:val="00F25614"/>
    <w:rsid w:val="00F26D6B"/>
    <w:rsid w:val="00F3029D"/>
    <w:rsid w:val="00F34377"/>
    <w:rsid w:val="00F34A1F"/>
    <w:rsid w:val="00F34C96"/>
    <w:rsid w:val="00F37A24"/>
    <w:rsid w:val="00F46765"/>
    <w:rsid w:val="00F47719"/>
    <w:rsid w:val="00F50070"/>
    <w:rsid w:val="00F52A7E"/>
    <w:rsid w:val="00F52BC5"/>
    <w:rsid w:val="00F567C2"/>
    <w:rsid w:val="00F6207A"/>
    <w:rsid w:val="00F645E4"/>
    <w:rsid w:val="00F67516"/>
    <w:rsid w:val="00F70656"/>
    <w:rsid w:val="00F70C27"/>
    <w:rsid w:val="00F717F4"/>
    <w:rsid w:val="00F72BDD"/>
    <w:rsid w:val="00F74792"/>
    <w:rsid w:val="00F81BE6"/>
    <w:rsid w:val="00F850C9"/>
    <w:rsid w:val="00F94FD6"/>
    <w:rsid w:val="00F97841"/>
    <w:rsid w:val="00FA2314"/>
    <w:rsid w:val="00FA36C9"/>
    <w:rsid w:val="00FA77B8"/>
    <w:rsid w:val="00FB47C3"/>
    <w:rsid w:val="00FB4CC0"/>
    <w:rsid w:val="00FB652E"/>
    <w:rsid w:val="00FC02DD"/>
    <w:rsid w:val="00FC1901"/>
    <w:rsid w:val="00FC496D"/>
    <w:rsid w:val="00FC53B2"/>
    <w:rsid w:val="00FC6DEA"/>
    <w:rsid w:val="00FD0C4E"/>
    <w:rsid w:val="00FD1397"/>
    <w:rsid w:val="00FD5EDB"/>
    <w:rsid w:val="00FE1237"/>
    <w:rsid w:val="00FE32B5"/>
    <w:rsid w:val="00FE34CA"/>
    <w:rsid w:val="00FE754A"/>
    <w:rsid w:val="00FF523E"/>
    <w:rsid w:val="00FF5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1412D"/>
  <w15:chartTrackingRefBased/>
  <w15:docId w15:val="{B3A0878A-AD48-4B71-9F1F-CFF760B4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11EA"/>
  </w:style>
  <w:style w:type="paragraph" w:styleId="Nadpis1">
    <w:name w:val="heading 1"/>
    <w:basedOn w:val="Normln"/>
    <w:next w:val="Normln"/>
    <w:link w:val="Nadpis1Char"/>
    <w:uiPriority w:val="9"/>
    <w:qFormat/>
    <w:rsid w:val="000C19E5"/>
    <w:pPr>
      <w:keepNext/>
      <w:spacing w:line="360" w:lineRule="auto"/>
      <w:jc w:val="center"/>
      <w:outlineLvl w:val="0"/>
    </w:pPr>
    <w:rPr>
      <w:b/>
      <w:bCs/>
      <w:sz w:val="28"/>
      <w:szCs w:val="24"/>
    </w:rPr>
  </w:style>
  <w:style w:type="paragraph" w:styleId="Nadpis2">
    <w:name w:val="heading 2"/>
    <w:basedOn w:val="Normln"/>
    <w:next w:val="Normln"/>
    <w:link w:val="Nadpis2Char"/>
    <w:uiPriority w:val="9"/>
    <w:qFormat/>
    <w:rsid w:val="000C19E5"/>
    <w:pPr>
      <w:keepNext/>
      <w:spacing w:line="360" w:lineRule="auto"/>
      <w:jc w:val="both"/>
      <w:outlineLvl w:val="1"/>
    </w:pPr>
    <w:rPr>
      <w:b/>
      <w:bCs/>
      <w:sz w:val="24"/>
      <w:szCs w:val="24"/>
    </w:rPr>
  </w:style>
  <w:style w:type="paragraph" w:styleId="Nadpis3">
    <w:name w:val="heading 3"/>
    <w:basedOn w:val="Normln"/>
    <w:next w:val="Normln"/>
    <w:link w:val="Nadpis3Char"/>
    <w:uiPriority w:val="9"/>
    <w:qFormat/>
    <w:rsid w:val="000C19E5"/>
    <w:pPr>
      <w:keepNext/>
      <w:spacing w:line="360" w:lineRule="auto"/>
      <w:ind w:left="1496"/>
      <w:jc w:val="both"/>
      <w:outlineLvl w:val="2"/>
    </w:pPr>
    <w:rPr>
      <w:b/>
      <w:bCs/>
      <w:sz w:val="24"/>
      <w:szCs w:val="24"/>
      <w:u w:val="single"/>
    </w:rPr>
  </w:style>
  <w:style w:type="paragraph" w:styleId="Nadpis4">
    <w:name w:val="heading 4"/>
    <w:basedOn w:val="Normln"/>
    <w:next w:val="Normln"/>
    <w:link w:val="Nadpis4Char"/>
    <w:uiPriority w:val="9"/>
    <w:qFormat/>
    <w:rsid w:val="000C19E5"/>
    <w:pPr>
      <w:keepNext/>
      <w:spacing w:line="360" w:lineRule="auto"/>
      <w:jc w:val="both"/>
      <w:outlineLvl w:val="3"/>
    </w:pPr>
    <w:rPr>
      <w:b/>
      <w:bCs/>
      <w:sz w:val="24"/>
      <w:szCs w:val="24"/>
      <w:u w:val="single"/>
    </w:rPr>
  </w:style>
  <w:style w:type="paragraph" w:styleId="Nadpis5">
    <w:name w:val="heading 5"/>
    <w:basedOn w:val="Normln"/>
    <w:next w:val="Normln"/>
    <w:link w:val="Nadpis5Char"/>
    <w:uiPriority w:val="9"/>
    <w:qFormat/>
    <w:rsid w:val="000C19E5"/>
    <w:pPr>
      <w:keepNext/>
      <w:ind w:left="1496" w:hanging="1496"/>
      <w:outlineLvl w:val="4"/>
    </w:pPr>
    <w:rPr>
      <w:b/>
      <w:bCs/>
      <w:sz w:val="24"/>
      <w:szCs w:val="24"/>
      <w:u w:val="single"/>
    </w:rPr>
  </w:style>
  <w:style w:type="paragraph" w:styleId="Nadpis6">
    <w:name w:val="heading 6"/>
    <w:basedOn w:val="Normln"/>
    <w:next w:val="Normln"/>
    <w:link w:val="Nadpis6Char"/>
    <w:uiPriority w:val="9"/>
    <w:qFormat/>
    <w:rsid w:val="00D61561"/>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2811EA"/>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sid w:val="002811EA"/>
    <w:rPr>
      <w:rFonts w:ascii="Cambria" w:eastAsia="Times New Roman" w:hAnsi="Cambria" w:cs="Times New Roman"/>
      <w:b/>
      <w:bCs/>
      <w:i/>
      <w:iCs/>
      <w:sz w:val="28"/>
      <w:szCs w:val="28"/>
    </w:rPr>
  </w:style>
  <w:style w:type="character" w:customStyle="1" w:styleId="Nadpis3Char">
    <w:name w:val="Nadpis 3 Char"/>
    <w:link w:val="Nadpis3"/>
    <w:uiPriority w:val="9"/>
    <w:semiHidden/>
    <w:locked/>
    <w:rsid w:val="002811EA"/>
    <w:rPr>
      <w:rFonts w:ascii="Cambria" w:eastAsia="Times New Roman" w:hAnsi="Cambria" w:cs="Times New Roman"/>
      <w:b/>
      <w:bCs/>
      <w:sz w:val="26"/>
      <w:szCs w:val="26"/>
    </w:rPr>
  </w:style>
  <w:style w:type="character" w:customStyle="1" w:styleId="Nadpis4Char">
    <w:name w:val="Nadpis 4 Char"/>
    <w:link w:val="Nadpis4"/>
    <w:uiPriority w:val="9"/>
    <w:semiHidden/>
    <w:locked/>
    <w:rsid w:val="002811EA"/>
    <w:rPr>
      <w:rFonts w:ascii="Calibri" w:eastAsia="Times New Roman" w:hAnsi="Calibri" w:cs="Times New Roman"/>
      <w:b/>
      <w:bCs/>
      <w:sz w:val="28"/>
      <w:szCs w:val="28"/>
    </w:rPr>
  </w:style>
  <w:style w:type="character" w:customStyle="1" w:styleId="Nadpis5Char">
    <w:name w:val="Nadpis 5 Char"/>
    <w:link w:val="Nadpis5"/>
    <w:uiPriority w:val="9"/>
    <w:semiHidden/>
    <w:locked/>
    <w:rsid w:val="002811EA"/>
    <w:rPr>
      <w:rFonts w:ascii="Calibri" w:eastAsia="Times New Roman" w:hAnsi="Calibri" w:cs="Times New Roman"/>
      <w:b/>
      <w:bCs/>
      <w:i/>
      <w:iCs/>
      <w:sz w:val="26"/>
      <w:szCs w:val="26"/>
    </w:rPr>
  </w:style>
  <w:style w:type="character" w:customStyle="1" w:styleId="Nadpis6Char">
    <w:name w:val="Nadpis 6 Char"/>
    <w:link w:val="Nadpis6"/>
    <w:uiPriority w:val="9"/>
    <w:locked/>
    <w:rsid w:val="00EE5931"/>
    <w:rPr>
      <w:rFonts w:cs="Times New Roman"/>
      <w:b/>
      <w:bCs/>
      <w:sz w:val="22"/>
      <w:szCs w:val="22"/>
    </w:rPr>
  </w:style>
  <w:style w:type="paragraph" w:styleId="Nzev">
    <w:name w:val="Title"/>
    <w:basedOn w:val="Normln"/>
    <w:link w:val="NzevChar"/>
    <w:uiPriority w:val="10"/>
    <w:qFormat/>
    <w:rsid w:val="002811EA"/>
    <w:pPr>
      <w:pBdr>
        <w:bottom w:val="single" w:sz="12" w:space="1" w:color="auto"/>
      </w:pBdr>
      <w:jc w:val="center"/>
    </w:pPr>
    <w:rPr>
      <w:b/>
      <w:i/>
      <w:sz w:val="28"/>
    </w:rPr>
  </w:style>
  <w:style w:type="character" w:customStyle="1" w:styleId="NzevChar">
    <w:name w:val="Název Char"/>
    <w:link w:val="Nzev"/>
    <w:uiPriority w:val="10"/>
    <w:locked/>
    <w:rsid w:val="002811EA"/>
    <w:rPr>
      <w:rFonts w:ascii="Cambria" w:eastAsia="Times New Roman" w:hAnsi="Cambria" w:cs="Times New Roman"/>
      <w:b/>
      <w:bCs/>
      <w:kern w:val="28"/>
      <w:sz w:val="32"/>
      <w:szCs w:val="32"/>
    </w:rPr>
  </w:style>
  <w:style w:type="paragraph" w:styleId="Zkladntextodsazen">
    <w:name w:val="Body Text Indent"/>
    <w:basedOn w:val="Normln"/>
    <w:link w:val="ZkladntextodsazenChar"/>
    <w:uiPriority w:val="99"/>
    <w:rsid w:val="002811EA"/>
    <w:pPr>
      <w:pBdr>
        <w:bottom w:val="single" w:sz="12" w:space="1" w:color="auto"/>
      </w:pBdr>
      <w:ind w:firstLine="708"/>
    </w:pPr>
    <w:rPr>
      <w:b/>
      <w:sz w:val="22"/>
    </w:rPr>
  </w:style>
  <w:style w:type="character" w:customStyle="1" w:styleId="ZkladntextodsazenChar">
    <w:name w:val="Základní text odsazený Char"/>
    <w:link w:val="Zkladntextodsazen"/>
    <w:uiPriority w:val="99"/>
    <w:semiHidden/>
    <w:locked/>
    <w:rsid w:val="002811EA"/>
    <w:rPr>
      <w:rFonts w:cs="Times New Roman"/>
    </w:rPr>
  </w:style>
  <w:style w:type="paragraph" w:styleId="Zkladntext">
    <w:name w:val="Body Text"/>
    <w:basedOn w:val="Normln"/>
    <w:link w:val="ZkladntextChar"/>
    <w:uiPriority w:val="99"/>
    <w:rsid w:val="002811EA"/>
    <w:rPr>
      <w:sz w:val="24"/>
    </w:rPr>
  </w:style>
  <w:style w:type="character" w:customStyle="1" w:styleId="ZkladntextChar">
    <w:name w:val="Základní text Char"/>
    <w:link w:val="Zkladntext"/>
    <w:uiPriority w:val="99"/>
    <w:semiHidden/>
    <w:locked/>
    <w:rsid w:val="002811EA"/>
    <w:rPr>
      <w:rFonts w:cs="Times New Roman"/>
    </w:rPr>
  </w:style>
  <w:style w:type="paragraph" w:styleId="Zkladntextodsazen2">
    <w:name w:val="Body Text Indent 2"/>
    <w:basedOn w:val="Normln"/>
    <w:link w:val="Zkladntextodsazen2Char"/>
    <w:uiPriority w:val="99"/>
    <w:rsid w:val="002811EA"/>
    <w:pPr>
      <w:ind w:left="1134" w:hanging="1134"/>
      <w:jc w:val="both"/>
    </w:pPr>
    <w:rPr>
      <w:sz w:val="24"/>
    </w:rPr>
  </w:style>
  <w:style w:type="character" w:customStyle="1" w:styleId="Zkladntextodsazen2Char">
    <w:name w:val="Základní text odsazený 2 Char"/>
    <w:link w:val="Zkladntextodsazen2"/>
    <w:uiPriority w:val="99"/>
    <w:semiHidden/>
    <w:locked/>
    <w:rsid w:val="002811EA"/>
    <w:rPr>
      <w:rFonts w:cs="Times New Roman"/>
    </w:rPr>
  </w:style>
  <w:style w:type="character" w:styleId="Hypertextovodkaz">
    <w:name w:val="Hyperlink"/>
    <w:uiPriority w:val="99"/>
    <w:rsid w:val="002811EA"/>
    <w:rPr>
      <w:rFonts w:cs="Times New Roman"/>
      <w:color w:val="0000FF"/>
      <w:u w:val="single"/>
    </w:rPr>
  </w:style>
  <w:style w:type="paragraph" w:styleId="Zkladntext3">
    <w:name w:val="Body Text 3"/>
    <w:basedOn w:val="Normln"/>
    <w:link w:val="Zkladntext3Char"/>
    <w:uiPriority w:val="99"/>
    <w:rsid w:val="00390A36"/>
    <w:pPr>
      <w:spacing w:after="120"/>
    </w:pPr>
    <w:rPr>
      <w:sz w:val="16"/>
      <w:szCs w:val="16"/>
    </w:rPr>
  </w:style>
  <w:style w:type="character" w:customStyle="1" w:styleId="Zkladntext3Char">
    <w:name w:val="Základní text 3 Char"/>
    <w:link w:val="Zkladntext3"/>
    <w:uiPriority w:val="99"/>
    <w:semiHidden/>
    <w:locked/>
    <w:rsid w:val="002811EA"/>
    <w:rPr>
      <w:rFonts w:cs="Times New Roman"/>
      <w:sz w:val="16"/>
      <w:szCs w:val="16"/>
    </w:rPr>
  </w:style>
  <w:style w:type="paragraph" w:customStyle="1" w:styleId="Textodstavce">
    <w:name w:val="Text odstavce"/>
    <w:basedOn w:val="Normln"/>
    <w:autoRedefine/>
    <w:rsid w:val="00314659"/>
    <w:pPr>
      <w:tabs>
        <w:tab w:val="left" w:pos="851"/>
      </w:tabs>
      <w:spacing w:before="120" w:after="120"/>
      <w:jc w:val="both"/>
      <w:outlineLvl w:val="6"/>
    </w:pPr>
    <w:rPr>
      <w:rFonts w:ascii="Calibri" w:eastAsia="MS Mincho" w:hAnsi="Calibri" w:cs="Calibri"/>
      <w:b/>
      <w:i/>
      <w:sz w:val="24"/>
    </w:rPr>
  </w:style>
  <w:style w:type="paragraph" w:customStyle="1" w:styleId="Textpsmene">
    <w:name w:val="Text písmene"/>
    <w:basedOn w:val="Normln"/>
    <w:autoRedefine/>
    <w:rsid w:val="00390A36"/>
    <w:pPr>
      <w:jc w:val="both"/>
    </w:pPr>
    <w:rPr>
      <w:sz w:val="24"/>
    </w:rPr>
  </w:style>
  <w:style w:type="paragraph" w:styleId="Prosttext">
    <w:name w:val="Plain Text"/>
    <w:basedOn w:val="Normln"/>
    <w:link w:val="ProsttextChar"/>
    <w:uiPriority w:val="99"/>
    <w:rsid w:val="00390A36"/>
    <w:rPr>
      <w:rFonts w:ascii="Courier New" w:hAnsi="Courier New"/>
    </w:rPr>
  </w:style>
  <w:style w:type="character" w:customStyle="1" w:styleId="ProsttextChar">
    <w:name w:val="Prostý text Char"/>
    <w:link w:val="Prosttext"/>
    <w:uiPriority w:val="99"/>
    <w:locked/>
    <w:rsid w:val="007A2819"/>
    <w:rPr>
      <w:rFonts w:ascii="Courier New" w:hAnsi="Courier New" w:cs="Times New Roman"/>
    </w:rPr>
  </w:style>
  <w:style w:type="paragraph" w:styleId="Textbubliny">
    <w:name w:val="Balloon Text"/>
    <w:basedOn w:val="Normln"/>
    <w:link w:val="TextbublinyChar"/>
    <w:uiPriority w:val="99"/>
    <w:semiHidden/>
    <w:rsid w:val="004F5693"/>
    <w:rPr>
      <w:rFonts w:ascii="Tahoma" w:hAnsi="Tahoma" w:cs="Tahoma"/>
      <w:sz w:val="16"/>
      <w:szCs w:val="16"/>
    </w:rPr>
  </w:style>
  <w:style w:type="character" w:customStyle="1" w:styleId="TextbublinyChar">
    <w:name w:val="Text bubliny Char"/>
    <w:link w:val="Textbubliny"/>
    <w:uiPriority w:val="99"/>
    <w:semiHidden/>
    <w:locked/>
    <w:rsid w:val="002811EA"/>
    <w:rPr>
      <w:rFonts w:ascii="Tahoma" w:hAnsi="Tahoma" w:cs="Tahoma"/>
      <w:sz w:val="16"/>
      <w:szCs w:val="16"/>
    </w:rPr>
  </w:style>
  <w:style w:type="paragraph" w:styleId="Zkladntext2">
    <w:name w:val="Body Text 2"/>
    <w:basedOn w:val="Normln"/>
    <w:link w:val="Zkladntext2Char"/>
    <w:uiPriority w:val="99"/>
    <w:rsid w:val="00EE5931"/>
    <w:rPr>
      <w:sz w:val="24"/>
    </w:rPr>
  </w:style>
  <w:style w:type="character" w:customStyle="1" w:styleId="Zkladntext2Char">
    <w:name w:val="Základní text 2 Char"/>
    <w:link w:val="Zkladntext2"/>
    <w:uiPriority w:val="99"/>
    <w:locked/>
    <w:rsid w:val="00506EF7"/>
    <w:rPr>
      <w:rFonts w:cs="Times New Roman"/>
    </w:rPr>
  </w:style>
  <w:style w:type="paragraph" w:styleId="Normlnweb">
    <w:name w:val="Normal (Web)"/>
    <w:basedOn w:val="Normln"/>
    <w:uiPriority w:val="99"/>
    <w:rsid w:val="00F23D49"/>
    <w:pPr>
      <w:spacing w:before="100" w:beforeAutospacing="1" w:after="100" w:afterAutospacing="1"/>
    </w:pPr>
    <w:rPr>
      <w:sz w:val="24"/>
      <w:szCs w:val="24"/>
    </w:rPr>
  </w:style>
  <w:style w:type="paragraph" w:customStyle="1" w:styleId="Nadpispozmn">
    <w:name w:val="Nadpis pozm.n."/>
    <w:basedOn w:val="Normln"/>
    <w:next w:val="Normln"/>
    <w:rsid w:val="00462E34"/>
    <w:pPr>
      <w:keepNext/>
      <w:keepLines/>
      <w:numPr>
        <w:ilvl w:val="2"/>
        <w:numId w:val="1"/>
      </w:numPr>
      <w:spacing w:after="120"/>
      <w:jc w:val="center"/>
    </w:pPr>
    <w:rPr>
      <w:b/>
      <w:sz w:val="32"/>
    </w:rPr>
  </w:style>
  <w:style w:type="paragraph" w:customStyle="1" w:styleId="Textbodu">
    <w:name w:val="Text bodu"/>
    <w:basedOn w:val="Normln"/>
    <w:rsid w:val="00462E34"/>
    <w:pPr>
      <w:jc w:val="both"/>
      <w:outlineLvl w:val="8"/>
    </w:pPr>
    <w:rPr>
      <w:sz w:val="24"/>
    </w:rPr>
  </w:style>
  <w:style w:type="paragraph" w:customStyle="1" w:styleId="Textbodunovely">
    <w:name w:val="Text bodu novely"/>
    <w:basedOn w:val="Normln"/>
    <w:next w:val="Normln"/>
    <w:rsid w:val="00462E34"/>
    <w:pPr>
      <w:numPr>
        <w:numId w:val="1"/>
      </w:numPr>
      <w:jc w:val="both"/>
    </w:pPr>
    <w:rPr>
      <w:sz w:val="24"/>
    </w:rPr>
  </w:style>
  <w:style w:type="paragraph" w:customStyle="1" w:styleId="nadpis">
    <w:name w:val="nadpis"/>
    <w:basedOn w:val="Normln"/>
    <w:link w:val="nadpisChar"/>
    <w:qFormat/>
    <w:rsid w:val="000F5A2C"/>
    <w:pPr>
      <w:suppressAutoHyphens/>
      <w:jc w:val="center"/>
    </w:pPr>
    <w:rPr>
      <w:b/>
      <w:bCs/>
      <w:sz w:val="24"/>
      <w:szCs w:val="24"/>
      <w:lang w:val="en-US" w:eastAsia="ar-SA"/>
    </w:rPr>
  </w:style>
  <w:style w:type="paragraph" w:customStyle="1" w:styleId="Styl1">
    <w:name w:val="Styl1"/>
    <w:basedOn w:val="Normln"/>
    <w:qFormat/>
    <w:rsid w:val="000F5A2C"/>
    <w:pPr>
      <w:suppressAutoHyphens/>
      <w:spacing w:before="60" w:line="240" w:lineRule="atLeast"/>
    </w:pPr>
    <w:rPr>
      <w:b/>
      <w:bCs/>
      <w:sz w:val="24"/>
      <w:szCs w:val="24"/>
      <w:lang w:eastAsia="ar-SA"/>
    </w:rPr>
  </w:style>
  <w:style w:type="character" w:customStyle="1" w:styleId="vetsi">
    <w:name w:val="vetsi"/>
    <w:rsid w:val="00D61561"/>
    <w:rPr>
      <w:rFonts w:cs="Times New Roman"/>
    </w:rPr>
  </w:style>
  <w:style w:type="character" w:customStyle="1" w:styleId="vysledek">
    <w:name w:val="vysledek"/>
    <w:rsid w:val="00D61561"/>
    <w:rPr>
      <w:rFonts w:cs="Times New Roman"/>
    </w:rPr>
  </w:style>
  <w:style w:type="paragraph" w:styleId="Podpise-mailu">
    <w:name w:val="E-mail Signature"/>
    <w:basedOn w:val="Normln"/>
    <w:link w:val="Podpise-mailuChar"/>
    <w:uiPriority w:val="99"/>
    <w:rsid w:val="005965F4"/>
    <w:rPr>
      <w:sz w:val="24"/>
      <w:szCs w:val="24"/>
    </w:rPr>
  </w:style>
  <w:style w:type="character" w:customStyle="1" w:styleId="Podpise-mailuChar">
    <w:name w:val="Podpis e-mailu Char"/>
    <w:link w:val="Podpise-mailu"/>
    <w:uiPriority w:val="99"/>
    <w:semiHidden/>
    <w:locked/>
    <w:rsid w:val="002811EA"/>
    <w:rPr>
      <w:rFonts w:cs="Times New Roman"/>
    </w:rPr>
  </w:style>
  <w:style w:type="character" w:customStyle="1" w:styleId="StylE-mailovZprvy50">
    <w:name w:val="StylE-mailovéZprávy50"/>
    <w:semiHidden/>
    <w:rsid w:val="005965F4"/>
    <w:rPr>
      <w:rFonts w:ascii="Arial" w:hAnsi="Arial" w:cs="Arial"/>
      <w:color w:val="000000"/>
      <w:sz w:val="20"/>
    </w:rPr>
  </w:style>
  <w:style w:type="paragraph" w:styleId="Zhlav">
    <w:name w:val="header"/>
    <w:basedOn w:val="Normln"/>
    <w:link w:val="ZhlavChar"/>
    <w:uiPriority w:val="99"/>
    <w:rsid w:val="005C0EFA"/>
    <w:pPr>
      <w:tabs>
        <w:tab w:val="center" w:pos="4536"/>
        <w:tab w:val="right" w:pos="9072"/>
      </w:tabs>
    </w:pPr>
  </w:style>
  <w:style w:type="character" w:customStyle="1" w:styleId="ZhlavChar">
    <w:name w:val="Záhlaví Char"/>
    <w:link w:val="Zhlav"/>
    <w:uiPriority w:val="99"/>
    <w:semiHidden/>
    <w:locked/>
    <w:rsid w:val="002811EA"/>
    <w:rPr>
      <w:rFonts w:cs="Times New Roman"/>
    </w:rPr>
  </w:style>
  <w:style w:type="character" w:styleId="slostrnky">
    <w:name w:val="page number"/>
    <w:uiPriority w:val="99"/>
    <w:rsid w:val="005C0EFA"/>
    <w:rPr>
      <w:rFonts w:cs="Times New Roman"/>
    </w:rPr>
  </w:style>
  <w:style w:type="paragraph" w:styleId="Zpat">
    <w:name w:val="footer"/>
    <w:basedOn w:val="Normln"/>
    <w:link w:val="ZpatChar"/>
    <w:uiPriority w:val="99"/>
    <w:rsid w:val="00D076A4"/>
    <w:pPr>
      <w:tabs>
        <w:tab w:val="center" w:pos="4536"/>
        <w:tab w:val="right" w:pos="9072"/>
      </w:tabs>
    </w:pPr>
  </w:style>
  <w:style w:type="character" w:customStyle="1" w:styleId="ZpatChar">
    <w:name w:val="Zápatí Char"/>
    <w:link w:val="Zpat"/>
    <w:uiPriority w:val="99"/>
    <w:semiHidden/>
    <w:locked/>
    <w:rsid w:val="002811EA"/>
    <w:rPr>
      <w:rFonts w:cs="Times New Roman"/>
    </w:rPr>
  </w:style>
  <w:style w:type="paragraph" w:customStyle="1" w:styleId="DefaultParagraphFontParaCharCharCharCharChar">
    <w:name w:val="Default Paragraph Font Para Char Char Char Char Char"/>
    <w:basedOn w:val="Normln"/>
    <w:rsid w:val="002A7D42"/>
    <w:pPr>
      <w:spacing w:after="160" w:line="240" w:lineRule="exact"/>
    </w:pPr>
    <w:rPr>
      <w:rFonts w:ascii="Verdana" w:hAnsi="Verdana"/>
      <w:lang w:val="en-US" w:eastAsia="en-US"/>
    </w:rPr>
  </w:style>
  <w:style w:type="paragraph" w:customStyle="1" w:styleId="H3">
    <w:name w:val="H3"/>
    <w:basedOn w:val="Normln"/>
    <w:next w:val="Normln"/>
    <w:rsid w:val="007A2819"/>
    <w:pPr>
      <w:keepNext/>
      <w:spacing w:before="100" w:after="100"/>
      <w:outlineLvl w:val="3"/>
    </w:pPr>
    <w:rPr>
      <w:b/>
      <w:sz w:val="28"/>
    </w:rPr>
  </w:style>
  <w:style w:type="paragraph" w:styleId="Odstavecseseznamem">
    <w:name w:val="List Paragraph"/>
    <w:aliases w:val="Odstavec_muj,1 odstavecH,Conclusion de partie,Odstavec cíl se seznamem,Odstavec se seznamem1,Nad,Odstavec se seznamem5,Reference List,Odrážka vínová,Odstavec"/>
    <w:basedOn w:val="Normln"/>
    <w:link w:val="OdstavecseseznamemChar"/>
    <w:uiPriority w:val="34"/>
    <w:qFormat/>
    <w:rsid w:val="006266A6"/>
    <w:pPr>
      <w:spacing w:after="200" w:line="276" w:lineRule="auto"/>
      <w:ind w:left="720"/>
      <w:contextualSpacing/>
    </w:pPr>
    <w:rPr>
      <w:rFonts w:ascii="Calibri" w:hAnsi="Calibri"/>
      <w:sz w:val="22"/>
      <w:szCs w:val="22"/>
      <w:lang w:eastAsia="en-US"/>
    </w:rPr>
  </w:style>
  <w:style w:type="character" w:styleId="Siln">
    <w:name w:val="Strong"/>
    <w:uiPriority w:val="22"/>
    <w:qFormat/>
    <w:rsid w:val="006266A6"/>
    <w:rPr>
      <w:rFonts w:cs="Times New Roman"/>
      <w:b/>
      <w:bCs/>
    </w:rPr>
  </w:style>
  <w:style w:type="paragraph" w:customStyle="1" w:styleId="Prosttext1">
    <w:name w:val="Prostý text1"/>
    <w:basedOn w:val="Normln"/>
    <w:rsid w:val="006266A6"/>
    <w:pPr>
      <w:suppressAutoHyphens/>
    </w:pPr>
    <w:rPr>
      <w:rFonts w:ascii="Consolas" w:hAnsi="Consolas"/>
      <w:sz w:val="21"/>
      <w:szCs w:val="21"/>
      <w:lang w:eastAsia="ar-SA"/>
    </w:rPr>
  </w:style>
  <w:style w:type="paragraph" w:customStyle="1" w:styleId="nadpisvyhlky">
    <w:name w:val="nadpis vyhlášky"/>
    <w:basedOn w:val="Normln"/>
    <w:next w:val="Normln"/>
    <w:rsid w:val="006266A6"/>
    <w:pPr>
      <w:keepNext/>
      <w:keepLines/>
      <w:suppressAutoHyphens/>
      <w:spacing w:before="120"/>
      <w:jc w:val="center"/>
    </w:pPr>
    <w:rPr>
      <w:b/>
      <w:sz w:val="24"/>
      <w:lang w:eastAsia="ar-SA"/>
    </w:rPr>
  </w:style>
  <w:style w:type="paragraph" w:customStyle="1" w:styleId="Nvrh">
    <w:name w:val="Návrh"/>
    <w:basedOn w:val="Normln"/>
    <w:next w:val="Normln"/>
    <w:uiPriority w:val="99"/>
    <w:rsid w:val="00F645E4"/>
    <w:pPr>
      <w:keepNext/>
      <w:keepLines/>
      <w:spacing w:after="240"/>
      <w:jc w:val="center"/>
      <w:outlineLvl w:val="0"/>
    </w:pPr>
    <w:rPr>
      <w:spacing w:val="40"/>
      <w:sz w:val="24"/>
      <w:szCs w:val="24"/>
    </w:rPr>
  </w:style>
  <w:style w:type="paragraph" w:styleId="Textpoznpodarou">
    <w:name w:val="footnote text"/>
    <w:aliases w:val="a_Fußnotentext,Schriftart: 9 pt,Schriftart: 8 pt"/>
    <w:basedOn w:val="Normln"/>
    <w:link w:val="TextpoznpodarouChar"/>
    <w:uiPriority w:val="99"/>
    <w:unhideWhenUsed/>
    <w:rsid w:val="00F645E4"/>
  </w:style>
  <w:style w:type="character" w:customStyle="1" w:styleId="TextpoznpodarouChar">
    <w:name w:val="Text pozn. pod čarou Char"/>
    <w:aliases w:val="a_Fußnotentext Char,Schriftart: 9 pt Char,Schriftart: 8 pt Char"/>
    <w:link w:val="Textpoznpodarou"/>
    <w:uiPriority w:val="99"/>
    <w:locked/>
    <w:rsid w:val="00F645E4"/>
    <w:rPr>
      <w:rFonts w:cs="Times New Roman"/>
    </w:rPr>
  </w:style>
  <w:style w:type="character" w:customStyle="1" w:styleId="styl391">
    <w:name w:val="styl391"/>
    <w:rsid w:val="00F645E4"/>
    <w:rPr>
      <w:rFonts w:ascii="Times New Roman" w:hAnsi="Times New Roman" w:cs="Times New Roman"/>
      <w:color w:val="006600"/>
    </w:rPr>
  </w:style>
  <w:style w:type="paragraph" w:customStyle="1" w:styleId="Nadpisparagrafu">
    <w:name w:val="Nadpis paragrafu"/>
    <w:basedOn w:val="Normln"/>
    <w:next w:val="Textodstavce"/>
    <w:rsid w:val="009D11E4"/>
    <w:pPr>
      <w:keepNext/>
      <w:keepLines/>
      <w:spacing w:before="240"/>
      <w:jc w:val="center"/>
      <w:outlineLvl w:val="5"/>
    </w:pPr>
    <w:rPr>
      <w:b/>
      <w:sz w:val="24"/>
    </w:rPr>
  </w:style>
  <w:style w:type="character" w:customStyle="1" w:styleId="Odkaznapoznpodarou">
    <w:name w:val="Odkaz na pozn. pod čarou"/>
    <w:rsid w:val="009D11E4"/>
    <w:rPr>
      <w:rFonts w:cs="Times New Roman"/>
      <w:vertAlign w:val="superscript"/>
    </w:rPr>
  </w:style>
  <w:style w:type="character" w:customStyle="1" w:styleId="DefaultChar">
    <w:name w:val="Default Char"/>
    <w:link w:val="Default"/>
    <w:locked/>
    <w:rsid w:val="00961834"/>
    <w:rPr>
      <w:color w:val="000000"/>
      <w:sz w:val="24"/>
      <w:szCs w:val="24"/>
      <w:lang w:val="cs-CZ" w:eastAsia="en-US" w:bidi="ar-SA"/>
    </w:rPr>
  </w:style>
  <w:style w:type="paragraph" w:customStyle="1" w:styleId="Default">
    <w:name w:val="Default"/>
    <w:link w:val="DefaultChar"/>
    <w:rsid w:val="00961834"/>
    <w:pPr>
      <w:autoSpaceDE w:val="0"/>
      <w:autoSpaceDN w:val="0"/>
      <w:adjustRightInd w:val="0"/>
    </w:pPr>
    <w:rPr>
      <w:color w:val="000000"/>
      <w:sz w:val="24"/>
      <w:szCs w:val="24"/>
      <w:lang w:eastAsia="en-US"/>
    </w:rPr>
  </w:style>
  <w:style w:type="character" w:customStyle="1" w:styleId="nadpisChar">
    <w:name w:val="nadpis Char"/>
    <w:link w:val="nadpis"/>
    <w:locked/>
    <w:rsid w:val="00961834"/>
    <w:rPr>
      <w:b/>
      <w:bCs/>
      <w:sz w:val="24"/>
      <w:szCs w:val="24"/>
      <w:lang w:val="en-US" w:eastAsia="ar-SA"/>
    </w:rPr>
  </w:style>
  <w:style w:type="character" w:customStyle="1" w:styleId="tunChar">
    <w:name w:val="tučné Char"/>
    <w:link w:val="tun"/>
    <w:locked/>
    <w:rsid w:val="00961834"/>
    <w:rPr>
      <w:b/>
      <w:color w:val="000000"/>
      <w:sz w:val="24"/>
      <w:szCs w:val="24"/>
      <w:lang w:val="cs-CZ" w:eastAsia="en-US" w:bidi="ar-SA"/>
    </w:rPr>
  </w:style>
  <w:style w:type="paragraph" w:customStyle="1" w:styleId="tun">
    <w:name w:val="tučné"/>
    <w:basedOn w:val="Default"/>
    <w:link w:val="tunChar"/>
    <w:qFormat/>
    <w:rsid w:val="00961834"/>
    <w:pPr>
      <w:jc w:val="both"/>
    </w:pPr>
    <w:rPr>
      <w:b/>
    </w:rPr>
  </w:style>
  <w:style w:type="paragraph" w:customStyle="1" w:styleId="textodstavce0">
    <w:name w:val="textodstavce"/>
    <w:basedOn w:val="Normln"/>
    <w:rsid w:val="007D7760"/>
    <w:pPr>
      <w:spacing w:before="100" w:beforeAutospacing="1" w:after="100" w:afterAutospacing="1"/>
    </w:pPr>
    <w:rPr>
      <w:rFonts w:eastAsia="Calibri"/>
      <w:sz w:val="24"/>
      <w:szCs w:val="24"/>
    </w:rPr>
  </w:style>
  <w:style w:type="paragraph" w:customStyle="1" w:styleId="nospacing">
    <w:name w:val="nospacing"/>
    <w:basedOn w:val="Normln"/>
    <w:rsid w:val="007D7760"/>
    <w:pPr>
      <w:spacing w:before="100" w:beforeAutospacing="1" w:after="100" w:afterAutospacing="1"/>
    </w:pPr>
    <w:rPr>
      <w:rFonts w:eastAsia="Calibri"/>
      <w:sz w:val="24"/>
      <w:szCs w:val="24"/>
    </w:rPr>
  </w:style>
  <w:style w:type="paragraph" w:customStyle="1" w:styleId="indent">
    <w:name w:val="indent"/>
    <w:basedOn w:val="Normln"/>
    <w:rsid w:val="00116A85"/>
    <w:pPr>
      <w:spacing w:before="48" w:after="48"/>
      <w:ind w:firstLine="480"/>
      <w:jc w:val="both"/>
    </w:pPr>
    <w:rPr>
      <w:sz w:val="24"/>
      <w:szCs w:val="24"/>
    </w:rPr>
  </w:style>
  <w:style w:type="character" w:customStyle="1" w:styleId="xsptextcomputedfield">
    <w:name w:val="xsptextcomputedfield"/>
    <w:basedOn w:val="Standardnpsmoodstavce"/>
    <w:rsid w:val="000F0D0C"/>
  </w:style>
  <w:style w:type="character" w:customStyle="1" w:styleId="st1">
    <w:name w:val="st1"/>
    <w:basedOn w:val="Standardnpsmoodstavce"/>
    <w:rsid w:val="000F0D0C"/>
  </w:style>
  <w:style w:type="table" w:styleId="Mkatabulky">
    <w:name w:val="Table Grid"/>
    <w:aliases w:val="Tabulka ANECT"/>
    <w:basedOn w:val="Normlntabulka"/>
    <w:uiPriority w:val="59"/>
    <w:rsid w:val="008E0820"/>
    <w:pPr>
      <w:spacing w:before="24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1 odstavecH Char,Conclusion de partie Char,Odstavec cíl se seznamem Char,Odstavec se seznamem1 Char,Nad Char,Odstavec se seznamem5 Char,Reference List Char,Odrážka vínová Char,Odstavec Char"/>
    <w:link w:val="Odstavecseseznamem"/>
    <w:qFormat/>
    <w:rsid w:val="008E0820"/>
    <w:rPr>
      <w:rFonts w:ascii="Calibri" w:hAnsi="Calibri"/>
      <w:sz w:val="22"/>
      <w:szCs w:val="22"/>
      <w:lang w:eastAsia="en-US"/>
    </w:rPr>
  </w:style>
  <w:style w:type="paragraph" w:styleId="Textkomente">
    <w:name w:val="annotation text"/>
    <w:basedOn w:val="Normln"/>
    <w:link w:val="TextkomenteChar"/>
    <w:uiPriority w:val="99"/>
    <w:unhideWhenUsed/>
    <w:rsid w:val="00AA0574"/>
    <w:pPr>
      <w:spacing w:after="200"/>
    </w:pPr>
    <w:rPr>
      <w:rFonts w:ascii="Calibri" w:hAnsi="Calibri"/>
    </w:rPr>
  </w:style>
  <w:style w:type="character" w:customStyle="1" w:styleId="TextkomenteChar">
    <w:name w:val="Text komentáře Char"/>
    <w:link w:val="Textkomente"/>
    <w:uiPriority w:val="99"/>
    <w:rsid w:val="00AA0574"/>
    <w:rPr>
      <w:rFonts w:ascii="Calibri" w:hAnsi="Calibri"/>
    </w:rPr>
  </w:style>
  <w:style w:type="character" w:styleId="Zmnka">
    <w:name w:val="Mention"/>
    <w:basedOn w:val="Standardnpsmoodstavce"/>
    <w:uiPriority w:val="99"/>
    <w:semiHidden/>
    <w:unhideWhenUsed/>
    <w:rsid w:val="007B5311"/>
    <w:rPr>
      <w:color w:val="2B579A"/>
      <w:shd w:val="clear" w:color="auto" w:fill="E6E6E6"/>
    </w:rPr>
  </w:style>
  <w:style w:type="character" w:styleId="Nevyeenzmnka">
    <w:name w:val="Unresolved Mention"/>
    <w:basedOn w:val="Standardnpsmoodstavce"/>
    <w:uiPriority w:val="99"/>
    <w:semiHidden/>
    <w:unhideWhenUsed/>
    <w:rsid w:val="0002661A"/>
    <w:rPr>
      <w:color w:val="808080"/>
      <w:shd w:val="clear" w:color="auto" w:fill="E6E6E6"/>
    </w:rPr>
  </w:style>
  <w:style w:type="paragraph" w:styleId="z-Konecformule">
    <w:name w:val="HTML Bottom of Form"/>
    <w:basedOn w:val="Normln"/>
    <w:next w:val="Normln"/>
    <w:link w:val="z-KonecformuleChar"/>
    <w:hidden/>
    <w:uiPriority w:val="99"/>
    <w:unhideWhenUsed/>
    <w:rsid w:val="005E4BBB"/>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rsid w:val="005E4BBB"/>
    <w:rPr>
      <w:rFonts w:ascii="Arial" w:hAnsi="Arial" w:cs="Arial"/>
      <w:vanish/>
      <w:sz w:val="16"/>
      <w:szCs w:val="16"/>
    </w:rPr>
  </w:style>
  <w:style w:type="paragraph" w:customStyle="1" w:styleId="xmsonormal">
    <w:name w:val="x_msonormal"/>
    <w:basedOn w:val="Normln"/>
    <w:rsid w:val="00B411A7"/>
    <w:pPr>
      <w:spacing w:before="100" w:beforeAutospacing="1" w:after="100" w:afterAutospacing="1"/>
    </w:pPr>
    <w:rPr>
      <w:sz w:val="24"/>
      <w:szCs w:val="24"/>
    </w:rPr>
  </w:style>
  <w:style w:type="paragraph" w:customStyle="1" w:styleId="v1msonormal">
    <w:name w:val="v1msonormal"/>
    <w:basedOn w:val="Normln"/>
    <w:rsid w:val="00D442C1"/>
    <w:pPr>
      <w:spacing w:before="100" w:beforeAutospacing="1" w:after="100" w:afterAutospacing="1"/>
    </w:pPr>
    <w:rPr>
      <w:sz w:val="24"/>
      <w:szCs w:val="24"/>
      <w:lang w:eastAsia="en-GB"/>
    </w:rPr>
  </w:style>
  <w:style w:type="paragraph" w:customStyle="1" w:styleId="l2">
    <w:name w:val="l2"/>
    <w:basedOn w:val="Normln"/>
    <w:rsid w:val="00E90A11"/>
    <w:pPr>
      <w:spacing w:before="100" w:beforeAutospacing="1" w:after="100" w:afterAutospacing="1"/>
    </w:pPr>
    <w:rPr>
      <w:rFonts w:eastAsiaTheme="minorHAnsi"/>
      <w:sz w:val="24"/>
      <w:szCs w:val="24"/>
    </w:rPr>
  </w:style>
  <w:style w:type="paragraph" w:customStyle="1" w:styleId="xxxxmsonormal">
    <w:name w:val="x_x_xxmsonormal"/>
    <w:basedOn w:val="Normln"/>
    <w:rsid w:val="009E4828"/>
    <w:rPr>
      <w:rFonts w:ascii="Calibri" w:eastAsiaTheme="minorHAnsi" w:hAnsi="Calibri" w:cs="Calibri"/>
      <w:sz w:val="22"/>
      <w:szCs w:val="22"/>
    </w:rPr>
  </w:style>
  <w:style w:type="paragraph" w:customStyle="1" w:styleId="nadpiszkona">
    <w:name w:val="nadpis zákona"/>
    <w:basedOn w:val="Normln"/>
    <w:next w:val="Normln"/>
    <w:rsid w:val="00534070"/>
    <w:pPr>
      <w:keepNext/>
      <w:keepLines/>
      <w:spacing w:before="120"/>
      <w:jc w:val="center"/>
      <w:outlineLvl w:val="0"/>
    </w:pPr>
    <w:rPr>
      <w:b/>
      <w:sz w:val="24"/>
    </w:rPr>
  </w:style>
  <w:style w:type="paragraph" w:customStyle="1" w:styleId="-wm-paragraf">
    <w:name w:val="-wm-paragraf"/>
    <w:basedOn w:val="Normln"/>
    <w:rsid w:val="00534070"/>
    <w:pPr>
      <w:spacing w:before="100" w:beforeAutospacing="1" w:after="100" w:afterAutospacing="1"/>
    </w:pPr>
    <w:rPr>
      <w:rFonts w:ascii="Calibri" w:eastAsiaTheme="minorHAnsi" w:hAnsi="Calibri" w:cs="Calibri"/>
      <w:sz w:val="22"/>
      <w:szCs w:val="22"/>
    </w:rPr>
  </w:style>
  <w:style w:type="paragraph" w:customStyle="1" w:styleId="xmsolistparagraph">
    <w:name w:val="x_msolistparagraph"/>
    <w:basedOn w:val="Normln"/>
    <w:rsid w:val="005B2BFA"/>
    <w:pPr>
      <w:spacing w:before="100" w:beforeAutospacing="1" w:after="100" w:afterAutospacing="1"/>
    </w:pPr>
    <w:rPr>
      <w:sz w:val="24"/>
      <w:szCs w:val="24"/>
    </w:rPr>
  </w:style>
  <w:style w:type="paragraph" w:customStyle="1" w:styleId="-wm-nadpisparagrafu">
    <w:name w:val="-wm-nadpisparagrafu"/>
    <w:basedOn w:val="Normln"/>
    <w:rsid w:val="001E403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857">
      <w:bodyDiv w:val="1"/>
      <w:marLeft w:val="0"/>
      <w:marRight w:val="0"/>
      <w:marTop w:val="0"/>
      <w:marBottom w:val="0"/>
      <w:divBdr>
        <w:top w:val="none" w:sz="0" w:space="0" w:color="auto"/>
        <w:left w:val="none" w:sz="0" w:space="0" w:color="auto"/>
        <w:bottom w:val="none" w:sz="0" w:space="0" w:color="auto"/>
        <w:right w:val="none" w:sz="0" w:space="0" w:color="auto"/>
      </w:divBdr>
    </w:div>
    <w:div w:id="59595187">
      <w:bodyDiv w:val="1"/>
      <w:marLeft w:val="0"/>
      <w:marRight w:val="0"/>
      <w:marTop w:val="0"/>
      <w:marBottom w:val="0"/>
      <w:divBdr>
        <w:top w:val="none" w:sz="0" w:space="0" w:color="auto"/>
        <w:left w:val="none" w:sz="0" w:space="0" w:color="auto"/>
        <w:bottom w:val="none" w:sz="0" w:space="0" w:color="auto"/>
        <w:right w:val="none" w:sz="0" w:space="0" w:color="auto"/>
      </w:divBdr>
    </w:div>
    <w:div w:id="60761103">
      <w:bodyDiv w:val="1"/>
      <w:marLeft w:val="0"/>
      <w:marRight w:val="0"/>
      <w:marTop w:val="0"/>
      <w:marBottom w:val="0"/>
      <w:divBdr>
        <w:top w:val="none" w:sz="0" w:space="0" w:color="auto"/>
        <w:left w:val="none" w:sz="0" w:space="0" w:color="auto"/>
        <w:bottom w:val="none" w:sz="0" w:space="0" w:color="auto"/>
        <w:right w:val="none" w:sz="0" w:space="0" w:color="auto"/>
      </w:divBdr>
    </w:div>
    <w:div w:id="69231120">
      <w:bodyDiv w:val="1"/>
      <w:marLeft w:val="0"/>
      <w:marRight w:val="0"/>
      <w:marTop w:val="0"/>
      <w:marBottom w:val="0"/>
      <w:divBdr>
        <w:top w:val="none" w:sz="0" w:space="0" w:color="auto"/>
        <w:left w:val="none" w:sz="0" w:space="0" w:color="auto"/>
        <w:bottom w:val="none" w:sz="0" w:space="0" w:color="auto"/>
        <w:right w:val="none" w:sz="0" w:space="0" w:color="auto"/>
      </w:divBdr>
    </w:div>
    <w:div w:id="79954775">
      <w:bodyDiv w:val="1"/>
      <w:marLeft w:val="0"/>
      <w:marRight w:val="0"/>
      <w:marTop w:val="0"/>
      <w:marBottom w:val="0"/>
      <w:divBdr>
        <w:top w:val="none" w:sz="0" w:space="0" w:color="auto"/>
        <w:left w:val="none" w:sz="0" w:space="0" w:color="auto"/>
        <w:bottom w:val="none" w:sz="0" w:space="0" w:color="auto"/>
        <w:right w:val="none" w:sz="0" w:space="0" w:color="auto"/>
      </w:divBdr>
    </w:div>
    <w:div w:id="95440993">
      <w:bodyDiv w:val="1"/>
      <w:marLeft w:val="0"/>
      <w:marRight w:val="0"/>
      <w:marTop w:val="0"/>
      <w:marBottom w:val="0"/>
      <w:divBdr>
        <w:top w:val="none" w:sz="0" w:space="0" w:color="auto"/>
        <w:left w:val="none" w:sz="0" w:space="0" w:color="auto"/>
        <w:bottom w:val="none" w:sz="0" w:space="0" w:color="auto"/>
        <w:right w:val="none" w:sz="0" w:space="0" w:color="auto"/>
      </w:divBdr>
    </w:div>
    <w:div w:id="137958513">
      <w:bodyDiv w:val="1"/>
      <w:marLeft w:val="0"/>
      <w:marRight w:val="0"/>
      <w:marTop w:val="0"/>
      <w:marBottom w:val="0"/>
      <w:divBdr>
        <w:top w:val="none" w:sz="0" w:space="0" w:color="auto"/>
        <w:left w:val="none" w:sz="0" w:space="0" w:color="auto"/>
        <w:bottom w:val="none" w:sz="0" w:space="0" w:color="auto"/>
        <w:right w:val="none" w:sz="0" w:space="0" w:color="auto"/>
      </w:divBdr>
    </w:div>
    <w:div w:id="157574695">
      <w:bodyDiv w:val="1"/>
      <w:marLeft w:val="0"/>
      <w:marRight w:val="0"/>
      <w:marTop w:val="0"/>
      <w:marBottom w:val="0"/>
      <w:divBdr>
        <w:top w:val="none" w:sz="0" w:space="0" w:color="auto"/>
        <w:left w:val="none" w:sz="0" w:space="0" w:color="auto"/>
        <w:bottom w:val="none" w:sz="0" w:space="0" w:color="auto"/>
        <w:right w:val="none" w:sz="0" w:space="0" w:color="auto"/>
      </w:divBdr>
    </w:div>
    <w:div w:id="173961589">
      <w:bodyDiv w:val="1"/>
      <w:marLeft w:val="0"/>
      <w:marRight w:val="0"/>
      <w:marTop w:val="0"/>
      <w:marBottom w:val="0"/>
      <w:divBdr>
        <w:top w:val="none" w:sz="0" w:space="0" w:color="auto"/>
        <w:left w:val="none" w:sz="0" w:space="0" w:color="auto"/>
        <w:bottom w:val="none" w:sz="0" w:space="0" w:color="auto"/>
        <w:right w:val="none" w:sz="0" w:space="0" w:color="auto"/>
      </w:divBdr>
    </w:div>
    <w:div w:id="182474090">
      <w:bodyDiv w:val="1"/>
      <w:marLeft w:val="0"/>
      <w:marRight w:val="0"/>
      <w:marTop w:val="0"/>
      <w:marBottom w:val="0"/>
      <w:divBdr>
        <w:top w:val="none" w:sz="0" w:space="0" w:color="auto"/>
        <w:left w:val="none" w:sz="0" w:space="0" w:color="auto"/>
        <w:bottom w:val="none" w:sz="0" w:space="0" w:color="auto"/>
        <w:right w:val="none" w:sz="0" w:space="0" w:color="auto"/>
      </w:divBdr>
    </w:div>
    <w:div w:id="195392391">
      <w:bodyDiv w:val="1"/>
      <w:marLeft w:val="0"/>
      <w:marRight w:val="0"/>
      <w:marTop w:val="0"/>
      <w:marBottom w:val="0"/>
      <w:divBdr>
        <w:top w:val="none" w:sz="0" w:space="0" w:color="auto"/>
        <w:left w:val="none" w:sz="0" w:space="0" w:color="auto"/>
        <w:bottom w:val="none" w:sz="0" w:space="0" w:color="auto"/>
        <w:right w:val="none" w:sz="0" w:space="0" w:color="auto"/>
      </w:divBdr>
    </w:div>
    <w:div w:id="196547834">
      <w:bodyDiv w:val="1"/>
      <w:marLeft w:val="0"/>
      <w:marRight w:val="0"/>
      <w:marTop w:val="0"/>
      <w:marBottom w:val="0"/>
      <w:divBdr>
        <w:top w:val="none" w:sz="0" w:space="0" w:color="auto"/>
        <w:left w:val="none" w:sz="0" w:space="0" w:color="auto"/>
        <w:bottom w:val="none" w:sz="0" w:space="0" w:color="auto"/>
        <w:right w:val="none" w:sz="0" w:space="0" w:color="auto"/>
      </w:divBdr>
    </w:div>
    <w:div w:id="267155285">
      <w:bodyDiv w:val="1"/>
      <w:marLeft w:val="0"/>
      <w:marRight w:val="0"/>
      <w:marTop w:val="0"/>
      <w:marBottom w:val="0"/>
      <w:divBdr>
        <w:top w:val="none" w:sz="0" w:space="0" w:color="auto"/>
        <w:left w:val="none" w:sz="0" w:space="0" w:color="auto"/>
        <w:bottom w:val="none" w:sz="0" w:space="0" w:color="auto"/>
        <w:right w:val="none" w:sz="0" w:space="0" w:color="auto"/>
      </w:divBdr>
    </w:div>
    <w:div w:id="283780629">
      <w:bodyDiv w:val="1"/>
      <w:marLeft w:val="0"/>
      <w:marRight w:val="0"/>
      <w:marTop w:val="0"/>
      <w:marBottom w:val="0"/>
      <w:divBdr>
        <w:top w:val="none" w:sz="0" w:space="0" w:color="auto"/>
        <w:left w:val="none" w:sz="0" w:space="0" w:color="auto"/>
        <w:bottom w:val="none" w:sz="0" w:space="0" w:color="auto"/>
        <w:right w:val="none" w:sz="0" w:space="0" w:color="auto"/>
      </w:divBdr>
    </w:div>
    <w:div w:id="327100726">
      <w:bodyDiv w:val="1"/>
      <w:marLeft w:val="0"/>
      <w:marRight w:val="0"/>
      <w:marTop w:val="0"/>
      <w:marBottom w:val="0"/>
      <w:divBdr>
        <w:top w:val="none" w:sz="0" w:space="0" w:color="auto"/>
        <w:left w:val="none" w:sz="0" w:space="0" w:color="auto"/>
        <w:bottom w:val="none" w:sz="0" w:space="0" w:color="auto"/>
        <w:right w:val="none" w:sz="0" w:space="0" w:color="auto"/>
      </w:divBdr>
    </w:div>
    <w:div w:id="332728512">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37942982">
      <w:bodyDiv w:val="1"/>
      <w:marLeft w:val="0"/>
      <w:marRight w:val="0"/>
      <w:marTop w:val="0"/>
      <w:marBottom w:val="0"/>
      <w:divBdr>
        <w:top w:val="none" w:sz="0" w:space="0" w:color="auto"/>
        <w:left w:val="none" w:sz="0" w:space="0" w:color="auto"/>
        <w:bottom w:val="none" w:sz="0" w:space="0" w:color="auto"/>
        <w:right w:val="none" w:sz="0" w:space="0" w:color="auto"/>
      </w:divBdr>
    </w:div>
    <w:div w:id="460197367">
      <w:bodyDiv w:val="1"/>
      <w:marLeft w:val="0"/>
      <w:marRight w:val="0"/>
      <w:marTop w:val="0"/>
      <w:marBottom w:val="0"/>
      <w:divBdr>
        <w:top w:val="none" w:sz="0" w:space="0" w:color="auto"/>
        <w:left w:val="none" w:sz="0" w:space="0" w:color="auto"/>
        <w:bottom w:val="none" w:sz="0" w:space="0" w:color="auto"/>
        <w:right w:val="none" w:sz="0" w:space="0" w:color="auto"/>
      </w:divBdr>
    </w:div>
    <w:div w:id="469632552">
      <w:bodyDiv w:val="1"/>
      <w:marLeft w:val="0"/>
      <w:marRight w:val="0"/>
      <w:marTop w:val="0"/>
      <w:marBottom w:val="0"/>
      <w:divBdr>
        <w:top w:val="none" w:sz="0" w:space="0" w:color="auto"/>
        <w:left w:val="none" w:sz="0" w:space="0" w:color="auto"/>
        <w:bottom w:val="none" w:sz="0" w:space="0" w:color="auto"/>
        <w:right w:val="none" w:sz="0" w:space="0" w:color="auto"/>
      </w:divBdr>
    </w:div>
    <w:div w:id="535657950">
      <w:bodyDiv w:val="1"/>
      <w:marLeft w:val="0"/>
      <w:marRight w:val="0"/>
      <w:marTop w:val="0"/>
      <w:marBottom w:val="0"/>
      <w:divBdr>
        <w:top w:val="none" w:sz="0" w:space="0" w:color="auto"/>
        <w:left w:val="none" w:sz="0" w:space="0" w:color="auto"/>
        <w:bottom w:val="none" w:sz="0" w:space="0" w:color="auto"/>
        <w:right w:val="none" w:sz="0" w:space="0" w:color="auto"/>
      </w:divBdr>
    </w:div>
    <w:div w:id="540753471">
      <w:bodyDiv w:val="1"/>
      <w:marLeft w:val="0"/>
      <w:marRight w:val="0"/>
      <w:marTop w:val="0"/>
      <w:marBottom w:val="0"/>
      <w:divBdr>
        <w:top w:val="none" w:sz="0" w:space="0" w:color="auto"/>
        <w:left w:val="none" w:sz="0" w:space="0" w:color="auto"/>
        <w:bottom w:val="none" w:sz="0" w:space="0" w:color="auto"/>
        <w:right w:val="none" w:sz="0" w:space="0" w:color="auto"/>
      </w:divBdr>
    </w:div>
    <w:div w:id="616253557">
      <w:bodyDiv w:val="1"/>
      <w:marLeft w:val="0"/>
      <w:marRight w:val="0"/>
      <w:marTop w:val="0"/>
      <w:marBottom w:val="0"/>
      <w:divBdr>
        <w:top w:val="none" w:sz="0" w:space="0" w:color="auto"/>
        <w:left w:val="none" w:sz="0" w:space="0" w:color="auto"/>
        <w:bottom w:val="none" w:sz="0" w:space="0" w:color="auto"/>
        <w:right w:val="none" w:sz="0" w:space="0" w:color="auto"/>
      </w:divBdr>
    </w:div>
    <w:div w:id="643705350">
      <w:bodyDiv w:val="1"/>
      <w:marLeft w:val="0"/>
      <w:marRight w:val="0"/>
      <w:marTop w:val="0"/>
      <w:marBottom w:val="0"/>
      <w:divBdr>
        <w:top w:val="none" w:sz="0" w:space="0" w:color="auto"/>
        <w:left w:val="none" w:sz="0" w:space="0" w:color="auto"/>
        <w:bottom w:val="none" w:sz="0" w:space="0" w:color="auto"/>
        <w:right w:val="none" w:sz="0" w:space="0" w:color="auto"/>
      </w:divBdr>
    </w:div>
    <w:div w:id="648823665">
      <w:bodyDiv w:val="1"/>
      <w:marLeft w:val="0"/>
      <w:marRight w:val="0"/>
      <w:marTop w:val="0"/>
      <w:marBottom w:val="0"/>
      <w:divBdr>
        <w:top w:val="none" w:sz="0" w:space="0" w:color="auto"/>
        <w:left w:val="none" w:sz="0" w:space="0" w:color="auto"/>
        <w:bottom w:val="none" w:sz="0" w:space="0" w:color="auto"/>
        <w:right w:val="none" w:sz="0" w:space="0" w:color="auto"/>
      </w:divBdr>
    </w:div>
    <w:div w:id="670567793">
      <w:bodyDiv w:val="1"/>
      <w:marLeft w:val="0"/>
      <w:marRight w:val="0"/>
      <w:marTop w:val="0"/>
      <w:marBottom w:val="0"/>
      <w:divBdr>
        <w:top w:val="none" w:sz="0" w:space="0" w:color="auto"/>
        <w:left w:val="none" w:sz="0" w:space="0" w:color="auto"/>
        <w:bottom w:val="none" w:sz="0" w:space="0" w:color="auto"/>
        <w:right w:val="none" w:sz="0" w:space="0" w:color="auto"/>
      </w:divBdr>
    </w:div>
    <w:div w:id="726761187">
      <w:bodyDiv w:val="1"/>
      <w:marLeft w:val="0"/>
      <w:marRight w:val="0"/>
      <w:marTop w:val="0"/>
      <w:marBottom w:val="0"/>
      <w:divBdr>
        <w:top w:val="none" w:sz="0" w:space="0" w:color="auto"/>
        <w:left w:val="none" w:sz="0" w:space="0" w:color="auto"/>
        <w:bottom w:val="none" w:sz="0" w:space="0" w:color="auto"/>
        <w:right w:val="none" w:sz="0" w:space="0" w:color="auto"/>
      </w:divBdr>
      <w:divsChild>
        <w:div w:id="310058051">
          <w:marLeft w:val="0"/>
          <w:marRight w:val="0"/>
          <w:marTop w:val="0"/>
          <w:marBottom w:val="0"/>
          <w:divBdr>
            <w:top w:val="none" w:sz="0" w:space="0" w:color="auto"/>
            <w:left w:val="none" w:sz="0" w:space="0" w:color="auto"/>
            <w:bottom w:val="none" w:sz="0" w:space="0" w:color="auto"/>
            <w:right w:val="none" w:sz="0" w:space="0" w:color="auto"/>
          </w:divBdr>
          <w:divsChild>
            <w:div w:id="17654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3173">
      <w:bodyDiv w:val="1"/>
      <w:marLeft w:val="0"/>
      <w:marRight w:val="0"/>
      <w:marTop w:val="0"/>
      <w:marBottom w:val="0"/>
      <w:divBdr>
        <w:top w:val="none" w:sz="0" w:space="0" w:color="auto"/>
        <w:left w:val="none" w:sz="0" w:space="0" w:color="auto"/>
        <w:bottom w:val="none" w:sz="0" w:space="0" w:color="auto"/>
        <w:right w:val="none" w:sz="0" w:space="0" w:color="auto"/>
      </w:divBdr>
    </w:div>
    <w:div w:id="736127091">
      <w:bodyDiv w:val="1"/>
      <w:marLeft w:val="0"/>
      <w:marRight w:val="0"/>
      <w:marTop w:val="0"/>
      <w:marBottom w:val="0"/>
      <w:divBdr>
        <w:top w:val="none" w:sz="0" w:space="0" w:color="auto"/>
        <w:left w:val="none" w:sz="0" w:space="0" w:color="auto"/>
        <w:bottom w:val="none" w:sz="0" w:space="0" w:color="auto"/>
        <w:right w:val="none" w:sz="0" w:space="0" w:color="auto"/>
      </w:divBdr>
    </w:div>
    <w:div w:id="784924773">
      <w:bodyDiv w:val="1"/>
      <w:marLeft w:val="0"/>
      <w:marRight w:val="0"/>
      <w:marTop w:val="0"/>
      <w:marBottom w:val="0"/>
      <w:divBdr>
        <w:top w:val="none" w:sz="0" w:space="0" w:color="auto"/>
        <w:left w:val="none" w:sz="0" w:space="0" w:color="auto"/>
        <w:bottom w:val="none" w:sz="0" w:space="0" w:color="auto"/>
        <w:right w:val="none" w:sz="0" w:space="0" w:color="auto"/>
      </w:divBdr>
    </w:div>
    <w:div w:id="808783451">
      <w:bodyDiv w:val="1"/>
      <w:marLeft w:val="0"/>
      <w:marRight w:val="0"/>
      <w:marTop w:val="0"/>
      <w:marBottom w:val="0"/>
      <w:divBdr>
        <w:top w:val="none" w:sz="0" w:space="0" w:color="auto"/>
        <w:left w:val="none" w:sz="0" w:space="0" w:color="auto"/>
        <w:bottom w:val="none" w:sz="0" w:space="0" w:color="auto"/>
        <w:right w:val="none" w:sz="0" w:space="0" w:color="auto"/>
      </w:divBdr>
    </w:div>
    <w:div w:id="827944290">
      <w:bodyDiv w:val="1"/>
      <w:marLeft w:val="0"/>
      <w:marRight w:val="0"/>
      <w:marTop w:val="0"/>
      <w:marBottom w:val="0"/>
      <w:divBdr>
        <w:top w:val="none" w:sz="0" w:space="0" w:color="auto"/>
        <w:left w:val="none" w:sz="0" w:space="0" w:color="auto"/>
        <w:bottom w:val="none" w:sz="0" w:space="0" w:color="auto"/>
        <w:right w:val="none" w:sz="0" w:space="0" w:color="auto"/>
      </w:divBdr>
    </w:div>
    <w:div w:id="869604999">
      <w:bodyDiv w:val="1"/>
      <w:marLeft w:val="0"/>
      <w:marRight w:val="0"/>
      <w:marTop w:val="0"/>
      <w:marBottom w:val="0"/>
      <w:divBdr>
        <w:top w:val="none" w:sz="0" w:space="0" w:color="auto"/>
        <w:left w:val="none" w:sz="0" w:space="0" w:color="auto"/>
        <w:bottom w:val="none" w:sz="0" w:space="0" w:color="auto"/>
        <w:right w:val="none" w:sz="0" w:space="0" w:color="auto"/>
      </w:divBdr>
    </w:div>
    <w:div w:id="880215548">
      <w:bodyDiv w:val="1"/>
      <w:marLeft w:val="0"/>
      <w:marRight w:val="0"/>
      <w:marTop w:val="0"/>
      <w:marBottom w:val="0"/>
      <w:divBdr>
        <w:top w:val="none" w:sz="0" w:space="0" w:color="auto"/>
        <w:left w:val="none" w:sz="0" w:space="0" w:color="auto"/>
        <w:bottom w:val="none" w:sz="0" w:space="0" w:color="auto"/>
        <w:right w:val="none" w:sz="0" w:space="0" w:color="auto"/>
      </w:divBdr>
    </w:div>
    <w:div w:id="885413591">
      <w:bodyDiv w:val="1"/>
      <w:marLeft w:val="0"/>
      <w:marRight w:val="0"/>
      <w:marTop w:val="0"/>
      <w:marBottom w:val="0"/>
      <w:divBdr>
        <w:top w:val="none" w:sz="0" w:space="0" w:color="auto"/>
        <w:left w:val="none" w:sz="0" w:space="0" w:color="auto"/>
        <w:bottom w:val="none" w:sz="0" w:space="0" w:color="auto"/>
        <w:right w:val="none" w:sz="0" w:space="0" w:color="auto"/>
      </w:divBdr>
    </w:div>
    <w:div w:id="930623690">
      <w:bodyDiv w:val="1"/>
      <w:marLeft w:val="0"/>
      <w:marRight w:val="0"/>
      <w:marTop w:val="0"/>
      <w:marBottom w:val="0"/>
      <w:divBdr>
        <w:top w:val="none" w:sz="0" w:space="0" w:color="auto"/>
        <w:left w:val="none" w:sz="0" w:space="0" w:color="auto"/>
        <w:bottom w:val="none" w:sz="0" w:space="0" w:color="auto"/>
        <w:right w:val="none" w:sz="0" w:space="0" w:color="auto"/>
      </w:divBdr>
    </w:div>
    <w:div w:id="969360167">
      <w:bodyDiv w:val="1"/>
      <w:marLeft w:val="0"/>
      <w:marRight w:val="0"/>
      <w:marTop w:val="0"/>
      <w:marBottom w:val="0"/>
      <w:divBdr>
        <w:top w:val="none" w:sz="0" w:space="0" w:color="auto"/>
        <w:left w:val="none" w:sz="0" w:space="0" w:color="auto"/>
        <w:bottom w:val="none" w:sz="0" w:space="0" w:color="auto"/>
        <w:right w:val="none" w:sz="0" w:space="0" w:color="auto"/>
      </w:divBdr>
    </w:div>
    <w:div w:id="973097747">
      <w:bodyDiv w:val="1"/>
      <w:marLeft w:val="0"/>
      <w:marRight w:val="0"/>
      <w:marTop w:val="0"/>
      <w:marBottom w:val="0"/>
      <w:divBdr>
        <w:top w:val="none" w:sz="0" w:space="0" w:color="auto"/>
        <w:left w:val="none" w:sz="0" w:space="0" w:color="auto"/>
        <w:bottom w:val="none" w:sz="0" w:space="0" w:color="auto"/>
        <w:right w:val="none" w:sz="0" w:space="0" w:color="auto"/>
      </w:divBdr>
    </w:div>
    <w:div w:id="992024607">
      <w:bodyDiv w:val="1"/>
      <w:marLeft w:val="0"/>
      <w:marRight w:val="0"/>
      <w:marTop w:val="0"/>
      <w:marBottom w:val="0"/>
      <w:divBdr>
        <w:top w:val="none" w:sz="0" w:space="0" w:color="auto"/>
        <w:left w:val="none" w:sz="0" w:space="0" w:color="auto"/>
        <w:bottom w:val="none" w:sz="0" w:space="0" w:color="auto"/>
        <w:right w:val="none" w:sz="0" w:space="0" w:color="auto"/>
      </w:divBdr>
      <w:divsChild>
        <w:div w:id="191961637">
          <w:marLeft w:val="0"/>
          <w:marRight w:val="0"/>
          <w:marTop w:val="0"/>
          <w:marBottom w:val="0"/>
          <w:divBdr>
            <w:top w:val="none" w:sz="0" w:space="0" w:color="auto"/>
            <w:left w:val="none" w:sz="0" w:space="0" w:color="auto"/>
            <w:bottom w:val="none" w:sz="0" w:space="0" w:color="auto"/>
            <w:right w:val="none" w:sz="0" w:space="0" w:color="auto"/>
          </w:divBdr>
        </w:div>
        <w:div w:id="2117140959">
          <w:marLeft w:val="0"/>
          <w:marRight w:val="0"/>
          <w:marTop w:val="0"/>
          <w:marBottom w:val="0"/>
          <w:divBdr>
            <w:top w:val="none" w:sz="0" w:space="0" w:color="auto"/>
            <w:left w:val="none" w:sz="0" w:space="0" w:color="auto"/>
            <w:bottom w:val="none" w:sz="0" w:space="0" w:color="auto"/>
            <w:right w:val="none" w:sz="0" w:space="0" w:color="auto"/>
          </w:divBdr>
        </w:div>
      </w:divsChild>
    </w:div>
    <w:div w:id="995259673">
      <w:bodyDiv w:val="1"/>
      <w:marLeft w:val="0"/>
      <w:marRight w:val="0"/>
      <w:marTop w:val="0"/>
      <w:marBottom w:val="0"/>
      <w:divBdr>
        <w:top w:val="none" w:sz="0" w:space="0" w:color="auto"/>
        <w:left w:val="none" w:sz="0" w:space="0" w:color="auto"/>
        <w:bottom w:val="none" w:sz="0" w:space="0" w:color="auto"/>
        <w:right w:val="none" w:sz="0" w:space="0" w:color="auto"/>
      </w:divBdr>
    </w:div>
    <w:div w:id="1015572723">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376315">
      <w:bodyDiv w:val="1"/>
      <w:marLeft w:val="0"/>
      <w:marRight w:val="0"/>
      <w:marTop w:val="0"/>
      <w:marBottom w:val="0"/>
      <w:divBdr>
        <w:top w:val="none" w:sz="0" w:space="0" w:color="auto"/>
        <w:left w:val="none" w:sz="0" w:space="0" w:color="auto"/>
        <w:bottom w:val="none" w:sz="0" w:space="0" w:color="auto"/>
        <w:right w:val="none" w:sz="0" w:space="0" w:color="auto"/>
      </w:divBdr>
    </w:div>
    <w:div w:id="1063136130">
      <w:bodyDiv w:val="1"/>
      <w:marLeft w:val="0"/>
      <w:marRight w:val="0"/>
      <w:marTop w:val="0"/>
      <w:marBottom w:val="0"/>
      <w:divBdr>
        <w:top w:val="none" w:sz="0" w:space="0" w:color="auto"/>
        <w:left w:val="none" w:sz="0" w:space="0" w:color="auto"/>
        <w:bottom w:val="none" w:sz="0" w:space="0" w:color="auto"/>
        <w:right w:val="none" w:sz="0" w:space="0" w:color="auto"/>
      </w:divBdr>
    </w:div>
    <w:div w:id="1108620613">
      <w:bodyDiv w:val="1"/>
      <w:marLeft w:val="0"/>
      <w:marRight w:val="0"/>
      <w:marTop w:val="0"/>
      <w:marBottom w:val="0"/>
      <w:divBdr>
        <w:top w:val="none" w:sz="0" w:space="0" w:color="auto"/>
        <w:left w:val="none" w:sz="0" w:space="0" w:color="auto"/>
        <w:bottom w:val="none" w:sz="0" w:space="0" w:color="auto"/>
        <w:right w:val="none" w:sz="0" w:space="0" w:color="auto"/>
      </w:divBdr>
    </w:div>
    <w:div w:id="1117673337">
      <w:bodyDiv w:val="1"/>
      <w:marLeft w:val="0"/>
      <w:marRight w:val="0"/>
      <w:marTop w:val="0"/>
      <w:marBottom w:val="0"/>
      <w:divBdr>
        <w:top w:val="none" w:sz="0" w:space="0" w:color="auto"/>
        <w:left w:val="none" w:sz="0" w:space="0" w:color="auto"/>
        <w:bottom w:val="none" w:sz="0" w:space="0" w:color="auto"/>
        <w:right w:val="none" w:sz="0" w:space="0" w:color="auto"/>
      </w:divBdr>
    </w:div>
    <w:div w:id="1154103401">
      <w:bodyDiv w:val="1"/>
      <w:marLeft w:val="0"/>
      <w:marRight w:val="0"/>
      <w:marTop w:val="0"/>
      <w:marBottom w:val="0"/>
      <w:divBdr>
        <w:top w:val="none" w:sz="0" w:space="0" w:color="auto"/>
        <w:left w:val="none" w:sz="0" w:space="0" w:color="auto"/>
        <w:bottom w:val="none" w:sz="0" w:space="0" w:color="auto"/>
        <w:right w:val="none" w:sz="0" w:space="0" w:color="auto"/>
      </w:divBdr>
    </w:div>
    <w:div w:id="1172525292">
      <w:bodyDiv w:val="1"/>
      <w:marLeft w:val="0"/>
      <w:marRight w:val="0"/>
      <w:marTop w:val="0"/>
      <w:marBottom w:val="0"/>
      <w:divBdr>
        <w:top w:val="none" w:sz="0" w:space="0" w:color="auto"/>
        <w:left w:val="none" w:sz="0" w:space="0" w:color="auto"/>
        <w:bottom w:val="none" w:sz="0" w:space="0" w:color="auto"/>
        <w:right w:val="none" w:sz="0" w:space="0" w:color="auto"/>
      </w:divBdr>
    </w:div>
    <w:div w:id="1220433395">
      <w:bodyDiv w:val="1"/>
      <w:marLeft w:val="0"/>
      <w:marRight w:val="0"/>
      <w:marTop w:val="0"/>
      <w:marBottom w:val="0"/>
      <w:divBdr>
        <w:top w:val="none" w:sz="0" w:space="0" w:color="auto"/>
        <w:left w:val="none" w:sz="0" w:space="0" w:color="auto"/>
        <w:bottom w:val="none" w:sz="0" w:space="0" w:color="auto"/>
        <w:right w:val="none" w:sz="0" w:space="0" w:color="auto"/>
      </w:divBdr>
      <w:divsChild>
        <w:div w:id="888996377">
          <w:marLeft w:val="0"/>
          <w:marRight w:val="0"/>
          <w:marTop w:val="0"/>
          <w:marBottom w:val="0"/>
          <w:divBdr>
            <w:top w:val="none" w:sz="0" w:space="0" w:color="auto"/>
            <w:left w:val="none" w:sz="0" w:space="0" w:color="auto"/>
            <w:bottom w:val="none" w:sz="0" w:space="0" w:color="auto"/>
            <w:right w:val="none" w:sz="0" w:space="0" w:color="auto"/>
          </w:divBdr>
          <w:divsChild>
            <w:div w:id="11608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426">
      <w:bodyDiv w:val="1"/>
      <w:marLeft w:val="0"/>
      <w:marRight w:val="0"/>
      <w:marTop w:val="0"/>
      <w:marBottom w:val="0"/>
      <w:divBdr>
        <w:top w:val="none" w:sz="0" w:space="0" w:color="auto"/>
        <w:left w:val="none" w:sz="0" w:space="0" w:color="auto"/>
        <w:bottom w:val="none" w:sz="0" w:space="0" w:color="auto"/>
        <w:right w:val="none" w:sz="0" w:space="0" w:color="auto"/>
      </w:divBdr>
    </w:div>
    <w:div w:id="1295480189">
      <w:marLeft w:val="0"/>
      <w:marRight w:val="0"/>
      <w:marTop w:val="0"/>
      <w:marBottom w:val="0"/>
      <w:divBdr>
        <w:top w:val="none" w:sz="0" w:space="0" w:color="auto"/>
        <w:left w:val="none" w:sz="0" w:space="0" w:color="auto"/>
        <w:bottom w:val="none" w:sz="0" w:space="0" w:color="auto"/>
        <w:right w:val="none" w:sz="0" w:space="0" w:color="auto"/>
      </w:divBdr>
    </w:div>
    <w:div w:id="1295480191">
      <w:marLeft w:val="0"/>
      <w:marRight w:val="0"/>
      <w:marTop w:val="0"/>
      <w:marBottom w:val="0"/>
      <w:divBdr>
        <w:top w:val="none" w:sz="0" w:space="0" w:color="auto"/>
        <w:left w:val="none" w:sz="0" w:space="0" w:color="auto"/>
        <w:bottom w:val="none" w:sz="0" w:space="0" w:color="auto"/>
        <w:right w:val="none" w:sz="0" w:space="0" w:color="auto"/>
      </w:divBdr>
    </w:div>
    <w:div w:id="1295480192">
      <w:marLeft w:val="0"/>
      <w:marRight w:val="0"/>
      <w:marTop w:val="0"/>
      <w:marBottom w:val="0"/>
      <w:divBdr>
        <w:top w:val="none" w:sz="0" w:space="0" w:color="auto"/>
        <w:left w:val="none" w:sz="0" w:space="0" w:color="auto"/>
        <w:bottom w:val="none" w:sz="0" w:space="0" w:color="auto"/>
        <w:right w:val="none" w:sz="0" w:space="0" w:color="auto"/>
      </w:divBdr>
    </w:div>
    <w:div w:id="1295480195">
      <w:marLeft w:val="0"/>
      <w:marRight w:val="0"/>
      <w:marTop w:val="0"/>
      <w:marBottom w:val="0"/>
      <w:divBdr>
        <w:top w:val="none" w:sz="0" w:space="0" w:color="auto"/>
        <w:left w:val="none" w:sz="0" w:space="0" w:color="auto"/>
        <w:bottom w:val="none" w:sz="0" w:space="0" w:color="auto"/>
        <w:right w:val="none" w:sz="0" w:space="0" w:color="auto"/>
      </w:divBdr>
    </w:div>
    <w:div w:id="1295480196">
      <w:marLeft w:val="0"/>
      <w:marRight w:val="0"/>
      <w:marTop w:val="0"/>
      <w:marBottom w:val="0"/>
      <w:divBdr>
        <w:top w:val="none" w:sz="0" w:space="0" w:color="auto"/>
        <w:left w:val="none" w:sz="0" w:space="0" w:color="auto"/>
        <w:bottom w:val="none" w:sz="0" w:space="0" w:color="auto"/>
        <w:right w:val="none" w:sz="0" w:space="0" w:color="auto"/>
      </w:divBdr>
    </w:div>
    <w:div w:id="1295480199">
      <w:marLeft w:val="0"/>
      <w:marRight w:val="0"/>
      <w:marTop w:val="0"/>
      <w:marBottom w:val="0"/>
      <w:divBdr>
        <w:top w:val="none" w:sz="0" w:space="0" w:color="auto"/>
        <w:left w:val="none" w:sz="0" w:space="0" w:color="auto"/>
        <w:bottom w:val="none" w:sz="0" w:space="0" w:color="auto"/>
        <w:right w:val="none" w:sz="0" w:space="0" w:color="auto"/>
      </w:divBdr>
    </w:div>
    <w:div w:id="1295480203">
      <w:marLeft w:val="0"/>
      <w:marRight w:val="0"/>
      <w:marTop w:val="0"/>
      <w:marBottom w:val="0"/>
      <w:divBdr>
        <w:top w:val="none" w:sz="0" w:space="0" w:color="auto"/>
        <w:left w:val="none" w:sz="0" w:space="0" w:color="auto"/>
        <w:bottom w:val="none" w:sz="0" w:space="0" w:color="auto"/>
        <w:right w:val="none" w:sz="0" w:space="0" w:color="auto"/>
      </w:divBdr>
    </w:div>
    <w:div w:id="1295480205">
      <w:marLeft w:val="0"/>
      <w:marRight w:val="0"/>
      <w:marTop w:val="0"/>
      <w:marBottom w:val="0"/>
      <w:divBdr>
        <w:top w:val="none" w:sz="0" w:space="0" w:color="auto"/>
        <w:left w:val="none" w:sz="0" w:space="0" w:color="auto"/>
        <w:bottom w:val="none" w:sz="0" w:space="0" w:color="auto"/>
        <w:right w:val="none" w:sz="0" w:space="0" w:color="auto"/>
      </w:divBdr>
      <w:divsChild>
        <w:div w:id="1295480194">
          <w:marLeft w:val="0"/>
          <w:marRight w:val="0"/>
          <w:marTop w:val="0"/>
          <w:marBottom w:val="0"/>
          <w:divBdr>
            <w:top w:val="single" w:sz="6" w:space="0" w:color="000000"/>
            <w:left w:val="none" w:sz="0" w:space="0" w:color="auto"/>
            <w:bottom w:val="none" w:sz="0" w:space="0" w:color="auto"/>
            <w:right w:val="none" w:sz="0" w:space="0" w:color="auto"/>
          </w:divBdr>
        </w:div>
        <w:div w:id="1295480198">
          <w:marLeft w:val="0"/>
          <w:marRight w:val="0"/>
          <w:marTop w:val="0"/>
          <w:marBottom w:val="0"/>
          <w:divBdr>
            <w:top w:val="single" w:sz="6" w:space="0" w:color="000000"/>
            <w:left w:val="none" w:sz="0" w:space="0" w:color="auto"/>
            <w:bottom w:val="none" w:sz="0" w:space="0" w:color="auto"/>
            <w:right w:val="none" w:sz="0" w:space="0" w:color="auto"/>
          </w:divBdr>
        </w:div>
        <w:div w:id="1295480202">
          <w:marLeft w:val="0"/>
          <w:marRight w:val="0"/>
          <w:marTop w:val="0"/>
          <w:marBottom w:val="0"/>
          <w:divBdr>
            <w:top w:val="single" w:sz="6" w:space="0" w:color="000000"/>
            <w:left w:val="none" w:sz="0" w:space="0" w:color="auto"/>
            <w:bottom w:val="none" w:sz="0" w:space="0" w:color="auto"/>
            <w:right w:val="none" w:sz="0" w:space="0" w:color="auto"/>
          </w:divBdr>
        </w:div>
        <w:div w:id="1295480204">
          <w:marLeft w:val="0"/>
          <w:marRight w:val="0"/>
          <w:marTop w:val="0"/>
          <w:marBottom w:val="0"/>
          <w:divBdr>
            <w:top w:val="single" w:sz="6" w:space="0" w:color="000000"/>
            <w:left w:val="none" w:sz="0" w:space="0" w:color="auto"/>
            <w:bottom w:val="none" w:sz="0" w:space="0" w:color="auto"/>
            <w:right w:val="none" w:sz="0" w:space="0" w:color="auto"/>
          </w:divBdr>
        </w:div>
        <w:div w:id="1295480217">
          <w:marLeft w:val="0"/>
          <w:marRight w:val="0"/>
          <w:marTop w:val="0"/>
          <w:marBottom w:val="0"/>
          <w:divBdr>
            <w:top w:val="single" w:sz="6" w:space="0" w:color="000000"/>
            <w:left w:val="none" w:sz="0" w:space="0" w:color="auto"/>
            <w:bottom w:val="none" w:sz="0" w:space="0" w:color="auto"/>
            <w:right w:val="none" w:sz="0" w:space="0" w:color="auto"/>
          </w:divBdr>
        </w:div>
        <w:div w:id="1295480219">
          <w:marLeft w:val="0"/>
          <w:marRight w:val="0"/>
          <w:marTop w:val="0"/>
          <w:marBottom w:val="0"/>
          <w:divBdr>
            <w:top w:val="single" w:sz="6" w:space="0" w:color="000000"/>
            <w:left w:val="none" w:sz="0" w:space="0" w:color="auto"/>
            <w:bottom w:val="none" w:sz="0" w:space="0" w:color="auto"/>
            <w:right w:val="none" w:sz="0" w:space="0" w:color="auto"/>
          </w:divBdr>
        </w:div>
        <w:div w:id="1295480221">
          <w:marLeft w:val="0"/>
          <w:marRight w:val="0"/>
          <w:marTop w:val="0"/>
          <w:marBottom w:val="0"/>
          <w:divBdr>
            <w:top w:val="single" w:sz="6" w:space="0" w:color="000000"/>
            <w:left w:val="none" w:sz="0" w:space="0" w:color="auto"/>
            <w:bottom w:val="none" w:sz="0" w:space="0" w:color="auto"/>
            <w:right w:val="none" w:sz="0" w:space="0" w:color="auto"/>
          </w:divBdr>
        </w:div>
        <w:div w:id="1295480222">
          <w:marLeft w:val="0"/>
          <w:marRight w:val="0"/>
          <w:marTop w:val="0"/>
          <w:marBottom w:val="0"/>
          <w:divBdr>
            <w:top w:val="single" w:sz="6" w:space="0" w:color="000000"/>
            <w:left w:val="none" w:sz="0" w:space="0" w:color="auto"/>
            <w:bottom w:val="none" w:sz="0" w:space="0" w:color="auto"/>
            <w:right w:val="none" w:sz="0" w:space="0" w:color="auto"/>
          </w:divBdr>
        </w:div>
        <w:div w:id="1295480223">
          <w:marLeft w:val="0"/>
          <w:marRight w:val="0"/>
          <w:marTop w:val="0"/>
          <w:marBottom w:val="0"/>
          <w:divBdr>
            <w:top w:val="none" w:sz="0" w:space="0" w:color="auto"/>
            <w:left w:val="none" w:sz="0" w:space="0" w:color="auto"/>
            <w:bottom w:val="none" w:sz="0" w:space="0" w:color="auto"/>
            <w:right w:val="none" w:sz="0" w:space="0" w:color="auto"/>
          </w:divBdr>
        </w:div>
      </w:divsChild>
    </w:div>
    <w:div w:id="1295480207">
      <w:marLeft w:val="0"/>
      <w:marRight w:val="0"/>
      <w:marTop w:val="0"/>
      <w:marBottom w:val="0"/>
      <w:divBdr>
        <w:top w:val="none" w:sz="0" w:space="0" w:color="auto"/>
        <w:left w:val="none" w:sz="0" w:space="0" w:color="auto"/>
        <w:bottom w:val="none" w:sz="0" w:space="0" w:color="auto"/>
        <w:right w:val="none" w:sz="0" w:space="0" w:color="auto"/>
      </w:divBdr>
      <w:divsChild>
        <w:div w:id="1295480190">
          <w:marLeft w:val="0"/>
          <w:marRight w:val="0"/>
          <w:marTop w:val="0"/>
          <w:marBottom w:val="0"/>
          <w:divBdr>
            <w:top w:val="none" w:sz="0" w:space="0" w:color="auto"/>
            <w:left w:val="none" w:sz="0" w:space="0" w:color="auto"/>
            <w:bottom w:val="none" w:sz="0" w:space="0" w:color="auto"/>
            <w:right w:val="none" w:sz="0" w:space="0" w:color="auto"/>
          </w:divBdr>
        </w:div>
        <w:div w:id="1295480193">
          <w:marLeft w:val="0"/>
          <w:marRight w:val="0"/>
          <w:marTop w:val="0"/>
          <w:marBottom w:val="0"/>
          <w:divBdr>
            <w:top w:val="none" w:sz="0" w:space="0" w:color="auto"/>
            <w:left w:val="none" w:sz="0" w:space="0" w:color="auto"/>
            <w:bottom w:val="none" w:sz="0" w:space="0" w:color="auto"/>
            <w:right w:val="none" w:sz="0" w:space="0" w:color="auto"/>
          </w:divBdr>
        </w:div>
        <w:div w:id="1295480213">
          <w:marLeft w:val="0"/>
          <w:marRight w:val="0"/>
          <w:marTop w:val="0"/>
          <w:marBottom w:val="0"/>
          <w:divBdr>
            <w:top w:val="none" w:sz="0" w:space="0" w:color="auto"/>
            <w:left w:val="none" w:sz="0" w:space="0" w:color="auto"/>
            <w:bottom w:val="none" w:sz="0" w:space="0" w:color="auto"/>
            <w:right w:val="none" w:sz="0" w:space="0" w:color="auto"/>
          </w:divBdr>
        </w:div>
      </w:divsChild>
    </w:div>
    <w:div w:id="1295480208">
      <w:marLeft w:val="0"/>
      <w:marRight w:val="0"/>
      <w:marTop w:val="0"/>
      <w:marBottom w:val="0"/>
      <w:divBdr>
        <w:top w:val="none" w:sz="0" w:space="0" w:color="auto"/>
        <w:left w:val="none" w:sz="0" w:space="0" w:color="auto"/>
        <w:bottom w:val="none" w:sz="0" w:space="0" w:color="auto"/>
        <w:right w:val="none" w:sz="0" w:space="0" w:color="auto"/>
      </w:divBdr>
    </w:div>
    <w:div w:id="1295480210">
      <w:marLeft w:val="0"/>
      <w:marRight w:val="0"/>
      <w:marTop w:val="0"/>
      <w:marBottom w:val="0"/>
      <w:divBdr>
        <w:top w:val="none" w:sz="0" w:space="0" w:color="auto"/>
        <w:left w:val="none" w:sz="0" w:space="0" w:color="auto"/>
        <w:bottom w:val="none" w:sz="0" w:space="0" w:color="auto"/>
        <w:right w:val="none" w:sz="0" w:space="0" w:color="auto"/>
      </w:divBdr>
    </w:div>
    <w:div w:id="1295480211">
      <w:marLeft w:val="0"/>
      <w:marRight w:val="0"/>
      <w:marTop w:val="0"/>
      <w:marBottom w:val="0"/>
      <w:divBdr>
        <w:top w:val="none" w:sz="0" w:space="0" w:color="auto"/>
        <w:left w:val="none" w:sz="0" w:space="0" w:color="auto"/>
        <w:bottom w:val="none" w:sz="0" w:space="0" w:color="auto"/>
        <w:right w:val="none" w:sz="0" w:space="0" w:color="auto"/>
      </w:divBdr>
    </w:div>
    <w:div w:id="1295480214">
      <w:marLeft w:val="0"/>
      <w:marRight w:val="0"/>
      <w:marTop w:val="0"/>
      <w:marBottom w:val="0"/>
      <w:divBdr>
        <w:top w:val="none" w:sz="0" w:space="0" w:color="auto"/>
        <w:left w:val="none" w:sz="0" w:space="0" w:color="auto"/>
        <w:bottom w:val="none" w:sz="0" w:space="0" w:color="auto"/>
        <w:right w:val="none" w:sz="0" w:space="0" w:color="auto"/>
      </w:divBdr>
    </w:div>
    <w:div w:id="1295480216">
      <w:marLeft w:val="0"/>
      <w:marRight w:val="0"/>
      <w:marTop w:val="0"/>
      <w:marBottom w:val="0"/>
      <w:divBdr>
        <w:top w:val="none" w:sz="0" w:space="0" w:color="auto"/>
        <w:left w:val="none" w:sz="0" w:space="0" w:color="auto"/>
        <w:bottom w:val="none" w:sz="0" w:space="0" w:color="auto"/>
        <w:right w:val="none" w:sz="0" w:space="0" w:color="auto"/>
      </w:divBdr>
    </w:div>
    <w:div w:id="1295480218">
      <w:marLeft w:val="0"/>
      <w:marRight w:val="0"/>
      <w:marTop w:val="0"/>
      <w:marBottom w:val="0"/>
      <w:divBdr>
        <w:top w:val="none" w:sz="0" w:space="0" w:color="auto"/>
        <w:left w:val="none" w:sz="0" w:space="0" w:color="auto"/>
        <w:bottom w:val="none" w:sz="0" w:space="0" w:color="auto"/>
        <w:right w:val="none" w:sz="0" w:space="0" w:color="auto"/>
      </w:divBdr>
    </w:div>
    <w:div w:id="1295480220">
      <w:marLeft w:val="0"/>
      <w:marRight w:val="0"/>
      <w:marTop w:val="0"/>
      <w:marBottom w:val="0"/>
      <w:divBdr>
        <w:top w:val="none" w:sz="0" w:space="0" w:color="auto"/>
        <w:left w:val="none" w:sz="0" w:space="0" w:color="auto"/>
        <w:bottom w:val="none" w:sz="0" w:space="0" w:color="auto"/>
        <w:right w:val="none" w:sz="0" w:space="0" w:color="auto"/>
      </w:divBdr>
      <w:divsChild>
        <w:div w:id="1295480197">
          <w:marLeft w:val="0"/>
          <w:marRight w:val="0"/>
          <w:marTop w:val="0"/>
          <w:marBottom w:val="0"/>
          <w:divBdr>
            <w:top w:val="none" w:sz="0" w:space="0" w:color="auto"/>
            <w:left w:val="none" w:sz="0" w:space="0" w:color="auto"/>
            <w:bottom w:val="none" w:sz="0" w:space="0" w:color="auto"/>
            <w:right w:val="none" w:sz="0" w:space="0" w:color="auto"/>
          </w:divBdr>
        </w:div>
        <w:div w:id="1295480200">
          <w:marLeft w:val="0"/>
          <w:marRight w:val="0"/>
          <w:marTop w:val="0"/>
          <w:marBottom w:val="0"/>
          <w:divBdr>
            <w:top w:val="none" w:sz="0" w:space="0" w:color="auto"/>
            <w:left w:val="none" w:sz="0" w:space="0" w:color="auto"/>
            <w:bottom w:val="none" w:sz="0" w:space="0" w:color="auto"/>
            <w:right w:val="none" w:sz="0" w:space="0" w:color="auto"/>
          </w:divBdr>
        </w:div>
        <w:div w:id="1295480201">
          <w:marLeft w:val="0"/>
          <w:marRight w:val="0"/>
          <w:marTop w:val="0"/>
          <w:marBottom w:val="0"/>
          <w:divBdr>
            <w:top w:val="none" w:sz="0" w:space="0" w:color="auto"/>
            <w:left w:val="none" w:sz="0" w:space="0" w:color="auto"/>
            <w:bottom w:val="none" w:sz="0" w:space="0" w:color="auto"/>
            <w:right w:val="none" w:sz="0" w:space="0" w:color="auto"/>
          </w:divBdr>
        </w:div>
        <w:div w:id="1295480206">
          <w:marLeft w:val="0"/>
          <w:marRight w:val="0"/>
          <w:marTop w:val="0"/>
          <w:marBottom w:val="0"/>
          <w:divBdr>
            <w:top w:val="none" w:sz="0" w:space="0" w:color="auto"/>
            <w:left w:val="none" w:sz="0" w:space="0" w:color="auto"/>
            <w:bottom w:val="none" w:sz="0" w:space="0" w:color="auto"/>
            <w:right w:val="none" w:sz="0" w:space="0" w:color="auto"/>
          </w:divBdr>
        </w:div>
        <w:div w:id="1295480209">
          <w:marLeft w:val="0"/>
          <w:marRight w:val="0"/>
          <w:marTop w:val="0"/>
          <w:marBottom w:val="0"/>
          <w:divBdr>
            <w:top w:val="none" w:sz="0" w:space="0" w:color="auto"/>
            <w:left w:val="none" w:sz="0" w:space="0" w:color="auto"/>
            <w:bottom w:val="none" w:sz="0" w:space="0" w:color="auto"/>
            <w:right w:val="none" w:sz="0" w:space="0" w:color="auto"/>
          </w:divBdr>
        </w:div>
        <w:div w:id="1295480212">
          <w:marLeft w:val="0"/>
          <w:marRight w:val="0"/>
          <w:marTop w:val="0"/>
          <w:marBottom w:val="0"/>
          <w:divBdr>
            <w:top w:val="none" w:sz="0" w:space="0" w:color="auto"/>
            <w:left w:val="none" w:sz="0" w:space="0" w:color="auto"/>
            <w:bottom w:val="none" w:sz="0" w:space="0" w:color="auto"/>
            <w:right w:val="none" w:sz="0" w:space="0" w:color="auto"/>
          </w:divBdr>
        </w:div>
        <w:div w:id="1295480215">
          <w:marLeft w:val="0"/>
          <w:marRight w:val="0"/>
          <w:marTop w:val="0"/>
          <w:marBottom w:val="0"/>
          <w:divBdr>
            <w:top w:val="none" w:sz="0" w:space="0" w:color="auto"/>
            <w:left w:val="none" w:sz="0" w:space="0" w:color="auto"/>
            <w:bottom w:val="none" w:sz="0" w:space="0" w:color="auto"/>
            <w:right w:val="none" w:sz="0" w:space="0" w:color="auto"/>
          </w:divBdr>
        </w:div>
      </w:divsChild>
    </w:div>
    <w:div w:id="1325862326">
      <w:bodyDiv w:val="1"/>
      <w:marLeft w:val="0"/>
      <w:marRight w:val="0"/>
      <w:marTop w:val="0"/>
      <w:marBottom w:val="0"/>
      <w:divBdr>
        <w:top w:val="none" w:sz="0" w:space="0" w:color="auto"/>
        <w:left w:val="none" w:sz="0" w:space="0" w:color="auto"/>
        <w:bottom w:val="none" w:sz="0" w:space="0" w:color="auto"/>
        <w:right w:val="none" w:sz="0" w:space="0" w:color="auto"/>
      </w:divBdr>
    </w:div>
    <w:div w:id="1334604889">
      <w:bodyDiv w:val="1"/>
      <w:marLeft w:val="0"/>
      <w:marRight w:val="0"/>
      <w:marTop w:val="0"/>
      <w:marBottom w:val="0"/>
      <w:divBdr>
        <w:top w:val="none" w:sz="0" w:space="0" w:color="auto"/>
        <w:left w:val="none" w:sz="0" w:space="0" w:color="auto"/>
        <w:bottom w:val="none" w:sz="0" w:space="0" w:color="auto"/>
        <w:right w:val="none" w:sz="0" w:space="0" w:color="auto"/>
      </w:divBdr>
    </w:div>
    <w:div w:id="1350251822">
      <w:bodyDiv w:val="1"/>
      <w:marLeft w:val="0"/>
      <w:marRight w:val="0"/>
      <w:marTop w:val="0"/>
      <w:marBottom w:val="0"/>
      <w:divBdr>
        <w:top w:val="none" w:sz="0" w:space="0" w:color="auto"/>
        <w:left w:val="none" w:sz="0" w:space="0" w:color="auto"/>
        <w:bottom w:val="none" w:sz="0" w:space="0" w:color="auto"/>
        <w:right w:val="none" w:sz="0" w:space="0" w:color="auto"/>
      </w:divBdr>
    </w:div>
    <w:div w:id="1375499658">
      <w:bodyDiv w:val="1"/>
      <w:marLeft w:val="0"/>
      <w:marRight w:val="0"/>
      <w:marTop w:val="0"/>
      <w:marBottom w:val="0"/>
      <w:divBdr>
        <w:top w:val="none" w:sz="0" w:space="0" w:color="auto"/>
        <w:left w:val="none" w:sz="0" w:space="0" w:color="auto"/>
        <w:bottom w:val="none" w:sz="0" w:space="0" w:color="auto"/>
        <w:right w:val="none" w:sz="0" w:space="0" w:color="auto"/>
      </w:divBdr>
    </w:div>
    <w:div w:id="1393308051">
      <w:bodyDiv w:val="1"/>
      <w:marLeft w:val="0"/>
      <w:marRight w:val="0"/>
      <w:marTop w:val="0"/>
      <w:marBottom w:val="0"/>
      <w:divBdr>
        <w:top w:val="none" w:sz="0" w:space="0" w:color="auto"/>
        <w:left w:val="none" w:sz="0" w:space="0" w:color="auto"/>
        <w:bottom w:val="none" w:sz="0" w:space="0" w:color="auto"/>
        <w:right w:val="none" w:sz="0" w:space="0" w:color="auto"/>
      </w:divBdr>
    </w:div>
    <w:div w:id="1418789995">
      <w:bodyDiv w:val="1"/>
      <w:marLeft w:val="0"/>
      <w:marRight w:val="0"/>
      <w:marTop w:val="0"/>
      <w:marBottom w:val="0"/>
      <w:divBdr>
        <w:top w:val="none" w:sz="0" w:space="0" w:color="auto"/>
        <w:left w:val="none" w:sz="0" w:space="0" w:color="auto"/>
        <w:bottom w:val="none" w:sz="0" w:space="0" w:color="auto"/>
        <w:right w:val="none" w:sz="0" w:space="0" w:color="auto"/>
      </w:divBdr>
    </w:div>
    <w:div w:id="1425036399">
      <w:bodyDiv w:val="1"/>
      <w:marLeft w:val="0"/>
      <w:marRight w:val="0"/>
      <w:marTop w:val="0"/>
      <w:marBottom w:val="0"/>
      <w:divBdr>
        <w:top w:val="none" w:sz="0" w:space="0" w:color="auto"/>
        <w:left w:val="none" w:sz="0" w:space="0" w:color="auto"/>
        <w:bottom w:val="none" w:sz="0" w:space="0" w:color="auto"/>
        <w:right w:val="none" w:sz="0" w:space="0" w:color="auto"/>
      </w:divBdr>
    </w:div>
    <w:div w:id="1425612304">
      <w:bodyDiv w:val="1"/>
      <w:marLeft w:val="0"/>
      <w:marRight w:val="0"/>
      <w:marTop w:val="0"/>
      <w:marBottom w:val="0"/>
      <w:divBdr>
        <w:top w:val="none" w:sz="0" w:space="0" w:color="auto"/>
        <w:left w:val="none" w:sz="0" w:space="0" w:color="auto"/>
        <w:bottom w:val="none" w:sz="0" w:space="0" w:color="auto"/>
        <w:right w:val="none" w:sz="0" w:space="0" w:color="auto"/>
      </w:divBdr>
    </w:div>
    <w:div w:id="1437022873">
      <w:bodyDiv w:val="1"/>
      <w:marLeft w:val="0"/>
      <w:marRight w:val="0"/>
      <w:marTop w:val="0"/>
      <w:marBottom w:val="0"/>
      <w:divBdr>
        <w:top w:val="none" w:sz="0" w:space="0" w:color="auto"/>
        <w:left w:val="none" w:sz="0" w:space="0" w:color="auto"/>
        <w:bottom w:val="none" w:sz="0" w:space="0" w:color="auto"/>
        <w:right w:val="none" w:sz="0" w:space="0" w:color="auto"/>
      </w:divBdr>
    </w:div>
    <w:div w:id="1457993425">
      <w:bodyDiv w:val="1"/>
      <w:marLeft w:val="0"/>
      <w:marRight w:val="0"/>
      <w:marTop w:val="0"/>
      <w:marBottom w:val="0"/>
      <w:divBdr>
        <w:top w:val="none" w:sz="0" w:space="0" w:color="auto"/>
        <w:left w:val="none" w:sz="0" w:space="0" w:color="auto"/>
        <w:bottom w:val="none" w:sz="0" w:space="0" w:color="auto"/>
        <w:right w:val="none" w:sz="0" w:space="0" w:color="auto"/>
      </w:divBdr>
    </w:div>
    <w:div w:id="1459256449">
      <w:bodyDiv w:val="1"/>
      <w:marLeft w:val="0"/>
      <w:marRight w:val="0"/>
      <w:marTop w:val="0"/>
      <w:marBottom w:val="0"/>
      <w:divBdr>
        <w:top w:val="none" w:sz="0" w:space="0" w:color="auto"/>
        <w:left w:val="none" w:sz="0" w:space="0" w:color="auto"/>
        <w:bottom w:val="none" w:sz="0" w:space="0" w:color="auto"/>
        <w:right w:val="none" w:sz="0" w:space="0" w:color="auto"/>
      </w:divBdr>
    </w:div>
    <w:div w:id="1474713738">
      <w:bodyDiv w:val="1"/>
      <w:marLeft w:val="0"/>
      <w:marRight w:val="0"/>
      <w:marTop w:val="0"/>
      <w:marBottom w:val="0"/>
      <w:divBdr>
        <w:top w:val="none" w:sz="0" w:space="0" w:color="auto"/>
        <w:left w:val="none" w:sz="0" w:space="0" w:color="auto"/>
        <w:bottom w:val="none" w:sz="0" w:space="0" w:color="auto"/>
        <w:right w:val="none" w:sz="0" w:space="0" w:color="auto"/>
      </w:divBdr>
    </w:div>
    <w:div w:id="1488982094">
      <w:bodyDiv w:val="1"/>
      <w:marLeft w:val="0"/>
      <w:marRight w:val="0"/>
      <w:marTop w:val="0"/>
      <w:marBottom w:val="0"/>
      <w:divBdr>
        <w:top w:val="none" w:sz="0" w:space="0" w:color="auto"/>
        <w:left w:val="none" w:sz="0" w:space="0" w:color="auto"/>
        <w:bottom w:val="none" w:sz="0" w:space="0" w:color="auto"/>
        <w:right w:val="none" w:sz="0" w:space="0" w:color="auto"/>
      </w:divBdr>
    </w:div>
    <w:div w:id="1499609851">
      <w:bodyDiv w:val="1"/>
      <w:marLeft w:val="0"/>
      <w:marRight w:val="0"/>
      <w:marTop w:val="0"/>
      <w:marBottom w:val="0"/>
      <w:divBdr>
        <w:top w:val="none" w:sz="0" w:space="0" w:color="auto"/>
        <w:left w:val="none" w:sz="0" w:space="0" w:color="auto"/>
        <w:bottom w:val="none" w:sz="0" w:space="0" w:color="auto"/>
        <w:right w:val="none" w:sz="0" w:space="0" w:color="auto"/>
      </w:divBdr>
    </w:div>
    <w:div w:id="1508910827">
      <w:bodyDiv w:val="1"/>
      <w:marLeft w:val="0"/>
      <w:marRight w:val="0"/>
      <w:marTop w:val="0"/>
      <w:marBottom w:val="0"/>
      <w:divBdr>
        <w:top w:val="none" w:sz="0" w:space="0" w:color="auto"/>
        <w:left w:val="none" w:sz="0" w:space="0" w:color="auto"/>
        <w:bottom w:val="none" w:sz="0" w:space="0" w:color="auto"/>
        <w:right w:val="none" w:sz="0" w:space="0" w:color="auto"/>
      </w:divBdr>
    </w:div>
    <w:div w:id="1520580521">
      <w:bodyDiv w:val="1"/>
      <w:marLeft w:val="0"/>
      <w:marRight w:val="0"/>
      <w:marTop w:val="0"/>
      <w:marBottom w:val="0"/>
      <w:divBdr>
        <w:top w:val="none" w:sz="0" w:space="0" w:color="auto"/>
        <w:left w:val="none" w:sz="0" w:space="0" w:color="auto"/>
        <w:bottom w:val="none" w:sz="0" w:space="0" w:color="auto"/>
        <w:right w:val="none" w:sz="0" w:space="0" w:color="auto"/>
      </w:divBdr>
    </w:div>
    <w:div w:id="1527061163">
      <w:bodyDiv w:val="1"/>
      <w:marLeft w:val="0"/>
      <w:marRight w:val="0"/>
      <w:marTop w:val="0"/>
      <w:marBottom w:val="0"/>
      <w:divBdr>
        <w:top w:val="none" w:sz="0" w:space="0" w:color="auto"/>
        <w:left w:val="none" w:sz="0" w:space="0" w:color="auto"/>
        <w:bottom w:val="none" w:sz="0" w:space="0" w:color="auto"/>
        <w:right w:val="none" w:sz="0" w:space="0" w:color="auto"/>
      </w:divBdr>
    </w:div>
    <w:div w:id="1528907321">
      <w:bodyDiv w:val="1"/>
      <w:marLeft w:val="0"/>
      <w:marRight w:val="0"/>
      <w:marTop w:val="0"/>
      <w:marBottom w:val="0"/>
      <w:divBdr>
        <w:top w:val="none" w:sz="0" w:space="0" w:color="auto"/>
        <w:left w:val="none" w:sz="0" w:space="0" w:color="auto"/>
        <w:bottom w:val="none" w:sz="0" w:space="0" w:color="auto"/>
        <w:right w:val="none" w:sz="0" w:space="0" w:color="auto"/>
      </w:divBdr>
    </w:div>
    <w:div w:id="1573849551">
      <w:bodyDiv w:val="1"/>
      <w:marLeft w:val="0"/>
      <w:marRight w:val="0"/>
      <w:marTop w:val="0"/>
      <w:marBottom w:val="0"/>
      <w:divBdr>
        <w:top w:val="none" w:sz="0" w:space="0" w:color="auto"/>
        <w:left w:val="none" w:sz="0" w:space="0" w:color="auto"/>
        <w:bottom w:val="none" w:sz="0" w:space="0" w:color="auto"/>
        <w:right w:val="none" w:sz="0" w:space="0" w:color="auto"/>
      </w:divBdr>
    </w:div>
    <w:div w:id="1615402922">
      <w:bodyDiv w:val="1"/>
      <w:marLeft w:val="0"/>
      <w:marRight w:val="0"/>
      <w:marTop w:val="0"/>
      <w:marBottom w:val="0"/>
      <w:divBdr>
        <w:top w:val="none" w:sz="0" w:space="0" w:color="auto"/>
        <w:left w:val="none" w:sz="0" w:space="0" w:color="auto"/>
        <w:bottom w:val="none" w:sz="0" w:space="0" w:color="auto"/>
        <w:right w:val="none" w:sz="0" w:space="0" w:color="auto"/>
      </w:divBdr>
    </w:div>
    <w:div w:id="1658068812">
      <w:bodyDiv w:val="1"/>
      <w:marLeft w:val="0"/>
      <w:marRight w:val="0"/>
      <w:marTop w:val="0"/>
      <w:marBottom w:val="0"/>
      <w:divBdr>
        <w:top w:val="none" w:sz="0" w:space="0" w:color="auto"/>
        <w:left w:val="none" w:sz="0" w:space="0" w:color="auto"/>
        <w:bottom w:val="none" w:sz="0" w:space="0" w:color="auto"/>
        <w:right w:val="none" w:sz="0" w:space="0" w:color="auto"/>
      </w:divBdr>
    </w:div>
    <w:div w:id="1658607388">
      <w:bodyDiv w:val="1"/>
      <w:marLeft w:val="0"/>
      <w:marRight w:val="0"/>
      <w:marTop w:val="0"/>
      <w:marBottom w:val="0"/>
      <w:divBdr>
        <w:top w:val="none" w:sz="0" w:space="0" w:color="auto"/>
        <w:left w:val="none" w:sz="0" w:space="0" w:color="auto"/>
        <w:bottom w:val="none" w:sz="0" w:space="0" w:color="auto"/>
        <w:right w:val="none" w:sz="0" w:space="0" w:color="auto"/>
      </w:divBdr>
    </w:div>
    <w:div w:id="1670012512">
      <w:bodyDiv w:val="1"/>
      <w:marLeft w:val="0"/>
      <w:marRight w:val="0"/>
      <w:marTop w:val="0"/>
      <w:marBottom w:val="0"/>
      <w:divBdr>
        <w:top w:val="none" w:sz="0" w:space="0" w:color="auto"/>
        <w:left w:val="none" w:sz="0" w:space="0" w:color="auto"/>
        <w:bottom w:val="none" w:sz="0" w:space="0" w:color="auto"/>
        <w:right w:val="none" w:sz="0" w:space="0" w:color="auto"/>
      </w:divBdr>
    </w:div>
    <w:div w:id="1671520669">
      <w:bodyDiv w:val="1"/>
      <w:marLeft w:val="0"/>
      <w:marRight w:val="0"/>
      <w:marTop w:val="0"/>
      <w:marBottom w:val="0"/>
      <w:divBdr>
        <w:top w:val="none" w:sz="0" w:space="0" w:color="auto"/>
        <w:left w:val="none" w:sz="0" w:space="0" w:color="auto"/>
        <w:bottom w:val="none" w:sz="0" w:space="0" w:color="auto"/>
        <w:right w:val="none" w:sz="0" w:space="0" w:color="auto"/>
      </w:divBdr>
    </w:div>
    <w:div w:id="1688947420">
      <w:bodyDiv w:val="1"/>
      <w:marLeft w:val="0"/>
      <w:marRight w:val="0"/>
      <w:marTop w:val="0"/>
      <w:marBottom w:val="0"/>
      <w:divBdr>
        <w:top w:val="none" w:sz="0" w:space="0" w:color="auto"/>
        <w:left w:val="none" w:sz="0" w:space="0" w:color="auto"/>
        <w:bottom w:val="none" w:sz="0" w:space="0" w:color="auto"/>
        <w:right w:val="none" w:sz="0" w:space="0" w:color="auto"/>
      </w:divBdr>
    </w:div>
    <w:div w:id="1690259732">
      <w:bodyDiv w:val="1"/>
      <w:marLeft w:val="0"/>
      <w:marRight w:val="0"/>
      <w:marTop w:val="0"/>
      <w:marBottom w:val="0"/>
      <w:divBdr>
        <w:top w:val="none" w:sz="0" w:space="0" w:color="auto"/>
        <w:left w:val="none" w:sz="0" w:space="0" w:color="auto"/>
        <w:bottom w:val="none" w:sz="0" w:space="0" w:color="auto"/>
        <w:right w:val="none" w:sz="0" w:space="0" w:color="auto"/>
      </w:divBdr>
    </w:div>
    <w:div w:id="1746680784">
      <w:bodyDiv w:val="1"/>
      <w:marLeft w:val="0"/>
      <w:marRight w:val="0"/>
      <w:marTop w:val="0"/>
      <w:marBottom w:val="0"/>
      <w:divBdr>
        <w:top w:val="none" w:sz="0" w:space="0" w:color="auto"/>
        <w:left w:val="none" w:sz="0" w:space="0" w:color="auto"/>
        <w:bottom w:val="none" w:sz="0" w:space="0" w:color="auto"/>
        <w:right w:val="none" w:sz="0" w:space="0" w:color="auto"/>
      </w:divBdr>
    </w:div>
    <w:div w:id="1750806074">
      <w:bodyDiv w:val="1"/>
      <w:marLeft w:val="0"/>
      <w:marRight w:val="0"/>
      <w:marTop w:val="0"/>
      <w:marBottom w:val="0"/>
      <w:divBdr>
        <w:top w:val="none" w:sz="0" w:space="0" w:color="auto"/>
        <w:left w:val="none" w:sz="0" w:space="0" w:color="auto"/>
        <w:bottom w:val="none" w:sz="0" w:space="0" w:color="auto"/>
        <w:right w:val="none" w:sz="0" w:space="0" w:color="auto"/>
      </w:divBdr>
    </w:div>
    <w:div w:id="1756046342">
      <w:bodyDiv w:val="1"/>
      <w:marLeft w:val="0"/>
      <w:marRight w:val="0"/>
      <w:marTop w:val="0"/>
      <w:marBottom w:val="0"/>
      <w:divBdr>
        <w:top w:val="none" w:sz="0" w:space="0" w:color="auto"/>
        <w:left w:val="none" w:sz="0" w:space="0" w:color="auto"/>
        <w:bottom w:val="none" w:sz="0" w:space="0" w:color="auto"/>
        <w:right w:val="none" w:sz="0" w:space="0" w:color="auto"/>
      </w:divBdr>
    </w:div>
    <w:div w:id="1860116681">
      <w:bodyDiv w:val="1"/>
      <w:marLeft w:val="0"/>
      <w:marRight w:val="0"/>
      <w:marTop w:val="0"/>
      <w:marBottom w:val="0"/>
      <w:divBdr>
        <w:top w:val="none" w:sz="0" w:space="0" w:color="auto"/>
        <w:left w:val="none" w:sz="0" w:space="0" w:color="auto"/>
        <w:bottom w:val="none" w:sz="0" w:space="0" w:color="auto"/>
        <w:right w:val="none" w:sz="0" w:space="0" w:color="auto"/>
      </w:divBdr>
    </w:div>
    <w:div w:id="1893618692">
      <w:bodyDiv w:val="1"/>
      <w:marLeft w:val="0"/>
      <w:marRight w:val="0"/>
      <w:marTop w:val="0"/>
      <w:marBottom w:val="0"/>
      <w:divBdr>
        <w:top w:val="none" w:sz="0" w:space="0" w:color="auto"/>
        <w:left w:val="none" w:sz="0" w:space="0" w:color="auto"/>
        <w:bottom w:val="none" w:sz="0" w:space="0" w:color="auto"/>
        <w:right w:val="none" w:sz="0" w:space="0" w:color="auto"/>
      </w:divBdr>
    </w:div>
    <w:div w:id="1914780279">
      <w:bodyDiv w:val="1"/>
      <w:marLeft w:val="0"/>
      <w:marRight w:val="0"/>
      <w:marTop w:val="0"/>
      <w:marBottom w:val="0"/>
      <w:divBdr>
        <w:top w:val="none" w:sz="0" w:space="0" w:color="auto"/>
        <w:left w:val="none" w:sz="0" w:space="0" w:color="auto"/>
        <w:bottom w:val="none" w:sz="0" w:space="0" w:color="auto"/>
        <w:right w:val="none" w:sz="0" w:space="0" w:color="auto"/>
      </w:divBdr>
    </w:div>
    <w:div w:id="1917132415">
      <w:bodyDiv w:val="1"/>
      <w:marLeft w:val="0"/>
      <w:marRight w:val="0"/>
      <w:marTop w:val="0"/>
      <w:marBottom w:val="0"/>
      <w:divBdr>
        <w:top w:val="none" w:sz="0" w:space="0" w:color="auto"/>
        <w:left w:val="none" w:sz="0" w:space="0" w:color="auto"/>
        <w:bottom w:val="none" w:sz="0" w:space="0" w:color="auto"/>
        <w:right w:val="none" w:sz="0" w:space="0" w:color="auto"/>
      </w:divBdr>
    </w:div>
    <w:div w:id="1936130571">
      <w:bodyDiv w:val="1"/>
      <w:marLeft w:val="0"/>
      <w:marRight w:val="0"/>
      <w:marTop w:val="0"/>
      <w:marBottom w:val="0"/>
      <w:divBdr>
        <w:top w:val="none" w:sz="0" w:space="0" w:color="auto"/>
        <w:left w:val="none" w:sz="0" w:space="0" w:color="auto"/>
        <w:bottom w:val="none" w:sz="0" w:space="0" w:color="auto"/>
        <w:right w:val="none" w:sz="0" w:space="0" w:color="auto"/>
      </w:divBdr>
    </w:div>
    <w:div w:id="1962685990">
      <w:bodyDiv w:val="1"/>
      <w:marLeft w:val="0"/>
      <w:marRight w:val="0"/>
      <w:marTop w:val="0"/>
      <w:marBottom w:val="0"/>
      <w:divBdr>
        <w:top w:val="none" w:sz="0" w:space="0" w:color="auto"/>
        <w:left w:val="none" w:sz="0" w:space="0" w:color="auto"/>
        <w:bottom w:val="none" w:sz="0" w:space="0" w:color="auto"/>
        <w:right w:val="none" w:sz="0" w:space="0" w:color="auto"/>
      </w:divBdr>
    </w:div>
    <w:div w:id="1977442429">
      <w:bodyDiv w:val="1"/>
      <w:marLeft w:val="0"/>
      <w:marRight w:val="0"/>
      <w:marTop w:val="0"/>
      <w:marBottom w:val="0"/>
      <w:divBdr>
        <w:top w:val="none" w:sz="0" w:space="0" w:color="auto"/>
        <w:left w:val="none" w:sz="0" w:space="0" w:color="auto"/>
        <w:bottom w:val="none" w:sz="0" w:space="0" w:color="auto"/>
        <w:right w:val="none" w:sz="0" w:space="0" w:color="auto"/>
      </w:divBdr>
      <w:divsChild>
        <w:div w:id="625622343">
          <w:marLeft w:val="0"/>
          <w:marRight w:val="0"/>
          <w:marTop w:val="0"/>
          <w:marBottom w:val="0"/>
          <w:divBdr>
            <w:top w:val="none" w:sz="0" w:space="0" w:color="auto"/>
            <w:left w:val="none" w:sz="0" w:space="0" w:color="auto"/>
            <w:bottom w:val="none" w:sz="0" w:space="0" w:color="auto"/>
            <w:right w:val="none" w:sz="0" w:space="0" w:color="auto"/>
          </w:divBdr>
        </w:div>
      </w:divsChild>
    </w:div>
    <w:div w:id="1992101608">
      <w:bodyDiv w:val="1"/>
      <w:marLeft w:val="0"/>
      <w:marRight w:val="0"/>
      <w:marTop w:val="0"/>
      <w:marBottom w:val="0"/>
      <w:divBdr>
        <w:top w:val="none" w:sz="0" w:space="0" w:color="auto"/>
        <w:left w:val="none" w:sz="0" w:space="0" w:color="auto"/>
        <w:bottom w:val="none" w:sz="0" w:space="0" w:color="auto"/>
        <w:right w:val="none" w:sz="0" w:space="0" w:color="auto"/>
      </w:divBdr>
    </w:div>
    <w:div w:id="2009945147">
      <w:bodyDiv w:val="1"/>
      <w:marLeft w:val="0"/>
      <w:marRight w:val="0"/>
      <w:marTop w:val="0"/>
      <w:marBottom w:val="0"/>
      <w:divBdr>
        <w:top w:val="none" w:sz="0" w:space="0" w:color="auto"/>
        <w:left w:val="none" w:sz="0" w:space="0" w:color="auto"/>
        <w:bottom w:val="none" w:sz="0" w:space="0" w:color="auto"/>
        <w:right w:val="none" w:sz="0" w:space="0" w:color="auto"/>
      </w:divBdr>
    </w:div>
    <w:div w:id="2023891988">
      <w:bodyDiv w:val="1"/>
      <w:marLeft w:val="0"/>
      <w:marRight w:val="0"/>
      <w:marTop w:val="0"/>
      <w:marBottom w:val="0"/>
      <w:divBdr>
        <w:top w:val="none" w:sz="0" w:space="0" w:color="auto"/>
        <w:left w:val="none" w:sz="0" w:space="0" w:color="auto"/>
        <w:bottom w:val="none" w:sz="0" w:space="0" w:color="auto"/>
        <w:right w:val="none" w:sz="0" w:space="0" w:color="auto"/>
      </w:divBdr>
    </w:div>
    <w:div w:id="2027321930">
      <w:bodyDiv w:val="1"/>
      <w:marLeft w:val="0"/>
      <w:marRight w:val="0"/>
      <w:marTop w:val="0"/>
      <w:marBottom w:val="0"/>
      <w:divBdr>
        <w:top w:val="none" w:sz="0" w:space="0" w:color="auto"/>
        <w:left w:val="none" w:sz="0" w:space="0" w:color="auto"/>
        <w:bottom w:val="none" w:sz="0" w:space="0" w:color="auto"/>
        <w:right w:val="none" w:sz="0" w:space="0" w:color="auto"/>
      </w:divBdr>
    </w:div>
    <w:div w:id="2050064221">
      <w:bodyDiv w:val="1"/>
      <w:marLeft w:val="0"/>
      <w:marRight w:val="0"/>
      <w:marTop w:val="0"/>
      <w:marBottom w:val="0"/>
      <w:divBdr>
        <w:top w:val="none" w:sz="0" w:space="0" w:color="auto"/>
        <w:left w:val="none" w:sz="0" w:space="0" w:color="auto"/>
        <w:bottom w:val="none" w:sz="0" w:space="0" w:color="auto"/>
        <w:right w:val="none" w:sz="0" w:space="0" w:color="auto"/>
      </w:divBdr>
    </w:div>
    <w:div w:id="2061632816">
      <w:bodyDiv w:val="1"/>
      <w:marLeft w:val="0"/>
      <w:marRight w:val="0"/>
      <w:marTop w:val="0"/>
      <w:marBottom w:val="0"/>
      <w:divBdr>
        <w:top w:val="none" w:sz="0" w:space="0" w:color="auto"/>
        <w:left w:val="none" w:sz="0" w:space="0" w:color="auto"/>
        <w:bottom w:val="none" w:sz="0" w:space="0" w:color="auto"/>
        <w:right w:val="none" w:sz="0" w:space="0" w:color="auto"/>
      </w:divBdr>
    </w:div>
    <w:div w:id="2075660992">
      <w:bodyDiv w:val="1"/>
      <w:marLeft w:val="0"/>
      <w:marRight w:val="0"/>
      <w:marTop w:val="0"/>
      <w:marBottom w:val="0"/>
      <w:divBdr>
        <w:top w:val="none" w:sz="0" w:space="0" w:color="auto"/>
        <w:left w:val="none" w:sz="0" w:space="0" w:color="auto"/>
        <w:bottom w:val="none" w:sz="0" w:space="0" w:color="auto"/>
        <w:right w:val="none" w:sz="0" w:space="0" w:color="auto"/>
      </w:divBdr>
    </w:div>
    <w:div w:id="2078553670">
      <w:bodyDiv w:val="1"/>
      <w:marLeft w:val="0"/>
      <w:marRight w:val="0"/>
      <w:marTop w:val="0"/>
      <w:marBottom w:val="0"/>
      <w:divBdr>
        <w:top w:val="none" w:sz="0" w:space="0" w:color="auto"/>
        <w:left w:val="none" w:sz="0" w:space="0" w:color="auto"/>
        <w:bottom w:val="none" w:sz="0" w:space="0" w:color="auto"/>
        <w:right w:val="none" w:sz="0" w:space="0" w:color="auto"/>
      </w:divBdr>
    </w:div>
    <w:div w:id="2078936562">
      <w:bodyDiv w:val="1"/>
      <w:marLeft w:val="0"/>
      <w:marRight w:val="0"/>
      <w:marTop w:val="0"/>
      <w:marBottom w:val="0"/>
      <w:divBdr>
        <w:top w:val="none" w:sz="0" w:space="0" w:color="auto"/>
        <w:left w:val="none" w:sz="0" w:space="0" w:color="auto"/>
        <w:bottom w:val="none" w:sz="0" w:space="0" w:color="auto"/>
        <w:right w:val="none" w:sz="0" w:space="0" w:color="auto"/>
      </w:divBdr>
    </w:div>
    <w:div w:id="2098861059">
      <w:bodyDiv w:val="1"/>
      <w:marLeft w:val="0"/>
      <w:marRight w:val="0"/>
      <w:marTop w:val="0"/>
      <w:marBottom w:val="0"/>
      <w:divBdr>
        <w:top w:val="none" w:sz="0" w:space="0" w:color="auto"/>
        <w:left w:val="none" w:sz="0" w:space="0" w:color="auto"/>
        <w:bottom w:val="none" w:sz="0" w:space="0" w:color="auto"/>
        <w:right w:val="none" w:sz="0" w:space="0" w:color="auto"/>
      </w:divBdr>
    </w:div>
    <w:div w:id="210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ndeelenov@scmv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ck-online.cz/bo/document-view.seam?documentId=onrf6mrqga2f6mrtguxhazrtg5qq&amp;refSource=t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zps@kzps.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ikes@kzp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618C-300B-41FD-85F5-85652B7A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5557</Words>
  <Characters>32793</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Konfederace zaměstnavatelských a podnikatelských svazů ČR</vt:lpstr>
    </vt:vector>
  </TitlesOfParts>
  <Company>KZPS</Company>
  <LinksUpToDate>false</LinksUpToDate>
  <CharactersWithSpaces>38274</CharactersWithSpaces>
  <SharedDoc>false</SharedDoc>
  <HLinks>
    <vt:vector size="24" baseType="variant">
      <vt:variant>
        <vt:i4>7143466</vt:i4>
      </vt:variant>
      <vt:variant>
        <vt:i4>9</vt:i4>
      </vt:variant>
      <vt:variant>
        <vt:i4>0</vt:i4>
      </vt:variant>
      <vt:variant>
        <vt:i4>5</vt:i4>
      </vt:variant>
      <vt:variant>
        <vt:lpwstr>tel:224</vt:lpwstr>
      </vt:variant>
      <vt:variant>
        <vt:lpwstr/>
      </vt:variant>
      <vt:variant>
        <vt:i4>1376294</vt:i4>
      </vt:variant>
      <vt:variant>
        <vt:i4>6</vt:i4>
      </vt:variant>
      <vt:variant>
        <vt:i4>0</vt:i4>
      </vt:variant>
      <vt:variant>
        <vt:i4>5</vt:i4>
      </vt:variant>
      <vt:variant>
        <vt:lpwstr>mailto:amort@zsdnp.cz</vt:lpwstr>
      </vt:variant>
      <vt:variant>
        <vt:lpwstr/>
      </vt:variant>
      <vt:variant>
        <vt:i4>5177452</vt:i4>
      </vt:variant>
      <vt:variant>
        <vt:i4>3</vt:i4>
      </vt:variant>
      <vt:variant>
        <vt:i4>0</vt:i4>
      </vt:variant>
      <vt:variant>
        <vt:i4>5</vt:i4>
      </vt:variant>
      <vt:variant>
        <vt:lpwstr>mailto:zikes@kzps.cz</vt:lpwstr>
      </vt:variant>
      <vt:variant>
        <vt:lpwstr/>
      </vt:variant>
      <vt:variant>
        <vt:i4>5439606</vt:i4>
      </vt:variant>
      <vt:variant>
        <vt:i4>0</vt:i4>
      </vt:variant>
      <vt:variant>
        <vt:i4>0</vt:i4>
      </vt:variant>
      <vt:variant>
        <vt:i4>5</vt:i4>
      </vt:variant>
      <vt:variant>
        <vt:lpwstr>mailto:kzps@kzps.cz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Konfederace zaměstnavatelských a podnikatelských svazů ČR</dc:title>
  <dc:subject/>
  <dc:creator>Honza</dc:creator>
  <cp:keywords/>
  <cp:lastModifiedBy>Jan Zikeš</cp:lastModifiedBy>
  <cp:revision>168</cp:revision>
  <cp:lastPrinted>2016-10-12T10:41:00Z</cp:lastPrinted>
  <dcterms:created xsi:type="dcterms:W3CDTF">2020-07-21T13:09:00Z</dcterms:created>
  <dcterms:modified xsi:type="dcterms:W3CDTF">2023-05-29T12:06:00Z</dcterms:modified>
</cp:coreProperties>
</file>