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C308189"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9E4828" w:rsidRPr="009E4828">
        <w:rPr>
          <w:rFonts w:asciiTheme="minorHAnsi" w:hAnsiTheme="minorHAnsi" w:cstheme="minorHAnsi"/>
          <w:b/>
          <w:bCs/>
          <w:sz w:val="24"/>
          <w:szCs w:val="24"/>
        </w:rPr>
        <w:t xml:space="preserve">návrhu </w:t>
      </w:r>
      <w:r w:rsidR="00CE3B90" w:rsidRPr="00CE3B90">
        <w:rPr>
          <w:rFonts w:asciiTheme="minorHAnsi" w:hAnsiTheme="minorHAnsi" w:cstheme="minorHAnsi"/>
          <w:b/>
          <w:bCs/>
          <w:sz w:val="24"/>
          <w:szCs w:val="24"/>
        </w:rPr>
        <w:t>Vyhodnocení naplňování Státní energetické koncepce ČR</w:t>
      </w:r>
    </w:p>
    <w:p w14:paraId="1BE65876" w14:textId="77777777" w:rsidR="00CE3B90" w:rsidRPr="00FC7348" w:rsidRDefault="00CE3B90" w:rsidP="006E638C">
      <w:pPr>
        <w:jc w:val="center"/>
        <w:rPr>
          <w:rFonts w:asciiTheme="minorHAnsi" w:hAnsiTheme="minorHAnsi" w:cstheme="minorHAnsi"/>
          <w:b/>
          <w:bCs/>
          <w:sz w:val="24"/>
          <w:szCs w:val="24"/>
        </w:rPr>
      </w:pPr>
    </w:p>
    <w:p w14:paraId="0443CC84" w14:textId="551A6C66" w:rsidR="00FD1397" w:rsidRPr="00FC7348" w:rsidRDefault="005E4BBB" w:rsidP="007B4FCA">
      <w:pPr>
        <w:jc w:val="both"/>
        <w:rPr>
          <w:rFonts w:asciiTheme="minorHAnsi" w:hAnsiTheme="minorHAnsi" w:cstheme="minorHAnsi"/>
          <w:sz w:val="24"/>
          <w:szCs w:val="24"/>
        </w:rPr>
      </w:pPr>
      <w:r w:rsidRPr="00FC7348">
        <w:rPr>
          <w:rFonts w:asciiTheme="minorHAnsi" w:hAnsiTheme="minorHAnsi" w:cstheme="minorHAnsi"/>
          <w:sz w:val="24"/>
          <w:szCs w:val="24"/>
        </w:rPr>
        <w:tab/>
      </w:r>
      <w:r w:rsidR="00FD1397" w:rsidRPr="00FC7348">
        <w:rPr>
          <w:rFonts w:asciiTheme="minorHAnsi" w:hAnsiTheme="minorHAnsi" w:cstheme="minorHAnsi"/>
          <w:sz w:val="24"/>
          <w:szCs w:val="24"/>
        </w:rPr>
        <w:t>V rámci mezirezortního připomínkového řízení jsme obdrželi uvedený návrh.</w:t>
      </w:r>
      <w:r w:rsidR="00D80A51" w:rsidRPr="00FC7348">
        <w:rPr>
          <w:rFonts w:asciiTheme="minorHAnsi" w:hAnsiTheme="minorHAnsi" w:cstheme="minorHAnsi"/>
          <w:sz w:val="24"/>
          <w:szCs w:val="24"/>
        </w:rPr>
        <w:t xml:space="preserve"> </w:t>
      </w:r>
      <w:r w:rsidR="00FD1397" w:rsidRPr="00FC7348">
        <w:rPr>
          <w:rFonts w:asciiTheme="minorHAnsi" w:hAnsiTheme="minorHAnsi" w:cstheme="minorHAnsi"/>
          <w:sz w:val="24"/>
          <w:szCs w:val="24"/>
        </w:rPr>
        <w:t xml:space="preserve">K němu Konfederace zaměstnavatelských a podnikatelských svazů ČR </w:t>
      </w:r>
      <w:r w:rsidR="00D80A51" w:rsidRPr="00FC7348">
        <w:rPr>
          <w:rFonts w:asciiTheme="minorHAnsi" w:hAnsiTheme="minorHAnsi" w:cstheme="minorHAnsi"/>
          <w:sz w:val="24"/>
          <w:szCs w:val="24"/>
        </w:rPr>
        <w:t xml:space="preserve">(KZPS ČR) </w:t>
      </w:r>
      <w:r w:rsidR="00FD1397" w:rsidRPr="00FC7348">
        <w:rPr>
          <w:rFonts w:asciiTheme="minorHAnsi" w:hAnsiTheme="minorHAnsi" w:cstheme="minorHAnsi"/>
          <w:sz w:val="24"/>
          <w:szCs w:val="24"/>
        </w:rPr>
        <w:t>uplatňuje následující připomínk</w:t>
      </w:r>
      <w:r w:rsidR="00B668CD" w:rsidRPr="00FC7348">
        <w:rPr>
          <w:rFonts w:asciiTheme="minorHAnsi" w:hAnsiTheme="minorHAnsi" w:cstheme="minorHAnsi"/>
          <w:sz w:val="24"/>
          <w:szCs w:val="24"/>
        </w:rPr>
        <w:t>y</w:t>
      </w:r>
      <w:r w:rsidR="00FD1397" w:rsidRPr="00FC7348">
        <w:rPr>
          <w:rFonts w:asciiTheme="minorHAnsi" w:hAnsiTheme="minorHAnsi" w:cstheme="minorHAnsi"/>
          <w:sz w:val="24"/>
          <w:szCs w:val="24"/>
        </w:rPr>
        <w:t>:</w:t>
      </w:r>
    </w:p>
    <w:p w14:paraId="23A25959" w14:textId="7CA12154" w:rsidR="009E4828" w:rsidRDefault="009E4828" w:rsidP="009E4828">
      <w:pPr>
        <w:jc w:val="both"/>
        <w:rPr>
          <w:rFonts w:asciiTheme="minorHAnsi" w:hAnsiTheme="minorHAnsi" w:cstheme="minorHAnsi"/>
          <w:b/>
          <w:bCs/>
          <w:sz w:val="24"/>
          <w:szCs w:val="24"/>
          <w:lang w:eastAsia="en-GB"/>
        </w:rPr>
      </w:pPr>
    </w:p>
    <w:p w14:paraId="4C88A001" w14:textId="77777777" w:rsidR="00CE3B90" w:rsidRPr="00FC7348" w:rsidRDefault="00CE3B90" w:rsidP="009E4828">
      <w:pPr>
        <w:jc w:val="both"/>
        <w:rPr>
          <w:rFonts w:asciiTheme="minorHAnsi" w:hAnsiTheme="minorHAnsi" w:cstheme="minorHAnsi"/>
          <w:b/>
          <w:bCs/>
          <w:sz w:val="24"/>
          <w:szCs w:val="24"/>
          <w:lang w:eastAsia="en-GB"/>
        </w:rPr>
      </w:pPr>
    </w:p>
    <w:p w14:paraId="1F55F402" w14:textId="70EE2F7F" w:rsidR="00FC7348" w:rsidRPr="00FC7348" w:rsidRDefault="00FC7348" w:rsidP="00FC7348">
      <w:pPr>
        <w:numPr>
          <w:ilvl w:val="0"/>
          <w:numId w:val="16"/>
        </w:numPr>
        <w:spacing w:after="240"/>
        <w:jc w:val="both"/>
        <w:rPr>
          <w:rFonts w:asciiTheme="minorHAnsi" w:hAnsiTheme="minorHAnsi" w:cstheme="minorHAnsi"/>
          <w:sz w:val="24"/>
          <w:szCs w:val="24"/>
          <w:lang w:eastAsia="en-US"/>
        </w:rPr>
      </w:pPr>
      <w:r w:rsidRPr="00FC7348">
        <w:rPr>
          <w:rFonts w:asciiTheme="minorHAnsi" w:hAnsiTheme="minorHAnsi" w:cstheme="minorHAnsi"/>
          <w:b/>
          <w:bCs/>
          <w:sz w:val="24"/>
          <w:szCs w:val="24"/>
          <w:highlight w:val="yellow"/>
          <w:lang w:eastAsia="en-US"/>
        </w:rPr>
        <w:t>KZPS</w:t>
      </w:r>
      <w:r w:rsidR="00CE3B90">
        <w:rPr>
          <w:rFonts w:asciiTheme="minorHAnsi" w:hAnsiTheme="minorHAnsi" w:cstheme="minorHAnsi"/>
          <w:b/>
          <w:bCs/>
          <w:sz w:val="24"/>
          <w:szCs w:val="24"/>
          <w:highlight w:val="yellow"/>
          <w:lang w:eastAsia="en-US"/>
        </w:rPr>
        <w:t xml:space="preserve"> ČR</w:t>
      </w:r>
      <w:r w:rsidRPr="00FC7348">
        <w:rPr>
          <w:rFonts w:asciiTheme="minorHAnsi" w:hAnsiTheme="minorHAnsi" w:cstheme="minorHAnsi"/>
          <w:b/>
          <w:bCs/>
          <w:sz w:val="24"/>
          <w:szCs w:val="24"/>
          <w:highlight w:val="yellow"/>
          <w:lang w:eastAsia="en-US"/>
        </w:rPr>
        <w:t xml:space="preserve"> souhlasí s návrhem usnesení vlády – Aktualizovat SEK s časovým horizontem 2050</w:t>
      </w:r>
      <w:r w:rsidRPr="00FC7348">
        <w:rPr>
          <w:rFonts w:asciiTheme="minorHAnsi" w:hAnsiTheme="minorHAnsi" w:cstheme="minorHAnsi"/>
          <w:b/>
          <w:bCs/>
          <w:sz w:val="24"/>
          <w:szCs w:val="24"/>
          <w:lang w:eastAsia="en-US"/>
        </w:rPr>
        <w:t xml:space="preserve"> včetně procesu SEA</w:t>
      </w:r>
      <w:r w:rsidRPr="00FC7348">
        <w:rPr>
          <w:rFonts w:asciiTheme="minorHAnsi" w:hAnsiTheme="minorHAnsi" w:cstheme="minorHAnsi"/>
          <w:sz w:val="24"/>
          <w:szCs w:val="24"/>
          <w:lang w:eastAsia="en-US"/>
        </w:rPr>
        <w:t xml:space="preserve"> tak, aby reflektoval závěry Uhelné komise o ukončení využívání uhlí do roku 2038, vládou ČR přijaté závazky k roku 2030 (snižování emisí CO2 o </w:t>
      </w:r>
      <w:proofErr w:type="gramStart"/>
      <w:r w:rsidRPr="00FC7348">
        <w:rPr>
          <w:rFonts w:asciiTheme="minorHAnsi" w:hAnsiTheme="minorHAnsi" w:cstheme="minorHAnsi"/>
          <w:sz w:val="24"/>
          <w:szCs w:val="24"/>
          <w:lang w:eastAsia="en-US"/>
        </w:rPr>
        <w:t>55%</w:t>
      </w:r>
      <w:proofErr w:type="gramEnd"/>
      <w:r w:rsidRPr="00FC7348">
        <w:rPr>
          <w:rFonts w:asciiTheme="minorHAnsi" w:hAnsiTheme="minorHAnsi" w:cstheme="minorHAnsi"/>
          <w:sz w:val="24"/>
          <w:szCs w:val="24"/>
          <w:lang w:eastAsia="en-US"/>
        </w:rPr>
        <w:t xml:space="preserve"> ve srovnání s rokem 1990) a zapracoval přijatou vizi EU </w:t>
      </w:r>
      <w:proofErr w:type="spellStart"/>
      <w:r w:rsidRPr="00FC7348">
        <w:rPr>
          <w:rFonts w:asciiTheme="minorHAnsi" w:hAnsiTheme="minorHAnsi" w:cstheme="minorHAnsi"/>
          <w:sz w:val="24"/>
          <w:szCs w:val="24"/>
          <w:lang w:eastAsia="en-US"/>
        </w:rPr>
        <w:t>Climate</w:t>
      </w:r>
      <w:proofErr w:type="spellEnd"/>
      <w:r w:rsidRPr="00FC7348">
        <w:rPr>
          <w:rFonts w:asciiTheme="minorHAnsi" w:hAnsiTheme="minorHAnsi" w:cstheme="minorHAnsi"/>
          <w:sz w:val="24"/>
          <w:szCs w:val="24"/>
          <w:lang w:eastAsia="en-US"/>
        </w:rPr>
        <w:t xml:space="preserve"> Neutrality 2050. </w:t>
      </w:r>
    </w:p>
    <w:p w14:paraId="299E4BEA" w14:textId="77777777" w:rsidR="00CE3B90" w:rsidRPr="00CE3B90" w:rsidRDefault="00FC7348" w:rsidP="00CE3B90">
      <w:pPr>
        <w:numPr>
          <w:ilvl w:val="0"/>
          <w:numId w:val="16"/>
        </w:numPr>
        <w:jc w:val="both"/>
        <w:rPr>
          <w:rFonts w:asciiTheme="minorHAnsi" w:hAnsiTheme="minorHAnsi" w:cstheme="minorHAnsi"/>
          <w:sz w:val="24"/>
          <w:szCs w:val="24"/>
          <w:lang w:eastAsia="en-US"/>
        </w:rPr>
      </w:pPr>
      <w:r w:rsidRPr="00FC7348">
        <w:rPr>
          <w:rFonts w:asciiTheme="minorHAnsi" w:hAnsiTheme="minorHAnsi" w:cstheme="minorHAnsi"/>
          <w:b/>
          <w:bCs/>
          <w:sz w:val="24"/>
          <w:szCs w:val="24"/>
          <w:lang w:eastAsia="en-US"/>
        </w:rPr>
        <w:t>Studie McKinsey:</w:t>
      </w:r>
    </w:p>
    <w:p w14:paraId="3F7EC4B9" w14:textId="1234219B" w:rsidR="00FC7348" w:rsidRDefault="004A2B87" w:rsidP="00CE3B90">
      <w:pPr>
        <w:ind w:left="720"/>
        <w:jc w:val="both"/>
        <w:rPr>
          <w:rFonts w:asciiTheme="minorHAnsi" w:hAnsiTheme="minorHAnsi" w:cstheme="minorHAnsi"/>
          <w:sz w:val="24"/>
          <w:szCs w:val="24"/>
          <w:lang w:eastAsia="en-US"/>
        </w:rPr>
      </w:pPr>
      <w:hyperlink r:id="rId11" w:history="1">
        <w:r w:rsidR="00FC7348" w:rsidRPr="00FC7348">
          <w:rPr>
            <w:rStyle w:val="Hypertextovodkaz"/>
            <w:rFonts w:asciiTheme="minorHAnsi" w:hAnsiTheme="minorHAnsi" w:cstheme="minorHAnsi"/>
            <w:sz w:val="24"/>
            <w:szCs w:val="24"/>
          </w:rPr>
          <w:t>https://www.mckinsey.com/cz/~/media/mckinsey/locations/europe%20and%20middle%20east/czech%20republic/our%20work/decarbonization_report_cz_vf.pdf</w:t>
        </w:r>
      </w:hyperlink>
      <w:r w:rsidR="00FC7348" w:rsidRPr="00FC7348">
        <w:rPr>
          <w:rFonts w:asciiTheme="minorHAnsi" w:hAnsiTheme="minorHAnsi" w:cstheme="minorHAnsi"/>
          <w:sz w:val="24"/>
          <w:szCs w:val="24"/>
          <w:lang w:eastAsia="en-US"/>
        </w:rPr>
        <w:t xml:space="preserve"> je podle našeho názoru použitelným podkladem pro Aktualizaci SEK 2020 s horizontem 2050. SEK by měl kvantifikovat i náklady energetické transformace nejen na sektor energetiky, ale na český průmysl, dopravu a služby. Trvale opakujeme, že EU Green </w:t>
      </w:r>
      <w:proofErr w:type="spellStart"/>
      <w:r w:rsidR="00FC7348" w:rsidRPr="00FC7348">
        <w:rPr>
          <w:rFonts w:asciiTheme="minorHAnsi" w:hAnsiTheme="minorHAnsi" w:cstheme="minorHAnsi"/>
          <w:sz w:val="24"/>
          <w:szCs w:val="24"/>
          <w:lang w:eastAsia="en-US"/>
        </w:rPr>
        <w:t>Dealu</w:t>
      </w:r>
      <w:proofErr w:type="spellEnd"/>
      <w:r w:rsidR="00FC7348" w:rsidRPr="00FC7348">
        <w:rPr>
          <w:rFonts w:asciiTheme="minorHAnsi" w:hAnsiTheme="minorHAnsi" w:cstheme="minorHAnsi"/>
          <w:sz w:val="24"/>
          <w:szCs w:val="24"/>
          <w:lang w:eastAsia="en-US"/>
        </w:rPr>
        <w:t xml:space="preserve"> chybí studie ekonomických a sociálních dopadů na členské země a na sektory hospodářství v EU.</w:t>
      </w:r>
    </w:p>
    <w:p w14:paraId="74F9EC0E" w14:textId="77777777" w:rsidR="00CE3B90" w:rsidRPr="00FC7348" w:rsidRDefault="00CE3B90" w:rsidP="00CE3B90">
      <w:pPr>
        <w:ind w:left="720"/>
        <w:jc w:val="both"/>
        <w:rPr>
          <w:rFonts w:asciiTheme="minorHAnsi" w:hAnsiTheme="minorHAnsi" w:cstheme="minorHAnsi"/>
          <w:sz w:val="24"/>
          <w:szCs w:val="24"/>
          <w:lang w:eastAsia="en-US"/>
        </w:rPr>
      </w:pPr>
    </w:p>
    <w:p w14:paraId="7D4DB86E" w14:textId="77777777" w:rsidR="00FC7348" w:rsidRPr="00FC7348" w:rsidRDefault="00FC7348" w:rsidP="00FC7348">
      <w:pPr>
        <w:numPr>
          <w:ilvl w:val="0"/>
          <w:numId w:val="16"/>
        </w:numPr>
        <w:spacing w:after="240"/>
        <w:jc w:val="both"/>
        <w:rPr>
          <w:rFonts w:asciiTheme="minorHAnsi" w:hAnsiTheme="minorHAnsi" w:cstheme="minorHAnsi"/>
          <w:sz w:val="24"/>
          <w:szCs w:val="24"/>
          <w:lang w:eastAsia="en-US"/>
        </w:rPr>
      </w:pPr>
      <w:r w:rsidRPr="00FC7348">
        <w:rPr>
          <w:rFonts w:asciiTheme="minorHAnsi" w:hAnsiTheme="minorHAnsi" w:cstheme="minorHAnsi"/>
          <w:b/>
          <w:bCs/>
          <w:sz w:val="24"/>
          <w:szCs w:val="24"/>
          <w:lang w:eastAsia="en-US"/>
        </w:rPr>
        <w:t xml:space="preserve">SEK by měla být doplněna o nástroje a podmínky, které legislativně umožní a zajistí, že výstavba nových nízkoemisních zdrojů bude realizovatelná na tržních principech soukromými investory </w:t>
      </w:r>
      <w:r w:rsidRPr="00FC7348">
        <w:rPr>
          <w:rFonts w:asciiTheme="minorHAnsi" w:hAnsiTheme="minorHAnsi" w:cstheme="minorHAnsi"/>
          <w:sz w:val="24"/>
          <w:szCs w:val="24"/>
          <w:lang w:eastAsia="en-US"/>
        </w:rPr>
        <w:t xml:space="preserve">s dostatečnou jistotou podnikatelského prostředí v energetice. To znamená, že podnikatelské prostředí musí být stabilní a transparentní pro finanční ústavy a investory. Tedy, obdobně, jak tomu bylo v SRN, musí na rozhodnutí Uhelné komise po schválení termínu vládou navázat zpracování nové SEK a předložení do Parlamentu ČR nové legislativy, která bude útlum uhlí, pomoc uhelným krajům a kompenzace podnikatelům upravovat. </w:t>
      </w:r>
    </w:p>
    <w:p w14:paraId="29A96240" w14:textId="77777777" w:rsidR="00FC7348" w:rsidRPr="00FC7348" w:rsidRDefault="00FC7348" w:rsidP="00FC7348">
      <w:pPr>
        <w:numPr>
          <w:ilvl w:val="0"/>
          <w:numId w:val="16"/>
        </w:numPr>
        <w:spacing w:after="240"/>
        <w:jc w:val="both"/>
        <w:rPr>
          <w:rFonts w:asciiTheme="minorHAnsi" w:hAnsiTheme="minorHAnsi" w:cstheme="minorHAnsi"/>
          <w:sz w:val="24"/>
          <w:szCs w:val="24"/>
          <w:lang w:eastAsia="en-US"/>
        </w:rPr>
      </w:pPr>
      <w:r w:rsidRPr="00FC7348">
        <w:rPr>
          <w:rFonts w:asciiTheme="minorHAnsi" w:hAnsiTheme="minorHAnsi" w:cstheme="minorHAnsi"/>
          <w:b/>
          <w:bCs/>
          <w:sz w:val="24"/>
          <w:szCs w:val="24"/>
          <w:lang w:eastAsia="en-US"/>
        </w:rPr>
        <w:t xml:space="preserve">Aktualizovaná Státní energetická koncepce </w:t>
      </w:r>
      <w:r w:rsidRPr="00FC7348">
        <w:rPr>
          <w:rFonts w:asciiTheme="minorHAnsi" w:hAnsiTheme="minorHAnsi" w:cstheme="minorHAnsi"/>
          <w:sz w:val="24"/>
          <w:szCs w:val="24"/>
          <w:lang w:eastAsia="en-US"/>
        </w:rPr>
        <w:t xml:space="preserve">musí nezbytně obsahovat systémové řešení problematiky </w:t>
      </w:r>
      <w:r w:rsidRPr="00FC7348">
        <w:rPr>
          <w:rFonts w:asciiTheme="minorHAnsi" w:hAnsiTheme="minorHAnsi" w:cstheme="minorHAnsi"/>
          <w:sz w:val="24"/>
          <w:szCs w:val="24"/>
          <w:u w:val="single"/>
          <w:lang w:eastAsia="en-US"/>
        </w:rPr>
        <w:t>udržení výkonové přiměřenosti, bezpečnosti dodávek a cenové dostupnosti energií pro konečné spotřebitele</w:t>
      </w:r>
      <w:r w:rsidRPr="00FC7348">
        <w:rPr>
          <w:rFonts w:asciiTheme="minorHAnsi" w:hAnsiTheme="minorHAnsi" w:cstheme="minorHAnsi"/>
          <w:sz w:val="24"/>
          <w:szCs w:val="24"/>
          <w:lang w:eastAsia="en-US"/>
        </w:rPr>
        <w:t xml:space="preserve">. Na SEK by měla navázat příslušná legislativa a </w:t>
      </w:r>
      <w:r w:rsidRPr="00FC7348">
        <w:rPr>
          <w:rFonts w:asciiTheme="minorHAnsi" w:hAnsiTheme="minorHAnsi" w:cstheme="minorHAnsi"/>
          <w:b/>
          <w:bCs/>
          <w:sz w:val="24"/>
          <w:szCs w:val="24"/>
          <w:lang w:eastAsia="en-US"/>
        </w:rPr>
        <w:t>aktualizace Surovinové politiky</w:t>
      </w:r>
      <w:r w:rsidRPr="00FC7348">
        <w:rPr>
          <w:rFonts w:asciiTheme="minorHAnsi" w:hAnsiTheme="minorHAnsi" w:cstheme="minorHAnsi"/>
          <w:sz w:val="24"/>
          <w:szCs w:val="24"/>
          <w:lang w:eastAsia="en-US"/>
        </w:rPr>
        <w:t>.</w:t>
      </w:r>
    </w:p>
    <w:p w14:paraId="622B08B1" w14:textId="77777777" w:rsidR="00FC7348" w:rsidRPr="00FC7348" w:rsidRDefault="00FC7348" w:rsidP="00FC7348">
      <w:pPr>
        <w:numPr>
          <w:ilvl w:val="0"/>
          <w:numId w:val="16"/>
        </w:numPr>
        <w:spacing w:after="240"/>
        <w:jc w:val="both"/>
        <w:rPr>
          <w:rFonts w:asciiTheme="minorHAnsi" w:hAnsiTheme="minorHAnsi" w:cstheme="minorHAnsi"/>
          <w:sz w:val="24"/>
          <w:szCs w:val="24"/>
          <w:lang w:eastAsia="en-US"/>
        </w:rPr>
      </w:pPr>
      <w:r w:rsidRPr="00FC7348">
        <w:rPr>
          <w:rFonts w:asciiTheme="minorHAnsi" w:hAnsiTheme="minorHAnsi" w:cstheme="minorHAnsi"/>
          <w:b/>
          <w:bCs/>
          <w:sz w:val="24"/>
          <w:szCs w:val="24"/>
          <w:lang w:eastAsia="en-US"/>
        </w:rPr>
        <w:t xml:space="preserve">Využít zdroje </w:t>
      </w:r>
      <w:proofErr w:type="gramStart"/>
      <w:r w:rsidRPr="00FC7348">
        <w:rPr>
          <w:rFonts w:asciiTheme="minorHAnsi" w:hAnsiTheme="minorHAnsi" w:cstheme="minorHAnsi"/>
          <w:b/>
          <w:bCs/>
          <w:sz w:val="24"/>
          <w:szCs w:val="24"/>
          <w:lang w:eastAsia="en-US"/>
        </w:rPr>
        <w:t xml:space="preserve">Just  </w:t>
      </w:r>
      <w:proofErr w:type="spellStart"/>
      <w:r w:rsidRPr="00FC7348">
        <w:rPr>
          <w:rFonts w:asciiTheme="minorHAnsi" w:hAnsiTheme="minorHAnsi" w:cstheme="minorHAnsi"/>
          <w:b/>
          <w:bCs/>
          <w:sz w:val="24"/>
          <w:szCs w:val="24"/>
          <w:lang w:eastAsia="en-US"/>
        </w:rPr>
        <w:t>Transition</w:t>
      </w:r>
      <w:proofErr w:type="spellEnd"/>
      <w:proofErr w:type="gramEnd"/>
      <w:r w:rsidRPr="00FC7348">
        <w:rPr>
          <w:rFonts w:asciiTheme="minorHAnsi" w:hAnsiTheme="minorHAnsi" w:cstheme="minorHAnsi"/>
          <w:b/>
          <w:bCs/>
          <w:sz w:val="24"/>
          <w:szCs w:val="24"/>
          <w:lang w:eastAsia="en-US"/>
        </w:rPr>
        <w:t xml:space="preserve"> </w:t>
      </w:r>
      <w:proofErr w:type="spellStart"/>
      <w:r w:rsidRPr="00FC7348">
        <w:rPr>
          <w:rFonts w:asciiTheme="minorHAnsi" w:hAnsiTheme="minorHAnsi" w:cstheme="minorHAnsi"/>
          <w:b/>
          <w:bCs/>
          <w:sz w:val="24"/>
          <w:szCs w:val="24"/>
          <w:lang w:eastAsia="en-US"/>
        </w:rPr>
        <w:t>Fund</w:t>
      </w:r>
      <w:proofErr w:type="spellEnd"/>
      <w:r w:rsidRPr="00FC7348">
        <w:rPr>
          <w:rFonts w:asciiTheme="minorHAnsi" w:hAnsiTheme="minorHAnsi" w:cstheme="minorHAnsi"/>
          <w:b/>
          <w:bCs/>
          <w:sz w:val="24"/>
          <w:szCs w:val="24"/>
          <w:lang w:eastAsia="en-US"/>
        </w:rPr>
        <w:t xml:space="preserve">, </w:t>
      </w:r>
      <w:proofErr w:type="spellStart"/>
      <w:r w:rsidRPr="00FC7348">
        <w:rPr>
          <w:rFonts w:asciiTheme="minorHAnsi" w:hAnsiTheme="minorHAnsi" w:cstheme="minorHAnsi"/>
          <w:b/>
          <w:bCs/>
          <w:sz w:val="24"/>
          <w:szCs w:val="24"/>
          <w:lang w:eastAsia="en-US"/>
        </w:rPr>
        <w:t>Modernization</w:t>
      </w:r>
      <w:proofErr w:type="spellEnd"/>
      <w:r w:rsidRPr="00FC7348">
        <w:rPr>
          <w:rFonts w:asciiTheme="minorHAnsi" w:hAnsiTheme="minorHAnsi" w:cstheme="minorHAnsi"/>
          <w:b/>
          <w:bCs/>
          <w:sz w:val="24"/>
          <w:szCs w:val="24"/>
          <w:lang w:eastAsia="en-US"/>
        </w:rPr>
        <w:t xml:space="preserve"> </w:t>
      </w:r>
      <w:proofErr w:type="spellStart"/>
      <w:r w:rsidRPr="00FC7348">
        <w:rPr>
          <w:rFonts w:asciiTheme="minorHAnsi" w:hAnsiTheme="minorHAnsi" w:cstheme="minorHAnsi"/>
          <w:b/>
          <w:bCs/>
          <w:sz w:val="24"/>
          <w:szCs w:val="24"/>
          <w:lang w:eastAsia="en-US"/>
        </w:rPr>
        <w:t>Fund</w:t>
      </w:r>
      <w:proofErr w:type="spellEnd"/>
      <w:r w:rsidRPr="00FC7348">
        <w:rPr>
          <w:rFonts w:asciiTheme="minorHAnsi" w:hAnsiTheme="minorHAnsi" w:cstheme="minorHAnsi"/>
          <w:b/>
          <w:bCs/>
          <w:sz w:val="24"/>
          <w:szCs w:val="24"/>
          <w:lang w:eastAsia="en-US"/>
        </w:rPr>
        <w:t xml:space="preserve"> a dalších zdrojů EU a vlastních zdrojů ČR</w:t>
      </w:r>
      <w:r w:rsidRPr="00FC7348">
        <w:rPr>
          <w:rFonts w:asciiTheme="minorHAnsi" w:hAnsiTheme="minorHAnsi" w:cstheme="minorHAnsi"/>
          <w:sz w:val="24"/>
          <w:szCs w:val="24"/>
          <w:lang w:eastAsia="en-US"/>
        </w:rPr>
        <w:t xml:space="preserve"> (dosahují řádově 200 miliard korun), které by měly být dostupné </w:t>
      </w:r>
      <w:r w:rsidRPr="00FC7348">
        <w:rPr>
          <w:rFonts w:asciiTheme="minorHAnsi" w:hAnsiTheme="minorHAnsi" w:cstheme="minorHAnsi"/>
          <w:sz w:val="24"/>
          <w:szCs w:val="24"/>
          <w:lang w:eastAsia="en-US"/>
        </w:rPr>
        <w:lastRenderedPageBreak/>
        <w:t xml:space="preserve">pro všechny podnikatelské subjekty, které disponují </w:t>
      </w:r>
      <w:proofErr w:type="spellStart"/>
      <w:r w:rsidRPr="00FC7348">
        <w:rPr>
          <w:rFonts w:asciiTheme="minorHAnsi" w:hAnsiTheme="minorHAnsi" w:cstheme="minorHAnsi"/>
          <w:sz w:val="24"/>
          <w:szCs w:val="24"/>
          <w:lang w:eastAsia="en-US"/>
        </w:rPr>
        <w:t>brown</w:t>
      </w:r>
      <w:proofErr w:type="spellEnd"/>
      <w:r w:rsidRPr="00FC7348">
        <w:rPr>
          <w:rFonts w:asciiTheme="minorHAnsi" w:hAnsiTheme="minorHAnsi" w:cstheme="minorHAnsi"/>
          <w:sz w:val="24"/>
          <w:szCs w:val="24"/>
          <w:lang w:eastAsia="en-US"/>
        </w:rPr>
        <w:t xml:space="preserve"> </w:t>
      </w:r>
      <w:proofErr w:type="spellStart"/>
      <w:r w:rsidRPr="00FC7348">
        <w:rPr>
          <w:rFonts w:asciiTheme="minorHAnsi" w:hAnsiTheme="minorHAnsi" w:cstheme="minorHAnsi"/>
          <w:sz w:val="24"/>
          <w:szCs w:val="24"/>
          <w:lang w:eastAsia="en-US"/>
        </w:rPr>
        <w:t>fieldy</w:t>
      </w:r>
      <w:proofErr w:type="spellEnd"/>
      <w:r w:rsidRPr="00FC7348">
        <w:rPr>
          <w:rFonts w:asciiTheme="minorHAnsi" w:hAnsiTheme="minorHAnsi" w:cstheme="minorHAnsi"/>
          <w:sz w:val="24"/>
          <w:szCs w:val="24"/>
          <w:lang w:eastAsia="en-US"/>
        </w:rPr>
        <w:t xml:space="preserve"> v lokalitách stávajících uhelných elektráren a dolů kvůli existující infrastruktuře.</w:t>
      </w:r>
    </w:p>
    <w:p w14:paraId="27F9472B" w14:textId="551F649D" w:rsidR="00FC7348" w:rsidRPr="00CE3B90" w:rsidRDefault="00FC7348" w:rsidP="00527311">
      <w:pPr>
        <w:numPr>
          <w:ilvl w:val="0"/>
          <w:numId w:val="16"/>
        </w:numPr>
        <w:jc w:val="both"/>
        <w:rPr>
          <w:rFonts w:asciiTheme="minorHAnsi" w:hAnsiTheme="minorHAnsi" w:cstheme="minorHAnsi"/>
          <w:sz w:val="24"/>
          <w:szCs w:val="24"/>
          <w:lang w:eastAsia="en-US"/>
        </w:rPr>
      </w:pPr>
      <w:r w:rsidRPr="00FC7348">
        <w:rPr>
          <w:rFonts w:asciiTheme="minorHAnsi" w:hAnsiTheme="minorHAnsi" w:cstheme="minorHAnsi"/>
          <w:b/>
          <w:bCs/>
          <w:sz w:val="24"/>
          <w:szCs w:val="24"/>
          <w:lang w:eastAsia="en-US"/>
        </w:rPr>
        <w:t>ZSDNP je připraven jménem KZPS</w:t>
      </w:r>
      <w:r w:rsidR="00CE3B90">
        <w:rPr>
          <w:rFonts w:asciiTheme="minorHAnsi" w:hAnsiTheme="minorHAnsi" w:cstheme="minorHAnsi"/>
          <w:b/>
          <w:bCs/>
          <w:sz w:val="24"/>
          <w:szCs w:val="24"/>
          <w:lang w:eastAsia="en-US"/>
        </w:rPr>
        <w:t xml:space="preserve"> ČR</w:t>
      </w:r>
      <w:r w:rsidRPr="00FC7348">
        <w:rPr>
          <w:rFonts w:asciiTheme="minorHAnsi" w:hAnsiTheme="minorHAnsi" w:cstheme="minorHAnsi"/>
          <w:b/>
          <w:bCs/>
          <w:sz w:val="24"/>
          <w:szCs w:val="24"/>
          <w:lang w:eastAsia="en-US"/>
        </w:rPr>
        <w:t xml:space="preserve"> poskytnout pro přípravu Aktualizace SEK své experty, data a odborné podklady.</w:t>
      </w:r>
    </w:p>
    <w:p w14:paraId="2834736B" w14:textId="77777777" w:rsidR="00527311" w:rsidRDefault="00527311" w:rsidP="00527311">
      <w:pPr>
        <w:jc w:val="both"/>
        <w:rPr>
          <w:rFonts w:asciiTheme="minorHAnsi" w:hAnsiTheme="minorHAnsi" w:cstheme="minorHAnsi"/>
          <w:b/>
          <w:bCs/>
          <w:sz w:val="24"/>
          <w:szCs w:val="24"/>
          <w:u w:val="single"/>
          <w:lang w:eastAsia="en-US"/>
        </w:rPr>
      </w:pPr>
    </w:p>
    <w:p w14:paraId="759DD8F3" w14:textId="77777777" w:rsidR="00527311" w:rsidRDefault="00527311" w:rsidP="003305AA">
      <w:pPr>
        <w:spacing w:after="240"/>
        <w:jc w:val="both"/>
        <w:rPr>
          <w:rFonts w:asciiTheme="minorHAnsi" w:hAnsiTheme="minorHAnsi" w:cstheme="minorHAnsi"/>
          <w:b/>
          <w:bCs/>
          <w:sz w:val="24"/>
          <w:szCs w:val="24"/>
          <w:u w:val="single"/>
          <w:lang w:eastAsia="en-US"/>
        </w:rPr>
      </w:pPr>
    </w:p>
    <w:p w14:paraId="77751EAC" w14:textId="7E469A64" w:rsidR="003305AA" w:rsidRPr="003305AA" w:rsidRDefault="003305AA" w:rsidP="003305AA">
      <w:pPr>
        <w:spacing w:after="240"/>
        <w:jc w:val="both"/>
        <w:rPr>
          <w:rFonts w:asciiTheme="minorHAnsi" w:hAnsiTheme="minorHAnsi" w:cstheme="minorHAnsi"/>
          <w:b/>
          <w:bCs/>
          <w:sz w:val="24"/>
          <w:szCs w:val="24"/>
          <w:u w:val="single"/>
          <w:lang w:eastAsia="en-US"/>
        </w:rPr>
      </w:pPr>
      <w:r w:rsidRPr="003305AA">
        <w:rPr>
          <w:rFonts w:asciiTheme="minorHAnsi" w:hAnsiTheme="minorHAnsi" w:cstheme="minorHAnsi"/>
          <w:b/>
          <w:bCs/>
          <w:sz w:val="24"/>
          <w:szCs w:val="24"/>
          <w:u w:val="single"/>
          <w:lang w:eastAsia="en-US"/>
        </w:rPr>
        <w:t>Další připomínky</w:t>
      </w:r>
      <w:r>
        <w:rPr>
          <w:rFonts w:asciiTheme="minorHAnsi" w:hAnsiTheme="minorHAnsi" w:cstheme="minorHAnsi"/>
          <w:b/>
          <w:bCs/>
          <w:sz w:val="24"/>
          <w:szCs w:val="24"/>
          <w:u w:val="single"/>
          <w:lang w:eastAsia="en-US"/>
        </w:rPr>
        <w:t>:</w:t>
      </w:r>
    </w:p>
    <w:p w14:paraId="0F9DA843" w14:textId="77777777" w:rsidR="00F803D3" w:rsidRPr="00F803D3" w:rsidRDefault="00F803D3" w:rsidP="00F803D3">
      <w:pPr>
        <w:jc w:val="both"/>
        <w:rPr>
          <w:rFonts w:asciiTheme="minorHAnsi" w:hAnsiTheme="minorHAnsi" w:cstheme="minorHAnsi"/>
          <w:sz w:val="24"/>
          <w:szCs w:val="24"/>
        </w:rPr>
      </w:pPr>
      <w:r w:rsidRPr="00F803D3">
        <w:rPr>
          <w:rFonts w:asciiTheme="minorHAnsi" w:hAnsiTheme="minorHAnsi" w:cstheme="minorHAnsi"/>
          <w:b/>
          <w:sz w:val="24"/>
          <w:szCs w:val="24"/>
        </w:rPr>
        <w:t>1/ Nutnost včasného zpracovávání a vydávání související národní legislativy.</w:t>
      </w:r>
      <w:r w:rsidRPr="00F803D3">
        <w:rPr>
          <w:rFonts w:asciiTheme="minorHAnsi" w:hAnsiTheme="minorHAnsi" w:cstheme="minorHAnsi"/>
          <w:sz w:val="24"/>
          <w:szCs w:val="24"/>
        </w:rPr>
        <w:t xml:space="preserve"> </w:t>
      </w:r>
      <w:proofErr w:type="gramStart"/>
      <w:r w:rsidRPr="00F803D3">
        <w:rPr>
          <w:rFonts w:asciiTheme="minorHAnsi" w:hAnsiTheme="minorHAnsi" w:cstheme="minorHAnsi"/>
          <w:sz w:val="24"/>
          <w:szCs w:val="24"/>
        </w:rPr>
        <w:t>Například  návrh</w:t>
      </w:r>
      <w:proofErr w:type="gramEnd"/>
      <w:r w:rsidRPr="00F803D3">
        <w:rPr>
          <w:rFonts w:asciiTheme="minorHAnsi" w:hAnsiTheme="minorHAnsi" w:cstheme="minorHAnsi"/>
          <w:sz w:val="24"/>
          <w:szCs w:val="24"/>
        </w:rPr>
        <w:t xml:space="preserve"> změny zde citovaného „páteřního“ zákona č.406/2000 Sb. o hospodaření energií byl vládou schválen již v r. 2017, ale datum jeho účinnosti se protáhlo až do 25.1.2020 (!) jako zákon č.3 /2020 Sb., dále nutná změna vyhlášky č.78/2013 Sb. o energetické účinnosti  budov k tomuto zákonu, nabyla účinnosti až 1.9.2020 (!) a nutné změny vyhlášky č.480/2012 Sb. o energetickém auditu a energetickém posudku jsou dosud neschválené, bez účinnosti).</w:t>
      </w:r>
    </w:p>
    <w:p w14:paraId="2E4CD0E8" w14:textId="77777777" w:rsidR="00F803D3" w:rsidRPr="00F803D3" w:rsidRDefault="00F803D3" w:rsidP="00F803D3">
      <w:pPr>
        <w:jc w:val="both"/>
        <w:rPr>
          <w:rFonts w:asciiTheme="minorHAnsi" w:hAnsiTheme="minorHAnsi" w:cstheme="minorHAnsi"/>
          <w:b/>
          <w:sz w:val="24"/>
          <w:szCs w:val="24"/>
        </w:rPr>
      </w:pPr>
    </w:p>
    <w:p w14:paraId="53F72175" w14:textId="0A5F0489" w:rsidR="00F803D3" w:rsidRPr="00F803D3" w:rsidRDefault="00F803D3" w:rsidP="00F803D3">
      <w:pPr>
        <w:jc w:val="both"/>
        <w:rPr>
          <w:rFonts w:asciiTheme="minorHAnsi" w:hAnsiTheme="minorHAnsi" w:cstheme="minorHAnsi"/>
          <w:sz w:val="24"/>
          <w:szCs w:val="24"/>
        </w:rPr>
      </w:pPr>
      <w:r w:rsidRPr="00F803D3">
        <w:rPr>
          <w:rFonts w:asciiTheme="minorHAnsi" w:hAnsiTheme="minorHAnsi" w:cstheme="minorHAnsi"/>
          <w:b/>
          <w:sz w:val="24"/>
          <w:szCs w:val="24"/>
        </w:rPr>
        <w:t xml:space="preserve">2/ V samotné aktualizaci SEK ČR přijmout a potvrdit důležitost „Národního klimatického a energetického plánu ČR (NECP)“ </w:t>
      </w:r>
      <w:r w:rsidRPr="00F803D3">
        <w:rPr>
          <w:rFonts w:asciiTheme="minorHAnsi" w:hAnsiTheme="minorHAnsi" w:cstheme="minorHAnsi"/>
          <w:sz w:val="24"/>
          <w:szCs w:val="24"/>
        </w:rPr>
        <w:t xml:space="preserve">- jako respektování a vnímání závazků </w:t>
      </w:r>
      <w:r w:rsidR="008421B1" w:rsidRPr="00F803D3">
        <w:rPr>
          <w:rFonts w:asciiTheme="minorHAnsi" w:hAnsiTheme="minorHAnsi" w:cstheme="minorHAnsi"/>
          <w:sz w:val="24"/>
          <w:szCs w:val="24"/>
        </w:rPr>
        <w:t>přijatých,</w:t>
      </w:r>
      <w:r w:rsidRPr="00F803D3">
        <w:rPr>
          <w:rFonts w:asciiTheme="minorHAnsi" w:hAnsiTheme="minorHAnsi" w:cstheme="minorHAnsi"/>
          <w:sz w:val="24"/>
          <w:szCs w:val="24"/>
        </w:rPr>
        <w:t xml:space="preserve"> a i kladených na ČR – v současnosti především v oblasti dosažení emisní neutrality. </w:t>
      </w:r>
      <w:r w:rsidRPr="00F803D3">
        <w:rPr>
          <w:rFonts w:asciiTheme="minorHAnsi" w:hAnsiTheme="minorHAnsi" w:cstheme="minorHAnsi"/>
          <w:b/>
          <w:sz w:val="24"/>
          <w:szCs w:val="24"/>
        </w:rPr>
        <w:t xml:space="preserve">Současné ambice formulované v tomto posledním aktuálním národním plánu na období 2021-2030 v oblasti „energetické účinnosti“ vnímá však naše profesní sdružení jako nízké a málo </w:t>
      </w:r>
      <w:r w:rsidR="008421B1" w:rsidRPr="00F803D3">
        <w:rPr>
          <w:rFonts w:asciiTheme="minorHAnsi" w:hAnsiTheme="minorHAnsi" w:cstheme="minorHAnsi"/>
          <w:b/>
          <w:sz w:val="24"/>
          <w:szCs w:val="24"/>
        </w:rPr>
        <w:t>konkrétní – viz</w:t>
      </w:r>
      <w:r w:rsidRPr="00F803D3">
        <w:rPr>
          <w:rFonts w:asciiTheme="minorHAnsi" w:hAnsiTheme="minorHAnsi" w:cstheme="minorHAnsi"/>
          <w:sz w:val="24"/>
          <w:szCs w:val="24"/>
        </w:rPr>
        <w:t xml:space="preserve"> stručně níže.</w:t>
      </w:r>
    </w:p>
    <w:p w14:paraId="4ACB62CA" w14:textId="7A3DC51F" w:rsidR="00F803D3" w:rsidRPr="00F803D3" w:rsidRDefault="00F803D3" w:rsidP="00F803D3">
      <w:pPr>
        <w:jc w:val="both"/>
        <w:rPr>
          <w:rFonts w:asciiTheme="minorHAnsi" w:hAnsiTheme="minorHAnsi" w:cstheme="minorHAnsi"/>
          <w:sz w:val="24"/>
          <w:szCs w:val="24"/>
        </w:rPr>
      </w:pPr>
      <w:r w:rsidRPr="00F803D3">
        <w:rPr>
          <w:rFonts w:asciiTheme="minorHAnsi" w:hAnsiTheme="minorHAnsi" w:cstheme="minorHAnsi"/>
          <w:sz w:val="24"/>
          <w:szCs w:val="24"/>
        </w:rPr>
        <w:t xml:space="preserve">V lednu 2020 schválila vláda ČR předmětný Národní klimatický energetický plán pro ČR na období 2021 až 2030, který byl předán Evropské komisi (EK). V září 2020 EK zpracovala celkové hodnocení těchto plánů předložených členskými státy. Byla uznána významná role energetické účinnosti a do právních předpisů EU byla zakotvena hlavní zásada </w:t>
      </w:r>
      <w:r w:rsidRPr="00F803D3">
        <w:rPr>
          <w:rFonts w:asciiTheme="minorHAnsi" w:hAnsiTheme="minorHAnsi" w:cstheme="minorHAnsi"/>
          <w:sz w:val="24"/>
          <w:szCs w:val="24"/>
          <w:u w:val="single"/>
        </w:rPr>
        <w:t>„Energetická účinnost na prvním místě“</w:t>
      </w:r>
      <w:r w:rsidRPr="00F803D3">
        <w:rPr>
          <w:rFonts w:asciiTheme="minorHAnsi" w:hAnsiTheme="minorHAnsi" w:cstheme="minorHAnsi"/>
          <w:sz w:val="24"/>
          <w:szCs w:val="24"/>
        </w:rPr>
        <w:t xml:space="preserve">. K hodnocení </w:t>
      </w:r>
      <w:proofErr w:type="spellStart"/>
      <w:r w:rsidRPr="00F803D3">
        <w:rPr>
          <w:rFonts w:asciiTheme="minorHAnsi" w:hAnsiTheme="minorHAnsi" w:cstheme="minorHAnsi"/>
          <w:sz w:val="24"/>
          <w:szCs w:val="24"/>
        </w:rPr>
        <w:t>NECPs</w:t>
      </w:r>
      <w:proofErr w:type="spellEnd"/>
      <w:r w:rsidRPr="00F803D3">
        <w:rPr>
          <w:rFonts w:asciiTheme="minorHAnsi" w:hAnsiTheme="minorHAnsi" w:cstheme="minorHAnsi"/>
          <w:sz w:val="24"/>
          <w:szCs w:val="24"/>
        </w:rPr>
        <w:t xml:space="preserve"> jednotlivých států přistoupila EK v říjnu 2020 a hodnocení NECP ČR na období 2021-2030 je ze 14.10.2020. Také toto hodnocení poukazuje v oblasti „energetické účinnosti“ na nízkou úroveň ambicí v oblasti snížení spotřeby primární energie a konečné spotřeby energie, dává otazník k dostatečnosti plánovaných opatření a uvádí, že ČR se v tomto plánu nezabývalo</w:t>
      </w:r>
      <w:r w:rsidRPr="00F803D3">
        <w:rPr>
          <w:rFonts w:asciiTheme="minorHAnsi" w:hAnsiTheme="minorHAnsi" w:cstheme="minorHAnsi"/>
          <w:sz w:val="24"/>
          <w:szCs w:val="24"/>
          <w:u w:val="single"/>
        </w:rPr>
        <w:t xml:space="preserve"> </w:t>
      </w:r>
      <w:r w:rsidRPr="00F803D3">
        <w:rPr>
          <w:rFonts w:asciiTheme="minorHAnsi" w:hAnsiTheme="minorHAnsi" w:cstheme="minorHAnsi"/>
          <w:sz w:val="24"/>
          <w:szCs w:val="24"/>
        </w:rPr>
        <w:t xml:space="preserve">doporučením zvýšit tyto ambice a zahrnout nová opatření. Je zde upozorňováno, že důležitá zásada „energetická účinnost na prvním místě“ není výslovně uvedena. Předložený NECP ČR neobsahoval požadovanou dlouhodobou strategii renovace budov, tato byla předložena až dodatečně s informacemi o očekávaném zvýšení rychlosti rozsahu renovace budov, kde však chybí konkrétní nástroj pro „realizaci dlouhodobé strategie renovace budov“ a provázání na další potřebné </w:t>
      </w:r>
      <w:proofErr w:type="gramStart"/>
      <w:r w:rsidRPr="00F803D3">
        <w:rPr>
          <w:rFonts w:asciiTheme="minorHAnsi" w:hAnsiTheme="minorHAnsi" w:cstheme="minorHAnsi"/>
          <w:sz w:val="24"/>
          <w:szCs w:val="24"/>
        </w:rPr>
        <w:t>konkretizace - m2</w:t>
      </w:r>
      <w:proofErr w:type="gramEnd"/>
      <w:r w:rsidRPr="00F803D3">
        <w:rPr>
          <w:rFonts w:asciiTheme="minorHAnsi" w:hAnsiTheme="minorHAnsi" w:cstheme="minorHAnsi"/>
          <w:sz w:val="24"/>
          <w:szCs w:val="24"/>
        </w:rPr>
        <w:t xml:space="preserve"> nebo dosažené úspory apod.    </w:t>
      </w:r>
    </w:p>
    <w:p w14:paraId="7799BEB0" w14:textId="77777777" w:rsidR="00F803D3" w:rsidRPr="00F803D3" w:rsidRDefault="00F803D3" w:rsidP="00F803D3">
      <w:pPr>
        <w:jc w:val="both"/>
        <w:rPr>
          <w:rFonts w:asciiTheme="minorHAnsi" w:hAnsiTheme="minorHAnsi" w:cstheme="minorHAnsi"/>
          <w:sz w:val="24"/>
          <w:szCs w:val="24"/>
        </w:rPr>
      </w:pPr>
      <w:r w:rsidRPr="00F803D3">
        <w:rPr>
          <w:rFonts w:asciiTheme="minorHAnsi" w:hAnsiTheme="minorHAnsi" w:cstheme="minorHAnsi"/>
          <w:sz w:val="24"/>
          <w:szCs w:val="24"/>
        </w:rPr>
        <w:t xml:space="preserve">Je potřebné si uvědomit, že pro přechod k nízkouhlíkové energetice je nezbytné i zvýšení energetické účinnosti, tj. i úspornější budovy, avšak výše uvedené zbytečně stěžuje a komplikuje rozhodování a strategii členů našeho Svazu. </w:t>
      </w:r>
    </w:p>
    <w:p w14:paraId="603567F0" w14:textId="77777777" w:rsidR="00F803D3" w:rsidRPr="00F803D3" w:rsidRDefault="00F803D3" w:rsidP="00F803D3">
      <w:pPr>
        <w:jc w:val="both"/>
        <w:rPr>
          <w:rFonts w:asciiTheme="minorHAnsi" w:hAnsiTheme="minorHAnsi" w:cstheme="minorHAnsi"/>
          <w:sz w:val="24"/>
          <w:szCs w:val="24"/>
        </w:rPr>
      </w:pPr>
      <w:r w:rsidRPr="00F803D3">
        <w:rPr>
          <w:rFonts w:asciiTheme="minorHAnsi" w:hAnsiTheme="minorHAnsi" w:cstheme="minorHAnsi"/>
          <w:sz w:val="24"/>
          <w:szCs w:val="24"/>
        </w:rPr>
        <w:t>Závazky ČR do roku 2020 u energetických úspor nebudou splněny. Doporučujeme věnovat této oblasti vyšší pozornost ze strany státu a pravidelně vyhodnocovat závazky ČR do roku 2030 na úrovní kompetentních ministrů (gesce MPO). Pro splnění těchto závazků ČR je nutno alokovat dostatek finančních prostředků a jejich čerpání rovněž pravidelně vyhodnocovat.</w:t>
      </w:r>
    </w:p>
    <w:p w14:paraId="7BE141B8" w14:textId="77777777" w:rsidR="00F803D3" w:rsidRPr="00F803D3" w:rsidRDefault="00F803D3" w:rsidP="00F803D3">
      <w:pPr>
        <w:jc w:val="both"/>
        <w:rPr>
          <w:rFonts w:asciiTheme="minorHAnsi" w:hAnsiTheme="minorHAnsi" w:cstheme="minorHAnsi"/>
          <w:sz w:val="24"/>
          <w:szCs w:val="24"/>
        </w:rPr>
      </w:pPr>
    </w:p>
    <w:p w14:paraId="60D62FE1" w14:textId="13F7B07E" w:rsidR="00F803D3" w:rsidRPr="00F803D3" w:rsidRDefault="00F803D3" w:rsidP="00F803D3">
      <w:pPr>
        <w:spacing w:after="240"/>
        <w:ind w:left="360"/>
        <w:jc w:val="both"/>
        <w:rPr>
          <w:rFonts w:asciiTheme="minorHAnsi" w:hAnsiTheme="minorHAnsi" w:cstheme="minorHAnsi"/>
          <w:sz w:val="24"/>
          <w:szCs w:val="24"/>
          <w:lang w:eastAsia="en-US"/>
        </w:rPr>
      </w:pPr>
    </w:p>
    <w:p w14:paraId="203A9EE0" w14:textId="03EDCDB2" w:rsidR="00F803D3" w:rsidRPr="00F803D3" w:rsidRDefault="00F803D3" w:rsidP="00F803D3">
      <w:pPr>
        <w:spacing w:after="240"/>
        <w:ind w:left="360"/>
        <w:jc w:val="both"/>
        <w:rPr>
          <w:rFonts w:asciiTheme="minorHAnsi" w:hAnsiTheme="minorHAnsi" w:cstheme="minorHAnsi"/>
          <w:sz w:val="24"/>
          <w:szCs w:val="24"/>
          <w:lang w:eastAsia="en-US"/>
        </w:rPr>
      </w:pPr>
    </w:p>
    <w:p w14:paraId="54F8E2BB" w14:textId="639D4AE3" w:rsidR="00F803D3" w:rsidRPr="00527311" w:rsidRDefault="00A60966" w:rsidP="00A60966">
      <w:pPr>
        <w:spacing w:after="240"/>
        <w:ind w:left="360"/>
        <w:jc w:val="both"/>
        <w:rPr>
          <w:rFonts w:asciiTheme="minorHAnsi" w:hAnsiTheme="minorHAnsi" w:cstheme="minorHAnsi"/>
          <w:b/>
          <w:bCs/>
          <w:sz w:val="24"/>
          <w:szCs w:val="24"/>
          <w:u w:val="single"/>
          <w:lang w:eastAsia="en-US"/>
        </w:rPr>
      </w:pPr>
      <w:r w:rsidRPr="00527311">
        <w:rPr>
          <w:rFonts w:asciiTheme="minorHAnsi" w:hAnsiTheme="minorHAnsi" w:cstheme="minorHAnsi"/>
          <w:b/>
          <w:bCs/>
          <w:sz w:val="24"/>
          <w:szCs w:val="24"/>
          <w:u w:val="single"/>
          <w:lang w:eastAsia="en-US"/>
        </w:rPr>
        <w:lastRenderedPageBreak/>
        <w:t>Dále:</w:t>
      </w:r>
    </w:p>
    <w:p w14:paraId="07F78C68" w14:textId="77777777" w:rsidR="00A60966" w:rsidRPr="00A60966" w:rsidRDefault="00A60966" w:rsidP="00F72E92">
      <w:pPr>
        <w:autoSpaceDE w:val="0"/>
        <w:autoSpaceDN w:val="0"/>
        <w:adjustRightInd w:val="0"/>
        <w:ind w:firstLine="360"/>
        <w:jc w:val="both"/>
        <w:rPr>
          <w:rFonts w:asciiTheme="minorHAnsi" w:hAnsiTheme="minorHAnsi" w:cstheme="minorHAnsi"/>
          <w:sz w:val="24"/>
          <w:szCs w:val="24"/>
        </w:rPr>
      </w:pPr>
      <w:r w:rsidRPr="00A60966">
        <w:rPr>
          <w:rFonts w:asciiTheme="minorHAnsi" w:hAnsiTheme="minorHAnsi" w:cstheme="minorHAnsi"/>
          <w:sz w:val="24"/>
          <w:szCs w:val="24"/>
        </w:rPr>
        <w:t>Žádáme zohlednění trendu vylepšení moderních technologií a podporu investic do těchto, dnes podstatně vylepšených technologií:</w:t>
      </w:r>
    </w:p>
    <w:p w14:paraId="3ED234EB" w14:textId="77777777" w:rsidR="00A60966" w:rsidRPr="00A60966" w:rsidRDefault="00A60966" w:rsidP="00A60966">
      <w:pPr>
        <w:autoSpaceDE w:val="0"/>
        <w:autoSpaceDN w:val="0"/>
        <w:adjustRightInd w:val="0"/>
        <w:ind w:left="851"/>
        <w:jc w:val="both"/>
        <w:rPr>
          <w:rFonts w:asciiTheme="minorHAnsi" w:hAnsiTheme="minorHAnsi" w:cstheme="minorHAnsi"/>
          <w:sz w:val="24"/>
          <w:szCs w:val="24"/>
        </w:rPr>
      </w:pPr>
    </w:p>
    <w:p w14:paraId="6C0FFAD7" w14:textId="6F516F2B" w:rsidR="00A60966" w:rsidRPr="00A60966" w:rsidRDefault="00A60966" w:rsidP="00F72E92">
      <w:pPr>
        <w:autoSpaceDE w:val="0"/>
        <w:autoSpaceDN w:val="0"/>
        <w:adjustRightInd w:val="0"/>
        <w:jc w:val="both"/>
        <w:rPr>
          <w:rFonts w:asciiTheme="minorHAnsi" w:hAnsiTheme="minorHAnsi" w:cstheme="minorHAnsi"/>
          <w:b/>
          <w:bCs/>
          <w:sz w:val="24"/>
          <w:szCs w:val="24"/>
        </w:rPr>
      </w:pPr>
      <w:r w:rsidRPr="00A60966">
        <w:rPr>
          <w:rFonts w:asciiTheme="minorHAnsi" w:hAnsiTheme="minorHAnsi" w:cstheme="minorHAnsi"/>
          <w:b/>
          <w:bCs/>
          <w:sz w:val="24"/>
          <w:szCs w:val="24"/>
        </w:rPr>
        <w:t xml:space="preserve">*Podporu </w:t>
      </w:r>
      <w:proofErr w:type="gramStart"/>
      <w:r w:rsidRPr="00A60966">
        <w:rPr>
          <w:rFonts w:asciiTheme="minorHAnsi" w:hAnsiTheme="minorHAnsi" w:cstheme="minorHAnsi"/>
          <w:b/>
          <w:bCs/>
          <w:sz w:val="24"/>
          <w:szCs w:val="24"/>
        </w:rPr>
        <w:t>OZE -</w:t>
      </w:r>
      <w:r w:rsidR="00527311">
        <w:rPr>
          <w:rFonts w:asciiTheme="minorHAnsi" w:hAnsiTheme="minorHAnsi" w:cstheme="minorHAnsi"/>
          <w:b/>
          <w:bCs/>
          <w:sz w:val="24"/>
          <w:szCs w:val="24"/>
        </w:rPr>
        <w:t xml:space="preserve"> </w:t>
      </w:r>
      <w:r w:rsidRPr="00A60966">
        <w:rPr>
          <w:rFonts w:asciiTheme="minorHAnsi" w:hAnsiTheme="minorHAnsi" w:cstheme="minorHAnsi"/>
          <w:b/>
          <w:bCs/>
          <w:sz w:val="24"/>
          <w:szCs w:val="24"/>
        </w:rPr>
        <w:t>výstavby</w:t>
      </w:r>
      <w:proofErr w:type="gramEnd"/>
      <w:r w:rsidRPr="00A60966">
        <w:rPr>
          <w:rFonts w:asciiTheme="minorHAnsi" w:hAnsiTheme="minorHAnsi" w:cstheme="minorHAnsi"/>
          <w:b/>
          <w:bCs/>
          <w:sz w:val="24"/>
          <w:szCs w:val="24"/>
        </w:rPr>
        <w:t xml:space="preserve"> fotovoltaiky a větrných elektráren.</w:t>
      </w:r>
    </w:p>
    <w:p w14:paraId="3C170045" w14:textId="77777777" w:rsidR="00A60966" w:rsidRPr="00A60966" w:rsidRDefault="00A60966" w:rsidP="00F72E92">
      <w:pPr>
        <w:autoSpaceDE w:val="0"/>
        <w:autoSpaceDN w:val="0"/>
        <w:adjustRightInd w:val="0"/>
        <w:jc w:val="both"/>
        <w:rPr>
          <w:rFonts w:asciiTheme="minorHAnsi" w:hAnsiTheme="minorHAnsi" w:cstheme="minorHAnsi"/>
          <w:i/>
          <w:iCs/>
          <w:sz w:val="24"/>
          <w:szCs w:val="24"/>
        </w:rPr>
      </w:pPr>
      <w:r w:rsidRPr="00A60966">
        <w:rPr>
          <w:rFonts w:asciiTheme="minorHAnsi" w:hAnsiTheme="minorHAnsi" w:cstheme="minorHAnsi"/>
          <w:i/>
          <w:iCs/>
          <w:sz w:val="24"/>
          <w:szCs w:val="24"/>
        </w:rPr>
        <w:t xml:space="preserve">Příklad: Využití velkých výměr střech cihlářských výrobních hal pro </w:t>
      </w:r>
      <w:proofErr w:type="spellStart"/>
      <w:r w:rsidRPr="00A60966">
        <w:rPr>
          <w:rFonts w:asciiTheme="minorHAnsi" w:hAnsiTheme="minorHAnsi" w:cstheme="minorHAnsi"/>
          <w:i/>
          <w:iCs/>
          <w:sz w:val="24"/>
          <w:szCs w:val="24"/>
        </w:rPr>
        <w:t>elektrovoltaické</w:t>
      </w:r>
      <w:proofErr w:type="spellEnd"/>
      <w:r w:rsidRPr="00A60966">
        <w:rPr>
          <w:rFonts w:asciiTheme="minorHAnsi" w:hAnsiTheme="minorHAnsi" w:cstheme="minorHAnsi"/>
          <w:i/>
          <w:iCs/>
          <w:sz w:val="24"/>
          <w:szCs w:val="24"/>
        </w:rPr>
        <w:t xml:space="preserve"> elektrárny. jiné zdroje výroby elektřiny a tepla na bázi zemního plynu mohou být časem problematické z hlediska snižování produkce CO2.Proto Slunce a vítr. </w:t>
      </w:r>
    </w:p>
    <w:p w14:paraId="09A06A6D" w14:textId="77777777" w:rsidR="00A60966" w:rsidRPr="00A60966" w:rsidRDefault="00A60966" w:rsidP="00A60966">
      <w:pPr>
        <w:autoSpaceDE w:val="0"/>
        <w:autoSpaceDN w:val="0"/>
        <w:adjustRightInd w:val="0"/>
        <w:ind w:left="851"/>
        <w:jc w:val="both"/>
        <w:rPr>
          <w:rFonts w:asciiTheme="minorHAnsi" w:hAnsiTheme="minorHAnsi" w:cstheme="minorHAnsi"/>
          <w:sz w:val="24"/>
          <w:szCs w:val="24"/>
        </w:rPr>
      </w:pPr>
    </w:p>
    <w:p w14:paraId="6A1F95DC" w14:textId="77777777" w:rsidR="00A60966" w:rsidRPr="00A60966" w:rsidRDefault="00A60966" w:rsidP="00F72E92">
      <w:pPr>
        <w:autoSpaceDE w:val="0"/>
        <w:autoSpaceDN w:val="0"/>
        <w:adjustRightInd w:val="0"/>
        <w:jc w:val="both"/>
        <w:rPr>
          <w:rFonts w:asciiTheme="minorHAnsi" w:hAnsiTheme="minorHAnsi" w:cstheme="minorHAnsi"/>
          <w:sz w:val="24"/>
          <w:szCs w:val="24"/>
        </w:rPr>
      </w:pPr>
      <w:r w:rsidRPr="00A60966">
        <w:rPr>
          <w:rFonts w:asciiTheme="minorHAnsi" w:hAnsiTheme="minorHAnsi" w:cstheme="minorHAnsi"/>
          <w:b/>
          <w:bCs/>
          <w:sz w:val="24"/>
          <w:szCs w:val="24"/>
        </w:rPr>
        <w:t xml:space="preserve">*Podpora zavádění energetického managementu = digitalizace ve sledování a optimalizaci spotřeb a systémy řízení provozu -&gt; </w:t>
      </w:r>
      <w:r w:rsidRPr="00A60966">
        <w:rPr>
          <w:rFonts w:asciiTheme="minorHAnsi" w:hAnsiTheme="minorHAnsi" w:cstheme="minorHAnsi"/>
          <w:sz w:val="24"/>
          <w:szCs w:val="24"/>
        </w:rPr>
        <w:t>pro denní sledování, optimální využití i rekuperaci energie.</w:t>
      </w:r>
    </w:p>
    <w:p w14:paraId="58C516F3" w14:textId="77777777" w:rsidR="00A60966" w:rsidRPr="00A60966" w:rsidRDefault="00A60966" w:rsidP="00A60966">
      <w:pPr>
        <w:autoSpaceDE w:val="0"/>
        <w:autoSpaceDN w:val="0"/>
        <w:adjustRightInd w:val="0"/>
        <w:ind w:left="851"/>
        <w:jc w:val="both"/>
        <w:rPr>
          <w:rFonts w:asciiTheme="minorHAnsi" w:hAnsiTheme="minorHAnsi" w:cstheme="minorHAnsi"/>
          <w:sz w:val="24"/>
          <w:szCs w:val="24"/>
        </w:rPr>
      </w:pPr>
    </w:p>
    <w:p w14:paraId="6D07E82B" w14:textId="77777777" w:rsidR="00A60966" w:rsidRPr="00A60966" w:rsidRDefault="00A60966" w:rsidP="00F72E92">
      <w:pPr>
        <w:autoSpaceDE w:val="0"/>
        <w:autoSpaceDN w:val="0"/>
        <w:adjustRightInd w:val="0"/>
        <w:jc w:val="both"/>
        <w:rPr>
          <w:rFonts w:asciiTheme="minorHAnsi" w:hAnsiTheme="minorHAnsi" w:cstheme="minorHAnsi"/>
          <w:b/>
          <w:bCs/>
          <w:sz w:val="24"/>
          <w:szCs w:val="24"/>
        </w:rPr>
      </w:pPr>
      <w:r w:rsidRPr="00A60966">
        <w:rPr>
          <w:rFonts w:asciiTheme="minorHAnsi" w:hAnsiTheme="minorHAnsi" w:cstheme="minorHAnsi"/>
          <w:b/>
          <w:bCs/>
          <w:sz w:val="24"/>
          <w:szCs w:val="24"/>
        </w:rPr>
        <w:t>* Podpora rozvoje nasazení velkých průmyslových teplených čerpadel.</w:t>
      </w:r>
    </w:p>
    <w:p w14:paraId="6362A358" w14:textId="77777777" w:rsidR="00A60966" w:rsidRPr="00A60966" w:rsidRDefault="00A60966" w:rsidP="00F72E92">
      <w:pPr>
        <w:autoSpaceDE w:val="0"/>
        <w:autoSpaceDN w:val="0"/>
        <w:adjustRightInd w:val="0"/>
        <w:jc w:val="both"/>
        <w:rPr>
          <w:rFonts w:asciiTheme="minorHAnsi" w:hAnsiTheme="minorHAnsi" w:cstheme="minorHAnsi"/>
          <w:sz w:val="24"/>
          <w:szCs w:val="24"/>
        </w:rPr>
      </w:pPr>
      <w:r w:rsidRPr="00A60966">
        <w:rPr>
          <w:rFonts w:asciiTheme="minorHAnsi" w:hAnsiTheme="minorHAnsi" w:cstheme="minorHAnsi"/>
          <w:sz w:val="24"/>
          <w:szCs w:val="24"/>
        </w:rPr>
        <w:t xml:space="preserve">Příklad: V cihlářství na využití velkého množství </w:t>
      </w:r>
      <w:proofErr w:type="spellStart"/>
      <w:r w:rsidRPr="00A60966">
        <w:rPr>
          <w:rFonts w:asciiTheme="minorHAnsi" w:hAnsiTheme="minorHAnsi" w:cstheme="minorHAnsi"/>
          <w:sz w:val="24"/>
          <w:szCs w:val="24"/>
        </w:rPr>
        <w:t>nízkopotencionálního</w:t>
      </w:r>
      <w:proofErr w:type="spellEnd"/>
      <w:r w:rsidRPr="00A60966">
        <w:rPr>
          <w:rFonts w:asciiTheme="minorHAnsi" w:hAnsiTheme="minorHAnsi" w:cstheme="minorHAnsi"/>
          <w:sz w:val="24"/>
          <w:szCs w:val="24"/>
        </w:rPr>
        <w:t xml:space="preserve"> odpadního tepla ze sušáren a pecí.</w:t>
      </w:r>
    </w:p>
    <w:p w14:paraId="4A750337" w14:textId="77777777" w:rsidR="00A60966" w:rsidRPr="00A60966" w:rsidRDefault="00A60966" w:rsidP="00A60966">
      <w:pPr>
        <w:autoSpaceDE w:val="0"/>
        <w:autoSpaceDN w:val="0"/>
        <w:adjustRightInd w:val="0"/>
        <w:ind w:left="851"/>
        <w:jc w:val="both"/>
        <w:rPr>
          <w:rFonts w:asciiTheme="minorHAnsi" w:hAnsiTheme="minorHAnsi" w:cstheme="minorHAnsi"/>
          <w:sz w:val="24"/>
          <w:szCs w:val="24"/>
        </w:rPr>
      </w:pPr>
    </w:p>
    <w:p w14:paraId="060921C9" w14:textId="77777777" w:rsidR="00A60966" w:rsidRPr="00A60966" w:rsidRDefault="00A60966" w:rsidP="00F72E92">
      <w:pPr>
        <w:autoSpaceDE w:val="0"/>
        <w:autoSpaceDN w:val="0"/>
        <w:adjustRightInd w:val="0"/>
        <w:jc w:val="both"/>
        <w:rPr>
          <w:rFonts w:asciiTheme="minorHAnsi" w:hAnsiTheme="minorHAnsi" w:cstheme="minorHAnsi"/>
          <w:b/>
          <w:bCs/>
          <w:sz w:val="24"/>
          <w:szCs w:val="24"/>
        </w:rPr>
      </w:pPr>
      <w:r w:rsidRPr="00A60966">
        <w:rPr>
          <w:rFonts w:asciiTheme="minorHAnsi" w:hAnsiTheme="minorHAnsi" w:cstheme="minorHAnsi"/>
          <w:sz w:val="24"/>
          <w:szCs w:val="24"/>
        </w:rPr>
        <w:t>*</w:t>
      </w:r>
      <w:r w:rsidRPr="00A60966">
        <w:rPr>
          <w:rFonts w:asciiTheme="minorHAnsi" w:hAnsiTheme="minorHAnsi" w:cstheme="minorHAnsi"/>
          <w:b/>
          <w:bCs/>
          <w:sz w:val="24"/>
          <w:szCs w:val="24"/>
        </w:rPr>
        <w:t>Účinnou podporu zkoumání, projektů, obstarání technologií CIRKULÁRNÍ ekonomiky.</w:t>
      </w:r>
    </w:p>
    <w:p w14:paraId="2761D677" w14:textId="77777777" w:rsidR="00A60966" w:rsidRPr="00A60966" w:rsidRDefault="00A60966" w:rsidP="00F72E92">
      <w:pPr>
        <w:autoSpaceDE w:val="0"/>
        <w:autoSpaceDN w:val="0"/>
        <w:adjustRightInd w:val="0"/>
        <w:jc w:val="both"/>
        <w:rPr>
          <w:rFonts w:asciiTheme="minorHAnsi" w:hAnsiTheme="minorHAnsi" w:cstheme="minorHAnsi"/>
          <w:sz w:val="24"/>
          <w:szCs w:val="24"/>
        </w:rPr>
      </w:pPr>
      <w:r w:rsidRPr="00A60966">
        <w:rPr>
          <w:rFonts w:asciiTheme="minorHAnsi" w:hAnsiTheme="minorHAnsi" w:cstheme="minorHAnsi"/>
          <w:sz w:val="24"/>
          <w:szCs w:val="24"/>
        </w:rPr>
        <w:t xml:space="preserve">Příklad: ve smyslu zpětného využití zbytků, odpadů z odstraňování staveb, stavební výroby (cihelný střep, minerální vlna…), přebytků a odpadů z nových staveb, popř. z výroby cihel a jiných stavebních výrobků. </w:t>
      </w:r>
    </w:p>
    <w:p w14:paraId="6F6D60C7" w14:textId="77777777" w:rsidR="00A60966" w:rsidRPr="00A60966" w:rsidRDefault="00A60966" w:rsidP="00A60966">
      <w:pPr>
        <w:autoSpaceDE w:val="0"/>
        <w:autoSpaceDN w:val="0"/>
        <w:adjustRightInd w:val="0"/>
        <w:ind w:left="851"/>
        <w:jc w:val="both"/>
        <w:rPr>
          <w:rFonts w:asciiTheme="minorHAnsi" w:hAnsiTheme="minorHAnsi" w:cstheme="minorHAnsi"/>
          <w:sz w:val="24"/>
          <w:szCs w:val="24"/>
        </w:rPr>
      </w:pPr>
    </w:p>
    <w:p w14:paraId="5226B26B" w14:textId="63DB7F96" w:rsidR="00A60966" w:rsidRPr="00A60966" w:rsidRDefault="00C97C5A" w:rsidP="00F72E92">
      <w:pPr>
        <w:autoSpaceDE w:val="0"/>
        <w:autoSpaceDN w:val="0"/>
        <w:adjustRightInd w:val="0"/>
        <w:jc w:val="both"/>
        <w:rPr>
          <w:rFonts w:asciiTheme="minorHAnsi" w:hAnsiTheme="minorHAnsi" w:cstheme="minorHAnsi"/>
          <w:sz w:val="24"/>
          <w:szCs w:val="24"/>
        </w:rPr>
      </w:pPr>
      <w:r>
        <w:rPr>
          <w:rFonts w:asciiTheme="minorHAnsi" w:hAnsiTheme="minorHAnsi" w:cstheme="minorHAnsi"/>
          <w:b/>
          <w:bCs/>
          <w:sz w:val="24"/>
          <w:szCs w:val="24"/>
        </w:rPr>
        <w:t>*</w:t>
      </w:r>
      <w:r w:rsidR="00A60966" w:rsidRPr="00A60966">
        <w:rPr>
          <w:rFonts w:asciiTheme="minorHAnsi" w:hAnsiTheme="minorHAnsi" w:cstheme="minorHAnsi"/>
          <w:b/>
          <w:bCs/>
          <w:sz w:val="24"/>
          <w:szCs w:val="24"/>
        </w:rPr>
        <w:t>Úpravu zákonných norem pro separaci a ukládání stavební suti</w:t>
      </w:r>
      <w:r w:rsidR="00A60966" w:rsidRPr="00A60966">
        <w:rPr>
          <w:rFonts w:asciiTheme="minorHAnsi" w:hAnsiTheme="minorHAnsi" w:cstheme="minorHAnsi"/>
          <w:sz w:val="24"/>
          <w:szCs w:val="24"/>
        </w:rPr>
        <w:t>, tak aby bylo možné jí druhotně využít. -&gt; DNES není upraveno a ukládá se „divoce“ na pozemcích a dnes se neukládá a neeviduje</w:t>
      </w:r>
    </w:p>
    <w:p w14:paraId="6CF9A0F0" w14:textId="4570CD6D" w:rsidR="00FC7348" w:rsidRPr="005E0C4E" w:rsidRDefault="00FC7348" w:rsidP="008E4725">
      <w:pPr>
        <w:widowControl w:val="0"/>
        <w:autoSpaceDE w:val="0"/>
        <w:autoSpaceDN w:val="0"/>
        <w:adjustRightInd w:val="0"/>
        <w:jc w:val="both"/>
        <w:rPr>
          <w:rFonts w:asciiTheme="minorHAnsi" w:hAnsiTheme="minorHAnsi" w:cstheme="minorHAnsi"/>
          <w:sz w:val="24"/>
          <w:szCs w:val="24"/>
          <w:u w:val="single"/>
        </w:rPr>
      </w:pPr>
    </w:p>
    <w:p w14:paraId="1385A79E" w14:textId="2C4045AC" w:rsidR="00C97C5A" w:rsidRPr="005E0C4E" w:rsidRDefault="00C97C5A" w:rsidP="008E4725">
      <w:pPr>
        <w:widowControl w:val="0"/>
        <w:autoSpaceDE w:val="0"/>
        <w:autoSpaceDN w:val="0"/>
        <w:adjustRightInd w:val="0"/>
        <w:jc w:val="both"/>
        <w:rPr>
          <w:rFonts w:asciiTheme="minorHAnsi" w:hAnsiTheme="minorHAnsi" w:cstheme="minorHAnsi"/>
          <w:sz w:val="24"/>
          <w:szCs w:val="24"/>
          <w:u w:val="single"/>
        </w:rPr>
      </w:pPr>
    </w:p>
    <w:p w14:paraId="38BD9E24" w14:textId="77777777" w:rsidR="00B67E6B" w:rsidRPr="005E0C4E" w:rsidRDefault="00B67E6B" w:rsidP="008E4725">
      <w:pPr>
        <w:widowControl w:val="0"/>
        <w:autoSpaceDE w:val="0"/>
        <w:autoSpaceDN w:val="0"/>
        <w:adjustRightInd w:val="0"/>
        <w:jc w:val="both"/>
        <w:rPr>
          <w:rFonts w:asciiTheme="minorHAnsi" w:hAnsiTheme="minorHAnsi" w:cstheme="minorHAnsi"/>
          <w:sz w:val="24"/>
          <w:szCs w:val="24"/>
          <w:u w:val="single"/>
        </w:rPr>
      </w:pPr>
    </w:p>
    <w:p w14:paraId="4771BF7F" w14:textId="4DDE874E" w:rsidR="00116A85" w:rsidRPr="005E0C4E" w:rsidRDefault="001932EA" w:rsidP="008E4725">
      <w:pPr>
        <w:widowControl w:val="0"/>
        <w:autoSpaceDE w:val="0"/>
        <w:autoSpaceDN w:val="0"/>
        <w:adjustRightInd w:val="0"/>
        <w:jc w:val="both"/>
        <w:rPr>
          <w:rFonts w:asciiTheme="minorHAnsi" w:hAnsiTheme="minorHAnsi" w:cstheme="minorHAnsi"/>
          <w:sz w:val="24"/>
          <w:szCs w:val="24"/>
          <w:u w:val="single"/>
        </w:rPr>
      </w:pPr>
      <w:r w:rsidRPr="005E0C4E">
        <w:rPr>
          <w:rFonts w:asciiTheme="minorHAnsi" w:hAnsiTheme="minorHAnsi" w:cstheme="minorHAnsi"/>
          <w:sz w:val="24"/>
          <w:szCs w:val="24"/>
          <w:u w:val="single"/>
        </w:rPr>
        <w:t>K</w:t>
      </w:r>
      <w:r w:rsidR="00116A85" w:rsidRPr="005E0C4E">
        <w:rPr>
          <w:rFonts w:asciiTheme="minorHAnsi" w:hAnsiTheme="minorHAnsi" w:cstheme="minorHAnsi"/>
          <w:sz w:val="24"/>
          <w:szCs w:val="24"/>
          <w:u w:val="single"/>
        </w:rPr>
        <w:t>ontaktní osob</w:t>
      </w:r>
      <w:r w:rsidR="00C02026" w:rsidRPr="005E0C4E">
        <w:rPr>
          <w:rFonts w:asciiTheme="minorHAnsi" w:hAnsiTheme="minorHAnsi" w:cstheme="minorHAnsi"/>
          <w:sz w:val="24"/>
          <w:szCs w:val="24"/>
          <w:u w:val="single"/>
        </w:rPr>
        <w:t>y</w:t>
      </w:r>
      <w:r w:rsidR="00116A85" w:rsidRPr="005E0C4E">
        <w:rPr>
          <w:rFonts w:asciiTheme="minorHAnsi" w:hAnsiTheme="minorHAnsi" w:cstheme="minorHAnsi"/>
          <w:sz w:val="24"/>
          <w:szCs w:val="24"/>
          <w:u w:val="single"/>
        </w:rPr>
        <w:t>:</w:t>
      </w:r>
    </w:p>
    <w:p w14:paraId="42B3112F" w14:textId="706E7BEF" w:rsidR="00E73AD9" w:rsidRPr="005E0C4E" w:rsidRDefault="00E73AD9" w:rsidP="008E4725">
      <w:pPr>
        <w:jc w:val="both"/>
        <w:rPr>
          <w:rFonts w:asciiTheme="minorHAnsi" w:eastAsia="Calibri" w:hAnsiTheme="minorHAnsi" w:cstheme="minorHAnsi"/>
          <w:sz w:val="24"/>
          <w:szCs w:val="24"/>
          <w:lang w:eastAsia="en-US"/>
        </w:rPr>
      </w:pPr>
    </w:p>
    <w:p w14:paraId="3496CC21" w14:textId="13DBB88D" w:rsidR="00185976" w:rsidRPr="005E0C4E" w:rsidRDefault="00FC7348" w:rsidP="00185976">
      <w:pPr>
        <w:shd w:val="clear" w:color="auto" w:fill="FFFFFF"/>
        <w:jc w:val="both"/>
        <w:rPr>
          <w:rFonts w:asciiTheme="minorHAnsi" w:hAnsiTheme="minorHAnsi" w:cstheme="minorHAnsi"/>
          <w:color w:val="000000" w:themeColor="text1"/>
          <w:sz w:val="24"/>
          <w:szCs w:val="24"/>
        </w:rPr>
      </w:pPr>
      <w:r w:rsidRPr="005E0C4E">
        <w:rPr>
          <w:rFonts w:asciiTheme="minorHAnsi" w:hAnsiTheme="minorHAnsi" w:cstheme="minorHAnsi"/>
          <w:color w:val="000000" w:themeColor="text1"/>
          <w:sz w:val="24"/>
          <w:szCs w:val="24"/>
        </w:rPr>
        <w:t>Ing. Vladimír Budínský</w:t>
      </w:r>
      <w:r w:rsidR="00CE3B90" w:rsidRPr="005E0C4E">
        <w:rPr>
          <w:rFonts w:asciiTheme="minorHAnsi" w:hAnsiTheme="minorHAnsi" w:cstheme="minorHAnsi"/>
          <w:color w:val="000000" w:themeColor="text1"/>
          <w:sz w:val="24"/>
          <w:szCs w:val="24"/>
        </w:rPr>
        <w:t xml:space="preserve"> MBA</w:t>
      </w:r>
      <w:r w:rsidR="00185976" w:rsidRPr="005E0C4E">
        <w:rPr>
          <w:rFonts w:asciiTheme="minorHAnsi" w:hAnsiTheme="minorHAnsi" w:cstheme="minorHAnsi"/>
          <w:color w:val="000000" w:themeColor="text1"/>
          <w:sz w:val="24"/>
          <w:szCs w:val="24"/>
        </w:rPr>
        <w:tab/>
      </w:r>
      <w:r w:rsidR="00185976" w:rsidRPr="005E0C4E">
        <w:rPr>
          <w:rFonts w:asciiTheme="minorHAnsi" w:hAnsiTheme="minorHAnsi" w:cstheme="minorHAnsi"/>
          <w:color w:val="000000" w:themeColor="text1"/>
          <w:sz w:val="24"/>
          <w:szCs w:val="24"/>
        </w:rPr>
        <w:tab/>
        <w:t xml:space="preserve">e-mail: </w:t>
      </w:r>
      <w:hyperlink r:id="rId12" w:history="1">
        <w:r w:rsidR="00473F36" w:rsidRPr="005E0C4E">
          <w:rPr>
            <w:rStyle w:val="Hypertextovodkaz"/>
            <w:rFonts w:asciiTheme="minorHAnsi" w:eastAsiaTheme="majorEastAsia" w:hAnsiTheme="minorHAnsi" w:cstheme="minorHAnsi"/>
            <w:sz w:val="24"/>
            <w:szCs w:val="24"/>
          </w:rPr>
          <w:t>budinsky@zsdnp.cz</w:t>
        </w:r>
      </w:hyperlink>
      <w:r w:rsidR="006B66EB" w:rsidRPr="005E0C4E">
        <w:rPr>
          <w:rStyle w:val="Hypertextovodkaz"/>
          <w:rFonts w:asciiTheme="minorHAnsi" w:eastAsiaTheme="majorEastAsia" w:hAnsiTheme="minorHAnsi" w:cstheme="minorHAnsi"/>
          <w:sz w:val="24"/>
          <w:szCs w:val="24"/>
          <w:u w:val="none"/>
        </w:rPr>
        <w:tab/>
      </w:r>
      <w:r w:rsidR="00185976" w:rsidRPr="005E0C4E">
        <w:rPr>
          <w:rFonts w:asciiTheme="minorHAnsi" w:hAnsiTheme="minorHAnsi" w:cstheme="minorHAnsi"/>
          <w:sz w:val="24"/>
          <w:szCs w:val="24"/>
        </w:rPr>
        <w:tab/>
      </w:r>
      <w:r w:rsidR="005E0C4E" w:rsidRPr="005E0C4E">
        <w:rPr>
          <w:rFonts w:asciiTheme="minorHAnsi" w:hAnsiTheme="minorHAnsi" w:cstheme="minorHAnsi"/>
          <w:color w:val="000000" w:themeColor="text1"/>
          <w:sz w:val="24"/>
          <w:szCs w:val="24"/>
        </w:rPr>
        <w:t>mob</w:t>
      </w:r>
      <w:r w:rsidR="00185976" w:rsidRPr="005E0C4E">
        <w:rPr>
          <w:rFonts w:asciiTheme="minorHAnsi" w:hAnsiTheme="minorHAnsi" w:cstheme="minorHAnsi"/>
          <w:color w:val="000000" w:themeColor="text1"/>
          <w:sz w:val="24"/>
          <w:szCs w:val="24"/>
        </w:rPr>
        <w:t>:</w:t>
      </w:r>
      <w:r w:rsidR="00185976" w:rsidRPr="005E0C4E">
        <w:rPr>
          <w:rFonts w:asciiTheme="minorHAnsi" w:hAnsiTheme="minorHAnsi" w:cstheme="minorHAnsi"/>
          <w:color w:val="000000" w:themeColor="text1"/>
          <w:sz w:val="24"/>
          <w:szCs w:val="24"/>
        </w:rPr>
        <w:tab/>
      </w:r>
      <w:r w:rsidR="005E0C4E" w:rsidRPr="005E0C4E">
        <w:rPr>
          <w:rFonts w:asciiTheme="minorHAnsi" w:hAnsiTheme="minorHAnsi" w:cstheme="minorHAnsi"/>
          <w:color w:val="000000" w:themeColor="text1"/>
          <w:sz w:val="24"/>
          <w:szCs w:val="24"/>
        </w:rPr>
        <w:t>724 082 663</w:t>
      </w:r>
    </w:p>
    <w:p w14:paraId="14E72DC8" w14:textId="4B99C523" w:rsidR="00FF2873" w:rsidRPr="005E0C4E" w:rsidRDefault="00FF2873" w:rsidP="008E4725">
      <w:pPr>
        <w:pStyle w:val="indent"/>
        <w:shd w:val="clear" w:color="auto" w:fill="FFFFFF"/>
        <w:spacing w:before="0" w:after="0"/>
        <w:ind w:firstLine="0"/>
        <w:textAlignment w:val="top"/>
        <w:rPr>
          <w:rFonts w:asciiTheme="minorHAnsi" w:hAnsiTheme="minorHAnsi" w:cstheme="minorHAnsi"/>
        </w:rPr>
      </w:pPr>
      <w:r w:rsidRPr="005E0C4E">
        <w:rPr>
          <w:rFonts w:asciiTheme="minorHAnsi" w:hAnsiTheme="minorHAnsi" w:cstheme="minorHAnsi"/>
        </w:rPr>
        <w:t xml:space="preserve">Ing. Pavel Ševčík </w:t>
      </w:r>
      <w:r w:rsidR="002D724C" w:rsidRPr="005E0C4E">
        <w:rPr>
          <w:rFonts w:asciiTheme="minorHAnsi" w:hAnsiTheme="minorHAnsi" w:cstheme="minorHAnsi"/>
        </w:rPr>
        <w:t>Ph.D.</w:t>
      </w:r>
      <w:r w:rsidRPr="005E0C4E">
        <w:rPr>
          <w:rFonts w:asciiTheme="minorHAnsi" w:hAnsiTheme="minorHAnsi" w:cstheme="minorHAnsi"/>
        </w:rPr>
        <w:tab/>
      </w:r>
      <w:r w:rsidRPr="005E0C4E">
        <w:rPr>
          <w:rFonts w:asciiTheme="minorHAnsi" w:hAnsiTheme="minorHAnsi" w:cstheme="minorHAnsi"/>
        </w:rPr>
        <w:tab/>
        <w:t>e-mail:</w:t>
      </w:r>
      <w:r w:rsidRPr="005E0C4E">
        <w:rPr>
          <w:rFonts w:asciiTheme="minorHAnsi" w:hAnsiTheme="minorHAnsi" w:cstheme="minorHAnsi"/>
        </w:rPr>
        <w:tab/>
      </w:r>
      <w:hyperlink r:id="rId13" w:history="1">
        <w:r w:rsidR="006B66EB" w:rsidRPr="005E0C4E">
          <w:rPr>
            <w:rStyle w:val="Hypertextovodkaz"/>
            <w:rFonts w:asciiTheme="minorHAnsi" w:hAnsiTheme="minorHAnsi" w:cstheme="minorHAnsi"/>
          </w:rPr>
          <w:t>sevcik@sps.cz</w:t>
        </w:r>
      </w:hyperlink>
      <w:r w:rsidR="006B66EB" w:rsidRPr="005E0C4E">
        <w:rPr>
          <w:rFonts w:asciiTheme="minorHAnsi" w:hAnsiTheme="minorHAnsi" w:cstheme="minorHAnsi"/>
        </w:rPr>
        <w:tab/>
      </w:r>
      <w:r w:rsidR="006B66EB" w:rsidRPr="005E0C4E">
        <w:rPr>
          <w:rFonts w:asciiTheme="minorHAnsi" w:hAnsiTheme="minorHAnsi" w:cstheme="minorHAnsi"/>
        </w:rPr>
        <w:tab/>
      </w:r>
      <w:r w:rsidR="006B66EB" w:rsidRPr="005E0C4E">
        <w:rPr>
          <w:rFonts w:asciiTheme="minorHAnsi" w:hAnsiTheme="minorHAnsi" w:cstheme="minorHAnsi"/>
        </w:rPr>
        <w:tab/>
      </w:r>
      <w:r w:rsidR="00311EF2" w:rsidRPr="005E0C4E">
        <w:rPr>
          <w:rFonts w:asciiTheme="minorHAnsi" w:hAnsiTheme="minorHAnsi" w:cstheme="minorHAnsi"/>
        </w:rPr>
        <w:t>mob:</w:t>
      </w:r>
      <w:r w:rsidR="00311EF2" w:rsidRPr="005E0C4E">
        <w:rPr>
          <w:rFonts w:asciiTheme="minorHAnsi" w:hAnsiTheme="minorHAnsi" w:cstheme="minorHAnsi"/>
        </w:rPr>
        <w:tab/>
        <w:t>605</w:t>
      </w:r>
      <w:r w:rsidR="002D724C" w:rsidRPr="005E0C4E">
        <w:rPr>
          <w:rFonts w:asciiTheme="minorHAnsi" w:hAnsiTheme="minorHAnsi" w:cstheme="minorHAnsi"/>
        </w:rPr>
        <w:t> </w:t>
      </w:r>
      <w:r w:rsidR="00311EF2" w:rsidRPr="005E0C4E">
        <w:rPr>
          <w:rFonts w:asciiTheme="minorHAnsi" w:hAnsiTheme="minorHAnsi" w:cstheme="minorHAnsi"/>
        </w:rPr>
        <w:t>20</w:t>
      </w:r>
      <w:r w:rsidR="002D724C" w:rsidRPr="005E0C4E">
        <w:rPr>
          <w:rFonts w:asciiTheme="minorHAnsi" w:hAnsiTheme="minorHAnsi" w:cstheme="minorHAnsi"/>
        </w:rPr>
        <w:t>5 650</w:t>
      </w:r>
    </w:p>
    <w:p w14:paraId="6AA718CE" w14:textId="2F21CA9D" w:rsidR="00116A85" w:rsidRPr="005E0C4E" w:rsidRDefault="00B17C0F" w:rsidP="008E4725">
      <w:pPr>
        <w:pStyle w:val="indent"/>
        <w:shd w:val="clear" w:color="auto" w:fill="FFFFFF"/>
        <w:spacing w:before="0" w:after="0"/>
        <w:ind w:firstLine="0"/>
        <w:textAlignment w:val="top"/>
        <w:rPr>
          <w:rFonts w:asciiTheme="minorHAnsi" w:hAnsiTheme="minorHAnsi" w:cstheme="minorHAnsi"/>
        </w:rPr>
      </w:pPr>
      <w:r w:rsidRPr="005E0C4E">
        <w:rPr>
          <w:rFonts w:asciiTheme="minorHAnsi" w:hAnsiTheme="minorHAnsi" w:cstheme="minorHAnsi"/>
        </w:rPr>
        <w:t>Dr.</w:t>
      </w:r>
      <w:r w:rsidR="00116A85" w:rsidRPr="005E0C4E">
        <w:rPr>
          <w:rFonts w:asciiTheme="minorHAnsi" w:hAnsiTheme="minorHAnsi" w:cstheme="minorHAnsi"/>
        </w:rPr>
        <w:t xml:space="preserve"> Jan Zikeš</w:t>
      </w:r>
      <w:r w:rsidR="00C02026" w:rsidRPr="005E0C4E">
        <w:rPr>
          <w:rFonts w:asciiTheme="minorHAnsi" w:hAnsiTheme="minorHAnsi" w:cstheme="minorHAnsi"/>
        </w:rPr>
        <w:tab/>
      </w:r>
      <w:r w:rsidR="00C02026" w:rsidRPr="005E0C4E">
        <w:rPr>
          <w:rFonts w:asciiTheme="minorHAnsi" w:hAnsiTheme="minorHAnsi" w:cstheme="minorHAnsi"/>
        </w:rPr>
        <w:tab/>
      </w:r>
      <w:r w:rsidR="007D6A55" w:rsidRPr="005E0C4E">
        <w:rPr>
          <w:rFonts w:asciiTheme="minorHAnsi" w:hAnsiTheme="minorHAnsi" w:cstheme="minorHAnsi"/>
        </w:rPr>
        <w:tab/>
      </w:r>
      <w:r w:rsidR="00F52BC5" w:rsidRPr="005E0C4E">
        <w:rPr>
          <w:rFonts w:asciiTheme="minorHAnsi" w:hAnsiTheme="minorHAnsi" w:cstheme="minorHAnsi"/>
        </w:rPr>
        <w:tab/>
      </w:r>
      <w:r w:rsidR="00116A85" w:rsidRPr="005E0C4E">
        <w:rPr>
          <w:rFonts w:asciiTheme="minorHAnsi" w:hAnsiTheme="minorHAnsi" w:cstheme="minorHAnsi"/>
        </w:rPr>
        <w:t>e</w:t>
      </w:r>
      <w:r w:rsidR="001932EA" w:rsidRPr="005E0C4E">
        <w:rPr>
          <w:rFonts w:asciiTheme="minorHAnsi" w:hAnsiTheme="minorHAnsi" w:cstheme="minorHAnsi"/>
        </w:rPr>
        <w:t>-</w:t>
      </w:r>
      <w:r w:rsidR="00116A85" w:rsidRPr="005E0C4E">
        <w:rPr>
          <w:rFonts w:asciiTheme="minorHAnsi" w:hAnsiTheme="minorHAnsi" w:cstheme="minorHAnsi"/>
        </w:rPr>
        <w:t>mail:</w:t>
      </w:r>
      <w:r w:rsidR="00B62EFD" w:rsidRPr="005E0C4E">
        <w:rPr>
          <w:rFonts w:asciiTheme="minorHAnsi" w:hAnsiTheme="minorHAnsi" w:cstheme="minorHAnsi"/>
        </w:rPr>
        <w:tab/>
      </w:r>
      <w:hyperlink r:id="rId14" w:history="1">
        <w:r w:rsidR="00116A85" w:rsidRPr="005E0C4E">
          <w:rPr>
            <w:rStyle w:val="Hypertextovodkaz"/>
            <w:rFonts w:asciiTheme="minorHAnsi" w:hAnsiTheme="minorHAnsi" w:cstheme="minorHAnsi"/>
          </w:rPr>
          <w:t>zikes@kzps.cz</w:t>
        </w:r>
      </w:hyperlink>
      <w:r w:rsidR="00C02026" w:rsidRPr="005E0C4E">
        <w:rPr>
          <w:rFonts w:asciiTheme="minorHAnsi" w:hAnsiTheme="minorHAnsi" w:cstheme="minorHAnsi"/>
        </w:rPr>
        <w:tab/>
      </w:r>
      <w:r w:rsidR="00C02026" w:rsidRPr="005E0C4E">
        <w:rPr>
          <w:rFonts w:asciiTheme="minorHAnsi" w:hAnsiTheme="minorHAnsi" w:cstheme="minorHAnsi"/>
        </w:rPr>
        <w:tab/>
      </w:r>
      <w:r w:rsidR="00680FD8" w:rsidRPr="005E0C4E">
        <w:rPr>
          <w:rFonts w:asciiTheme="minorHAnsi" w:hAnsiTheme="minorHAnsi" w:cstheme="minorHAnsi"/>
        </w:rPr>
        <w:tab/>
      </w:r>
      <w:r w:rsidR="005E0C4E" w:rsidRPr="005E0C4E">
        <w:rPr>
          <w:rFonts w:asciiTheme="minorHAnsi" w:hAnsiTheme="minorHAnsi" w:cstheme="minorHAnsi"/>
        </w:rPr>
        <w:t>mob:</w:t>
      </w:r>
      <w:r w:rsidR="00D442C1" w:rsidRPr="005E0C4E">
        <w:rPr>
          <w:rFonts w:asciiTheme="minorHAnsi" w:hAnsiTheme="minorHAnsi" w:cstheme="minorHAnsi"/>
        </w:rPr>
        <w:tab/>
      </w:r>
      <w:r w:rsidR="005E0C4E" w:rsidRPr="005E0C4E">
        <w:rPr>
          <w:rFonts w:asciiTheme="minorHAnsi" w:hAnsiTheme="minorHAnsi" w:cstheme="minorHAnsi"/>
        </w:rPr>
        <w:t>775 15 77 50</w:t>
      </w:r>
    </w:p>
    <w:p w14:paraId="23122064" w14:textId="45402924" w:rsidR="002234F6" w:rsidRPr="005E0C4E" w:rsidRDefault="002234F6" w:rsidP="00CA3EA4">
      <w:pPr>
        <w:jc w:val="both"/>
        <w:rPr>
          <w:rFonts w:asciiTheme="minorHAnsi" w:hAnsiTheme="minorHAnsi" w:cstheme="minorHAnsi"/>
          <w:sz w:val="24"/>
          <w:szCs w:val="24"/>
        </w:rPr>
      </w:pPr>
    </w:p>
    <w:p w14:paraId="4977251E" w14:textId="4DE32A12" w:rsidR="00B411A7" w:rsidRPr="005E0C4E" w:rsidRDefault="00B411A7" w:rsidP="00CA3EA4">
      <w:pPr>
        <w:jc w:val="both"/>
        <w:rPr>
          <w:rFonts w:asciiTheme="minorHAnsi" w:hAnsiTheme="minorHAnsi" w:cstheme="minorHAnsi"/>
          <w:sz w:val="24"/>
          <w:szCs w:val="24"/>
        </w:rPr>
      </w:pPr>
    </w:p>
    <w:p w14:paraId="66FB6E07" w14:textId="75A9F003" w:rsidR="00FD1397" w:rsidRPr="005E0C4E" w:rsidRDefault="009A436D" w:rsidP="00CA3EA4">
      <w:pPr>
        <w:jc w:val="both"/>
        <w:rPr>
          <w:rFonts w:asciiTheme="minorHAnsi" w:hAnsiTheme="minorHAnsi" w:cstheme="minorHAnsi"/>
          <w:sz w:val="24"/>
          <w:szCs w:val="24"/>
        </w:rPr>
      </w:pPr>
      <w:r w:rsidRPr="005E0C4E">
        <w:rPr>
          <w:rFonts w:asciiTheme="minorHAnsi" w:hAnsiTheme="minorHAnsi" w:cstheme="minorHAnsi"/>
          <w:sz w:val="24"/>
          <w:szCs w:val="24"/>
        </w:rPr>
        <w:t>V Praze dne</w:t>
      </w:r>
      <w:r w:rsidR="00E140D6" w:rsidRPr="005E0C4E">
        <w:rPr>
          <w:rFonts w:asciiTheme="minorHAnsi" w:hAnsiTheme="minorHAnsi" w:cstheme="minorHAnsi"/>
          <w:sz w:val="24"/>
          <w:szCs w:val="24"/>
        </w:rPr>
        <w:t xml:space="preserve"> </w:t>
      </w:r>
      <w:r w:rsidR="00CE3B90" w:rsidRPr="005E0C4E">
        <w:rPr>
          <w:rFonts w:asciiTheme="minorHAnsi" w:hAnsiTheme="minorHAnsi" w:cstheme="minorHAnsi"/>
          <w:sz w:val="24"/>
          <w:szCs w:val="24"/>
        </w:rPr>
        <w:t>2</w:t>
      </w:r>
      <w:r w:rsidR="00C97C5A" w:rsidRPr="005E0C4E">
        <w:rPr>
          <w:rFonts w:asciiTheme="minorHAnsi" w:hAnsiTheme="minorHAnsi" w:cstheme="minorHAnsi"/>
          <w:sz w:val="24"/>
          <w:szCs w:val="24"/>
        </w:rPr>
        <w:t>5</w:t>
      </w:r>
      <w:r w:rsidR="00CE3B90" w:rsidRPr="005E0C4E">
        <w:rPr>
          <w:rFonts w:asciiTheme="minorHAnsi" w:hAnsiTheme="minorHAnsi" w:cstheme="minorHAnsi"/>
          <w:sz w:val="24"/>
          <w:szCs w:val="24"/>
        </w:rPr>
        <w:t>. ledna 2021</w:t>
      </w:r>
    </w:p>
    <w:p w14:paraId="1CE7FC92" w14:textId="77777777" w:rsidR="00097ED0" w:rsidRPr="005E0C4E" w:rsidRDefault="00097ED0" w:rsidP="00CA3EA4">
      <w:pPr>
        <w:jc w:val="both"/>
        <w:rPr>
          <w:rFonts w:asciiTheme="minorHAnsi" w:hAnsiTheme="minorHAnsi" w:cstheme="minorHAnsi"/>
          <w:sz w:val="24"/>
          <w:szCs w:val="24"/>
        </w:rPr>
      </w:pPr>
    </w:p>
    <w:p w14:paraId="6EFC8453" w14:textId="151BBC12" w:rsidR="00B411A7" w:rsidRPr="005E0C4E" w:rsidRDefault="00B411A7" w:rsidP="00CA3EA4">
      <w:pPr>
        <w:rPr>
          <w:rFonts w:asciiTheme="minorHAnsi" w:hAnsiTheme="minorHAnsi" w:cstheme="minorHAnsi"/>
          <w:sz w:val="24"/>
          <w:szCs w:val="24"/>
        </w:rPr>
      </w:pPr>
    </w:p>
    <w:p w14:paraId="4062DD4B" w14:textId="77777777" w:rsidR="00994DDC" w:rsidRPr="005E0C4E" w:rsidRDefault="00994DDC" w:rsidP="00CA3EA4">
      <w:pPr>
        <w:rPr>
          <w:rFonts w:asciiTheme="minorHAnsi" w:hAnsiTheme="minorHAnsi" w:cstheme="minorHAnsi"/>
          <w:sz w:val="24"/>
          <w:szCs w:val="24"/>
        </w:rPr>
      </w:pPr>
    </w:p>
    <w:p w14:paraId="56B8F675" w14:textId="686D61F4" w:rsidR="006266A6" w:rsidRPr="005E0C4E" w:rsidRDefault="00BF1917" w:rsidP="00CA3EA4">
      <w:pPr>
        <w:rPr>
          <w:rFonts w:asciiTheme="minorHAnsi" w:hAnsiTheme="minorHAnsi" w:cstheme="minorHAnsi"/>
          <w:b/>
          <w:sz w:val="24"/>
          <w:szCs w:val="24"/>
        </w:rPr>
      </w:pPr>
      <w:r w:rsidRPr="005E0C4E">
        <w:rPr>
          <w:rFonts w:asciiTheme="minorHAnsi" w:hAnsiTheme="minorHAnsi" w:cstheme="minorHAnsi"/>
          <w:sz w:val="24"/>
          <w:szCs w:val="24"/>
        </w:rPr>
        <w:t xml:space="preserve"> </w:t>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E825FB" w:rsidRPr="005E0C4E">
        <w:rPr>
          <w:rFonts w:asciiTheme="minorHAnsi" w:hAnsiTheme="minorHAnsi" w:cstheme="minorHAnsi"/>
          <w:sz w:val="24"/>
          <w:szCs w:val="24"/>
        </w:rPr>
        <w:tab/>
      </w:r>
      <w:r w:rsidR="002A28AB" w:rsidRPr="005E0C4E">
        <w:rPr>
          <w:rFonts w:asciiTheme="minorHAnsi" w:hAnsiTheme="minorHAnsi" w:cstheme="minorHAnsi"/>
          <w:sz w:val="24"/>
          <w:szCs w:val="24"/>
        </w:rPr>
        <w:tab/>
      </w:r>
      <w:r w:rsidR="002A28AB" w:rsidRPr="005E0C4E">
        <w:rPr>
          <w:rFonts w:asciiTheme="minorHAnsi" w:hAnsiTheme="minorHAnsi" w:cstheme="minorHAnsi"/>
          <w:b/>
          <w:sz w:val="24"/>
          <w:szCs w:val="24"/>
        </w:rPr>
        <w:t xml:space="preserve">        </w:t>
      </w:r>
      <w:r w:rsidR="00F645E4" w:rsidRPr="005E0C4E">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5E0C4E">
        <w:rPr>
          <w:rFonts w:asciiTheme="minorHAnsi" w:hAnsiTheme="minorHAnsi" w:cstheme="minorHAnsi"/>
          <w:sz w:val="24"/>
          <w:szCs w:val="24"/>
        </w:rPr>
        <w:tab/>
      </w:r>
      <w:r w:rsidRPr="005E0C4E">
        <w:rPr>
          <w:rFonts w:asciiTheme="minorHAnsi" w:hAnsiTheme="minorHAnsi" w:cstheme="minorHAnsi"/>
          <w:sz w:val="24"/>
          <w:szCs w:val="24"/>
        </w:rPr>
        <w:tab/>
      </w:r>
      <w:r w:rsidRPr="009E4828">
        <w:rPr>
          <w:rFonts w:asciiTheme="minorHAnsi" w:hAnsiTheme="minorHAnsi" w:cstheme="minorHAnsi"/>
          <w:sz w:val="24"/>
          <w:szCs w:val="24"/>
        </w:rPr>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55CD" w14:textId="77777777" w:rsidR="004A2B87" w:rsidRDefault="004A2B87">
      <w:r>
        <w:separator/>
      </w:r>
    </w:p>
    <w:p w14:paraId="567D57A9" w14:textId="77777777" w:rsidR="004A2B87" w:rsidRDefault="004A2B87"/>
  </w:endnote>
  <w:endnote w:type="continuationSeparator" w:id="0">
    <w:p w14:paraId="01A78509" w14:textId="77777777" w:rsidR="004A2B87" w:rsidRDefault="004A2B87">
      <w:r>
        <w:continuationSeparator/>
      </w:r>
    </w:p>
    <w:p w14:paraId="12A76158" w14:textId="77777777" w:rsidR="004A2B87" w:rsidRDefault="004A2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E8E2B" w14:textId="77777777" w:rsidR="004A2B87" w:rsidRDefault="004A2B87">
      <w:r>
        <w:separator/>
      </w:r>
    </w:p>
    <w:p w14:paraId="20C0B82D" w14:textId="77777777" w:rsidR="004A2B87" w:rsidRDefault="004A2B87"/>
  </w:footnote>
  <w:footnote w:type="continuationSeparator" w:id="0">
    <w:p w14:paraId="1F35C6C5" w14:textId="77777777" w:rsidR="004A2B87" w:rsidRDefault="004A2B87">
      <w:r>
        <w:continuationSeparator/>
      </w:r>
    </w:p>
    <w:p w14:paraId="6D17332E" w14:textId="77777777" w:rsidR="004A2B87" w:rsidRDefault="004A2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58E2A5E"/>
    <w:multiLevelType w:val="hybridMultilevel"/>
    <w:tmpl w:val="F084A15A"/>
    <w:lvl w:ilvl="0" w:tplc="C43480C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6D20175"/>
    <w:multiLevelType w:val="hybridMultilevel"/>
    <w:tmpl w:val="F6C8152C"/>
    <w:lvl w:ilvl="0" w:tplc="DD56E648">
      <w:numFmt w:val="bullet"/>
      <w:lvlText w:val=""/>
      <w:lvlJc w:val="left"/>
      <w:pPr>
        <w:ind w:left="1778" w:hanging="360"/>
      </w:pPr>
      <w:rPr>
        <w:rFonts w:ascii="Symbol" w:eastAsia="Times New Roman" w:hAnsi="Symbo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3D39"/>
    <w:rsid w:val="0001536A"/>
    <w:rsid w:val="00015F6D"/>
    <w:rsid w:val="000241B5"/>
    <w:rsid w:val="00025318"/>
    <w:rsid w:val="0002661A"/>
    <w:rsid w:val="00032B96"/>
    <w:rsid w:val="0003614B"/>
    <w:rsid w:val="00042DCF"/>
    <w:rsid w:val="00045C43"/>
    <w:rsid w:val="00053079"/>
    <w:rsid w:val="000741DD"/>
    <w:rsid w:val="0007717A"/>
    <w:rsid w:val="00094A96"/>
    <w:rsid w:val="00097BCC"/>
    <w:rsid w:val="00097ED0"/>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D724C"/>
    <w:rsid w:val="002E0A03"/>
    <w:rsid w:val="002F1DD2"/>
    <w:rsid w:val="00311EF2"/>
    <w:rsid w:val="00314659"/>
    <w:rsid w:val="0032541E"/>
    <w:rsid w:val="003305AA"/>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6C89"/>
    <w:rsid w:val="00455126"/>
    <w:rsid w:val="00456CEA"/>
    <w:rsid w:val="00462D24"/>
    <w:rsid w:val="00462E34"/>
    <w:rsid w:val="00464240"/>
    <w:rsid w:val="004715AB"/>
    <w:rsid w:val="00473F36"/>
    <w:rsid w:val="004764D4"/>
    <w:rsid w:val="00492FB2"/>
    <w:rsid w:val="00494E51"/>
    <w:rsid w:val="004A05A0"/>
    <w:rsid w:val="004A2B87"/>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6DD6"/>
    <w:rsid w:val="00527311"/>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0C4E"/>
    <w:rsid w:val="005E4BBB"/>
    <w:rsid w:val="00614BB3"/>
    <w:rsid w:val="006266A6"/>
    <w:rsid w:val="00637B43"/>
    <w:rsid w:val="0064259D"/>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B66EB"/>
    <w:rsid w:val="006C1474"/>
    <w:rsid w:val="006C207A"/>
    <w:rsid w:val="006C34B2"/>
    <w:rsid w:val="006C46E3"/>
    <w:rsid w:val="006C6C44"/>
    <w:rsid w:val="006D55E5"/>
    <w:rsid w:val="006E2EBC"/>
    <w:rsid w:val="006E638C"/>
    <w:rsid w:val="006F25B9"/>
    <w:rsid w:val="007007F7"/>
    <w:rsid w:val="0070112A"/>
    <w:rsid w:val="00703308"/>
    <w:rsid w:val="00705D64"/>
    <w:rsid w:val="00735439"/>
    <w:rsid w:val="00740649"/>
    <w:rsid w:val="00742421"/>
    <w:rsid w:val="00746159"/>
    <w:rsid w:val="00754FBB"/>
    <w:rsid w:val="00761CDE"/>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1B1"/>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3EB8"/>
    <w:rsid w:val="00A17515"/>
    <w:rsid w:val="00A21AC4"/>
    <w:rsid w:val="00A2260C"/>
    <w:rsid w:val="00A27D1B"/>
    <w:rsid w:val="00A316BB"/>
    <w:rsid w:val="00A31FA0"/>
    <w:rsid w:val="00A35BF1"/>
    <w:rsid w:val="00A40DB3"/>
    <w:rsid w:val="00A473B1"/>
    <w:rsid w:val="00A52797"/>
    <w:rsid w:val="00A56332"/>
    <w:rsid w:val="00A60966"/>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67E6B"/>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612DA"/>
    <w:rsid w:val="00C67F1D"/>
    <w:rsid w:val="00C75878"/>
    <w:rsid w:val="00C806D8"/>
    <w:rsid w:val="00C833FB"/>
    <w:rsid w:val="00C969CF"/>
    <w:rsid w:val="00C97B14"/>
    <w:rsid w:val="00C97C5A"/>
    <w:rsid w:val="00CA21E0"/>
    <w:rsid w:val="00CA3EA4"/>
    <w:rsid w:val="00CB444F"/>
    <w:rsid w:val="00CC6080"/>
    <w:rsid w:val="00CD5A5C"/>
    <w:rsid w:val="00CD62A2"/>
    <w:rsid w:val="00CE2AB1"/>
    <w:rsid w:val="00CE3489"/>
    <w:rsid w:val="00CE3B90"/>
    <w:rsid w:val="00CF056C"/>
    <w:rsid w:val="00CF7BF1"/>
    <w:rsid w:val="00CF7E52"/>
    <w:rsid w:val="00D06C7B"/>
    <w:rsid w:val="00D076A4"/>
    <w:rsid w:val="00D11174"/>
    <w:rsid w:val="00D119BC"/>
    <w:rsid w:val="00D15D13"/>
    <w:rsid w:val="00D17502"/>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2E92"/>
    <w:rsid w:val="00F74792"/>
    <w:rsid w:val="00F803D3"/>
    <w:rsid w:val="00F81BE6"/>
    <w:rsid w:val="00F97841"/>
    <w:rsid w:val="00FA2314"/>
    <w:rsid w:val="00FA36C9"/>
    <w:rsid w:val="00FA77B8"/>
    <w:rsid w:val="00FB47C3"/>
    <w:rsid w:val="00FB4CC0"/>
    <w:rsid w:val="00FC02DD"/>
    <w:rsid w:val="00FC1901"/>
    <w:rsid w:val="00FC6DEA"/>
    <w:rsid w:val="00FC7348"/>
    <w:rsid w:val="00FD0C4E"/>
    <w:rsid w:val="00FD1397"/>
    <w:rsid w:val="00FD5EDB"/>
    <w:rsid w:val="00FE1237"/>
    <w:rsid w:val="00FE32B5"/>
    <w:rsid w:val="00FE754A"/>
    <w:rsid w:val="00FF2873"/>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57804553">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vcik@s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dinsky@zsdn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cz/~/media/mckinsey/locations/europe%20and%20middle%20east/czech%20republic/our%20work/decarbonization_report_cz_vf.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1099</Words>
  <Characters>6486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7570</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22</cp:revision>
  <cp:lastPrinted>2021-01-21T11:32:00Z</cp:lastPrinted>
  <dcterms:created xsi:type="dcterms:W3CDTF">2020-07-21T13:09:00Z</dcterms:created>
  <dcterms:modified xsi:type="dcterms:W3CDTF">2021-01-25T15:52:00Z</dcterms:modified>
</cp:coreProperties>
</file>