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C6DF8" w14:textId="77777777" w:rsidR="00AE2CAC" w:rsidRDefault="00AE2CAC" w:rsidP="00D34BE4">
      <w:pPr>
        <w:jc w:val="both"/>
      </w:pPr>
    </w:p>
    <w:p w14:paraId="35D3C399" w14:textId="77777777" w:rsidR="00D34BE4" w:rsidRDefault="00D34BE4" w:rsidP="00D34BE4">
      <w:pPr>
        <w:jc w:val="both"/>
      </w:pPr>
    </w:p>
    <w:p w14:paraId="18038BD7" w14:textId="77777777" w:rsidR="00D34BE4" w:rsidRPr="00D34BE4" w:rsidRDefault="00D34BE4" w:rsidP="00D34BE4">
      <w:pPr>
        <w:pStyle w:val="Default"/>
        <w:jc w:val="both"/>
        <w:rPr>
          <w:b/>
        </w:rPr>
      </w:pPr>
      <w:r w:rsidRPr="00D34BE4">
        <w:rPr>
          <w:b/>
        </w:rPr>
        <w:t>Spotřeba na obyvatele ve standardech kupní síly v roce 2018</w:t>
      </w:r>
    </w:p>
    <w:p w14:paraId="5B1886FA" w14:textId="77777777" w:rsidR="00D34BE4" w:rsidRDefault="00D34BE4" w:rsidP="00D34BE4">
      <w:pPr>
        <w:pStyle w:val="Default"/>
        <w:jc w:val="both"/>
      </w:pPr>
      <w:r>
        <w:t>STATI19/188</w:t>
      </w:r>
    </w:p>
    <w:p w14:paraId="56FF16C9" w14:textId="77777777" w:rsidR="00D34BE4" w:rsidRDefault="00D34BE4" w:rsidP="00D34BE4">
      <w:pPr>
        <w:pStyle w:val="Default"/>
        <w:jc w:val="both"/>
      </w:pPr>
      <w:r>
        <w:t xml:space="preserve">          Podle sdělení Eurostatu z 13. prosince 2019 spotřeba na obyvatele kolísala mezi 56% a 134% průměru EU. Skutečná individuální spotřeba (AIC) je měřítkem materiálního blaha domácností. V členských státech se v roce 2018 AIC na obyvatele vyjádřená v normách kupní síly (PPS) pohybovala od </w:t>
      </w:r>
      <w:proofErr w:type="gramStart"/>
      <w:r>
        <w:t>56%</w:t>
      </w:r>
      <w:proofErr w:type="gramEnd"/>
      <w:r>
        <w:t xml:space="preserve"> průměru Evropské unie (EU) v Bulharsku po 134% v Lucembursku.</w:t>
      </w:r>
    </w:p>
    <w:p w14:paraId="131A016D" w14:textId="77777777" w:rsidR="00D34BE4" w:rsidRPr="00A51EB8" w:rsidRDefault="00A51EB8" w:rsidP="00A51E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Aktu</w:t>
      </w:r>
      <w:r w:rsidR="00D34BE4" w:rsidRPr="00A51EB8">
        <w:rPr>
          <w:b/>
          <w:sz w:val="24"/>
          <w:szCs w:val="24"/>
        </w:rPr>
        <w:t xml:space="preserve">ální </w:t>
      </w:r>
      <w:r w:rsidRPr="00A51EB8">
        <w:rPr>
          <w:b/>
          <w:sz w:val="24"/>
          <w:szCs w:val="24"/>
        </w:rPr>
        <w:t xml:space="preserve">osobní </w:t>
      </w:r>
      <w:r w:rsidR="00D34BE4" w:rsidRPr="00A51EB8">
        <w:rPr>
          <w:b/>
          <w:sz w:val="24"/>
          <w:szCs w:val="24"/>
        </w:rPr>
        <w:t xml:space="preserve">spotřeba </w:t>
      </w:r>
      <w:r w:rsidRPr="00A51EB8">
        <w:rPr>
          <w:b/>
          <w:sz w:val="24"/>
          <w:szCs w:val="24"/>
        </w:rPr>
        <w:t>d</w:t>
      </w:r>
      <w:r w:rsidR="00D34BE4" w:rsidRPr="00A51EB8">
        <w:rPr>
          <w:b/>
          <w:sz w:val="24"/>
          <w:szCs w:val="24"/>
        </w:rPr>
        <w:t>omácností v paritě kupní síly 2018</w:t>
      </w:r>
    </w:p>
    <w:p w14:paraId="67B5755B" w14:textId="77777777" w:rsidR="00D34BE4" w:rsidRDefault="00D34BE4" w:rsidP="00D34BE4">
      <w:pPr>
        <w:jc w:val="both"/>
      </w:pPr>
      <w:bookmarkStart w:id="0" w:name="_GoBack"/>
      <w:r w:rsidRPr="00D34BE4">
        <w:rPr>
          <w:noProof/>
        </w:rPr>
        <w:drawing>
          <wp:inline distT="0" distB="0" distL="0" distR="0" wp14:anchorId="1485D069" wp14:editId="6C99016B">
            <wp:extent cx="4785775" cy="3939881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5775" cy="3939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7641E31" w14:textId="77777777" w:rsidR="00A51EB8" w:rsidRDefault="00A51EB8" w:rsidP="00A51EB8">
      <w:pPr>
        <w:spacing w:after="0" w:line="240" w:lineRule="auto"/>
        <w:jc w:val="both"/>
      </w:pPr>
      <w:r>
        <w:t xml:space="preserve">            Tyto údaje Eurostatu vycházejí z revidovaných parit kupní síly a nejnovějších údajů o HDP a počtu obyvatel.</w:t>
      </w:r>
    </w:p>
    <w:p w14:paraId="16E71A7D" w14:textId="77777777" w:rsidR="00A51EB8" w:rsidRPr="00A51EB8" w:rsidRDefault="00A51EB8" w:rsidP="00A51EB8">
      <w:pPr>
        <w:spacing w:after="0" w:line="240" w:lineRule="auto"/>
        <w:jc w:val="both"/>
        <w:rPr>
          <w:b/>
        </w:rPr>
      </w:pPr>
      <w:r w:rsidRPr="00A51EB8">
        <w:rPr>
          <w:b/>
        </w:rPr>
        <w:t>Osmnáct členských států pod průměrem EU</w:t>
      </w:r>
    </w:p>
    <w:p w14:paraId="3AEFFB56" w14:textId="77777777" w:rsidR="00A51EB8" w:rsidRDefault="00A51EB8" w:rsidP="00A51EB8">
      <w:pPr>
        <w:spacing w:after="0" w:line="240" w:lineRule="auto"/>
        <w:jc w:val="both"/>
      </w:pPr>
      <w:r>
        <w:t xml:space="preserve">              Deset členských států zaznamenalo AIC na obyvatele nad průměrem EU v roce 2018. Nejvyšší úroveň v EU byla zaznamenána v Lucembursku, o 34% nad průměrem EU, před Německem (o 20% výše). Následovalo je Rakousko, Dánsko, Belgie, Nizozemsko, Spojené království, Finsko, Švédsko a Francie s hladinami 7 až 17% nad průměrem EU.</w:t>
      </w:r>
    </w:p>
    <w:p w14:paraId="2389E87D" w14:textId="77777777" w:rsidR="00A51EB8" w:rsidRDefault="00A51EB8" w:rsidP="00A51EB8">
      <w:pPr>
        <w:spacing w:after="0" w:line="240" w:lineRule="auto"/>
        <w:jc w:val="both"/>
      </w:pPr>
      <w:r>
        <w:t xml:space="preserve">           AIC na obyvatele pro čtrnáct členských států leží mezi průměrem EU a 30% pod úrovní. V Itálii, Irsku, na Kypru a ve Španělsku byly úrovně o 10% nebo méně pod průměrem EU, zatímco Litva, Portugalsko, Česko a Malta byly o 10% až 20% pod úrovní. Slovinsko, Řecko, Polsko, Estonsko, Slovensko a Rumunsko byly mezi 20% a 30% pod průměrem. Čtyři členské státy zaznamenaly AIC na osobu o více než 30% pod průměrem EU. Lotyšsko, Chorvatsko a Maďarsko byly o 30 až 40% níže, Bulharsko mělo AIC na hlavu o více než 40% pod průměrem EU.</w:t>
      </w:r>
    </w:p>
    <w:p w14:paraId="7CA8B981" w14:textId="77777777" w:rsidR="00A51EB8" w:rsidRDefault="00A51EB8" w:rsidP="00A51EB8">
      <w:pPr>
        <w:spacing w:after="0" w:line="240" w:lineRule="auto"/>
        <w:jc w:val="both"/>
      </w:pPr>
      <w:r>
        <w:t xml:space="preserve">           Během posledních tří let zůstala AIC na obyvatele ve srovnání s průměrem EU ve většině členských států relativně stabilní. V Rumunsku však byl zaznamenán jasný nárůst (71% průměru EU v </w:t>
      </w:r>
      <w:r>
        <w:lastRenderedPageBreak/>
        <w:t>roce 2018 oproti 65% v roce 2016), na Slovensku (73% oproti 68%) a Litvě (89% oproti 85%). Naopak nejvýraznější pokles byl zaznamenán ve Švédsku (108% v roce 2018 oproti 112% v roce 2016) a ve Francii (107% oproti 110%).</w:t>
      </w:r>
    </w:p>
    <w:p w14:paraId="6FE18F9C" w14:textId="77777777" w:rsidR="00A51EB8" w:rsidRDefault="00A51EB8" w:rsidP="00A51EB8">
      <w:pPr>
        <w:spacing w:after="0" w:line="240" w:lineRule="auto"/>
        <w:jc w:val="both"/>
      </w:pPr>
      <w:r>
        <w:t xml:space="preserve">            HDP na obyvatele se v jednotlivých členských státech pohyboval od jednoho do pěti. V roce 2018 se HDP na obyvatele vyjádřený v PPS pohyboval mezi </w:t>
      </w:r>
      <w:proofErr w:type="gramStart"/>
      <w:r>
        <w:t>51%</w:t>
      </w:r>
      <w:proofErr w:type="gramEnd"/>
      <w:r>
        <w:t xml:space="preserve"> průměru EU v Bulharsku a 261% v Lucembursku.</w:t>
      </w:r>
    </w:p>
    <w:p w14:paraId="3B4F365A" w14:textId="77777777" w:rsidR="00A51EB8" w:rsidRDefault="00A51EB8" w:rsidP="00A51EB8">
      <w:pPr>
        <w:spacing w:after="0" w:line="240" w:lineRule="auto"/>
        <w:jc w:val="both"/>
      </w:pPr>
      <w:r>
        <w:t xml:space="preserve">          Údaje uvedené v této tiskové zprávě jsou vytvářeny programem parit kupní síly Eurostat-OECD. Použitá úplná metodika je popsána v Metodické příručce Eurostatu a OECD o paritách kupní síly.</w:t>
      </w:r>
    </w:p>
    <w:p w14:paraId="68E4FD13" w14:textId="77777777" w:rsidR="00A51EB8" w:rsidRDefault="00A51EB8" w:rsidP="00A51EB8">
      <w:pPr>
        <w:spacing w:after="0" w:line="240" w:lineRule="auto"/>
        <w:jc w:val="both"/>
      </w:pPr>
      <w:r>
        <w:t xml:space="preserve">           Skutečná individuální spotřeba zahrnuje zboží a služby skutečně spotřebované jednotlivci bez ohledu na to, zda je toto zboží a služby nakupují a platí za domácnosti, vládu nebo neziskové organizace. V mezinárodním objemovém srovnání spotřeby je AIC často považováno za preferované opatření, protože není ovlivněno skutečností, že organizace určitých důležitých služeb spotřebovaných domácnostmi, jako jsou zdravotnické a vzdělávací služby, se v různých zemích hodně liší.</w:t>
      </w:r>
    </w:p>
    <w:p w14:paraId="33CDAEB3" w14:textId="77777777" w:rsidR="00A51EB8" w:rsidRDefault="00A51EB8" w:rsidP="00A51EB8">
      <w:pPr>
        <w:spacing w:after="0" w:line="240" w:lineRule="auto"/>
        <w:jc w:val="both"/>
      </w:pPr>
      <w:r>
        <w:t xml:space="preserve">          Standard kupní síly (PPS) je umělá měnová jednotka, která eliminuje rozdíly v cenové hladině mezi zeměmi. Jeden PPS tedy nakupuje stejný objem zboží a služeb ve všech zemích. Tato jednotka umožňuje smysluplné objemové srovnání ekonomických ukazatelů napříč zeměmi. Agregáty vyjádřené v PPS jsou odvozeny dělením agregátů v běžných cenách a národní měně příslušnou paritou kupní síly (PPP). Úroveň nejistoty spojená se základními údaji o cenách a národních účtech a metodami používanými pro sestavování PPP naznačují, že rozdíly mezi zeměmi, které mají indexy v blízkém rozmezí, by neměly být příliš interpretovány.</w:t>
      </w:r>
    </w:p>
    <w:p w14:paraId="74B3D8F9" w14:textId="77777777" w:rsidR="00A51EB8" w:rsidRDefault="00A51EB8" w:rsidP="00A51EB8">
      <w:pPr>
        <w:spacing w:after="0" w:line="240" w:lineRule="auto"/>
        <w:jc w:val="both"/>
      </w:pPr>
      <w:r>
        <w:t>Poznámka k zemi:</w:t>
      </w:r>
    </w:p>
    <w:p w14:paraId="3297C164" w14:textId="77777777" w:rsidR="00A51EB8" w:rsidRDefault="00A51EB8" w:rsidP="00A51EB8">
      <w:pPr>
        <w:spacing w:after="0" w:line="240" w:lineRule="auto"/>
        <w:jc w:val="both"/>
      </w:pPr>
      <w:r>
        <w:t>Lucembursko: Vysoký HDP na obyvatele v Lucemburku je částečně způsoben velkým podílem přeshraničních pracovníků na celkové zaměstnanosti v zemi. Tito pracovníci sice přispívají k HDP, ale nejsou bráni v úvahu jako součást obyvatelstva, které se používá k výpočtu HDP na obyvatele.</w:t>
      </w:r>
    </w:p>
    <w:p w14:paraId="02E2F9C4" w14:textId="77777777" w:rsidR="0022376F" w:rsidRDefault="0022376F" w:rsidP="00A51EB8">
      <w:pPr>
        <w:spacing w:after="0" w:line="240" w:lineRule="auto"/>
        <w:jc w:val="both"/>
      </w:pPr>
      <w:r>
        <w:t xml:space="preserve">      </w:t>
      </w:r>
    </w:p>
    <w:p w14:paraId="58947EE9" w14:textId="77777777" w:rsidR="00B074FD" w:rsidRDefault="0022376F" w:rsidP="00A51EB8">
      <w:pPr>
        <w:spacing w:after="0" w:line="240" w:lineRule="auto"/>
        <w:jc w:val="both"/>
        <w:rPr>
          <w:b/>
        </w:rPr>
      </w:pPr>
      <w:r>
        <w:t xml:space="preserve">   </w:t>
      </w:r>
    </w:p>
    <w:p w14:paraId="53D59F04" w14:textId="77777777" w:rsidR="00B074FD" w:rsidRDefault="00B074FD" w:rsidP="00A51EB8">
      <w:pPr>
        <w:spacing w:after="0" w:line="240" w:lineRule="auto"/>
        <w:jc w:val="both"/>
      </w:pPr>
      <w:r w:rsidRPr="00B074FD">
        <w:t xml:space="preserve">Ve většině srovnávaných států je výše AIC a HDP ovlivněna nižším podílem </w:t>
      </w:r>
      <w:proofErr w:type="spellStart"/>
      <w:r w:rsidRPr="00B074FD">
        <w:t>zahrraničcnh</w:t>
      </w:r>
      <w:proofErr w:type="spellEnd"/>
      <w:r w:rsidRPr="00B074FD">
        <w:t xml:space="preserve"> pracovníků</w:t>
      </w:r>
    </w:p>
    <w:p w14:paraId="45423C49" w14:textId="77777777" w:rsidR="002075F7" w:rsidRDefault="00B074FD" w:rsidP="002075F7">
      <w:pPr>
        <w:spacing w:after="0" w:line="240" w:lineRule="auto"/>
        <w:jc w:val="both"/>
        <w:rPr>
          <w:b/>
        </w:rPr>
      </w:pPr>
      <w:r w:rsidRPr="002075F7">
        <w:rPr>
          <w:i/>
        </w:rPr>
        <w:t xml:space="preserve">17. místo Česka </w:t>
      </w:r>
      <w:r w:rsidR="002075F7" w:rsidRPr="002075F7">
        <w:rPr>
          <w:i/>
        </w:rPr>
        <w:t>(</w:t>
      </w:r>
      <w:r w:rsidRPr="002075F7">
        <w:rPr>
          <w:i/>
        </w:rPr>
        <w:t xml:space="preserve">z nových členských </w:t>
      </w:r>
      <w:proofErr w:type="gramStart"/>
      <w:r w:rsidRPr="002075F7">
        <w:rPr>
          <w:i/>
        </w:rPr>
        <w:t>států  druhé</w:t>
      </w:r>
      <w:proofErr w:type="gramEnd"/>
      <w:r w:rsidRPr="002075F7">
        <w:rPr>
          <w:i/>
        </w:rPr>
        <w:t xml:space="preserve"> za Litvou) je až na Litvu ovlivněno </w:t>
      </w:r>
      <w:r w:rsidR="002075F7" w:rsidRPr="002075F7">
        <w:rPr>
          <w:i/>
        </w:rPr>
        <w:t xml:space="preserve">stlačovaným </w:t>
      </w:r>
      <w:r w:rsidRPr="002075F7">
        <w:rPr>
          <w:i/>
        </w:rPr>
        <w:t>podílem zahraničních pracovníků i při nejvyšší podílu neobsazených pracovních míst</w:t>
      </w:r>
      <w:r w:rsidR="002075F7" w:rsidRPr="002075F7">
        <w:rPr>
          <w:i/>
        </w:rPr>
        <w:t>, který dobře placeným na kvótách zřejmě vyhovuje</w:t>
      </w:r>
      <w:r w:rsidR="002075F7">
        <w:rPr>
          <w:i/>
        </w:rPr>
        <w:t>-</w:t>
      </w:r>
    </w:p>
    <w:p w14:paraId="190FA293" w14:textId="77777777" w:rsidR="002075F7" w:rsidRDefault="002075F7" w:rsidP="002075F7">
      <w:pPr>
        <w:spacing w:after="0" w:line="240" w:lineRule="auto"/>
        <w:jc w:val="both"/>
        <w:rPr>
          <w:b/>
        </w:rPr>
      </w:pPr>
    </w:p>
    <w:p w14:paraId="07DCA404" w14:textId="77777777" w:rsidR="002075F7" w:rsidRDefault="002075F7" w:rsidP="002075F7">
      <w:pPr>
        <w:spacing w:after="0" w:line="240" w:lineRule="auto"/>
        <w:jc w:val="both"/>
        <w:rPr>
          <w:b/>
        </w:rPr>
      </w:pPr>
      <w:r w:rsidRPr="0022376F">
        <w:rPr>
          <w:b/>
        </w:rPr>
        <w:t xml:space="preserve">V následující tabulce je podíl </w:t>
      </w:r>
      <w:proofErr w:type="gramStart"/>
      <w:r w:rsidRPr="0022376F">
        <w:rPr>
          <w:b/>
        </w:rPr>
        <w:t>aktuální  spotřeby</w:t>
      </w:r>
      <w:proofErr w:type="gramEnd"/>
      <w:r w:rsidRPr="0022376F">
        <w:rPr>
          <w:b/>
        </w:rPr>
        <w:t xml:space="preserve"> a HDP na obyvatele v PPS v roce 2018</w:t>
      </w:r>
    </w:p>
    <w:p w14:paraId="368CF34A" w14:textId="77777777" w:rsidR="00B074FD" w:rsidRPr="002075F7" w:rsidRDefault="00B074FD" w:rsidP="00A51EB8">
      <w:pPr>
        <w:spacing w:after="0" w:line="240" w:lineRule="auto"/>
        <w:jc w:val="both"/>
        <w:rPr>
          <w:i/>
        </w:rPr>
      </w:pPr>
    </w:p>
    <w:p w14:paraId="585E1C72" w14:textId="77777777" w:rsidR="0022376F" w:rsidRDefault="0022376F" w:rsidP="00A51EB8">
      <w:pPr>
        <w:spacing w:after="0" w:line="240" w:lineRule="auto"/>
        <w:jc w:val="both"/>
      </w:pPr>
      <w:r w:rsidRPr="0022376F">
        <w:rPr>
          <w:noProof/>
        </w:rPr>
        <w:lastRenderedPageBreak/>
        <w:drawing>
          <wp:inline distT="0" distB="0" distL="0" distR="0" wp14:anchorId="44D84554" wp14:editId="37E8913E">
            <wp:extent cx="4168501" cy="5677392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8501" cy="567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634F4" w14:textId="77777777" w:rsidR="0022376F" w:rsidRDefault="0022376F" w:rsidP="00A51EB8">
      <w:pPr>
        <w:spacing w:after="0" w:line="240" w:lineRule="auto"/>
        <w:jc w:val="both"/>
      </w:pPr>
    </w:p>
    <w:p w14:paraId="2ADA51EE" w14:textId="77777777" w:rsidR="00A51EB8" w:rsidRDefault="00A51EB8" w:rsidP="00A51EB8">
      <w:pPr>
        <w:spacing w:after="0" w:line="240" w:lineRule="auto"/>
        <w:jc w:val="both"/>
      </w:pPr>
      <w:r>
        <w:t> </w:t>
      </w:r>
    </w:p>
    <w:sectPr w:rsidR="00A5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BE4"/>
    <w:rsid w:val="00031805"/>
    <w:rsid w:val="002075F7"/>
    <w:rsid w:val="0022376F"/>
    <w:rsid w:val="00A51EB8"/>
    <w:rsid w:val="00AE2CAC"/>
    <w:rsid w:val="00B074FD"/>
    <w:rsid w:val="00D3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FD24"/>
  <w15:docId w15:val="{04DD0BA3-25A1-4021-BD43-D290097F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B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4B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6415B1E613B642B2E3D27FBB077779" ma:contentTypeVersion="8" ma:contentTypeDescription="Vytvoří nový dokument" ma:contentTypeScope="" ma:versionID="95c619b7ce1623d6d44b4054f7f2a997">
  <xsd:schema xmlns:xsd="http://www.w3.org/2001/XMLSchema" xmlns:xs="http://www.w3.org/2001/XMLSchema" xmlns:p="http://schemas.microsoft.com/office/2006/metadata/properties" xmlns:ns3="31fee594-7c0e-41d9-a6db-766b629266df" targetNamespace="http://schemas.microsoft.com/office/2006/metadata/properties" ma:root="true" ma:fieldsID="9f685510a08396cbf29e0ecc1676eb7c" ns3:_="">
    <xsd:import namespace="31fee594-7c0e-41d9-a6db-766b629266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ee594-7c0e-41d9-a6db-766b62926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85322-5DF7-4F54-8AC9-7EBD73134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ee594-7c0e-41d9-a6db-766b62926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9EB95-E08F-41E0-A661-A4F181004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DBD45B-A614-4118-BBC1-85D59D5A83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3590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Peltrám</dc:creator>
  <cp:lastModifiedBy>Jan Zikeš</cp:lastModifiedBy>
  <cp:revision>2</cp:revision>
  <dcterms:created xsi:type="dcterms:W3CDTF">2019-12-13T10:55:00Z</dcterms:created>
  <dcterms:modified xsi:type="dcterms:W3CDTF">2019-12-13T10:55:00Z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0x010100206415B1E613B642B2E3D27FBB077779</vt:lpwstr>
  </property>
</Properties>
</file>