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60D" w:rsidRPr="00820D27" w:rsidRDefault="00A3160D" w:rsidP="00A3160D">
      <w:pPr>
        <w:jc w:val="right"/>
        <w:rPr>
          <w:rFonts w:ascii="Times New Roman" w:hAnsi="Times New Roman"/>
          <w:sz w:val="24"/>
          <w:szCs w:val="24"/>
        </w:rPr>
      </w:pPr>
      <w:r w:rsidRPr="00820D27">
        <w:rPr>
          <w:rFonts w:ascii="Times New Roman" w:hAnsi="Times New Roman"/>
          <w:sz w:val="24"/>
          <w:szCs w:val="24"/>
        </w:rPr>
        <w:t xml:space="preserve">Příloha č. 8 k zákonu č. </w:t>
      </w:r>
      <w:r w:rsidR="00D7702F">
        <w:rPr>
          <w:rFonts w:ascii="Times New Roman" w:hAnsi="Times New Roman"/>
          <w:sz w:val="24"/>
          <w:szCs w:val="24"/>
        </w:rPr>
        <w:t>…..</w:t>
      </w:r>
      <w:r w:rsidRPr="00820D27">
        <w:rPr>
          <w:rFonts w:ascii="Times New Roman" w:hAnsi="Times New Roman"/>
          <w:sz w:val="24"/>
          <w:szCs w:val="24"/>
        </w:rPr>
        <w:t xml:space="preserve"> </w:t>
      </w:r>
      <w:r w:rsidR="0014508E">
        <w:rPr>
          <w:rFonts w:ascii="Times New Roman" w:hAnsi="Times New Roman"/>
          <w:sz w:val="24"/>
          <w:szCs w:val="24"/>
        </w:rPr>
        <w:t>/202</w:t>
      </w:r>
      <w:r w:rsidR="00866F1F">
        <w:rPr>
          <w:rFonts w:ascii="Times New Roman" w:hAnsi="Times New Roman"/>
          <w:sz w:val="24"/>
          <w:szCs w:val="24"/>
        </w:rPr>
        <w:t>2</w:t>
      </w:r>
      <w:r w:rsidRPr="00820D27">
        <w:rPr>
          <w:rFonts w:ascii="Times New Roman" w:hAnsi="Times New Roman"/>
          <w:sz w:val="24"/>
          <w:szCs w:val="24"/>
        </w:rPr>
        <w:t xml:space="preserve"> Sb.</w:t>
      </w:r>
    </w:p>
    <w:p w:rsidR="00A3160D" w:rsidRPr="000F5B3A" w:rsidRDefault="00A3160D" w:rsidP="00A3160D">
      <w:pPr>
        <w:rPr>
          <w:rFonts w:ascii="Times New Roman" w:hAnsi="Times New Roman"/>
          <w:b/>
          <w:sz w:val="24"/>
          <w:szCs w:val="24"/>
        </w:rPr>
      </w:pPr>
      <w:r>
        <w:rPr>
          <w:rFonts w:ascii="Times New Roman" w:hAnsi="Times New Roman"/>
          <w:b/>
          <w:sz w:val="24"/>
          <w:szCs w:val="24"/>
        </w:rPr>
        <w:t xml:space="preserve">                      </w:t>
      </w:r>
      <w:r w:rsidRPr="000F5B3A">
        <w:rPr>
          <w:rFonts w:ascii="Times New Roman" w:hAnsi="Times New Roman"/>
          <w:b/>
          <w:sz w:val="24"/>
          <w:szCs w:val="24"/>
        </w:rPr>
        <w:t>Postup pro stanovení výše příspěvku na výkon státní správy</w:t>
      </w:r>
    </w:p>
    <w:p w:rsidR="00A3160D" w:rsidRDefault="00071517" w:rsidP="00A3160D">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jednotlivým obcím</w:t>
      </w:r>
      <w:r w:rsidR="00586892">
        <w:rPr>
          <w:rFonts w:ascii="Times New Roman" w:hAnsi="Times New Roman"/>
          <w:b/>
          <w:bCs/>
          <w:sz w:val="24"/>
          <w:szCs w:val="24"/>
        </w:rPr>
        <w:t xml:space="preserve"> s výjimkou hlavního města Prahy</w:t>
      </w:r>
    </w:p>
    <w:p w:rsidR="00586892" w:rsidRPr="000F5B3A" w:rsidRDefault="00586892" w:rsidP="00A3160D">
      <w:pPr>
        <w:widowControl w:val="0"/>
        <w:autoSpaceDE w:val="0"/>
        <w:autoSpaceDN w:val="0"/>
        <w:adjustRightInd w:val="0"/>
        <w:spacing w:after="0" w:line="240" w:lineRule="auto"/>
        <w:jc w:val="center"/>
        <w:rPr>
          <w:rFonts w:ascii="Times New Roman" w:hAnsi="Times New Roman"/>
          <w:b/>
          <w:bCs/>
          <w:sz w:val="24"/>
          <w:szCs w:val="24"/>
        </w:rPr>
      </w:pPr>
    </w:p>
    <w:p w:rsidR="00A3160D" w:rsidRPr="000F5B3A" w:rsidRDefault="00A3160D" w:rsidP="00A3160D">
      <w:pPr>
        <w:widowControl w:val="0"/>
        <w:autoSpaceDE w:val="0"/>
        <w:autoSpaceDN w:val="0"/>
        <w:adjustRightInd w:val="0"/>
        <w:spacing w:after="0" w:line="240" w:lineRule="auto"/>
        <w:rPr>
          <w:rFonts w:ascii="Times New Roman" w:hAnsi="Times New Roman"/>
          <w:b/>
          <w:bCs/>
          <w:sz w:val="24"/>
          <w:szCs w:val="24"/>
        </w:rPr>
      </w:pPr>
    </w:p>
    <w:p w:rsidR="00A3160D" w:rsidRPr="000F5B3A" w:rsidRDefault="00A3160D" w:rsidP="00A3160D">
      <w:pPr>
        <w:widowControl w:val="0"/>
        <w:numPr>
          <w:ilvl w:val="0"/>
          <w:numId w:val="1"/>
        </w:numPr>
        <w:autoSpaceDE w:val="0"/>
        <w:autoSpaceDN w:val="0"/>
        <w:adjustRightInd w:val="0"/>
        <w:spacing w:after="0" w:line="240" w:lineRule="auto"/>
        <w:ind w:left="284" w:hanging="284"/>
        <w:jc w:val="both"/>
        <w:rPr>
          <w:rFonts w:ascii="Times New Roman" w:hAnsi="Times New Roman"/>
          <w:b/>
          <w:bCs/>
          <w:sz w:val="24"/>
          <w:szCs w:val="24"/>
        </w:rPr>
      </w:pPr>
      <w:r w:rsidRPr="000F5B3A">
        <w:rPr>
          <w:rFonts w:ascii="Times New Roman" w:hAnsi="Times New Roman"/>
          <w:b/>
          <w:bCs/>
          <w:sz w:val="24"/>
          <w:szCs w:val="24"/>
        </w:rPr>
        <w:t>Postup pro stanovení výše příspěvku na výkon státní správy</w:t>
      </w:r>
      <w:r w:rsidRPr="000F5B3A">
        <w:rPr>
          <w:rFonts w:ascii="Times New Roman" w:hAnsi="Times New Roman"/>
          <w:bCs/>
          <w:sz w:val="20"/>
          <w:szCs w:val="20"/>
          <w:vertAlign w:val="superscript"/>
        </w:rPr>
        <w:t>1)</w:t>
      </w:r>
      <w:r w:rsidRPr="000F5B3A">
        <w:rPr>
          <w:rFonts w:ascii="Times New Roman" w:hAnsi="Times New Roman"/>
          <w:b/>
          <w:bCs/>
          <w:sz w:val="24"/>
          <w:szCs w:val="24"/>
        </w:rPr>
        <w:t xml:space="preserve"> </w:t>
      </w:r>
    </w:p>
    <w:p w:rsidR="00A3160D" w:rsidRPr="000F5B3A" w:rsidRDefault="00A3160D" w:rsidP="00A3160D">
      <w:pPr>
        <w:widowControl w:val="0"/>
        <w:autoSpaceDE w:val="0"/>
        <w:autoSpaceDN w:val="0"/>
        <w:adjustRightInd w:val="0"/>
        <w:spacing w:after="0" w:line="240" w:lineRule="auto"/>
        <w:ind w:left="1080"/>
        <w:jc w:val="both"/>
        <w:rPr>
          <w:rFonts w:ascii="Times New Roman" w:hAnsi="Times New Roman"/>
          <w:b/>
          <w:bCs/>
          <w:sz w:val="24"/>
          <w:szCs w:val="24"/>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A) Obce (s výjimkou obcí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16"/>
          <w:szCs w:val="16"/>
        </w:rPr>
      </w:pPr>
      <w:r w:rsidRPr="000F5B3A">
        <w:rPr>
          <w:rFonts w:ascii="Arial" w:hAnsi="Arial" w:cs="Arial"/>
          <w:b/>
          <w:bCs/>
          <w:sz w:val="16"/>
          <w:szCs w:val="16"/>
        </w:rPr>
        <w:t xml:space="preserve"> </w:t>
      </w:r>
    </w:p>
    <w:p w:rsidR="00A3160D" w:rsidRPr="00D26773" w:rsidRDefault="0051124B"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Výše příspěvku </w:t>
      </w:r>
      <w:r w:rsidRPr="00A77D25">
        <w:rPr>
          <w:rFonts w:ascii="Times New Roman" w:hAnsi="Times New Roman"/>
          <w:sz w:val="20"/>
          <w:szCs w:val="20"/>
        </w:rPr>
        <w:t>"</w:t>
      </w:r>
      <w:r w:rsidR="00A3160D" w:rsidRPr="00A77D25">
        <w:rPr>
          <w:rFonts w:ascii="Times New Roman" w:hAnsi="Times New Roman"/>
          <w:sz w:val="20"/>
          <w:szCs w:val="20"/>
        </w:rPr>
        <w:t>P</w:t>
      </w:r>
      <w:r w:rsidRPr="00A77D25">
        <w:rPr>
          <w:rFonts w:ascii="Times New Roman" w:hAnsi="Times New Roman"/>
          <w:sz w:val="20"/>
          <w:szCs w:val="20"/>
        </w:rPr>
        <w:t>"</w:t>
      </w:r>
      <w:r w:rsidR="00A3160D" w:rsidRPr="00A77D25">
        <w:rPr>
          <w:rFonts w:ascii="Times New Roman" w:hAnsi="Times New Roman"/>
          <w:sz w:val="20"/>
          <w:szCs w:val="20"/>
        </w:rPr>
        <w:t xml:space="preserve"> se stanoví jako součet částek vypočítaných podle rozsahu působnosti na základě níže uvedeného vzorce</w:t>
      </w:r>
      <w:r w:rsidR="00A3160D">
        <w:rPr>
          <w:rFonts w:ascii="Times New Roman" w:hAnsi="Times New Roman"/>
          <w:sz w:val="20"/>
          <w:szCs w:val="20"/>
        </w:rPr>
        <w:t>.</w:t>
      </w:r>
      <w:r w:rsidR="00A3160D" w:rsidRPr="00A77D25">
        <w:rPr>
          <w:rFonts w:ascii="Times New Roman" w:hAnsi="Times New Roman"/>
          <w:sz w:val="20"/>
          <w:szCs w:val="20"/>
        </w:rPr>
        <w:t xml:space="preserve"> </w:t>
      </w:r>
      <w:r w:rsidR="00A3160D">
        <w:rPr>
          <w:rFonts w:ascii="Times New Roman" w:hAnsi="Times New Roman"/>
          <w:sz w:val="20"/>
          <w:szCs w:val="20"/>
          <w:vertAlign w:val="superscript"/>
        </w:rPr>
        <w:t>2)</w:t>
      </w:r>
      <w:r w:rsidR="00A3160D" w:rsidRPr="00A77D25">
        <w:rPr>
          <w:rFonts w:ascii="Times New Roman" w:hAnsi="Times New Roman"/>
          <w:sz w:val="20"/>
          <w:szCs w:val="20"/>
          <w:vertAlign w:val="superscript"/>
        </w:rPr>
        <w:t>3)</w:t>
      </w:r>
      <w:r w:rsidR="00A3160D">
        <w:rPr>
          <w:rFonts w:ascii="Times New Roman" w:hAnsi="Times New Roman"/>
          <w:sz w:val="20"/>
          <w:szCs w:val="20"/>
        </w:rPr>
        <w:t xml:space="preserve"> </w:t>
      </w:r>
      <w:r w:rsidR="00A3160D" w:rsidRPr="00A77D25">
        <w:rPr>
          <w:rFonts w:ascii="Times New Roman" w:hAnsi="Times New Roman"/>
          <w:sz w:val="20"/>
          <w:szCs w:val="20"/>
        </w:rPr>
        <w:t>U některých obcí se navíc přičte částka uveden</w:t>
      </w:r>
      <w:r w:rsidR="00A3160D">
        <w:rPr>
          <w:rFonts w:ascii="Times New Roman" w:hAnsi="Times New Roman"/>
          <w:sz w:val="20"/>
          <w:szCs w:val="20"/>
        </w:rPr>
        <w:t>á</w:t>
      </w:r>
      <w:r w:rsidR="00A3160D" w:rsidRPr="00A77D25">
        <w:rPr>
          <w:rFonts w:ascii="Times New Roman" w:hAnsi="Times New Roman"/>
          <w:sz w:val="20"/>
          <w:szCs w:val="20"/>
        </w:rPr>
        <w:t xml:space="preserve"> v části </w:t>
      </w:r>
      <w:r w:rsidR="00A3160D">
        <w:rPr>
          <w:rFonts w:ascii="Times New Roman" w:hAnsi="Times New Roman"/>
          <w:sz w:val="20"/>
          <w:szCs w:val="20"/>
        </w:rPr>
        <w:t>1.</w:t>
      </w:r>
      <w:r w:rsidR="00A3160D" w:rsidRPr="00A77D25">
        <w:rPr>
          <w:rFonts w:ascii="Times New Roman" w:hAnsi="Times New Roman"/>
          <w:sz w:val="20"/>
          <w:szCs w:val="20"/>
        </w:rPr>
        <w:t>D</w:t>
      </w:r>
      <w:r w:rsidR="00A3160D">
        <w:rPr>
          <w:rFonts w:ascii="Times New Roman" w:hAnsi="Times New Roman"/>
          <w:sz w:val="20"/>
          <w:szCs w:val="20"/>
        </w:rPr>
        <w:t xml:space="preserve">) </w:t>
      </w:r>
      <w:r w:rsidR="00A3160D" w:rsidRPr="00D26773">
        <w:rPr>
          <w:rFonts w:ascii="Times New Roman" w:hAnsi="Times New Roman"/>
          <w:sz w:val="20"/>
          <w:szCs w:val="20"/>
        </w:rPr>
        <w:t>a</w:t>
      </w:r>
      <w:r w:rsidR="00962A30" w:rsidRPr="00D26773">
        <w:rPr>
          <w:rFonts w:ascii="Times New Roman" w:hAnsi="Times New Roman"/>
          <w:sz w:val="20"/>
          <w:szCs w:val="20"/>
        </w:rPr>
        <w:t xml:space="preserve"> </w:t>
      </w:r>
      <w:r w:rsidR="00A3160D" w:rsidRPr="00D26773">
        <w:rPr>
          <w:rFonts w:ascii="Times New Roman" w:hAnsi="Times New Roman"/>
          <w:sz w:val="20"/>
          <w:szCs w:val="20"/>
        </w:rPr>
        <w:t>1.H).</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72" w:type="dxa"/>
        <w:tblLayout w:type="fixed"/>
        <w:tblCellMar>
          <w:left w:w="0" w:type="dxa"/>
          <w:right w:w="0" w:type="dxa"/>
        </w:tblCellMar>
        <w:tblLook w:val="0000" w:firstRow="0" w:lastRow="0" w:firstColumn="0" w:lastColumn="0" w:noHBand="0" w:noVBand="0"/>
      </w:tblPr>
      <w:tblGrid>
        <w:gridCol w:w="9072"/>
      </w:tblGrid>
      <w:tr w:rsidR="00A3160D" w:rsidRPr="000F5B3A" w:rsidTr="008E31EF">
        <w:trPr>
          <w:trHeight w:val="211"/>
        </w:trPr>
        <w:tc>
          <w:tcPr>
            <w:tcW w:w="9072" w:type="dxa"/>
            <w:tcBorders>
              <w:top w:val="nil"/>
              <w:left w:val="nil"/>
              <w:bottom w:val="nil"/>
              <w:right w:val="nil"/>
            </w:tcBorders>
            <w:vAlign w:val="bottom"/>
          </w:tcPr>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r w:rsidRPr="000F5B3A">
              <w:rPr>
                <w:rFonts w:ascii="Times New Roman" w:hAnsi="Times New Roman"/>
                <w:i/>
                <w:sz w:val="20"/>
                <w:szCs w:val="20"/>
              </w:rPr>
              <w:t>Vzorec:</w:t>
            </w:r>
          </w:p>
          <w:p w:rsidR="00A3160D" w:rsidRPr="00A77D25" w:rsidRDefault="00A3160D" w:rsidP="006070E3">
            <w:pPr>
              <w:widowControl w:val="0"/>
              <w:autoSpaceDE w:val="0"/>
              <w:autoSpaceDN w:val="0"/>
              <w:adjustRightInd w:val="0"/>
              <w:spacing w:after="0" w:line="240" w:lineRule="auto"/>
              <w:rPr>
                <w:rFonts w:ascii="Times New Roman" w:hAnsi="Times New Roman"/>
                <w:sz w:val="20"/>
                <w:szCs w:val="20"/>
              </w:rPr>
            </w:pP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B</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P = -----------------</w:t>
            </w:r>
            <w:r>
              <w:rPr>
                <w:rFonts w:ascii="Times New Roman" w:hAnsi="Times New Roman"/>
                <w:sz w:val="20"/>
                <w:szCs w:val="20"/>
              </w:rPr>
              <w:t>-------</w:t>
            </w: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x SO</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A + odmocnina (SO)</w:t>
            </w:r>
          </w:p>
          <w:p w:rsidR="00A3160D" w:rsidRPr="000F5B3A" w:rsidRDefault="00A3160D" w:rsidP="008E31EF">
            <w:pPr>
              <w:widowControl w:val="0"/>
              <w:autoSpaceDE w:val="0"/>
              <w:autoSpaceDN w:val="0"/>
              <w:adjustRightInd w:val="0"/>
              <w:spacing w:after="0" w:line="240" w:lineRule="auto"/>
              <w:ind w:left="4253" w:hanging="992"/>
              <w:rPr>
                <w:rFonts w:ascii="Times New Roman" w:hAnsi="Times New Roman"/>
                <w:i/>
                <w:sz w:val="20"/>
                <w:szCs w:val="20"/>
              </w:rPr>
            </w:pPr>
          </w:p>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p>
        </w:tc>
      </w:tr>
    </w:tbl>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Výše příspěvku</w:t>
      </w:r>
      <w:r w:rsidRPr="000F5B3A">
        <w:rPr>
          <w:rFonts w:ascii="Times New Roman" w:hAnsi="Times New Roman"/>
          <w:sz w:val="20"/>
          <w:szCs w:val="20"/>
          <w:vertAlign w:val="superscript"/>
        </w:rPr>
        <w:t>4)</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A77D25">
        <w:rPr>
          <w:rFonts w:ascii="Times New Roman" w:hAnsi="Times New Roman"/>
          <w:sz w:val="20"/>
          <w:szCs w:val="20"/>
        </w:rPr>
        <w:t>Hodnoty koeficientů "A" a "B" jsou stanoveny v závislosti na rozsahu přenesené působnosti k výkonu státní správy a na celkovém objemu finančních prostředků pro daný rozsah působnosti (např. u obce, která je stavebním úřadem, se sčítají dvě částky vypočítané na základě dosazení koeficientů "A" a "B" uvedených v</w:t>
      </w:r>
      <w:r>
        <w:rPr>
          <w:rFonts w:ascii="Times New Roman" w:hAnsi="Times New Roman"/>
          <w:sz w:val="20"/>
          <w:szCs w:val="20"/>
        </w:rPr>
        <w:t> </w:t>
      </w:r>
      <w:r w:rsidRPr="00A77D25">
        <w:rPr>
          <w:rFonts w:ascii="Times New Roman" w:hAnsi="Times New Roman"/>
          <w:sz w:val="20"/>
          <w:szCs w:val="20"/>
        </w:rPr>
        <w:t xml:space="preserve">tabulce v řádcích 1 a </w:t>
      </w:r>
      <w:r>
        <w:rPr>
          <w:rFonts w:ascii="Times New Roman" w:hAnsi="Times New Roman"/>
          <w:sz w:val="20"/>
          <w:szCs w:val="20"/>
        </w:rPr>
        <w:t>3</w:t>
      </w:r>
      <w:r w:rsidRPr="00A77D25">
        <w:rPr>
          <w:rFonts w:ascii="Times New Roman" w:hAnsi="Times New Roman"/>
          <w:sz w:val="20"/>
          <w:szCs w:val="20"/>
        </w:rPr>
        <w:t xml:space="preserve"> do výše uvedeného vzorce).</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237"/>
        <w:gridCol w:w="2375"/>
      </w:tblGrid>
      <w:tr w:rsidR="00A3160D"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Rozsah působnosti</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A</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B</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Základní působnost</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28,52275996</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6830468,5</w:t>
            </w:r>
          </w:p>
        </w:tc>
      </w:tr>
      <w:tr w:rsidR="00D14EF7" w:rsidRPr="00635CB8" w:rsidTr="00D14EF7">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D14EF7" w:rsidRPr="00635CB8" w:rsidRDefault="00D14EF7" w:rsidP="00D14EF7">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matričního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D14EF7" w:rsidRPr="00A77D25" w:rsidRDefault="00262EE3" w:rsidP="004878F8">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286,</w:t>
            </w:r>
            <w:r w:rsidR="004878F8">
              <w:rPr>
                <w:rFonts w:ascii="Times New Roman" w:hAnsi="Times New Roman"/>
                <w:sz w:val="20"/>
                <w:szCs w:val="20"/>
              </w:rPr>
              <w:t>6565427</w:t>
            </w:r>
          </w:p>
        </w:tc>
        <w:tc>
          <w:tcPr>
            <w:tcW w:w="2375" w:type="dxa"/>
            <w:tcBorders>
              <w:top w:val="single" w:sz="4" w:space="0" w:color="auto"/>
              <w:left w:val="single" w:sz="4" w:space="0" w:color="auto"/>
              <w:bottom w:val="single" w:sz="4" w:space="0" w:color="auto"/>
              <w:right w:val="single" w:sz="4" w:space="0" w:color="auto"/>
            </w:tcBorders>
            <w:vAlign w:val="center"/>
          </w:tcPr>
          <w:p w:rsidR="00D14EF7" w:rsidRPr="00A77D25" w:rsidRDefault="00262EE3" w:rsidP="00D14EF7">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15414248</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stavebního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62,06296171</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13651950</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pověřeného obecního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244,3829035</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27427050</w:t>
            </w:r>
          </w:p>
        </w:tc>
      </w:tr>
    </w:tbl>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1)</w:t>
      </w:r>
      <w:r w:rsidRPr="00635CB8">
        <w:rPr>
          <w:rFonts w:ascii="Times New Roman" w:hAnsi="Times New Roman"/>
          <w:i/>
          <w:sz w:val="20"/>
          <w:szCs w:val="20"/>
        </w:rPr>
        <w:t xml:space="preserve"> </w:t>
      </w:r>
      <w:hyperlink r:id="rId8" w:history="1">
        <w:r w:rsidRPr="00635CB8">
          <w:rPr>
            <w:rFonts w:ascii="Times New Roman" w:hAnsi="Times New Roman"/>
            <w:i/>
            <w:sz w:val="20"/>
            <w:szCs w:val="20"/>
            <w:u w:val="single"/>
          </w:rPr>
          <w:t>§ 62 zákona č. 128/2000 Sb.</w:t>
        </w:r>
      </w:hyperlink>
      <w:r w:rsidRPr="00635CB8">
        <w:rPr>
          <w:rFonts w:ascii="Times New Roman" w:hAnsi="Times New Roman"/>
          <w:i/>
          <w:sz w:val="20"/>
          <w:szCs w:val="20"/>
        </w:rPr>
        <w:t>, o obcích (obecní zřízení</w:t>
      </w:r>
      <w:r w:rsidR="00D26773">
        <w:rPr>
          <w:rFonts w:ascii="Times New Roman" w:hAnsi="Times New Roman"/>
          <w:i/>
          <w:sz w:val="20"/>
          <w:szCs w:val="20"/>
        </w:rPr>
        <w:t>).</w:t>
      </w:r>
      <w:r w:rsidRPr="00635CB8">
        <w:rPr>
          <w:rFonts w:ascii="Times New Roman" w:hAnsi="Times New Roman"/>
          <w:i/>
          <w:sz w:val="20"/>
          <w:szCs w:val="20"/>
        </w:rPr>
        <w:t xml:space="preserve"> </w:t>
      </w:r>
    </w:p>
    <w:p w:rsidR="00A3160D" w:rsidRPr="00A77D25"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2)</w:t>
      </w:r>
      <w:r w:rsidRPr="00635CB8">
        <w:rPr>
          <w:rFonts w:ascii="Times New Roman" w:hAnsi="Times New Roman"/>
          <w:i/>
          <w:sz w:val="20"/>
          <w:szCs w:val="20"/>
        </w:rPr>
        <w:t xml:space="preserve"> </w:t>
      </w:r>
      <w:r w:rsidRPr="00A77D25">
        <w:rPr>
          <w:rFonts w:ascii="Times New Roman" w:hAnsi="Times New Roman"/>
          <w:i/>
          <w:sz w:val="20"/>
          <w:szCs w:val="20"/>
        </w:rPr>
        <w:t xml:space="preserve">Do vzorce se dosazuje počet obyvatel správního obvodu vyjádřený v tisících. U základní působnosti, kde správní obvod je menší než 300 obyvatel, je pro účely výpočtu příspěvku podle vzorce stanoven správní obvod na 300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3)</w:t>
      </w:r>
      <w:r w:rsidRPr="000F5B3A">
        <w:rPr>
          <w:rFonts w:ascii="Times New Roman" w:hAnsi="Times New Roman"/>
          <w:i/>
          <w:sz w:val="20"/>
          <w:szCs w:val="20"/>
        </w:rPr>
        <w:t xml:space="preserve"> Příspěvky se podle rozsahu působnosti obce sčítají. </w:t>
      </w:r>
    </w:p>
    <w:p w:rsidR="00F45AF9"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4)</w:t>
      </w:r>
      <w:r w:rsidRPr="000F5B3A">
        <w:rPr>
          <w:rFonts w:ascii="Times New Roman" w:hAnsi="Times New Roman"/>
          <w:i/>
          <w:sz w:val="20"/>
          <w:szCs w:val="20"/>
        </w:rPr>
        <w:t xml:space="preserve"> </w:t>
      </w:r>
      <w:r w:rsidR="00F45AF9" w:rsidRPr="00F45AF9">
        <w:rPr>
          <w:rFonts w:ascii="Times New Roman" w:hAnsi="Times New Roman"/>
          <w:i/>
          <w:sz w:val="20"/>
          <w:szCs w:val="20"/>
        </w:rPr>
        <w:t>Pro rok 202</w:t>
      </w:r>
      <w:r w:rsidR="00F45AF9">
        <w:rPr>
          <w:rFonts w:ascii="Times New Roman" w:hAnsi="Times New Roman"/>
          <w:i/>
          <w:sz w:val="20"/>
          <w:szCs w:val="20"/>
        </w:rPr>
        <w:t>2</w:t>
      </w:r>
      <w:r w:rsidR="00F45AF9" w:rsidRPr="00F45AF9">
        <w:rPr>
          <w:rFonts w:ascii="Times New Roman" w:hAnsi="Times New Roman"/>
          <w:i/>
          <w:sz w:val="20"/>
          <w:szCs w:val="20"/>
        </w:rPr>
        <w:t xml:space="preserve"> byl celkový objem příspěvku </w:t>
      </w:r>
      <w:r w:rsidR="00F45AF9" w:rsidRPr="000C0C71">
        <w:rPr>
          <w:rFonts w:ascii="Times New Roman" w:hAnsi="Times New Roman"/>
          <w:i/>
          <w:sz w:val="20"/>
          <w:szCs w:val="20"/>
        </w:rPr>
        <w:t>upraven dle meziroční změny počtu obyvatel a změny počtu veřejných opatrovanců.</w:t>
      </w: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5)</w:t>
      </w:r>
      <w:r w:rsidR="00F45AF9">
        <w:rPr>
          <w:rFonts w:ascii="Times New Roman" w:hAnsi="Times New Roman"/>
          <w:i/>
          <w:sz w:val="20"/>
          <w:szCs w:val="20"/>
        </w:rPr>
        <w:t> </w:t>
      </w:r>
      <w:r w:rsidRPr="00A77D25">
        <w:rPr>
          <w:rFonts w:ascii="Times New Roman" w:hAnsi="Times New Roman"/>
          <w:i/>
          <w:sz w:val="20"/>
          <w:szCs w:val="20"/>
        </w:rPr>
        <w:t>Velikost správních obvodů je propočtena na počty obyvatel obcí podle bilance obyvatel České republiky k</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20</w:t>
      </w:r>
      <w:r w:rsidR="002C7594">
        <w:rPr>
          <w:rFonts w:ascii="Times New Roman" w:hAnsi="Times New Roman"/>
          <w:i/>
          <w:sz w:val="20"/>
          <w:szCs w:val="20"/>
        </w:rPr>
        <w:t>2</w:t>
      </w:r>
      <w:r w:rsidR="0014508E">
        <w:rPr>
          <w:rFonts w:ascii="Times New Roman" w:hAnsi="Times New Roman"/>
          <w:i/>
          <w:sz w:val="20"/>
          <w:szCs w:val="20"/>
        </w:rPr>
        <w:t>1</w:t>
      </w:r>
      <w:r w:rsidRPr="00A77D25">
        <w:rPr>
          <w:rFonts w:ascii="Times New Roman" w:hAnsi="Times New Roman"/>
          <w:i/>
          <w:sz w:val="20"/>
          <w:szCs w:val="20"/>
        </w:rPr>
        <w:t xml:space="preserve"> vydané Českým statistickým úřadem, podle vyhlášky</w:t>
      </w:r>
      <w:r w:rsidR="00EC51B3" w:rsidRPr="00EC51B3">
        <w:t xml:space="preserve"> </w:t>
      </w:r>
      <w:r w:rsidR="00EC51B3" w:rsidRPr="007247AD">
        <w:rPr>
          <w:rFonts w:ascii="Times New Roman" w:hAnsi="Times New Roman"/>
          <w:i/>
          <w:sz w:val="20"/>
          <w:szCs w:val="20"/>
          <w:u w:val="single"/>
        </w:rPr>
        <w:t>č. 345/2020 Sb.</w:t>
      </w:r>
      <w:r w:rsidR="00EC51B3" w:rsidRPr="00EC51B3">
        <w:rPr>
          <w:rFonts w:ascii="Times New Roman" w:hAnsi="Times New Roman"/>
          <w:i/>
          <w:sz w:val="20"/>
          <w:szCs w:val="20"/>
        </w:rPr>
        <w:t>, o stanovení správních obvodů obcí s pověřeným obecním úřadem</w:t>
      </w:r>
      <w:r w:rsidR="00EC51B3">
        <w:rPr>
          <w:rFonts w:ascii="Times New Roman" w:hAnsi="Times New Roman"/>
          <w:i/>
          <w:sz w:val="20"/>
          <w:szCs w:val="20"/>
        </w:rPr>
        <w:t xml:space="preserve">, a </w:t>
      </w:r>
      <w:r w:rsidR="00EC51B3" w:rsidRPr="00EC51B3">
        <w:rPr>
          <w:rFonts w:ascii="Times New Roman" w:hAnsi="Times New Roman"/>
          <w:i/>
          <w:sz w:val="20"/>
          <w:szCs w:val="20"/>
        </w:rPr>
        <w:t>vyhlášk</w:t>
      </w:r>
      <w:r w:rsidR="00EC51B3">
        <w:rPr>
          <w:rFonts w:ascii="Times New Roman" w:hAnsi="Times New Roman"/>
          <w:i/>
          <w:sz w:val="20"/>
          <w:szCs w:val="20"/>
        </w:rPr>
        <w:t>y</w:t>
      </w:r>
      <w:r w:rsidR="00EC51B3" w:rsidRPr="00EC51B3">
        <w:rPr>
          <w:rFonts w:ascii="Times New Roman" w:hAnsi="Times New Roman"/>
          <w:i/>
          <w:sz w:val="20"/>
          <w:szCs w:val="20"/>
        </w:rPr>
        <w:t xml:space="preserve"> </w:t>
      </w:r>
      <w:r w:rsidR="00EC51B3" w:rsidRPr="007247AD">
        <w:rPr>
          <w:rFonts w:ascii="Times New Roman" w:hAnsi="Times New Roman"/>
          <w:i/>
          <w:sz w:val="20"/>
          <w:szCs w:val="20"/>
          <w:u w:val="single"/>
        </w:rPr>
        <w:t>č. 346/2020 Sb.</w:t>
      </w:r>
      <w:r w:rsidR="00EC51B3" w:rsidRPr="00EC51B3">
        <w:rPr>
          <w:rFonts w:ascii="Times New Roman" w:hAnsi="Times New Roman"/>
          <w:i/>
          <w:sz w:val="20"/>
          <w:szCs w:val="20"/>
        </w:rPr>
        <w:t>, o stanovení správních obvodů obcí s rozšířenou působností, území obvodů hlavního města Prahy a příslušnosti některých obcí do jiného okresu</w:t>
      </w:r>
      <w:r w:rsidR="00D26773">
        <w:rPr>
          <w:rFonts w:ascii="Times New Roman" w:hAnsi="Times New Roman"/>
          <w:i/>
          <w:sz w:val="20"/>
          <w:szCs w:val="20"/>
        </w:rPr>
        <w:t>,</w:t>
      </w:r>
      <w:r w:rsidRPr="00A77D25">
        <w:rPr>
          <w:rFonts w:ascii="Times New Roman" w:hAnsi="Times New Roman"/>
          <w:i/>
          <w:sz w:val="20"/>
          <w:szCs w:val="20"/>
        </w:rPr>
        <w:t xml:space="preserve"> </w:t>
      </w:r>
      <w:r>
        <w:rPr>
          <w:rFonts w:ascii="Times New Roman" w:hAnsi="Times New Roman"/>
          <w:i/>
          <w:sz w:val="20"/>
          <w:szCs w:val="20"/>
        </w:rPr>
        <w:t> </w:t>
      </w:r>
      <w:r w:rsidRPr="00A77D25">
        <w:rPr>
          <w:rFonts w:ascii="Times New Roman" w:hAnsi="Times New Roman"/>
          <w:i/>
          <w:sz w:val="20"/>
          <w:szCs w:val="20"/>
        </w:rPr>
        <w:t xml:space="preserve">a vyhlášky </w:t>
      </w:r>
      <w:r w:rsidRPr="00A77D25">
        <w:rPr>
          <w:rFonts w:ascii="Times New Roman" w:hAnsi="Times New Roman"/>
          <w:i/>
          <w:sz w:val="20"/>
          <w:szCs w:val="20"/>
          <w:u w:val="single"/>
        </w:rPr>
        <w:t>č.</w:t>
      </w:r>
      <w:r w:rsidR="00EC51B3">
        <w:rPr>
          <w:rFonts w:ascii="Times New Roman" w:hAnsi="Times New Roman"/>
          <w:i/>
          <w:sz w:val="20"/>
          <w:szCs w:val="20"/>
          <w:u w:val="single"/>
        </w:rPr>
        <w:t> </w:t>
      </w:r>
      <w:r w:rsidRPr="00A77D25">
        <w:rPr>
          <w:rFonts w:ascii="Times New Roman" w:hAnsi="Times New Roman"/>
          <w:i/>
          <w:sz w:val="20"/>
          <w:szCs w:val="20"/>
          <w:u w:val="single"/>
        </w:rPr>
        <w:t>207/2001 Sb</w:t>
      </w:r>
      <w:r w:rsidRPr="00A77D25">
        <w:rPr>
          <w:rFonts w:ascii="Times New Roman" w:hAnsi="Times New Roman"/>
          <w:i/>
          <w:sz w:val="20"/>
          <w:szCs w:val="20"/>
        </w:rPr>
        <w:t xml:space="preserve">., kterou se provádí zákon </w:t>
      </w:r>
      <w:r w:rsidRPr="007247AD">
        <w:rPr>
          <w:rFonts w:ascii="Times New Roman" w:hAnsi="Times New Roman"/>
          <w:i/>
          <w:sz w:val="20"/>
          <w:szCs w:val="20"/>
          <w:u w:val="single"/>
        </w:rPr>
        <w:t>č.</w:t>
      </w:r>
      <w:r w:rsidRPr="00A77D25">
        <w:rPr>
          <w:rFonts w:ascii="Times New Roman" w:hAnsi="Times New Roman"/>
          <w:i/>
          <w:sz w:val="20"/>
          <w:szCs w:val="20"/>
          <w:u w:val="single"/>
        </w:rPr>
        <w:t xml:space="preserve"> 301/2000 Sb</w:t>
      </w:r>
      <w:r w:rsidRPr="00A77D25">
        <w:rPr>
          <w:rFonts w:ascii="Times New Roman" w:hAnsi="Times New Roman"/>
          <w:i/>
          <w:sz w:val="20"/>
          <w:szCs w:val="20"/>
        </w:rPr>
        <w:t>., o matrikách, jménu a</w:t>
      </w:r>
      <w:r>
        <w:rPr>
          <w:rFonts w:ascii="Times New Roman" w:hAnsi="Times New Roman"/>
          <w:i/>
          <w:sz w:val="20"/>
          <w:szCs w:val="20"/>
        </w:rPr>
        <w:t> </w:t>
      </w:r>
      <w:r w:rsidRPr="00A77D25">
        <w:rPr>
          <w:rFonts w:ascii="Times New Roman" w:hAnsi="Times New Roman"/>
          <w:i/>
          <w:sz w:val="20"/>
          <w:szCs w:val="20"/>
        </w:rPr>
        <w:t>příjmení a</w:t>
      </w:r>
      <w:r>
        <w:rPr>
          <w:rFonts w:ascii="Times New Roman" w:hAnsi="Times New Roman"/>
          <w:i/>
          <w:sz w:val="20"/>
          <w:szCs w:val="20"/>
        </w:rPr>
        <w:t> </w:t>
      </w:r>
      <w:r w:rsidRPr="00A77D25">
        <w:rPr>
          <w:rFonts w:ascii="Times New Roman" w:hAnsi="Times New Roman"/>
          <w:i/>
          <w:sz w:val="20"/>
          <w:szCs w:val="20"/>
        </w:rPr>
        <w:t>o</w:t>
      </w:r>
      <w:r>
        <w:rPr>
          <w:rFonts w:ascii="Times New Roman" w:hAnsi="Times New Roman"/>
          <w:i/>
          <w:sz w:val="20"/>
          <w:szCs w:val="20"/>
        </w:rPr>
        <w:t> </w:t>
      </w:r>
      <w:r w:rsidRPr="00A77D25">
        <w:rPr>
          <w:rFonts w:ascii="Times New Roman" w:hAnsi="Times New Roman"/>
          <w:i/>
          <w:sz w:val="20"/>
          <w:szCs w:val="20"/>
        </w:rPr>
        <w:t>změně některých souvisejících zákonů, ve znění pozdějších předpisů.</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B) Obce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b/>
          <w:bCs/>
          <w:sz w:val="20"/>
          <w:szCs w:val="20"/>
        </w:rPr>
        <w:t xml:space="preserve"> </w:t>
      </w:r>
    </w:p>
    <w:p w:rsidR="00A3160D" w:rsidRPr="000F5B3A" w:rsidRDefault="00A3160D" w:rsidP="00A3160D">
      <w:pPr>
        <w:widowControl w:val="0"/>
        <w:tabs>
          <w:tab w:val="left" w:pos="5670"/>
        </w:tabs>
        <w:overflowPunct w:val="0"/>
        <w:autoSpaceDE w:val="0"/>
        <w:autoSpaceDN w:val="0"/>
        <w:adjustRightInd w:val="0"/>
        <w:spacing w:after="120" w:line="254" w:lineRule="auto"/>
        <w:ind w:right="102"/>
        <w:jc w:val="both"/>
        <w:rPr>
          <w:rFonts w:ascii="Times New Roman" w:hAnsi="Times New Roman"/>
          <w:i/>
          <w:sz w:val="20"/>
          <w:szCs w:val="20"/>
        </w:rPr>
      </w:pPr>
      <w:r w:rsidRPr="00816662">
        <w:rPr>
          <w:rFonts w:ascii="Times New Roman" w:hAnsi="Times New Roman"/>
          <w:sz w:val="20"/>
          <w:szCs w:val="20"/>
        </w:rPr>
        <w:t>Výše příspěvku se stanoví jako součet částek vypočtených podle vzorce 1 a vzorce 2.</w:t>
      </w:r>
      <w:r w:rsidRPr="00816662">
        <w:rPr>
          <w:rFonts w:ascii="Times New Roman" w:hAnsi="Times New Roman"/>
          <w:sz w:val="20"/>
          <w:szCs w:val="20"/>
          <w:vertAlign w:val="superscript"/>
        </w:rPr>
        <w:t>3)6)</w:t>
      </w:r>
      <w:r>
        <w:rPr>
          <w:rFonts w:ascii="Times New Roman" w:hAnsi="Times New Roman"/>
          <w:sz w:val="20"/>
          <w:szCs w:val="20"/>
        </w:rPr>
        <w:t xml:space="preserve"> </w:t>
      </w:r>
      <w:r w:rsidRPr="00816662">
        <w:rPr>
          <w:rFonts w:ascii="Times New Roman" w:hAnsi="Times New Roman"/>
          <w:sz w:val="20"/>
          <w:szCs w:val="20"/>
        </w:rPr>
        <w:t xml:space="preserve">Navíc se přičte částka uvedená v části </w:t>
      </w:r>
      <w:r>
        <w:rPr>
          <w:rFonts w:ascii="Times New Roman" w:hAnsi="Times New Roman"/>
          <w:sz w:val="20"/>
          <w:szCs w:val="20"/>
        </w:rPr>
        <w:t>1.</w:t>
      </w:r>
      <w:r w:rsidRPr="00816662">
        <w:rPr>
          <w:rFonts w:ascii="Times New Roman" w:hAnsi="Times New Roman"/>
          <w:sz w:val="20"/>
          <w:szCs w:val="20"/>
        </w:rPr>
        <w:t xml:space="preserve">F), </w:t>
      </w:r>
      <w:r>
        <w:rPr>
          <w:rFonts w:ascii="Times New Roman" w:hAnsi="Times New Roman"/>
          <w:sz w:val="20"/>
          <w:szCs w:val="20"/>
        </w:rPr>
        <w:t>1.</w:t>
      </w:r>
      <w:r w:rsidRPr="00816662">
        <w:rPr>
          <w:rFonts w:ascii="Times New Roman" w:hAnsi="Times New Roman"/>
          <w:sz w:val="20"/>
          <w:szCs w:val="20"/>
        </w:rPr>
        <w:t xml:space="preserve">G), </w:t>
      </w:r>
      <w:r>
        <w:rPr>
          <w:rFonts w:ascii="Times New Roman" w:hAnsi="Times New Roman"/>
          <w:sz w:val="20"/>
          <w:szCs w:val="20"/>
        </w:rPr>
        <w:t>1.</w:t>
      </w:r>
      <w:r w:rsidR="00834EEA">
        <w:rPr>
          <w:rFonts w:ascii="Times New Roman" w:hAnsi="Times New Roman"/>
          <w:sz w:val="20"/>
          <w:szCs w:val="20"/>
        </w:rPr>
        <w:t>H),</w:t>
      </w:r>
      <w:r w:rsidRPr="00816662">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I)</w:t>
      </w:r>
      <w:r w:rsidR="00800484">
        <w:rPr>
          <w:rFonts w:ascii="Times New Roman" w:hAnsi="Times New Roman"/>
          <w:sz w:val="20"/>
          <w:szCs w:val="20"/>
        </w:rPr>
        <w:t>,</w:t>
      </w:r>
      <w:r w:rsidR="00834EEA">
        <w:rPr>
          <w:rFonts w:ascii="Times New Roman" w:hAnsi="Times New Roman"/>
          <w:sz w:val="20"/>
          <w:szCs w:val="20"/>
        </w:rPr>
        <w:t xml:space="preserve"> 1.J)</w:t>
      </w:r>
      <w:r w:rsidR="00643570">
        <w:rPr>
          <w:rFonts w:ascii="Times New Roman" w:hAnsi="Times New Roman"/>
          <w:sz w:val="20"/>
          <w:szCs w:val="20"/>
        </w:rPr>
        <w:t xml:space="preserve"> a</w:t>
      </w:r>
      <w:r w:rsidR="00800484">
        <w:rPr>
          <w:rFonts w:ascii="Times New Roman" w:hAnsi="Times New Roman"/>
          <w:sz w:val="20"/>
          <w:szCs w:val="20"/>
        </w:rPr>
        <w:t xml:space="preserve"> 1.K) </w:t>
      </w:r>
      <w:r w:rsidRPr="00816662">
        <w:rPr>
          <w:rFonts w:ascii="Times New Roman" w:hAnsi="Times New Roman"/>
          <w:sz w:val="20"/>
          <w:szCs w:val="20"/>
        </w:rPr>
        <w:t xml:space="preserve"> za výkonové složky příspěvku a u některých obcí se přičte i</w:t>
      </w:r>
      <w:r w:rsidR="00DB4BCF">
        <w:rPr>
          <w:rFonts w:ascii="Times New Roman" w:hAnsi="Times New Roman"/>
          <w:sz w:val="20"/>
          <w:szCs w:val="20"/>
        </w:rPr>
        <w:t> </w:t>
      </w:r>
      <w:r w:rsidRPr="00816662">
        <w:rPr>
          <w:rFonts w:ascii="Times New Roman" w:hAnsi="Times New Roman"/>
          <w:sz w:val="20"/>
          <w:szCs w:val="20"/>
        </w:rPr>
        <w:t xml:space="preserve">částka uvedená </w:t>
      </w:r>
      <w:r>
        <w:rPr>
          <w:rFonts w:ascii="Times New Roman" w:hAnsi="Times New Roman"/>
          <w:sz w:val="20"/>
          <w:szCs w:val="20"/>
        </w:rPr>
        <w:t> </w:t>
      </w:r>
      <w:r w:rsidRPr="00816662">
        <w:rPr>
          <w:rFonts w:ascii="Times New Roman" w:hAnsi="Times New Roman"/>
          <w:sz w:val="20"/>
          <w:szCs w:val="20"/>
        </w:rPr>
        <w:t xml:space="preserve">v části </w:t>
      </w:r>
      <w:r>
        <w:rPr>
          <w:rFonts w:ascii="Times New Roman" w:hAnsi="Times New Roman"/>
          <w:sz w:val="20"/>
          <w:szCs w:val="20"/>
        </w:rPr>
        <w:t>1.</w:t>
      </w:r>
      <w:r w:rsidRPr="00816662">
        <w:rPr>
          <w:rFonts w:ascii="Times New Roman" w:hAnsi="Times New Roman"/>
          <w:sz w:val="20"/>
          <w:szCs w:val="20"/>
        </w:rPr>
        <w:t>C)</w:t>
      </w:r>
      <w:r w:rsidR="00D26773">
        <w:rPr>
          <w:rFonts w:ascii="Times New Roman" w:hAnsi="Times New Roman"/>
          <w:sz w:val="20"/>
          <w:szCs w:val="20"/>
        </w:rPr>
        <w:t>,</w:t>
      </w:r>
      <w:r w:rsidR="00870883" w:rsidRPr="00870883">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D)</w:t>
      </w:r>
      <w:r w:rsidR="00643570">
        <w:rPr>
          <w:rFonts w:ascii="Times New Roman" w:hAnsi="Times New Roman"/>
          <w:sz w:val="20"/>
          <w:szCs w:val="20"/>
        </w:rPr>
        <w:t>,</w:t>
      </w:r>
      <w:r w:rsidR="00C35E1E">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E)</w:t>
      </w:r>
      <w:r w:rsidR="00643570">
        <w:rPr>
          <w:rFonts w:ascii="Times New Roman" w:hAnsi="Times New Roman"/>
          <w:sz w:val="20"/>
          <w:szCs w:val="20"/>
        </w:rPr>
        <w:t xml:space="preserve"> a 1.L)</w:t>
      </w:r>
      <w:r w:rsidRPr="00816662">
        <w:rPr>
          <w:rFonts w:ascii="Times New Roman" w:hAnsi="Times New Roman"/>
          <w:sz w:val="20"/>
          <w:szCs w:val="20"/>
        </w:rPr>
        <w:t>.</w:t>
      </w:r>
    </w:p>
    <w:p w:rsidR="00A3160D" w:rsidRDefault="00A3160D" w:rsidP="00A3160D">
      <w:pPr>
        <w:widowControl w:val="0"/>
        <w:tabs>
          <w:tab w:val="left" w:pos="5670"/>
        </w:tabs>
        <w:overflowPunct w:val="0"/>
        <w:autoSpaceDE w:val="0"/>
        <w:autoSpaceDN w:val="0"/>
        <w:adjustRightInd w:val="0"/>
        <w:spacing w:after="120" w:line="254" w:lineRule="auto"/>
        <w:ind w:right="102" w:firstLine="284"/>
        <w:jc w:val="both"/>
        <w:rPr>
          <w:rFonts w:ascii="Times New Roman" w:hAnsi="Times New Roman"/>
          <w:i/>
          <w:sz w:val="20"/>
          <w:szCs w:val="20"/>
        </w:rPr>
        <w:sectPr w:rsidR="00A3160D" w:rsidSect="00994BB1">
          <w:headerReference w:type="default" r:id="rId9"/>
          <w:footerReference w:type="default" r:id="rId10"/>
          <w:headerReference w:type="first" r:id="rId11"/>
          <w:pgSz w:w="11907" w:h="16840" w:code="9"/>
          <w:pgMar w:top="1418" w:right="1418" w:bottom="1418" w:left="1418" w:header="709" w:footer="709" w:gutter="0"/>
          <w:pgNumType w:start="72"/>
          <w:cols w:space="708"/>
          <w:noEndnote/>
          <w:docGrid w:linePitch="299"/>
        </w:sectPr>
      </w:pPr>
    </w:p>
    <w:p w:rsidR="00A3160D" w:rsidRPr="000F5B3A" w:rsidRDefault="00BC6F83" w:rsidP="00D616FD">
      <w:pPr>
        <w:widowControl w:val="0"/>
        <w:tabs>
          <w:tab w:val="left" w:pos="5670"/>
        </w:tabs>
        <w:overflowPunct w:val="0"/>
        <w:autoSpaceDE w:val="0"/>
        <w:autoSpaceDN w:val="0"/>
        <w:adjustRightInd w:val="0"/>
        <w:spacing w:after="120" w:line="254" w:lineRule="auto"/>
        <w:ind w:right="102" w:firstLine="284"/>
        <w:rPr>
          <w:rFonts w:ascii="Times New Roman" w:hAnsi="Times New Roman"/>
          <w:i/>
          <w:sz w:val="20"/>
          <w:szCs w:val="20"/>
        </w:rPr>
      </w:pPr>
      <w:r>
        <w:rPr>
          <w:rFonts w:ascii="Times New Roman" w:hAnsi="Times New Roman"/>
          <w:i/>
          <w:sz w:val="20"/>
          <w:szCs w:val="20"/>
        </w:rPr>
        <w:t>Vzorec 1:</w:t>
      </w:r>
      <w:r w:rsidR="00A3160D" w:rsidRPr="000F5B3A">
        <w:rPr>
          <w:rFonts w:ascii="Times New Roman" w:hAnsi="Times New Roman"/>
          <w:i/>
          <w:sz w:val="20"/>
          <w:szCs w:val="20"/>
        </w:rPr>
        <w:tab/>
      </w:r>
    </w:p>
    <w:p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B</w:t>
      </w:r>
    </w:p>
    <w:p w:rsidR="00D616FD"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P</w:t>
      </w:r>
      <w:r w:rsidRPr="00236ED1">
        <w:rPr>
          <w:rFonts w:ascii="Times New Roman" w:hAnsi="Times New Roman"/>
          <w:i/>
          <w:sz w:val="20"/>
          <w:szCs w:val="20"/>
          <w:vertAlign w:val="subscript"/>
        </w:rPr>
        <w:t>1</w:t>
      </w:r>
      <w:r w:rsidRPr="00816662">
        <w:rPr>
          <w:rFonts w:ascii="Times New Roman" w:hAnsi="Times New Roman"/>
          <w:i/>
          <w:sz w:val="20"/>
          <w:szCs w:val="20"/>
        </w:rPr>
        <w:t xml:space="preserve"> = -----------------</w:t>
      </w:r>
      <w:r>
        <w:rPr>
          <w:rFonts w:ascii="Times New Roman" w:hAnsi="Times New Roman"/>
          <w:i/>
          <w:sz w:val="20"/>
          <w:szCs w:val="20"/>
        </w:rPr>
        <w:t xml:space="preserve">-------- </w:t>
      </w:r>
      <w:r w:rsidRPr="00816662">
        <w:rPr>
          <w:rFonts w:ascii="Times New Roman" w:hAnsi="Times New Roman"/>
          <w:i/>
          <w:sz w:val="20"/>
          <w:szCs w:val="20"/>
        </w:rPr>
        <w:t>x SO</w:t>
      </w:r>
      <w:r w:rsidR="00D616FD" w:rsidRPr="00D616FD">
        <w:rPr>
          <w:rFonts w:ascii="Times New Roman" w:hAnsi="Times New Roman"/>
          <w:i/>
          <w:sz w:val="20"/>
          <w:szCs w:val="20"/>
        </w:rPr>
        <w:t xml:space="preserve"> </w:t>
      </w:r>
      <w:r w:rsidR="00D616FD">
        <w:rPr>
          <w:rFonts w:ascii="Times New Roman" w:hAnsi="Times New Roman"/>
          <w:i/>
          <w:sz w:val="20"/>
          <w:szCs w:val="20"/>
        </w:rPr>
        <w:t xml:space="preserve">                                 A + </w:t>
      </w:r>
      <w:r w:rsidR="00D616FD" w:rsidRPr="00816662">
        <w:rPr>
          <w:rFonts w:ascii="Times New Roman" w:hAnsi="Times New Roman"/>
          <w:i/>
          <w:sz w:val="20"/>
          <w:szCs w:val="20"/>
        </w:rPr>
        <w:t>odmocnina(SO)</w:t>
      </w:r>
    </w:p>
    <w:p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r>
        <w:rPr>
          <w:rFonts w:ascii="Times New Roman" w:hAnsi="Times New Roman"/>
          <w:i/>
          <w:sz w:val="20"/>
          <w:szCs w:val="20"/>
        </w:rPr>
        <w:tab/>
      </w:r>
    </w:p>
    <w:p w:rsidR="00A3160D"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p>
    <w:p w:rsidR="00A3160D" w:rsidRDefault="00BC6F83"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rPr>
        <w:t>Vzorec 2:</w:t>
      </w:r>
    </w:p>
    <w:p w:rsidR="00D616FD" w:rsidRPr="00AA733C" w:rsidRDefault="00D616FD" w:rsidP="00A3160D">
      <w:pPr>
        <w:widowControl w:val="0"/>
        <w:autoSpaceDE w:val="0"/>
        <w:autoSpaceDN w:val="0"/>
        <w:adjustRightInd w:val="0"/>
        <w:spacing w:after="0" w:line="240" w:lineRule="auto"/>
        <w:jc w:val="both"/>
        <w:rPr>
          <w:rFonts w:ascii="Times New Roman" w:hAnsi="Times New Roman"/>
          <w:i/>
          <w:sz w:val="20"/>
          <w:szCs w:val="20"/>
        </w:rPr>
      </w:pP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SC</w:t>
      </w: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P</w:t>
      </w:r>
      <w:r w:rsidRPr="00236ED1">
        <w:rPr>
          <w:rFonts w:ascii="Times New Roman" w:hAnsi="Times New Roman"/>
          <w:i/>
          <w:sz w:val="20"/>
          <w:szCs w:val="20"/>
          <w:vertAlign w:val="subscript"/>
        </w:rPr>
        <w:t xml:space="preserve">2 </w:t>
      </w:r>
      <w:r>
        <w:rPr>
          <w:rFonts w:ascii="Times New Roman" w:hAnsi="Times New Roman"/>
          <w:i/>
          <w:sz w:val="20"/>
          <w:szCs w:val="20"/>
        </w:rPr>
        <w:t>= C x  (1 -  -</w:t>
      </w:r>
      <w:r w:rsidRPr="00AA733C">
        <w:rPr>
          <w:rFonts w:ascii="Times New Roman" w:hAnsi="Times New Roman"/>
          <w:i/>
          <w:sz w:val="20"/>
          <w:szCs w:val="20"/>
        </w:rPr>
        <w:t>----)  x SO</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sectPr w:rsidR="00A3160D" w:rsidSect="00236ED1">
          <w:type w:val="continuous"/>
          <w:pgSz w:w="11907" w:h="16840" w:code="9"/>
          <w:pgMar w:top="1418" w:right="1418" w:bottom="1418" w:left="1418" w:header="709" w:footer="709" w:gutter="0"/>
          <w:pgNumType w:start="68"/>
          <w:cols w:num="2" w:space="708"/>
          <w:noEndnote/>
          <w:docGrid w:linePitch="299"/>
        </w:sect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SO</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Výše příspěvku</w:t>
      </w:r>
      <w:r w:rsidR="006E4EC1" w:rsidRPr="009E4BFE">
        <w:rPr>
          <w:rFonts w:ascii="Times New Roman" w:hAnsi="Times New Roman"/>
          <w:sz w:val="20"/>
          <w:szCs w:val="20"/>
          <w:vertAlign w:val="superscript"/>
        </w:rPr>
        <w:t>7</w:t>
      </w:r>
      <w:r w:rsidRPr="000F5B3A">
        <w:rPr>
          <w:rFonts w:ascii="Times New Roman" w:hAnsi="Times New Roman"/>
          <w:sz w:val="20"/>
          <w:szCs w:val="20"/>
          <w:vertAlign w:val="superscript"/>
        </w:rPr>
        <w:t>)</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w:t>
      </w:r>
      <w:r w:rsidR="00F45AF9">
        <w:rPr>
          <w:rFonts w:ascii="Times New Roman" w:hAnsi="Times New Roman"/>
          <w:sz w:val="20"/>
          <w:szCs w:val="20"/>
        </w:rPr>
        <w:t> </w:t>
      </w:r>
      <w:r w:rsidRPr="000F5B3A">
        <w:rPr>
          <w:rFonts w:ascii="Times New Roman" w:hAnsi="Times New Roman"/>
          <w:sz w:val="20"/>
          <w:szCs w:val="20"/>
        </w:rPr>
        <w:t>na podílu velikosti správního centra a velikosti správního obvodu, kde velikost správního centra (SC)</w:t>
      </w:r>
      <w:r w:rsidRPr="000F5B3A">
        <w:rPr>
          <w:rFonts w:ascii="Times New Roman" w:hAnsi="Times New Roman"/>
          <w:sz w:val="20"/>
          <w:szCs w:val="20"/>
          <w:vertAlign w:val="superscript"/>
        </w:rPr>
        <w:t>5)</w:t>
      </w:r>
      <w:r w:rsidRPr="000F5B3A">
        <w:rPr>
          <w:rFonts w:ascii="Times New Roman" w:hAnsi="Times New Roman"/>
          <w:sz w:val="20"/>
          <w:szCs w:val="20"/>
        </w:rPr>
        <w:t xml:space="preserve"> je vyjádřená počtem obyvatel obce.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Hodnoty koeficientů </w:t>
      </w:r>
      <w:r w:rsidR="0051124B" w:rsidRPr="00A77D25">
        <w:rPr>
          <w:rFonts w:ascii="Times New Roman" w:hAnsi="Times New Roman"/>
          <w:sz w:val="20"/>
          <w:szCs w:val="20"/>
        </w:rPr>
        <w:t>"</w:t>
      </w:r>
      <w:r w:rsidR="0051124B">
        <w:rPr>
          <w:rFonts w:ascii="Times New Roman" w:hAnsi="Times New Roman"/>
          <w:sz w:val="20"/>
          <w:szCs w:val="20"/>
        </w:rPr>
        <w:t>A</w:t>
      </w:r>
      <w:r w:rsidR="0051124B" w:rsidRPr="00A77D25">
        <w:rPr>
          <w:rFonts w:ascii="Times New Roman" w:hAnsi="Times New Roman"/>
          <w:sz w:val="20"/>
          <w:szCs w:val="20"/>
        </w:rPr>
        <w:t>"</w:t>
      </w:r>
      <w:r w:rsidRPr="000F5B3A">
        <w:rPr>
          <w:rFonts w:ascii="Times New Roman" w:hAnsi="Times New Roman"/>
          <w:sz w:val="20"/>
          <w:szCs w:val="20"/>
        </w:rPr>
        <w:t xml:space="preserve">, </w:t>
      </w:r>
      <w:r w:rsidR="0051124B" w:rsidRPr="00A77D25">
        <w:rPr>
          <w:rFonts w:ascii="Times New Roman" w:hAnsi="Times New Roman"/>
          <w:sz w:val="20"/>
          <w:szCs w:val="20"/>
        </w:rPr>
        <w:t>"</w:t>
      </w:r>
      <w:r w:rsidRPr="000F5B3A">
        <w:rPr>
          <w:rFonts w:ascii="Times New Roman" w:hAnsi="Times New Roman"/>
          <w:sz w:val="20"/>
          <w:szCs w:val="20"/>
        </w:rPr>
        <w:t>B</w:t>
      </w:r>
      <w:r w:rsidR="0051124B" w:rsidRPr="00A77D25">
        <w:rPr>
          <w:rFonts w:ascii="Times New Roman" w:hAnsi="Times New Roman"/>
          <w:sz w:val="20"/>
          <w:szCs w:val="20"/>
        </w:rPr>
        <w:t>"</w:t>
      </w:r>
      <w:r w:rsidRPr="000F5B3A">
        <w:rPr>
          <w:rFonts w:ascii="Times New Roman" w:hAnsi="Times New Roman"/>
          <w:sz w:val="20"/>
          <w:szCs w:val="20"/>
        </w:rPr>
        <w:t xml:space="preserve"> a </w:t>
      </w:r>
      <w:r w:rsidR="0051124B" w:rsidRPr="00A77D25">
        <w:rPr>
          <w:rFonts w:ascii="Times New Roman" w:hAnsi="Times New Roman"/>
          <w:sz w:val="20"/>
          <w:szCs w:val="20"/>
        </w:rPr>
        <w:t>"</w:t>
      </w:r>
      <w:r w:rsidR="0051124B">
        <w:rPr>
          <w:rFonts w:ascii="Times New Roman" w:hAnsi="Times New Roman"/>
          <w:sz w:val="20"/>
          <w:szCs w:val="20"/>
        </w:rPr>
        <w:t>C</w:t>
      </w:r>
      <w:r w:rsidR="0051124B" w:rsidRPr="00A77D25">
        <w:rPr>
          <w:rFonts w:ascii="Times New Roman" w:hAnsi="Times New Roman"/>
          <w:sz w:val="20"/>
          <w:szCs w:val="20"/>
        </w:rPr>
        <w:t>"</w:t>
      </w:r>
      <w:r w:rsidR="0051124B">
        <w:rPr>
          <w:rFonts w:ascii="Times New Roman" w:hAnsi="Times New Roman"/>
          <w:sz w:val="20"/>
          <w:szCs w:val="20"/>
        </w:rPr>
        <w:t xml:space="preserve"> </w:t>
      </w:r>
      <w:r w:rsidRPr="000F5B3A">
        <w:rPr>
          <w:rFonts w:ascii="Times New Roman" w:hAnsi="Times New Roman"/>
          <w:sz w:val="20"/>
          <w:szCs w:val="20"/>
        </w:rPr>
        <w:t xml:space="preserve">jsou stanoveny v závislosti na rozsahu přenesené působnosti k výkonu státní správy a na celkovém objemu finančních prostředků pro daný rozsah působnosti a činí: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678"/>
        <w:gridCol w:w="1817"/>
        <w:gridCol w:w="1817"/>
      </w:tblGrid>
      <w:tr w:rsidR="00A3160D" w:rsidRPr="000A0896" w:rsidTr="00BA209B">
        <w:trPr>
          <w:trHeight w:val="451"/>
        </w:trPr>
        <w:tc>
          <w:tcPr>
            <w:tcW w:w="3641"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Rozsah působnosti</w:t>
            </w:r>
          </w:p>
        </w:tc>
        <w:tc>
          <w:tcPr>
            <w:tcW w:w="1678"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A</w:t>
            </w:r>
          </w:p>
        </w:tc>
        <w:tc>
          <w:tcPr>
            <w:tcW w:w="1817"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B</w:t>
            </w:r>
          </w:p>
        </w:tc>
        <w:tc>
          <w:tcPr>
            <w:tcW w:w="1817"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C</w:t>
            </w:r>
          </w:p>
        </w:tc>
      </w:tr>
      <w:tr w:rsidR="00B53BBF" w:rsidRPr="000A0896" w:rsidTr="009E4BFE">
        <w:trPr>
          <w:trHeight w:val="446"/>
        </w:trPr>
        <w:tc>
          <w:tcPr>
            <w:tcW w:w="3641" w:type="dxa"/>
            <w:shd w:val="clear" w:color="auto" w:fill="auto"/>
            <w:vAlign w:val="center"/>
          </w:tcPr>
          <w:p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Základní působnost</w:t>
            </w:r>
          </w:p>
        </w:tc>
        <w:tc>
          <w:tcPr>
            <w:tcW w:w="1678"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30,0488569</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1495192,75</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0</w:t>
            </w:r>
          </w:p>
        </w:tc>
      </w:tr>
      <w:tr w:rsidR="00B53BBF" w:rsidRPr="000A0896" w:rsidTr="009E4BFE">
        <w:trPr>
          <w:trHeight w:val="466"/>
        </w:trPr>
        <w:tc>
          <w:tcPr>
            <w:tcW w:w="3641" w:type="dxa"/>
            <w:shd w:val="clear" w:color="auto" w:fill="auto"/>
            <w:vAlign w:val="center"/>
          </w:tcPr>
          <w:p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matričního úřadu</w:t>
            </w:r>
          </w:p>
        </w:tc>
        <w:tc>
          <w:tcPr>
            <w:tcW w:w="1678"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245,4559026</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5037869</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5139,848145</w:t>
            </w:r>
          </w:p>
        </w:tc>
      </w:tr>
      <w:tr w:rsidR="00B53BBF" w:rsidRPr="000A0896" w:rsidTr="009E4BFE">
        <w:trPr>
          <w:trHeight w:val="466"/>
        </w:trPr>
        <w:tc>
          <w:tcPr>
            <w:tcW w:w="3641" w:type="dxa"/>
            <w:shd w:val="clear" w:color="auto" w:fill="auto"/>
            <w:vAlign w:val="center"/>
          </w:tcPr>
          <w:p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stavebního úřadu</w:t>
            </w:r>
          </w:p>
        </w:tc>
        <w:tc>
          <w:tcPr>
            <w:tcW w:w="1678"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38,77753902</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4782100,5</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9503,530273</w:t>
            </w:r>
          </w:p>
        </w:tc>
      </w:tr>
      <w:tr w:rsidR="00B53BBF" w:rsidRPr="000A0896" w:rsidTr="009E4BFE">
        <w:trPr>
          <w:trHeight w:val="476"/>
        </w:trPr>
        <w:tc>
          <w:tcPr>
            <w:tcW w:w="3641" w:type="dxa"/>
            <w:shd w:val="clear" w:color="auto" w:fill="auto"/>
            <w:vAlign w:val="center"/>
          </w:tcPr>
          <w:p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pověřeného obecního úřadu</w:t>
            </w:r>
          </w:p>
        </w:tc>
        <w:tc>
          <w:tcPr>
            <w:tcW w:w="1678"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47,58777696</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8663612</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10815,69727</w:t>
            </w:r>
          </w:p>
        </w:tc>
      </w:tr>
      <w:tr w:rsidR="00B53BBF" w:rsidRPr="000A0896" w:rsidTr="009E4BFE">
        <w:trPr>
          <w:trHeight w:val="485"/>
        </w:trPr>
        <w:tc>
          <w:tcPr>
            <w:tcW w:w="3641" w:type="dxa"/>
            <w:shd w:val="clear" w:color="auto" w:fill="auto"/>
            <w:vAlign w:val="center"/>
          </w:tcPr>
          <w:p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obce s rozšířenou působností</w:t>
            </w:r>
          </w:p>
        </w:tc>
        <w:tc>
          <w:tcPr>
            <w:tcW w:w="1678"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1,734098778</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3950463,5</w:t>
            </w:r>
          </w:p>
        </w:tc>
        <w:tc>
          <w:tcPr>
            <w:tcW w:w="1817" w:type="dxa"/>
            <w:shd w:val="clear" w:color="auto" w:fill="auto"/>
            <w:vAlign w:val="center"/>
          </w:tcPr>
          <w:p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34503,19531</w:t>
            </w:r>
          </w:p>
        </w:tc>
      </w:tr>
    </w:tbl>
    <w:p w:rsidR="00A3160D"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 xml:space="preserve">6) </w:t>
      </w:r>
      <w:r w:rsidRPr="00816662">
        <w:rPr>
          <w:rFonts w:ascii="Times New Roman" w:hAnsi="Times New Roman"/>
          <w:i/>
          <w:sz w:val="20"/>
          <w:szCs w:val="20"/>
        </w:rPr>
        <w:t xml:space="preserve">Do vzorce 1 a vzorce 2 se dosazuje počet obyvatel správního obvodu (správního </w:t>
      </w:r>
      <w:r>
        <w:rPr>
          <w:rFonts w:ascii="Times New Roman" w:hAnsi="Times New Roman"/>
          <w:i/>
          <w:sz w:val="20"/>
          <w:szCs w:val="20"/>
        </w:rPr>
        <w:t>centra) vyjádřený v tisících. V </w:t>
      </w:r>
      <w:r w:rsidRPr="00816662">
        <w:rPr>
          <w:rFonts w:ascii="Times New Roman" w:hAnsi="Times New Roman"/>
          <w:i/>
          <w:sz w:val="20"/>
          <w:szCs w:val="20"/>
        </w:rPr>
        <w:t>případě, že správní obvod obce s rozšířenou působností je menší než 15 tis. obyvatel, je pro účely výpočtu příspěvku podle vzorce 1 stanoven správní obvod na 15 tis. obyvatel.</w:t>
      </w:r>
    </w:p>
    <w:p w:rsidR="00A3160D" w:rsidRPr="000F5B3A" w:rsidRDefault="00586892" w:rsidP="00A3160D">
      <w:pPr>
        <w:widowControl w:val="0"/>
        <w:autoSpaceDE w:val="0"/>
        <w:autoSpaceDN w:val="0"/>
        <w:adjustRightInd w:val="0"/>
        <w:spacing w:after="0" w:line="240" w:lineRule="auto"/>
        <w:jc w:val="both"/>
        <w:rPr>
          <w:rFonts w:ascii="Times New Roman" w:hAnsi="Times New Roman"/>
          <w:i/>
          <w:sz w:val="20"/>
          <w:szCs w:val="20"/>
        </w:rPr>
      </w:pPr>
      <w:r w:rsidRPr="00F45AF9">
        <w:rPr>
          <w:rFonts w:ascii="Times New Roman" w:hAnsi="Times New Roman"/>
          <w:i/>
          <w:sz w:val="20"/>
          <w:szCs w:val="20"/>
          <w:vertAlign w:val="superscript"/>
        </w:rPr>
        <w:t>7</w:t>
      </w:r>
      <w:r w:rsidR="00A3160D" w:rsidRPr="00F45AF9">
        <w:rPr>
          <w:rFonts w:ascii="Times New Roman" w:hAnsi="Times New Roman"/>
          <w:i/>
          <w:sz w:val="20"/>
          <w:szCs w:val="20"/>
          <w:vertAlign w:val="superscript"/>
        </w:rPr>
        <w:t>)</w:t>
      </w:r>
      <w:r w:rsidR="00A3160D" w:rsidRPr="00F45AF9">
        <w:rPr>
          <w:rFonts w:ascii="Times New Roman" w:hAnsi="Times New Roman"/>
          <w:i/>
          <w:sz w:val="20"/>
          <w:szCs w:val="20"/>
        </w:rPr>
        <w:t xml:space="preserve"> Pro rok 20</w:t>
      </w:r>
      <w:r w:rsidR="005D7007" w:rsidRPr="00F45AF9">
        <w:rPr>
          <w:rFonts w:ascii="Times New Roman" w:hAnsi="Times New Roman"/>
          <w:i/>
          <w:sz w:val="20"/>
          <w:szCs w:val="20"/>
        </w:rPr>
        <w:t>2</w:t>
      </w:r>
      <w:r w:rsidR="00F45AF9">
        <w:rPr>
          <w:rFonts w:ascii="Times New Roman" w:hAnsi="Times New Roman"/>
          <w:i/>
          <w:sz w:val="20"/>
          <w:szCs w:val="20"/>
        </w:rPr>
        <w:t>2</w:t>
      </w:r>
      <w:r w:rsidR="00A3160D" w:rsidRPr="00F45AF9">
        <w:rPr>
          <w:rFonts w:ascii="Times New Roman" w:hAnsi="Times New Roman"/>
          <w:i/>
          <w:sz w:val="20"/>
          <w:szCs w:val="20"/>
        </w:rPr>
        <w:t xml:space="preserve"> byl celkový objem příspěvku </w:t>
      </w:r>
      <w:r w:rsidR="00F45AF9" w:rsidRPr="001D5AB7">
        <w:rPr>
          <w:rFonts w:ascii="Times New Roman" w:hAnsi="Times New Roman"/>
          <w:i/>
          <w:sz w:val="20"/>
          <w:szCs w:val="20"/>
        </w:rPr>
        <w:t xml:space="preserve">upraven dle </w:t>
      </w:r>
      <w:r w:rsidR="00A3160D" w:rsidRPr="001D5AB7">
        <w:rPr>
          <w:rFonts w:ascii="Times New Roman" w:hAnsi="Times New Roman"/>
          <w:i/>
          <w:sz w:val="20"/>
          <w:szCs w:val="20"/>
        </w:rPr>
        <w:t>meziroční změn</w:t>
      </w:r>
      <w:r w:rsidR="00F45AF9" w:rsidRPr="001D5AB7">
        <w:rPr>
          <w:rFonts w:ascii="Times New Roman" w:hAnsi="Times New Roman"/>
          <w:i/>
          <w:sz w:val="20"/>
          <w:szCs w:val="20"/>
        </w:rPr>
        <w:t>y</w:t>
      </w:r>
      <w:r w:rsidR="00A3160D" w:rsidRPr="001D5AB7">
        <w:rPr>
          <w:rFonts w:ascii="Times New Roman" w:hAnsi="Times New Roman"/>
          <w:i/>
          <w:sz w:val="20"/>
          <w:szCs w:val="20"/>
        </w:rPr>
        <w:t xml:space="preserve"> počtu obyvatel</w:t>
      </w:r>
      <w:r w:rsidR="00F45AF9" w:rsidRPr="001D5AB7">
        <w:rPr>
          <w:rFonts w:ascii="Times New Roman" w:hAnsi="Times New Roman"/>
          <w:i/>
          <w:sz w:val="20"/>
          <w:szCs w:val="20"/>
        </w:rPr>
        <w:t xml:space="preserve"> a změny počtu veřejných opatrovanců</w:t>
      </w:r>
      <w:r w:rsidR="00A3160D" w:rsidRPr="001D5AB7">
        <w:rPr>
          <w:rFonts w:ascii="Times New Roman" w:hAnsi="Times New Roman"/>
          <w:i/>
          <w:sz w:val="20"/>
          <w:szCs w:val="20"/>
        </w:rPr>
        <w:t>.</w:t>
      </w:r>
    </w:p>
    <w:p w:rsidR="00A3160D" w:rsidRPr="000F5B3A" w:rsidRDefault="00A3160D" w:rsidP="00A3160D">
      <w:pPr>
        <w:widowControl w:val="0"/>
        <w:autoSpaceDE w:val="0"/>
        <w:autoSpaceDN w:val="0"/>
        <w:adjustRightInd w:val="0"/>
        <w:spacing w:after="0" w:line="240" w:lineRule="auto"/>
        <w:jc w:val="both"/>
        <w:rPr>
          <w:rFonts w:ascii="Arial" w:hAnsi="Arial" w:cs="Arial"/>
          <w:sz w:val="16"/>
          <w:szCs w:val="16"/>
        </w:rPr>
      </w:pPr>
      <w:r w:rsidRPr="000F5B3A">
        <w:rPr>
          <w:rFonts w:ascii="Arial" w:hAnsi="Arial" w:cs="Arial"/>
          <w:sz w:val="16"/>
          <w:szCs w:val="16"/>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A3160D" w:rsidRDefault="00A3160D" w:rsidP="00A3160D">
      <w:pPr>
        <w:widowControl w:val="0"/>
        <w:autoSpaceDE w:val="0"/>
        <w:autoSpaceDN w:val="0"/>
        <w:adjustRightInd w:val="0"/>
        <w:spacing w:after="0" w:line="240" w:lineRule="auto"/>
        <w:jc w:val="both"/>
        <w:rPr>
          <w:rFonts w:ascii="Arial" w:hAnsi="Arial" w:cs="Arial"/>
          <w:sz w:val="16"/>
          <w:szCs w:val="16"/>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C) Obce s rozšířenou působností se zvláštním postavením </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tbl>
      <w:tblPr>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695"/>
      </w:tblGrid>
      <w:tr w:rsidR="00A3160D" w:rsidRPr="000F5B3A" w:rsidTr="008E31EF">
        <w:trPr>
          <w:trHeight w:val="404"/>
        </w:trPr>
        <w:tc>
          <w:tcPr>
            <w:tcW w:w="4584"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Obec</w:t>
            </w:r>
          </w:p>
        </w:tc>
        <w:tc>
          <w:tcPr>
            <w:tcW w:w="4695"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Černošice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11 771 285</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Nýřany</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5 592 180</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Šlapanice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8 104 476</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Brno</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008729B3" w:rsidRPr="008729B3">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2</w:t>
            </w:r>
            <w:r>
              <w:rPr>
                <w:rFonts w:ascii="Times New Roman" w:hAnsi="Times New Roman"/>
                <w:sz w:val="20"/>
                <w:szCs w:val="20"/>
                <w:vertAlign w:val="superscript"/>
              </w:rPr>
              <w:t>)</w:t>
            </w:r>
          </w:p>
        </w:tc>
        <w:tc>
          <w:tcPr>
            <w:tcW w:w="4695" w:type="dxa"/>
            <w:shd w:val="clear" w:color="auto" w:fill="FFFFFF"/>
            <w:vAlign w:val="center"/>
          </w:tcPr>
          <w:p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199 722 360</w:t>
            </w:r>
          </w:p>
        </w:tc>
      </w:tr>
      <w:tr w:rsidR="008729B3" w:rsidRPr="000F5B3A" w:rsidTr="008E31EF">
        <w:trPr>
          <w:trHeight w:val="404"/>
        </w:trPr>
        <w:tc>
          <w:tcPr>
            <w:tcW w:w="4584" w:type="dxa"/>
            <w:shd w:val="clear" w:color="auto" w:fill="auto"/>
            <w:vAlign w:val="center"/>
          </w:tcPr>
          <w:p w:rsidR="008729B3" w:rsidRPr="008729B3" w:rsidRDefault="008729B3" w:rsidP="00586892">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8729B3">
              <w:rPr>
                <w:rFonts w:ascii="Times New Roman" w:hAnsi="Times New Roman"/>
                <w:sz w:val="20"/>
                <w:szCs w:val="20"/>
              </w:rPr>
              <w:t>z toho zvláštní matrika</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Pr="008729B3">
              <w:rPr>
                <w:rFonts w:ascii="Times New Roman" w:hAnsi="Times New Roman"/>
                <w:sz w:val="20"/>
                <w:szCs w:val="20"/>
                <w:vertAlign w:val="superscript"/>
              </w:rPr>
              <w:t>)</w:t>
            </w:r>
          </w:p>
        </w:tc>
        <w:tc>
          <w:tcPr>
            <w:tcW w:w="4695" w:type="dxa"/>
            <w:shd w:val="clear" w:color="auto" w:fill="FFFFFF"/>
            <w:vAlign w:val="center"/>
          </w:tcPr>
          <w:p w:rsidR="008729B3"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11 117 000</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Ostrava</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586892">
              <w:rPr>
                <w:rFonts w:ascii="Times New Roman" w:hAnsi="Times New Roman"/>
                <w:sz w:val="20"/>
                <w:szCs w:val="20"/>
                <w:vertAlign w:val="superscript"/>
              </w:rPr>
              <w:t>13</w:t>
            </w:r>
            <w:r>
              <w:rPr>
                <w:rFonts w:ascii="Times New Roman" w:hAnsi="Times New Roman"/>
                <w:sz w:val="20"/>
                <w:szCs w:val="20"/>
                <w:vertAlign w:val="superscript"/>
              </w:rPr>
              <w:t>)</w:t>
            </w:r>
          </w:p>
        </w:tc>
        <w:tc>
          <w:tcPr>
            <w:tcW w:w="4695" w:type="dxa"/>
            <w:shd w:val="clear" w:color="auto" w:fill="FFFFFF"/>
            <w:vAlign w:val="center"/>
          </w:tcPr>
          <w:p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138 813 793</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Plzeň</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4</w:t>
            </w:r>
            <w:r>
              <w:rPr>
                <w:rFonts w:ascii="Times New Roman" w:hAnsi="Times New Roman"/>
                <w:sz w:val="20"/>
                <w:szCs w:val="20"/>
                <w:vertAlign w:val="superscript"/>
              </w:rPr>
              <w:t>)</w:t>
            </w:r>
          </w:p>
        </w:tc>
        <w:tc>
          <w:tcPr>
            <w:tcW w:w="4695" w:type="dxa"/>
            <w:shd w:val="clear" w:color="auto" w:fill="FFFFFF"/>
            <w:vAlign w:val="center"/>
          </w:tcPr>
          <w:p w:rsidR="000532F9" w:rsidRPr="00816662" w:rsidRDefault="001F3E12" w:rsidP="000532F9">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34 530 150</w:t>
            </w:r>
          </w:p>
        </w:tc>
      </w:tr>
    </w:tbl>
    <w:p w:rsidR="00A3160D" w:rsidRPr="0099180C"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8</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w:t>
      </w:r>
      <w:hyperlink r:id="rId12" w:history="1">
        <w:r w:rsidR="00A3160D" w:rsidRPr="007247AD">
          <w:rPr>
            <w:rFonts w:ascii="Times New Roman" w:hAnsi="Times New Roman"/>
            <w:i/>
            <w:sz w:val="20"/>
            <w:szCs w:val="20"/>
            <w:u w:val="single"/>
          </w:rPr>
          <w:t xml:space="preserve">§ </w:t>
        </w:r>
        <w:r w:rsidR="007247AD" w:rsidRPr="007247AD">
          <w:rPr>
            <w:rFonts w:ascii="Times New Roman" w:hAnsi="Times New Roman"/>
            <w:i/>
            <w:sz w:val="20"/>
            <w:szCs w:val="20"/>
            <w:u w:val="single"/>
          </w:rPr>
          <w:t xml:space="preserve"> </w:t>
        </w:r>
        <w:r w:rsidR="001F3E12" w:rsidRPr="007247AD">
          <w:rPr>
            <w:rFonts w:ascii="Times New Roman" w:hAnsi="Times New Roman"/>
            <w:i/>
            <w:sz w:val="20"/>
            <w:szCs w:val="20"/>
            <w:u w:val="single"/>
          </w:rPr>
          <w:t>6 zákona č. 51/2020 Sb</w:t>
        </w:r>
        <w:r w:rsidR="00A3160D" w:rsidRPr="007247AD">
          <w:rPr>
            <w:rFonts w:ascii="Times New Roman" w:hAnsi="Times New Roman"/>
            <w:i/>
            <w:sz w:val="20"/>
            <w:szCs w:val="20"/>
            <w:u w:val="single"/>
          </w:rPr>
          <w:t>.</w:t>
        </w:r>
      </w:hyperlink>
      <w:r w:rsidR="00A3160D" w:rsidRPr="000F5B3A">
        <w:rPr>
          <w:rFonts w:ascii="Times New Roman" w:hAnsi="Times New Roman"/>
          <w:i/>
          <w:sz w:val="20"/>
          <w:szCs w:val="20"/>
        </w:rPr>
        <w:t xml:space="preserve">, </w:t>
      </w:r>
      <w:r w:rsidR="001F3E12">
        <w:rPr>
          <w:rFonts w:ascii="Times New Roman" w:hAnsi="Times New Roman"/>
          <w:i/>
          <w:sz w:val="20"/>
          <w:szCs w:val="20"/>
        </w:rPr>
        <w:t>o územně správním členění státu a o změně souvisejících zákonů (zákon o územně správním členění státu).</w:t>
      </w:r>
      <w:r w:rsidR="00A3160D">
        <w:rPr>
          <w:rFonts w:ascii="Times New Roman" w:hAnsi="Times New Roman"/>
          <w:i/>
          <w:sz w:val="20"/>
          <w:szCs w:val="20"/>
        </w:rPr>
        <w:t xml:space="preserve"> Výše příspěvku je </w:t>
      </w:r>
      <w:r w:rsidR="00262EE3">
        <w:rPr>
          <w:rFonts w:ascii="Times New Roman" w:hAnsi="Times New Roman"/>
          <w:i/>
          <w:sz w:val="20"/>
          <w:szCs w:val="20"/>
        </w:rPr>
        <w:t>totožná</w:t>
      </w:r>
      <w:r w:rsidR="00DE37D5">
        <w:rPr>
          <w:rFonts w:ascii="Times New Roman" w:hAnsi="Times New Roman"/>
          <w:i/>
          <w:sz w:val="20"/>
          <w:szCs w:val="20"/>
        </w:rPr>
        <w:t xml:space="preserve"> jako </w:t>
      </w:r>
      <w:r w:rsidR="008F0FF5">
        <w:rPr>
          <w:rFonts w:ascii="Times New Roman" w:hAnsi="Times New Roman"/>
          <w:i/>
          <w:sz w:val="20"/>
          <w:szCs w:val="20"/>
        </w:rPr>
        <w:t>pro rok 2021</w:t>
      </w:r>
      <w:r w:rsidR="00B9734C">
        <w:rPr>
          <w:rFonts w:ascii="Times New Roman" w:hAnsi="Times New Roman"/>
          <w:i/>
          <w:sz w:val="20"/>
          <w:szCs w:val="20"/>
        </w:rPr>
        <w:t>.</w:t>
      </w:r>
    </w:p>
    <w:p w:rsidR="00A3160D"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9</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Obce, které vykonávaly do 31. 12. 2002 působnost okresního úřadu podle </w:t>
      </w:r>
      <w:hyperlink r:id="rId13" w:history="1">
        <w:r w:rsidR="00A3160D" w:rsidRPr="000F5B3A">
          <w:rPr>
            <w:rFonts w:ascii="Times New Roman" w:hAnsi="Times New Roman"/>
            <w:i/>
            <w:sz w:val="20"/>
            <w:szCs w:val="20"/>
            <w:u w:val="single"/>
          </w:rPr>
          <w:t>§ 10 zákona č. 147/2000 Sb.</w:t>
        </w:r>
      </w:hyperlink>
      <w:r w:rsidR="00A3160D" w:rsidRPr="000F5B3A">
        <w:rPr>
          <w:rFonts w:ascii="Times New Roman" w:hAnsi="Times New Roman"/>
          <w:i/>
          <w:sz w:val="20"/>
          <w:szCs w:val="20"/>
        </w:rPr>
        <w:t xml:space="preserve">, o okresních úřadech, ve znění zákona č. </w:t>
      </w:r>
      <w:hyperlink r:id="rId14" w:history="1">
        <w:r w:rsidR="00A3160D" w:rsidRPr="000F5B3A">
          <w:rPr>
            <w:rFonts w:ascii="Times New Roman" w:hAnsi="Times New Roman"/>
            <w:i/>
            <w:sz w:val="20"/>
            <w:szCs w:val="20"/>
            <w:u w:val="single"/>
          </w:rPr>
          <w:t>320/2001 Sb.</w:t>
        </w:r>
      </w:hyperlink>
      <w:r w:rsidR="00A3160D" w:rsidRPr="000F5B3A">
        <w:rPr>
          <w:rFonts w:ascii="Times New Roman" w:hAnsi="Times New Roman"/>
          <w:i/>
          <w:sz w:val="20"/>
          <w:szCs w:val="20"/>
        </w:rPr>
        <w:t xml:space="preserve"> (Poznámka: zákon č. </w:t>
      </w:r>
      <w:hyperlink r:id="rId15" w:history="1">
        <w:r w:rsidR="00A3160D" w:rsidRPr="000F5B3A">
          <w:rPr>
            <w:rFonts w:ascii="Times New Roman" w:hAnsi="Times New Roman"/>
            <w:i/>
            <w:sz w:val="20"/>
            <w:szCs w:val="20"/>
            <w:u w:val="single"/>
          </w:rPr>
          <w:t>147/2000 Sb.</w:t>
        </w:r>
      </w:hyperlink>
      <w:r w:rsidR="00A3160D" w:rsidRPr="000F5B3A">
        <w:rPr>
          <w:rFonts w:ascii="Times New Roman" w:hAnsi="Times New Roman"/>
          <w:i/>
          <w:sz w:val="20"/>
          <w:szCs w:val="20"/>
        </w:rPr>
        <w:t xml:space="preserve"> byl zrušen ke dni 1. </w:t>
      </w:r>
      <w:r w:rsidR="00A3160D">
        <w:rPr>
          <w:rFonts w:ascii="Times New Roman" w:hAnsi="Times New Roman"/>
          <w:i/>
          <w:sz w:val="20"/>
          <w:szCs w:val="20"/>
        </w:rPr>
        <w:t> </w:t>
      </w:r>
      <w:r w:rsidR="00A3160D" w:rsidRPr="000F5B3A">
        <w:rPr>
          <w:rFonts w:ascii="Times New Roman" w:hAnsi="Times New Roman"/>
          <w:i/>
          <w:sz w:val="20"/>
          <w:szCs w:val="20"/>
        </w:rPr>
        <w:t xml:space="preserve">1. </w:t>
      </w:r>
      <w:r w:rsidR="00A3160D">
        <w:rPr>
          <w:rFonts w:ascii="Times New Roman" w:hAnsi="Times New Roman"/>
          <w:i/>
          <w:sz w:val="20"/>
          <w:szCs w:val="20"/>
        </w:rPr>
        <w:t> </w:t>
      </w:r>
      <w:r w:rsidR="00A3160D" w:rsidRPr="000F5B3A">
        <w:rPr>
          <w:rFonts w:ascii="Times New Roman" w:hAnsi="Times New Roman"/>
          <w:i/>
          <w:sz w:val="20"/>
          <w:szCs w:val="20"/>
        </w:rPr>
        <w:t xml:space="preserve">2003). </w:t>
      </w:r>
    </w:p>
    <w:p w:rsidR="00A3160D" w:rsidRPr="00681031"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r w:rsidRPr="00681031">
        <w:rPr>
          <w:rFonts w:ascii="Times New Roman" w:hAnsi="Times New Roman"/>
          <w:i/>
          <w:sz w:val="20"/>
          <w:szCs w:val="20"/>
          <w:vertAlign w:val="superscript"/>
        </w:rPr>
        <w:t>1</w:t>
      </w:r>
      <w:r w:rsidR="00586892">
        <w:rPr>
          <w:rFonts w:ascii="Times New Roman" w:hAnsi="Times New Roman"/>
          <w:i/>
          <w:sz w:val="20"/>
          <w:szCs w:val="20"/>
          <w:vertAlign w:val="superscript"/>
        </w:rPr>
        <w:t>0</w:t>
      </w:r>
      <w:r w:rsidRPr="00681031">
        <w:rPr>
          <w:rFonts w:ascii="Times New Roman" w:hAnsi="Times New Roman"/>
          <w:i/>
          <w:sz w:val="20"/>
          <w:szCs w:val="20"/>
          <w:vertAlign w:val="superscript"/>
        </w:rPr>
        <w:t>)</w:t>
      </w:r>
      <w:r w:rsidRPr="00681031">
        <w:t xml:space="preserve"> </w:t>
      </w:r>
      <w:hyperlink r:id="rId16" w:history="1">
        <w:r w:rsidRPr="000F5B3A">
          <w:rPr>
            <w:rFonts w:ascii="Times New Roman" w:hAnsi="Times New Roman"/>
            <w:i/>
            <w:sz w:val="20"/>
            <w:szCs w:val="20"/>
            <w:u w:val="single"/>
          </w:rPr>
          <w:t>§ 3 odst. 5 zákona č. 301/2000 Sb.</w:t>
        </w:r>
      </w:hyperlink>
      <w:r w:rsidRPr="000F5B3A">
        <w:rPr>
          <w:rFonts w:ascii="Times New Roman" w:hAnsi="Times New Roman"/>
          <w:i/>
          <w:sz w:val="20"/>
          <w:szCs w:val="20"/>
        </w:rPr>
        <w:t>, o matrikách, jménu a příjmení a o změně některých souvisejících zákonů, ve znění pozdějších předpisů.</w:t>
      </w:r>
    </w:p>
    <w:p w:rsidR="00A3160D" w:rsidRPr="00222144"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11</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w:t>
      </w:r>
      <w:hyperlink r:id="rId17" w:history="1">
        <w:r w:rsidR="00A3160D" w:rsidRPr="000F5B3A">
          <w:rPr>
            <w:rFonts w:ascii="Times New Roman" w:hAnsi="Times New Roman"/>
            <w:i/>
            <w:sz w:val="20"/>
            <w:szCs w:val="20"/>
            <w:u w:val="single"/>
          </w:rPr>
          <w:t>§ 31 až 37 zákona č. 186/2013 Sb.</w:t>
        </w:r>
      </w:hyperlink>
      <w:r w:rsidR="00A3160D" w:rsidRPr="000F5B3A">
        <w:rPr>
          <w:rFonts w:ascii="Times New Roman" w:hAnsi="Times New Roman"/>
          <w:i/>
          <w:sz w:val="20"/>
          <w:szCs w:val="20"/>
        </w:rPr>
        <w:t>, o státním občanství České republiky a o změně některých zákonů (zákon o státním občanství České republiky</w:t>
      </w:r>
      <w:r w:rsidR="00A9470A" w:rsidRPr="00222144">
        <w:rPr>
          <w:rFonts w:ascii="Times New Roman" w:hAnsi="Times New Roman"/>
          <w:i/>
          <w:sz w:val="20"/>
          <w:szCs w:val="20"/>
        </w:rPr>
        <w:t>, ve znění zákona č. 20</w:t>
      </w:r>
      <w:r w:rsidR="008718A0">
        <w:rPr>
          <w:rFonts w:ascii="Times New Roman" w:hAnsi="Times New Roman"/>
          <w:i/>
          <w:sz w:val="20"/>
          <w:szCs w:val="20"/>
        </w:rPr>
        <w:t>7</w:t>
      </w:r>
      <w:r w:rsidR="00A9470A" w:rsidRPr="00222144">
        <w:rPr>
          <w:rFonts w:ascii="Times New Roman" w:hAnsi="Times New Roman"/>
          <w:i/>
          <w:sz w:val="20"/>
          <w:szCs w:val="20"/>
        </w:rPr>
        <w:t>/2019 Sb.</w:t>
      </w:r>
      <w:r w:rsidR="00A3160D" w:rsidRPr="00222144">
        <w:rPr>
          <w:rFonts w:ascii="Times New Roman" w:hAnsi="Times New Roman"/>
          <w:i/>
          <w:sz w:val="20"/>
          <w:szCs w:val="20"/>
        </w:rPr>
        <w:t>).</w:t>
      </w:r>
    </w:p>
    <w:p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w:t>
      </w:r>
      <w:r w:rsidR="00586892">
        <w:rPr>
          <w:rFonts w:ascii="Times New Roman" w:hAnsi="Times New Roman"/>
          <w:i/>
          <w:sz w:val="20"/>
          <w:szCs w:val="20"/>
          <w:vertAlign w:val="superscript"/>
        </w:rPr>
        <w:t>2</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w:t>
      </w:r>
      <w:r w:rsidR="00B9734C">
        <w:rPr>
          <w:rFonts w:ascii="Times New Roman" w:hAnsi="Times New Roman"/>
          <w:i/>
          <w:sz w:val="20"/>
          <w:szCs w:val="20"/>
        </w:rPr>
        <w:t xml:space="preserve">je </w:t>
      </w:r>
      <w:r w:rsidRPr="00071CD6">
        <w:rPr>
          <w:rFonts w:ascii="Times New Roman" w:hAnsi="Times New Roman"/>
          <w:i/>
          <w:sz w:val="20"/>
          <w:szCs w:val="20"/>
        </w:rPr>
        <w:t>zahrnut</w:t>
      </w:r>
      <w:r w:rsidR="00B976BC">
        <w:rPr>
          <w:rFonts w:ascii="Times New Roman" w:hAnsi="Times New Roman"/>
          <w:i/>
          <w:sz w:val="20"/>
          <w:szCs w:val="20"/>
        </w:rPr>
        <w:t xml:space="preserve"> příspěvek</w:t>
      </w:r>
      <w:r w:rsidRPr="00071CD6">
        <w:rPr>
          <w:rFonts w:ascii="Times New Roman" w:hAnsi="Times New Roman"/>
          <w:i/>
          <w:sz w:val="20"/>
          <w:szCs w:val="20"/>
        </w:rPr>
        <w:t xml:space="preserve"> </w:t>
      </w:r>
      <w:r w:rsidR="007247AD">
        <w:rPr>
          <w:rFonts w:ascii="Times New Roman" w:hAnsi="Times New Roman"/>
          <w:i/>
          <w:sz w:val="20"/>
          <w:szCs w:val="20"/>
        </w:rPr>
        <w:t xml:space="preserve">15 301 897 </w:t>
      </w:r>
      <w:r w:rsidR="00B976BC">
        <w:rPr>
          <w:rFonts w:ascii="Times New Roman" w:hAnsi="Times New Roman"/>
          <w:i/>
          <w:sz w:val="20"/>
          <w:szCs w:val="20"/>
        </w:rPr>
        <w:t>Kč</w:t>
      </w:r>
      <w:r w:rsidR="005D7007">
        <w:rPr>
          <w:rFonts w:ascii="Times New Roman" w:hAnsi="Times New Roman"/>
          <w:i/>
          <w:sz w:val="20"/>
          <w:szCs w:val="20"/>
        </w:rPr>
        <w:t xml:space="preserve"> </w:t>
      </w:r>
      <w:r w:rsidRPr="00071CD6">
        <w:rPr>
          <w:rFonts w:ascii="Times New Roman" w:hAnsi="Times New Roman"/>
          <w:i/>
          <w:sz w:val="20"/>
          <w:szCs w:val="20"/>
        </w:rPr>
        <w:t>ve prospěch matričních úřadů statutárního města Brno.</w:t>
      </w:r>
      <w:r>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Pr>
          <w:rFonts w:ascii="Times New Roman" w:hAnsi="Times New Roman"/>
          <w:i/>
          <w:sz w:val="20"/>
          <w:szCs w:val="20"/>
        </w:rPr>
        <w:t>1.H).</w:t>
      </w:r>
    </w:p>
    <w:p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13</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w:t>
      </w:r>
      <w:r w:rsidR="00B9734C">
        <w:rPr>
          <w:rFonts w:ascii="Times New Roman" w:hAnsi="Times New Roman"/>
          <w:i/>
          <w:sz w:val="20"/>
          <w:szCs w:val="20"/>
        </w:rPr>
        <w:t xml:space="preserve">je </w:t>
      </w:r>
      <w:r w:rsidR="00A3160D" w:rsidRPr="00071CD6">
        <w:rPr>
          <w:rFonts w:ascii="Times New Roman" w:hAnsi="Times New Roman"/>
          <w:i/>
          <w:sz w:val="20"/>
          <w:szCs w:val="20"/>
        </w:rPr>
        <w:t>zahrnut</w:t>
      </w:r>
      <w:r w:rsidR="00B976BC">
        <w:rPr>
          <w:rFonts w:ascii="Times New Roman" w:hAnsi="Times New Roman"/>
          <w:i/>
          <w:sz w:val="20"/>
          <w:szCs w:val="20"/>
        </w:rPr>
        <w:t xml:space="preserve"> příspěvek</w:t>
      </w:r>
      <w:r w:rsidR="00A3160D" w:rsidRPr="00071CD6">
        <w:rPr>
          <w:rFonts w:ascii="Times New Roman" w:hAnsi="Times New Roman"/>
          <w:i/>
          <w:sz w:val="20"/>
          <w:szCs w:val="20"/>
        </w:rPr>
        <w:t xml:space="preserve"> </w:t>
      </w:r>
      <w:r w:rsidR="007247AD">
        <w:rPr>
          <w:rFonts w:ascii="Times New Roman" w:hAnsi="Times New Roman"/>
          <w:i/>
          <w:sz w:val="20"/>
          <w:szCs w:val="20"/>
        </w:rPr>
        <w:t xml:space="preserve">11 309 636 </w:t>
      </w:r>
      <w:r w:rsidR="00A3160D" w:rsidRPr="00071CD6">
        <w:rPr>
          <w:rFonts w:ascii="Times New Roman" w:hAnsi="Times New Roman"/>
          <w:i/>
          <w:sz w:val="20"/>
          <w:szCs w:val="20"/>
        </w:rPr>
        <w:t>Kč ve prospěch matričních úřadů statutárního města Ostrava.</w:t>
      </w:r>
      <w:r w:rsidR="00A3160D">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sidR="00A3160D">
        <w:rPr>
          <w:rFonts w:ascii="Times New Roman" w:hAnsi="Times New Roman"/>
          <w:i/>
          <w:sz w:val="20"/>
          <w:szCs w:val="20"/>
        </w:rPr>
        <w:t>1.H).</w:t>
      </w:r>
    </w:p>
    <w:p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14</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w:t>
      </w:r>
      <w:r w:rsidR="00B9734C">
        <w:rPr>
          <w:rFonts w:ascii="Times New Roman" w:hAnsi="Times New Roman"/>
          <w:i/>
          <w:sz w:val="20"/>
          <w:szCs w:val="20"/>
        </w:rPr>
        <w:t xml:space="preserve">je </w:t>
      </w:r>
      <w:r w:rsidR="00A3160D" w:rsidRPr="00071CD6">
        <w:rPr>
          <w:rFonts w:ascii="Times New Roman" w:hAnsi="Times New Roman"/>
          <w:i/>
          <w:sz w:val="20"/>
          <w:szCs w:val="20"/>
        </w:rPr>
        <w:t>zahrnut</w:t>
      </w:r>
      <w:r w:rsidR="00B976BC">
        <w:rPr>
          <w:rFonts w:ascii="Times New Roman" w:hAnsi="Times New Roman"/>
          <w:i/>
          <w:sz w:val="20"/>
          <w:szCs w:val="20"/>
        </w:rPr>
        <w:t xml:space="preserve"> příspěvek </w:t>
      </w:r>
      <w:r w:rsidR="007247AD">
        <w:rPr>
          <w:rFonts w:ascii="Times New Roman" w:hAnsi="Times New Roman"/>
          <w:i/>
          <w:sz w:val="20"/>
          <w:szCs w:val="20"/>
        </w:rPr>
        <w:t xml:space="preserve">8 900 645 </w:t>
      </w:r>
      <w:r w:rsidR="00A3160D" w:rsidRPr="00071CD6">
        <w:rPr>
          <w:rFonts w:ascii="Times New Roman" w:hAnsi="Times New Roman"/>
          <w:i/>
          <w:sz w:val="20"/>
          <w:szCs w:val="20"/>
        </w:rPr>
        <w:t>Kč ve prospěch matričních úřadů statutárního města Plzeň.</w:t>
      </w:r>
      <w:r w:rsidR="00A3160D">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sidR="00A3160D">
        <w:rPr>
          <w:rFonts w:ascii="Times New Roman" w:hAnsi="Times New Roman"/>
          <w:i/>
          <w:sz w:val="20"/>
          <w:szCs w:val="20"/>
        </w:rPr>
        <w:t>1.H).</w:t>
      </w:r>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sz w:val="20"/>
          <w:szCs w:val="20"/>
        </w:rPr>
        <w:t xml:space="preserve"> </w:t>
      </w:r>
      <w:r w:rsidRPr="000F5B3A">
        <w:rPr>
          <w:rFonts w:ascii="Arial" w:hAnsi="Arial" w:cs="Arial"/>
          <w:b/>
          <w:bCs/>
          <w:sz w:val="20"/>
          <w:szCs w:val="20"/>
        </w:rPr>
        <w:tab/>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D) Financování veřejného opatrovnictví včetně souvislostí</w:t>
      </w:r>
    </w:p>
    <w:p w:rsidR="00A3160D" w:rsidRPr="000F5B3A" w:rsidRDefault="00A3160D" w:rsidP="00A3160D">
      <w:pPr>
        <w:widowControl w:val="0"/>
        <w:autoSpaceDE w:val="0"/>
        <w:autoSpaceDN w:val="0"/>
        <w:adjustRightInd w:val="0"/>
        <w:spacing w:after="0" w:line="240" w:lineRule="auto"/>
        <w:rPr>
          <w:rFonts w:ascii="Times New Roman" w:hAnsi="Times New Roman"/>
          <w:b/>
          <w:bCs/>
          <w:sz w:val="20"/>
          <w:szCs w:val="20"/>
        </w:rPr>
      </w:pPr>
      <w:r w:rsidRPr="000F5B3A">
        <w:rPr>
          <w:rFonts w:ascii="Times New Roman" w:hAnsi="Times New Roman"/>
          <w:b/>
          <w:bCs/>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Předmětné financování se týká opatrovnictví zletilých osob, a to jak těch, které byly omezeny ve svéprávnosti (dle </w:t>
      </w:r>
      <w:r w:rsidRPr="00071CD6">
        <w:rPr>
          <w:rFonts w:ascii="Times New Roman" w:hAnsi="Times New Roman"/>
          <w:sz w:val="20"/>
          <w:szCs w:val="20"/>
          <w:u w:val="single"/>
        </w:rPr>
        <w:t>§ 55 zákona č. 89/2012 Sb</w:t>
      </w:r>
      <w:r w:rsidRPr="00222144">
        <w:rPr>
          <w:rFonts w:ascii="Times New Roman" w:hAnsi="Times New Roman"/>
          <w:sz w:val="20"/>
          <w:szCs w:val="20"/>
        </w:rPr>
        <w:t>.</w:t>
      </w:r>
      <w:r w:rsidR="00DE0C06" w:rsidRPr="00222144">
        <w:rPr>
          <w:rFonts w:ascii="Times New Roman" w:hAnsi="Times New Roman"/>
          <w:sz w:val="20"/>
          <w:szCs w:val="20"/>
        </w:rPr>
        <w:t xml:space="preserve">, občanský </w:t>
      </w:r>
      <w:r w:rsidRPr="00222144">
        <w:rPr>
          <w:rFonts w:ascii="Times New Roman" w:hAnsi="Times New Roman"/>
          <w:sz w:val="20"/>
          <w:szCs w:val="20"/>
        </w:rPr>
        <w:t xml:space="preserve">zákoník </w:t>
      </w:r>
      <w:r w:rsidR="00DE0C06" w:rsidRPr="00222144">
        <w:rPr>
          <w:rFonts w:ascii="Times New Roman" w:hAnsi="Times New Roman"/>
          <w:sz w:val="20"/>
          <w:szCs w:val="20"/>
        </w:rPr>
        <w:t xml:space="preserve">(dále jen „OZ“) </w:t>
      </w:r>
      <w:r w:rsidRPr="00222144">
        <w:rPr>
          <w:rFonts w:ascii="Times New Roman" w:hAnsi="Times New Roman"/>
          <w:sz w:val="20"/>
          <w:szCs w:val="20"/>
        </w:rPr>
        <w:t xml:space="preserve">ve spojení </w:t>
      </w:r>
      <w:r>
        <w:rPr>
          <w:rFonts w:ascii="Times New Roman" w:hAnsi="Times New Roman"/>
          <w:sz w:val="20"/>
          <w:szCs w:val="20"/>
        </w:rPr>
        <w:t>s § </w:t>
      </w:r>
      <w:r w:rsidRPr="00071CD6">
        <w:rPr>
          <w:rFonts w:ascii="Times New Roman" w:hAnsi="Times New Roman"/>
          <w:sz w:val="20"/>
          <w:szCs w:val="20"/>
        </w:rPr>
        <w:t xml:space="preserve">62), tak i těch, které omezeny nebyly (§ 469 OZ - špatný zdravotní stav působí obtíže při správě jmění nebo hájení práv). V těchto případech je zde pravomocný rozsudek soudu, který jmenuje obec veřejným opatrovníkem nikoliv jen pro jedno konkrétní řízení, ale pro komplexní výkon práv a povinností spojených s dlouhodobou omezenou schopností opatrovance zajišťovat své potřeby vlastními silami. </w:t>
      </w:r>
      <w:r w:rsidR="007247AD" w:rsidRPr="00071CD6">
        <w:rPr>
          <w:rFonts w:ascii="Times New Roman" w:hAnsi="Times New Roman"/>
          <w:sz w:val="20"/>
          <w:szCs w:val="20"/>
        </w:rPr>
        <w:t xml:space="preserve">Financování se týkají případy opatrovnictví, kdy se obec stane dočasně opatrovníkem přímo ze zákona dle </w:t>
      </w:r>
      <w:r w:rsidR="007247AD" w:rsidRPr="00071CD6">
        <w:rPr>
          <w:rFonts w:ascii="Times New Roman" w:hAnsi="Times New Roman"/>
          <w:sz w:val="20"/>
          <w:szCs w:val="20"/>
          <w:u w:val="single"/>
        </w:rPr>
        <w:t>§ 468 OZ</w:t>
      </w:r>
      <w:r w:rsidR="007247AD" w:rsidRPr="00071CD6">
        <w:rPr>
          <w:rFonts w:ascii="Times New Roman" w:hAnsi="Times New Roman"/>
          <w:sz w:val="20"/>
          <w:szCs w:val="20"/>
        </w:rPr>
        <w:t>. Jedná se zde o případy, kdy zemřel dosavadní opatrovník (fyzická osoba) nebo kdy došlo k odvolání stávajícího opatrovníka bez jmenování nového (toto opatrovnictví zaniká právní mocí rozsudku o ustanovení nového opatrovníka).</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r w:rsidRPr="00071CD6">
        <w:rPr>
          <w:rFonts w:ascii="Times New Roman" w:hAnsi="Times New Roman"/>
          <w:sz w:val="20"/>
          <w:szCs w:val="20"/>
        </w:rPr>
        <w:tab/>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Toto financování se ale netýká procesního opatrovnictví osob, u kterých není známo, kde pobývají, nebo osob neznámých, které se účastní určitého právního jednání. Netýká se taktéž ustanovení obce jako osoby určené pro provedení určitých jednotlivých právních jednání, nebo jíž je svěřena správa m</w:t>
      </w:r>
      <w:r>
        <w:rPr>
          <w:rFonts w:ascii="Times New Roman" w:hAnsi="Times New Roman"/>
          <w:sz w:val="20"/>
          <w:szCs w:val="20"/>
        </w:rPr>
        <w:t>ajetku osoby již během řízení o </w:t>
      </w:r>
      <w:r w:rsidRPr="00071CD6">
        <w:rPr>
          <w:rFonts w:ascii="Times New Roman" w:hAnsi="Times New Roman"/>
          <w:sz w:val="20"/>
          <w:szCs w:val="20"/>
        </w:rPr>
        <w:t xml:space="preserve">svéprávnosti dle </w:t>
      </w:r>
      <w:r w:rsidRPr="00071CD6">
        <w:rPr>
          <w:rFonts w:ascii="Times New Roman" w:hAnsi="Times New Roman"/>
          <w:sz w:val="20"/>
          <w:szCs w:val="20"/>
          <w:u w:val="single"/>
        </w:rPr>
        <w:t>§ 58 OZ</w:t>
      </w:r>
      <w:r w:rsidRPr="00071CD6">
        <w:rPr>
          <w:rFonts w:ascii="Times New Roman" w:hAnsi="Times New Roman"/>
          <w:sz w:val="20"/>
          <w:szCs w:val="20"/>
        </w:rPr>
        <w:t xml:space="preserve">. Netýká se ani procesního opatrovnictví pro řízení o svéprávnosti, opatrovnictví či některých podpůrných opatření (dle </w:t>
      </w:r>
      <w:r w:rsidRPr="00071CD6">
        <w:rPr>
          <w:rFonts w:ascii="Times New Roman" w:hAnsi="Times New Roman"/>
          <w:sz w:val="20"/>
          <w:szCs w:val="20"/>
          <w:u w:val="single"/>
        </w:rPr>
        <w:t>§ 37 zákona č. 292/2013 Sb</w:t>
      </w:r>
      <w:r w:rsidRPr="00071CD6">
        <w:rPr>
          <w:rFonts w:ascii="Times New Roman" w:hAnsi="Times New Roman"/>
          <w:sz w:val="20"/>
          <w:szCs w:val="20"/>
        </w:rPr>
        <w:t xml:space="preserve">., o zvláštních řízeních soudních, ve znění pozdějších předpisů) či jiného procesního opatrovnictví.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Obce jako veřejní opatrovníci obdrží násobek paušální platby na jednoho opatrovance podle jejich faktického počtu k rozhodnému dni. Tímto rozhodný</w:t>
      </w:r>
      <w:r w:rsidR="005D7007">
        <w:rPr>
          <w:rFonts w:ascii="Times New Roman" w:hAnsi="Times New Roman"/>
          <w:sz w:val="20"/>
          <w:szCs w:val="20"/>
        </w:rPr>
        <w:t>m dnem pro příspěvek na rok 202</w:t>
      </w:r>
      <w:r w:rsidR="00D1535F">
        <w:rPr>
          <w:rFonts w:ascii="Times New Roman" w:hAnsi="Times New Roman"/>
          <w:sz w:val="20"/>
          <w:szCs w:val="20"/>
        </w:rPr>
        <w:t>2</w:t>
      </w:r>
      <w:r w:rsidR="005D7007">
        <w:rPr>
          <w:rFonts w:ascii="Times New Roman" w:hAnsi="Times New Roman"/>
          <w:sz w:val="20"/>
          <w:szCs w:val="20"/>
        </w:rPr>
        <w:t xml:space="preserve"> je </w:t>
      </w:r>
      <w:r w:rsidR="00A34F49">
        <w:rPr>
          <w:rFonts w:ascii="Times New Roman" w:hAnsi="Times New Roman"/>
          <w:sz w:val="20"/>
          <w:szCs w:val="20"/>
        </w:rPr>
        <w:t>31. březen</w:t>
      </w:r>
      <w:r w:rsidR="005D7007">
        <w:rPr>
          <w:rFonts w:ascii="Times New Roman" w:hAnsi="Times New Roman"/>
          <w:sz w:val="20"/>
          <w:szCs w:val="20"/>
        </w:rPr>
        <w:t xml:space="preserve"> 202</w:t>
      </w:r>
      <w:r w:rsidR="00D1535F">
        <w:rPr>
          <w:rFonts w:ascii="Times New Roman" w:hAnsi="Times New Roman"/>
          <w:sz w:val="20"/>
          <w:szCs w:val="20"/>
        </w:rPr>
        <w:t>1</w:t>
      </w:r>
      <w:r w:rsidRPr="00071CD6">
        <w:rPr>
          <w:rFonts w:ascii="Times New Roman" w:hAnsi="Times New Roman"/>
          <w:sz w:val="20"/>
          <w:szCs w:val="20"/>
        </w:rPr>
        <w:t xml:space="preserve">. K tomuto rozhodnému dni bylo prostřednictvím krajských úřadů realizováno ve všech obcích zjišťování skutečného stavu výkonu veřejného opatrovnictví. Následně byla takto kraji učiněná zjištění zveřejněna na internetových stránkách Ministerstva vnitra s cílem umožnit obcím zjištěné skutečnosti verifikovat.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Výše zmíněná p</w:t>
      </w:r>
      <w:r w:rsidR="005D7007">
        <w:rPr>
          <w:rFonts w:ascii="Times New Roman" w:hAnsi="Times New Roman"/>
          <w:sz w:val="20"/>
          <w:szCs w:val="20"/>
        </w:rPr>
        <w:t>aušální platba byla pro rok 202</w:t>
      </w:r>
      <w:r w:rsidR="00D1535F">
        <w:rPr>
          <w:rFonts w:ascii="Times New Roman" w:hAnsi="Times New Roman"/>
          <w:sz w:val="20"/>
          <w:szCs w:val="20"/>
        </w:rPr>
        <w:t>2</w:t>
      </w:r>
      <w:r w:rsidR="005D7007">
        <w:rPr>
          <w:rFonts w:ascii="Times New Roman" w:hAnsi="Times New Roman"/>
          <w:sz w:val="20"/>
          <w:szCs w:val="20"/>
        </w:rPr>
        <w:t xml:space="preserve"> stanovena ve výši </w:t>
      </w:r>
      <w:r w:rsidR="00097484">
        <w:rPr>
          <w:rFonts w:ascii="Times New Roman" w:hAnsi="Times New Roman"/>
          <w:sz w:val="20"/>
          <w:szCs w:val="20"/>
        </w:rPr>
        <w:t>30 500</w:t>
      </w:r>
      <w:r w:rsidRPr="00071CD6">
        <w:rPr>
          <w:rFonts w:ascii="Times New Roman" w:hAnsi="Times New Roman"/>
          <w:sz w:val="20"/>
          <w:szCs w:val="20"/>
        </w:rPr>
        <w:t xml:space="preserve"> Kč na</w:t>
      </w:r>
      <w:r w:rsidR="00315D5E">
        <w:rPr>
          <w:rFonts w:ascii="Times New Roman" w:hAnsi="Times New Roman"/>
          <w:sz w:val="20"/>
          <w:szCs w:val="20"/>
        </w:rPr>
        <w:t xml:space="preserve"> opatrovance za rok. Na změny v </w:t>
      </w:r>
      <w:r w:rsidRPr="00071CD6">
        <w:rPr>
          <w:rFonts w:ascii="Times New Roman" w:hAnsi="Times New Roman"/>
          <w:sz w:val="20"/>
          <w:szCs w:val="20"/>
        </w:rPr>
        <w:t xml:space="preserve">počtu opatrovanců v průběhu roku není brán zřetel. Jedná se pouze o živé osoby pod opatrovnictvím obcí. Zároveň nehraje roli faktická přítomnost osoby v obci, tedy zda osoba v rozhodném datu pobývá na jiném místě </w:t>
      </w:r>
      <w:r w:rsidRPr="00567438">
        <w:rPr>
          <w:rFonts w:ascii="Times New Roman" w:hAnsi="Times New Roman"/>
          <w:sz w:val="20"/>
          <w:szCs w:val="20"/>
        </w:rPr>
        <w:t>(například zdravotnické zařízení</w:t>
      </w:r>
      <w:r w:rsidR="001C12FC" w:rsidRPr="00567438">
        <w:rPr>
          <w:rFonts w:ascii="Times New Roman" w:hAnsi="Times New Roman"/>
          <w:sz w:val="20"/>
          <w:szCs w:val="20"/>
        </w:rPr>
        <w:t xml:space="preserve"> nebo</w:t>
      </w:r>
      <w:r w:rsidRPr="00567438">
        <w:rPr>
          <w:rFonts w:ascii="Times New Roman" w:hAnsi="Times New Roman"/>
          <w:sz w:val="20"/>
          <w:szCs w:val="20"/>
        </w:rPr>
        <w:t xml:space="preserve"> zařízení sociálních služeb</w:t>
      </w:r>
      <w:r w:rsidR="001C12FC" w:rsidRPr="00567438">
        <w:rPr>
          <w:rFonts w:ascii="Times New Roman" w:hAnsi="Times New Roman"/>
          <w:sz w:val="20"/>
          <w:szCs w:val="20"/>
        </w:rPr>
        <w:t>)</w:t>
      </w:r>
      <w:r w:rsidRPr="00567438">
        <w:rPr>
          <w:rFonts w:ascii="Times New Roman" w:hAnsi="Times New Roman"/>
          <w:sz w:val="20"/>
          <w:szCs w:val="20"/>
        </w:rPr>
        <w:t>,</w:t>
      </w:r>
      <w:r w:rsidRPr="00071CD6">
        <w:rPr>
          <w:rFonts w:ascii="Times New Roman" w:hAnsi="Times New Roman"/>
          <w:sz w:val="20"/>
          <w:szCs w:val="20"/>
        </w:rPr>
        <w:t xml:space="preserve"> či zda jde o osobu migrující v dalších obcích.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Obcím, vykonávajícím působnost veřejných opatrovníků, bude výše příspěvku n</w:t>
      </w:r>
      <w:r>
        <w:rPr>
          <w:rFonts w:ascii="Times New Roman" w:hAnsi="Times New Roman"/>
          <w:sz w:val="20"/>
          <w:szCs w:val="20"/>
        </w:rPr>
        <w:t>a výkon státní správy zvýšena o </w:t>
      </w:r>
      <w:r w:rsidRPr="00071CD6">
        <w:rPr>
          <w:rFonts w:ascii="Times New Roman" w:hAnsi="Times New Roman"/>
          <w:sz w:val="20"/>
          <w:szCs w:val="20"/>
        </w:rPr>
        <w:t>částku, která odpovídá násobku faktického počtu opatrovanců.</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8729B3">
      <w:pPr>
        <w:keepNext/>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E) Financování jednotných kontaktních míst</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Obecní živnostenské úřady podle ustanovení </w:t>
      </w:r>
      <w:r w:rsidRPr="00071CD6">
        <w:rPr>
          <w:rFonts w:ascii="Times New Roman" w:hAnsi="Times New Roman"/>
          <w:sz w:val="20"/>
          <w:szCs w:val="20"/>
          <w:u w:val="single"/>
        </w:rPr>
        <w:t>§ 2 odst. 4 zákona č. 570/1991 Sb</w:t>
      </w:r>
      <w:r w:rsidRPr="00071CD6">
        <w:rPr>
          <w:rFonts w:ascii="Times New Roman" w:hAnsi="Times New Roman"/>
          <w:sz w:val="20"/>
          <w:szCs w:val="20"/>
        </w:rPr>
        <w:t>., o živnostenských úřadech, v</w:t>
      </w:r>
      <w:r>
        <w:rPr>
          <w:rFonts w:ascii="Times New Roman" w:hAnsi="Times New Roman"/>
          <w:sz w:val="20"/>
          <w:szCs w:val="20"/>
        </w:rPr>
        <w:t xml:space="preserve">e </w:t>
      </w:r>
      <w:r w:rsidRPr="00222144">
        <w:rPr>
          <w:rFonts w:ascii="Times New Roman" w:hAnsi="Times New Roman"/>
          <w:sz w:val="20"/>
          <w:szCs w:val="20"/>
        </w:rPr>
        <w:t xml:space="preserve">znění pozdějších </w:t>
      </w:r>
      <w:r w:rsidRPr="00071CD6">
        <w:rPr>
          <w:rFonts w:ascii="Times New Roman" w:hAnsi="Times New Roman"/>
          <w:sz w:val="20"/>
          <w:szCs w:val="20"/>
        </w:rPr>
        <w:t>předpisů</w:t>
      </w:r>
      <w:r w:rsidR="00C35E1E">
        <w:rPr>
          <w:rFonts w:ascii="Times New Roman" w:hAnsi="Times New Roman"/>
          <w:sz w:val="20"/>
          <w:szCs w:val="20"/>
        </w:rPr>
        <w:t>,</w:t>
      </w:r>
      <w:r w:rsidRPr="00071CD6">
        <w:rPr>
          <w:rFonts w:ascii="Times New Roman" w:hAnsi="Times New Roman"/>
          <w:sz w:val="20"/>
          <w:szCs w:val="20"/>
        </w:rPr>
        <w:t xml:space="preserve"> plní funkci jednotného kontaktního místa podle zákona č. 222/2009</w:t>
      </w:r>
      <w:r>
        <w:rPr>
          <w:rFonts w:ascii="Times New Roman" w:hAnsi="Times New Roman"/>
          <w:sz w:val="20"/>
          <w:szCs w:val="20"/>
        </w:rPr>
        <w:t xml:space="preserve"> Sb.</w:t>
      </w:r>
      <w:r w:rsidRPr="00071CD6">
        <w:rPr>
          <w:rFonts w:ascii="Times New Roman" w:hAnsi="Times New Roman"/>
          <w:sz w:val="20"/>
          <w:szCs w:val="20"/>
        </w:rPr>
        <w:t xml:space="preserve">, o volném pohybu služeb, ve znění pozdějších předpisů.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Seznam jednotných kontaktních míst je stanoven přílohou vyhlášky č</w:t>
      </w:r>
      <w:r w:rsidRPr="00071CD6">
        <w:rPr>
          <w:rFonts w:ascii="Times New Roman" w:hAnsi="Times New Roman"/>
          <w:sz w:val="20"/>
          <w:szCs w:val="20"/>
          <w:u w:val="single"/>
        </w:rPr>
        <w:t>. 248/2009 Sb</w:t>
      </w:r>
      <w:r w:rsidRPr="00071CD6">
        <w:rPr>
          <w:rFonts w:ascii="Times New Roman" w:hAnsi="Times New Roman"/>
          <w:sz w:val="20"/>
          <w:szCs w:val="20"/>
        </w:rPr>
        <w:t xml:space="preserve">., kterou se stanoví seznam jednotných kontaktních míst.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Výše příspěvku pro jednotlivá jednotná kontaktní místa je stanovena </w:t>
      </w:r>
      <w:r>
        <w:rPr>
          <w:rFonts w:ascii="Times New Roman" w:hAnsi="Times New Roman"/>
          <w:sz w:val="20"/>
          <w:szCs w:val="20"/>
        </w:rPr>
        <w:t>na základě statistik vedených v </w:t>
      </w:r>
      <w:r w:rsidRPr="00071CD6">
        <w:rPr>
          <w:rFonts w:ascii="Times New Roman" w:hAnsi="Times New Roman"/>
          <w:sz w:val="20"/>
          <w:szCs w:val="20"/>
        </w:rPr>
        <w:t>informačním systému "SINPRO", tj. zaevidovaných a následně řešených dotazů klienta bez duplicit takovéhoto dotazu za</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071CD6">
        <w:rPr>
          <w:rFonts w:ascii="Times New Roman" w:hAnsi="Times New Roman"/>
          <w:sz w:val="20"/>
          <w:szCs w:val="20"/>
        </w:rPr>
        <w:t xml:space="preserve">. Konkrétní počet zaevidovaných a následně řešených dotazů v rámci jednotného kontaktního místa je přiřazen jednomu ze stanovených </w:t>
      </w:r>
      <w:r w:rsidR="00B513E1">
        <w:rPr>
          <w:rFonts w:ascii="Times New Roman" w:hAnsi="Times New Roman"/>
          <w:sz w:val="20"/>
          <w:szCs w:val="20"/>
        </w:rPr>
        <w:t>rozpětí</w:t>
      </w:r>
      <w:r w:rsidRPr="00071CD6">
        <w:rPr>
          <w:rFonts w:ascii="Times New Roman" w:hAnsi="Times New Roman"/>
          <w:sz w:val="20"/>
          <w:szCs w:val="20"/>
        </w:rPr>
        <w:t>, ke kterému jsou navázány finanční prostředky</w:t>
      </w:r>
      <w:r>
        <w:rPr>
          <w:rFonts w:ascii="Times New Roman" w:hAnsi="Times New Roman"/>
          <w:sz w:val="20"/>
          <w:szCs w:val="20"/>
        </w:rPr>
        <w:t xml:space="preserve"> podle níže uvedeného:</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2"/>
        <w:gridCol w:w="3685"/>
      </w:tblGrid>
      <w:tr w:rsidR="00A3160D" w:rsidRPr="000F5B3A" w:rsidTr="00861FD5">
        <w:trPr>
          <w:trHeight w:val="519"/>
        </w:trPr>
        <w:tc>
          <w:tcPr>
            <w:tcW w:w="5402"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sz w:val="20"/>
                <w:szCs w:val="20"/>
              </w:rPr>
              <w:t>Rozpětí zaevidovaných a následně řešených dotazů klientů</w:t>
            </w:r>
          </w:p>
        </w:tc>
        <w:tc>
          <w:tcPr>
            <w:tcW w:w="3685"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0 </w:t>
            </w:r>
            <w:r>
              <w:rPr>
                <w:rFonts w:ascii="Times New Roman" w:hAnsi="Times New Roman"/>
                <w:sz w:val="20"/>
                <w:szCs w:val="20"/>
              </w:rPr>
              <w:t>–</w:t>
            </w:r>
            <w:r w:rsidRPr="00071CD6">
              <w:rPr>
                <w:rFonts w:ascii="Times New Roman" w:hAnsi="Times New Roman"/>
                <w:sz w:val="20"/>
                <w:szCs w:val="20"/>
              </w:rPr>
              <w:t xml:space="preserve"> 25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72 000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26 </w:t>
            </w:r>
            <w:r>
              <w:rPr>
                <w:rFonts w:ascii="Times New Roman" w:hAnsi="Times New Roman"/>
                <w:sz w:val="20"/>
                <w:szCs w:val="20"/>
              </w:rPr>
              <w:t>–</w:t>
            </w:r>
            <w:r w:rsidRPr="00071CD6">
              <w:rPr>
                <w:rFonts w:ascii="Times New Roman" w:hAnsi="Times New Roman"/>
                <w:sz w:val="20"/>
                <w:szCs w:val="20"/>
              </w:rPr>
              <w:t xml:space="preserve"> 50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144 000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51 </w:t>
            </w:r>
            <w:r>
              <w:rPr>
                <w:rFonts w:ascii="Times New Roman" w:hAnsi="Times New Roman"/>
                <w:sz w:val="20"/>
                <w:szCs w:val="20"/>
              </w:rPr>
              <w:t>–</w:t>
            </w:r>
            <w:r w:rsidRPr="00071CD6">
              <w:rPr>
                <w:rFonts w:ascii="Times New Roman" w:hAnsi="Times New Roman"/>
                <w:sz w:val="20"/>
                <w:szCs w:val="20"/>
              </w:rPr>
              <w:t xml:space="preserve"> 75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216 000</w:t>
            </w:r>
          </w:p>
        </w:tc>
      </w:tr>
      <w:tr w:rsidR="007247AD" w:rsidRPr="000F5B3A" w:rsidTr="00307E8D">
        <w:trPr>
          <w:trHeight w:val="315"/>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76 </w:t>
            </w:r>
            <w:r>
              <w:rPr>
                <w:rFonts w:ascii="Times New Roman" w:hAnsi="Times New Roman"/>
                <w:sz w:val="20"/>
                <w:szCs w:val="20"/>
              </w:rPr>
              <w:t>–</w:t>
            </w:r>
            <w:r w:rsidRPr="00071CD6">
              <w:rPr>
                <w:rFonts w:ascii="Times New Roman" w:hAnsi="Times New Roman"/>
                <w:sz w:val="20"/>
                <w:szCs w:val="20"/>
              </w:rPr>
              <w:t xml:space="preserve"> 100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288 000</w:t>
            </w:r>
          </w:p>
        </w:tc>
      </w:tr>
      <w:tr w:rsidR="007247AD" w:rsidRPr="000F5B3A" w:rsidTr="00307E8D">
        <w:trPr>
          <w:trHeight w:val="315"/>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101 </w:t>
            </w:r>
            <w:r>
              <w:rPr>
                <w:rFonts w:ascii="Times New Roman" w:hAnsi="Times New Roman"/>
                <w:sz w:val="20"/>
                <w:szCs w:val="20"/>
              </w:rPr>
              <w:t>–</w:t>
            </w:r>
            <w:r w:rsidRPr="00071CD6">
              <w:rPr>
                <w:rFonts w:ascii="Times New Roman" w:hAnsi="Times New Roman"/>
                <w:sz w:val="20"/>
                <w:szCs w:val="20"/>
              </w:rPr>
              <w:t xml:space="preserve"> 125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360 000</w:t>
            </w:r>
          </w:p>
        </w:tc>
      </w:tr>
      <w:tr w:rsidR="007247AD" w:rsidRPr="000F5B3A" w:rsidTr="00307E8D">
        <w:trPr>
          <w:trHeight w:val="315"/>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126 </w:t>
            </w:r>
            <w:r>
              <w:rPr>
                <w:rFonts w:ascii="Times New Roman" w:hAnsi="Times New Roman"/>
                <w:sz w:val="20"/>
                <w:szCs w:val="20"/>
              </w:rPr>
              <w:t>–</w:t>
            </w:r>
            <w:r w:rsidRPr="00071CD6">
              <w:rPr>
                <w:rFonts w:ascii="Times New Roman" w:hAnsi="Times New Roman"/>
                <w:sz w:val="20"/>
                <w:szCs w:val="20"/>
              </w:rPr>
              <w:t xml:space="preserve"> 150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432 000</w:t>
            </w:r>
          </w:p>
        </w:tc>
      </w:tr>
      <w:tr w:rsidR="007247AD" w:rsidRPr="000F5B3A" w:rsidTr="00307E8D">
        <w:trPr>
          <w:trHeight w:val="315"/>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151 </w:t>
            </w:r>
            <w:r>
              <w:rPr>
                <w:rFonts w:ascii="Times New Roman" w:hAnsi="Times New Roman"/>
                <w:sz w:val="20"/>
                <w:szCs w:val="20"/>
              </w:rPr>
              <w:t>–</w:t>
            </w:r>
            <w:r w:rsidRPr="00071CD6">
              <w:rPr>
                <w:rFonts w:ascii="Times New Roman" w:hAnsi="Times New Roman"/>
                <w:sz w:val="20"/>
                <w:szCs w:val="20"/>
              </w:rPr>
              <w:t xml:space="preserve"> 175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504 000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176 </w:t>
            </w:r>
            <w:r>
              <w:rPr>
                <w:rFonts w:ascii="Times New Roman" w:hAnsi="Times New Roman"/>
                <w:sz w:val="20"/>
                <w:szCs w:val="20"/>
              </w:rPr>
              <w:t>–</w:t>
            </w:r>
            <w:r w:rsidRPr="00071CD6">
              <w:rPr>
                <w:rFonts w:ascii="Times New Roman" w:hAnsi="Times New Roman"/>
                <w:sz w:val="20"/>
                <w:szCs w:val="20"/>
              </w:rPr>
              <w:t xml:space="preserve"> 200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576 000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201 </w:t>
            </w:r>
            <w:r>
              <w:rPr>
                <w:rFonts w:ascii="Times New Roman" w:hAnsi="Times New Roman"/>
                <w:sz w:val="20"/>
                <w:szCs w:val="20"/>
              </w:rPr>
              <w:t>–</w:t>
            </w:r>
            <w:r w:rsidRPr="00071CD6">
              <w:rPr>
                <w:rFonts w:ascii="Times New Roman" w:hAnsi="Times New Roman"/>
                <w:sz w:val="20"/>
                <w:szCs w:val="20"/>
              </w:rPr>
              <w:t xml:space="preserve"> 225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648 000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226 </w:t>
            </w:r>
            <w:r>
              <w:rPr>
                <w:rFonts w:ascii="Times New Roman" w:hAnsi="Times New Roman"/>
                <w:sz w:val="20"/>
                <w:szCs w:val="20"/>
              </w:rPr>
              <w:t>–</w:t>
            </w:r>
            <w:r w:rsidRPr="00071CD6">
              <w:rPr>
                <w:rFonts w:ascii="Times New Roman" w:hAnsi="Times New Roman"/>
                <w:sz w:val="20"/>
                <w:szCs w:val="20"/>
              </w:rPr>
              <w:t xml:space="preserve"> 250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720 000</w:t>
            </w:r>
          </w:p>
        </w:tc>
      </w:tr>
      <w:tr w:rsidR="007247AD" w:rsidRPr="000F5B3A" w:rsidTr="00307E8D">
        <w:trPr>
          <w:trHeight w:val="315"/>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251 </w:t>
            </w:r>
            <w:r>
              <w:rPr>
                <w:rFonts w:ascii="Times New Roman" w:hAnsi="Times New Roman"/>
                <w:sz w:val="20"/>
                <w:szCs w:val="20"/>
              </w:rPr>
              <w:t>–</w:t>
            </w:r>
            <w:r w:rsidRPr="00071CD6">
              <w:rPr>
                <w:rFonts w:ascii="Times New Roman" w:hAnsi="Times New Roman"/>
                <w:sz w:val="20"/>
                <w:szCs w:val="20"/>
              </w:rPr>
              <w:t xml:space="preserve"> 275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792 000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276 </w:t>
            </w:r>
            <w:r>
              <w:rPr>
                <w:rFonts w:ascii="Times New Roman" w:hAnsi="Times New Roman"/>
                <w:sz w:val="20"/>
                <w:szCs w:val="20"/>
              </w:rPr>
              <w:t>–</w:t>
            </w:r>
            <w:r w:rsidRPr="00071CD6">
              <w:rPr>
                <w:rFonts w:ascii="Times New Roman" w:hAnsi="Times New Roman"/>
                <w:sz w:val="20"/>
                <w:szCs w:val="20"/>
              </w:rPr>
              <w:t xml:space="preserve"> 300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864 000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301 - 325</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936 000</w:t>
            </w:r>
          </w:p>
        </w:tc>
      </w:tr>
      <w:tr w:rsidR="007247AD" w:rsidRPr="000F5B3A" w:rsidTr="00307E8D">
        <w:trPr>
          <w:trHeight w:val="300"/>
        </w:trPr>
        <w:tc>
          <w:tcPr>
            <w:tcW w:w="5402" w:type="dxa"/>
            <w:shd w:val="clear" w:color="auto" w:fill="auto"/>
            <w:noWrap/>
            <w:vAlign w:val="center"/>
          </w:tcPr>
          <w:p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326 - 350</w:t>
            </w:r>
          </w:p>
        </w:tc>
        <w:tc>
          <w:tcPr>
            <w:tcW w:w="3685" w:type="dxa"/>
            <w:shd w:val="clear" w:color="auto" w:fill="auto"/>
            <w:noWrap/>
            <w:vAlign w:val="center"/>
          </w:tcPr>
          <w:p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1 008 000</w:t>
            </w:r>
          </w:p>
        </w:tc>
      </w:tr>
    </w:tbl>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EF2AB7" w:rsidRDefault="00EF2AB7"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E163D3" w:rsidP="00F83C77">
      <w:pPr>
        <w:keepNext/>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V</w:t>
      </w:r>
      <w:r w:rsidR="00A3160D" w:rsidRPr="000F5B3A">
        <w:rPr>
          <w:rFonts w:ascii="Times New Roman" w:hAnsi="Times New Roman"/>
          <w:sz w:val="20"/>
          <w:szCs w:val="20"/>
        </w:rPr>
        <w:t>ýše příspěvku pro jednotlivá jednotná kontaktní místa v rámci obcí ČR je následující:</w:t>
      </w:r>
    </w:p>
    <w:tbl>
      <w:tblPr>
        <w:tblW w:w="91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2"/>
        <w:gridCol w:w="3274"/>
        <w:gridCol w:w="3557"/>
      </w:tblGrid>
      <w:tr w:rsidR="00A3160D" w:rsidRPr="000F5B3A" w:rsidTr="008E31EF">
        <w:trPr>
          <w:trHeight w:val="550"/>
        </w:trPr>
        <w:tc>
          <w:tcPr>
            <w:tcW w:w="2292"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Jednotné kontaktní místo v rámci obcí ČR</w:t>
            </w:r>
          </w:p>
        </w:tc>
        <w:tc>
          <w:tcPr>
            <w:tcW w:w="3274"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Počet zaevidovaných a následně řešených dotazů klientů </w:t>
            </w:r>
            <w:r w:rsidR="009E79BD">
              <w:rPr>
                <w:rFonts w:ascii="Times New Roman" w:hAnsi="Times New Roman"/>
                <w:b/>
                <w:bCs/>
                <w:sz w:val="20"/>
                <w:szCs w:val="20"/>
              </w:rPr>
              <w:t>v období od 1. 1. do 31. 12. 20</w:t>
            </w:r>
            <w:r w:rsidR="00D1535F">
              <w:rPr>
                <w:rFonts w:ascii="Times New Roman" w:hAnsi="Times New Roman"/>
                <w:b/>
                <w:bCs/>
                <w:sz w:val="20"/>
                <w:szCs w:val="20"/>
              </w:rPr>
              <w:t>20</w:t>
            </w:r>
          </w:p>
        </w:tc>
        <w:tc>
          <w:tcPr>
            <w:tcW w:w="3557"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Výše příspěvku </w:t>
            </w:r>
            <w:r>
              <w:rPr>
                <w:rFonts w:ascii="Times New Roman" w:hAnsi="Times New Roman"/>
                <w:b/>
                <w:bCs/>
                <w:sz w:val="20"/>
                <w:szCs w:val="20"/>
              </w:rPr>
              <w:t xml:space="preserve">v </w:t>
            </w:r>
            <w:r w:rsidRPr="000F5B3A">
              <w:rPr>
                <w:rFonts w:ascii="Times New Roman" w:hAnsi="Times New Roman"/>
                <w:b/>
                <w:bCs/>
                <w:sz w:val="20"/>
                <w:szCs w:val="20"/>
              </w:rPr>
              <w:t>Kč</w:t>
            </w:r>
          </w:p>
        </w:tc>
      </w:tr>
      <w:tr w:rsidR="00A3160D" w:rsidRPr="000F5B3A" w:rsidTr="008E31EF">
        <w:trPr>
          <w:trHeight w:val="509"/>
        </w:trPr>
        <w:tc>
          <w:tcPr>
            <w:tcW w:w="2292"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274"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557" w:type="dxa"/>
            <w:vMerge/>
            <w:vAlign w:val="center"/>
            <w:hideMark/>
          </w:tcPr>
          <w:p w:rsidR="00A3160D" w:rsidRPr="000F5B3A" w:rsidRDefault="00A3160D" w:rsidP="008E31EF">
            <w:pPr>
              <w:spacing w:after="0" w:line="240" w:lineRule="auto"/>
              <w:rPr>
                <w:rFonts w:ascii="Times New Roman" w:hAnsi="Times New Roman"/>
                <w:bCs/>
                <w:sz w:val="20"/>
                <w:szCs w:val="20"/>
              </w:rPr>
            </w:pP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Ostrava</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261</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792 000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České Budějovice</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128</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432 000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Liberec</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25</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Hradec Králové</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69</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Jihlava</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33</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144 000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Zlín</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51</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Černošice</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16</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Olomouc</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36</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144 000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Karlovy Vary</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64</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Brno</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348</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1 008 000</w:t>
            </w:r>
          </w:p>
        </w:tc>
      </w:tr>
      <w:tr w:rsidR="00C549B7" w:rsidRPr="000F5B3A" w:rsidTr="009E4BFE">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Plzeň</w:t>
            </w:r>
          </w:p>
        </w:tc>
        <w:tc>
          <w:tcPr>
            <w:tcW w:w="3274" w:type="dxa"/>
            <w:shd w:val="clear" w:color="000000" w:fill="FFFFFF"/>
            <w:vAlign w:val="center"/>
          </w:tcPr>
          <w:p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87</w:t>
            </w:r>
          </w:p>
        </w:tc>
        <w:tc>
          <w:tcPr>
            <w:tcW w:w="3557" w:type="dxa"/>
            <w:shd w:val="clear" w:color="000000" w:fill="FFFFFF"/>
            <w:noWrap/>
            <w:vAlign w:val="center"/>
          </w:tcPr>
          <w:p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288 000</w:t>
            </w:r>
          </w:p>
        </w:tc>
      </w:tr>
      <w:tr w:rsidR="00C549B7" w:rsidRPr="000F5B3A" w:rsidTr="00AD1649">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Pardubice</w:t>
            </w:r>
          </w:p>
        </w:tc>
        <w:tc>
          <w:tcPr>
            <w:tcW w:w="3274" w:type="dxa"/>
            <w:shd w:val="clear" w:color="000000" w:fill="FFFFFF"/>
          </w:tcPr>
          <w:p w:rsidR="00C549B7" w:rsidRPr="008D2D83" w:rsidRDefault="00C549B7" w:rsidP="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301</w:t>
            </w:r>
          </w:p>
        </w:tc>
        <w:tc>
          <w:tcPr>
            <w:tcW w:w="3557" w:type="dxa"/>
            <w:shd w:val="clear" w:color="000000" w:fill="FFFFFF"/>
            <w:noWrap/>
          </w:tcPr>
          <w:p w:rsidR="00C549B7" w:rsidRPr="00071CD6" w:rsidRDefault="00C549B7" w:rsidP="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936 000</w:t>
            </w:r>
          </w:p>
        </w:tc>
      </w:tr>
      <w:tr w:rsidR="00C549B7" w:rsidRPr="000F5B3A" w:rsidTr="00AD1649">
        <w:trPr>
          <w:trHeight w:val="297"/>
        </w:trPr>
        <w:tc>
          <w:tcPr>
            <w:tcW w:w="2292" w:type="dxa"/>
            <w:shd w:val="clear" w:color="000000" w:fill="FFFFFF"/>
            <w:hideMark/>
          </w:tcPr>
          <w:p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Ústí nad L</w:t>
            </w:r>
            <w:r w:rsidRPr="008D2D83">
              <w:rPr>
                <w:rFonts w:ascii="Times New Roman" w:hAnsi="Times New Roman"/>
                <w:sz w:val="20"/>
                <w:szCs w:val="20"/>
              </w:rPr>
              <w:t>abem</w:t>
            </w:r>
          </w:p>
        </w:tc>
        <w:tc>
          <w:tcPr>
            <w:tcW w:w="3274" w:type="dxa"/>
            <w:shd w:val="clear" w:color="000000" w:fill="FFFFFF"/>
          </w:tcPr>
          <w:p w:rsidR="00C549B7" w:rsidRPr="008D2D83" w:rsidRDefault="00C549B7" w:rsidP="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23</w:t>
            </w:r>
          </w:p>
        </w:tc>
        <w:tc>
          <w:tcPr>
            <w:tcW w:w="3557" w:type="dxa"/>
            <w:shd w:val="clear" w:color="000000" w:fill="FFFFFF"/>
            <w:noWrap/>
          </w:tcPr>
          <w:p w:rsidR="00C549B7" w:rsidRPr="00071CD6" w:rsidRDefault="00C549B7" w:rsidP="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bl>
    <w:p w:rsidR="00A3160D"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F) Financování vydávání občanských průkazů</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FD23F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občanského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 xml:space="preserve">ží příspěvek ve výši násobku </w:t>
      </w:r>
      <w:r w:rsidR="00C549B7">
        <w:rPr>
          <w:rFonts w:ascii="Times New Roman" w:hAnsi="Times New Roman"/>
          <w:sz w:val="20"/>
          <w:szCs w:val="20"/>
        </w:rPr>
        <w:t>139</w:t>
      </w:r>
      <w:r w:rsidR="00C549B7" w:rsidRPr="004124D9">
        <w:rPr>
          <w:rFonts w:ascii="Times New Roman" w:hAnsi="Times New Roman"/>
          <w:sz w:val="20"/>
          <w:szCs w:val="20"/>
        </w:rPr>
        <w:t xml:space="preserve"> </w:t>
      </w:r>
      <w:r w:rsidRPr="004124D9">
        <w:rPr>
          <w:rFonts w:ascii="Times New Roman" w:hAnsi="Times New Roman"/>
          <w:sz w:val="20"/>
          <w:szCs w:val="20"/>
        </w:rPr>
        <w:t>Kč za každou přijatou žádost o vydání občanského průkazu. Příspěvek nenáleží za přijatou žádost</w:t>
      </w:r>
      <w:r w:rsidR="00FD23F6">
        <w:rPr>
          <w:rFonts w:ascii="Times New Roman" w:hAnsi="Times New Roman"/>
          <w:sz w:val="20"/>
          <w:szCs w:val="20"/>
        </w:rPr>
        <w:t>, u </w:t>
      </w:r>
      <w:r>
        <w:rPr>
          <w:rFonts w:ascii="Times New Roman" w:hAnsi="Times New Roman"/>
          <w:sz w:val="20"/>
          <w:szCs w:val="20"/>
        </w:rPr>
        <w:t>které byl inkasován správní poplatek - tj. žádost</w:t>
      </w:r>
      <w:r w:rsidRPr="004124D9">
        <w:rPr>
          <w:rFonts w:ascii="Times New Roman" w:hAnsi="Times New Roman"/>
          <w:sz w:val="20"/>
          <w:szCs w:val="20"/>
        </w:rPr>
        <w:t xml:space="preserve"> o vydání občanského průkazu s dobou vydání do pěti p</w:t>
      </w:r>
      <w:r>
        <w:rPr>
          <w:rFonts w:ascii="Times New Roman" w:hAnsi="Times New Roman"/>
          <w:sz w:val="20"/>
          <w:szCs w:val="20"/>
        </w:rPr>
        <w:t>racovních dnů a do 24 hodin, žádost o vydání občanského průkazu</w:t>
      </w:r>
      <w:r w:rsidRPr="004124D9">
        <w:rPr>
          <w:rFonts w:ascii="Times New Roman" w:hAnsi="Times New Roman"/>
          <w:sz w:val="20"/>
          <w:szCs w:val="20"/>
        </w:rPr>
        <w:t xml:space="preserve"> s dobou platnosti šest, tři nebo </w:t>
      </w:r>
      <w:r w:rsidR="006237D4">
        <w:rPr>
          <w:rFonts w:ascii="Times New Roman" w:hAnsi="Times New Roman"/>
          <w:sz w:val="20"/>
          <w:szCs w:val="20"/>
        </w:rPr>
        <w:t>jeden</w:t>
      </w:r>
      <w:r w:rsidRPr="004124D9">
        <w:rPr>
          <w:rFonts w:ascii="Times New Roman" w:hAnsi="Times New Roman"/>
          <w:sz w:val="20"/>
          <w:szCs w:val="20"/>
        </w:rPr>
        <w:t xml:space="preserve"> měsíc. </w:t>
      </w: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Další příspěvek obdrží obec, která při vydání občanského průkazu provedla aktivaci jeho elektronického čipu a představila jeho funkce (tzv. </w:t>
      </w:r>
      <w:r w:rsidRPr="004124D9">
        <w:rPr>
          <w:rFonts w:ascii="Times New Roman" w:hAnsi="Times New Roman"/>
          <w:sz w:val="20"/>
          <w:szCs w:val="20"/>
        </w:rPr>
        <w:t>"</w:t>
      </w:r>
      <w:r>
        <w:rPr>
          <w:rFonts w:ascii="Times New Roman" w:hAnsi="Times New Roman"/>
          <w:sz w:val="20"/>
          <w:szCs w:val="20"/>
        </w:rPr>
        <w:t>místo aktivace</w:t>
      </w:r>
      <w:r w:rsidRPr="004124D9">
        <w:rPr>
          <w:rFonts w:ascii="Times New Roman" w:hAnsi="Times New Roman"/>
          <w:sz w:val="20"/>
          <w:szCs w:val="20"/>
        </w:rPr>
        <w:t>"</w:t>
      </w:r>
      <w:r>
        <w:rPr>
          <w:rFonts w:ascii="Times New Roman" w:hAnsi="Times New Roman"/>
          <w:sz w:val="20"/>
          <w:szCs w:val="20"/>
        </w:rPr>
        <w:t>). Za tento úkon obdrž</w:t>
      </w:r>
      <w:r w:rsidR="00071CB1">
        <w:rPr>
          <w:rFonts w:ascii="Times New Roman" w:hAnsi="Times New Roman"/>
          <w:sz w:val="20"/>
          <w:szCs w:val="20"/>
        </w:rPr>
        <w:t xml:space="preserve">í příspěvek ve výši násobku </w:t>
      </w:r>
      <w:r w:rsidR="00C549B7">
        <w:rPr>
          <w:rFonts w:ascii="Times New Roman" w:hAnsi="Times New Roman"/>
          <w:sz w:val="20"/>
          <w:szCs w:val="20"/>
        </w:rPr>
        <w:t xml:space="preserve">35 </w:t>
      </w:r>
      <w:r>
        <w:rPr>
          <w:rFonts w:ascii="Times New Roman" w:hAnsi="Times New Roman"/>
          <w:sz w:val="20"/>
          <w:szCs w:val="20"/>
        </w:rPr>
        <w:t>Kč za každou provedenou aktivaci.</w:t>
      </w: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 xml:space="preserve">Rozhodným obdobím pro stanovení počtu podaných žádostí o vydání </w:t>
      </w:r>
      <w:r w:rsidR="00FD23F6">
        <w:rPr>
          <w:rFonts w:ascii="Times New Roman" w:hAnsi="Times New Roman"/>
          <w:sz w:val="20"/>
          <w:szCs w:val="20"/>
        </w:rPr>
        <w:t>a počtu aktivovaných občanských průkazů, které</w:t>
      </w:r>
      <w:r w:rsidRPr="004124D9">
        <w:rPr>
          <w:rFonts w:ascii="Times New Roman" w:hAnsi="Times New Roman"/>
          <w:sz w:val="20"/>
          <w:szCs w:val="20"/>
        </w:rPr>
        <w:t xml:space="preserve"> </w:t>
      </w:r>
      <w:r w:rsidR="00FD23F6">
        <w:rPr>
          <w:rFonts w:ascii="Times New Roman" w:hAnsi="Times New Roman"/>
          <w:sz w:val="20"/>
          <w:szCs w:val="20"/>
        </w:rPr>
        <w:t>jsou</w:t>
      </w:r>
      <w:r w:rsidRPr="004124D9">
        <w:rPr>
          <w:rFonts w:ascii="Times New Roman" w:hAnsi="Times New Roman"/>
          <w:sz w:val="20"/>
          <w:szCs w:val="20"/>
        </w:rPr>
        <w:t xml:space="preserve"> získ</w:t>
      </w:r>
      <w:r w:rsidR="00FD23F6">
        <w:rPr>
          <w:rFonts w:ascii="Times New Roman" w:hAnsi="Times New Roman"/>
          <w:sz w:val="20"/>
          <w:szCs w:val="20"/>
        </w:rPr>
        <w:t>ány</w:t>
      </w:r>
      <w:r w:rsidRPr="004124D9">
        <w:rPr>
          <w:rFonts w:ascii="Times New Roman" w:hAnsi="Times New Roman"/>
          <w:sz w:val="20"/>
          <w:szCs w:val="20"/>
        </w:rPr>
        <w:t xml:space="preserve"> na základě údajů příslušného informačního systému Ministerstva vnitra, je</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4124D9">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 xml:space="preserve">G) Financování vydávání řidičských průkazů </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307E8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řidičského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 xml:space="preserve">ží příspěvek ve výši násobku </w:t>
      </w:r>
      <w:r w:rsidR="00C549B7">
        <w:rPr>
          <w:rFonts w:ascii="Times New Roman" w:hAnsi="Times New Roman"/>
          <w:sz w:val="20"/>
          <w:szCs w:val="20"/>
        </w:rPr>
        <w:t>139</w:t>
      </w:r>
      <w:r w:rsidR="00C549B7" w:rsidRPr="004124D9">
        <w:rPr>
          <w:rFonts w:ascii="Times New Roman" w:hAnsi="Times New Roman"/>
          <w:sz w:val="20"/>
          <w:szCs w:val="20"/>
        </w:rPr>
        <w:t xml:space="preserve"> </w:t>
      </w:r>
      <w:r w:rsidRPr="004124D9">
        <w:rPr>
          <w:rFonts w:ascii="Times New Roman" w:hAnsi="Times New Roman"/>
          <w:sz w:val="20"/>
          <w:szCs w:val="20"/>
        </w:rPr>
        <w:t>Kč za přijatou žádost o vydání řidičského průkazu. Příspěvek nenáleží za přijatou žádost o vydání řidičského průkazu s dobo</w:t>
      </w:r>
      <w:r>
        <w:rPr>
          <w:rFonts w:ascii="Times New Roman" w:hAnsi="Times New Roman"/>
          <w:sz w:val="20"/>
          <w:szCs w:val="20"/>
        </w:rPr>
        <w:t xml:space="preserve">u vydání do pěti pracovních dnů a </w:t>
      </w:r>
      <w:r w:rsidRPr="004124D9">
        <w:rPr>
          <w:rFonts w:ascii="Times New Roman" w:hAnsi="Times New Roman"/>
          <w:sz w:val="20"/>
          <w:szCs w:val="20"/>
        </w:rPr>
        <w:t>žádosti o vydá</w:t>
      </w:r>
      <w:r>
        <w:rPr>
          <w:rFonts w:ascii="Times New Roman" w:hAnsi="Times New Roman"/>
          <w:sz w:val="20"/>
          <w:szCs w:val="20"/>
        </w:rPr>
        <w:t>ní nového řidičského průkazu, u </w:t>
      </w:r>
      <w:r w:rsidRPr="004124D9">
        <w:rPr>
          <w:rFonts w:ascii="Times New Roman" w:hAnsi="Times New Roman"/>
          <w:sz w:val="20"/>
          <w:szCs w:val="20"/>
        </w:rPr>
        <w:t xml:space="preserve">kterých byl inkasován správní poplatek. </w:t>
      </w:r>
    </w:p>
    <w:p w:rsidR="00307E8D" w:rsidRDefault="00307E8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Rozhodným obdobím pro stanovení počtu podaných žádostí o vydání řidičských průkazů, který je získaný na základě údajů příslušného informačního systému Ministerstva dopravy, je</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4124D9">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H) Financování matričních úřadů</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 xml:space="preserve">Celkový objem prostředků určených na financování matričních úřadů byl rozdělen na dvě </w:t>
      </w:r>
      <w:r>
        <w:rPr>
          <w:rFonts w:ascii="Times New Roman" w:hAnsi="Times New Roman"/>
          <w:sz w:val="20"/>
          <w:szCs w:val="20"/>
        </w:rPr>
        <w:t>části</w:t>
      </w:r>
      <w:r w:rsidRPr="004124D9">
        <w:rPr>
          <w:rFonts w:ascii="Times New Roman" w:hAnsi="Times New Roman"/>
          <w:sz w:val="20"/>
          <w:szCs w:val="20"/>
        </w:rPr>
        <w:t xml:space="preserve">. První část byla obcím alokována na základě </w:t>
      </w:r>
      <w:r>
        <w:rPr>
          <w:rFonts w:ascii="Times New Roman" w:hAnsi="Times New Roman"/>
          <w:sz w:val="20"/>
          <w:szCs w:val="20"/>
        </w:rPr>
        <w:t xml:space="preserve">vzorců a koeficientů zahrnující počet obyvatel </w:t>
      </w:r>
      <w:r w:rsidRPr="006D37EB">
        <w:rPr>
          <w:rFonts w:ascii="Times New Roman" w:hAnsi="Times New Roman"/>
          <w:sz w:val="20"/>
          <w:szCs w:val="20"/>
        </w:rPr>
        <w:t xml:space="preserve">ve správním obvodu </w:t>
      </w:r>
      <w:r>
        <w:rPr>
          <w:rFonts w:ascii="Times New Roman" w:hAnsi="Times New Roman"/>
          <w:sz w:val="20"/>
          <w:szCs w:val="20"/>
        </w:rPr>
        <w:t>viz část 1.A) a 1.B)</w:t>
      </w:r>
      <w:r w:rsidRPr="004124D9">
        <w:rPr>
          <w:rFonts w:ascii="Times New Roman" w:hAnsi="Times New Roman"/>
          <w:sz w:val="20"/>
          <w:szCs w:val="20"/>
        </w:rPr>
        <w:t>. Druhá část byla rozdělena na základě počtu sledovaných úkonů. Obec, jejíž matriční úřad pr</w:t>
      </w:r>
      <w:r w:rsidR="00142D7F">
        <w:rPr>
          <w:rFonts w:ascii="Times New Roman" w:hAnsi="Times New Roman"/>
          <w:sz w:val="20"/>
          <w:szCs w:val="20"/>
        </w:rPr>
        <w:t>ovedl v </w:t>
      </w:r>
      <w:r w:rsidRPr="004124D9">
        <w:rPr>
          <w:rFonts w:ascii="Times New Roman" w:hAnsi="Times New Roman"/>
          <w:sz w:val="20"/>
          <w:szCs w:val="20"/>
        </w:rPr>
        <w:t>rozhodném období od 1. 1</w:t>
      </w:r>
      <w:r>
        <w:rPr>
          <w:rFonts w:ascii="Times New Roman" w:hAnsi="Times New Roman"/>
          <w:sz w:val="20"/>
          <w:szCs w:val="20"/>
        </w:rPr>
        <w:t>.</w:t>
      </w:r>
      <w:r w:rsidR="00DA474A">
        <w:rPr>
          <w:rFonts w:ascii="Times New Roman" w:hAnsi="Times New Roman"/>
          <w:sz w:val="20"/>
          <w:szCs w:val="20"/>
        </w:rPr>
        <w:t xml:space="preserve"> do 31. 12. 20</w:t>
      </w:r>
      <w:r w:rsidR="00D1535F">
        <w:rPr>
          <w:rFonts w:ascii="Times New Roman" w:hAnsi="Times New Roman"/>
          <w:sz w:val="20"/>
          <w:szCs w:val="20"/>
        </w:rPr>
        <w:t>20</w:t>
      </w:r>
      <w:r w:rsidRPr="004124D9">
        <w:rPr>
          <w:rFonts w:ascii="Times New Roman" w:hAnsi="Times New Roman"/>
          <w:sz w:val="20"/>
          <w:szCs w:val="20"/>
        </w:rPr>
        <w:t xml:space="preserve"> úkon, obdrží za jeho provedení příspěvek. Za každý provedený zápis v knize narození o</w:t>
      </w:r>
      <w:r w:rsidR="00071CB1">
        <w:rPr>
          <w:rFonts w:ascii="Times New Roman" w:hAnsi="Times New Roman"/>
          <w:sz w:val="20"/>
          <w:szCs w:val="20"/>
        </w:rPr>
        <w:t xml:space="preserve">bdrží příspěvek ve výši </w:t>
      </w:r>
      <w:r w:rsidR="00C549B7">
        <w:rPr>
          <w:rFonts w:ascii="Times New Roman" w:hAnsi="Times New Roman"/>
          <w:sz w:val="20"/>
          <w:szCs w:val="20"/>
        </w:rPr>
        <w:t xml:space="preserve">741 </w:t>
      </w:r>
      <w:r>
        <w:rPr>
          <w:rFonts w:ascii="Times New Roman" w:hAnsi="Times New Roman"/>
          <w:sz w:val="20"/>
          <w:szCs w:val="20"/>
        </w:rPr>
        <w:t>Kč. Za každý provedený zápis v </w:t>
      </w:r>
      <w:r w:rsidRPr="004124D9">
        <w:rPr>
          <w:rFonts w:ascii="Times New Roman" w:hAnsi="Times New Roman"/>
          <w:sz w:val="20"/>
          <w:szCs w:val="20"/>
        </w:rPr>
        <w:t>knize manželství nebo partnerství obd</w:t>
      </w:r>
      <w:r w:rsidR="00071CB1">
        <w:rPr>
          <w:rFonts w:ascii="Times New Roman" w:hAnsi="Times New Roman"/>
          <w:sz w:val="20"/>
          <w:szCs w:val="20"/>
        </w:rPr>
        <w:t xml:space="preserve">rží příspěvek ve výši </w:t>
      </w:r>
      <w:r w:rsidR="00C549B7">
        <w:rPr>
          <w:rFonts w:ascii="Times New Roman" w:hAnsi="Times New Roman"/>
          <w:sz w:val="20"/>
          <w:szCs w:val="20"/>
        </w:rPr>
        <w:t xml:space="preserve">2964 </w:t>
      </w:r>
      <w:r w:rsidRPr="004124D9">
        <w:rPr>
          <w:rFonts w:ascii="Times New Roman" w:hAnsi="Times New Roman"/>
          <w:sz w:val="20"/>
          <w:szCs w:val="20"/>
        </w:rPr>
        <w:t>Kč a za každý provedený zápis v knize úmrtí obdrž</w:t>
      </w:r>
      <w:r w:rsidR="00071CB1">
        <w:rPr>
          <w:rFonts w:ascii="Times New Roman" w:hAnsi="Times New Roman"/>
          <w:sz w:val="20"/>
          <w:szCs w:val="20"/>
        </w:rPr>
        <w:t xml:space="preserve">í příspěvek </w:t>
      </w:r>
      <w:r w:rsidR="00C549B7">
        <w:rPr>
          <w:rFonts w:ascii="Times New Roman" w:hAnsi="Times New Roman"/>
          <w:sz w:val="20"/>
          <w:szCs w:val="20"/>
        </w:rPr>
        <w:t>988</w:t>
      </w:r>
      <w:r w:rsidR="00C549B7" w:rsidRPr="004124D9">
        <w:rPr>
          <w:rFonts w:ascii="Times New Roman" w:hAnsi="Times New Roman"/>
          <w:sz w:val="20"/>
          <w:szCs w:val="20"/>
        </w:rPr>
        <w:t xml:space="preserve"> </w:t>
      </w:r>
      <w:r w:rsidRPr="004124D9">
        <w:rPr>
          <w:rFonts w:ascii="Times New Roman" w:hAnsi="Times New Roman"/>
          <w:sz w:val="20"/>
          <w:szCs w:val="20"/>
        </w:rPr>
        <w:t xml:space="preserve">Kč. Za každý úkon určení otcovství souhlasným prohlášením rodičů obdrží příspěvek ve výši </w:t>
      </w:r>
      <w:r w:rsidR="00C549B7">
        <w:rPr>
          <w:rFonts w:ascii="Times New Roman" w:hAnsi="Times New Roman"/>
          <w:sz w:val="20"/>
          <w:szCs w:val="20"/>
        </w:rPr>
        <w:t>247</w:t>
      </w:r>
      <w:r w:rsidR="00C549B7" w:rsidRPr="004124D9">
        <w:rPr>
          <w:rFonts w:ascii="Times New Roman" w:hAnsi="Times New Roman"/>
          <w:sz w:val="20"/>
          <w:szCs w:val="20"/>
        </w:rPr>
        <w:t xml:space="preserve"> </w:t>
      </w:r>
      <w:r w:rsidRPr="004124D9">
        <w:rPr>
          <w:rFonts w:ascii="Times New Roman" w:hAnsi="Times New Roman"/>
          <w:sz w:val="20"/>
          <w:szCs w:val="20"/>
        </w:rPr>
        <w:t>Kč</w:t>
      </w:r>
      <w:r w:rsidR="00D81FF8">
        <w:rPr>
          <w:rFonts w:ascii="Times New Roman" w:hAnsi="Times New Roman"/>
          <w:sz w:val="20"/>
          <w:szCs w:val="20"/>
        </w:rPr>
        <w:t>.</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V případě obc</w:t>
      </w:r>
      <w:r w:rsidR="00947317">
        <w:rPr>
          <w:rFonts w:ascii="Times New Roman" w:hAnsi="Times New Roman"/>
          <w:sz w:val="20"/>
          <w:szCs w:val="20"/>
        </w:rPr>
        <w:t>í</w:t>
      </w:r>
      <w:r w:rsidRPr="004124D9">
        <w:rPr>
          <w:rFonts w:ascii="Times New Roman" w:hAnsi="Times New Roman"/>
          <w:sz w:val="20"/>
          <w:szCs w:val="20"/>
        </w:rPr>
        <w:t xml:space="preserve"> s rozšířenou působnosti se zvláštním postavením, které vykonávaly do 31. 12. 2002 působnost okresního úřadu podle § 10 zákona č. 147/2000 Sb., o okresních úřadech, ve znění zákona č. 320/2001 Sb. (zákon č. 147/2000 Sb. byl zrušen ke dni 1. 1. 2003), bude financována jen výkonová složka, a to</w:t>
      </w:r>
      <w:r>
        <w:rPr>
          <w:rFonts w:ascii="Times New Roman" w:hAnsi="Times New Roman"/>
          <w:sz w:val="20"/>
          <w:szCs w:val="20"/>
        </w:rPr>
        <w:t xml:space="preserve"> z důvodu vznikající úspory z rozsahu. Č</w:t>
      </w:r>
      <w:r w:rsidRPr="004124D9">
        <w:rPr>
          <w:rFonts w:ascii="Times New Roman" w:hAnsi="Times New Roman"/>
          <w:sz w:val="20"/>
          <w:szCs w:val="20"/>
        </w:rPr>
        <w:t xml:space="preserve">ástky za provedené zápisy </w:t>
      </w:r>
      <w:r>
        <w:rPr>
          <w:rFonts w:ascii="Times New Roman" w:hAnsi="Times New Roman"/>
          <w:sz w:val="20"/>
          <w:szCs w:val="20"/>
        </w:rPr>
        <w:t>a úkon určení otcovství odpovídají</w:t>
      </w:r>
      <w:r w:rsidRPr="004124D9">
        <w:rPr>
          <w:rFonts w:ascii="Times New Roman" w:hAnsi="Times New Roman"/>
          <w:sz w:val="20"/>
          <w:szCs w:val="20"/>
        </w:rPr>
        <w:t xml:space="preserve"> výše uvedenému. Výše příspěvku bude přičtena k celkovému příspěvku </w:t>
      </w:r>
      <w:r>
        <w:rPr>
          <w:rFonts w:ascii="Times New Roman" w:hAnsi="Times New Roman"/>
          <w:sz w:val="20"/>
          <w:szCs w:val="20"/>
        </w:rPr>
        <w:t>na zvláštní postavení, viz část</w:t>
      </w:r>
      <w:r w:rsidRPr="004124D9">
        <w:rPr>
          <w:rFonts w:ascii="Times New Roman" w:hAnsi="Times New Roman"/>
          <w:sz w:val="20"/>
          <w:szCs w:val="20"/>
        </w:rPr>
        <w:t xml:space="preserve"> </w:t>
      </w:r>
      <w:r>
        <w:rPr>
          <w:rFonts w:ascii="Times New Roman" w:hAnsi="Times New Roman"/>
          <w:sz w:val="20"/>
          <w:szCs w:val="20"/>
        </w:rPr>
        <w:t>1.</w:t>
      </w:r>
      <w:r w:rsidRPr="004124D9">
        <w:rPr>
          <w:rFonts w:ascii="Times New Roman" w:hAnsi="Times New Roman"/>
          <w:sz w:val="20"/>
          <w:szCs w:val="20"/>
        </w:rPr>
        <w:t>C</w:t>
      </w:r>
      <w:r>
        <w:rPr>
          <w:rFonts w:ascii="Times New Roman" w:hAnsi="Times New Roman"/>
          <w:sz w:val="20"/>
          <w:szCs w:val="20"/>
        </w:rPr>
        <w:t>)</w:t>
      </w:r>
      <w:r w:rsidRPr="004124D9">
        <w:rPr>
          <w:rFonts w:ascii="Times New Roman" w:hAnsi="Times New Roman"/>
          <w:sz w:val="20"/>
          <w:szCs w:val="20"/>
        </w:rPr>
        <w:t>.</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Počty zápisů vycházejí ze statistického zjišťování prováděného Českým statistickým úřadem.</w:t>
      </w:r>
      <w:r>
        <w:rPr>
          <w:rFonts w:ascii="Times New Roman" w:hAnsi="Times New Roman"/>
          <w:sz w:val="20"/>
          <w:szCs w:val="20"/>
        </w:rPr>
        <w:t xml:space="preserve"> </w:t>
      </w:r>
      <w:r w:rsidR="00465D33" w:rsidRPr="00465D33">
        <w:rPr>
          <w:rFonts w:ascii="Times New Roman" w:hAnsi="Times New Roman"/>
          <w:sz w:val="20"/>
          <w:szCs w:val="20"/>
        </w:rPr>
        <w:t xml:space="preserve">Počty úkonů určení otcovství vycházejí z údajů poskytnutých a </w:t>
      </w:r>
      <w:r w:rsidR="00465D33">
        <w:rPr>
          <w:rFonts w:ascii="Times New Roman" w:hAnsi="Times New Roman"/>
          <w:sz w:val="20"/>
          <w:szCs w:val="20"/>
        </w:rPr>
        <w:t>verifikovaných</w:t>
      </w:r>
      <w:r w:rsidR="00465D33" w:rsidRPr="00465D33">
        <w:rPr>
          <w:rFonts w:ascii="Times New Roman" w:hAnsi="Times New Roman"/>
          <w:sz w:val="20"/>
          <w:szCs w:val="20"/>
        </w:rPr>
        <w:t xml:space="preserve"> </w:t>
      </w:r>
      <w:r w:rsidR="00465D33">
        <w:rPr>
          <w:rFonts w:ascii="Times New Roman" w:hAnsi="Times New Roman"/>
          <w:sz w:val="20"/>
          <w:szCs w:val="20"/>
        </w:rPr>
        <w:t>obecními úřady s působností matričního úřadu</w:t>
      </w:r>
      <w:r w:rsidR="00465D33" w:rsidRPr="00465D33">
        <w:rPr>
          <w:rFonts w:ascii="Times New Roman" w:hAnsi="Times New Roman"/>
          <w:sz w:val="20"/>
          <w:szCs w:val="20"/>
        </w:rPr>
        <w:t>.</w:t>
      </w:r>
    </w:p>
    <w:p w:rsidR="00A3160D" w:rsidRPr="004124D9"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A0896"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I</w:t>
      </w:r>
      <w:r w:rsidRPr="000A0896">
        <w:rPr>
          <w:rFonts w:ascii="Times New Roman" w:hAnsi="Times New Roman"/>
          <w:b/>
          <w:sz w:val="24"/>
          <w:szCs w:val="24"/>
        </w:rPr>
        <w:t>) Financování úřadů územního plánování</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řenou působností podle části 1.</w:t>
      </w:r>
      <w:r w:rsidRPr="004B6F91">
        <w:rPr>
          <w:rFonts w:ascii="Times New Roman" w:hAnsi="Times New Roman"/>
          <w:sz w:val="20"/>
          <w:szCs w:val="20"/>
        </w:rPr>
        <w:t>B), který obsahuje i poměrnou část příspěvku na pokrytí výkonu agendy úřadů územního plánování, v souladu s platnou právní úpravou, tj. zákonem  č. 183/2006 Sb., o územním plánování a stavebním řádu (stavební zákon), ve znění poz</w:t>
      </w:r>
      <w:r w:rsidR="00142D7F">
        <w:rPr>
          <w:rFonts w:ascii="Times New Roman" w:hAnsi="Times New Roman"/>
          <w:sz w:val="20"/>
          <w:szCs w:val="20"/>
        </w:rPr>
        <w:t>dějších předpisů, obdrží obce s </w:t>
      </w:r>
      <w:r w:rsidRPr="004B6F91">
        <w:rPr>
          <w:rFonts w:ascii="Times New Roman" w:hAnsi="Times New Roman"/>
          <w:sz w:val="20"/>
          <w:szCs w:val="20"/>
        </w:rPr>
        <w:t>rozšířenou působností další část příspěvku</w:t>
      </w:r>
      <w:r w:rsidRPr="00EF2AB7">
        <w:rPr>
          <w:rFonts w:ascii="Times New Roman" w:hAnsi="Times New Roman"/>
          <w:sz w:val="20"/>
          <w:szCs w:val="20"/>
        </w:rPr>
        <w:t xml:space="preserve">. </w:t>
      </w:r>
      <w:r w:rsidR="002F3A51" w:rsidRPr="00EF2AB7">
        <w:rPr>
          <w:rFonts w:ascii="Times New Roman" w:hAnsi="Times New Roman"/>
          <w:sz w:val="20"/>
          <w:szCs w:val="20"/>
        </w:rPr>
        <w:t>Agenda uvedená ve větě první byla do zákona č. 183/2006 Sb. doplněna zákonem č. 225/2017 Sb., kterým se mění zákon č. 183/2006 Sb., o územním plánování a stavebním řádu (stavební zákon), ve znění pozdějších předpisů, a další související zákony.</w:t>
      </w: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Obec s rozšířenou působností obdrží příspěvek za každé závazné stanovisko vydané v období od 1. 1</w:t>
      </w:r>
      <w:r w:rsidR="00DA474A">
        <w:rPr>
          <w:rFonts w:ascii="Times New Roman" w:hAnsi="Times New Roman"/>
          <w:sz w:val="20"/>
          <w:szCs w:val="20"/>
        </w:rPr>
        <w:t>. do 31. 12. 20</w:t>
      </w:r>
      <w:r w:rsidR="00D1535F">
        <w:rPr>
          <w:rFonts w:ascii="Times New Roman" w:hAnsi="Times New Roman"/>
          <w:sz w:val="20"/>
          <w:szCs w:val="20"/>
        </w:rPr>
        <w:t>20</w:t>
      </w:r>
      <w:r w:rsidRPr="004B6F91">
        <w:rPr>
          <w:rFonts w:ascii="Times New Roman" w:hAnsi="Times New Roman"/>
          <w:sz w:val="20"/>
          <w:szCs w:val="20"/>
        </w:rPr>
        <w:t xml:space="preserve"> podle § 96b zákona č. 183/2006 Sb., o územním plánování a stavebním řádu (stavební zákon), ve znění zákona č. </w:t>
      </w:r>
      <w:r w:rsidR="00DA474A">
        <w:rPr>
          <w:rFonts w:ascii="Times New Roman" w:hAnsi="Times New Roman"/>
          <w:sz w:val="20"/>
          <w:szCs w:val="20"/>
        </w:rPr>
        <w:t>225/2017 Sb. Částka pro rok 202</w:t>
      </w:r>
      <w:r w:rsidR="00D1535F">
        <w:rPr>
          <w:rFonts w:ascii="Times New Roman" w:hAnsi="Times New Roman"/>
          <w:sz w:val="20"/>
          <w:szCs w:val="20"/>
        </w:rPr>
        <w:t>2</w:t>
      </w:r>
      <w:r w:rsidRPr="004B6F91">
        <w:rPr>
          <w:rFonts w:ascii="Times New Roman" w:hAnsi="Times New Roman"/>
          <w:sz w:val="20"/>
          <w:szCs w:val="20"/>
        </w:rPr>
        <w:t xml:space="preserve"> za jeden úkon činí </w:t>
      </w:r>
      <w:r w:rsidR="00C549B7">
        <w:rPr>
          <w:rFonts w:ascii="Times New Roman" w:hAnsi="Times New Roman"/>
          <w:sz w:val="20"/>
          <w:szCs w:val="20"/>
        </w:rPr>
        <w:t xml:space="preserve">2706 </w:t>
      </w:r>
      <w:r w:rsidRPr="004B6F91">
        <w:rPr>
          <w:rFonts w:ascii="Times New Roman" w:hAnsi="Times New Roman"/>
          <w:sz w:val="20"/>
          <w:szCs w:val="20"/>
        </w:rPr>
        <w:t xml:space="preserve">Kč. </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Počty závazných stanovisek, které nejsou samostatným rozhodnutím v</w:t>
      </w:r>
      <w:r w:rsidR="008729B3">
        <w:rPr>
          <w:rFonts w:ascii="Times New Roman" w:hAnsi="Times New Roman"/>
          <w:sz w:val="20"/>
          <w:szCs w:val="20"/>
        </w:rPr>
        <w:t xml:space="preserve">e správním řízení, vycházejí z resortního </w:t>
      </w:r>
      <w:r w:rsidRPr="004B6F91">
        <w:rPr>
          <w:rFonts w:ascii="Times New Roman" w:hAnsi="Times New Roman"/>
          <w:sz w:val="20"/>
          <w:szCs w:val="20"/>
        </w:rPr>
        <w:t xml:space="preserve">zjišťování prováděného Ministerstvem pro místní rozvoj. </w:t>
      </w:r>
    </w:p>
    <w:p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EA467E" w:rsidRPr="000A0896" w:rsidRDefault="00EA467E" w:rsidP="009E4BFE">
      <w:pPr>
        <w:keepNext/>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J</w:t>
      </w:r>
      <w:r w:rsidRPr="000A0896">
        <w:rPr>
          <w:rFonts w:ascii="Times New Roman" w:hAnsi="Times New Roman"/>
          <w:b/>
          <w:sz w:val="24"/>
          <w:szCs w:val="24"/>
        </w:rPr>
        <w:t xml:space="preserve">) Financování </w:t>
      </w:r>
      <w:r>
        <w:rPr>
          <w:rFonts w:ascii="Times New Roman" w:hAnsi="Times New Roman"/>
          <w:b/>
          <w:sz w:val="24"/>
          <w:szCs w:val="24"/>
        </w:rPr>
        <w:t>živnostenských úřadů</w:t>
      </w:r>
    </w:p>
    <w:p w:rsidR="00EA467E" w:rsidRPr="000F5B3A" w:rsidRDefault="00EA467E" w:rsidP="009E4BFE">
      <w:pPr>
        <w:keepNext/>
        <w:widowControl w:val="0"/>
        <w:overflowPunct w:val="0"/>
        <w:autoSpaceDE w:val="0"/>
        <w:autoSpaceDN w:val="0"/>
        <w:adjustRightInd w:val="0"/>
        <w:spacing w:after="0" w:line="240" w:lineRule="auto"/>
        <w:ind w:right="40"/>
        <w:jc w:val="both"/>
        <w:rPr>
          <w:rFonts w:ascii="Times New Roman" w:hAnsi="Times New Roman"/>
          <w:sz w:val="24"/>
          <w:szCs w:val="24"/>
        </w:rPr>
      </w:pPr>
    </w:p>
    <w:p w:rsidR="00EA467E" w:rsidRPr="00EF2AB7"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řenou působností podle části 1.</w:t>
      </w:r>
      <w:r w:rsidRPr="004B6F91">
        <w:rPr>
          <w:rFonts w:ascii="Times New Roman" w:hAnsi="Times New Roman"/>
          <w:sz w:val="20"/>
          <w:szCs w:val="20"/>
        </w:rPr>
        <w:t xml:space="preserve">B), který obsahuje i poměrnou část příspěvku na pokrytí výkonu agendy </w:t>
      </w:r>
      <w:r>
        <w:rPr>
          <w:rFonts w:ascii="Times New Roman" w:hAnsi="Times New Roman"/>
          <w:sz w:val="20"/>
          <w:szCs w:val="20"/>
        </w:rPr>
        <w:t>živnostenských úřadů</w:t>
      </w:r>
      <w:r w:rsidRPr="004B6F91">
        <w:rPr>
          <w:rFonts w:ascii="Times New Roman" w:hAnsi="Times New Roman"/>
          <w:sz w:val="20"/>
          <w:szCs w:val="20"/>
        </w:rPr>
        <w:t>, v souladu s platnou právní úpravou, tj. zákonem č.</w:t>
      </w:r>
      <w:r w:rsidR="002E2E15">
        <w:rPr>
          <w:rFonts w:ascii="Times New Roman" w:hAnsi="Times New Roman"/>
          <w:sz w:val="20"/>
          <w:szCs w:val="20"/>
        </w:rPr>
        <w:t> </w:t>
      </w:r>
      <w:r>
        <w:rPr>
          <w:rFonts w:ascii="Times New Roman" w:hAnsi="Times New Roman"/>
          <w:sz w:val="20"/>
          <w:szCs w:val="20"/>
        </w:rPr>
        <w:t>455</w:t>
      </w:r>
      <w:r w:rsidRPr="004B6F91">
        <w:rPr>
          <w:rFonts w:ascii="Times New Roman" w:hAnsi="Times New Roman"/>
          <w:sz w:val="20"/>
          <w:szCs w:val="20"/>
        </w:rPr>
        <w:t>/</w:t>
      </w:r>
      <w:r>
        <w:rPr>
          <w:rFonts w:ascii="Times New Roman" w:hAnsi="Times New Roman"/>
          <w:sz w:val="20"/>
          <w:szCs w:val="20"/>
        </w:rPr>
        <w:t>1991</w:t>
      </w:r>
      <w:r w:rsidRPr="004B6F91">
        <w:rPr>
          <w:rFonts w:ascii="Times New Roman" w:hAnsi="Times New Roman"/>
          <w:sz w:val="20"/>
          <w:szCs w:val="20"/>
        </w:rPr>
        <w:t xml:space="preserve"> Sb., o </w:t>
      </w:r>
      <w:r>
        <w:rPr>
          <w:rFonts w:ascii="Times New Roman" w:hAnsi="Times New Roman"/>
          <w:sz w:val="20"/>
          <w:szCs w:val="20"/>
        </w:rPr>
        <w:t>živnostenském podnikání</w:t>
      </w:r>
      <w:r w:rsidRPr="004B6F91">
        <w:rPr>
          <w:rFonts w:ascii="Times New Roman" w:hAnsi="Times New Roman"/>
          <w:sz w:val="20"/>
          <w:szCs w:val="20"/>
        </w:rPr>
        <w:t xml:space="preserve"> (</w:t>
      </w:r>
      <w:r>
        <w:rPr>
          <w:rFonts w:ascii="Times New Roman" w:hAnsi="Times New Roman"/>
          <w:sz w:val="20"/>
          <w:szCs w:val="20"/>
        </w:rPr>
        <w:t>živnostenský</w:t>
      </w:r>
      <w:r w:rsidRPr="004B6F91">
        <w:rPr>
          <w:rFonts w:ascii="Times New Roman" w:hAnsi="Times New Roman"/>
          <w:sz w:val="20"/>
          <w:szCs w:val="20"/>
        </w:rPr>
        <w:t xml:space="preserve"> zákon), ve znění pozdějších předpisů, </w:t>
      </w:r>
      <w:r>
        <w:rPr>
          <w:rFonts w:ascii="Times New Roman" w:hAnsi="Times New Roman"/>
          <w:sz w:val="20"/>
          <w:szCs w:val="20"/>
        </w:rPr>
        <w:t>a zákonem č.</w:t>
      </w:r>
      <w:r w:rsidR="002E2E15">
        <w:rPr>
          <w:rFonts w:ascii="Times New Roman" w:hAnsi="Times New Roman"/>
          <w:sz w:val="20"/>
          <w:szCs w:val="20"/>
        </w:rPr>
        <w:t> </w:t>
      </w:r>
      <w:r>
        <w:rPr>
          <w:rFonts w:ascii="Times New Roman" w:hAnsi="Times New Roman"/>
          <w:sz w:val="20"/>
          <w:szCs w:val="20"/>
        </w:rPr>
        <w:t>570/1991 S</w:t>
      </w:r>
      <w:r w:rsidR="00834EEA">
        <w:rPr>
          <w:rFonts w:ascii="Times New Roman" w:hAnsi="Times New Roman"/>
          <w:sz w:val="20"/>
          <w:szCs w:val="20"/>
        </w:rPr>
        <w:t>b., o </w:t>
      </w:r>
      <w:r>
        <w:rPr>
          <w:rFonts w:ascii="Times New Roman" w:hAnsi="Times New Roman"/>
          <w:sz w:val="20"/>
          <w:szCs w:val="20"/>
        </w:rPr>
        <w:t>živnostenských úřadech</w:t>
      </w:r>
      <w:r w:rsidR="00FC31F6">
        <w:rPr>
          <w:rFonts w:ascii="Times New Roman" w:hAnsi="Times New Roman"/>
          <w:sz w:val="20"/>
          <w:szCs w:val="20"/>
        </w:rPr>
        <w:t xml:space="preserve">, ve znění pozdějších předpisů, </w:t>
      </w:r>
      <w:r w:rsidRPr="004B6F91">
        <w:rPr>
          <w:rFonts w:ascii="Times New Roman" w:hAnsi="Times New Roman"/>
          <w:sz w:val="20"/>
          <w:szCs w:val="20"/>
        </w:rPr>
        <w:t>obdrží obce s rozšířenou působností další část příspěvku</w:t>
      </w:r>
      <w:r w:rsidRPr="00EF2AB7">
        <w:rPr>
          <w:rFonts w:ascii="Times New Roman" w:hAnsi="Times New Roman"/>
          <w:sz w:val="20"/>
          <w:szCs w:val="20"/>
        </w:rPr>
        <w:t xml:space="preserve">. </w:t>
      </w:r>
    </w:p>
    <w:p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FC31F6"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Obec s rozšířenou působností obdrží příspěvek za každé </w:t>
      </w:r>
      <w:r>
        <w:rPr>
          <w:rFonts w:ascii="Times New Roman" w:hAnsi="Times New Roman"/>
          <w:sz w:val="20"/>
          <w:szCs w:val="20"/>
        </w:rPr>
        <w:t>avízo</w:t>
      </w:r>
      <w:r w:rsidR="00FC31F6">
        <w:rPr>
          <w:rFonts w:ascii="Times New Roman" w:hAnsi="Times New Roman"/>
          <w:sz w:val="20"/>
          <w:szCs w:val="20"/>
        </w:rPr>
        <w:t>, tj. změnu a doplnění údajů ze základních registrů a určených informačních systémů,</w:t>
      </w:r>
      <w:r w:rsidRPr="004B6F91">
        <w:rPr>
          <w:rFonts w:ascii="Times New Roman" w:hAnsi="Times New Roman"/>
          <w:sz w:val="20"/>
          <w:szCs w:val="20"/>
        </w:rPr>
        <w:t xml:space="preserve"> </w:t>
      </w:r>
      <w:r>
        <w:rPr>
          <w:rFonts w:ascii="Times New Roman" w:hAnsi="Times New Roman"/>
          <w:sz w:val="20"/>
          <w:szCs w:val="20"/>
        </w:rPr>
        <w:t xml:space="preserve">zpracované </w:t>
      </w:r>
      <w:r w:rsidRPr="004B6F91">
        <w:rPr>
          <w:rFonts w:ascii="Times New Roman" w:hAnsi="Times New Roman"/>
          <w:sz w:val="20"/>
          <w:szCs w:val="20"/>
        </w:rPr>
        <w:t>v období od 1. 1</w:t>
      </w:r>
      <w:r>
        <w:rPr>
          <w:rFonts w:ascii="Times New Roman" w:hAnsi="Times New Roman"/>
          <w:sz w:val="20"/>
          <w:szCs w:val="20"/>
        </w:rPr>
        <w:t>. do 31. 12. 20</w:t>
      </w:r>
      <w:r w:rsidR="00D1535F">
        <w:rPr>
          <w:rFonts w:ascii="Times New Roman" w:hAnsi="Times New Roman"/>
          <w:sz w:val="20"/>
          <w:szCs w:val="20"/>
        </w:rPr>
        <w:t>20</w:t>
      </w:r>
      <w:r w:rsidR="00B60B13">
        <w:rPr>
          <w:rFonts w:ascii="Times New Roman" w:hAnsi="Times New Roman"/>
          <w:sz w:val="20"/>
          <w:szCs w:val="20"/>
        </w:rPr>
        <w:t xml:space="preserve"> podle § </w:t>
      </w:r>
      <w:r w:rsidR="00FD23F6">
        <w:rPr>
          <w:rFonts w:ascii="Times New Roman" w:hAnsi="Times New Roman"/>
          <w:sz w:val="20"/>
          <w:szCs w:val="20"/>
        </w:rPr>
        <w:t>49, §</w:t>
      </w:r>
      <w:r w:rsidR="00624CF5">
        <w:rPr>
          <w:rFonts w:ascii="Times New Roman" w:hAnsi="Times New Roman"/>
          <w:sz w:val="20"/>
          <w:szCs w:val="20"/>
        </w:rPr>
        <w:t xml:space="preserve"> </w:t>
      </w:r>
      <w:r w:rsidR="00FD23F6">
        <w:rPr>
          <w:rFonts w:ascii="Times New Roman" w:hAnsi="Times New Roman"/>
          <w:sz w:val="20"/>
          <w:szCs w:val="20"/>
        </w:rPr>
        <w:t>56 a §</w:t>
      </w:r>
      <w:r w:rsidR="00624CF5">
        <w:rPr>
          <w:rFonts w:ascii="Times New Roman" w:hAnsi="Times New Roman"/>
          <w:sz w:val="20"/>
          <w:szCs w:val="20"/>
        </w:rPr>
        <w:t xml:space="preserve"> </w:t>
      </w:r>
      <w:r w:rsidR="00FD23F6">
        <w:rPr>
          <w:rFonts w:ascii="Times New Roman" w:hAnsi="Times New Roman"/>
          <w:sz w:val="20"/>
          <w:szCs w:val="20"/>
        </w:rPr>
        <w:t>60 zákona č. </w:t>
      </w:r>
      <w:r w:rsidR="00B60B13">
        <w:rPr>
          <w:rFonts w:ascii="Times New Roman" w:hAnsi="Times New Roman"/>
          <w:sz w:val="20"/>
          <w:szCs w:val="20"/>
        </w:rPr>
        <w:t xml:space="preserve">455/1991 Sb., </w:t>
      </w:r>
      <w:r w:rsidR="00B60B13" w:rsidRPr="004B6F91">
        <w:rPr>
          <w:rFonts w:ascii="Times New Roman" w:hAnsi="Times New Roman"/>
          <w:sz w:val="20"/>
          <w:szCs w:val="20"/>
        </w:rPr>
        <w:t xml:space="preserve">o </w:t>
      </w:r>
      <w:r w:rsidR="00B60B13">
        <w:rPr>
          <w:rFonts w:ascii="Times New Roman" w:hAnsi="Times New Roman"/>
          <w:sz w:val="20"/>
          <w:szCs w:val="20"/>
        </w:rPr>
        <w:t>živnostenském podnikání</w:t>
      </w:r>
      <w:r w:rsidR="00B60B13" w:rsidRPr="004B6F91">
        <w:rPr>
          <w:rFonts w:ascii="Times New Roman" w:hAnsi="Times New Roman"/>
          <w:sz w:val="20"/>
          <w:szCs w:val="20"/>
        </w:rPr>
        <w:t xml:space="preserve"> (</w:t>
      </w:r>
      <w:r w:rsidR="00B60B13">
        <w:rPr>
          <w:rFonts w:ascii="Times New Roman" w:hAnsi="Times New Roman"/>
          <w:sz w:val="20"/>
          <w:szCs w:val="20"/>
        </w:rPr>
        <w:t>živnostenský</w:t>
      </w:r>
      <w:r w:rsidR="00B60B13" w:rsidRPr="004B6F91">
        <w:rPr>
          <w:rFonts w:ascii="Times New Roman" w:hAnsi="Times New Roman"/>
          <w:sz w:val="20"/>
          <w:szCs w:val="20"/>
        </w:rPr>
        <w:t xml:space="preserve"> zákon), ve znění pozdějších předpisů</w:t>
      </w:r>
      <w:r w:rsidR="00FC31F6">
        <w:rPr>
          <w:rFonts w:ascii="Times New Roman" w:hAnsi="Times New Roman"/>
          <w:sz w:val="20"/>
          <w:szCs w:val="20"/>
        </w:rPr>
        <w:t>.</w:t>
      </w:r>
      <w:r w:rsidRPr="004B6F91">
        <w:rPr>
          <w:rFonts w:ascii="Times New Roman" w:hAnsi="Times New Roman"/>
          <w:sz w:val="20"/>
          <w:szCs w:val="20"/>
        </w:rPr>
        <w:t xml:space="preserve"> </w:t>
      </w:r>
      <w:r>
        <w:rPr>
          <w:rFonts w:ascii="Times New Roman" w:hAnsi="Times New Roman"/>
          <w:sz w:val="20"/>
          <w:szCs w:val="20"/>
        </w:rPr>
        <w:t>Částka pro rok 202</w:t>
      </w:r>
      <w:r w:rsidR="00D1535F">
        <w:rPr>
          <w:rFonts w:ascii="Times New Roman" w:hAnsi="Times New Roman"/>
          <w:sz w:val="20"/>
          <w:szCs w:val="20"/>
        </w:rPr>
        <w:t>2</w:t>
      </w:r>
      <w:r w:rsidRPr="004B6F91">
        <w:rPr>
          <w:rFonts w:ascii="Times New Roman" w:hAnsi="Times New Roman"/>
          <w:sz w:val="20"/>
          <w:szCs w:val="20"/>
        </w:rPr>
        <w:t xml:space="preserve"> za </w:t>
      </w:r>
      <w:r w:rsidR="00714A4B">
        <w:rPr>
          <w:rFonts w:ascii="Times New Roman" w:hAnsi="Times New Roman"/>
          <w:sz w:val="20"/>
          <w:szCs w:val="20"/>
        </w:rPr>
        <w:t>jedno</w:t>
      </w:r>
      <w:r w:rsidRPr="004B6F91">
        <w:rPr>
          <w:rFonts w:ascii="Times New Roman" w:hAnsi="Times New Roman"/>
          <w:sz w:val="20"/>
          <w:szCs w:val="20"/>
        </w:rPr>
        <w:t xml:space="preserve"> </w:t>
      </w:r>
      <w:r w:rsidR="00FC31F6">
        <w:rPr>
          <w:rFonts w:ascii="Times New Roman" w:hAnsi="Times New Roman"/>
          <w:sz w:val="20"/>
          <w:szCs w:val="20"/>
        </w:rPr>
        <w:t>zpracované avízo</w:t>
      </w:r>
      <w:r w:rsidRPr="004B6F91">
        <w:rPr>
          <w:rFonts w:ascii="Times New Roman" w:hAnsi="Times New Roman"/>
          <w:sz w:val="20"/>
          <w:szCs w:val="20"/>
        </w:rPr>
        <w:t xml:space="preserve"> činí </w:t>
      </w:r>
      <w:r w:rsidR="00C549B7">
        <w:rPr>
          <w:rFonts w:ascii="Times New Roman" w:hAnsi="Times New Roman"/>
          <w:sz w:val="20"/>
          <w:szCs w:val="20"/>
        </w:rPr>
        <w:t xml:space="preserve">338 </w:t>
      </w:r>
      <w:r w:rsidR="000621D1">
        <w:rPr>
          <w:rFonts w:ascii="Times New Roman" w:hAnsi="Times New Roman"/>
          <w:sz w:val="20"/>
          <w:szCs w:val="20"/>
        </w:rPr>
        <w:t>Kč.</w:t>
      </w:r>
    </w:p>
    <w:p w:rsidR="00FC31F6" w:rsidRDefault="00FC31F6" w:rsidP="00EA467E">
      <w:pPr>
        <w:widowControl w:val="0"/>
        <w:autoSpaceDE w:val="0"/>
        <w:autoSpaceDN w:val="0"/>
        <w:adjustRightInd w:val="0"/>
        <w:spacing w:after="0" w:line="240" w:lineRule="auto"/>
        <w:jc w:val="both"/>
        <w:rPr>
          <w:rFonts w:ascii="Times New Roman" w:hAnsi="Times New Roman"/>
          <w:sz w:val="20"/>
          <w:szCs w:val="20"/>
        </w:rPr>
      </w:pPr>
    </w:p>
    <w:p w:rsidR="00EA467E"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Počty </w:t>
      </w:r>
      <w:r>
        <w:rPr>
          <w:rFonts w:ascii="Times New Roman" w:hAnsi="Times New Roman"/>
          <w:sz w:val="20"/>
          <w:szCs w:val="20"/>
        </w:rPr>
        <w:t>zpracovaných avíz</w:t>
      </w:r>
      <w:r w:rsidR="00B60B13">
        <w:rPr>
          <w:rFonts w:ascii="Times New Roman" w:hAnsi="Times New Roman"/>
          <w:sz w:val="20"/>
          <w:szCs w:val="20"/>
        </w:rPr>
        <w:t xml:space="preserve"> vycházejí z živnostenského rejstříku spravovaného</w:t>
      </w:r>
      <w:r w:rsidRPr="004B6F91">
        <w:rPr>
          <w:rFonts w:ascii="Times New Roman" w:hAnsi="Times New Roman"/>
          <w:sz w:val="20"/>
          <w:szCs w:val="20"/>
        </w:rPr>
        <w:t xml:space="preserve"> Ministerstvem </w:t>
      </w:r>
      <w:r>
        <w:rPr>
          <w:rFonts w:ascii="Times New Roman" w:hAnsi="Times New Roman"/>
          <w:sz w:val="20"/>
          <w:szCs w:val="20"/>
        </w:rPr>
        <w:t>průmyslu a obchodu</w:t>
      </w:r>
      <w:r w:rsidRPr="004B6F91">
        <w:rPr>
          <w:rFonts w:ascii="Times New Roman" w:hAnsi="Times New Roman"/>
          <w:sz w:val="20"/>
          <w:szCs w:val="20"/>
        </w:rPr>
        <w:t xml:space="preserve">. </w:t>
      </w:r>
    </w:p>
    <w:p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rsidR="00800484" w:rsidRDefault="00800484" w:rsidP="00800484">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F83C77">
        <w:rPr>
          <w:rFonts w:ascii="Times New Roman" w:hAnsi="Times New Roman"/>
          <w:b/>
          <w:sz w:val="24"/>
          <w:szCs w:val="24"/>
        </w:rPr>
        <w:t>K) Financování zkušebních komisařů</w:t>
      </w:r>
    </w:p>
    <w:p w:rsidR="00800484" w:rsidRPr="00F83C77" w:rsidRDefault="00800484" w:rsidP="00F83C77">
      <w:pPr>
        <w:widowControl w:val="0"/>
        <w:overflowPunct w:val="0"/>
        <w:autoSpaceDE w:val="0"/>
        <w:autoSpaceDN w:val="0"/>
        <w:adjustRightInd w:val="0"/>
        <w:spacing w:after="0" w:line="240" w:lineRule="auto"/>
        <w:ind w:right="40"/>
        <w:jc w:val="both"/>
        <w:rPr>
          <w:rFonts w:ascii="Times New Roman" w:hAnsi="Times New Roman"/>
          <w:b/>
          <w:sz w:val="24"/>
          <w:szCs w:val="24"/>
        </w:rPr>
      </w:pPr>
    </w:p>
    <w:p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sidRPr="00800484">
        <w:rPr>
          <w:rFonts w:ascii="Times New Roman" w:hAnsi="Times New Roman"/>
          <w:sz w:val="20"/>
          <w:szCs w:val="20"/>
        </w:rPr>
        <w:t xml:space="preserve">Vedle části příspěvku pro </w:t>
      </w:r>
      <w:r>
        <w:rPr>
          <w:rFonts w:ascii="Times New Roman" w:hAnsi="Times New Roman"/>
          <w:sz w:val="20"/>
          <w:szCs w:val="20"/>
        </w:rPr>
        <w:t>obce s rozšířenou působností</w:t>
      </w:r>
      <w:r w:rsidRPr="00800484">
        <w:rPr>
          <w:rFonts w:ascii="Times New Roman" w:hAnsi="Times New Roman"/>
          <w:sz w:val="20"/>
          <w:szCs w:val="20"/>
        </w:rPr>
        <w:t xml:space="preserve"> podle části 1.</w:t>
      </w:r>
      <w:r>
        <w:rPr>
          <w:rFonts w:ascii="Times New Roman" w:hAnsi="Times New Roman"/>
          <w:sz w:val="20"/>
          <w:szCs w:val="20"/>
        </w:rPr>
        <w:t>B</w:t>
      </w:r>
      <w:r w:rsidRPr="00800484">
        <w:rPr>
          <w:rFonts w:ascii="Times New Roman" w:hAnsi="Times New Roman"/>
          <w:sz w:val="20"/>
          <w:szCs w:val="20"/>
        </w:rPr>
        <w:t xml:space="preserve">), který zahrnuje i poměrnou část příspěvku na pokrytí agendy zkušebních komisařů v souladu s platnou právní úpravou, tj. zákonem č. 247/2000 Sb., o získávání a zdokonalování odborné způsobilosti k řízení motorových vozidel a o změnách některých zákonů, ve znění pozdějších předpisů, obdrží </w:t>
      </w:r>
      <w:r>
        <w:rPr>
          <w:rFonts w:ascii="Times New Roman" w:hAnsi="Times New Roman"/>
          <w:sz w:val="20"/>
          <w:szCs w:val="20"/>
        </w:rPr>
        <w:t>obce s rozšířenou působností</w:t>
      </w:r>
      <w:r w:rsidRPr="00800484">
        <w:rPr>
          <w:rFonts w:ascii="Times New Roman" w:hAnsi="Times New Roman"/>
          <w:sz w:val="20"/>
          <w:szCs w:val="20"/>
        </w:rPr>
        <w:t xml:space="preserve"> další část příspěvku.</w:t>
      </w:r>
    </w:p>
    <w:p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p>
    <w:p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Obce s rozšířenou působností</w:t>
      </w:r>
      <w:r w:rsidRPr="00800484">
        <w:rPr>
          <w:rFonts w:ascii="Times New Roman" w:hAnsi="Times New Roman"/>
          <w:sz w:val="20"/>
          <w:szCs w:val="20"/>
        </w:rPr>
        <w:t xml:space="preserve"> obdrží příspěvek za každou část zkoušky z odborné způsobilosti k řízení motorového vozidla vykonané v období od 1. 1. 2020 do 31. 12. 2020.</w:t>
      </w:r>
      <w:r w:rsidR="002941BE">
        <w:rPr>
          <w:rFonts w:ascii="Times New Roman" w:hAnsi="Times New Roman"/>
          <w:sz w:val="20"/>
          <w:szCs w:val="20"/>
        </w:rPr>
        <w:t xml:space="preserve"> Za každou provedenou zkoušku z předpisů o provozu na pozemních komunikacích a zdravotnické přípravy u skupin A, B, T, C</w:t>
      </w:r>
      <w:r w:rsidR="006645C2">
        <w:rPr>
          <w:rFonts w:ascii="Times New Roman" w:hAnsi="Times New Roman"/>
          <w:sz w:val="20"/>
          <w:szCs w:val="20"/>
        </w:rPr>
        <w:t xml:space="preserve"> a</w:t>
      </w:r>
      <w:r w:rsidR="002941BE">
        <w:rPr>
          <w:rFonts w:ascii="Times New Roman" w:hAnsi="Times New Roman"/>
          <w:sz w:val="20"/>
          <w:szCs w:val="20"/>
        </w:rPr>
        <w:t xml:space="preserve"> D vč</w:t>
      </w:r>
      <w:r w:rsidR="006645C2">
        <w:rPr>
          <w:rFonts w:ascii="Times New Roman" w:hAnsi="Times New Roman"/>
          <w:sz w:val="20"/>
          <w:szCs w:val="20"/>
        </w:rPr>
        <w:t>etně</w:t>
      </w:r>
      <w:r w:rsidR="002941BE">
        <w:rPr>
          <w:rFonts w:ascii="Times New Roman" w:hAnsi="Times New Roman"/>
          <w:sz w:val="20"/>
          <w:szCs w:val="20"/>
        </w:rPr>
        <w:t xml:space="preserve"> podskupin obdrží příspěvek ve výši </w:t>
      </w:r>
      <w:r w:rsidR="008210AD">
        <w:rPr>
          <w:rFonts w:ascii="Times New Roman" w:hAnsi="Times New Roman"/>
          <w:sz w:val="20"/>
          <w:szCs w:val="20"/>
        </w:rPr>
        <w:t>108</w:t>
      </w:r>
      <w:r w:rsidR="002941BE">
        <w:rPr>
          <w:rFonts w:ascii="Times New Roman" w:hAnsi="Times New Roman"/>
          <w:sz w:val="20"/>
          <w:szCs w:val="20"/>
        </w:rPr>
        <w:t xml:space="preserve"> Kč. Za každou provedenou zkoušku ze znalosti ovládání a údržby u</w:t>
      </w:r>
      <w:r w:rsidR="00DB4BCF">
        <w:rPr>
          <w:rFonts w:ascii="Times New Roman" w:hAnsi="Times New Roman"/>
          <w:sz w:val="20"/>
          <w:szCs w:val="20"/>
        </w:rPr>
        <w:t> </w:t>
      </w:r>
      <w:r w:rsidR="002941BE">
        <w:rPr>
          <w:rFonts w:ascii="Times New Roman" w:hAnsi="Times New Roman"/>
          <w:sz w:val="20"/>
          <w:szCs w:val="20"/>
        </w:rPr>
        <w:t>skupin C</w:t>
      </w:r>
      <w:r w:rsidR="006645C2">
        <w:rPr>
          <w:rFonts w:ascii="Times New Roman" w:hAnsi="Times New Roman"/>
          <w:sz w:val="20"/>
          <w:szCs w:val="20"/>
        </w:rPr>
        <w:t xml:space="preserve"> a</w:t>
      </w:r>
      <w:r w:rsidR="002941BE">
        <w:rPr>
          <w:rFonts w:ascii="Times New Roman" w:hAnsi="Times New Roman"/>
          <w:sz w:val="20"/>
          <w:szCs w:val="20"/>
        </w:rPr>
        <w:t xml:space="preserve"> D vč</w:t>
      </w:r>
      <w:r w:rsidR="006645C2">
        <w:rPr>
          <w:rFonts w:ascii="Times New Roman" w:hAnsi="Times New Roman"/>
          <w:sz w:val="20"/>
          <w:szCs w:val="20"/>
        </w:rPr>
        <w:t>etně</w:t>
      </w:r>
      <w:r w:rsidR="002941BE">
        <w:rPr>
          <w:rFonts w:ascii="Times New Roman" w:hAnsi="Times New Roman"/>
          <w:sz w:val="20"/>
          <w:szCs w:val="20"/>
        </w:rPr>
        <w:t xml:space="preserve"> podskupin</w:t>
      </w:r>
      <w:r w:rsidR="008210AD">
        <w:rPr>
          <w:rFonts w:ascii="Times New Roman" w:hAnsi="Times New Roman"/>
          <w:sz w:val="20"/>
          <w:szCs w:val="20"/>
        </w:rPr>
        <w:t xml:space="preserve"> obdrží příspěvek 81 Kč. Za každou provedenou zkoušku z praktické jízdy u</w:t>
      </w:r>
      <w:r w:rsidR="00DB4BCF">
        <w:rPr>
          <w:rFonts w:ascii="Times New Roman" w:hAnsi="Times New Roman"/>
          <w:sz w:val="20"/>
          <w:szCs w:val="20"/>
        </w:rPr>
        <w:t> </w:t>
      </w:r>
      <w:r w:rsidR="008210AD">
        <w:rPr>
          <w:rFonts w:ascii="Times New Roman" w:hAnsi="Times New Roman"/>
          <w:sz w:val="20"/>
          <w:szCs w:val="20"/>
        </w:rPr>
        <w:t>skupin A, B</w:t>
      </w:r>
      <w:r w:rsidR="006645C2">
        <w:rPr>
          <w:rFonts w:ascii="Times New Roman" w:hAnsi="Times New Roman"/>
          <w:sz w:val="20"/>
          <w:szCs w:val="20"/>
        </w:rPr>
        <w:t xml:space="preserve"> a</w:t>
      </w:r>
      <w:r w:rsidR="008210AD">
        <w:rPr>
          <w:rFonts w:ascii="Times New Roman" w:hAnsi="Times New Roman"/>
          <w:sz w:val="20"/>
          <w:szCs w:val="20"/>
        </w:rPr>
        <w:t xml:space="preserve"> T vč</w:t>
      </w:r>
      <w:r w:rsidR="006645C2">
        <w:rPr>
          <w:rFonts w:ascii="Times New Roman" w:hAnsi="Times New Roman"/>
          <w:sz w:val="20"/>
          <w:szCs w:val="20"/>
        </w:rPr>
        <w:t>etně</w:t>
      </w:r>
      <w:r w:rsidR="008210AD">
        <w:rPr>
          <w:rFonts w:ascii="Times New Roman" w:hAnsi="Times New Roman"/>
          <w:sz w:val="20"/>
          <w:szCs w:val="20"/>
        </w:rPr>
        <w:t xml:space="preserve"> podskupin obdrží příspěvek 325 Kč a u skupin C</w:t>
      </w:r>
      <w:r w:rsidR="006645C2">
        <w:rPr>
          <w:rFonts w:ascii="Times New Roman" w:hAnsi="Times New Roman"/>
          <w:sz w:val="20"/>
          <w:szCs w:val="20"/>
        </w:rPr>
        <w:t xml:space="preserve"> a</w:t>
      </w:r>
      <w:r w:rsidR="008210AD">
        <w:rPr>
          <w:rFonts w:ascii="Times New Roman" w:hAnsi="Times New Roman"/>
          <w:sz w:val="20"/>
          <w:szCs w:val="20"/>
        </w:rPr>
        <w:t xml:space="preserve"> D příspěvek 406 Kč. Za každou provedenou zkoušku z profesní způsobilosti řidiče obdrží příspěvek 217 Kč.</w:t>
      </w:r>
    </w:p>
    <w:p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p>
    <w:p w:rsid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sidRPr="00800484">
        <w:rPr>
          <w:rFonts w:ascii="Times New Roman" w:hAnsi="Times New Roman"/>
          <w:sz w:val="20"/>
          <w:szCs w:val="20"/>
        </w:rPr>
        <w:t>Počty vykonaných zkoušek vycházejí z údajů informačního systému e-Testy spravovan</w:t>
      </w:r>
      <w:r w:rsidR="00F917D7">
        <w:rPr>
          <w:rFonts w:ascii="Times New Roman" w:hAnsi="Times New Roman"/>
          <w:sz w:val="20"/>
          <w:szCs w:val="20"/>
        </w:rPr>
        <w:t>ého</w:t>
      </w:r>
      <w:r w:rsidRPr="00800484">
        <w:rPr>
          <w:rFonts w:ascii="Times New Roman" w:hAnsi="Times New Roman"/>
          <w:sz w:val="20"/>
          <w:szCs w:val="20"/>
        </w:rPr>
        <w:t xml:space="preserve"> Ministerstvem dopravy.</w:t>
      </w:r>
    </w:p>
    <w:p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rsidR="00800484" w:rsidRDefault="00800484" w:rsidP="00800484">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F83C77">
        <w:rPr>
          <w:rFonts w:ascii="Times New Roman" w:hAnsi="Times New Roman"/>
          <w:b/>
          <w:sz w:val="24"/>
          <w:szCs w:val="24"/>
        </w:rPr>
        <w:t xml:space="preserve">L) </w:t>
      </w:r>
      <w:r w:rsidR="00E73E8F">
        <w:rPr>
          <w:rFonts w:ascii="Times New Roman" w:hAnsi="Times New Roman"/>
          <w:b/>
          <w:sz w:val="24"/>
          <w:szCs w:val="24"/>
        </w:rPr>
        <w:t>Refundace nákladů na zajištění</w:t>
      </w:r>
      <w:r w:rsidRPr="00F83C77">
        <w:rPr>
          <w:rFonts w:ascii="Times New Roman" w:hAnsi="Times New Roman"/>
          <w:b/>
          <w:sz w:val="24"/>
          <w:szCs w:val="24"/>
        </w:rPr>
        <w:t xml:space="preserve"> karanténního ubytování osob bez přístřeší a osob vykázaných</w:t>
      </w:r>
    </w:p>
    <w:p w:rsidR="00800484" w:rsidRPr="00F83C77" w:rsidRDefault="00800484" w:rsidP="00F83C77">
      <w:pPr>
        <w:widowControl w:val="0"/>
        <w:overflowPunct w:val="0"/>
        <w:autoSpaceDE w:val="0"/>
        <w:autoSpaceDN w:val="0"/>
        <w:adjustRightInd w:val="0"/>
        <w:spacing w:after="0" w:line="240" w:lineRule="auto"/>
        <w:ind w:right="40"/>
        <w:jc w:val="both"/>
        <w:rPr>
          <w:rFonts w:ascii="Times New Roman" w:hAnsi="Times New Roman"/>
          <w:b/>
          <w:sz w:val="24"/>
          <w:szCs w:val="24"/>
        </w:rPr>
      </w:pPr>
    </w:p>
    <w:p w:rsidR="008F0FF5" w:rsidRPr="008F0FF5" w:rsidRDefault="00A91284" w:rsidP="008F0FF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Refundace</w:t>
      </w:r>
      <w:r w:rsidR="008F0FF5" w:rsidRPr="008F0FF5">
        <w:rPr>
          <w:rFonts w:ascii="Times New Roman" w:hAnsi="Times New Roman"/>
          <w:sz w:val="20"/>
          <w:szCs w:val="20"/>
        </w:rPr>
        <w:t xml:space="preserve"> je určen</w:t>
      </w:r>
      <w:r>
        <w:rPr>
          <w:rFonts w:ascii="Times New Roman" w:hAnsi="Times New Roman"/>
          <w:sz w:val="20"/>
          <w:szCs w:val="20"/>
        </w:rPr>
        <w:t>a</w:t>
      </w:r>
      <w:r w:rsidR="008F0FF5" w:rsidRPr="008F0FF5">
        <w:rPr>
          <w:rFonts w:ascii="Times New Roman" w:hAnsi="Times New Roman"/>
          <w:sz w:val="20"/>
          <w:szCs w:val="20"/>
        </w:rPr>
        <w:t xml:space="preserve"> </w:t>
      </w:r>
      <w:r w:rsidR="00965507">
        <w:rPr>
          <w:rFonts w:ascii="Times New Roman" w:hAnsi="Times New Roman"/>
          <w:sz w:val="20"/>
          <w:szCs w:val="20"/>
        </w:rPr>
        <w:t xml:space="preserve">vybraným </w:t>
      </w:r>
      <w:r w:rsidR="005A30CB" w:rsidRPr="005A30CB">
        <w:rPr>
          <w:rFonts w:ascii="Times New Roman" w:hAnsi="Times New Roman"/>
          <w:sz w:val="20"/>
          <w:szCs w:val="20"/>
        </w:rPr>
        <w:t>územním samosprávným celkům</w:t>
      </w:r>
      <w:r w:rsidR="008F0FF5" w:rsidRPr="008F0FF5">
        <w:rPr>
          <w:rFonts w:ascii="Times New Roman" w:hAnsi="Times New Roman"/>
          <w:sz w:val="20"/>
          <w:szCs w:val="20"/>
        </w:rPr>
        <w:t>, které vykonávaly povinnost karanténního ubytování Covid-19 pozitivních osob bez přístřeší a osob vykázaných podle § 44 zákona č. 273/2008 Sb., o</w:t>
      </w:r>
      <w:r w:rsidR="002E2E15">
        <w:rPr>
          <w:rFonts w:ascii="Times New Roman" w:hAnsi="Times New Roman"/>
          <w:sz w:val="20"/>
          <w:szCs w:val="20"/>
        </w:rPr>
        <w:t> </w:t>
      </w:r>
      <w:r w:rsidR="008F0FF5" w:rsidRPr="008F0FF5">
        <w:rPr>
          <w:rFonts w:ascii="Times New Roman" w:hAnsi="Times New Roman"/>
          <w:sz w:val="20"/>
          <w:szCs w:val="20"/>
        </w:rPr>
        <w:t>Policii České republiky. O finanční podpoře územním samosprávným celkům rozhodl Ústřední krizový štáb v</w:t>
      </w:r>
      <w:r w:rsidR="002E2E15">
        <w:rPr>
          <w:rFonts w:ascii="Times New Roman" w:hAnsi="Times New Roman"/>
          <w:sz w:val="20"/>
          <w:szCs w:val="20"/>
        </w:rPr>
        <w:t> </w:t>
      </w:r>
      <w:r w:rsidR="008F0FF5" w:rsidRPr="008F0FF5">
        <w:rPr>
          <w:rFonts w:ascii="Times New Roman" w:hAnsi="Times New Roman"/>
          <w:sz w:val="20"/>
          <w:szCs w:val="20"/>
        </w:rPr>
        <w:t xml:space="preserve"> reakci na mimořádnou a nepředvídatelnou situaci, která byla spojena s pandemií </w:t>
      </w:r>
      <w:r w:rsidR="006645C2">
        <w:rPr>
          <w:rFonts w:ascii="Times New Roman" w:hAnsi="Times New Roman"/>
          <w:sz w:val="20"/>
          <w:szCs w:val="20"/>
        </w:rPr>
        <w:t>onemocnění Covid-19</w:t>
      </w:r>
      <w:r w:rsidR="008F0FF5" w:rsidRPr="008F0FF5">
        <w:rPr>
          <w:rFonts w:ascii="Times New Roman" w:hAnsi="Times New Roman"/>
          <w:sz w:val="20"/>
          <w:szCs w:val="20"/>
        </w:rPr>
        <w:t xml:space="preserve"> a při které </w:t>
      </w:r>
      <w:r w:rsidR="005A30CB" w:rsidRPr="005A30CB">
        <w:rPr>
          <w:rFonts w:ascii="Times New Roman" w:hAnsi="Times New Roman"/>
          <w:sz w:val="20"/>
          <w:szCs w:val="20"/>
        </w:rPr>
        <w:t>měly územní samosprávné celky</w:t>
      </w:r>
      <w:r w:rsidR="008F0FF5" w:rsidRPr="008F0FF5">
        <w:rPr>
          <w:rFonts w:ascii="Times New Roman" w:hAnsi="Times New Roman"/>
          <w:sz w:val="20"/>
          <w:szCs w:val="20"/>
        </w:rPr>
        <w:t xml:space="preserve"> povinnost se o uvedené osoby postarat, zajistit ubytování, stravu a</w:t>
      </w:r>
      <w:r w:rsidR="00DB4BCF">
        <w:rPr>
          <w:rFonts w:ascii="Times New Roman" w:hAnsi="Times New Roman"/>
          <w:sz w:val="20"/>
          <w:szCs w:val="20"/>
        </w:rPr>
        <w:t> </w:t>
      </w:r>
      <w:r w:rsidR="008F0FF5" w:rsidRPr="008F0FF5">
        <w:rPr>
          <w:rFonts w:ascii="Times New Roman" w:hAnsi="Times New Roman"/>
          <w:sz w:val="20"/>
          <w:szCs w:val="20"/>
        </w:rPr>
        <w:t>nezbytnou péči. Obce činily tato opatření podle zákona č. 258/2000 Sb., o ochraně veřejného zdraví</w:t>
      </w:r>
      <w:r w:rsidR="00965507">
        <w:rPr>
          <w:rFonts w:ascii="Times New Roman" w:hAnsi="Times New Roman"/>
          <w:sz w:val="20"/>
          <w:szCs w:val="20"/>
        </w:rPr>
        <w:t>,</w:t>
      </w:r>
      <w:r w:rsidR="008F0FF5" w:rsidRPr="008F0FF5">
        <w:rPr>
          <w:rFonts w:ascii="Times New Roman" w:hAnsi="Times New Roman"/>
          <w:sz w:val="20"/>
          <w:szCs w:val="20"/>
        </w:rPr>
        <w:t xml:space="preserve"> </w:t>
      </w:r>
      <w:r w:rsidR="00965507">
        <w:rPr>
          <w:rFonts w:ascii="Times New Roman" w:hAnsi="Times New Roman"/>
          <w:sz w:val="20"/>
          <w:szCs w:val="20"/>
        </w:rPr>
        <w:t>a</w:t>
      </w:r>
      <w:r w:rsidR="008F0FF5" w:rsidRPr="008F0FF5">
        <w:rPr>
          <w:rFonts w:ascii="Times New Roman" w:hAnsi="Times New Roman"/>
          <w:sz w:val="20"/>
          <w:szCs w:val="20"/>
        </w:rPr>
        <w:t xml:space="preserve"> zákona č. 240/2000 Sb., </w:t>
      </w:r>
      <w:r w:rsidR="00276667">
        <w:rPr>
          <w:rFonts w:ascii="Times New Roman" w:hAnsi="Times New Roman"/>
          <w:sz w:val="20"/>
          <w:szCs w:val="20"/>
        </w:rPr>
        <w:t>krizový zákon.</w:t>
      </w:r>
    </w:p>
    <w:p w:rsidR="008F0FF5" w:rsidRPr="008F0FF5" w:rsidRDefault="008F0FF5" w:rsidP="008F0FF5">
      <w:pPr>
        <w:widowControl w:val="0"/>
        <w:autoSpaceDE w:val="0"/>
        <w:autoSpaceDN w:val="0"/>
        <w:adjustRightInd w:val="0"/>
        <w:spacing w:after="0" w:line="240" w:lineRule="auto"/>
        <w:jc w:val="both"/>
        <w:rPr>
          <w:rFonts w:ascii="Times New Roman" w:hAnsi="Times New Roman"/>
          <w:sz w:val="20"/>
          <w:szCs w:val="20"/>
        </w:rPr>
      </w:pPr>
      <w:r w:rsidRPr="008F0FF5">
        <w:rPr>
          <w:rFonts w:ascii="Times New Roman" w:hAnsi="Times New Roman"/>
          <w:sz w:val="20"/>
          <w:szCs w:val="20"/>
        </w:rPr>
        <w:t xml:space="preserve"> </w:t>
      </w:r>
    </w:p>
    <w:p w:rsidR="008F0FF5" w:rsidRDefault="00B1097F" w:rsidP="008F0FF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Vybrané o</w:t>
      </w:r>
      <w:r w:rsidR="008F0FF5" w:rsidRPr="008F0FF5">
        <w:rPr>
          <w:rFonts w:ascii="Times New Roman" w:hAnsi="Times New Roman"/>
          <w:sz w:val="20"/>
          <w:szCs w:val="20"/>
        </w:rPr>
        <w:t xml:space="preserve">bce </w:t>
      </w:r>
      <w:r>
        <w:rPr>
          <w:rFonts w:ascii="Times New Roman" w:hAnsi="Times New Roman"/>
          <w:sz w:val="20"/>
          <w:szCs w:val="20"/>
        </w:rPr>
        <w:t xml:space="preserve">s rozšířenou působností </w:t>
      </w:r>
      <w:r w:rsidR="008F0FF5" w:rsidRPr="008F0FF5">
        <w:rPr>
          <w:rFonts w:ascii="Times New Roman" w:hAnsi="Times New Roman"/>
          <w:sz w:val="20"/>
          <w:szCs w:val="20"/>
        </w:rPr>
        <w:t xml:space="preserve">obdrží příspěvek za zajištění karanténního ubytování výše uvedených osob za období 12. 3. 2020 až 30. 4. 2021. Jeho výše se odvíjí od počtu ubytovaných osob a od vykázaných nákladů souvisejících s ubytovací povinností, a je v souladu s pravidly nastavenými Ministerstvem vnitra. Obce vykazovaly požadované informace do elektronického dotazníku Ministerstva vnitra od 25. 3. 2021 do 14. 4. 2021, s možností doplnění od 17. 5. 2021 do 4. 6. 2021. </w:t>
      </w:r>
    </w:p>
    <w:p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08009D" w:rsidRDefault="0008009D" w:rsidP="00A3160D">
      <w:pPr>
        <w:widowControl w:val="0"/>
        <w:autoSpaceDE w:val="0"/>
        <w:autoSpaceDN w:val="0"/>
        <w:adjustRightInd w:val="0"/>
        <w:spacing w:after="0" w:line="240" w:lineRule="auto"/>
        <w:jc w:val="both"/>
        <w:rPr>
          <w:rFonts w:ascii="Times New Roman" w:hAnsi="Times New Roman"/>
          <w:sz w:val="20"/>
          <w:szCs w:val="20"/>
        </w:rPr>
      </w:pPr>
    </w:p>
    <w:p w:rsidR="0008009D" w:rsidRPr="004B6F91" w:rsidRDefault="0008009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DA474A" w:rsidP="00A3160D">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w:t>
      </w:r>
      <w:r w:rsidR="00A3160D" w:rsidRPr="000F5B3A">
        <w:rPr>
          <w:rFonts w:ascii="Times New Roman" w:hAnsi="Times New Roman"/>
          <w:b/>
          <w:bCs/>
          <w:sz w:val="24"/>
          <w:szCs w:val="24"/>
        </w:rPr>
        <w:t xml:space="preserve">. Postup pro přerozdělení výše příspěvku na výkon státní správy v průběhu kalendářního roku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994BB1">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Pokud krajský úřad zcela výjimečně rozhodne o převodu výkonu přenesené působnosti v průběhu kalendářního roku, náleží příslušná část příspěvku na výkon státní správy dosavadního vykonavatele obci, která povinnost výkonu přenesené působnosti přebírá, a to vždy v poměrné části příspěvku od začátku čtvrtletí následujícího po rozhodnutí krajského úřadu. Krajský úřad o svém rozhodnutí a s tím souvisejícími změnami správních obvodů výkonu přenesené působnosti jednotlivých obcí neprodleně informuje Ministerstvo vnitra a Ministerstvo financí.</w:t>
      </w:r>
    </w:p>
    <w:p w:rsidR="00A3160D" w:rsidRPr="004B6F91" w:rsidRDefault="00A3160D" w:rsidP="00994BB1">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994BB1">
      <w:pPr>
        <w:widowControl w:val="0"/>
        <w:autoSpaceDE w:val="0"/>
        <w:autoSpaceDN w:val="0"/>
        <w:adjustRightInd w:val="0"/>
        <w:spacing w:after="0" w:line="240" w:lineRule="auto"/>
        <w:jc w:val="both"/>
        <w:rPr>
          <w:rFonts w:ascii="Times New Roman" w:hAnsi="Times New Roman"/>
          <w:sz w:val="24"/>
          <w:szCs w:val="24"/>
        </w:rPr>
      </w:pPr>
      <w:r w:rsidRPr="004B6F91">
        <w:rPr>
          <w:rFonts w:ascii="Times New Roman" w:hAnsi="Times New Roman"/>
          <w:sz w:val="20"/>
          <w:szCs w:val="20"/>
        </w:rPr>
        <w:t>V případě jmenování správce obce Ministerstvem vnitra rozhodne krajský úřad o převedení poměrné části příspěvku na výkon státní správy v přenesené působnosti náležejícího dotčené obci na obec</w:t>
      </w:r>
      <w:r>
        <w:rPr>
          <w:rFonts w:ascii="Times New Roman" w:hAnsi="Times New Roman"/>
          <w:sz w:val="20"/>
          <w:szCs w:val="20"/>
        </w:rPr>
        <w:t>,</w:t>
      </w:r>
      <w:r w:rsidRPr="004B6F91">
        <w:rPr>
          <w:rFonts w:ascii="Times New Roman" w:hAnsi="Times New Roman"/>
          <w:sz w:val="20"/>
          <w:szCs w:val="20"/>
        </w:rPr>
        <w:t xml:space="preserve"> kterou nově svým rozhodnutím pověřil k dočasnému výkonu přenesené působnosti. Převedená část příspěvku odpovídá poměru počtu dnů, po které správce obce svou činnost vykonává, a celkového počtu 365 dnů v kalendářním roce. Krajský úřad vydá v kalendářním roce takovéto rozhodnutí vždy s účinností maximálně do 31. 12. téhož roku. Pokud činnost správce obce bude pokračovat i po tomto datu, vydá krajský úřad vždy nové rozhodnutí, ve</w:t>
      </w:r>
      <w:r w:rsidR="00F67724">
        <w:rPr>
          <w:rFonts w:ascii="Times New Roman" w:hAnsi="Times New Roman"/>
          <w:sz w:val="20"/>
          <w:szCs w:val="20"/>
        </w:rPr>
        <w:t> </w:t>
      </w:r>
      <w:r w:rsidRPr="004B6F91">
        <w:rPr>
          <w:rFonts w:ascii="Times New Roman" w:hAnsi="Times New Roman"/>
          <w:sz w:val="20"/>
          <w:szCs w:val="20"/>
        </w:rPr>
        <w:t xml:space="preserve"> kterém zohlední novou skladbu příspěvku na výkon přenesené působnosti v novém kalendářním roce.</w:t>
      </w:r>
    </w:p>
    <w:sectPr w:rsidR="00A3160D" w:rsidSect="00994BB1">
      <w:headerReference w:type="default" r:id="rId18"/>
      <w:type w:val="continuous"/>
      <w:pgSz w:w="11907" w:h="16840" w:code="9"/>
      <w:pgMar w:top="1418" w:right="1418" w:bottom="1418" w:left="1418" w:header="709" w:footer="709" w:gutter="0"/>
      <w:pgNumType w:start="73"/>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6F" w:rsidRDefault="0038586F">
      <w:pPr>
        <w:spacing w:after="0" w:line="240" w:lineRule="auto"/>
      </w:pPr>
      <w:r>
        <w:separator/>
      </w:r>
    </w:p>
  </w:endnote>
  <w:endnote w:type="continuationSeparator" w:id="0">
    <w:p w:rsidR="0038586F" w:rsidRDefault="0038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475" w:rsidRDefault="0038586F">
    <w:pPr>
      <w:pStyle w:val="Zpat"/>
      <w:jc w:val="center"/>
    </w:pPr>
  </w:p>
  <w:p w:rsidR="00B45475" w:rsidRDefault="003858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6F" w:rsidRDefault="0038586F">
      <w:pPr>
        <w:spacing w:after="0" w:line="240" w:lineRule="auto"/>
      </w:pPr>
      <w:r>
        <w:separator/>
      </w:r>
    </w:p>
  </w:footnote>
  <w:footnote w:type="continuationSeparator" w:id="0">
    <w:p w:rsidR="0038586F" w:rsidRDefault="00385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656445"/>
      <w:docPartObj>
        <w:docPartGallery w:val="Page Numbers (Top of Page)"/>
        <w:docPartUnique/>
      </w:docPartObj>
    </w:sdtPr>
    <w:sdtEndPr>
      <w:rPr>
        <w:rFonts w:ascii="Times New Roman" w:hAnsi="Times New Roman"/>
      </w:rPr>
    </w:sdtEndPr>
    <w:sdtContent>
      <w:p w:rsidR="00994BB1" w:rsidRPr="00994BB1" w:rsidRDefault="00994BB1">
        <w:pPr>
          <w:pStyle w:val="Zhlav"/>
          <w:jc w:val="center"/>
          <w:rPr>
            <w:rFonts w:ascii="Times New Roman" w:hAnsi="Times New Roman"/>
          </w:rPr>
        </w:pPr>
        <w:r w:rsidRPr="00994BB1">
          <w:rPr>
            <w:rFonts w:ascii="Times New Roman" w:hAnsi="Times New Roman"/>
          </w:rPr>
          <w:fldChar w:fldCharType="begin"/>
        </w:r>
        <w:r w:rsidRPr="00994BB1">
          <w:rPr>
            <w:rFonts w:ascii="Times New Roman" w:hAnsi="Times New Roman"/>
          </w:rPr>
          <w:instrText>PAGE   \* MERGEFORMAT</w:instrText>
        </w:r>
        <w:r w:rsidRPr="00994BB1">
          <w:rPr>
            <w:rFonts w:ascii="Times New Roman" w:hAnsi="Times New Roman"/>
          </w:rPr>
          <w:fldChar w:fldCharType="separate"/>
        </w:r>
        <w:r w:rsidR="002E7F33">
          <w:rPr>
            <w:rFonts w:ascii="Times New Roman" w:hAnsi="Times New Roman"/>
            <w:noProof/>
          </w:rPr>
          <w:t>73</w:t>
        </w:r>
        <w:r w:rsidRPr="00994BB1">
          <w:rPr>
            <w:rFonts w:ascii="Times New Roman" w:hAnsi="Times New Roman"/>
          </w:rPr>
          <w:fldChar w:fldCharType="end"/>
        </w:r>
      </w:p>
    </w:sdtContent>
  </w:sdt>
  <w:p w:rsidR="00994BB1" w:rsidRDefault="00994B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56497"/>
      <w:docPartObj>
        <w:docPartGallery w:val="Page Numbers (Top of Page)"/>
        <w:docPartUnique/>
      </w:docPartObj>
    </w:sdtPr>
    <w:sdtEndPr/>
    <w:sdtContent>
      <w:p w:rsidR="00A87ECA" w:rsidRDefault="00A3160D">
        <w:pPr>
          <w:pStyle w:val="Zhlav"/>
          <w:jc w:val="center"/>
        </w:pPr>
        <w:r>
          <w:t>68</w:t>
        </w:r>
      </w:p>
    </w:sdtContent>
  </w:sdt>
  <w:p w:rsidR="00A87ECA" w:rsidRDefault="003858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348113"/>
      <w:docPartObj>
        <w:docPartGallery w:val="Page Numbers (Top of Page)"/>
        <w:docPartUnique/>
      </w:docPartObj>
    </w:sdtPr>
    <w:sdtEndPr>
      <w:rPr>
        <w:rFonts w:ascii="Times New Roman" w:hAnsi="Times New Roman"/>
      </w:rPr>
    </w:sdtEndPr>
    <w:sdtContent>
      <w:p w:rsidR="00994BB1" w:rsidRPr="00994BB1" w:rsidRDefault="00994BB1">
        <w:pPr>
          <w:pStyle w:val="Zhlav"/>
          <w:jc w:val="center"/>
          <w:rPr>
            <w:rFonts w:ascii="Times New Roman" w:hAnsi="Times New Roman"/>
          </w:rPr>
        </w:pPr>
        <w:r w:rsidRPr="00994BB1">
          <w:rPr>
            <w:rFonts w:ascii="Times New Roman" w:hAnsi="Times New Roman"/>
          </w:rPr>
          <w:fldChar w:fldCharType="begin"/>
        </w:r>
        <w:r w:rsidRPr="00994BB1">
          <w:rPr>
            <w:rFonts w:ascii="Times New Roman" w:hAnsi="Times New Roman"/>
          </w:rPr>
          <w:instrText>PAGE   \* MERGEFORMAT</w:instrText>
        </w:r>
        <w:r w:rsidRPr="00994BB1">
          <w:rPr>
            <w:rFonts w:ascii="Times New Roman" w:hAnsi="Times New Roman"/>
          </w:rPr>
          <w:fldChar w:fldCharType="separate"/>
        </w:r>
        <w:r w:rsidR="002E7F33">
          <w:rPr>
            <w:rFonts w:ascii="Times New Roman" w:hAnsi="Times New Roman"/>
            <w:noProof/>
          </w:rPr>
          <w:t>78</w:t>
        </w:r>
        <w:r w:rsidRPr="00994BB1">
          <w:rPr>
            <w:rFonts w:ascii="Times New Roman" w:hAnsi="Times New Roman"/>
          </w:rPr>
          <w:fldChar w:fldCharType="end"/>
        </w:r>
      </w:p>
    </w:sdtContent>
  </w:sdt>
  <w:p w:rsidR="00B45475" w:rsidRDefault="0038586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955E6"/>
    <w:multiLevelType w:val="hybridMultilevel"/>
    <w:tmpl w:val="756C107C"/>
    <w:lvl w:ilvl="0" w:tplc="19C6430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4462D0"/>
    <w:multiLevelType w:val="hybridMultilevel"/>
    <w:tmpl w:val="06229884"/>
    <w:lvl w:ilvl="0" w:tplc="886065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0D"/>
    <w:rsid w:val="00046431"/>
    <w:rsid w:val="00050CFE"/>
    <w:rsid w:val="000532F9"/>
    <w:rsid w:val="000621D1"/>
    <w:rsid w:val="00065E05"/>
    <w:rsid w:val="00071517"/>
    <w:rsid w:val="00071CB1"/>
    <w:rsid w:val="0008009D"/>
    <w:rsid w:val="0008378C"/>
    <w:rsid w:val="00097484"/>
    <w:rsid w:val="000B4944"/>
    <w:rsid w:val="00142D7F"/>
    <w:rsid w:val="0014508E"/>
    <w:rsid w:val="001B684D"/>
    <w:rsid w:val="001C12FC"/>
    <w:rsid w:val="001D5AB7"/>
    <w:rsid w:val="001F3E12"/>
    <w:rsid w:val="00220A3A"/>
    <w:rsid w:val="00222144"/>
    <w:rsid w:val="002248F4"/>
    <w:rsid w:val="002255D0"/>
    <w:rsid w:val="00262EE3"/>
    <w:rsid w:val="00276667"/>
    <w:rsid w:val="00277999"/>
    <w:rsid w:val="002941BE"/>
    <w:rsid w:val="00296FB2"/>
    <w:rsid w:val="002C7594"/>
    <w:rsid w:val="002E2E15"/>
    <w:rsid w:val="002E7F33"/>
    <w:rsid w:val="002F3A51"/>
    <w:rsid w:val="00307E8D"/>
    <w:rsid w:val="00315D5E"/>
    <w:rsid w:val="0038586F"/>
    <w:rsid w:val="003B0CB0"/>
    <w:rsid w:val="003B4F77"/>
    <w:rsid w:val="003D3420"/>
    <w:rsid w:val="004229FD"/>
    <w:rsid w:val="00465D33"/>
    <w:rsid w:val="004878F8"/>
    <w:rsid w:val="0051124B"/>
    <w:rsid w:val="0051503F"/>
    <w:rsid w:val="00567438"/>
    <w:rsid w:val="00584D3A"/>
    <w:rsid w:val="00586892"/>
    <w:rsid w:val="005A30CB"/>
    <w:rsid w:val="005A324D"/>
    <w:rsid w:val="005A564B"/>
    <w:rsid w:val="005B46C4"/>
    <w:rsid w:val="005D7007"/>
    <w:rsid w:val="005D70A2"/>
    <w:rsid w:val="005F114E"/>
    <w:rsid w:val="00602772"/>
    <w:rsid w:val="006070E3"/>
    <w:rsid w:val="006237D4"/>
    <w:rsid w:val="00624CF5"/>
    <w:rsid w:val="00643570"/>
    <w:rsid w:val="006513D7"/>
    <w:rsid w:val="006645C2"/>
    <w:rsid w:val="00666C1E"/>
    <w:rsid w:val="00684EAC"/>
    <w:rsid w:val="00692A2D"/>
    <w:rsid w:val="006A0A09"/>
    <w:rsid w:val="006C463A"/>
    <w:rsid w:val="006E1504"/>
    <w:rsid w:val="006E4EC1"/>
    <w:rsid w:val="00710EC8"/>
    <w:rsid w:val="00714A4B"/>
    <w:rsid w:val="00722ACE"/>
    <w:rsid w:val="007247AD"/>
    <w:rsid w:val="00770380"/>
    <w:rsid w:val="007C3EDE"/>
    <w:rsid w:val="007D68F7"/>
    <w:rsid w:val="00800484"/>
    <w:rsid w:val="008210AD"/>
    <w:rsid w:val="00834EEA"/>
    <w:rsid w:val="00844672"/>
    <w:rsid w:val="008568EF"/>
    <w:rsid w:val="00861FD5"/>
    <w:rsid w:val="00866F1F"/>
    <w:rsid w:val="00870883"/>
    <w:rsid w:val="008718A0"/>
    <w:rsid w:val="008729B3"/>
    <w:rsid w:val="008A1018"/>
    <w:rsid w:val="008A54D8"/>
    <w:rsid w:val="008C7FF4"/>
    <w:rsid w:val="008D2D83"/>
    <w:rsid w:val="008F0FF5"/>
    <w:rsid w:val="008F2F77"/>
    <w:rsid w:val="00924C36"/>
    <w:rsid w:val="00947317"/>
    <w:rsid w:val="00962A30"/>
    <w:rsid w:val="00965507"/>
    <w:rsid w:val="0099379E"/>
    <w:rsid w:val="00994BB1"/>
    <w:rsid w:val="009E4BFE"/>
    <w:rsid w:val="009E79BD"/>
    <w:rsid w:val="00A03CB7"/>
    <w:rsid w:val="00A218A9"/>
    <w:rsid w:val="00A3160D"/>
    <w:rsid w:val="00A34F49"/>
    <w:rsid w:val="00A5087B"/>
    <w:rsid w:val="00A85560"/>
    <w:rsid w:val="00A90192"/>
    <w:rsid w:val="00A91284"/>
    <w:rsid w:val="00A9470A"/>
    <w:rsid w:val="00AA0E4A"/>
    <w:rsid w:val="00AA626D"/>
    <w:rsid w:val="00AC0E39"/>
    <w:rsid w:val="00AC3B9E"/>
    <w:rsid w:val="00AD1649"/>
    <w:rsid w:val="00AF062F"/>
    <w:rsid w:val="00B1097F"/>
    <w:rsid w:val="00B2133D"/>
    <w:rsid w:val="00B513E1"/>
    <w:rsid w:val="00B53BBF"/>
    <w:rsid w:val="00B55624"/>
    <w:rsid w:val="00B60B13"/>
    <w:rsid w:val="00B933F4"/>
    <w:rsid w:val="00B9734C"/>
    <w:rsid w:val="00B976BC"/>
    <w:rsid w:val="00BA209B"/>
    <w:rsid w:val="00BC6F83"/>
    <w:rsid w:val="00C0757D"/>
    <w:rsid w:val="00C35E1E"/>
    <w:rsid w:val="00C442E7"/>
    <w:rsid w:val="00C44EBB"/>
    <w:rsid w:val="00C47F26"/>
    <w:rsid w:val="00C51D75"/>
    <w:rsid w:val="00C549B7"/>
    <w:rsid w:val="00C576D2"/>
    <w:rsid w:val="00C62142"/>
    <w:rsid w:val="00C77CC6"/>
    <w:rsid w:val="00CE18CF"/>
    <w:rsid w:val="00CF48DC"/>
    <w:rsid w:val="00D14EF7"/>
    <w:rsid w:val="00D1535F"/>
    <w:rsid w:val="00D26773"/>
    <w:rsid w:val="00D616FD"/>
    <w:rsid w:val="00D70EDA"/>
    <w:rsid w:val="00D7702F"/>
    <w:rsid w:val="00D81FF8"/>
    <w:rsid w:val="00DA474A"/>
    <w:rsid w:val="00DB4BCF"/>
    <w:rsid w:val="00DC3395"/>
    <w:rsid w:val="00DE0C06"/>
    <w:rsid w:val="00DE37D5"/>
    <w:rsid w:val="00E163D3"/>
    <w:rsid w:val="00E16A57"/>
    <w:rsid w:val="00E54BD7"/>
    <w:rsid w:val="00E63B88"/>
    <w:rsid w:val="00E73E8F"/>
    <w:rsid w:val="00E93731"/>
    <w:rsid w:val="00EA467E"/>
    <w:rsid w:val="00EA47E2"/>
    <w:rsid w:val="00EC51B3"/>
    <w:rsid w:val="00EF2AB7"/>
    <w:rsid w:val="00F42F5A"/>
    <w:rsid w:val="00F45AF9"/>
    <w:rsid w:val="00F67724"/>
    <w:rsid w:val="00F76E26"/>
    <w:rsid w:val="00F83C77"/>
    <w:rsid w:val="00F917D7"/>
    <w:rsid w:val="00FB2329"/>
    <w:rsid w:val="00FC31F6"/>
    <w:rsid w:val="00FD23F6"/>
    <w:rsid w:val="00FF2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4D0E9D-443A-455E-8164-04C3DB7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7168">
      <w:bodyDiv w:val="1"/>
      <w:marLeft w:val="0"/>
      <w:marRight w:val="0"/>
      <w:marTop w:val="0"/>
      <w:marBottom w:val="0"/>
      <w:divBdr>
        <w:top w:val="none" w:sz="0" w:space="0" w:color="auto"/>
        <w:left w:val="none" w:sz="0" w:space="0" w:color="auto"/>
        <w:bottom w:val="none" w:sz="0" w:space="0" w:color="auto"/>
        <w:right w:val="none" w:sz="0" w:space="0" w:color="auto"/>
      </w:divBdr>
    </w:div>
    <w:div w:id="250431485">
      <w:bodyDiv w:val="1"/>
      <w:marLeft w:val="0"/>
      <w:marRight w:val="0"/>
      <w:marTop w:val="0"/>
      <w:marBottom w:val="0"/>
      <w:divBdr>
        <w:top w:val="none" w:sz="0" w:space="0" w:color="auto"/>
        <w:left w:val="none" w:sz="0" w:space="0" w:color="auto"/>
        <w:bottom w:val="none" w:sz="0" w:space="0" w:color="auto"/>
        <w:right w:val="none" w:sz="0" w:space="0" w:color="auto"/>
      </w:divBdr>
    </w:div>
    <w:div w:id="378280757">
      <w:bodyDiv w:val="1"/>
      <w:marLeft w:val="0"/>
      <w:marRight w:val="0"/>
      <w:marTop w:val="0"/>
      <w:marBottom w:val="0"/>
      <w:divBdr>
        <w:top w:val="none" w:sz="0" w:space="0" w:color="auto"/>
        <w:left w:val="none" w:sz="0" w:space="0" w:color="auto"/>
        <w:bottom w:val="none" w:sz="0" w:space="0" w:color="auto"/>
        <w:right w:val="none" w:sz="0" w:space="0" w:color="auto"/>
      </w:divBdr>
    </w:div>
    <w:div w:id="464003152">
      <w:bodyDiv w:val="1"/>
      <w:marLeft w:val="0"/>
      <w:marRight w:val="0"/>
      <w:marTop w:val="0"/>
      <w:marBottom w:val="0"/>
      <w:divBdr>
        <w:top w:val="none" w:sz="0" w:space="0" w:color="auto"/>
        <w:left w:val="none" w:sz="0" w:space="0" w:color="auto"/>
        <w:bottom w:val="none" w:sz="0" w:space="0" w:color="auto"/>
        <w:right w:val="none" w:sz="0" w:space="0" w:color="auto"/>
      </w:divBdr>
    </w:div>
    <w:div w:id="523514575">
      <w:bodyDiv w:val="1"/>
      <w:marLeft w:val="0"/>
      <w:marRight w:val="0"/>
      <w:marTop w:val="0"/>
      <w:marBottom w:val="0"/>
      <w:divBdr>
        <w:top w:val="none" w:sz="0" w:space="0" w:color="auto"/>
        <w:left w:val="none" w:sz="0" w:space="0" w:color="auto"/>
        <w:bottom w:val="none" w:sz="0" w:space="0" w:color="auto"/>
        <w:right w:val="none" w:sz="0" w:space="0" w:color="auto"/>
      </w:divBdr>
    </w:div>
    <w:div w:id="614406492">
      <w:bodyDiv w:val="1"/>
      <w:marLeft w:val="0"/>
      <w:marRight w:val="0"/>
      <w:marTop w:val="0"/>
      <w:marBottom w:val="0"/>
      <w:divBdr>
        <w:top w:val="none" w:sz="0" w:space="0" w:color="auto"/>
        <w:left w:val="none" w:sz="0" w:space="0" w:color="auto"/>
        <w:bottom w:val="none" w:sz="0" w:space="0" w:color="auto"/>
        <w:right w:val="none" w:sz="0" w:space="0" w:color="auto"/>
      </w:divBdr>
    </w:div>
    <w:div w:id="908880577">
      <w:bodyDiv w:val="1"/>
      <w:marLeft w:val="0"/>
      <w:marRight w:val="0"/>
      <w:marTop w:val="0"/>
      <w:marBottom w:val="0"/>
      <w:divBdr>
        <w:top w:val="none" w:sz="0" w:space="0" w:color="auto"/>
        <w:left w:val="none" w:sz="0" w:space="0" w:color="auto"/>
        <w:bottom w:val="none" w:sz="0" w:space="0" w:color="auto"/>
        <w:right w:val="none" w:sz="0" w:space="0" w:color="auto"/>
      </w:divBdr>
    </w:div>
    <w:div w:id="1132793412">
      <w:bodyDiv w:val="1"/>
      <w:marLeft w:val="0"/>
      <w:marRight w:val="0"/>
      <w:marTop w:val="0"/>
      <w:marBottom w:val="0"/>
      <w:divBdr>
        <w:top w:val="none" w:sz="0" w:space="0" w:color="auto"/>
        <w:left w:val="none" w:sz="0" w:space="0" w:color="auto"/>
        <w:bottom w:val="none" w:sz="0" w:space="0" w:color="auto"/>
        <w:right w:val="none" w:sz="0" w:space="0" w:color="auto"/>
      </w:divBdr>
    </w:div>
    <w:div w:id="1149326735">
      <w:bodyDiv w:val="1"/>
      <w:marLeft w:val="0"/>
      <w:marRight w:val="0"/>
      <w:marTop w:val="0"/>
      <w:marBottom w:val="0"/>
      <w:divBdr>
        <w:top w:val="none" w:sz="0" w:space="0" w:color="auto"/>
        <w:left w:val="none" w:sz="0" w:space="0" w:color="auto"/>
        <w:bottom w:val="none" w:sz="0" w:space="0" w:color="auto"/>
        <w:right w:val="none" w:sz="0" w:space="0" w:color="auto"/>
      </w:divBdr>
    </w:div>
    <w:div w:id="148605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28/2000%20Sb.%252362'&amp;ucin-k-dni='30.12.9999'" TargetMode="External"/><Relationship Id="rId13" Type="http://schemas.openxmlformats.org/officeDocument/2006/relationships/hyperlink" Target="aspi://module='ASPI'&amp;link='147/2000%20Sb.%252310'&amp;ucin-k-dni='30.12.9999'"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314/2002%20Sb.%25232'&amp;ucin-k-dni='30.12.9999'" TargetMode="External"/><Relationship Id="rId17" Type="http://schemas.openxmlformats.org/officeDocument/2006/relationships/hyperlink" Target="aspi://module='ASPI'&amp;link='186/2013%20Sb.%252331-37'&amp;ucin-k-dni='30.12.9999'" TargetMode="External"/><Relationship Id="rId2" Type="http://schemas.openxmlformats.org/officeDocument/2006/relationships/numbering" Target="numbering.xml"/><Relationship Id="rId16" Type="http://schemas.openxmlformats.org/officeDocument/2006/relationships/hyperlink" Target="aspi://module='ASPI'&amp;link='301/2000%20Sb.%25233'&amp;ucin-k-dni='30.12.999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spi://module='ASPI'&amp;link='147/2000%20Sb.%2523'&amp;ucin-k-dni='30.12.9999'"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aspi://module='ASPI'&amp;link='320/2001%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C5B9E-2090-4218-A58A-764EB4B0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2898</Words>
  <Characters>17103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Jakub Geier</dc:creator>
  <cp:lastModifiedBy>Lankaš Zdeněk JUDr.</cp:lastModifiedBy>
  <cp:revision>3</cp:revision>
  <cp:lastPrinted>2022-01-14T11:15:00Z</cp:lastPrinted>
  <dcterms:created xsi:type="dcterms:W3CDTF">2022-02-06T12:51:00Z</dcterms:created>
  <dcterms:modified xsi:type="dcterms:W3CDTF">2022-02-06T18:57:00Z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