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09B" w:rsidRDefault="009B5B9D" w:rsidP="009B5B9D">
      <w:pPr>
        <w:pStyle w:val="nadpiszkona"/>
        <w:tabs>
          <w:tab w:val="left" w:pos="2175"/>
        </w:tabs>
        <w:jc w:val="left"/>
        <w:rPr>
          <w:sz w:val="28"/>
        </w:rPr>
      </w:pPr>
      <w:r>
        <w:rPr>
          <w:sz w:val="28"/>
        </w:rPr>
        <w:t xml:space="preserve"> </w:t>
      </w:r>
      <w:r>
        <w:rPr>
          <w:sz w:val="28"/>
        </w:rPr>
        <w:tab/>
      </w:r>
      <w:r>
        <w:rPr>
          <w:sz w:val="28"/>
        </w:rPr>
        <w:tab/>
      </w:r>
      <w:r>
        <w:rPr>
          <w:sz w:val="28"/>
        </w:rPr>
        <w:tab/>
      </w:r>
      <w:r w:rsidR="008B509B">
        <w:rPr>
          <w:sz w:val="28"/>
        </w:rPr>
        <w:t>Důvodová zpráva</w:t>
      </w:r>
      <w:r>
        <w:rPr>
          <w:sz w:val="28"/>
        </w:rPr>
        <w:t xml:space="preserve">        </w:t>
      </w:r>
      <w:r w:rsidR="00EE5096">
        <w:rPr>
          <w:sz w:val="28"/>
        </w:rPr>
        <w:t xml:space="preserve">                             </w:t>
      </w:r>
    </w:p>
    <w:p w:rsidR="008B509B" w:rsidRDefault="008B509B" w:rsidP="009B5B9D">
      <w:pPr>
        <w:pStyle w:val="nadpiszkona"/>
        <w:ind w:left="708" w:firstLine="708"/>
        <w:jc w:val="left"/>
      </w:pPr>
      <w:r>
        <w:t>k návrhu zákona o státním rozp</w:t>
      </w:r>
      <w:r w:rsidR="00763638">
        <w:t>očtu České republiky na rok 2022</w:t>
      </w:r>
    </w:p>
    <w:p w:rsidR="008B509B" w:rsidRDefault="008B509B" w:rsidP="008B509B">
      <w:pPr>
        <w:jc w:val="center"/>
      </w:pPr>
    </w:p>
    <w:p w:rsidR="008B509B" w:rsidRPr="002C0096" w:rsidRDefault="008B509B" w:rsidP="008B509B">
      <w:pPr>
        <w:pStyle w:val="Nadpis3"/>
        <w:spacing w:after="240"/>
        <w:rPr>
          <w:rFonts w:ascii="Times New Roman" w:hAnsi="Times New Roman" w:cs="Times New Roman"/>
        </w:rPr>
      </w:pPr>
      <w:r w:rsidRPr="002C0096">
        <w:rPr>
          <w:rFonts w:ascii="Times New Roman" w:hAnsi="Times New Roman" w:cs="Times New Roman"/>
        </w:rPr>
        <w:t>Obecná část</w:t>
      </w:r>
    </w:p>
    <w:p w:rsidR="008B509B" w:rsidRDefault="008B509B" w:rsidP="008B509B">
      <w:pPr>
        <w:pStyle w:val="Zkladntextodsazen"/>
        <w:jc w:val="both"/>
      </w:pPr>
      <w:r>
        <w:t>Návrh zákona o státním rozpočtu legislativně zabezpečuje základní dokument finanční a rozpočtové politiky vlády České republiky. Finanční a rozpočtová politika v</w:t>
      </w:r>
      <w:r w:rsidR="00763638">
        <w:t>lády České republiky na rok 2022</w:t>
      </w:r>
      <w:r>
        <w:t xml:space="preserve"> je podrobně popsána ve „Zprávě k návrhu zákona o státním rozpo</w:t>
      </w:r>
      <w:r w:rsidR="00763638">
        <w:t>čtu České republiky na rok 2022</w:t>
      </w:r>
      <w:r>
        <w:t xml:space="preserve">“, která je součástí doprovodného materiálu, číselně je pak doložena i dalšími podkladovými materiály. </w:t>
      </w:r>
      <w:r w:rsidR="009D7207">
        <w:t>S ohledem na nástup nové vlády a nově zvolené Poslanecké sněmovny Parlamentu ČR v 9. volebním období se nepodařilo schválit návrh zákona o státním rozpočtu před začátkem současného rozpočtového roku 2022, proto nyní probíhá režim rozpočtového provizoria a je žádoucí schválit řádný rozpočet co nejdříve.</w:t>
      </w:r>
    </w:p>
    <w:p w:rsidR="008B509B" w:rsidRPr="00464030" w:rsidRDefault="008B509B" w:rsidP="008B509B">
      <w:pPr>
        <w:pStyle w:val="Zkladntext21"/>
        <w:spacing w:after="0"/>
        <w:ind w:firstLine="709"/>
      </w:pPr>
      <w:r w:rsidRPr="00464030">
        <w:t xml:space="preserve">Návrh státního rozpočtu </w:t>
      </w:r>
      <w:r w:rsidR="00763638">
        <w:t>na rok 2022</w:t>
      </w:r>
      <w:r w:rsidRPr="00464030">
        <w:t xml:space="preserve"> je předkládán jako schodkový v objemu </w:t>
      </w:r>
      <w:r w:rsidR="00A758B7" w:rsidRPr="00464030">
        <w:t>příjmů</w:t>
      </w:r>
      <w:r w:rsidR="00336E81">
        <w:t xml:space="preserve"> </w:t>
      </w:r>
      <w:r w:rsidR="001B7F7C">
        <w:t xml:space="preserve">1 613,2 mld. </w:t>
      </w:r>
      <w:r>
        <w:t>Kč a v</w:t>
      </w:r>
      <w:r w:rsidR="001B7F7C">
        <w:t> </w:t>
      </w:r>
      <w:r>
        <w:t>objemu</w:t>
      </w:r>
      <w:r w:rsidR="001B7F7C">
        <w:t xml:space="preserve"> výdajů</w:t>
      </w:r>
      <w:r>
        <w:t xml:space="preserve"> </w:t>
      </w:r>
      <w:r w:rsidR="001B7F7C">
        <w:t xml:space="preserve">1 893,2 </w:t>
      </w:r>
      <w:r w:rsidR="00834C04">
        <w:t>mld.</w:t>
      </w:r>
      <w:r w:rsidRPr="00464030">
        <w:t xml:space="preserve"> Kč. </w:t>
      </w:r>
    </w:p>
    <w:p w:rsidR="008B509B" w:rsidRDefault="008B509B" w:rsidP="008B509B">
      <w:pPr>
        <w:pStyle w:val="Zkladntext21"/>
        <w:spacing w:after="0"/>
        <w:ind w:firstLine="709"/>
      </w:pPr>
      <w:r>
        <w:t>Příjmy státního rozpočtu jsou tvořeny zejména z daní, pojistného na sociální zabezpečení a příspěvku na státní politiku zaměstnanosti a nedaňovými příjmy včetně kapitálových. Za nedaňové příjmy se považuje také podíl z výnosu cel, který podle práva Evropské unie zůstává ponechán členským státům na úhradu nákladů spojených s jejich výběrem. Součástí příjmů státního rozpočtu jsou dále peněžní prostředky poskytnuté z rozpočtu Evropské unie na realizaci politik Evropské unie, tj. zejména prostředky poskytnuté z Evropských strukturálních a investičních fondů (</w:t>
      </w:r>
      <w:r w:rsidRPr="001E7CB0">
        <w:t>Evropský fond pro regionální rozvoj, Evropský sociáln</w:t>
      </w:r>
      <w:r>
        <w:t xml:space="preserve">í fond, Fond soudržnosti, </w:t>
      </w:r>
      <w:r w:rsidRPr="001E7CB0">
        <w:t>Evropský zemědělský fond pro rozvoj venkova a Ev</w:t>
      </w:r>
      <w:r>
        <w:t>ro</w:t>
      </w:r>
      <w:r w:rsidR="00F253AE">
        <w:t xml:space="preserve">pský námořní a rybářský fond), </w:t>
      </w:r>
      <w:r>
        <w:t xml:space="preserve">z </w:t>
      </w:r>
      <w:r>
        <w:rPr>
          <w:szCs w:val="24"/>
        </w:rPr>
        <w:t>Evropského zemědělského</w:t>
      </w:r>
      <w:r w:rsidRPr="004F05C4">
        <w:rPr>
          <w:szCs w:val="24"/>
        </w:rPr>
        <w:t xml:space="preserve"> a záruční</w:t>
      </w:r>
      <w:r>
        <w:rPr>
          <w:szCs w:val="24"/>
        </w:rPr>
        <w:t>ho fondu</w:t>
      </w:r>
      <w:r w:rsidR="00F253AE" w:rsidRPr="00F253AE">
        <w:t xml:space="preserve"> </w:t>
      </w:r>
      <w:r w:rsidR="00F253AE" w:rsidRPr="00F253AE">
        <w:rPr>
          <w:szCs w:val="24"/>
        </w:rPr>
        <w:t xml:space="preserve">a z Nástroje na podporu oživení a </w:t>
      </w:r>
      <w:r w:rsidR="00F253AE">
        <w:rPr>
          <w:szCs w:val="24"/>
        </w:rPr>
        <w:t>odolnosti (Národní plán obnovy)</w:t>
      </w:r>
      <w:r>
        <w:t>. Dále jsou příjmem státního rozpočtu prostředky z finančních mechanismů EHP/Norsko svěřené České republice na základě mezinárodních smluv.</w:t>
      </w:r>
    </w:p>
    <w:p w:rsidR="008B509B" w:rsidRDefault="008B509B" w:rsidP="008B509B">
      <w:pPr>
        <w:pStyle w:val="Zkladntext21"/>
        <w:spacing w:after="0"/>
        <w:ind w:firstLine="709"/>
        <w:rPr>
          <w:b/>
        </w:rPr>
      </w:pPr>
      <w:r>
        <w:t xml:space="preserve">  Výdaji státního rozpočtu jsou zejména výdaje organizačních složek státu včetně příspěvků </w:t>
      </w:r>
      <w:r w:rsidR="00752222">
        <w:t xml:space="preserve">státním </w:t>
      </w:r>
      <w:r>
        <w:t>příspěvkovým organizacím, které zabezpečují funkce státu,</w:t>
      </w:r>
      <w:r>
        <w:rPr>
          <w:i/>
          <w:iCs/>
        </w:rPr>
        <w:t xml:space="preserve"> </w:t>
      </w:r>
      <w:r w:rsidR="00AE4A7F">
        <w:t>dotace a </w:t>
      </w:r>
      <w:r>
        <w:t>příspěvky krajům a</w:t>
      </w:r>
      <w:r>
        <w:rPr>
          <w:i/>
          <w:iCs/>
        </w:rPr>
        <w:t xml:space="preserve"> </w:t>
      </w:r>
      <w:r>
        <w:t>obcím, státním fondům, dotace podnikatelským subjektům, nestátním neziskovým organizacím a výdaje související s dluhovou službou. Součástí výdajů státního rozpočtu jsou i odvody peněžních prostředků vlastních zdrojů Evropské unie, prostředky na zajištění předfinancování u výdajů, které jsou spolufinancovány ze zdrojů Evropské unie nebo finančních mechanismů EHP/Norsko a podíly státního rozpočtu na financování těchto výdajů.</w:t>
      </w:r>
      <w:r w:rsidRPr="001477EC">
        <w:rPr>
          <w:b/>
          <w:highlight w:val="yellow"/>
        </w:rPr>
        <w:t xml:space="preserve"> </w:t>
      </w:r>
    </w:p>
    <w:p w:rsidR="008B509B" w:rsidRDefault="008B509B" w:rsidP="008B509B">
      <w:pPr>
        <w:pStyle w:val="Zkladntext21"/>
        <w:spacing w:after="0"/>
        <w:ind w:firstLine="709"/>
      </w:pPr>
      <w:r>
        <w:t>Návrh zákona je v souladu s vyhlášenými mezinárodními smlouvami podle čl. 10 Ústavy České republiky a je rovněž v souladu s ústavním pořádkem České republiky.</w:t>
      </w:r>
    </w:p>
    <w:p w:rsidR="009B2312" w:rsidRDefault="008B509B" w:rsidP="008B509B">
      <w:pPr>
        <w:pStyle w:val="Zkladntext21"/>
        <w:spacing w:after="0"/>
        <w:ind w:firstLine="709"/>
      </w:pPr>
      <w:r w:rsidRPr="00AD2B95">
        <w:t>Návrh zákona o státním rozpočtu je slučitelný s právem Evropské unie. Tvorba rozpočtů členských států EU není právem EU přímo upravena. Primární právo EU však v návaznosti na existenci vnitřního trhu EU</w:t>
      </w:r>
      <w:r>
        <w:t xml:space="preserve"> a</w:t>
      </w:r>
      <w:r w:rsidRPr="00AD2B95">
        <w:t xml:space="preserve"> </w:t>
      </w:r>
      <w:r>
        <w:t>H</w:t>
      </w:r>
      <w:r w:rsidRPr="00AD2B95">
        <w:t>ospodářské a měnové unie a s ohledem na cíle, které EU sleduje (čl. 3 Smlouvy o EU), obsahuje závazky, kte</w:t>
      </w:r>
      <w:r>
        <w:t>ré do oblasti tvorby státního a </w:t>
      </w:r>
      <w:r w:rsidRPr="00AD2B95">
        <w:t xml:space="preserve">veřejných rozpočtů obecně zasahují. </w:t>
      </w:r>
      <w:r w:rsidR="001F0EE0">
        <w:t xml:space="preserve">Primární i sekundární právo </w:t>
      </w:r>
      <w:r w:rsidR="003C214C">
        <w:t xml:space="preserve">obsahuje závazky v oblasti rozpočtové odpovědnosti pro členské státy. </w:t>
      </w:r>
      <w:r w:rsidRPr="00AD2B95">
        <w:t xml:space="preserve">Jde především o povinnost vyvarovat se nadměrných schodků veřejných financí (čl. 126 SFEU, Protokol /č. 12/ o postupu při nadměrném schodku) nebo obecněji povinnost provádět národní hospodářskou politiku se záměrem přispívat k dosažení cílů Unie (čl. </w:t>
      </w:r>
      <w:smartTag w:uri="urn:schemas-microsoft-com:office:smarttags" w:element="metricconverter">
        <w:smartTagPr>
          <w:attr w:name="ProductID" w:val="120 a"/>
        </w:smartTagPr>
        <w:r w:rsidRPr="00AD2B95">
          <w:t>120 a</w:t>
        </w:r>
      </w:smartTag>
      <w:r w:rsidRPr="00AD2B95">
        <w:t xml:space="preserve"> násl. SFEU).</w:t>
      </w:r>
      <w:r w:rsidR="0016220D">
        <w:t xml:space="preserve"> </w:t>
      </w:r>
      <w:r w:rsidRPr="00AD2B95">
        <w:t xml:space="preserve">Závazky z primárního práva EU jsou dále konkretizovány v přímo použitelných nařízeních </w:t>
      </w:r>
      <w:r w:rsidRPr="001402BA">
        <w:t xml:space="preserve">Rady </w:t>
      </w:r>
      <w:r>
        <w:t>(ES)</w:t>
      </w:r>
      <w:r w:rsidRPr="00AD2B95">
        <w:t xml:space="preserve"> č. </w:t>
      </w:r>
      <w:r w:rsidRPr="001402BA">
        <w:t xml:space="preserve">1466/97 </w:t>
      </w:r>
      <w:r w:rsidR="009B2312">
        <w:rPr>
          <w:bCs/>
        </w:rPr>
        <w:t>o </w:t>
      </w:r>
      <w:r w:rsidRPr="00AD2B95">
        <w:rPr>
          <w:bCs/>
        </w:rPr>
        <w:t>posílení dohledu nad stavy rozpočtů a nad hospodářskými politikami a o posílení koordinace hospodářských politik</w:t>
      </w:r>
      <w:r>
        <w:rPr>
          <w:bCs/>
        </w:rPr>
        <w:t>, v platném znění</w:t>
      </w:r>
      <w:r>
        <w:rPr>
          <w:rStyle w:val="Znakapoznpodarou"/>
          <w:bCs/>
        </w:rPr>
        <w:footnoteReference w:id="1"/>
      </w:r>
      <w:r>
        <w:rPr>
          <w:bCs/>
        </w:rPr>
        <w:t>,</w:t>
      </w:r>
      <w:r w:rsidRPr="00AD2B95">
        <w:rPr>
          <w:b/>
          <w:bCs/>
        </w:rPr>
        <w:t xml:space="preserve"> </w:t>
      </w:r>
      <w:r w:rsidRPr="00AD2B95">
        <w:t>a č. 1467/97 o urychlení a vyjasnění postupu při nadměrném schodku, v platném znění</w:t>
      </w:r>
      <w:r w:rsidRPr="00A22CE7">
        <w:rPr>
          <w:vertAlign w:val="superscript"/>
        </w:rPr>
        <w:footnoteReference w:id="2"/>
      </w:r>
      <w:r w:rsidR="00F208BD" w:rsidRPr="00A22CE7">
        <w:t xml:space="preserve"> a </w:t>
      </w:r>
      <w:r w:rsidR="00E56036" w:rsidRPr="00A22CE7">
        <w:t>ve směrnici Rady 2011/85/EU o </w:t>
      </w:r>
      <w:r w:rsidR="00F208BD" w:rsidRPr="00A22CE7">
        <w:t>požadavcích na rozpočtové rámce členských států.</w:t>
      </w:r>
      <w:r w:rsidR="009B2312" w:rsidRPr="009B2312">
        <w:t xml:space="preserve"> </w:t>
      </w:r>
    </w:p>
    <w:p w:rsidR="00002B9F" w:rsidRDefault="007D1E32" w:rsidP="008B509B">
      <w:pPr>
        <w:pStyle w:val="Zkladntext21"/>
        <w:spacing w:after="0"/>
        <w:ind w:firstLine="709"/>
      </w:pPr>
      <w:r>
        <w:t>Výše citované sekundární předpisy, konkrétně dvě přímo použitelná nařízení, tvoří spolu s rezolucí Evropské rady přijaté v Amsterodamu v červnu 1997 tzv. Pakt o stabilitě a </w:t>
      </w:r>
      <w:r w:rsidR="00002B9F">
        <w:t>růstu</w:t>
      </w:r>
      <w:r>
        <w:t>. Ten</w:t>
      </w:r>
      <w:r w:rsidR="00002B9F">
        <w:t xml:space="preserve"> </w:t>
      </w:r>
      <w:r w:rsidR="00002B9F" w:rsidRPr="00002B9F">
        <w:t>obsahuje celkem dvě únikové klauzule pro případ nenadálých hospodářských šoků mimo kontrolu vlád nebo pro případ silné hospodářské recese postihující celou eurozónu či EU.</w:t>
      </w:r>
    </w:p>
    <w:p w:rsidR="003C214C" w:rsidRDefault="003C214C" w:rsidP="008B509B">
      <w:pPr>
        <w:pStyle w:val="Zkladntext21"/>
        <w:spacing w:after="0"/>
        <w:ind w:firstLine="709"/>
      </w:pPr>
      <w:r>
        <w:t xml:space="preserve">V rámci Paktu o stabilitě a růstu </w:t>
      </w:r>
      <w:r w:rsidR="00C718E4">
        <w:t xml:space="preserve">vydává </w:t>
      </w:r>
      <w:r w:rsidR="001E6189">
        <w:t xml:space="preserve">Evropská komise </w:t>
      </w:r>
      <w:r w:rsidR="00C718E4">
        <w:t xml:space="preserve">každoročně dokumenty analyzující stav veřejných financí v jednotlivých členských státech a adresuje jim konkrétní doporučení pro koordinaci národních hospodářských politik. </w:t>
      </w:r>
    </w:p>
    <w:p w:rsidR="009F40FE" w:rsidRDefault="009D7207" w:rsidP="001D4CD1">
      <w:pPr>
        <w:pStyle w:val="Zkladntext21"/>
        <w:spacing w:after="0"/>
        <w:ind w:firstLine="709"/>
      </w:pPr>
      <w:r>
        <w:t>Současný stav všech evropských ekonomik odráží fakt, že aktuálně probíhá fáze</w:t>
      </w:r>
      <w:r w:rsidR="003C214C">
        <w:t xml:space="preserve"> ekonomického oživení následujícího po období </w:t>
      </w:r>
      <w:r w:rsidR="00735457">
        <w:t xml:space="preserve">masivních </w:t>
      </w:r>
      <w:r w:rsidR="003C214C">
        <w:t xml:space="preserve">protipandemických opatření. </w:t>
      </w:r>
      <w:r w:rsidR="00A3395A">
        <w:t>V tomto kontextu</w:t>
      </w:r>
      <w:r w:rsidR="009F40FE">
        <w:t xml:space="preserve"> bylo na unijní úrovni vyjednáno a přijato nařízení </w:t>
      </w:r>
      <w:r w:rsidR="00A3395A">
        <w:t xml:space="preserve">EU </w:t>
      </w:r>
      <w:r w:rsidR="009F40FE">
        <w:t>č. 2021/241, kterým se zřizuje Nástroj pro oživení a odolnost.</w:t>
      </w:r>
      <w:r w:rsidR="00A66407">
        <w:rPr>
          <w:rStyle w:val="Znakapoznpodarou"/>
        </w:rPr>
        <w:footnoteReference w:id="3"/>
      </w:r>
      <w:r w:rsidR="009F40FE">
        <w:t xml:space="preserve"> </w:t>
      </w:r>
      <w:r w:rsidR="00735457">
        <w:t>Aby bylo umožněno přijetí nákladných mimořádných protipandemických opatření, byla</w:t>
      </w:r>
      <w:r w:rsidR="00E83ED6">
        <w:t xml:space="preserve"> na úrovni EU</w:t>
      </w:r>
      <w:r w:rsidR="00735457">
        <w:t xml:space="preserve"> aktivována tzv. obecná úniková doložka a tím otevřená cesta pro dočasné zvýšení rozpočtových schodků. Tato úniková doložka se bude podle sdělení Evropské komise</w:t>
      </w:r>
      <w:r w:rsidR="00735457">
        <w:rPr>
          <w:rStyle w:val="Znakapoznpodarou"/>
        </w:rPr>
        <w:footnoteReference w:id="4"/>
      </w:r>
      <w:r w:rsidR="00735457">
        <w:t xml:space="preserve"> uplatňovat do konce roku 2022.</w:t>
      </w:r>
    </w:p>
    <w:p w:rsidR="008B509B" w:rsidRDefault="00735457" w:rsidP="001D4CD1">
      <w:pPr>
        <w:pStyle w:val="Zkladntext21"/>
        <w:spacing w:after="0"/>
        <w:ind w:firstLine="709"/>
      </w:pPr>
      <w:r>
        <w:t xml:space="preserve">Výše </w:t>
      </w:r>
      <w:r w:rsidR="009B2312">
        <w:t xml:space="preserve">střednědobého rozpočtového cíle </w:t>
      </w:r>
      <w:r>
        <w:t xml:space="preserve">byla </w:t>
      </w:r>
      <w:r w:rsidRPr="009B2312">
        <w:t xml:space="preserve">v únoru 2019 </w:t>
      </w:r>
      <w:r w:rsidR="009B2312" w:rsidRPr="009B2312">
        <w:t xml:space="preserve">pro roky 2020-2022 </w:t>
      </w:r>
      <w:r>
        <w:t xml:space="preserve">stanovena </w:t>
      </w:r>
      <w:r w:rsidR="009B2312" w:rsidRPr="009B2312">
        <w:t>na -0,75 % (vyjádřeno jako pomě</w:t>
      </w:r>
      <w:r w:rsidR="009B2312">
        <w:t>r strukturálního salda na HDP).</w:t>
      </w:r>
      <w:r w:rsidR="001D4CD1">
        <w:t xml:space="preserve"> </w:t>
      </w:r>
      <w:r w:rsidR="001D4CD1" w:rsidRPr="001D4CD1">
        <w:t>V reakci na ekonomické dopady pandemie n</w:t>
      </w:r>
      <w:r w:rsidR="00F715E6">
        <w:t xml:space="preserve">ového koronaviru, byly v roce </w:t>
      </w:r>
      <w:r w:rsidR="001D4CD1" w:rsidRPr="001D4CD1">
        <w:t xml:space="preserve">2020 </w:t>
      </w:r>
      <w:r w:rsidR="00F715E6">
        <w:t xml:space="preserve">schváleny dvě novely </w:t>
      </w:r>
      <w:r w:rsidR="001D4CD1" w:rsidRPr="001D4CD1">
        <w:t>zákona č. 23/2017 Sb., o pravidlech</w:t>
      </w:r>
      <w:r w:rsidR="00F715E6">
        <w:t xml:space="preserve"> rozpočtové odpovědnosti, druhá z nich s účinností od 1. ledna 2021. Podle </w:t>
      </w:r>
      <w:r w:rsidR="006A0F34">
        <w:t xml:space="preserve">nyní platného a účinného znění </w:t>
      </w:r>
      <w:r w:rsidR="00F715E6">
        <w:t>§ 10a zákona o</w:t>
      </w:r>
      <w:r>
        <w:t xml:space="preserve"> pravidlech</w:t>
      </w:r>
      <w:r w:rsidR="00F715E6">
        <w:t xml:space="preserve"> rozpočtové odpovědnosti </w:t>
      </w:r>
      <w:r w:rsidR="00B921BD">
        <w:t>použilo</w:t>
      </w:r>
      <w:r w:rsidR="00F715E6">
        <w:t xml:space="preserve"> Ministerstvo financí v roce 2021 </w:t>
      </w:r>
      <w:r w:rsidR="00F715E6" w:rsidRPr="00F715E6">
        <w:t xml:space="preserve">pro účely stanovení celkových výdajů sektoru veřejných institucí na rok 2022 </w:t>
      </w:r>
      <w:r>
        <w:t xml:space="preserve">strukturální </w:t>
      </w:r>
      <w:r w:rsidR="00F715E6" w:rsidRPr="00F715E6">
        <w:t xml:space="preserve">saldo pro rok 2021, </w:t>
      </w:r>
      <w:r w:rsidR="00B921BD">
        <w:t>na základě kvalifikovaného odhadu</w:t>
      </w:r>
      <w:r w:rsidR="00F715E6" w:rsidRPr="00F715E6">
        <w:t>, zvýšené o 0,5 procentního bodu.</w:t>
      </w:r>
      <w:r w:rsidR="001E6189">
        <w:t xml:space="preserve"> </w:t>
      </w:r>
    </w:p>
    <w:p w:rsidR="003C214C" w:rsidRDefault="003C214C" w:rsidP="009F40FE">
      <w:pPr>
        <w:pStyle w:val="Zkladntext21"/>
        <w:spacing w:after="0"/>
        <w:ind w:firstLine="709"/>
      </w:pPr>
      <w:r>
        <w:t>Předkládaný návrh státního rozpočtu na rok 2022 je v souladu s doporučeními Evropské komise</w:t>
      </w:r>
      <w:r w:rsidR="001E6189">
        <w:t xml:space="preserve"> vyslovenými České republice</w:t>
      </w:r>
      <w:r>
        <w:t xml:space="preserve">, které jsou obsahem </w:t>
      </w:r>
      <w:r w:rsidR="00A66407">
        <w:t>souhrnné zprávy</w:t>
      </w:r>
      <w:r w:rsidR="00A3395A">
        <w:t>,</w:t>
      </w:r>
      <w:r w:rsidR="00A66407">
        <w:t xml:space="preserve"> </w:t>
      </w:r>
      <w:r>
        <w:t xml:space="preserve">dokumentu č. </w:t>
      </w:r>
      <w:r w:rsidR="001E6189">
        <w:t>j. COM (2021) 529 final</w:t>
      </w:r>
      <w:r w:rsidR="00A66407">
        <w:rPr>
          <w:rStyle w:val="Znakapoznpodarou"/>
        </w:rPr>
        <w:footnoteReference w:id="5"/>
      </w:r>
      <w:r w:rsidR="001E6189">
        <w:t xml:space="preserve"> ze dne 2. 6. 2021 a také </w:t>
      </w:r>
      <w:r w:rsidR="00A3395A">
        <w:t xml:space="preserve">materiálu ke konvergenčnímu programu </w:t>
      </w:r>
      <w:r w:rsidR="001E6189">
        <w:t xml:space="preserve">č. j. </w:t>
      </w:r>
      <w:r w:rsidR="00C718E4">
        <w:t>COM (2021) 503 final.</w:t>
      </w:r>
      <w:r w:rsidR="00A66407">
        <w:rPr>
          <w:rStyle w:val="Znakapoznpodarou"/>
        </w:rPr>
        <w:footnoteReference w:id="6"/>
      </w:r>
      <w:r w:rsidR="00C718E4">
        <w:t xml:space="preserve"> </w:t>
      </w:r>
    </w:p>
    <w:p w:rsidR="008B509B" w:rsidRDefault="008B509B" w:rsidP="00674DCD">
      <w:pPr>
        <w:pStyle w:val="Zkladntextodsazen"/>
        <w:jc w:val="both"/>
      </w:pPr>
      <w:r>
        <w:t xml:space="preserve">Dopady </w:t>
      </w:r>
      <w:r w:rsidR="00427289">
        <w:t xml:space="preserve">návrhu zákona </w:t>
      </w:r>
      <w:r>
        <w:t>na státní rozpočet se neuvádějí, což vyplývá z</w:t>
      </w:r>
      <w:r w:rsidR="00D75CBA">
        <w:t>e </w:t>
      </w:r>
      <w:r w:rsidR="00427289">
        <w:t>samotného</w:t>
      </w:r>
      <w:r>
        <w:t xml:space="preserve"> charakteru zákona. Při aplikaci Obecných zásad pro hodnocení dopadů regulace (RIA) podléhá tento zákon zvláštnímu režimu podle výjimky uvedené v čl. I. 3. 8. písm. b) těchto zásad.  </w:t>
      </w:r>
    </w:p>
    <w:p w:rsidR="008B509B" w:rsidRPr="002C0096" w:rsidRDefault="008B509B" w:rsidP="008B509B">
      <w:pPr>
        <w:pStyle w:val="Nadpis3"/>
        <w:spacing w:after="240"/>
        <w:rPr>
          <w:rFonts w:ascii="Times New Roman" w:hAnsi="Times New Roman" w:cs="Times New Roman"/>
        </w:rPr>
      </w:pPr>
      <w:r w:rsidRPr="002C0096">
        <w:rPr>
          <w:rFonts w:ascii="Times New Roman" w:hAnsi="Times New Roman" w:cs="Times New Roman"/>
        </w:rPr>
        <w:t>Zvláštní část</w:t>
      </w:r>
    </w:p>
    <w:p w:rsidR="008B509B" w:rsidRPr="00C57184" w:rsidRDefault="008B509B" w:rsidP="008B509B">
      <w:pPr>
        <w:pStyle w:val="Nadpis3"/>
        <w:rPr>
          <w:rFonts w:ascii="Times New Roman" w:hAnsi="Times New Roman" w:cs="Times New Roman"/>
          <w:bCs w:val="0"/>
          <w:u w:val="single"/>
        </w:rPr>
      </w:pPr>
      <w:r w:rsidRPr="00C57184">
        <w:rPr>
          <w:rFonts w:ascii="Times New Roman" w:hAnsi="Times New Roman" w:cs="Times New Roman"/>
          <w:bCs w:val="0"/>
          <w:u w:val="single"/>
        </w:rPr>
        <w:t>K § 1:</w:t>
      </w:r>
    </w:p>
    <w:p w:rsidR="008B509B" w:rsidRDefault="008B509B" w:rsidP="000E3343">
      <w:pPr>
        <w:spacing w:line="360" w:lineRule="auto"/>
        <w:ind w:firstLine="708"/>
        <w:jc w:val="both"/>
      </w:pPr>
      <w:r>
        <w:t xml:space="preserve">Státní rozpočet </w:t>
      </w:r>
      <w:r w:rsidR="00D20DA0">
        <w:t>se navrhuje se schodkem ve výši</w:t>
      </w:r>
      <w:r w:rsidR="00F57BD2">
        <w:t xml:space="preserve"> </w:t>
      </w:r>
      <w:r w:rsidR="001B7F7C">
        <w:t xml:space="preserve">280 mld. </w:t>
      </w:r>
      <w:r>
        <w:t>Kč. V navrhovaném ustanovení jsou obsaženy základní údaje o příjmech a výdajích státního rozpočtu a jeho finančních vztazích k rozpočtu Evropské unie. Součástí finanč</w:t>
      </w:r>
      <w:r w:rsidR="000E3343">
        <w:t>ního vztahu státního rozpočtu k </w:t>
      </w:r>
      <w:r>
        <w:t>rozpočtu Evropské unie jsou jím přijímané peněžní prostř</w:t>
      </w:r>
      <w:r w:rsidR="000E3343">
        <w:t>edky z rozpočtu Evropské unie a </w:t>
      </w:r>
      <w:r>
        <w:t>odvody peněžních prostředků vlastních zdrojů Evropské unie. Výdaje na programov</w:t>
      </w:r>
      <w:r w:rsidR="00D20DA0">
        <w:t>é financování jsou i pro rok 2022</w:t>
      </w:r>
      <w:r>
        <w:t xml:space="preserve"> stanoveny jako průřezový ukazatel v příloze č. </w:t>
      </w:r>
      <w:smartTag w:uri="urn:schemas-microsoft-com:office:smarttags" w:element="metricconverter">
        <w:smartTagPr>
          <w:attr w:name="ProductID" w:val="4, a"/>
        </w:smartTagPr>
        <w:r>
          <w:t>4, a</w:t>
        </w:r>
      </w:smartTag>
      <w:r>
        <w:t xml:space="preserve"> to jedním číslem pro kapitolu. </w:t>
      </w:r>
    </w:p>
    <w:p w:rsidR="00A3395A" w:rsidRDefault="00A3395A" w:rsidP="008B509B">
      <w:pPr>
        <w:pStyle w:val="Zkladntext21"/>
        <w:rPr>
          <w:b/>
          <w:u w:val="single"/>
        </w:rPr>
      </w:pPr>
    </w:p>
    <w:p w:rsidR="008B509B" w:rsidRPr="009C284F" w:rsidRDefault="008B509B" w:rsidP="008B509B">
      <w:pPr>
        <w:pStyle w:val="Zkladntext21"/>
        <w:rPr>
          <w:b/>
          <w:u w:val="single"/>
        </w:rPr>
      </w:pPr>
      <w:r w:rsidRPr="009C284F">
        <w:rPr>
          <w:b/>
          <w:u w:val="single"/>
        </w:rPr>
        <w:t>K § 2:</w:t>
      </w:r>
    </w:p>
    <w:p w:rsidR="008B509B" w:rsidRPr="003969B9" w:rsidRDefault="008B509B" w:rsidP="008B509B">
      <w:pPr>
        <w:pStyle w:val="Zkladntextodsazen3"/>
        <w:spacing w:line="360" w:lineRule="auto"/>
        <w:ind w:left="0" w:firstLine="708"/>
        <w:jc w:val="both"/>
        <w:rPr>
          <w:sz w:val="24"/>
          <w:szCs w:val="24"/>
        </w:rPr>
      </w:pPr>
      <w:r w:rsidRPr="003969B9">
        <w:rPr>
          <w:sz w:val="24"/>
          <w:szCs w:val="24"/>
        </w:rPr>
        <w:t>Součástí návrhu záko</w:t>
      </w:r>
      <w:r>
        <w:rPr>
          <w:sz w:val="24"/>
          <w:szCs w:val="24"/>
        </w:rPr>
        <w:t>na</w:t>
      </w:r>
      <w:r w:rsidR="00D20DA0">
        <w:rPr>
          <w:sz w:val="24"/>
          <w:szCs w:val="24"/>
        </w:rPr>
        <w:t xml:space="preserve"> o státním rozpočtu na rok 2022</w:t>
      </w:r>
      <w:r w:rsidRPr="003969B9">
        <w:rPr>
          <w:sz w:val="24"/>
          <w:szCs w:val="24"/>
        </w:rPr>
        <w:t xml:space="preserve"> jsou finanční vztahy státního rozpočtu k rozpočtům krajů, obcí a hl. m. Prahy. </w:t>
      </w:r>
    </w:p>
    <w:p w:rsidR="008B509B" w:rsidRDefault="008B509B" w:rsidP="008B509B">
      <w:pPr>
        <w:pStyle w:val="Zkladntext21"/>
        <w:ind w:firstLine="708"/>
      </w:pPr>
      <w:r>
        <w:t xml:space="preserve">Obsahem finančních vztahů státního rozpočtu k rozpočtům krajů, k rozpočtům obcí a k rozpočtu hlavního města Prahy jsou příspěvky na výkon státní správy. </w:t>
      </w:r>
    </w:p>
    <w:p w:rsidR="008B509B" w:rsidRPr="009C284F" w:rsidRDefault="008B509B" w:rsidP="008B509B">
      <w:pPr>
        <w:pStyle w:val="Zkladntext21"/>
        <w:rPr>
          <w:b/>
          <w:u w:val="single"/>
        </w:rPr>
      </w:pPr>
      <w:r w:rsidRPr="009C284F">
        <w:rPr>
          <w:b/>
          <w:u w:val="single"/>
        </w:rPr>
        <w:t>K § 3:</w:t>
      </w:r>
    </w:p>
    <w:p w:rsidR="008B509B" w:rsidRDefault="008B509B" w:rsidP="008B509B">
      <w:pPr>
        <w:pStyle w:val="Zkladntext21"/>
        <w:ind w:firstLine="708"/>
      </w:pPr>
      <w:r>
        <w:t xml:space="preserve">Na základě ustanovení § 4 odst. 5 zákona č. 58/1995 Sb., </w:t>
      </w:r>
      <w:r w:rsidRPr="00CC46D7">
        <w:t>o pojišťování a financování vývozu se státní podporou a o doplnění zákona č. 166/1993 Sb., o Nejvyšším kontrolním úřadu, ve znění</w:t>
      </w:r>
      <w:r>
        <w:t xml:space="preserve"> zákona č. 60/1998 Sb., je pro Exportní garanční a pojišťovací společnost, a. s. stanovena výše pojistné kapacity.</w:t>
      </w:r>
    </w:p>
    <w:p w:rsidR="008B509B" w:rsidRPr="00D32D86" w:rsidRDefault="008B509B" w:rsidP="00D32D86">
      <w:pPr>
        <w:pStyle w:val="Nadpis3"/>
        <w:rPr>
          <w:rFonts w:ascii="Times New Roman" w:hAnsi="Times New Roman" w:cs="Times New Roman"/>
          <w:bCs w:val="0"/>
          <w:u w:val="single"/>
        </w:rPr>
      </w:pPr>
      <w:r>
        <w:rPr>
          <w:rFonts w:ascii="Times New Roman" w:hAnsi="Times New Roman" w:cs="Times New Roman"/>
          <w:bCs w:val="0"/>
          <w:u w:val="single"/>
        </w:rPr>
        <w:t>K § 4</w:t>
      </w:r>
      <w:r w:rsidRPr="00B156F6">
        <w:rPr>
          <w:rFonts w:ascii="Times New Roman" w:hAnsi="Times New Roman" w:cs="Times New Roman"/>
          <w:bCs w:val="0"/>
          <w:u w:val="single"/>
        </w:rPr>
        <w:t>:</w:t>
      </w:r>
    </w:p>
    <w:p w:rsidR="008B509B" w:rsidRDefault="008B509B" w:rsidP="008B509B">
      <w:pPr>
        <w:pStyle w:val="Zkladntext"/>
        <w:keepNext/>
        <w:spacing w:line="360" w:lineRule="auto"/>
        <w:rPr>
          <w:b/>
          <w:i/>
        </w:rPr>
      </w:pPr>
    </w:p>
    <w:p w:rsidR="008B509B" w:rsidRDefault="008B509B" w:rsidP="008B509B">
      <w:pPr>
        <w:pStyle w:val="Zkladntextodsazen2"/>
        <w:keepNext/>
        <w:spacing w:line="360" w:lineRule="auto"/>
        <w:ind w:left="0" w:firstLine="709"/>
        <w:jc w:val="both"/>
      </w:pPr>
      <w:r>
        <w:t xml:space="preserve">Tento převod je uložen v § 36 odst. 3 zákona o rozpočtových pravidlech. Vyčíslené prostředky, resp. výše kladného salda důchodového pojištění, budou jako výdaj kapitoly Všeobecná pokladní správa rozpočtově zařazené na položku rozpočtové skladby 5318 - Neinvestiční transfery prostředků do státních finančních aktiv a bankovním převodem po projednání státního závěrečného účtu za předchozí rok Poslaneckou sněmovnou Parlamentu České republiky poukázány ve prospěch účtu státních finančních aktiv „Rezervy důchodového pojištění“, rozpočtově zařazené na podseskupení položek rozpočtové skladby 411- Neinvestiční přijaté transfery od rozpočtů ústřední úrovně. </w:t>
      </w:r>
    </w:p>
    <w:p w:rsidR="00B921BD" w:rsidRDefault="00B921BD" w:rsidP="00067A48">
      <w:pPr>
        <w:pStyle w:val="Zkladntext"/>
        <w:spacing w:line="360" w:lineRule="auto"/>
        <w:rPr>
          <w:b/>
          <w:u w:val="single"/>
        </w:rPr>
      </w:pPr>
    </w:p>
    <w:p w:rsidR="00D32D86" w:rsidRPr="00067A48" w:rsidRDefault="00067A48" w:rsidP="00067A48">
      <w:pPr>
        <w:pStyle w:val="Zkladntext"/>
        <w:spacing w:line="360" w:lineRule="auto"/>
        <w:rPr>
          <w:b/>
          <w:u w:val="single"/>
        </w:rPr>
      </w:pPr>
      <w:r w:rsidRPr="00067A48">
        <w:rPr>
          <w:b/>
          <w:u w:val="single"/>
        </w:rPr>
        <w:t>K § 5:</w:t>
      </w:r>
    </w:p>
    <w:p w:rsidR="00067A48" w:rsidRDefault="00067A48" w:rsidP="00067A48">
      <w:pPr>
        <w:pStyle w:val="Zkladntext"/>
        <w:spacing w:line="360" w:lineRule="auto"/>
      </w:pPr>
    </w:p>
    <w:p w:rsidR="00067A48" w:rsidRDefault="00067A48" w:rsidP="00067A48">
      <w:pPr>
        <w:pStyle w:val="Zkladntext"/>
        <w:spacing w:line="360" w:lineRule="auto"/>
        <w:ind w:firstLine="708"/>
      </w:pPr>
      <w:r>
        <w:t xml:space="preserve">Navrhuje se stanovit, že zákon </w:t>
      </w:r>
      <w:r w:rsidRPr="00067A48">
        <w:t>nabývá účinnosti dnem následujícím po dni jeho vyhlášení</w:t>
      </w:r>
      <w:r>
        <w:t xml:space="preserve">. </w:t>
      </w:r>
      <w:r w:rsidR="00B921BD">
        <w:t>Krátká legisvakanční</w:t>
      </w:r>
      <w:r>
        <w:t xml:space="preserve"> lhůta je volena jako vhodné řešení co nejrychlejšího možného ukončení stávajícího rozpočtového provizoria a uplatňování přijatého řádného státního rozpočtu na probíhající rozpočtový rok. </w:t>
      </w:r>
    </w:p>
    <w:p w:rsidR="00D32D86" w:rsidRDefault="00D32D86" w:rsidP="008B509B">
      <w:pPr>
        <w:pStyle w:val="Zkladntextodsazen2"/>
        <w:keepNext/>
        <w:spacing w:line="360" w:lineRule="auto"/>
        <w:ind w:left="0" w:firstLine="709"/>
        <w:jc w:val="both"/>
      </w:pPr>
    </w:p>
    <w:p w:rsidR="00427289" w:rsidRDefault="00427289" w:rsidP="001D4CD1"/>
    <w:p w:rsidR="00427289" w:rsidRDefault="00427289" w:rsidP="008B509B">
      <w:pPr>
        <w:jc w:val="center"/>
      </w:pPr>
    </w:p>
    <w:p w:rsidR="008B509B" w:rsidRPr="00D16978" w:rsidRDefault="00B836E7" w:rsidP="008B509B">
      <w:pPr>
        <w:jc w:val="center"/>
      </w:pPr>
      <w:r>
        <w:t xml:space="preserve">V Praze dne </w:t>
      </w:r>
      <w:r w:rsidR="005C17E3">
        <w:t>……………………</w:t>
      </w:r>
      <w:r>
        <w:t xml:space="preserve"> </w:t>
      </w:r>
      <w:r w:rsidR="005C17E3">
        <w:t>2022</w:t>
      </w:r>
    </w:p>
    <w:p w:rsidR="008B509B" w:rsidRPr="00D16978" w:rsidRDefault="008B509B" w:rsidP="008B509B">
      <w:pPr>
        <w:jc w:val="center"/>
      </w:pPr>
    </w:p>
    <w:p w:rsidR="002C759D" w:rsidRDefault="002C759D" w:rsidP="008B509B">
      <w:pPr>
        <w:pStyle w:val="Zkladntext21"/>
        <w:spacing w:before="0" w:after="0"/>
        <w:jc w:val="center"/>
      </w:pPr>
    </w:p>
    <w:p w:rsidR="008B509B" w:rsidRPr="00D16978" w:rsidRDefault="008B509B" w:rsidP="008B509B">
      <w:pPr>
        <w:pStyle w:val="Zkladntext21"/>
        <w:spacing w:before="0" w:after="0"/>
        <w:jc w:val="center"/>
      </w:pPr>
      <w:r w:rsidRPr="00D16978">
        <w:t>Předseda vlády:</w:t>
      </w:r>
    </w:p>
    <w:p w:rsidR="002C759D" w:rsidRDefault="005C17E3" w:rsidP="008B509B">
      <w:pPr>
        <w:pStyle w:val="Zkladntext21"/>
        <w:spacing w:before="0" w:after="0"/>
        <w:jc w:val="center"/>
      </w:pPr>
      <w:r>
        <w:t>prof</w:t>
      </w:r>
      <w:r w:rsidR="008F3FBB">
        <w:t xml:space="preserve">. </w:t>
      </w:r>
      <w:r>
        <w:t>PhDr. Petr Fiala, Ph.D., LL.M.,</w:t>
      </w:r>
      <w:r w:rsidR="008F3FBB">
        <w:t xml:space="preserve"> v.r.</w:t>
      </w:r>
    </w:p>
    <w:p w:rsidR="000C106E" w:rsidRDefault="000C106E" w:rsidP="008B509B">
      <w:pPr>
        <w:pStyle w:val="Zkladntext21"/>
        <w:spacing w:before="0" w:after="0"/>
        <w:jc w:val="center"/>
      </w:pPr>
    </w:p>
    <w:p w:rsidR="008B509B" w:rsidRDefault="005C17E3" w:rsidP="008B509B">
      <w:pPr>
        <w:pStyle w:val="Zkladntext21"/>
        <w:spacing w:before="0" w:after="0"/>
        <w:jc w:val="center"/>
      </w:pPr>
      <w:r>
        <w:t>Ministr</w:t>
      </w:r>
      <w:r w:rsidR="008B509B" w:rsidRPr="00D16978">
        <w:t xml:space="preserve"> financí:</w:t>
      </w:r>
    </w:p>
    <w:p w:rsidR="00DB7155" w:rsidRPr="00D16978" w:rsidRDefault="005C17E3" w:rsidP="008F3FBB">
      <w:pPr>
        <w:jc w:val="center"/>
      </w:pPr>
      <w:r>
        <w:t xml:space="preserve">Ing. Zbyněk Stanjura </w:t>
      </w:r>
      <w:r w:rsidR="008F3FBB">
        <w:t>v.r.</w:t>
      </w:r>
    </w:p>
    <w:sectPr w:rsidR="00DB7155" w:rsidRPr="00D16978" w:rsidSect="00267F16">
      <w:headerReference w:type="even" r:id="rId7"/>
      <w:headerReference w:type="default" r:id="rId8"/>
      <w:pgSz w:w="11906" w:h="16838"/>
      <w:pgMar w:top="1417" w:right="1417" w:bottom="1417" w:left="1417" w:header="708" w:footer="708" w:gutter="0"/>
      <w:pgNumType w:start="8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705" w:rsidRDefault="00283705" w:rsidP="008B509B">
      <w:r>
        <w:separator/>
      </w:r>
    </w:p>
  </w:endnote>
  <w:endnote w:type="continuationSeparator" w:id="0">
    <w:p w:rsidR="00283705" w:rsidRDefault="00283705" w:rsidP="008B5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705" w:rsidRDefault="00283705" w:rsidP="008B509B">
      <w:r>
        <w:separator/>
      </w:r>
    </w:p>
  </w:footnote>
  <w:footnote w:type="continuationSeparator" w:id="0">
    <w:p w:rsidR="00283705" w:rsidRDefault="00283705" w:rsidP="008B509B">
      <w:r>
        <w:continuationSeparator/>
      </w:r>
    </w:p>
  </w:footnote>
  <w:footnote w:id="1">
    <w:p w:rsidR="001B7F7C" w:rsidRPr="00991018" w:rsidRDefault="001B7F7C" w:rsidP="008B509B">
      <w:pPr>
        <w:pStyle w:val="Textpoznpodarou"/>
        <w:ind w:left="0" w:firstLine="0"/>
      </w:pPr>
      <w:r w:rsidRPr="00991018">
        <w:rPr>
          <w:rStyle w:val="Znakapoznpodarou"/>
        </w:rPr>
        <w:footnoteRef/>
      </w:r>
      <w:r w:rsidRPr="00991018">
        <w:t xml:space="preserve"> </w:t>
      </w:r>
      <w:r w:rsidRPr="001A23DB">
        <w:t xml:space="preserve">Nařízení Rady (ES) č. 1466/97 ze dne 7. července 1997 </w:t>
      </w:r>
      <w:r w:rsidRPr="001A23DB">
        <w:rPr>
          <w:bCs/>
          <w:color w:val="000000"/>
        </w:rPr>
        <w:t>o posílení dohledu nad stavy rozpočtů a nad hospodářskými politikami a o posílení koordinace hospodářských politik</w:t>
      </w:r>
      <w:r>
        <w:rPr>
          <w:bCs/>
          <w:color w:val="000000"/>
        </w:rPr>
        <w:t>, v platném znění.</w:t>
      </w:r>
    </w:p>
  </w:footnote>
  <w:footnote w:id="2">
    <w:p w:rsidR="001B7F7C" w:rsidRPr="004338E4" w:rsidRDefault="001B7F7C" w:rsidP="008B509B">
      <w:pPr>
        <w:pStyle w:val="Textpoznpodarou"/>
        <w:ind w:left="0" w:firstLine="0"/>
      </w:pPr>
      <w:r w:rsidRPr="004338E4">
        <w:rPr>
          <w:rStyle w:val="Znakapoznpodarou"/>
        </w:rPr>
        <w:footnoteRef/>
      </w:r>
      <w:r w:rsidRPr="004338E4">
        <w:t xml:space="preserve"> Nařízení Rady (ES) č. 1467/97 ze dne 7. července 1997 o urychlení a vyjasnění postupu při nadměrném schodku, v platném znění.</w:t>
      </w:r>
    </w:p>
  </w:footnote>
  <w:footnote w:id="3">
    <w:p w:rsidR="001B7F7C" w:rsidRDefault="001B7F7C" w:rsidP="00A66407">
      <w:pPr>
        <w:pStyle w:val="Textpoznpodarou"/>
        <w:ind w:left="0" w:firstLine="0"/>
      </w:pPr>
      <w:r>
        <w:rPr>
          <w:rStyle w:val="Znakapoznpodarou"/>
        </w:rPr>
        <w:footnoteRef/>
      </w:r>
      <w:r>
        <w:t xml:space="preserve"> </w:t>
      </w:r>
      <w:r w:rsidRPr="00A66407">
        <w:t>Nařízení Evropského parlamentu a Rady (EU) 2021/241 ze dne 12. února 2021</w:t>
      </w:r>
      <w:r>
        <w:t xml:space="preserve">, kterým se zřizuje Nástroj pro </w:t>
      </w:r>
      <w:r w:rsidRPr="00A66407">
        <w:t>oživení a odolno</w:t>
      </w:r>
      <w:r>
        <w:t xml:space="preserve">st, ve znění opravy ze dne 18. února </w:t>
      </w:r>
      <w:r w:rsidRPr="00A66407">
        <w:t>2021.</w:t>
      </w:r>
    </w:p>
  </w:footnote>
  <w:footnote w:id="4">
    <w:p w:rsidR="001B7F7C" w:rsidRDefault="001B7F7C" w:rsidP="00735457">
      <w:pPr>
        <w:pStyle w:val="Textpoznpodarou"/>
        <w:ind w:left="0" w:firstLine="0"/>
      </w:pPr>
      <w:r>
        <w:rPr>
          <w:rStyle w:val="Znakapoznpodarou"/>
        </w:rPr>
        <w:footnoteRef/>
      </w:r>
      <w:r>
        <w:t xml:space="preserve"> </w:t>
      </w:r>
      <w:r w:rsidRPr="00A66407">
        <w:t>Sdělení Komise Evropskému parlamentu, Radě, Evropské centrální bance, Evropskému hospodářskému a sociálnímu výboru, Výboru regionů a Evropské investiční bance ze dne 2.6.2021 Koordinace hospodářských politik v roce 2021: Překonání pandemie COVID-19, podpora oživení a modernizace naší ekonomiky, COM(2021) 500 final.</w:t>
      </w:r>
    </w:p>
  </w:footnote>
  <w:footnote w:id="5">
    <w:p w:rsidR="001B7F7C" w:rsidRDefault="001B7F7C" w:rsidP="00A66407">
      <w:pPr>
        <w:pStyle w:val="Textpoznpodarou"/>
        <w:ind w:left="0" w:firstLine="0"/>
      </w:pPr>
      <w:r>
        <w:rPr>
          <w:rStyle w:val="Znakapoznpodarou"/>
        </w:rPr>
        <w:footnoteRef/>
      </w:r>
      <w:r>
        <w:t xml:space="preserve"> </w:t>
      </w:r>
      <w:r w:rsidRPr="00A66407">
        <w:t>Zpráva Komise ze dne 2.6.2021 Belgie, Bulharsko, Česko, Dánsko, Německo, Estonsko, Irsko, Řecko, Španělsko, Francie, Chorvatsko, Itálie, Kypr, Lotyšsko, Litva, Lucembursko, Maďarsko, Malta, Nizozemsko, Rakousko, Polsko, Portugalsko, Slovinsko, Slovensko, Finsko a Švédsko Zpráva vypracovaná v souladu s čl. 126 odst. 3 Smlouvy o fungování Evropské unie, COM(2021) 529 final.</w:t>
      </w:r>
    </w:p>
  </w:footnote>
  <w:footnote w:id="6">
    <w:p w:rsidR="001B7F7C" w:rsidRDefault="001B7F7C" w:rsidP="00A66407">
      <w:pPr>
        <w:pStyle w:val="Textpoznpodarou"/>
        <w:ind w:left="0" w:firstLine="0"/>
      </w:pPr>
      <w:r>
        <w:rPr>
          <w:rStyle w:val="Znakapoznpodarou"/>
        </w:rPr>
        <w:footnoteRef/>
      </w:r>
      <w:r>
        <w:t xml:space="preserve"> </w:t>
      </w:r>
      <w:r w:rsidRPr="00A66407">
        <w:t>Doporučení Komise ze dne 2.6.2021 pro Doporučení Rady, kterým se vydává stanovisko Rady ke konver-genčnímu programu Česka z roku 2021, COM(2021) 503 final.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F7C" w:rsidRDefault="001B7F7C" w:rsidP="00002B9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1B7F7C" w:rsidRDefault="001B7F7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1831112"/>
      <w:docPartObj>
        <w:docPartGallery w:val="Page Numbers (Top of Page)"/>
        <w:docPartUnique/>
      </w:docPartObj>
    </w:sdtPr>
    <w:sdtEndPr/>
    <w:sdtContent>
      <w:p w:rsidR="001B7F7C" w:rsidRDefault="001B7F7C" w:rsidP="00EE5096">
        <w:pPr>
          <w:pStyle w:val="Zhlav"/>
          <w:framePr w:wrap="around" w:vAnchor="text" w:hAnchor="margin" w:xAlign="center" w:y="1"/>
          <w:jc w:val="center"/>
        </w:pPr>
        <w:r>
          <w:fldChar w:fldCharType="begin"/>
        </w:r>
        <w:r>
          <w:instrText>PAGE   \* MERGEFORMAT</w:instrText>
        </w:r>
        <w:r>
          <w:fldChar w:fldCharType="separate"/>
        </w:r>
        <w:r w:rsidR="00D66608">
          <w:rPr>
            <w:noProof/>
          </w:rPr>
          <w:t>81</w:t>
        </w:r>
        <w:r>
          <w:fldChar w:fldCharType="end"/>
        </w:r>
      </w:p>
    </w:sdtContent>
  </w:sdt>
  <w:p w:rsidR="001B7F7C" w:rsidRDefault="001B7F7C" w:rsidP="00002B9F">
    <w:pPr>
      <w:pStyle w:val="Zhlav"/>
      <w:framePr w:wrap="around" w:vAnchor="text" w:hAnchor="margin" w:xAlign="center" w:y="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09B"/>
    <w:rsid w:val="00002B9F"/>
    <w:rsid w:val="0002294C"/>
    <w:rsid w:val="00067A48"/>
    <w:rsid w:val="00090F2C"/>
    <w:rsid w:val="000C106E"/>
    <w:rsid w:val="000D2DA6"/>
    <w:rsid w:val="000E3343"/>
    <w:rsid w:val="0012479C"/>
    <w:rsid w:val="00130217"/>
    <w:rsid w:val="001353AE"/>
    <w:rsid w:val="001428C5"/>
    <w:rsid w:val="00154ED4"/>
    <w:rsid w:val="0016220D"/>
    <w:rsid w:val="00162C3F"/>
    <w:rsid w:val="001A0A62"/>
    <w:rsid w:val="001B7F7C"/>
    <w:rsid w:val="001C29CC"/>
    <w:rsid w:val="001D4CD1"/>
    <w:rsid w:val="001E2029"/>
    <w:rsid w:val="001E3AA4"/>
    <w:rsid w:val="001E6189"/>
    <w:rsid w:val="001F0EE0"/>
    <w:rsid w:val="00214AB2"/>
    <w:rsid w:val="002370AF"/>
    <w:rsid w:val="002439B5"/>
    <w:rsid w:val="00266B5C"/>
    <w:rsid w:val="00267F16"/>
    <w:rsid w:val="00280B8F"/>
    <w:rsid w:val="002815F6"/>
    <w:rsid w:val="00283705"/>
    <w:rsid w:val="00290814"/>
    <w:rsid w:val="002C759D"/>
    <w:rsid w:val="002D6746"/>
    <w:rsid w:val="002F4B3F"/>
    <w:rsid w:val="003043D8"/>
    <w:rsid w:val="00321394"/>
    <w:rsid w:val="003227B6"/>
    <w:rsid w:val="00336E81"/>
    <w:rsid w:val="003476B4"/>
    <w:rsid w:val="003832F5"/>
    <w:rsid w:val="003C214C"/>
    <w:rsid w:val="003E160D"/>
    <w:rsid w:val="00427289"/>
    <w:rsid w:val="004533B6"/>
    <w:rsid w:val="004728C7"/>
    <w:rsid w:val="005313F4"/>
    <w:rsid w:val="00531B05"/>
    <w:rsid w:val="005603FD"/>
    <w:rsid w:val="0056754E"/>
    <w:rsid w:val="00580CA6"/>
    <w:rsid w:val="005C17E3"/>
    <w:rsid w:val="005C1CF1"/>
    <w:rsid w:val="005D664A"/>
    <w:rsid w:val="005D7606"/>
    <w:rsid w:val="006329E7"/>
    <w:rsid w:val="006443DC"/>
    <w:rsid w:val="00665C97"/>
    <w:rsid w:val="00674DCD"/>
    <w:rsid w:val="006A0F34"/>
    <w:rsid w:val="006B094E"/>
    <w:rsid w:val="006F23CE"/>
    <w:rsid w:val="007322DA"/>
    <w:rsid w:val="00735457"/>
    <w:rsid w:val="00752222"/>
    <w:rsid w:val="00763638"/>
    <w:rsid w:val="00774EC4"/>
    <w:rsid w:val="0078113B"/>
    <w:rsid w:val="00786ED7"/>
    <w:rsid w:val="00792079"/>
    <w:rsid w:val="007D1E32"/>
    <w:rsid w:val="00810A6B"/>
    <w:rsid w:val="008131F5"/>
    <w:rsid w:val="00834C04"/>
    <w:rsid w:val="00882576"/>
    <w:rsid w:val="00886F2E"/>
    <w:rsid w:val="008B509B"/>
    <w:rsid w:val="008D2348"/>
    <w:rsid w:val="008E6584"/>
    <w:rsid w:val="008F1400"/>
    <w:rsid w:val="008F2B8A"/>
    <w:rsid w:val="008F3FBB"/>
    <w:rsid w:val="009A719F"/>
    <w:rsid w:val="009B1B25"/>
    <w:rsid w:val="009B2312"/>
    <w:rsid w:val="009B5B9D"/>
    <w:rsid w:val="009D7207"/>
    <w:rsid w:val="009E63FA"/>
    <w:rsid w:val="009F40FE"/>
    <w:rsid w:val="00A138AE"/>
    <w:rsid w:val="00A22CE7"/>
    <w:rsid w:val="00A3395A"/>
    <w:rsid w:val="00A343FE"/>
    <w:rsid w:val="00A66407"/>
    <w:rsid w:val="00A758B7"/>
    <w:rsid w:val="00AB00BB"/>
    <w:rsid w:val="00AD4E30"/>
    <w:rsid w:val="00AE4A7F"/>
    <w:rsid w:val="00B04D3E"/>
    <w:rsid w:val="00B07CC5"/>
    <w:rsid w:val="00B27EE7"/>
    <w:rsid w:val="00B40564"/>
    <w:rsid w:val="00B43D46"/>
    <w:rsid w:val="00B6060E"/>
    <w:rsid w:val="00B80C70"/>
    <w:rsid w:val="00B836E7"/>
    <w:rsid w:val="00B921BD"/>
    <w:rsid w:val="00BA06A3"/>
    <w:rsid w:val="00BC6462"/>
    <w:rsid w:val="00C21B9E"/>
    <w:rsid w:val="00C23BAE"/>
    <w:rsid w:val="00C37D71"/>
    <w:rsid w:val="00C547E3"/>
    <w:rsid w:val="00C6467D"/>
    <w:rsid w:val="00C718E4"/>
    <w:rsid w:val="00CB045A"/>
    <w:rsid w:val="00D00473"/>
    <w:rsid w:val="00D02527"/>
    <w:rsid w:val="00D16978"/>
    <w:rsid w:val="00D20DA0"/>
    <w:rsid w:val="00D32D86"/>
    <w:rsid w:val="00D429DA"/>
    <w:rsid w:val="00D63528"/>
    <w:rsid w:val="00D66608"/>
    <w:rsid w:val="00D74941"/>
    <w:rsid w:val="00D75CBA"/>
    <w:rsid w:val="00D8248F"/>
    <w:rsid w:val="00DB7155"/>
    <w:rsid w:val="00DD7AE0"/>
    <w:rsid w:val="00E56036"/>
    <w:rsid w:val="00E83ED6"/>
    <w:rsid w:val="00ED7802"/>
    <w:rsid w:val="00EE5096"/>
    <w:rsid w:val="00EE6106"/>
    <w:rsid w:val="00F208BD"/>
    <w:rsid w:val="00F253AE"/>
    <w:rsid w:val="00F50B59"/>
    <w:rsid w:val="00F568DB"/>
    <w:rsid w:val="00F57BD2"/>
    <w:rsid w:val="00F66BC5"/>
    <w:rsid w:val="00F715E6"/>
    <w:rsid w:val="00F842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B509B"/>
    <w:pPr>
      <w:spacing w:after="0" w:line="240" w:lineRule="auto"/>
    </w:pPr>
    <w:rPr>
      <w:rFonts w:ascii="Times New Roman" w:eastAsia="Times New Roman" w:hAnsi="Times New Roman" w:cs="Times New Roman"/>
      <w:sz w:val="24"/>
      <w:szCs w:val="24"/>
      <w:lang w:eastAsia="cs-CZ"/>
    </w:rPr>
  </w:style>
  <w:style w:type="paragraph" w:styleId="Nadpis3">
    <w:name w:val="heading 3"/>
    <w:basedOn w:val="Normln"/>
    <w:next w:val="Normln"/>
    <w:link w:val="Nadpis3Char"/>
    <w:qFormat/>
    <w:rsid w:val="008B509B"/>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8B509B"/>
    <w:rPr>
      <w:rFonts w:ascii="Arial" w:eastAsia="Times New Roman" w:hAnsi="Arial" w:cs="Arial"/>
      <w:b/>
      <w:bCs/>
      <w:sz w:val="26"/>
      <w:szCs w:val="26"/>
      <w:lang w:eastAsia="cs-CZ"/>
    </w:rPr>
  </w:style>
  <w:style w:type="paragraph" w:styleId="Zhlav">
    <w:name w:val="header"/>
    <w:basedOn w:val="Normln"/>
    <w:link w:val="ZhlavChar"/>
    <w:uiPriority w:val="99"/>
    <w:rsid w:val="008B509B"/>
    <w:pPr>
      <w:tabs>
        <w:tab w:val="center" w:pos="4536"/>
        <w:tab w:val="right" w:pos="9072"/>
      </w:tabs>
      <w:jc w:val="both"/>
    </w:pPr>
    <w:rPr>
      <w:szCs w:val="20"/>
    </w:rPr>
  </w:style>
  <w:style w:type="character" w:customStyle="1" w:styleId="ZhlavChar">
    <w:name w:val="Záhlaví Char"/>
    <w:basedOn w:val="Standardnpsmoodstavce"/>
    <w:link w:val="Zhlav"/>
    <w:uiPriority w:val="99"/>
    <w:rsid w:val="008B509B"/>
    <w:rPr>
      <w:rFonts w:ascii="Times New Roman" w:eastAsia="Times New Roman" w:hAnsi="Times New Roman" w:cs="Times New Roman"/>
      <w:sz w:val="24"/>
      <w:szCs w:val="20"/>
      <w:lang w:eastAsia="cs-CZ"/>
    </w:rPr>
  </w:style>
  <w:style w:type="paragraph" w:styleId="Zkladntext">
    <w:name w:val="Body Text"/>
    <w:basedOn w:val="Normln"/>
    <w:link w:val="ZkladntextChar"/>
    <w:rsid w:val="008B509B"/>
    <w:pPr>
      <w:jc w:val="both"/>
    </w:pPr>
  </w:style>
  <w:style w:type="character" w:customStyle="1" w:styleId="ZkladntextChar">
    <w:name w:val="Základní text Char"/>
    <w:basedOn w:val="Standardnpsmoodstavce"/>
    <w:link w:val="Zkladntext"/>
    <w:rsid w:val="008B509B"/>
    <w:rPr>
      <w:rFonts w:ascii="Times New Roman" w:eastAsia="Times New Roman" w:hAnsi="Times New Roman" w:cs="Times New Roman"/>
      <w:sz w:val="24"/>
      <w:szCs w:val="24"/>
      <w:lang w:eastAsia="cs-CZ"/>
    </w:rPr>
  </w:style>
  <w:style w:type="character" w:styleId="slostrnky">
    <w:name w:val="page number"/>
    <w:basedOn w:val="Standardnpsmoodstavce"/>
    <w:rsid w:val="008B509B"/>
  </w:style>
  <w:style w:type="paragraph" w:styleId="Zkladntextodsazen">
    <w:name w:val="Body Text Indent"/>
    <w:basedOn w:val="Normln"/>
    <w:link w:val="ZkladntextodsazenChar"/>
    <w:rsid w:val="008B509B"/>
    <w:pPr>
      <w:spacing w:line="360" w:lineRule="auto"/>
      <w:ind w:firstLine="708"/>
    </w:pPr>
    <w:rPr>
      <w:szCs w:val="20"/>
    </w:rPr>
  </w:style>
  <w:style w:type="character" w:customStyle="1" w:styleId="ZkladntextodsazenChar">
    <w:name w:val="Základní text odsazený Char"/>
    <w:basedOn w:val="Standardnpsmoodstavce"/>
    <w:link w:val="Zkladntextodsazen"/>
    <w:rsid w:val="008B509B"/>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rsid w:val="008B509B"/>
    <w:pPr>
      <w:spacing w:after="120" w:line="480" w:lineRule="auto"/>
      <w:ind w:left="283"/>
    </w:pPr>
  </w:style>
  <w:style w:type="character" w:customStyle="1" w:styleId="Zkladntextodsazen2Char">
    <w:name w:val="Základní text odsazený 2 Char"/>
    <w:basedOn w:val="Standardnpsmoodstavce"/>
    <w:link w:val="Zkladntextodsazen2"/>
    <w:rsid w:val="008B509B"/>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rsid w:val="008B509B"/>
    <w:pPr>
      <w:spacing w:after="120"/>
      <w:ind w:left="283"/>
    </w:pPr>
    <w:rPr>
      <w:sz w:val="16"/>
      <w:szCs w:val="16"/>
    </w:rPr>
  </w:style>
  <w:style w:type="character" w:customStyle="1" w:styleId="Zkladntextodsazen3Char">
    <w:name w:val="Základní text odsazený 3 Char"/>
    <w:basedOn w:val="Standardnpsmoodstavce"/>
    <w:link w:val="Zkladntextodsazen3"/>
    <w:rsid w:val="008B509B"/>
    <w:rPr>
      <w:rFonts w:ascii="Times New Roman" w:eastAsia="Times New Roman" w:hAnsi="Times New Roman" w:cs="Times New Roman"/>
      <w:sz w:val="16"/>
      <w:szCs w:val="16"/>
      <w:lang w:eastAsia="cs-CZ"/>
    </w:rPr>
  </w:style>
  <w:style w:type="paragraph" w:customStyle="1" w:styleId="nadpiszkona">
    <w:name w:val="nadpis zákona"/>
    <w:basedOn w:val="Normln"/>
    <w:next w:val="Normln"/>
    <w:rsid w:val="008B509B"/>
    <w:pPr>
      <w:keepNext/>
      <w:keepLines/>
      <w:spacing w:before="120"/>
      <w:jc w:val="center"/>
      <w:outlineLvl w:val="0"/>
    </w:pPr>
    <w:rPr>
      <w:b/>
      <w:szCs w:val="20"/>
    </w:rPr>
  </w:style>
  <w:style w:type="paragraph" w:customStyle="1" w:styleId="Zkladntext21">
    <w:name w:val="Základní text 21"/>
    <w:basedOn w:val="Normln"/>
    <w:rsid w:val="008B509B"/>
    <w:pPr>
      <w:spacing w:before="120" w:after="120" w:line="360" w:lineRule="auto"/>
      <w:jc w:val="both"/>
    </w:pPr>
    <w:rPr>
      <w:szCs w:val="20"/>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qFormat/>
    <w:rsid w:val="008B509B"/>
    <w:pPr>
      <w:ind w:left="720" w:hanging="720"/>
      <w:jc w:val="both"/>
    </w:pPr>
    <w:rPr>
      <w:snapToGrid w:val="0"/>
      <w:sz w:val="20"/>
      <w:szCs w:val="20"/>
      <w:lang w:eastAsia="en-GB"/>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rsid w:val="008B509B"/>
    <w:rPr>
      <w:rFonts w:ascii="Times New Roman" w:eastAsia="Times New Roman" w:hAnsi="Times New Roman" w:cs="Times New Roman"/>
      <w:snapToGrid w:val="0"/>
      <w:sz w:val="20"/>
      <w:szCs w:val="20"/>
      <w:lang w:eastAsia="en-GB"/>
    </w:rPr>
  </w:style>
  <w:style w:type="character" w:styleId="Znakapoznpodarou">
    <w:name w:val="footnote reference"/>
    <w:aliases w:val="BVI fnr,Footnote symbol,Footnote Reference Superscript,Appel note de bas de p,Appel note de bas de page,Légende,Char Car Car Car Car,Voetnootverwijzing,PGI Fußnote Ziffer,Légende;Char Car Car Car Car,Footnote Reference Number"/>
    <w:rsid w:val="008B509B"/>
    <w:rPr>
      <w:vertAlign w:val="superscript"/>
    </w:rPr>
  </w:style>
  <w:style w:type="paragraph" w:styleId="Zpat">
    <w:name w:val="footer"/>
    <w:basedOn w:val="Normln"/>
    <w:link w:val="ZpatChar"/>
    <w:rsid w:val="008B509B"/>
    <w:pPr>
      <w:tabs>
        <w:tab w:val="center" w:pos="4536"/>
        <w:tab w:val="right" w:pos="9072"/>
      </w:tabs>
    </w:pPr>
  </w:style>
  <w:style w:type="character" w:customStyle="1" w:styleId="ZpatChar">
    <w:name w:val="Zápatí Char"/>
    <w:basedOn w:val="Standardnpsmoodstavce"/>
    <w:link w:val="Zpat"/>
    <w:rsid w:val="008B509B"/>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B094E"/>
    <w:rPr>
      <w:rFonts w:ascii="Tahoma" w:hAnsi="Tahoma" w:cs="Tahoma"/>
      <w:sz w:val="16"/>
      <w:szCs w:val="16"/>
    </w:rPr>
  </w:style>
  <w:style w:type="character" w:customStyle="1" w:styleId="TextbublinyChar">
    <w:name w:val="Text bubliny Char"/>
    <w:basedOn w:val="Standardnpsmoodstavce"/>
    <w:link w:val="Textbubliny"/>
    <w:uiPriority w:val="99"/>
    <w:semiHidden/>
    <w:rsid w:val="006B094E"/>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1E3AA4"/>
    <w:rPr>
      <w:sz w:val="16"/>
      <w:szCs w:val="16"/>
    </w:rPr>
  </w:style>
  <w:style w:type="paragraph" w:styleId="Textkomente">
    <w:name w:val="annotation text"/>
    <w:basedOn w:val="Normln"/>
    <w:link w:val="TextkomenteChar"/>
    <w:uiPriority w:val="99"/>
    <w:semiHidden/>
    <w:unhideWhenUsed/>
    <w:rsid w:val="001E3AA4"/>
    <w:rPr>
      <w:sz w:val="20"/>
      <w:szCs w:val="20"/>
    </w:rPr>
  </w:style>
  <w:style w:type="character" w:customStyle="1" w:styleId="TextkomenteChar">
    <w:name w:val="Text komentáře Char"/>
    <w:basedOn w:val="Standardnpsmoodstavce"/>
    <w:link w:val="Textkomente"/>
    <w:uiPriority w:val="99"/>
    <w:semiHidden/>
    <w:rsid w:val="001E3AA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E3AA4"/>
    <w:rPr>
      <w:b/>
      <w:bCs/>
    </w:rPr>
  </w:style>
  <w:style w:type="character" w:customStyle="1" w:styleId="PedmtkomenteChar">
    <w:name w:val="Předmět komentáře Char"/>
    <w:basedOn w:val="TextkomenteChar"/>
    <w:link w:val="Pedmtkomente"/>
    <w:uiPriority w:val="99"/>
    <w:semiHidden/>
    <w:rsid w:val="001E3AA4"/>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87DAE-FB76-4BAD-9624-86959D27D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1232</Words>
  <Characters>7272</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2022-01-20T09:43:00Z</dcterms:created>
  <dcterms:modified xsi:type="dcterms:W3CDTF">2022-02-06T13:30:00Z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