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B74" w:rsidRDefault="009142F6" w:rsidP="009142F6">
      <w:pPr>
        <w:spacing w:before="240" w:line="276" w:lineRule="auto"/>
        <w:jc w:val="center"/>
        <w:rPr>
          <w:rFonts w:ascii="Arial" w:hAnsi="Arial" w:cs="Arial"/>
          <w:noProof/>
          <w:sz w:val="28"/>
        </w:rPr>
      </w:pPr>
      <w:r>
        <w:rPr>
          <w:rFonts w:ascii="Arial" w:hAnsi="Arial" w:cs="Arial"/>
          <w:noProof/>
          <w:sz w:val="28"/>
        </w:rPr>
        <w:t>NÁVRH</w:t>
      </w:r>
    </w:p>
    <w:p w:rsidR="008A7B74" w:rsidRPr="009159DE" w:rsidRDefault="008A7B74" w:rsidP="009142F6">
      <w:pPr>
        <w:spacing w:before="240" w:line="276" w:lineRule="auto"/>
        <w:jc w:val="center"/>
        <w:rPr>
          <w:rFonts w:ascii="Arial" w:hAnsi="Arial" w:cs="Arial"/>
          <w:b/>
          <w:sz w:val="32"/>
          <w:szCs w:val="28"/>
        </w:rPr>
      </w:pPr>
      <w:r w:rsidRPr="009159DE">
        <w:rPr>
          <w:rFonts w:ascii="Arial" w:hAnsi="Arial" w:cs="Arial"/>
          <w:b/>
          <w:sz w:val="32"/>
          <w:szCs w:val="28"/>
        </w:rPr>
        <w:t>USNESENÍ</w:t>
      </w:r>
    </w:p>
    <w:p w:rsidR="008A7B74" w:rsidRPr="00376238" w:rsidRDefault="008A7B74" w:rsidP="009142F6">
      <w:pPr>
        <w:spacing w:before="240" w:line="276" w:lineRule="auto"/>
        <w:jc w:val="center"/>
        <w:rPr>
          <w:rFonts w:ascii="Arial" w:hAnsi="Arial" w:cs="Arial"/>
          <w:b/>
          <w:sz w:val="28"/>
          <w:szCs w:val="28"/>
        </w:rPr>
      </w:pPr>
      <w:r w:rsidRPr="00376238">
        <w:rPr>
          <w:rFonts w:ascii="Arial" w:hAnsi="Arial" w:cs="Arial"/>
          <w:b/>
          <w:sz w:val="28"/>
          <w:szCs w:val="28"/>
        </w:rPr>
        <w:t>VLÁDY ČESKÉ REPUBLIKY</w:t>
      </w:r>
    </w:p>
    <w:p w:rsidR="008A7B74" w:rsidRDefault="008A7B74" w:rsidP="009142F6">
      <w:pPr>
        <w:spacing w:before="240"/>
        <w:jc w:val="center"/>
        <w:rPr>
          <w:rFonts w:ascii="Arial" w:hAnsi="Arial" w:cs="Arial"/>
          <w:sz w:val="22"/>
          <w:szCs w:val="22"/>
        </w:rPr>
      </w:pPr>
      <w:r w:rsidRPr="003375EF">
        <w:rPr>
          <w:rFonts w:ascii="Arial" w:hAnsi="Arial" w:cs="Arial"/>
          <w:sz w:val="22"/>
          <w:szCs w:val="22"/>
        </w:rPr>
        <w:t xml:space="preserve">ze dne </w:t>
      </w:r>
      <w:r>
        <w:rPr>
          <w:rFonts w:ascii="Arial" w:hAnsi="Arial" w:cs="Arial"/>
          <w:sz w:val="22"/>
          <w:szCs w:val="22"/>
        </w:rPr>
        <w:t xml:space="preserve">        2022 </w:t>
      </w:r>
      <w:r w:rsidR="009142F6">
        <w:rPr>
          <w:rFonts w:ascii="Arial" w:hAnsi="Arial" w:cs="Arial"/>
          <w:sz w:val="22"/>
          <w:szCs w:val="22"/>
        </w:rPr>
        <w:t xml:space="preserve">  </w:t>
      </w:r>
      <w:r>
        <w:rPr>
          <w:rFonts w:ascii="Arial" w:hAnsi="Arial" w:cs="Arial"/>
          <w:sz w:val="22"/>
          <w:szCs w:val="22"/>
        </w:rPr>
        <w:t xml:space="preserve">č. </w:t>
      </w:r>
    </w:p>
    <w:p w:rsidR="008A7B74" w:rsidRDefault="008A7B74" w:rsidP="008A7B74">
      <w:pPr>
        <w:jc w:val="center"/>
        <w:rPr>
          <w:rFonts w:ascii="Arial" w:hAnsi="Arial" w:cs="Arial"/>
          <w:sz w:val="22"/>
          <w:szCs w:val="22"/>
        </w:rPr>
      </w:pPr>
    </w:p>
    <w:p w:rsidR="008A7B74" w:rsidRPr="00D43402" w:rsidRDefault="008A7B74" w:rsidP="008A7B74">
      <w:pPr>
        <w:pStyle w:val="Styl1-Nzevmaterilu"/>
      </w:pPr>
      <w:r w:rsidRPr="00D43402">
        <w:t>k návrhu zákona o státním rozpočtu České republiky na rok 2022</w:t>
      </w:r>
    </w:p>
    <w:p w:rsidR="008A7B74" w:rsidRDefault="008A7B74" w:rsidP="008A7B74">
      <w:pPr>
        <w:jc w:val="center"/>
        <w:rPr>
          <w:rFonts w:ascii="Arial" w:hAnsi="Arial" w:cs="Arial"/>
          <w:sz w:val="22"/>
          <w:szCs w:val="22"/>
        </w:rPr>
      </w:pPr>
    </w:p>
    <w:p w:rsidR="008A7B74" w:rsidRDefault="008A7B74" w:rsidP="008A7B74">
      <w:pPr>
        <w:spacing w:before="120" w:after="240"/>
        <w:rPr>
          <w:rFonts w:ascii="Arial" w:hAnsi="Arial" w:cs="Arial"/>
          <w:b/>
          <w:sz w:val="22"/>
          <w:szCs w:val="22"/>
        </w:rPr>
      </w:pPr>
      <w:r w:rsidRPr="001C2365">
        <w:rPr>
          <w:rFonts w:ascii="Arial" w:hAnsi="Arial" w:cs="Arial"/>
          <w:b/>
          <w:sz w:val="22"/>
          <w:szCs w:val="22"/>
        </w:rPr>
        <w:t>Vláda</w:t>
      </w:r>
    </w:p>
    <w:p w:rsidR="008A7B74" w:rsidRDefault="008A7B74" w:rsidP="008A7B74">
      <w:pPr>
        <w:pStyle w:val="Styl1-I"/>
        <w:numPr>
          <w:ilvl w:val="0"/>
          <w:numId w:val="6"/>
        </w:numPr>
        <w:ind w:left="357" w:hanging="357"/>
        <w:textAlignment w:val="auto"/>
        <w:rPr>
          <w:b/>
        </w:rPr>
      </w:pPr>
      <w:r>
        <w:rPr>
          <w:b/>
        </w:rPr>
        <w:t xml:space="preserve">bere na vědomí </w:t>
      </w:r>
    </w:p>
    <w:p w:rsidR="008A7B74" w:rsidRPr="00007FAC" w:rsidRDefault="008A7B74" w:rsidP="008A7B74">
      <w:pPr>
        <w:pStyle w:val="Styl1-1"/>
        <w:numPr>
          <w:ilvl w:val="0"/>
          <w:numId w:val="7"/>
        </w:numPr>
        <w:ind w:left="357" w:hanging="357"/>
        <w:textAlignment w:val="auto"/>
      </w:pPr>
      <w:r>
        <w:t xml:space="preserve">rozpočtovou dokumentaci k návrhu zákona o státním rozpočtu České republiky na </w:t>
      </w:r>
      <w:r>
        <w:br/>
        <w:t>rok 2022 (dále jen „státní rozpočet“), s </w:t>
      </w:r>
      <w:r w:rsidRPr="00007FAC">
        <w:t>výjimkou tabulek č. 9 až 1</w:t>
      </w:r>
      <w:r w:rsidR="004A73C7" w:rsidRPr="00007FAC">
        <w:t>6</w:t>
      </w:r>
      <w:r w:rsidRPr="00007FAC">
        <w:t>, obsažených v části F rozpočtové dokumentace materiálu čj….,</w:t>
      </w:r>
    </w:p>
    <w:p w:rsidR="008A7B74" w:rsidRPr="00007FAC" w:rsidRDefault="008A7B74" w:rsidP="008A7B74">
      <w:pPr>
        <w:pStyle w:val="Styl1-1"/>
        <w:numPr>
          <w:ilvl w:val="0"/>
          <w:numId w:val="7"/>
        </w:numPr>
        <w:ind w:left="357" w:hanging="357"/>
        <w:textAlignment w:val="auto"/>
      </w:pPr>
      <w:r w:rsidRPr="00007FAC">
        <w:t>že se nestanoví limity regulace zaměstnanosti ani jejich změny, a to v souvislosti s financováním prioritní osy 3 Rovný přístup ke kvalitnímu předškolnímu, primárnímu a sekundárnímu vzdělávání Operačního programu Výzkum, vývoj a vzdělávání a dále v souvislosti s financováním priority 2 Vzdělávání navazujícího Operačního programu Jan Amos Komenský včetně části ze státního rozpočtu, pro čerpání mzdových prostředků a počtu zaměstnanců příspěvkových organizací regionálního školství územních samosprávných celků;</w:t>
      </w:r>
    </w:p>
    <w:p w:rsidR="008A7B74" w:rsidRPr="00007FAC" w:rsidRDefault="008A7B74" w:rsidP="008A7B74">
      <w:pPr>
        <w:pStyle w:val="Styl1-I"/>
        <w:numPr>
          <w:ilvl w:val="0"/>
          <w:numId w:val="6"/>
        </w:numPr>
        <w:ind w:left="357" w:hanging="357"/>
        <w:textAlignment w:val="auto"/>
      </w:pPr>
      <w:r w:rsidRPr="00007FAC">
        <w:rPr>
          <w:b/>
        </w:rPr>
        <w:t>schvaluje </w:t>
      </w:r>
    </w:p>
    <w:p w:rsidR="008A7B74" w:rsidRPr="00007FAC" w:rsidRDefault="008A7B74" w:rsidP="008A7B74">
      <w:pPr>
        <w:pStyle w:val="Styl1"/>
      </w:pPr>
      <w:r w:rsidRPr="00007FAC">
        <w:t>návrh zákona o státním rozpočtu s úpravami podle připomínek obsažených ve stanovisku předsedy Legislativní rady vlády a podle připomínek vlády,</w:t>
      </w:r>
    </w:p>
    <w:p w:rsidR="008A7B74" w:rsidRPr="00007FAC" w:rsidRDefault="008A7B74" w:rsidP="008A7B74">
      <w:pPr>
        <w:pStyle w:val="Styl1"/>
      </w:pPr>
      <w:r w:rsidRPr="00007FAC">
        <w:t xml:space="preserve">strukturu a objemy výdajů zařazených do kapitoly Všeobecná pokladní správa, obsažené v tabulce č. 9 v části F rozpočtové dokumentace v materiálu čj…., </w:t>
      </w:r>
    </w:p>
    <w:p w:rsidR="008A7B74" w:rsidRPr="00007FAC" w:rsidRDefault="008A7B74" w:rsidP="008A7B74">
      <w:pPr>
        <w:pStyle w:val="Styl1"/>
      </w:pPr>
      <w:r w:rsidRPr="00007FAC">
        <w:t xml:space="preserve">objemy prostředků na platy a ostatní platby za provedenou práci a počty zaměstnanců obsažené v tabulkách č. 10 až 15, v části F rozpočtové dokumentace materiálu </w:t>
      </w:r>
      <w:r w:rsidRPr="00007FAC">
        <w:br/>
        <w:t>čj. …</w:t>
      </w:r>
    </w:p>
    <w:p w:rsidR="008A7B74" w:rsidRPr="00007FAC" w:rsidRDefault="008A7B74" w:rsidP="00CC052A">
      <w:pPr>
        <w:pStyle w:val="Styl1"/>
      </w:pPr>
      <w:r w:rsidRPr="00007FAC">
        <w:t>počty zaměstnanců zapojených do oblasti čerpání prostředků z rozpočtu Evropské unie a finančních mechanismů ve výši 5 53</w:t>
      </w:r>
      <w:r w:rsidR="00423A52" w:rsidRPr="00007FAC">
        <w:t>4</w:t>
      </w:r>
      <w:r w:rsidRPr="00007FAC">
        <w:t xml:space="preserve"> funkčních míst, včetně jednorázového účelového posílení počtu zaměstnanců pro rok 2022, a to o 5 18</w:t>
      </w:r>
      <w:r w:rsidR="00423A52" w:rsidRPr="00007FAC">
        <w:t>4</w:t>
      </w:r>
      <w:r w:rsidRPr="00007FAC">
        <w:t xml:space="preserve"> funkčních míst v členění na jednotlivé kapitoly podle tabulky č. 1</w:t>
      </w:r>
      <w:r w:rsidR="00DC421B" w:rsidRPr="00007FAC">
        <w:t>6</w:t>
      </w:r>
      <w:r w:rsidRPr="00007FAC">
        <w:t xml:space="preserve"> v části F rozpočtové dokum</w:t>
      </w:r>
      <w:r w:rsidR="00CC052A" w:rsidRPr="00007FAC">
        <w:t xml:space="preserve">entace v materiálu           </w:t>
      </w:r>
      <w:r w:rsidRPr="00007FAC">
        <w:t>čj. …</w:t>
      </w:r>
    </w:p>
    <w:p w:rsidR="008A7B74" w:rsidRPr="00007FAC" w:rsidRDefault="008A7B74" w:rsidP="009C16D0">
      <w:pPr>
        <w:pStyle w:val="Styl1"/>
        <w:numPr>
          <w:ilvl w:val="0"/>
          <w:numId w:val="0"/>
        </w:numPr>
        <w:ind w:left="357" w:hanging="357"/>
      </w:pPr>
      <w:r w:rsidRPr="00007FAC">
        <w:t xml:space="preserve">5. převod částky 13 000 000 000 Kč do příjmů státního rozpočtu v souladu s ustanovením </w:t>
      </w:r>
      <w:r w:rsidRPr="00007FAC">
        <w:br/>
        <w:t>§ 5 odst. 3 písm. c) bod 5 zákona č. 178/2005 Sb., o zrušení Fondu národního majetku  a  o působnosti Ministerstva financí při privatizaci majetku České republiky (zákon o zrušení Fondu národního majetku), ve znění zákona č. 308/2018 Sb.;</w:t>
      </w:r>
      <w:r w:rsidRPr="00007FAC">
        <w:tab/>
        <w:t xml:space="preserve">   </w:t>
      </w:r>
    </w:p>
    <w:p w:rsidR="008A7B74" w:rsidRPr="00007FAC" w:rsidRDefault="008A7B74" w:rsidP="008A7B74">
      <w:pPr>
        <w:pStyle w:val="Styl1-I"/>
        <w:numPr>
          <w:ilvl w:val="0"/>
          <w:numId w:val="6"/>
        </w:numPr>
        <w:ind w:left="357" w:hanging="357"/>
        <w:textAlignment w:val="auto"/>
        <w:rPr>
          <w:b/>
        </w:rPr>
      </w:pPr>
      <w:r w:rsidRPr="00007FAC">
        <w:rPr>
          <w:b/>
        </w:rPr>
        <w:t>ukládá</w:t>
      </w:r>
    </w:p>
    <w:p w:rsidR="008A7B74" w:rsidRPr="00007FAC" w:rsidRDefault="008A7B74" w:rsidP="008A7B74">
      <w:pPr>
        <w:pStyle w:val="Styl1"/>
        <w:numPr>
          <w:ilvl w:val="0"/>
          <w:numId w:val="10"/>
        </w:numPr>
      </w:pPr>
      <w:r w:rsidRPr="00007FAC">
        <w:t>ministrovi financí</w:t>
      </w:r>
    </w:p>
    <w:p w:rsidR="008A7B74" w:rsidRPr="00007FAC" w:rsidRDefault="008A7B74" w:rsidP="008A7B74">
      <w:pPr>
        <w:pStyle w:val="Styl1-a"/>
        <w:numPr>
          <w:ilvl w:val="0"/>
          <w:numId w:val="8"/>
        </w:numPr>
        <w:ind w:left="357" w:hanging="357"/>
        <w:textAlignment w:val="auto"/>
      </w:pPr>
      <w:r w:rsidRPr="00007FAC">
        <w:t>vypracovat ve spolupráci se správci kapitol státního rozpočtu konečné znění vládního návrhu zákona podle bodu II/1 tohoto usnesení,</w:t>
      </w:r>
    </w:p>
    <w:p w:rsidR="008A7B74" w:rsidRPr="00007FAC" w:rsidRDefault="008A7B74" w:rsidP="008A7B74">
      <w:pPr>
        <w:pStyle w:val="Styl1-a"/>
        <w:numPr>
          <w:ilvl w:val="0"/>
          <w:numId w:val="8"/>
        </w:numPr>
        <w:ind w:left="357" w:hanging="357"/>
        <w:textAlignment w:val="auto"/>
      </w:pPr>
      <w:r w:rsidRPr="00007FAC">
        <w:t>oznámit do sedmi dnů od obdržení usnesení Poslanecké sněmovny Parlamentu České republiky o schválení návrhu zákona o státním rozpočtu Poslaneckou sněmovnou Parlamentu České republiky</w:t>
      </w:r>
    </w:p>
    <w:p w:rsidR="008A7B74" w:rsidRPr="00007FAC" w:rsidRDefault="008A7B74" w:rsidP="008A7B74">
      <w:pPr>
        <w:pStyle w:val="Stylaa"/>
        <w:numPr>
          <w:ilvl w:val="0"/>
          <w:numId w:val="0"/>
        </w:numPr>
        <w:tabs>
          <w:tab w:val="left" w:pos="708"/>
        </w:tabs>
        <w:ind w:left="397" w:hanging="397"/>
      </w:pPr>
      <w:r w:rsidRPr="00007FAC">
        <w:t>ba) členům vlády, vedoucím ostatních ústředních správních úřadů a vedoucím organizačních složek státu, pro něž byly zřízeny kapitoly státního rozpočtu, hejtmanům a primátorovi hlavního města Prahy závazné ukazatele státního rozpočtu,</w:t>
      </w:r>
    </w:p>
    <w:p w:rsidR="008A7B74" w:rsidRPr="00007FAC" w:rsidRDefault="008A7B74" w:rsidP="008A7B74">
      <w:pPr>
        <w:pStyle w:val="Stylaa"/>
        <w:numPr>
          <w:ilvl w:val="0"/>
          <w:numId w:val="0"/>
        </w:numPr>
        <w:tabs>
          <w:tab w:val="left" w:pos="708"/>
        </w:tabs>
        <w:ind w:left="397" w:hanging="397"/>
      </w:pPr>
      <w:r w:rsidRPr="00007FAC">
        <w:t>bb) členům vlády, vedoucím ostatních ústředních správních úřadů a vedoucím organizačních složek státu, pro něž byly zřízeny kapitoly státního rozpočtu, objem prostředků na platy zaměstnanců, státních zaměstnanců, příslušníků bezpečnostních sborů a vojáků a ostatní platby za provedenou práci, objem mzdových nákladů, počet zaměstnanců, státních zaměstnanců, příslušníků bezpečnostních sborů a vojáků, uvedené v tabulkách č. 10 až 1</w:t>
      </w:r>
      <w:r w:rsidR="004A73C7" w:rsidRPr="00007FAC">
        <w:t>6</w:t>
      </w:r>
      <w:r w:rsidRPr="00007FAC">
        <w:t xml:space="preserve"> </w:t>
      </w:r>
      <w:r w:rsidR="004A73C7" w:rsidRPr="00007FAC">
        <w:t xml:space="preserve">v </w:t>
      </w:r>
      <w:r w:rsidRPr="00007FAC">
        <w:t xml:space="preserve">části F rozpočtové dokumentace v  materiálu čj. </w:t>
      </w:r>
      <w:r w:rsidR="00283F0F" w:rsidRPr="00007FAC">
        <w:t>…</w:t>
      </w:r>
      <w:r w:rsidRPr="00007FAC">
        <w:t>,</w:t>
      </w:r>
    </w:p>
    <w:p w:rsidR="008A7B74" w:rsidRPr="00007FAC" w:rsidRDefault="008A7B74" w:rsidP="008A7B74">
      <w:pPr>
        <w:pStyle w:val="Styl1-a"/>
        <w:numPr>
          <w:ilvl w:val="0"/>
          <w:numId w:val="8"/>
        </w:numPr>
        <w:ind w:left="357" w:hanging="357"/>
        <w:textAlignment w:val="auto"/>
      </w:pPr>
      <w:r w:rsidRPr="00007FAC">
        <w:t>upravit návrh státního rozpočtu na rok 2022 tak, aby byla zajištěna vnitřní konzistence, vazby a metodická správnost rozpočtů kapitol,</w:t>
      </w:r>
    </w:p>
    <w:p w:rsidR="008A7B74" w:rsidRPr="00007FAC" w:rsidRDefault="008A7B74" w:rsidP="008A7B74">
      <w:pPr>
        <w:pStyle w:val="Styl1"/>
      </w:pPr>
      <w:r w:rsidRPr="00007FAC">
        <w:t>členům vlády a vedoucím ostatních ústředních správních úřadů</w:t>
      </w:r>
    </w:p>
    <w:p w:rsidR="008A7B74" w:rsidRPr="00007FAC" w:rsidRDefault="008A7B74" w:rsidP="008A7B74">
      <w:pPr>
        <w:pStyle w:val="Styla"/>
        <w:numPr>
          <w:ilvl w:val="2"/>
          <w:numId w:val="5"/>
        </w:numPr>
        <w:ind w:left="357" w:hanging="357"/>
      </w:pPr>
      <w:r w:rsidRPr="00007FAC">
        <w:t>rozpracovat neprodleně po schválení návrhu zákona o státním rozpočtu vládou v součinn</w:t>
      </w:r>
      <w:r w:rsidR="00AA5AED" w:rsidRPr="00007FAC">
        <w:t xml:space="preserve">osti s ministrem financí </w:t>
      </w:r>
      <w:r w:rsidR="004A73C7" w:rsidRPr="00007FAC">
        <w:t xml:space="preserve">změny </w:t>
      </w:r>
      <w:r w:rsidRPr="00007FAC">
        <w:t>v rozpočtech kapitol přijaté vládou, v členění podle vyhlášky</w:t>
      </w:r>
      <w:r w:rsidR="00A81704" w:rsidRPr="00007FAC">
        <w:t xml:space="preserve"> č. 412/2021 Sb.,</w:t>
      </w:r>
      <w:r w:rsidRPr="00007FAC">
        <w:t xml:space="preserve"> o rozpočtové skladbě, do tabulek pro znění návrhu státního rozpočtu, který bude předložen Poslanecké sněmovně Parlamentu České republiky včetně návrhů rozpočtů jednotlivých kapitol, předkládaných správci kapitol pro jednání příslušných výborů Poslanecké sněmovny Parlamentu České republiky,</w:t>
      </w:r>
    </w:p>
    <w:p w:rsidR="008A7B74" w:rsidRPr="00007FAC" w:rsidRDefault="008A7B74" w:rsidP="008A7B74">
      <w:pPr>
        <w:pStyle w:val="Styla"/>
        <w:numPr>
          <w:ilvl w:val="2"/>
          <w:numId w:val="5"/>
        </w:numPr>
        <w:ind w:left="357" w:hanging="357"/>
      </w:pPr>
      <w:r w:rsidRPr="00007FAC">
        <w:t>rozpracovat neprodleně po schválení návrhu zákona o státním rozpočtu Poslaneckou sněmovnou Parlamentu České republ</w:t>
      </w:r>
      <w:r w:rsidR="00AA5AED" w:rsidRPr="00007FAC">
        <w:t>iky v součinnosti s ministrem financí změny v </w:t>
      </w:r>
      <w:r w:rsidRPr="00007FAC">
        <w:t>rozpočtech kapitol, které schválila Poslanecká sněmovna Parlamentu České republiky, v členění podle vyhlášky o rozpočtové skladbě, do tabulek předložených Poslanecké sněmovně Parlamentu České republiky,</w:t>
      </w:r>
    </w:p>
    <w:p w:rsidR="008A7B74" w:rsidRPr="00007FAC" w:rsidRDefault="008A7B74" w:rsidP="009C16D0">
      <w:pPr>
        <w:pStyle w:val="Styla"/>
        <w:numPr>
          <w:ilvl w:val="2"/>
          <w:numId w:val="5"/>
        </w:numPr>
        <w:ind w:left="357" w:hanging="357"/>
      </w:pPr>
      <w:r w:rsidRPr="00007FAC">
        <w:t>stanovit ze schválených ukazatelů státního rozpočtu objemy prostředků a další ukazatele pro organizační složky státu a příspěvkové organizace v jejich působnosti, a to do dvaceti dnů po obdržení ukazatelů podle bodu III/1b tohoto usnesení, nejpozději však v  termínu zajišťujícím financování organizačních složek státu od</w:t>
      </w:r>
      <w:r w:rsidR="009C16D0" w:rsidRPr="00007FAC">
        <w:t>e dne účinnosti zákona o </w:t>
      </w:r>
      <w:r w:rsidR="00283F0F" w:rsidRPr="00007FAC">
        <w:t>státním rozpočtu na rok 2022</w:t>
      </w:r>
      <w:r w:rsidRPr="00007FAC">
        <w:t xml:space="preserve">, </w:t>
      </w:r>
    </w:p>
    <w:p w:rsidR="00283F0F" w:rsidRPr="00007FAC" w:rsidRDefault="008A7B74" w:rsidP="008A7B74">
      <w:pPr>
        <w:pStyle w:val="Styla"/>
        <w:numPr>
          <w:ilvl w:val="2"/>
          <w:numId w:val="5"/>
        </w:numPr>
        <w:ind w:left="357" w:hanging="357"/>
      </w:pPr>
      <w:r w:rsidRPr="00007FAC">
        <w:t xml:space="preserve">předložit </w:t>
      </w:r>
      <w:r w:rsidR="00283F0F" w:rsidRPr="00007FAC">
        <w:t xml:space="preserve">ministrovi </w:t>
      </w:r>
      <w:r w:rsidR="009C16D0" w:rsidRPr="00007FAC">
        <w:t xml:space="preserve">financí v souladu s vyhláškou </w:t>
      </w:r>
      <w:r w:rsidRPr="00007FAC">
        <w:t>č. 5/2</w:t>
      </w:r>
      <w:r w:rsidR="009C16D0" w:rsidRPr="00007FAC">
        <w:t>014 Sb., o způsobu, termínech a </w:t>
      </w:r>
      <w:r w:rsidRPr="00007FAC">
        <w:t>rozsahu údajů předkládaných pro hodnocení plnění státního rozpočtu, rozpočtů státních fondů, rozpočt</w:t>
      </w:r>
      <w:r w:rsidR="00CC052A" w:rsidRPr="00007FAC">
        <w:t xml:space="preserve">ů územních samosprávných celků a </w:t>
      </w:r>
      <w:r w:rsidRPr="00007FAC">
        <w:t>rozp</w:t>
      </w:r>
      <w:r w:rsidR="00CC052A" w:rsidRPr="00007FAC">
        <w:t xml:space="preserve">očtů dobrovolných svazků obcí </w:t>
      </w:r>
      <w:r w:rsidR="009C16D0" w:rsidRPr="00007FAC">
        <w:t>v předepsané formě přehled o </w:t>
      </w:r>
      <w:r w:rsidRPr="00007FAC">
        <w:t>rozpočtu nákladů a výnosů jednotlivých příspěvkových organizací a přehled o rozpočtu nákladů a výnosů příspěvkových organizací za kapitolu celkem</w:t>
      </w:r>
      <w:r w:rsidR="004E7DC3" w:rsidRPr="00007FAC">
        <w:t>;</w:t>
      </w:r>
    </w:p>
    <w:p w:rsidR="00283F0F" w:rsidRPr="00007FAC" w:rsidRDefault="00283F0F" w:rsidP="00283F0F">
      <w:pPr>
        <w:pStyle w:val="Odstavecseseznamem"/>
      </w:pPr>
    </w:p>
    <w:p w:rsidR="008A7B74" w:rsidRPr="00007FAC" w:rsidRDefault="008A7B74" w:rsidP="008A7B74">
      <w:pPr>
        <w:pStyle w:val="Styl1-I"/>
        <w:numPr>
          <w:ilvl w:val="0"/>
          <w:numId w:val="6"/>
        </w:numPr>
        <w:ind w:left="357" w:hanging="357"/>
        <w:textAlignment w:val="auto"/>
        <w:rPr>
          <w:b/>
        </w:rPr>
      </w:pPr>
      <w:r w:rsidRPr="00007FAC">
        <w:rPr>
          <w:b/>
        </w:rPr>
        <w:t>zmocňuje</w:t>
      </w:r>
    </w:p>
    <w:p w:rsidR="008A7B74" w:rsidRPr="00007FAC" w:rsidRDefault="00283F0F" w:rsidP="008A7B74">
      <w:pPr>
        <w:pStyle w:val="Styl1"/>
        <w:numPr>
          <w:ilvl w:val="0"/>
          <w:numId w:val="11"/>
        </w:numPr>
      </w:pPr>
      <w:r w:rsidRPr="00007FAC">
        <w:t>ministra financí</w:t>
      </w:r>
    </w:p>
    <w:p w:rsidR="008A7B74" w:rsidRPr="00007FAC" w:rsidRDefault="008A7B74" w:rsidP="008A7B74">
      <w:pPr>
        <w:pStyle w:val="Styla"/>
        <w:numPr>
          <w:ilvl w:val="2"/>
          <w:numId w:val="12"/>
        </w:numPr>
        <w:ind w:left="340" w:hanging="340"/>
      </w:pPr>
      <w:r w:rsidRPr="00007FAC">
        <w:t xml:space="preserve">upravovat v průběhu roku 2022 strukturu a výši výdajů obsažených v tabulce č. 9 v části F rozpočtové dokumentace v  materiálu čj. </w:t>
      </w:r>
      <w:r w:rsidR="00283F0F" w:rsidRPr="00007FAC">
        <w:t>…</w:t>
      </w:r>
      <w:r w:rsidRPr="00007FAC">
        <w:t xml:space="preserve"> v rámci závazných ukazatelů státního rozpočtu (bod II/2 tohoto usnesení) a při změně závazných ukazatelů postupovat podle zákona č. 218/2000 Sb., o rozpočtových pravidlech a o změně některých souvisejících zákonů (rozpočtová pravidla), ve znění pozdějších předpisů,</w:t>
      </w:r>
    </w:p>
    <w:p w:rsidR="008A7B74" w:rsidRPr="00007FAC" w:rsidRDefault="008A7B74" w:rsidP="008A7B74">
      <w:pPr>
        <w:pStyle w:val="Styla"/>
        <w:numPr>
          <w:ilvl w:val="2"/>
          <w:numId w:val="12"/>
        </w:numPr>
        <w:ind w:left="340" w:hanging="340"/>
      </w:pPr>
      <w:r w:rsidRPr="00007FAC">
        <w:t>upravovat v průběhu roku 2022 v odůvodněných případech objemy prostředků na platy a ostatní platby za provedenou práci a počty zaměstnanců schválené vládou v tabulkách regulace zaměstnanosti č. 10 až 1</w:t>
      </w:r>
      <w:r w:rsidR="004A73C7" w:rsidRPr="00007FAC">
        <w:t>6</w:t>
      </w:r>
      <w:r w:rsidRPr="00007FAC">
        <w:t xml:space="preserve"> v části F rozpočtové dokumentace v materiálu </w:t>
      </w:r>
      <w:r w:rsidRPr="00007FAC">
        <w:br/>
        <w:t xml:space="preserve">čj. </w:t>
      </w:r>
      <w:r w:rsidR="00A81704" w:rsidRPr="00007FAC">
        <w:t>…</w:t>
      </w:r>
      <w:r w:rsidRPr="00007FAC">
        <w:t xml:space="preserve"> (bod II/3 a II/4 tohoto usnesení), s výjimkou případů, kdy o objemu prostředků na platy a počtech zaměstnanců rozhoduje podle právního předpisu vláda,  </w:t>
      </w:r>
    </w:p>
    <w:p w:rsidR="008A7B74" w:rsidRPr="00007FAC" w:rsidRDefault="008A7B74" w:rsidP="008A7B74">
      <w:pPr>
        <w:pStyle w:val="Styla"/>
        <w:numPr>
          <w:ilvl w:val="2"/>
          <w:numId w:val="12"/>
        </w:numPr>
        <w:ind w:left="340" w:hanging="340"/>
      </w:pPr>
      <w:r w:rsidRPr="00007FAC">
        <w:t xml:space="preserve">uskutečňovat nezbytné výdaje nezabezpečené ve státním rozpočtu, zajistí-li úhradu úsporami na jiných výdajích státního rozpočtu, a to do výše v daném roce nepřesahující </w:t>
      </w:r>
      <w:r w:rsidRPr="00007FAC">
        <w:br/>
        <w:t>5 % celkového objemu schváleného rozpočtu výdajů kapitoly, u které se úprava provádí, a nepřesahující 10 % celkového objemu závazného ukazatele v kapitole, u kterého</w:t>
      </w:r>
      <w:r w:rsidR="00AA5AED" w:rsidRPr="00007FAC">
        <w:t xml:space="preserve"> se úprava provádí s tím, že ministr</w:t>
      </w:r>
      <w:r w:rsidRPr="00007FAC">
        <w:t xml:space="preserve"> financí může povolit snížení některého příjmu z činností, a to bez omezení, za předpokladu, že se nezmění saldo rozpočtu příjmů a výdajů kapitoly, provádět přesuny prostředků odpovídajících rozpočtovanému podílu spolufinancování ze státního rozpočtu v návaznosti na rozhodnutí Evropské komise o změně v umístnění prostředků poskytnutých z rozpočtu Evropské unie (§ 24 zákona č. 218/2000 Sb.), povolit bez omezení přesuny prostředků zabezpečených ve státním rozpočtu, jestliže je dodržena jejich účelovost daná závazným ukazatelem státního rozpočtu, povolit přesun příjmů, rozpočtovaných jako příjmy z rozpočtu Evropské unie nebo z finančních mechanismů, souvztažně s přesunem výdajů rozpočtovaných jako výdaje spolufinancované z rozpočtu Evropské unie nebo z finančních mechanismů, bez dopadu na saldo rozpočtu příjmů a výdajů kapitoly, povolit snížení nebo zvýšení jednoho závazného ukazatele rozpočtu výdajů do 10 % částky schválené zákonem o státním rozpočtu za předpokladu, že se nezmění saldo příjmů a výdajů kapitoly,</w:t>
      </w:r>
    </w:p>
    <w:p w:rsidR="008A7B74" w:rsidRPr="00007FAC" w:rsidRDefault="008A7B74" w:rsidP="009142F6">
      <w:pPr>
        <w:pStyle w:val="Styla"/>
        <w:numPr>
          <w:ilvl w:val="2"/>
          <w:numId w:val="12"/>
        </w:numPr>
        <w:ind w:left="340" w:hanging="340"/>
      </w:pPr>
      <w:r w:rsidRPr="00007FAC">
        <w:t>uskutečňovat z kapitoly Všeobecná pokladní správa, položky Vládní rozpočtová rezerva, po projednání s příslušnými správci kapitol, nezbytné výdaje, které nejsou zajištěny v rozpočtech jednotlivých kapitol státního rozpočtu, a to až do výše 50 mil. Kč pro jednotlivé případy,</w:t>
      </w:r>
    </w:p>
    <w:p w:rsidR="008A7B74" w:rsidRPr="00007FAC" w:rsidRDefault="008A7B74" w:rsidP="008A7B74">
      <w:pPr>
        <w:pStyle w:val="Styla"/>
        <w:numPr>
          <w:ilvl w:val="2"/>
          <w:numId w:val="12"/>
        </w:numPr>
        <w:ind w:left="340" w:hanging="340"/>
      </w:pPr>
      <w:r w:rsidRPr="00007FAC">
        <w:t xml:space="preserve">uvolňovat z  účelové rezervy kapitoly Všeobecná pokladní správa prostředky na finanční zabezpečení integrovaného záchranného systému podle § 31 odst. 2 zákona </w:t>
      </w:r>
      <w:r w:rsidRPr="00007FAC">
        <w:br/>
        <w:t>č. 239/2000 Sb., o integrovaném záchranném systému a o změně některých zákonů, ve znění zákona č. 320/2002 Sb., po posouzení jednotlivých žádostí v součinnosti s ministrem vnitra. Žádosti mohou zasílat ministerstva, ostatní ústřední správní úřady, a za účelem pokrytí svých vlastních potřeb také kraje a hlavní město Praha, po vyčerpání finančních prostředků rozpočtovaných ve svých rozpočtech na integrovaný záchranný systém, a to až do výše 50 mil. Kč pro jednotlivé případy,</w:t>
      </w:r>
    </w:p>
    <w:p w:rsidR="008A7B74" w:rsidRPr="00007FAC" w:rsidRDefault="008A7B74" w:rsidP="008A7B74">
      <w:pPr>
        <w:pStyle w:val="Styla"/>
        <w:numPr>
          <w:ilvl w:val="2"/>
          <w:numId w:val="12"/>
        </w:numPr>
        <w:ind w:left="340" w:hanging="340"/>
      </w:pPr>
      <w:r w:rsidRPr="00007FAC">
        <w:t>uvolňovat z účelové rezervy kapitoly Všeobecná pokladní správa prostředky na řešení krizových situací, jejich předcházení a odstraňování jejich následků podle přílohy tohoto usnesení, a to až do výše 50 mil. Kč pro jednotlivé případy,</w:t>
      </w:r>
    </w:p>
    <w:p w:rsidR="008A7B74" w:rsidRPr="00007FAC" w:rsidRDefault="008A7B74" w:rsidP="008A7B74">
      <w:pPr>
        <w:pStyle w:val="Styla"/>
        <w:numPr>
          <w:ilvl w:val="2"/>
          <w:numId w:val="12"/>
        </w:numPr>
        <w:ind w:left="340" w:hanging="340"/>
      </w:pPr>
      <w:r w:rsidRPr="00007FAC">
        <w:t>stanovovat účelovost použití prostředků vládní rozpočtové rezervy,</w:t>
      </w:r>
    </w:p>
    <w:p w:rsidR="008A7B74" w:rsidRPr="005B4C56" w:rsidRDefault="008A7B74" w:rsidP="008A7B74">
      <w:pPr>
        <w:pStyle w:val="Styl1"/>
      </w:pPr>
      <w:r w:rsidRPr="00007FAC">
        <w:t>předsedu vlády, aby na základě odůvodněné žádosti</w:t>
      </w:r>
      <w:r>
        <w:t xml:space="preserve"> </w:t>
      </w:r>
      <w:r w:rsidR="00892BC9">
        <w:t>ministra</w:t>
      </w:r>
      <w:r>
        <w:t xml:space="preserve"> financí pověřil plněním úkolu podle bodu V/2 tohoto usnesení jiného člena vlády;</w:t>
      </w:r>
      <w:r w:rsidRPr="005B4C56">
        <w:rPr>
          <w:b/>
        </w:rPr>
        <w:t xml:space="preserve"> </w:t>
      </w:r>
    </w:p>
    <w:p w:rsidR="008A7B74" w:rsidRDefault="008A7B74" w:rsidP="008A7B74">
      <w:pPr>
        <w:pStyle w:val="Styl1-I"/>
        <w:numPr>
          <w:ilvl w:val="0"/>
          <w:numId w:val="6"/>
        </w:numPr>
        <w:ind w:left="357" w:hanging="357"/>
        <w:textAlignment w:val="auto"/>
        <w:rPr>
          <w:b/>
        </w:rPr>
      </w:pPr>
      <w:r>
        <w:rPr>
          <w:b/>
        </w:rPr>
        <w:t>pověřuje</w:t>
      </w:r>
    </w:p>
    <w:p w:rsidR="008A7B74" w:rsidRPr="005E5201" w:rsidRDefault="008A7B74" w:rsidP="009C16D0">
      <w:pPr>
        <w:pStyle w:val="Styl1"/>
        <w:numPr>
          <w:ilvl w:val="0"/>
          <w:numId w:val="13"/>
        </w:numPr>
      </w:pPr>
      <w:r w:rsidRPr="005E5201">
        <w:t>pře</w:t>
      </w:r>
      <w:r w:rsidR="00AA5AED">
        <w:t>dsedu vlády předložit předsedkyni</w:t>
      </w:r>
      <w:r w:rsidRPr="005E5201">
        <w:t xml:space="preserve"> Poslanecké sněmovny Parlamentu České republiky</w:t>
      </w:r>
      <w:r w:rsidR="009C16D0">
        <w:t xml:space="preserve"> </w:t>
      </w:r>
      <w:r w:rsidR="009C16D0" w:rsidRPr="009C16D0">
        <w:t>vládní návrh zákona podle bodu II/1 a III/1a tohoto usnesení k dalšímu projednání</w:t>
      </w:r>
      <w:r w:rsidR="009C16D0">
        <w:t>,</w:t>
      </w:r>
    </w:p>
    <w:p w:rsidR="008A7B74" w:rsidRDefault="00892BC9" w:rsidP="008A7B74">
      <w:pPr>
        <w:pStyle w:val="Styl1"/>
      </w:pPr>
      <w:r>
        <w:t>ministra</w:t>
      </w:r>
      <w:r w:rsidR="008A7B74">
        <w:t xml:space="preserve"> financí, aby odůvodnil vládní návrh zákona v Poslanecké sněmovně Parlamentu České republiky;</w:t>
      </w:r>
    </w:p>
    <w:p w:rsidR="008A7B74" w:rsidRDefault="008A7B74" w:rsidP="008A7B74">
      <w:pPr>
        <w:pStyle w:val="Styl1-I"/>
        <w:numPr>
          <w:ilvl w:val="0"/>
          <w:numId w:val="6"/>
        </w:numPr>
        <w:ind w:left="357" w:hanging="357"/>
        <w:textAlignment w:val="auto"/>
      </w:pPr>
      <w:r>
        <w:rPr>
          <w:b/>
        </w:rPr>
        <w:t>doporučuje</w:t>
      </w:r>
      <w:r>
        <w:t xml:space="preserve"> vedoucím Kanceláře prezidenta republiky a Kanceláře Veřejného ochránce práv postupovat podle bodu III/2 tohoto usnesení a předsedům Akademie věd České republiky, Grantové agentury České republiky a Technologické agentury České republiky postupovat podle bodu III/2a, b, d tohoto usnesení;</w:t>
      </w:r>
    </w:p>
    <w:p w:rsidR="008A7B74" w:rsidRDefault="008A7B74" w:rsidP="008A7B74">
      <w:pPr>
        <w:pStyle w:val="Styl1-I"/>
        <w:numPr>
          <w:ilvl w:val="0"/>
          <w:numId w:val="6"/>
        </w:numPr>
        <w:ind w:left="357" w:hanging="357"/>
        <w:textAlignment w:val="auto"/>
      </w:pPr>
      <w:r>
        <w:rPr>
          <w:b/>
        </w:rPr>
        <w:t xml:space="preserve">zrušuje </w:t>
      </w:r>
      <w:r>
        <w:t>usnesení vlády ze dne 2</w:t>
      </w:r>
      <w:r w:rsidR="0087768F">
        <w:t>0</w:t>
      </w:r>
      <w:r>
        <w:t xml:space="preserve">. </w:t>
      </w:r>
      <w:r w:rsidR="0087768F">
        <w:t>října</w:t>
      </w:r>
      <w:r>
        <w:t xml:space="preserve"> 2021 č. </w:t>
      </w:r>
      <w:r w:rsidR="0087768F">
        <w:t>911</w:t>
      </w:r>
      <w:r>
        <w:t>, k návrhu zákona o státním rozpočtu České republiky na rok 2022 a střednědobého výhledu státního rozpočtu České republiky na léta 2023 a 2024 s výjimkou bod</w:t>
      </w:r>
      <w:r w:rsidR="0087768F">
        <w:t>ů II/5, II/6</w:t>
      </w:r>
      <w:r w:rsidR="00FC16CF">
        <w:t>, VII a Př</w:t>
      </w:r>
      <w:r w:rsidR="009C16D0">
        <w:t>ílohy usnesení vlády ze dne 20. </w:t>
      </w:r>
      <w:r w:rsidR="00FC16CF">
        <w:t>října 2021 č. 911</w:t>
      </w:r>
      <w:r>
        <w:t>.</w:t>
      </w:r>
    </w:p>
    <w:p w:rsidR="008A7B74" w:rsidRDefault="008A7B74" w:rsidP="008A7B74">
      <w:pPr>
        <w:rPr>
          <w:rFonts w:ascii="Arial" w:hAnsi="Arial" w:cs="Arial"/>
          <w:b/>
          <w:sz w:val="22"/>
          <w:szCs w:val="22"/>
          <w:u w:val="single"/>
        </w:rPr>
      </w:pPr>
      <w:r>
        <w:rPr>
          <w:rFonts w:ascii="Arial" w:hAnsi="Arial" w:cs="Arial"/>
          <w:b/>
          <w:sz w:val="22"/>
          <w:szCs w:val="22"/>
          <w:u w:val="single"/>
        </w:rPr>
        <w:t>Provedou:</w:t>
      </w:r>
    </w:p>
    <w:p w:rsidR="008A7B74" w:rsidRDefault="008A7B74" w:rsidP="008A7B74">
      <w:pPr>
        <w:jc w:val="both"/>
        <w:rPr>
          <w:rFonts w:ascii="Arial" w:hAnsi="Arial" w:cs="Arial"/>
          <w:bCs/>
          <w:sz w:val="22"/>
          <w:szCs w:val="22"/>
        </w:rPr>
      </w:pPr>
      <w:r>
        <w:rPr>
          <w:rFonts w:ascii="Arial" w:hAnsi="Arial" w:cs="Arial"/>
          <w:bCs/>
          <w:sz w:val="22"/>
          <w:szCs w:val="22"/>
        </w:rPr>
        <w:t xml:space="preserve">členové vlády, </w:t>
      </w:r>
    </w:p>
    <w:p w:rsidR="008A7B74" w:rsidRDefault="008A7B74" w:rsidP="008A7B74">
      <w:pPr>
        <w:jc w:val="both"/>
        <w:rPr>
          <w:rFonts w:ascii="Arial" w:hAnsi="Arial" w:cs="Arial"/>
          <w:bCs/>
          <w:sz w:val="22"/>
          <w:szCs w:val="22"/>
        </w:rPr>
      </w:pPr>
      <w:r>
        <w:rPr>
          <w:rFonts w:ascii="Arial" w:hAnsi="Arial" w:cs="Arial"/>
          <w:bCs/>
          <w:sz w:val="22"/>
          <w:szCs w:val="22"/>
        </w:rPr>
        <w:t>vedoucí ostatních ústředních správních úřadů</w:t>
      </w:r>
    </w:p>
    <w:p w:rsidR="008A7B74" w:rsidRDefault="008A7B74" w:rsidP="008A7B74">
      <w:pPr>
        <w:jc w:val="both"/>
        <w:rPr>
          <w:rFonts w:ascii="Arial" w:hAnsi="Arial" w:cs="Arial"/>
          <w:bCs/>
          <w:sz w:val="22"/>
          <w:szCs w:val="22"/>
        </w:rPr>
      </w:pPr>
    </w:p>
    <w:p w:rsidR="008A7B74" w:rsidRDefault="008A7B74" w:rsidP="008A7B74">
      <w:pPr>
        <w:jc w:val="both"/>
        <w:rPr>
          <w:rFonts w:ascii="Arial" w:hAnsi="Arial" w:cs="Arial"/>
          <w:b/>
          <w:bCs/>
          <w:sz w:val="22"/>
          <w:szCs w:val="22"/>
          <w:u w:val="single"/>
        </w:rPr>
      </w:pPr>
      <w:r>
        <w:rPr>
          <w:rFonts w:ascii="Arial" w:hAnsi="Arial" w:cs="Arial"/>
          <w:b/>
          <w:bCs/>
          <w:sz w:val="22"/>
          <w:szCs w:val="22"/>
          <w:u w:val="single"/>
        </w:rPr>
        <w:t>Na vědomí:</w:t>
      </w:r>
    </w:p>
    <w:p w:rsidR="00BD7FC2" w:rsidRDefault="00BD7FC2" w:rsidP="00BD7FC2">
      <w:pPr>
        <w:jc w:val="both"/>
        <w:rPr>
          <w:rFonts w:ascii="Arial" w:hAnsi="Arial" w:cs="Arial"/>
          <w:bCs/>
          <w:sz w:val="22"/>
          <w:szCs w:val="22"/>
        </w:rPr>
      </w:pPr>
      <w:r>
        <w:rPr>
          <w:rFonts w:ascii="Arial" w:hAnsi="Arial" w:cs="Arial"/>
          <w:bCs/>
          <w:sz w:val="22"/>
          <w:szCs w:val="22"/>
        </w:rPr>
        <w:t>vedoucí Kanceláře prezidenta republiky,</w:t>
      </w:r>
    </w:p>
    <w:p w:rsidR="00BD7FC2" w:rsidRDefault="00AA5AED" w:rsidP="00BD7FC2">
      <w:pPr>
        <w:jc w:val="both"/>
        <w:rPr>
          <w:rFonts w:ascii="Arial" w:hAnsi="Arial" w:cs="Arial"/>
          <w:bCs/>
          <w:sz w:val="22"/>
          <w:szCs w:val="22"/>
        </w:rPr>
      </w:pPr>
      <w:r>
        <w:rPr>
          <w:rFonts w:ascii="Arial" w:hAnsi="Arial" w:cs="Arial"/>
          <w:bCs/>
          <w:sz w:val="22"/>
          <w:szCs w:val="22"/>
        </w:rPr>
        <w:t xml:space="preserve">vedoucí </w:t>
      </w:r>
      <w:r w:rsidR="00BD7FC2">
        <w:rPr>
          <w:rFonts w:ascii="Arial" w:hAnsi="Arial" w:cs="Arial"/>
          <w:bCs/>
          <w:sz w:val="22"/>
          <w:szCs w:val="22"/>
        </w:rPr>
        <w:t xml:space="preserve">Kanceláře Veřejného ochránce práv, </w:t>
      </w:r>
    </w:p>
    <w:p w:rsidR="00BD7FC2" w:rsidRDefault="00BD7FC2" w:rsidP="00BD7FC2">
      <w:pPr>
        <w:jc w:val="both"/>
        <w:rPr>
          <w:rFonts w:ascii="Arial" w:hAnsi="Arial" w:cs="Arial"/>
          <w:bCs/>
          <w:sz w:val="22"/>
          <w:szCs w:val="22"/>
        </w:rPr>
      </w:pPr>
      <w:r>
        <w:rPr>
          <w:rFonts w:ascii="Arial" w:hAnsi="Arial" w:cs="Arial"/>
          <w:bCs/>
          <w:sz w:val="22"/>
          <w:szCs w:val="22"/>
        </w:rPr>
        <w:t>předsedkyně Akademie věd České republiky,</w:t>
      </w:r>
    </w:p>
    <w:p w:rsidR="00BD7FC2" w:rsidRDefault="00BD7FC2" w:rsidP="00BD7FC2">
      <w:pPr>
        <w:jc w:val="both"/>
        <w:rPr>
          <w:rFonts w:ascii="Arial" w:hAnsi="Arial" w:cs="Arial"/>
          <w:bCs/>
          <w:sz w:val="22"/>
          <w:szCs w:val="22"/>
        </w:rPr>
      </w:pPr>
      <w:r>
        <w:rPr>
          <w:rFonts w:ascii="Arial" w:hAnsi="Arial" w:cs="Arial"/>
          <w:bCs/>
          <w:sz w:val="22"/>
          <w:szCs w:val="22"/>
        </w:rPr>
        <w:t>předseda Grantové agentury České republiky,</w:t>
      </w:r>
    </w:p>
    <w:p w:rsidR="00BD7FC2" w:rsidRDefault="00BD7FC2" w:rsidP="00BD7FC2">
      <w:pPr>
        <w:jc w:val="both"/>
        <w:rPr>
          <w:rFonts w:ascii="Arial" w:hAnsi="Arial" w:cs="Arial"/>
          <w:bCs/>
          <w:sz w:val="22"/>
          <w:szCs w:val="22"/>
        </w:rPr>
      </w:pPr>
      <w:r>
        <w:rPr>
          <w:rFonts w:ascii="Arial" w:hAnsi="Arial" w:cs="Arial"/>
          <w:bCs/>
          <w:sz w:val="22"/>
          <w:szCs w:val="22"/>
        </w:rPr>
        <w:t xml:space="preserve">předseda Technologické agentury České republiky, </w:t>
      </w:r>
    </w:p>
    <w:p w:rsidR="008A7B74" w:rsidRDefault="008A7B74" w:rsidP="008A7B74">
      <w:pPr>
        <w:jc w:val="both"/>
        <w:rPr>
          <w:rFonts w:ascii="Arial" w:hAnsi="Arial" w:cs="Arial"/>
          <w:bCs/>
          <w:sz w:val="22"/>
          <w:szCs w:val="22"/>
        </w:rPr>
      </w:pPr>
      <w:r>
        <w:rPr>
          <w:rFonts w:ascii="Arial" w:hAnsi="Arial" w:cs="Arial"/>
          <w:bCs/>
          <w:sz w:val="22"/>
          <w:szCs w:val="22"/>
        </w:rPr>
        <w:t>hejtmanky a hejtmani,</w:t>
      </w:r>
    </w:p>
    <w:p w:rsidR="008A7B74" w:rsidRDefault="008A7B74" w:rsidP="008A7B74">
      <w:pPr>
        <w:jc w:val="both"/>
        <w:rPr>
          <w:rFonts w:ascii="Arial" w:hAnsi="Arial" w:cs="Arial"/>
          <w:bCs/>
          <w:sz w:val="22"/>
          <w:szCs w:val="22"/>
        </w:rPr>
      </w:pPr>
      <w:r>
        <w:rPr>
          <w:rFonts w:ascii="Arial" w:hAnsi="Arial" w:cs="Arial"/>
          <w:bCs/>
          <w:sz w:val="22"/>
          <w:szCs w:val="22"/>
        </w:rPr>
        <w:t>primátor hlavního města Prahy</w:t>
      </w:r>
    </w:p>
    <w:p w:rsidR="008A7B74" w:rsidRDefault="008A7B74" w:rsidP="008A7B74">
      <w:pPr>
        <w:jc w:val="both"/>
        <w:rPr>
          <w:rFonts w:ascii="Arial" w:hAnsi="Arial" w:cs="Arial"/>
          <w:bCs/>
          <w:sz w:val="22"/>
          <w:szCs w:val="22"/>
        </w:rPr>
      </w:pPr>
    </w:p>
    <w:p w:rsidR="008A7B74" w:rsidRDefault="008A7B74" w:rsidP="008A7B74">
      <w:pPr>
        <w:jc w:val="both"/>
        <w:rPr>
          <w:rFonts w:ascii="Arial" w:hAnsi="Arial" w:cs="Arial"/>
          <w:bCs/>
          <w:sz w:val="22"/>
          <w:szCs w:val="22"/>
        </w:rPr>
      </w:pPr>
    </w:p>
    <w:p w:rsidR="009142F6" w:rsidRDefault="009142F6" w:rsidP="008A7B74">
      <w:pPr>
        <w:jc w:val="both"/>
        <w:rPr>
          <w:rFonts w:ascii="Arial" w:hAnsi="Arial" w:cs="Arial"/>
          <w:bCs/>
          <w:sz w:val="22"/>
          <w:szCs w:val="22"/>
        </w:rPr>
      </w:pPr>
    </w:p>
    <w:p w:rsidR="008A7B74" w:rsidRDefault="009C16D0" w:rsidP="008A7B74">
      <w:pPr>
        <w:jc w:val="both"/>
        <w:rPr>
          <w:rFonts w:ascii="Arial" w:hAnsi="Arial" w:cs="Arial"/>
          <w:b/>
          <w:sz w:val="22"/>
          <w:szCs w:val="22"/>
          <w:u w:val="single"/>
        </w:rPr>
      </w:pPr>
      <w:r>
        <w:rPr>
          <w:rFonts w:ascii="Arial" w:hAnsi="Arial" w:cs="Arial"/>
          <w:bCs/>
          <w:sz w:val="22"/>
          <w:szCs w:val="22"/>
        </w:rPr>
        <w:t>prof. PhDr. Petr Fiala, Ph.D., LL.M.</w:t>
      </w:r>
      <w:r w:rsidR="008A7B74">
        <w:rPr>
          <w:rFonts w:ascii="Arial" w:hAnsi="Arial" w:cs="Arial"/>
          <w:bCs/>
          <w:sz w:val="22"/>
          <w:szCs w:val="22"/>
        </w:rPr>
        <w:t>, v. r.</w:t>
      </w:r>
    </w:p>
    <w:p w:rsidR="008A7B74" w:rsidRPr="00B00EF3" w:rsidRDefault="008A7B74" w:rsidP="008A7B74">
      <w:pPr>
        <w:jc w:val="both"/>
        <w:rPr>
          <w:rFonts w:ascii="Arial" w:hAnsi="Arial" w:cs="Arial"/>
          <w:bCs/>
          <w:sz w:val="22"/>
          <w:szCs w:val="22"/>
        </w:rPr>
      </w:pPr>
      <w:r>
        <w:rPr>
          <w:rFonts w:ascii="Arial" w:hAnsi="Arial" w:cs="Arial"/>
          <w:bCs/>
          <w:sz w:val="22"/>
          <w:szCs w:val="22"/>
        </w:rPr>
        <w:t>předseda vlády</w:t>
      </w:r>
    </w:p>
    <w:p w:rsidR="004A73C7" w:rsidRDefault="004A73C7"/>
    <w:sectPr w:rsidR="004A73C7" w:rsidSect="004A73C7">
      <w:headerReference w:type="even" r:id="rId7"/>
      <w:footerReference w:type="default" r:id="rId8"/>
      <w:pgSz w:w="11906" w:h="16838"/>
      <w:pgMar w:top="1304"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1F3" w:rsidRDefault="001631F3">
      <w:r>
        <w:separator/>
      </w:r>
    </w:p>
  </w:endnote>
  <w:endnote w:type="continuationSeparator" w:id="0">
    <w:p w:rsidR="001631F3" w:rsidRDefault="0016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3C7" w:rsidRDefault="004A73C7">
    <w:pPr>
      <w:pStyle w:val="Zpat"/>
      <w:jc w:val="center"/>
    </w:pPr>
    <w:r>
      <w:fldChar w:fldCharType="begin"/>
    </w:r>
    <w:r>
      <w:instrText>PAGE   \* MERGEFORMAT</w:instrText>
    </w:r>
    <w:r>
      <w:fldChar w:fldCharType="separate"/>
    </w:r>
    <w:r w:rsidR="004C4B7D">
      <w:rPr>
        <w:noProof/>
      </w:rPr>
      <w:t>2</w:t>
    </w:r>
    <w:r>
      <w:fldChar w:fldCharType="end"/>
    </w:r>
  </w:p>
  <w:p w:rsidR="004A73C7" w:rsidRDefault="004A73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1F3" w:rsidRDefault="001631F3">
      <w:r>
        <w:separator/>
      </w:r>
    </w:p>
  </w:footnote>
  <w:footnote w:type="continuationSeparator" w:id="0">
    <w:p w:rsidR="001631F3" w:rsidRDefault="00163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3C7" w:rsidRDefault="004A73C7" w:rsidP="004A73C7">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A73C7" w:rsidRDefault="004A73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B62B6"/>
    <w:multiLevelType w:val="hybridMultilevel"/>
    <w:tmpl w:val="341C9346"/>
    <w:lvl w:ilvl="0" w:tplc="7D382D70">
      <w:start w:val="1"/>
      <w:numFmt w:val="upperRoman"/>
      <w:pStyle w:val="Styl1-I"/>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C430C90"/>
    <w:multiLevelType w:val="multilevel"/>
    <w:tmpl w:val="CBF04E28"/>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674107EB"/>
    <w:multiLevelType w:val="hybridMultilevel"/>
    <w:tmpl w:val="CD6E9468"/>
    <w:lvl w:ilvl="0" w:tplc="D75EC212">
      <w:start w:val="1"/>
      <w:numFmt w:val="decimal"/>
      <w:pStyle w:val="Styl1-1"/>
      <w:lvlText w:val="%1."/>
      <w:lvlJc w:val="left"/>
      <w:pPr>
        <w:ind w:left="9433" w:hanging="360"/>
      </w:pPr>
      <w:rPr>
        <w:b w:val="0"/>
      </w:rPr>
    </w:lvl>
    <w:lvl w:ilvl="1" w:tplc="04050019" w:tentative="1">
      <w:start w:val="1"/>
      <w:numFmt w:val="lowerLetter"/>
      <w:lvlText w:val="%2."/>
      <w:lvlJc w:val="left"/>
      <w:pPr>
        <w:ind w:left="9161" w:hanging="360"/>
      </w:pPr>
    </w:lvl>
    <w:lvl w:ilvl="2" w:tplc="0405001B" w:tentative="1">
      <w:start w:val="1"/>
      <w:numFmt w:val="lowerRoman"/>
      <w:lvlText w:val="%3."/>
      <w:lvlJc w:val="right"/>
      <w:pPr>
        <w:ind w:left="9881" w:hanging="180"/>
      </w:pPr>
    </w:lvl>
    <w:lvl w:ilvl="3" w:tplc="0405000F" w:tentative="1">
      <w:start w:val="1"/>
      <w:numFmt w:val="decimal"/>
      <w:lvlText w:val="%4."/>
      <w:lvlJc w:val="left"/>
      <w:pPr>
        <w:ind w:left="10601" w:hanging="360"/>
      </w:pPr>
    </w:lvl>
    <w:lvl w:ilvl="4" w:tplc="04050019" w:tentative="1">
      <w:start w:val="1"/>
      <w:numFmt w:val="lowerLetter"/>
      <w:lvlText w:val="%5."/>
      <w:lvlJc w:val="left"/>
      <w:pPr>
        <w:ind w:left="11321" w:hanging="360"/>
      </w:pPr>
    </w:lvl>
    <w:lvl w:ilvl="5" w:tplc="0405001B" w:tentative="1">
      <w:start w:val="1"/>
      <w:numFmt w:val="lowerRoman"/>
      <w:lvlText w:val="%6."/>
      <w:lvlJc w:val="right"/>
      <w:pPr>
        <w:ind w:left="12041" w:hanging="180"/>
      </w:pPr>
    </w:lvl>
    <w:lvl w:ilvl="6" w:tplc="0405000F" w:tentative="1">
      <w:start w:val="1"/>
      <w:numFmt w:val="decimal"/>
      <w:lvlText w:val="%7."/>
      <w:lvlJc w:val="left"/>
      <w:pPr>
        <w:ind w:left="12761" w:hanging="360"/>
      </w:pPr>
    </w:lvl>
    <w:lvl w:ilvl="7" w:tplc="04050019" w:tentative="1">
      <w:start w:val="1"/>
      <w:numFmt w:val="lowerLetter"/>
      <w:lvlText w:val="%8."/>
      <w:lvlJc w:val="left"/>
      <w:pPr>
        <w:ind w:left="13481" w:hanging="360"/>
      </w:pPr>
    </w:lvl>
    <w:lvl w:ilvl="8" w:tplc="0405001B" w:tentative="1">
      <w:start w:val="1"/>
      <w:numFmt w:val="lowerRoman"/>
      <w:lvlText w:val="%9."/>
      <w:lvlJc w:val="right"/>
      <w:pPr>
        <w:ind w:left="14201" w:hanging="180"/>
      </w:pPr>
    </w:lvl>
  </w:abstractNum>
  <w:abstractNum w:abstractNumId="3" w15:restartNumberingAfterBreak="0">
    <w:nsid w:val="6A866DA0"/>
    <w:multiLevelType w:val="hybridMultilevel"/>
    <w:tmpl w:val="2BD61F94"/>
    <w:lvl w:ilvl="0" w:tplc="DDA6BCEC">
      <w:start w:val="1"/>
      <w:numFmt w:val="decimal"/>
      <w:pStyle w:val="Styl1"/>
      <w:lvlText w:val="%1."/>
      <w:lvlJc w:val="left"/>
      <w:pPr>
        <w:ind w:left="357" w:hanging="357"/>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79E92F29"/>
    <w:multiLevelType w:val="hybridMultilevel"/>
    <w:tmpl w:val="4162D226"/>
    <w:lvl w:ilvl="0" w:tplc="910018FA">
      <w:start w:val="1"/>
      <w:numFmt w:val="lowerLetter"/>
      <w:pStyle w:val="Styl1-a"/>
      <w:lvlText w:val="%1)"/>
      <w:lvlJc w:val="left"/>
      <w:pPr>
        <w:ind w:left="360" w:hanging="360"/>
      </w:pPr>
      <w:rPr>
        <w:b w:val="0"/>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lvlOverride w:ilvl="0">
      <w:lvl w:ilvl="0">
        <w:start w:val="1"/>
        <w:numFmt w:val="upperRoman"/>
        <w:pStyle w:val="StylI"/>
        <w:lvlText w:val="%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83833653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776680980"/>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833093654"/>
    </w:lvlOverride>
    <w:lvlOverride w:ilvl="8">
      <w:startOverride w:val="1"/>
    </w:lvlOverride>
  </w:num>
  <w:num w:numId="13">
    <w:abstractNumId w:val="3"/>
    <w:lvlOverride w:ilvl="0">
      <w:startOverride w:val="1"/>
    </w:lvlOverride>
  </w:num>
  <w:num w:numId="14">
    <w:abstractNumId w:val="4"/>
    <w:lvlOverride w:ilvl="0">
      <w:startOverride w:val="1"/>
    </w:lvlOverride>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B74"/>
    <w:rsid w:val="00007FAC"/>
    <w:rsid w:val="001631F3"/>
    <w:rsid w:val="00283F0F"/>
    <w:rsid w:val="00423A52"/>
    <w:rsid w:val="004A73C7"/>
    <w:rsid w:val="004C4B7D"/>
    <w:rsid w:val="004E7DC3"/>
    <w:rsid w:val="0069504E"/>
    <w:rsid w:val="00797D02"/>
    <w:rsid w:val="0082387D"/>
    <w:rsid w:val="0087768F"/>
    <w:rsid w:val="00892BC9"/>
    <w:rsid w:val="008A7B74"/>
    <w:rsid w:val="009142F6"/>
    <w:rsid w:val="009A1E8E"/>
    <w:rsid w:val="009C16D0"/>
    <w:rsid w:val="009C797F"/>
    <w:rsid w:val="00A81704"/>
    <w:rsid w:val="00AA5AED"/>
    <w:rsid w:val="00BD7FC2"/>
    <w:rsid w:val="00CC052A"/>
    <w:rsid w:val="00DC421B"/>
    <w:rsid w:val="00EE4B9E"/>
    <w:rsid w:val="00FC16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9C73BA-FACB-4BDB-A78B-9B228DA4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8A7B7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8A7B74"/>
    <w:pPr>
      <w:tabs>
        <w:tab w:val="center" w:pos="4536"/>
        <w:tab w:val="right" w:pos="9072"/>
      </w:tabs>
    </w:pPr>
  </w:style>
  <w:style w:type="character" w:customStyle="1" w:styleId="ZhlavChar">
    <w:name w:val="Záhlaví Char"/>
    <w:basedOn w:val="Standardnpsmoodstavce"/>
    <w:link w:val="Zhlav"/>
    <w:rsid w:val="008A7B74"/>
    <w:rPr>
      <w:rFonts w:ascii="Times New Roman" w:eastAsia="Times New Roman" w:hAnsi="Times New Roman" w:cs="Times New Roman"/>
      <w:sz w:val="20"/>
      <w:szCs w:val="20"/>
      <w:lang w:eastAsia="cs-CZ"/>
    </w:rPr>
  </w:style>
  <w:style w:type="character" w:styleId="slostrnky">
    <w:name w:val="page number"/>
    <w:basedOn w:val="Standardnpsmoodstavce"/>
    <w:rsid w:val="008A7B74"/>
  </w:style>
  <w:style w:type="paragraph" w:styleId="Zpat">
    <w:name w:val="footer"/>
    <w:basedOn w:val="Normln"/>
    <w:link w:val="ZpatChar"/>
    <w:uiPriority w:val="99"/>
    <w:rsid w:val="008A7B74"/>
    <w:pPr>
      <w:tabs>
        <w:tab w:val="center" w:pos="4536"/>
        <w:tab w:val="right" w:pos="9072"/>
      </w:tabs>
    </w:pPr>
  </w:style>
  <w:style w:type="character" w:customStyle="1" w:styleId="ZpatChar">
    <w:name w:val="Zápatí Char"/>
    <w:basedOn w:val="Standardnpsmoodstavce"/>
    <w:link w:val="Zpat"/>
    <w:uiPriority w:val="99"/>
    <w:rsid w:val="008A7B74"/>
    <w:rPr>
      <w:rFonts w:ascii="Times New Roman" w:eastAsia="Times New Roman" w:hAnsi="Times New Roman" w:cs="Times New Roman"/>
      <w:sz w:val="20"/>
      <w:szCs w:val="20"/>
      <w:lang w:eastAsia="cs-CZ"/>
    </w:rPr>
  </w:style>
  <w:style w:type="paragraph" w:customStyle="1" w:styleId="Styl1-I">
    <w:name w:val="Styl1 - I."/>
    <w:basedOn w:val="Normln"/>
    <w:link w:val="Styl1-IChar"/>
    <w:qFormat/>
    <w:rsid w:val="008A7B74"/>
    <w:pPr>
      <w:numPr>
        <w:numId w:val="1"/>
      </w:numPr>
      <w:spacing w:before="120" w:after="240"/>
      <w:ind w:left="357" w:hanging="357"/>
      <w:jc w:val="both"/>
    </w:pPr>
    <w:rPr>
      <w:rFonts w:ascii="Arial" w:hAnsi="Arial" w:cs="Arial"/>
      <w:sz w:val="22"/>
      <w:szCs w:val="22"/>
    </w:rPr>
  </w:style>
  <w:style w:type="paragraph" w:customStyle="1" w:styleId="Styl1-1">
    <w:name w:val="Styl1 - 1."/>
    <w:basedOn w:val="Normln"/>
    <w:link w:val="Styl1-1Char"/>
    <w:qFormat/>
    <w:rsid w:val="008A7B74"/>
    <w:pPr>
      <w:numPr>
        <w:numId w:val="2"/>
      </w:numPr>
      <w:spacing w:before="120" w:after="240"/>
      <w:ind w:left="357" w:hanging="357"/>
      <w:jc w:val="both"/>
    </w:pPr>
    <w:rPr>
      <w:rFonts w:ascii="Arial" w:hAnsi="Arial" w:cs="Arial"/>
      <w:sz w:val="22"/>
      <w:szCs w:val="22"/>
    </w:rPr>
  </w:style>
  <w:style w:type="character" w:customStyle="1" w:styleId="Styl1-IChar">
    <w:name w:val="Styl1 - I. Char"/>
    <w:link w:val="Styl1-I"/>
    <w:rsid w:val="008A7B74"/>
    <w:rPr>
      <w:rFonts w:ascii="Arial" w:eastAsia="Times New Roman" w:hAnsi="Arial" w:cs="Arial"/>
      <w:lang w:eastAsia="cs-CZ"/>
    </w:rPr>
  </w:style>
  <w:style w:type="paragraph" w:customStyle="1" w:styleId="Styl1-a">
    <w:name w:val="Styl1 - a)"/>
    <w:basedOn w:val="Styl1-1"/>
    <w:link w:val="Styl1-aChar"/>
    <w:qFormat/>
    <w:rsid w:val="008A7B74"/>
    <w:pPr>
      <w:numPr>
        <w:numId w:val="3"/>
      </w:numPr>
      <w:ind w:left="357" w:hanging="357"/>
    </w:pPr>
  </w:style>
  <w:style w:type="character" w:customStyle="1" w:styleId="Styl1-1Char">
    <w:name w:val="Styl1 - 1. Char"/>
    <w:link w:val="Styl1-1"/>
    <w:rsid w:val="008A7B74"/>
    <w:rPr>
      <w:rFonts w:ascii="Arial" w:eastAsia="Times New Roman" w:hAnsi="Arial" w:cs="Arial"/>
      <w:lang w:eastAsia="cs-CZ"/>
    </w:rPr>
  </w:style>
  <w:style w:type="paragraph" w:customStyle="1" w:styleId="Styl1-Nzevmaterilu">
    <w:name w:val="Styl1 - Název materiálu"/>
    <w:basedOn w:val="Normln"/>
    <w:link w:val="Styl1-NzevmateriluChar"/>
    <w:qFormat/>
    <w:rsid w:val="008A7B74"/>
    <w:pPr>
      <w:jc w:val="center"/>
    </w:pPr>
    <w:rPr>
      <w:rFonts w:ascii="Arial" w:hAnsi="Arial" w:cs="Arial"/>
      <w:b/>
      <w:noProof/>
      <w:sz w:val="22"/>
      <w:szCs w:val="24"/>
    </w:rPr>
  </w:style>
  <w:style w:type="character" w:customStyle="1" w:styleId="Styl1-aChar">
    <w:name w:val="Styl1 - a) Char"/>
    <w:basedOn w:val="Styl1-1Char"/>
    <w:link w:val="Styl1-a"/>
    <w:rsid w:val="008A7B74"/>
    <w:rPr>
      <w:rFonts w:ascii="Arial" w:eastAsia="Times New Roman" w:hAnsi="Arial" w:cs="Arial"/>
      <w:lang w:eastAsia="cs-CZ"/>
    </w:rPr>
  </w:style>
  <w:style w:type="character" w:customStyle="1" w:styleId="Styl1-NzevmateriluChar">
    <w:name w:val="Styl1 - Název materiálu Char"/>
    <w:link w:val="Styl1-Nzevmaterilu"/>
    <w:rsid w:val="008A7B74"/>
    <w:rPr>
      <w:rFonts w:ascii="Arial" w:eastAsia="Times New Roman" w:hAnsi="Arial" w:cs="Arial"/>
      <w:b/>
      <w:noProof/>
      <w:szCs w:val="24"/>
      <w:lang w:eastAsia="cs-CZ"/>
    </w:rPr>
  </w:style>
  <w:style w:type="numbering" w:customStyle="1" w:styleId="StylI-aa">
    <w:name w:val="Styl I-aa)"/>
    <w:uiPriority w:val="99"/>
    <w:rsid w:val="008A7B74"/>
    <w:pPr>
      <w:numPr>
        <w:numId w:val="15"/>
      </w:numPr>
    </w:pPr>
  </w:style>
  <w:style w:type="paragraph" w:customStyle="1" w:styleId="StylI">
    <w:name w:val="Styl I."/>
    <w:basedOn w:val="Odstavecseseznamem"/>
    <w:link w:val="StylIChar"/>
    <w:qFormat/>
    <w:rsid w:val="008A7B74"/>
    <w:pPr>
      <w:numPr>
        <w:numId w:val="4"/>
      </w:numPr>
      <w:overflowPunct/>
      <w:autoSpaceDE/>
      <w:autoSpaceDN/>
      <w:adjustRightInd/>
      <w:spacing w:before="120" w:after="240"/>
      <w:ind w:left="357" w:hanging="357"/>
      <w:contextualSpacing w:val="0"/>
      <w:jc w:val="both"/>
      <w:textAlignment w:val="auto"/>
    </w:pPr>
    <w:rPr>
      <w:rFonts w:ascii="Arial" w:eastAsia="Calibri" w:hAnsi="Arial" w:cs="Arial"/>
      <w:sz w:val="22"/>
      <w:szCs w:val="22"/>
      <w:lang w:eastAsia="en-US"/>
    </w:rPr>
  </w:style>
  <w:style w:type="character" w:customStyle="1" w:styleId="StylIChar">
    <w:name w:val="Styl I. Char"/>
    <w:link w:val="StylI"/>
    <w:rsid w:val="008A7B74"/>
    <w:rPr>
      <w:rFonts w:ascii="Arial" w:eastAsia="Calibri" w:hAnsi="Arial" w:cs="Arial"/>
    </w:rPr>
  </w:style>
  <w:style w:type="paragraph" w:customStyle="1" w:styleId="Stylaa">
    <w:name w:val="Styl aa)"/>
    <w:basedOn w:val="Odstavecseseznamem"/>
    <w:qFormat/>
    <w:rsid w:val="008A7B74"/>
    <w:pPr>
      <w:numPr>
        <w:ilvl w:val="3"/>
        <w:numId w:val="4"/>
      </w:numPr>
      <w:tabs>
        <w:tab w:val="num" w:pos="360"/>
      </w:tabs>
      <w:overflowPunct/>
      <w:autoSpaceDE/>
      <w:autoSpaceDN/>
      <w:adjustRightInd/>
      <w:spacing w:before="120" w:after="240"/>
      <w:ind w:left="357" w:hanging="357"/>
      <w:contextualSpacing w:val="0"/>
      <w:jc w:val="both"/>
      <w:textAlignment w:val="auto"/>
    </w:pPr>
    <w:rPr>
      <w:rFonts w:ascii="Arial" w:eastAsia="Calibri" w:hAnsi="Arial" w:cs="Arial"/>
      <w:sz w:val="22"/>
      <w:szCs w:val="22"/>
      <w:lang w:eastAsia="en-US"/>
    </w:rPr>
  </w:style>
  <w:style w:type="paragraph" w:customStyle="1" w:styleId="Styla">
    <w:name w:val="Styl a)"/>
    <w:basedOn w:val="Odstavecseseznamem"/>
    <w:link w:val="StylaChar"/>
    <w:qFormat/>
    <w:rsid w:val="008A7B74"/>
    <w:pPr>
      <w:numPr>
        <w:ilvl w:val="2"/>
        <w:numId w:val="4"/>
      </w:numPr>
      <w:overflowPunct/>
      <w:autoSpaceDE/>
      <w:autoSpaceDN/>
      <w:adjustRightInd/>
      <w:spacing w:before="120" w:after="240"/>
      <w:ind w:left="357" w:hanging="357"/>
      <w:contextualSpacing w:val="0"/>
      <w:jc w:val="both"/>
      <w:textAlignment w:val="auto"/>
    </w:pPr>
    <w:rPr>
      <w:rFonts w:ascii="Arial" w:eastAsia="Calibri" w:hAnsi="Arial" w:cs="Arial"/>
      <w:sz w:val="22"/>
      <w:szCs w:val="22"/>
      <w:lang w:eastAsia="en-US"/>
    </w:rPr>
  </w:style>
  <w:style w:type="character" w:customStyle="1" w:styleId="StylaChar">
    <w:name w:val="Styl a) Char"/>
    <w:link w:val="Styla"/>
    <w:rsid w:val="008A7B74"/>
    <w:rPr>
      <w:rFonts w:ascii="Arial" w:eastAsia="Calibri" w:hAnsi="Arial" w:cs="Arial"/>
    </w:rPr>
  </w:style>
  <w:style w:type="character" w:customStyle="1" w:styleId="Styl1Char">
    <w:name w:val="Styl   1. Char"/>
    <w:link w:val="Styl1"/>
    <w:locked/>
    <w:rsid w:val="008A7B74"/>
    <w:rPr>
      <w:rFonts w:ascii="Arial" w:eastAsia="Calibri" w:hAnsi="Arial" w:cs="Arial"/>
    </w:rPr>
  </w:style>
  <w:style w:type="paragraph" w:customStyle="1" w:styleId="Styl1">
    <w:name w:val="Styl   1."/>
    <w:basedOn w:val="Normln"/>
    <w:link w:val="Styl1Char"/>
    <w:qFormat/>
    <w:rsid w:val="008A7B74"/>
    <w:pPr>
      <w:numPr>
        <w:numId w:val="9"/>
      </w:numPr>
      <w:overflowPunct/>
      <w:autoSpaceDE/>
      <w:autoSpaceDN/>
      <w:adjustRightInd/>
      <w:spacing w:before="120" w:after="240"/>
      <w:jc w:val="both"/>
      <w:textAlignment w:val="auto"/>
    </w:pPr>
    <w:rPr>
      <w:rFonts w:ascii="Arial" w:eastAsia="Calibri" w:hAnsi="Arial" w:cs="Arial"/>
      <w:sz w:val="22"/>
      <w:szCs w:val="22"/>
      <w:lang w:eastAsia="en-US"/>
    </w:rPr>
  </w:style>
  <w:style w:type="paragraph" w:styleId="Odstavecseseznamem">
    <w:name w:val="List Paragraph"/>
    <w:basedOn w:val="Normln"/>
    <w:uiPriority w:val="34"/>
    <w:qFormat/>
    <w:rsid w:val="008A7B74"/>
    <w:pPr>
      <w:ind w:left="720"/>
      <w:contextualSpacing/>
    </w:p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BD7FC2"/>
    <w:pPr>
      <w:overflowPunct/>
      <w:autoSpaceDE/>
      <w:autoSpaceDN/>
      <w:adjustRightInd/>
      <w:spacing w:after="160" w:line="240" w:lineRule="exact"/>
      <w:textAlignment w:val="auto"/>
    </w:pPr>
    <w:rPr>
      <w:rFonts w:ascii="Times New Roman Bold" w:hAnsi="Times New Roman Bold"/>
      <w:sz w:val="22"/>
      <w:szCs w:val="26"/>
      <w:lang w:val="sk-SK" w:eastAsia="en-US"/>
    </w:rPr>
  </w:style>
  <w:style w:type="paragraph" w:styleId="Textbubliny">
    <w:name w:val="Balloon Text"/>
    <w:basedOn w:val="Normln"/>
    <w:link w:val="TextbublinyChar"/>
    <w:uiPriority w:val="99"/>
    <w:semiHidden/>
    <w:unhideWhenUsed/>
    <w:rsid w:val="00DC421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C421B"/>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1421</Words>
  <Characters>8386</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Lankaš Zdeněk JUDr.</dc:creator>
  <cp:lastModifiedBy>Šiman Jiří Ing.</cp:lastModifiedBy>
  <cp:revision>7</cp:revision>
  <cp:lastPrinted>2022-02-07T14:36:00Z</cp:lastPrinted>
  <dcterms:created xsi:type="dcterms:W3CDTF">2022-01-07T08:08:00Z</dcterms:created>
  <dcterms:modified xsi:type="dcterms:W3CDTF">2022-02-07T14:36:00Z</dcterms:modified>
</cp:coreProperties>
</file>