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3CB17" w14:textId="70040FC3" w:rsidR="00F37D3C" w:rsidRDefault="00494F50" w:rsidP="00697476">
      <w:pPr>
        <w:pStyle w:val="Nadpis1"/>
        <w:ind w:left="-567"/>
        <w:jc w:val="center"/>
      </w:pPr>
      <w:bookmarkStart w:id="0" w:name="_Toc172709950"/>
      <w:bookmarkStart w:id="1" w:name="_Toc172710064"/>
      <w:r>
        <w:t>P</w:t>
      </w:r>
      <w:r w:rsidRPr="00494F50">
        <w:t>riorit</w:t>
      </w:r>
      <w:r>
        <w:t>y</w:t>
      </w:r>
      <w:r w:rsidRPr="00494F50">
        <w:t xml:space="preserve"> prevence rizik vzniku poškození</w:t>
      </w:r>
      <w:r>
        <w:t xml:space="preserve"> </w:t>
      </w:r>
      <w:r w:rsidRPr="00494F50">
        <w:t>zdraví zaměstnanců následkem pracovního úrazu nebo nemocí z</w:t>
      </w:r>
      <w:r>
        <w:t> </w:t>
      </w:r>
      <w:r w:rsidRPr="00494F50">
        <w:t>povolání</w:t>
      </w:r>
      <w:r>
        <w:t xml:space="preserve"> pro rok 2025</w:t>
      </w:r>
      <w:bookmarkEnd w:id="0"/>
      <w:bookmarkEnd w:id="1"/>
    </w:p>
    <w:p w14:paraId="089F041E" w14:textId="77777777" w:rsidR="00494F50" w:rsidRDefault="00494F50" w:rsidP="00494F50">
      <w:pPr>
        <w:pStyle w:val="Odstavecseseznamem"/>
        <w:spacing w:after="0"/>
        <w:ind w:left="1080" w:right="-992"/>
        <w:jc w:val="both"/>
        <w:rPr>
          <w:rFonts w:ascii="Calibri" w:hAnsi="Calibri" w:cs="Calibri"/>
          <w:b/>
          <w:iCs/>
          <w:sz w:val="28"/>
          <w:szCs w:val="28"/>
          <w:u w:val="single"/>
        </w:rPr>
      </w:pPr>
    </w:p>
    <w:p w14:paraId="3718998B" w14:textId="406833E9" w:rsidR="00F02A45" w:rsidRDefault="00F02A45">
      <w:pPr>
        <w:pStyle w:val="Obsah1"/>
        <w:tabs>
          <w:tab w:val="right" w:leader="dot" w:pos="9204"/>
        </w:tabs>
        <w:rPr>
          <w:rFonts w:eastAsiaTheme="minorEastAsia"/>
          <w:noProof/>
          <w:kern w:val="2"/>
          <w:sz w:val="24"/>
          <w:szCs w:val="24"/>
          <w:lang w:eastAsia="cs-CZ"/>
          <w14:ligatures w14:val="standardContextual"/>
        </w:rPr>
      </w:pPr>
      <w:r>
        <w:rPr>
          <w:rFonts w:ascii="Calibri" w:hAnsi="Calibri" w:cs="Calibri"/>
          <w:b/>
          <w:iCs/>
          <w:sz w:val="28"/>
          <w:szCs w:val="28"/>
          <w:u w:val="single"/>
        </w:rPr>
        <w:fldChar w:fldCharType="begin"/>
      </w:r>
      <w:r>
        <w:rPr>
          <w:rFonts w:ascii="Calibri" w:hAnsi="Calibri" w:cs="Calibri"/>
          <w:b/>
          <w:iCs/>
          <w:sz w:val="28"/>
          <w:szCs w:val="28"/>
          <w:u w:val="single"/>
        </w:rPr>
        <w:instrText xml:space="preserve"> TOC \o "1-2" \h \z \u </w:instrText>
      </w:r>
      <w:r>
        <w:rPr>
          <w:rFonts w:ascii="Calibri" w:hAnsi="Calibri" w:cs="Calibri"/>
          <w:b/>
          <w:iCs/>
          <w:sz w:val="28"/>
          <w:szCs w:val="28"/>
          <w:u w:val="single"/>
        </w:rPr>
        <w:fldChar w:fldCharType="separate"/>
      </w:r>
      <w:hyperlink w:anchor="_Toc172710064" w:history="1">
        <w:r w:rsidR="0073684D">
          <w:rPr>
            <w:rStyle w:val="Hypertextovodkaz"/>
            <w:noProof/>
          </w:rPr>
          <w:t>Obsah</w:t>
        </w:r>
        <w:r w:rsidR="00663EE5">
          <w:rPr>
            <w:rStyle w:val="Hypertextovodkaz"/>
            <w:noProof/>
          </w:rPr>
          <w:t xml:space="preserve">………………………………………………………………………………………………………………………………………………….. </w:t>
        </w:r>
        <w:r>
          <w:rPr>
            <w:noProof/>
            <w:webHidden/>
          </w:rPr>
          <w:fldChar w:fldCharType="begin"/>
        </w:r>
        <w:r>
          <w:rPr>
            <w:noProof/>
            <w:webHidden/>
          </w:rPr>
          <w:instrText xml:space="preserve"> PAGEREF _Toc172710064 \h </w:instrText>
        </w:r>
        <w:r>
          <w:rPr>
            <w:noProof/>
            <w:webHidden/>
          </w:rPr>
        </w:r>
        <w:r>
          <w:rPr>
            <w:noProof/>
            <w:webHidden/>
          </w:rPr>
          <w:fldChar w:fldCharType="separate"/>
        </w:r>
        <w:r>
          <w:rPr>
            <w:noProof/>
            <w:webHidden/>
          </w:rPr>
          <w:t>1</w:t>
        </w:r>
        <w:r>
          <w:rPr>
            <w:noProof/>
            <w:webHidden/>
          </w:rPr>
          <w:fldChar w:fldCharType="end"/>
        </w:r>
      </w:hyperlink>
    </w:p>
    <w:p w14:paraId="45C7479B" w14:textId="4B66AE2B" w:rsidR="00F02A45" w:rsidRDefault="00000000">
      <w:pPr>
        <w:pStyle w:val="Obsah2"/>
        <w:tabs>
          <w:tab w:val="left" w:pos="720"/>
          <w:tab w:val="right" w:leader="dot" w:pos="9204"/>
        </w:tabs>
        <w:rPr>
          <w:rFonts w:eastAsiaTheme="minorEastAsia"/>
          <w:noProof/>
          <w:kern w:val="2"/>
          <w:sz w:val="24"/>
          <w:szCs w:val="24"/>
          <w:lang w:eastAsia="cs-CZ"/>
          <w14:ligatures w14:val="standardContextual"/>
        </w:rPr>
      </w:pPr>
      <w:hyperlink w:anchor="_Toc172710065" w:history="1">
        <w:r w:rsidR="00F02A45" w:rsidRPr="00B9183A">
          <w:rPr>
            <w:rStyle w:val="Hypertextovodkaz"/>
            <w:noProof/>
          </w:rPr>
          <w:t>1.</w:t>
        </w:r>
        <w:r w:rsidR="00F02A45">
          <w:rPr>
            <w:rFonts w:eastAsiaTheme="minorEastAsia"/>
            <w:noProof/>
            <w:kern w:val="2"/>
            <w:sz w:val="24"/>
            <w:szCs w:val="24"/>
            <w:lang w:eastAsia="cs-CZ"/>
            <w14:ligatures w14:val="standardContextual"/>
          </w:rPr>
          <w:tab/>
        </w:r>
        <w:r w:rsidR="00F02A45" w:rsidRPr="00B9183A">
          <w:rPr>
            <w:rStyle w:val="Hypertextovodkaz"/>
            <w:noProof/>
          </w:rPr>
          <w:t>Prevence rizik v zemědělství</w:t>
        </w:r>
        <w:r w:rsidR="00F02A45">
          <w:rPr>
            <w:noProof/>
            <w:webHidden/>
          </w:rPr>
          <w:tab/>
        </w:r>
        <w:r w:rsidR="00F02A45">
          <w:rPr>
            <w:noProof/>
            <w:webHidden/>
          </w:rPr>
          <w:fldChar w:fldCharType="begin"/>
        </w:r>
        <w:r w:rsidR="00F02A45">
          <w:rPr>
            <w:noProof/>
            <w:webHidden/>
          </w:rPr>
          <w:instrText xml:space="preserve"> PAGEREF _Toc172710065 \h </w:instrText>
        </w:r>
        <w:r w:rsidR="00F02A45">
          <w:rPr>
            <w:noProof/>
            <w:webHidden/>
          </w:rPr>
        </w:r>
        <w:r w:rsidR="00F02A45">
          <w:rPr>
            <w:noProof/>
            <w:webHidden/>
          </w:rPr>
          <w:fldChar w:fldCharType="separate"/>
        </w:r>
        <w:r w:rsidR="00F02A45">
          <w:rPr>
            <w:noProof/>
            <w:webHidden/>
          </w:rPr>
          <w:t>1</w:t>
        </w:r>
        <w:r w:rsidR="00F02A45">
          <w:rPr>
            <w:noProof/>
            <w:webHidden/>
          </w:rPr>
          <w:fldChar w:fldCharType="end"/>
        </w:r>
      </w:hyperlink>
    </w:p>
    <w:p w14:paraId="0912E48C" w14:textId="3E0B4AB9" w:rsidR="00F02A45" w:rsidRDefault="00000000">
      <w:pPr>
        <w:pStyle w:val="Obsah2"/>
        <w:tabs>
          <w:tab w:val="left" w:pos="720"/>
          <w:tab w:val="right" w:leader="dot" w:pos="9204"/>
        </w:tabs>
        <w:rPr>
          <w:rFonts w:eastAsiaTheme="minorEastAsia"/>
          <w:noProof/>
          <w:kern w:val="2"/>
          <w:sz w:val="24"/>
          <w:szCs w:val="24"/>
          <w:lang w:eastAsia="cs-CZ"/>
          <w14:ligatures w14:val="standardContextual"/>
        </w:rPr>
      </w:pPr>
      <w:hyperlink w:anchor="_Toc172710066" w:history="1">
        <w:r w:rsidR="00F02A45" w:rsidRPr="00B9183A">
          <w:rPr>
            <w:rStyle w:val="Hypertextovodkaz"/>
            <w:rFonts w:eastAsia="Times New Roman"/>
            <w:noProof/>
            <w:lang w:eastAsia="cs-CZ"/>
          </w:rPr>
          <w:t>2.</w:t>
        </w:r>
        <w:r w:rsidR="00F02A45">
          <w:rPr>
            <w:rFonts w:eastAsiaTheme="minorEastAsia"/>
            <w:noProof/>
            <w:kern w:val="2"/>
            <w:sz w:val="24"/>
            <w:szCs w:val="24"/>
            <w:lang w:eastAsia="cs-CZ"/>
            <w14:ligatures w14:val="standardContextual"/>
          </w:rPr>
          <w:tab/>
        </w:r>
        <w:r w:rsidR="00F02A45" w:rsidRPr="00B9183A">
          <w:rPr>
            <w:rStyle w:val="Hypertextovodkaz"/>
            <w:rFonts w:eastAsia="Times New Roman"/>
            <w:noProof/>
            <w:lang w:eastAsia="cs-CZ"/>
          </w:rPr>
          <w:t>Prevence rizik v lesnictví</w:t>
        </w:r>
        <w:r w:rsidR="00F02A45">
          <w:rPr>
            <w:noProof/>
            <w:webHidden/>
          </w:rPr>
          <w:tab/>
        </w:r>
        <w:r w:rsidR="00F02A45">
          <w:rPr>
            <w:noProof/>
            <w:webHidden/>
          </w:rPr>
          <w:fldChar w:fldCharType="begin"/>
        </w:r>
        <w:r w:rsidR="00F02A45">
          <w:rPr>
            <w:noProof/>
            <w:webHidden/>
          </w:rPr>
          <w:instrText xml:space="preserve"> PAGEREF _Toc172710066 \h </w:instrText>
        </w:r>
        <w:r w:rsidR="00F02A45">
          <w:rPr>
            <w:noProof/>
            <w:webHidden/>
          </w:rPr>
        </w:r>
        <w:r w:rsidR="00F02A45">
          <w:rPr>
            <w:noProof/>
            <w:webHidden/>
          </w:rPr>
          <w:fldChar w:fldCharType="separate"/>
        </w:r>
        <w:r w:rsidR="00F02A45">
          <w:rPr>
            <w:noProof/>
            <w:webHidden/>
          </w:rPr>
          <w:t>2</w:t>
        </w:r>
        <w:r w:rsidR="00F02A45">
          <w:rPr>
            <w:noProof/>
            <w:webHidden/>
          </w:rPr>
          <w:fldChar w:fldCharType="end"/>
        </w:r>
      </w:hyperlink>
    </w:p>
    <w:p w14:paraId="34D67D2B" w14:textId="5448DD43" w:rsidR="00F02A45" w:rsidRDefault="00000000">
      <w:pPr>
        <w:pStyle w:val="Obsah2"/>
        <w:tabs>
          <w:tab w:val="left" w:pos="720"/>
          <w:tab w:val="right" w:leader="dot" w:pos="9204"/>
        </w:tabs>
        <w:rPr>
          <w:rFonts w:eastAsiaTheme="minorEastAsia"/>
          <w:noProof/>
          <w:kern w:val="2"/>
          <w:sz w:val="24"/>
          <w:szCs w:val="24"/>
          <w:lang w:eastAsia="cs-CZ"/>
          <w14:ligatures w14:val="standardContextual"/>
        </w:rPr>
      </w:pPr>
      <w:hyperlink w:anchor="_Toc172710067" w:history="1">
        <w:r w:rsidR="00F02A45" w:rsidRPr="00B9183A">
          <w:rPr>
            <w:rStyle w:val="Hypertextovodkaz"/>
            <w:noProof/>
          </w:rPr>
          <w:t>3.</w:t>
        </w:r>
        <w:r w:rsidR="00F02A45">
          <w:rPr>
            <w:rFonts w:eastAsiaTheme="minorEastAsia"/>
            <w:noProof/>
            <w:kern w:val="2"/>
            <w:sz w:val="24"/>
            <w:szCs w:val="24"/>
            <w:lang w:eastAsia="cs-CZ"/>
            <w14:ligatures w14:val="standardContextual"/>
          </w:rPr>
          <w:tab/>
        </w:r>
        <w:r w:rsidR="00F02A45" w:rsidRPr="00B9183A">
          <w:rPr>
            <w:rStyle w:val="Hypertextovodkaz"/>
            <w:noProof/>
          </w:rPr>
          <w:t>Prevence rizik ve stavebnictví</w:t>
        </w:r>
        <w:r w:rsidR="00F02A45">
          <w:rPr>
            <w:noProof/>
            <w:webHidden/>
          </w:rPr>
          <w:tab/>
        </w:r>
        <w:r w:rsidR="00F02A45">
          <w:rPr>
            <w:noProof/>
            <w:webHidden/>
          </w:rPr>
          <w:fldChar w:fldCharType="begin"/>
        </w:r>
        <w:r w:rsidR="00F02A45">
          <w:rPr>
            <w:noProof/>
            <w:webHidden/>
          </w:rPr>
          <w:instrText xml:space="preserve"> PAGEREF _Toc172710067 \h </w:instrText>
        </w:r>
        <w:r w:rsidR="00F02A45">
          <w:rPr>
            <w:noProof/>
            <w:webHidden/>
          </w:rPr>
        </w:r>
        <w:r w:rsidR="00F02A45">
          <w:rPr>
            <w:noProof/>
            <w:webHidden/>
          </w:rPr>
          <w:fldChar w:fldCharType="separate"/>
        </w:r>
        <w:r w:rsidR="00F02A45">
          <w:rPr>
            <w:noProof/>
            <w:webHidden/>
          </w:rPr>
          <w:t>3</w:t>
        </w:r>
        <w:r w:rsidR="00F02A45">
          <w:rPr>
            <w:noProof/>
            <w:webHidden/>
          </w:rPr>
          <w:fldChar w:fldCharType="end"/>
        </w:r>
      </w:hyperlink>
    </w:p>
    <w:p w14:paraId="238C97D7" w14:textId="621A6CCC" w:rsidR="00F02A45" w:rsidRDefault="00000000">
      <w:pPr>
        <w:pStyle w:val="Obsah2"/>
        <w:tabs>
          <w:tab w:val="left" w:pos="720"/>
          <w:tab w:val="right" w:leader="dot" w:pos="9204"/>
        </w:tabs>
        <w:rPr>
          <w:rFonts w:eastAsiaTheme="minorEastAsia"/>
          <w:noProof/>
          <w:kern w:val="2"/>
          <w:sz w:val="24"/>
          <w:szCs w:val="24"/>
          <w:lang w:eastAsia="cs-CZ"/>
          <w14:ligatures w14:val="standardContextual"/>
        </w:rPr>
      </w:pPr>
      <w:hyperlink w:anchor="_Toc172710068" w:history="1">
        <w:r w:rsidR="00F02A45" w:rsidRPr="00B9183A">
          <w:rPr>
            <w:rStyle w:val="Hypertextovodkaz"/>
            <w:noProof/>
          </w:rPr>
          <w:t>4.</w:t>
        </w:r>
        <w:r w:rsidR="00F02A45">
          <w:rPr>
            <w:rFonts w:eastAsiaTheme="minorEastAsia"/>
            <w:noProof/>
            <w:kern w:val="2"/>
            <w:sz w:val="24"/>
            <w:szCs w:val="24"/>
            <w:lang w:eastAsia="cs-CZ"/>
            <w14:ligatures w14:val="standardContextual"/>
          </w:rPr>
          <w:tab/>
        </w:r>
        <w:r w:rsidR="00F02A45" w:rsidRPr="00B9183A">
          <w:rPr>
            <w:rStyle w:val="Hypertextovodkaz"/>
            <w:noProof/>
          </w:rPr>
          <w:t>Prevence rizik při provozování elektrických zařízení a vyhrazených elektrických zařízeních</w:t>
        </w:r>
        <w:r w:rsidR="00F02A45">
          <w:rPr>
            <w:noProof/>
            <w:webHidden/>
          </w:rPr>
          <w:tab/>
        </w:r>
        <w:r w:rsidR="00F02A45">
          <w:rPr>
            <w:noProof/>
            <w:webHidden/>
          </w:rPr>
          <w:fldChar w:fldCharType="begin"/>
        </w:r>
        <w:r w:rsidR="00F02A45">
          <w:rPr>
            <w:noProof/>
            <w:webHidden/>
          </w:rPr>
          <w:instrText xml:space="preserve"> PAGEREF _Toc172710068 \h </w:instrText>
        </w:r>
        <w:r w:rsidR="00F02A45">
          <w:rPr>
            <w:noProof/>
            <w:webHidden/>
          </w:rPr>
        </w:r>
        <w:r w:rsidR="00F02A45">
          <w:rPr>
            <w:noProof/>
            <w:webHidden/>
          </w:rPr>
          <w:fldChar w:fldCharType="separate"/>
        </w:r>
        <w:r w:rsidR="00F02A45">
          <w:rPr>
            <w:noProof/>
            <w:webHidden/>
          </w:rPr>
          <w:t>5</w:t>
        </w:r>
        <w:r w:rsidR="00F02A45">
          <w:rPr>
            <w:noProof/>
            <w:webHidden/>
          </w:rPr>
          <w:fldChar w:fldCharType="end"/>
        </w:r>
      </w:hyperlink>
    </w:p>
    <w:p w14:paraId="63A9D5F1" w14:textId="48B8589C" w:rsidR="00F02A45" w:rsidRDefault="00000000">
      <w:pPr>
        <w:pStyle w:val="Obsah2"/>
        <w:tabs>
          <w:tab w:val="left" w:pos="720"/>
          <w:tab w:val="right" w:leader="dot" w:pos="9204"/>
        </w:tabs>
        <w:rPr>
          <w:rFonts w:eastAsiaTheme="minorEastAsia"/>
          <w:noProof/>
          <w:kern w:val="2"/>
          <w:sz w:val="24"/>
          <w:szCs w:val="24"/>
          <w:lang w:eastAsia="cs-CZ"/>
          <w14:ligatures w14:val="standardContextual"/>
        </w:rPr>
      </w:pPr>
      <w:hyperlink w:anchor="_Toc172710069" w:history="1">
        <w:r w:rsidR="00F02A45" w:rsidRPr="00B9183A">
          <w:rPr>
            <w:rStyle w:val="Hypertextovodkaz"/>
            <w:noProof/>
          </w:rPr>
          <w:t>5.</w:t>
        </w:r>
        <w:r w:rsidR="00F02A45">
          <w:rPr>
            <w:rFonts w:eastAsiaTheme="minorEastAsia"/>
            <w:noProof/>
            <w:kern w:val="2"/>
            <w:sz w:val="24"/>
            <w:szCs w:val="24"/>
            <w:lang w:eastAsia="cs-CZ"/>
            <w14:ligatures w14:val="standardContextual"/>
          </w:rPr>
          <w:tab/>
        </w:r>
        <w:r w:rsidR="00F02A45" w:rsidRPr="00B9183A">
          <w:rPr>
            <w:rStyle w:val="Hypertextovodkaz"/>
            <w:noProof/>
          </w:rPr>
          <w:t>Prevence rizik při nakládání s chemickými látkami a směsmi</w:t>
        </w:r>
        <w:r w:rsidR="00F02A45">
          <w:rPr>
            <w:noProof/>
            <w:webHidden/>
          </w:rPr>
          <w:tab/>
        </w:r>
        <w:r w:rsidR="00F02A45">
          <w:rPr>
            <w:noProof/>
            <w:webHidden/>
          </w:rPr>
          <w:fldChar w:fldCharType="begin"/>
        </w:r>
        <w:r w:rsidR="00F02A45">
          <w:rPr>
            <w:noProof/>
            <w:webHidden/>
          </w:rPr>
          <w:instrText xml:space="preserve"> PAGEREF _Toc172710069 \h </w:instrText>
        </w:r>
        <w:r w:rsidR="00F02A45">
          <w:rPr>
            <w:noProof/>
            <w:webHidden/>
          </w:rPr>
        </w:r>
        <w:r w:rsidR="00F02A45">
          <w:rPr>
            <w:noProof/>
            <w:webHidden/>
          </w:rPr>
          <w:fldChar w:fldCharType="separate"/>
        </w:r>
        <w:r w:rsidR="00F02A45">
          <w:rPr>
            <w:noProof/>
            <w:webHidden/>
          </w:rPr>
          <w:t>6</w:t>
        </w:r>
        <w:r w:rsidR="00F02A45">
          <w:rPr>
            <w:noProof/>
            <w:webHidden/>
          </w:rPr>
          <w:fldChar w:fldCharType="end"/>
        </w:r>
      </w:hyperlink>
    </w:p>
    <w:p w14:paraId="0581594B" w14:textId="40A4AA60" w:rsidR="00F02A45" w:rsidRDefault="00000000">
      <w:pPr>
        <w:pStyle w:val="Obsah2"/>
        <w:tabs>
          <w:tab w:val="left" w:pos="720"/>
          <w:tab w:val="right" w:leader="dot" w:pos="9204"/>
        </w:tabs>
        <w:rPr>
          <w:rFonts w:eastAsiaTheme="minorEastAsia"/>
          <w:noProof/>
          <w:kern w:val="2"/>
          <w:sz w:val="24"/>
          <w:szCs w:val="24"/>
          <w:lang w:eastAsia="cs-CZ"/>
          <w14:ligatures w14:val="standardContextual"/>
        </w:rPr>
      </w:pPr>
      <w:hyperlink w:anchor="_Toc172710070" w:history="1">
        <w:r w:rsidR="00F02A45" w:rsidRPr="00B9183A">
          <w:rPr>
            <w:rStyle w:val="Hypertextovodkaz"/>
            <w:noProof/>
          </w:rPr>
          <w:t>6.</w:t>
        </w:r>
        <w:r w:rsidR="00F02A45">
          <w:rPr>
            <w:rFonts w:eastAsiaTheme="minorEastAsia"/>
            <w:noProof/>
            <w:kern w:val="2"/>
            <w:sz w:val="24"/>
            <w:szCs w:val="24"/>
            <w:lang w:eastAsia="cs-CZ"/>
            <w14:ligatures w14:val="standardContextual"/>
          </w:rPr>
          <w:tab/>
        </w:r>
        <w:r w:rsidR="00F02A45" w:rsidRPr="00B9183A">
          <w:rPr>
            <w:rStyle w:val="Hypertextovodkaz"/>
            <w:noProof/>
          </w:rPr>
          <w:t>Prevence rizik v dopravě</w:t>
        </w:r>
        <w:r w:rsidR="00F02A45">
          <w:rPr>
            <w:noProof/>
            <w:webHidden/>
          </w:rPr>
          <w:tab/>
        </w:r>
        <w:r w:rsidR="00F02A45">
          <w:rPr>
            <w:noProof/>
            <w:webHidden/>
          </w:rPr>
          <w:fldChar w:fldCharType="begin"/>
        </w:r>
        <w:r w:rsidR="00F02A45">
          <w:rPr>
            <w:noProof/>
            <w:webHidden/>
          </w:rPr>
          <w:instrText xml:space="preserve"> PAGEREF _Toc172710070 \h </w:instrText>
        </w:r>
        <w:r w:rsidR="00F02A45">
          <w:rPr>
            <w:noProof/>
            <w:webHidden/>
          </w:rPr>
        </w:r>
        <w:r w:rsidR="00F02A45">
          <w:rPr>
            <w:noProof/>
            <w:webHidden/>
          </w:rPr>
          <w:fldChar w:fldCharType="separate"/>
        </w:r>
        <w:r w:rsidR="00F02A45">
          <w:rPr>
            <w:noProof/>
            <w:webHidden/>
          </w:rPr>
          <w:t>8</w:t>
        </w:r>
        <w:r w:rsidR="00F02A45">
          <w:rPr>
            <w:noProof/>
            <w:webHidden/>
          </w:rPr>
          <w:fldChar w:fldCharType="end"/>
        </w:r>
      </w:hyperlink>
    </w:p>
    <w:p w14:paraId="4E4B4473" w14:textId="2F8C74B6" w:rsidR="00F02A45" w:rsidRDefault="00000000">
      <w:pPr>
        <w:pStyle w:val="Obsah2"/>
        <w:tabs>
          <w:tab w:val="left" w:pos="720"/>
          <w:tab w:val="right" w:leader="dot" w:pos="9204"/>
        </w:tabs>
        <w:rPr>
          <w:rFonts w:eastAsiaTheme="minorEastAsia"/>
          <w:noProof/>
          <w:kern w:val="2"/>
          <w:sz w:val="24"/>
          <w:szCs w:val="24"/>
          <w:lang w:eastAsia="cs-CZ"/>
          <w14:ligatures w14:val="standardContextual"/>
        </w:rPr>
      </w:pPr>
      <w:hyperlink w:anchor="_Toc172710071" w:history="1">
        <w:r w:rsidR="00F02A45" w:rsidRPr="00B9183A">
          <w:rPr>
            <w:rStyle w:val="Hypertextovodkaz"/>
            <w:noProof/>
          </w:rPr>
          <w:t>7.</w:t>
        </w:r>
        <w:r w:rsidR="00F02A45">
          <w:rPr>
            <w:rFonts w:eastAsiaTheme="minorEastAsia"/>
            <w:noProof/>
            <w:kern w:val="2"/>
            <w:sz w:val="24"/>
            <w:szCs w:val="24"/>
            <w:lang w:eastAsia="cs-CZ"/>
            <w14:ligatures w14:val="standardContextual"/>
          </w:rPr>
          <w:tab/>
        </w:r>
        <w:r w:rsidR="00F02A45" w:rsidRPr="00B9183A">
          <w:rPr>
            <w:rStyle w:val="Hypertextovodkaz"/>
            <w:noProof/>
          </w:rPr>
          <w:t>Prevence rizik v sociálních službách, zdravotnictví a náhradní rodinné výchovy</w:t>
        </w:r>
        <w:r w:rsidR="00F02A45">
          <w:rPr>
            <w:noProof/>
            <w:webHidden/>
          </w:rPr>
          <w:tab/>
        </w:r>
        <w:r w:rsidR="00F02A45">
          <w:rPr>
            <w:noProof/>
            <w:webHidden/>
          </w:rPr>
          <w:fldChar w:fldCharType="begin"/>
        </w:r>
        <w:r w:rsidR="00F02A45">
          <w:rPr>
            <w:noProof/>
            <w:webHidden/>
          </w:rPr>
          <w:instrText xml:space="preserve"> PAGEREF _Toc172710071 \h </w:instrText>
        </w:r>
        <w:r w:rsidR="00F02A45">
          <w:rPr>
            <w:noProof/>
            <w:webHidden/>
          </w:rPr>
        </w:r>
        <w:r w:rsidR="00F02A45">
          <w:rPr>
            <w:noProof/>
            <w:webHidden/>
          </w:rPr>
          <w:fldChar w:fldCharType="separate"/>
        </w:r>
        <w:r w:rsidR="00F02A45">
          <w:rPr>
            <w:noProof/>
            <w:webHidden/>
          </w:rPr>
          <w:t>9</w:t>
        </w:r>
        <w:r w:rsidR="00F02A45">
          <w:rPr>
            <w:noProof/>
            <w:webHidden/>
          </w:rPr>
          <w:fldChar w:fldCharType="end"/>
        </w:r>
      </w:hyperlink>
    </w:p>
    <w:p w14:paraId="388DBE14" w14:textId="45017FF7" w:rsidR="00F02A45" w:rsidRDefault="00000000">
      <w:pPr>
        <w:pStyle w:val="Obsah2"/>
        <w:tabs>
          <w:tab w:val="left" w:pos="720"/>
          <w:tab w:val="right" w:leader="dot" w:pos="9204"/>
        </w:tabs>
        <w:rPr>
          <w:rFonts w:eastAsiaTheme="minorEastAsia"/>
          <w:noProof/>
          <w:kern w:val="2"/>
          <w:sz w:val="24"/>
          <w:szCs w:val="24"/>
          <w:lang w:eastAsia="cs-CZ"/>
          <w14:ligatures w14:val="standardContextual"/>
        </w:rPr>
      </w:pPr>
      <w:hyperlink w:anchor="_Toc172710072" w:history="1">
        <w:r w:rsidR="00F02A45" w:rsidRPr="00B9183A">
          <w:rPr>
            <w:rStyle w:val="Hypertextovodkaz"/>
            <w:rFonts w:eastAsia="Times New Roman"/>
            <w:noProof/>
            <w:lang w:eastAsia="cs-CZ"/>
          </w:rPr>
          <w:t>8.</w:t>
        </w:r>
        <w:r w:rsidR="00F02A45">
          <w:rPr>
            <w:rFonts w:eastAsiaTheme="minorEastAsia"/>
            <w:noProof/>
            <w:kern w:val="2"/>
            <w:sz w:val="24"/>
            <w:szCs w:val="24"/>
            <w:lang w:eastAsia="cs-CZ"/>
            <w14:ligatures w14:val="standardContextual"/>
          </w:rPr>
          <w:tab/>
        </w:r>
        <w:r w:rsidR="00F02A45" w:rsidRPr="00B9183A">
          <w:rPr>
            <w:rStyle w:val="Hypertextovodkaz"/>
            <w:rFonts w:eastAsia="Times New Roman"/>
            <w:noProof/>
            <w:lang w:eastAsia="cs-CZ"/>
          </w:rPr>
          <w:t>Návrhy konkrétních opatření na úseku BOZP ve vazbě na digitalizaci a inovaci procesů s důrazem na využití nových technologií.</w:t>
        </w:r>
        <w:r w:rsidR="00F02A45">
          <w:rPr>
            <w:noProof/>
            <w:webHidden/>
          </w:rPr>
          <w:tab/>
        </w:r>
        <w:r w:rsidR="00F02A45">
          <w:rPr>
            <w:noProof/>
            <w:webHidden/>
          </w:rPr>
          <w:fldChar w:fldCharType="begin"/>
        </w:r>
        <w:r w:rsidR="00F02A45">
          <w:rPr>
            <w:noProof/>
            <w:webHidden/>
          </w:rPr>
          <w:instrText xml:space="preserve"> PAGEREF _Toc172710072 \h </w:instrText>
        </w:r>
        <w:r w:rsidR="00F02A45">
          <w:rPr>
            <w:noProof/>
            <w:webHidden/>
          </w:rPr>
        </w:r>
        <w:r w:rsidR="00F02A45">
          <w:rPr>
            <w:noProof/>
            <w:webHidden/>
          </w:rPr>
          <w:fldChar w:fldCharType="separate"/>
        </w:r>
        <w:r w:rsidR="00F02A45">
          <w:rPr>
            <w:noProof/>
            <w:webHidden/>
          </w:rPr>
          <w:t>10</w:t>
        </w:r>
        <w:r w:rsidR="00F02A45">
          <w:rPr>
            <w:noProof/>
            <w:webHidden/>
          </w:rPr>
          <w:fldChar w:fldCharType="end"/>
        </w:r>
      </w:hyperlink>
    </w:p>
    <w:p w14:paraId="5452B74C" w14:textId="30C1D7FD" w:rsidR="00FD27FD" w:rsidRPr="00D61937" w:rsidRDefault="00F02A45" w:rsidP="00FD27FD">
      <w:pPr>
        <w:pStyle w:val="Odstavecseseznamem"/>
        <w:spacing w:after="0"/>
        <w:ind w:left="-709" w:right="-992"/>
        <w:jc w:val="both"/>
        <w:rPr>
          <w:rFonts w:ascii="Calibri" w:hAnsi="Calibri" w:cs="Calibri"/>
          <w:b/>
          <w:iCs/>
          <w:sz w:val="28"/>
          <w:szCs w:val="28"/>
          <w:u w:val="single"/>
        </w:rPr>
      </w:pPr>
      <w:r>
        <w:rPr>
          <w:rFonts w:ascii="Calibri" w:hAnsi="Calibri" w:cs="Calibri"/>
          <w:b/>
          <w:iCs/>
          <w:sz w:val="28"/>
          <w:szCs w:val="28"/>
          <w:u w:val="single"/>
        </w:rPr>
        <w:fldChar w:fldCharType="end"/>
      </w:r>
    </w:p>
    <w:p w14:paraId="62FA01A1" w14:textId="1408C11E" w:rsidR="00162A8B" w:rsidRDefault="00C23715" w:rsidP="00C77257">
      <w:pPr>
        <w:pStyle w:val="Nadpis2"/>
        <w:numPr>
          <w:ilvl w:val="0"/>
          <w:numId w:val="22"/>
        </w:numPr>
      </w:pPr>
      <w:bookmarkStart w:id="2" w:name="_Toc172709951"/>
      <w:bookmarkStart w:id="3" w:name="_Toc172710065"/>
      <w:r w:rsidRPr="00D61937">
        <w:t xml:space="preserve">Prevence rizik </w:t>
      </w:r>
      <w:r w:rsidR="0090410C" w:rsidRPr="00D61937">
        <w:t>v</w:t>
      </w:r>
      <w:r w:rsidR="00162A8B">
        <w:t> </w:t>
      </w:r>
      <w:r w:rsidR="0090410C" w:rsidRPr="00D61937">
        <w:t>zemědělství</w:t>
      </w:r>
      <w:bookmarkEnd w:id="2"/>
      <w:bookmarkEnd w:id="3"/>
    </w:p>
    <w:p w14:paraId="3ABFB2E5" w14:textId="77777777" w:rsidR="00162A8B" w:rsidRDefault="00162A8B" w:rsidP="001663D7">
      <w:pPr>
        <w:spacing w:after="0"/>
        <w:jc w:val="both"/>
      </w:pPr>
    </w:p>
    <w:p w14:paraId="7D684B74" w14:textId="673ECA77" w:rsidR="00162A8B" w:rsidRDefault="00C23715" w:rsidP="002A428B">
      <w:pPr>
        <w:spacing w:after="0"/>
        <w:ind w:left="-709"/>
        <w:jc w:val="both"/>
      </w:pPr>
      <w:r w:rsidRPr="00B42762">
        <w:t xml:space="preserve">Většina pracovišť v zemědělství se vyznačuje značnou rizikovostí práce a v souvislosti s tím </w:t>
      </w:r>
      <w:r>
        <w:t xml:space="preserve">dochází </w:t>
      </w:r>
      <w:r w:rsidRPr="00B42762">
        <w:t>i k</w:t>
      </w:r>
    </w:p>
    <w:p w14:paraId="74E8D063" w14:textId="17C4E999" w:rsidR="00C23715" w:rsidRDefault="00C23715" w:rsidP="002A428B">
      <w:pPr>
        <w:spacing w:after="0"/>
        <w:ind w:left="-709"/>
      </w:pPr>
      <w:r w:rsidRPr="00B42762">
        <w:t xml:space="preserve">častějšímu výskytu pracovních úrazů. Nejčastěji </w:t>
      </w:r>
      <w:r w:rsidR="00870A84">
        <w:t xml:space="preserve">dochází k pracovním úrazům </w:t>
      </w:r>
      <w:r w:rsidRPr="00B42762">
        <w:t>při práci s</w:t>
      </w:r>
      <w:r>
        <w:t> </w:t>
      </w:r>
      <w:r w:rsidRPr="00B42762">
        <w:t>mechanizací</w:t>
      </w:r>
      <w:r>
        <w:t xml:space="preserve"> </w:t>
      </w:r>
      <w:r w:rsidRPr="00B42762">
        <w:t>v</w:t>
      </w:r>
      <w:r w:rsidR="001663D7">
        <w:t> </w:t>
      </w:r>
      <w:r w:rsidRPr="00B42762">
        <w:t>důsledku</w:t>
      </w:r>
      <w:r w:rsidR="001663D7">
        <w:t xml:space="preserve"> </w:t>
      </w:r>
      <w:r w:rsidRPr="00B42762">
        <w:t>nesprávné manipulace, nevhodnému stavu zařízení a nářadí, při manipulaci a</w:t>
      </w:r>
      <w:r>
        <w:t xml:space="preserve"> </w:t>
      </w:r>
      <w:r w:rsidRPr="00B42762">
        <w:t>práci se zvířaty.</w:t>
      </w:r>
    </w:p>
    <w:p w14:paraId="6051FD8E" w14:textId="77777777" w:rsidR="007D13AC" w:rsidRDefault="007D13AC" w:rsidP="00AC5A59">
      <w:pPr>
        <w:spacing w:after="0"/>
        <w:ind w:left="-426" w:right="-992"/>
      </w:pPr>
    </w:p>
    <w:tbl>
      <w:tblPr>
        <w:tblStyle w:val="Mkatabulky"/>
        <w:tblW w:w="0" w:type="auto"/>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43"/>
        <w:gridCol w:w="2260"/>
        <w:gridCol w:w="2261"/>
        <w:gridCol w:w="2260"/>
      </w:tblGrid>
      <w:tr w:rsidR="00C23715" w14:paraId="5562942E" w14:textId="77777777" w:rsidTr="002A428B">
        <w:tc>
          <w:tcPr>
            <w:tcW w:w="2843" w:type="dxa"/>
            <w:shd w:val="clear" w:color="auto" w:fill="D9E2F3" w:themeFill="accent1" w:themeFillTint="33"/>
          </w:tcPr>
          <w:p w14:paraId="6E783D98" w14:textId="77777777" w:rsidR="00C23715" w:rsidRPr="00E57BC0" w:rsidRDefault="00C23715" w:rsidP="00A63A70">
            <w:pPr>
              <w:contextualSpacing/>
              <w:jc w:val="both"/>
              <w:rPr>
                <w:b/>
                <w:bCs/>
              </w:rPr>
            </w:pPr>
            <w:r>
              <w:rPr>
                <w:b/>
                <w:bCs/>
              </w:rPr>
              <w:t>Druh PÚ zemědělství</w:t>
            </w:r>
          </w:p>
        </w:tc>
        <w:tc>
          <w:tcPr>
            <w:tcW w:w="2260" w:type="dxa"/>
            <w:shd w:val="clear" w:color="auto" w:fill="D9E2F3" w:themeFill="accent1" w:themeFillTint="33"/>
          </w:tcPr>
          <w:p w14:paraId="15DFECE7" w14:textId="77777777" w:rsidR="00C23715" w:rsidRPr="00E57BC0" w:rsidRDefault="00C23715" w:rsidP="00A63A70">
            <w:pPr>
              <w:contextualSpacing/>
              <w:jc w:val="both"/>
              <w:rPr>
                <w:b/>
                <w:bCs/>
              </w:rPr>
            </w:pPr>
            <w:r>
              <w:rPr>
                <w:b/>
                <w:bCs/>
              </w:rPr>
              <w:t>Smrtelný</w:t>
            </w:r>
          </w:p>
        </w:tc>
        <w:tc>
          <w:tcPr>
            <w:tcW w:w="2261" w:type="dxa"/>
            <w:shd w:val="clear" w:color="auto" w:fill="D9E2F3" w:themeFill="accent1" w:themeFillTint="33"/>
          </w:tcPr>
          <w:p w14:paraId="4A9016FC" w14:textId="77777777" w:rsidR="00C23715" w:rsidRPr="00E57BC0" w:rsidRDefault="00C23715" w:rsidP="00A63A70">
            <w:pPr>
              <w:contextualSpacing/>
              <w:jc w:val="both"/>
              <w:rPr>
                <w:b/>
                <w:bCs/>
              </w:rPr>
            </w:pPr>
            <w:r>
              <w:rPr>
                <w:b/>
                <w:bCs/>
              </w:rPr>
              <w:t>Závažný</w:t>
            </w:r>
          </w:p>
        </w:tc>
        <w:tc>
          <w:tcPr>
            <w:tcW w:w="2260" w:type="dxa"/>
            <w:shd w:val="clear" w:color="auto" w:fill="D9E2F3" w:themeFill="accent1" w:themeFillTint="33"/>
          </w:tcPr>
          <w:p w14:paraId="14CE9CD0" w14:textId="77777777" w:rsidR="00C23715" w:rsidRPr="00E57BC0" w:rsidRDefault="00C23715" w:rsidP="00A63A70">
            <w:pPr>
              <w:contextualSpacing/>
              <w:jc w:val="both"/>
              <w:rPr>
                <w:b/>
                <w:bCs/>
              </w:rPr>
            </w:pPr>
            <w:r>
              <w:rPr>
                <w:b/>
                <w:bCs/>
              </w:rPr>
              <w:t>Ostatní</w:t>
            </w:r>
          </w:p>
        </w:tc>
      </w:tr>
      <w:tr w:rsidR="00C23715" w14:paraId="2AFE0E9F" w14:textId="77777777" w:rsidTr="002A428B">
        <w:tc>
          <w:tcPr>
            <w:tcW w:w="2843" w:type="dxa"/>
          </w:tcPr>
          <w:p w14:paraId="6F804F10" w14:textId="77777777" w:rsidR="00C23715" w:rsidRDefault="00C23715" w:rsidP="00A63A70">
            <w:pPr>
              <w:contextualSpacing/>
              <w:jc w:val="both"/>
              <w:rPr>
                <w:b/>
                <w:bCs/>
              </w:rPr>
            </w:pPr>
            <w:r>
              <w:rPr>
                <w:b/>
                <w:bCs/>
              </w:rPr>
              <w:t>Rok 2021</w:t>
            </w:r>
          </w:p>
        </w:tc>
        <w:tc>
          <w:tcPr>
            <w:tcW w:w="2260" w:type="dxa"/>
          </w:tcPr>
          <w:p w14:paraId="286613D9" w14:textId="77777777" w:rsidR="00C23715" w:rsidRDefault="00C23715" w:rsidP="00A63A70">
            <w:pPr>
              <w:contextualSpacing/>
              <w:jc w:val="both"/>
            </w:pPr>
            <w:r>
              <w:t>5</w:t>
            </w:r>
          </w:p>
        </w:tc>
        <w:tc>
          <w:tcPr>
            <w:tcW w:w="2261" w:type="dxa"/>
          </w:tcPr>
          <w:p w14:paraId="6F142932" w14:textId="77777777" w:rsidR="00C23715" w:rsidRDefault="00C23715" w:rsidP="00A63A70">
            <w:pPr>
              <w:contextualSpacing/>
              <w:jc w:val="both"/>
            </w:pPr>
            <w:r>
              <w:t>41</w:t>
            </w:r>
          </w:p>
        </w:tc>
        <w:tc>
          <w:tcPr>
            <w:tcW w:w="2260" w:type="dxa"/>
          </w:tcPr>
          <w:p w14:paraId="737D5A4C" w14:textId="77777777" w:rsidR="00C23715" w:rsidRDefault="00C23715" w:rsidP="00A63A70">
            <w:pPr>
              <w:contextualSpacing/>
              <w:jc w:val="both"/>
            </w:pPr>
            <w:r>
              <w:t>1 951</w:t>
            </w:r>
          </w:p>
        </w:tc>
      </w:tr>
      <w:tr w:rsidR="00C23715" w14:paraId="22CF7AB4" w14:textId="77777777" w:rsidTr="002A428B">
        <w:tc>
          <w:tcPr>
            <w:tcW w:w="2843" w:type="dxa"/>
          </w:tcPr>
          <w:p w14:paraId="6F83AAB9" w14:textId="77777777" w:rsidR="00C23715" w:rsidRDefault="00C23715" w:rsidP="00A63A70">
            <w:pPr>
              <w:contextualSpacing/>
              <w:jc w:val="both"/>
              <w:rPr>
                <w:b/>
                <w:bCs/>
              </w:rPr>
            </w:pPr>
            <w:r>
              <w:rPr>
                <w:b/>
                <w:bCs/>
              </w:rPr>
              <w:t>Rok 2022</w:t>
            </w:r>
          </w:p>
        </w:tc>
        <w:tc>
          <w:tcPr>
            <w:tcW w:w="2260" w:type="dxa"/>
          </w:tcPr>
          <w:p w14:paraId="2939678E" w14:textId="77777777" w:rsidR="00C23715" w:rsidRDefault="00C23715" w:rsidP="00A63A70">
            <w:pPr>
              <w:contextualSpacing/>
              <w:jc w:val="both"/>
            </w:pPr>
            <w:r>
              <w:t>7</w:t>
            </w:r>
          </w:p>
        </w:tc>
        <w:tc>
          <w:tcPr>
            <w:tcW w:w="2261" w:type="dxa"/>
          </w:tcPr>
          <w:p w14:paraId="1A467F3D" w14:textId="77777777" w:rsidR="00C23715" w:rsidRDefault="00C23715" w:rsidP="00A63A70">
            <w:pPr>
              <w:contextualSpacing/>
              <w:jc w:val="both"/>
            </w:pPr>
            <w:r>
              <w:t>48</w:t>
            </w:r>
          </w:p>
        </w:tc>
        <w:tc>
          <w:tcPr>
            <w:tcW w:w="2260" w:type="dxa"/>
          </w:tcPr>
          <w:p w14:paraId="1D8C1A09" w14:textId="77777777" w:rsidR="00C23715" w:rsidRDefault="00C23715" w:rsidP="00A63A70">
            <w:pPr>
              <w:contextualSpacing/>
              <w:jc w:val="both"/>
            </w:pPr>
            <w:r>
              <w:t>1 668</w:t>
            </w:r>
          </w:p>
        </w:tc>
      </w:tr>
      <w:tr w:rsidR="0045449E" w14:paraId="0696712A" w14:textId="77777777" w:rsidTr="002A428B">
        <w:tc>
          <w:tcPr>
            <w:tcW w:w="2843" w:type="dxa"/>
          </w:tcPr>
          <w:p w14:paraId="6BB1ABA8" w14:textId="3AD1A388" w:rsidR="0045449E" w:rsidRDefault="0045449E" w:rsidP="00A63A70">
            <w:pPr>
              <w:contextualSpacing/>
              <w:jc w:val="both"/>
              <w:rPr>
                <w:b/>
                <w:bCs/>
              </w:rPr>
            </w:pPr>
            <w:r>
              <w:rPr>
                <w:b/>
                <w:bCs/>
              </w:rPr>
              <w:t>Rok 2023 k 24.11.2023</w:t>
            </w:r>
          </w:p>
        </w:tc>
        <w:tc>
          <w:tcPr>
            <w:tcW w:w="2260" w:type="dxa"/>
          </w:tcPr>
          <w:p w14:paraId="1A1337A2" w14:textId="177B5DF1" w:rsidR="0045449E" w:rsidRDefault="0045449E" w:rsidP="00A63A70">
            <w:pPr>
              <w:contextualSpacing/>
              <w:jc w:val="both"/>
            </w:pPr>
            <w:r>
              <w:t>4</w:t>
            </w:r>
          </w:p>
        </w:tc>
        <w:tc>
          <w:tcPr>
            <w:tcW w:w="2261" w:type="dxa"/>
          </w:tcPr>
          <w:p w14:paraId="6E49EF08" w14:textId="2490AAF9" w:rsidR="0045449E" w:rsidRDefault="0045449E" w:rsidP="00A63A70">
            <w:pPr>
              <w:contextualSpacing/>
              <w:jc w:val="both"/>
            </w:pPr>
            <w:r>
              <w:t>30</w:t>
            </w:r>
          </w:p>
        </w:tc>
        <w:tc>
          <w:tcPr>
            <w:tcW w:w="2260" w:type="dxa"/>
          </w:tcPr>
          <w:p w14:paraId="2563F40E" w14:textId="10AB90EA" w:rsidR="0045449E" w:rsidRDefault="0045449E" w:rsidP="00A63A70">
            <w:pPr>
              <w:contextualSpacing/>
              <w:jc w:val="both"/>
            </w:pPr>
            <w:r>
              <w:t>1 444</w:t>
            </w:r>
          </w:p>
        </w:tc>
      </w:tr>
    </w:tbl>
    <w:p w14:paraId="0CA2FE0C" w14:textId="77777777" w:rsidR="00C23715" w:rsidRDefault="00C23715" w:rsidP="00A63A70">
      <w:pPr>
        <w:spacing w:after="0" w:line="240" w:lineRule="auto"/>
        <w:contextualSpacing/>
        <w:jc w:val="both"/>
        <w:rPr>
          <w:b/>
          <w:bCs/>
        </w:rPr>
      </w:pPr>
    </w:p>
    <w:p w14:paraId="63F8BDBE" w14:textId="77777777" w:rsidR="00C23715" w:rsidRDefault="00C23715" w:rsidP="002A428B">
      <w:pPr>
        <w:spacing w:after="0" w:line="240" w:lineRule="auto"/>
        <w:ind w:left="-567"/>
        <w:contextualSpacing/>
        <w:jc w:val="both"/>
        <w:rPr>
          <w:b/>
          <w:bCs/>
        </w:rPr>
      </w:pPr>
      <w:r>
        <w:rPr>
          <w:b/>
          <w:bCs/>
        </w:rPr>
        <w:t>Nejčastější zdroje PÚ:</w:t>
      </w:r>
    </w:p>
    <w:p w14:paraId="58940261" w14:textId="277C3962" w:rsidR="00C23715" w:rsidRDefault="00C23715">
      <w:pPr>
        <w:pStyle w:val="Odstavecseseznamem"/>
        <w:numPr>
          <w:ilvl w:val="0"/>
          <w:numId w:val="5"/>
        </w:numPr>
        <w:spacing w:after="0" w:line="240" w:lineRule="auto"/>
        <w:ind w:left="0" w:hanging="284"/>
        <w:jc w:val="both"/>
      </w:pPr>
      <w:r>
        <w:t>Živé organismy a lidské bytosti</w:t>
      </w:r>
      <w:r w:rsidR="000A1797">
        <w:t>,</w:t>
      </w:r>
      <w:r>
        <w:t xml:space="preserve"> </w:t>
      </w:r>
    </w:p>
    <w:p w14:paraId="412C33B5" w14:textId="4D18F499" w:rsidR="00C23715" w:rsidRDefault="00C23715">
      <w:pPr>
        <w:pStyle w:val="Odstavecseseznamem"/>
        <w:numPr>
          <w:ilvl w:val="0"/>
          <w:numId w:val="5"/>
        </w:numPr>
        <w:spacing w:after="0" w:line="240" w:lineRule="auto"/>
        <w:ind w:left="0" w:hanging="284"/>
        <w:jc w:val="both"/>
      </w:pPr>
      <w:r>
        <w:t>Materiály, předměty, výrobky, součásti, strojů a vozidel, úlomky, prach,</w:t>
      </w:r>
    </w:p>
    <w:p w14:paraId="57C872E1" w14:textId="14B39D49" w:rsidR="00C23715" w:rsidRDefault="00C23715">
      <w:pPr>
        <w:pStyle w:val="Odstavecseseznamem"/>
        <w:numPr>
          <w:ilvl w:val="0"/>
          <w:numId w:val="5"/>
        </w:numPr>
        <w:spacing w:after="0" w:line="240" w:lineRule="auto"/>
        <w:ind w:left="0" w:hanging="284"/>
        <w:jc w:val="both"/>
      </w:pPr>
      <w:r>
        <w:t>Budovy, stavební konstrukce, povrchy – v úrovni země (uvnitř i vně, pevné či mobilní, dočasné nebo trvalé)</w:t>
      </w:r>
      <w:r w:rsidR="000A1797">
        <w:t>.</w:t>
      </w:r>
    </w:p>
    <w:p w14:paraId="3FEC108F" w14:textId="77777777" w:rsidR="00C23715" w:rsidRDefault="00C23715" w:rsidP="002A428B">
      <w:pPr>
        <w:spacing w:after="0" w:line="240" w:lineRule="auto"/>
        <w:contextualSpacing/>
        <w:jc w:val="both"/>
        <w:rPr>
          <w:b/>
          <w:bCs/>
        </w:rPr>
      </w:pPr>
    </w:p>
    <w:p w14:paraId="5E440A3A" w14:textId="77777777" w:rsidR="00C23715" w:rsidRDefault="00C23715" w:rsidP="002A428B">
      <w:pPr>
        <w:spacing w:after="0" w:line="240" w:lineRule="auto"/>
        <w:ind w:left="-567"/>
        <w:contextualSpacing/>
        <w:jc w:val="both"/>
        <w:rPr>
          <w:b/>
          <w:bCs/>
        </w:rPr>
      </w:pPr>
      <w:r>
        <w:rPr>
          <w:b/>
          <w:bCs/>
        </w:rPr>
        <w:t>Nejčastější příčiny PÚ:</w:t>
      </w:r>
    </w:p>
    <w:p w14:paraId="73492976" w14:textId="77777777" w:rsidR="00C23715" w:rsidRDefault="00C23715">
      <w:pPr>
        <w:pStyle w:val="Odstavecseseznamem"/>
        <w:numPr>
          <w:ilvl w:val="0"/>
          <w:numId w:val="5"/>
        </w:numPr>
        <w:spacing w:after="0" w:line="240" w:lineRule="auto"/>
        <w:ind w:left="0" w:hanging="284"/>
        <w:jc w:val="both"/>
      </w:pPr>
      <w:r>
        <w:t>Špatně nebo nedostatečně odhadnuté riziko,</w:t>
      </w:r>
    </w:p>
    <w:p w14:paraId="58C87E44" w14:textId="77777777" w:rsidR="00C23715" w:rsidRDefault="00C23715">
      <w:pPr>
        <w:pStyle w:val="Odstavecseseznamem"/>
        <w:numPr>
          <w:ilvl w:val="0"/>
          <w:numId w:val="5"/>
        </w:numPr>
        <w:spacing w:after="0" w:line="240" w:lineRule="auto"/>
        <w:ind w:left="0" w:hanging="284"/>
        <w:jc w:val="both"/>
      </w:pPr>
      <w:r>
        <w:t>Ohrožení zvířaty a přírodními živly,</w:t>
      </w:r>
    </w:p>
    <w:p w14:paraId="1EA0CDD9" w14:textId="77777777" w:rsidR="00C23715" w:rsidRDefault="00C23715">
      <w:pPr>
        <w:pStyle w:val="Odstavecseseznamem"/>
        <w:numPr>
          <w:ilvl w:val="0"/>
          <w:numId w:val="5"/>
        </w:numPr>
        <w:spacing w:after="0" w:line="240" w:lineRule="auto"/>
        <w:ind w:left="0" w:hanging="284"/>
        <w:jc w:val="both"/>
      </w:pPr>
      <w:r>
        <w:t>Používání nebezpečných postupů nebo způsobu práce včetně jednání bez oprávnění, proti zákazu, prodlévání v ohroženém prostoru.</w:t>
      </w:r>
    </w:p>
    <w:p w14:paraId="1A05BAD4" w14:textId="77777777" w:rsidR="00C23715" w:rsidRPr="00AE18A2" w:rsidRDefault="00C23715" w:rsidP="00A63A70">
      <w:pPr>
        <w:spacing w:after="0" w:line="240" w:lineRule="auto"/>
        <w:contextualSpacing/>
        <w:jc w:val="both"/>
        <w:rPr>
          <w:b/>
          <w:bCs/>
        </w:rPr>
      </w:pPr>
    </w:p>
    <w:tbl>
      <w:tblPr>
        <w:tblStyle w:val="Mkatabulky"/>
        <w:tblW w:w="7968" w:type="dxa"/>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95"/>
        <w:gridCol w:w="1813"/>
        <w:gridCol w:w="1813"/>
        <w:gridCol w:w="1847"/>
      </w:tblGrid>
      <w:tr w:rsidR="00D07589" w14:paraId="20446744" w14:textId="2D4E8D3E" w:rsidTr="00D07589">
        <w:tc>
          <w:tcPr>
            <w:tcW w:w="2495" w:type="dxa"/>
            <w:shd w:val="clear" w:color="auto" w:fill="D9E2F3" w:themeFill="accent1" w:themeFillTint="33"/>
          </w:tcPr>
          <w:p w14:paraId="68DD04F2" w14:textId="77777777" w:rsidR="00D07589" w:rsidRPr="00E57BC0" w:rsidRDefault="00D07589" w:rsidP="00A63A70">
            <w:pPr>
              <w:contextualSpacing/>
              <w:jc w:val="both"/>
              <w:rPr>
                <w:b/>
                <w:bCs/>
              </w:rPr>
            </w:pPr>
            <w:r w:rsidRPr="00E57BC0">
              <w:rPr>
                <w:b/>
                <w:bCs/>
              </w:rPr>
              <w:t>Rok</w:t>
            </w:r>
          </w:p>
        </w:tc>
        <w:tc>
          <w:tcPr>
            <w:tcW w:w="1813" w:type="dxa"/>
            <w:shd w:val="clear" w:color="auto" w:fill="D9E2F3" w:themeFill="accent1" w:themeFillTint="33"/>
          </w:tcPr>
          <w:p w14:paraId="45C833E5" w14:textId="77777777" w:rsidR="00D07589" w:rsidRPr="00E57BC0" w:rsidRDefault="00D07589" w:rsidP="00A63A70">
            <w:pPr>
              <w:contextualSpacing/>
              <w:jc w:val="both"/>
              <w:rPr>
                <w:b/>
                <w:bCs/>
              </w:rPr>
            </w:pPr>
            <w:r w:rsidRPr="00E57BC0">
              <w:rPr>
                <w:b/>
                <w:bCs/>
              </w:rPr>
              <w:t>2021</w:t>
            </w:r>
          </w:p>
        </w:tc>
        <w:tc>
          <w:tcPr>
            <w:tcW w:w="1813" w:type="dxa"/>
            <w:shd w:val="clear" w:color="auto" w:fill="D9E2F3" w:themeFill="accent1" w:themeFillTint="33"/>
          </w:tcPr>
          <w:p w14:paraId="2C7BB10F" w14:textId="77777777" w:rsidR="00D07589" w:rsidRPr="00E57BC0" w:rsidRDefault="00D07589" w:rsidP="00A63A70">
            <w:pPr>
              <w:contextualSpacing/>
              <w:jc w:val="both"/>
              <w:rPr>
                <w:b/>
                <w:bCs/>
              </w:rPr>
            </w:pPr>
            <w:r w:rsidRPr="00E57BC0">
              <w:rPr>
                <w:b/>
                <w:bCs/>
              </w:rPr>
              <w:t>2022</w:t>
            </w:r>
          </w:p>
        </w:tc>
        <w:tc>
          <w:tcPr>
            <w:tcW w:w="1847" w:type="dxa"/>
            <w:shd w:val="clear" w:color="auto" w:fill="D9E2F3" w:themeFill="accent1" w:themeFillTint="33"/>
          </w:tcPr>
          <w:p w14:paraId="398D4948" w14:textId="4DD91C6A" w:rsidR="00D07589" w:rsidRPr="00E57BC0" w:rsidRDefault="00D07589" w:rsidP="00A63A70">
            <w:pPr>
              <w:contextualSpacing/>
              <w:jc w:val="both"/>
              <w:rPr>
                <w:b/>
                <w:bCs/>
              </w:rPr>
            </w:pPr>
            <w:r>
              <w:rPr>
                <w:b/>
                <w:bCs/>
              </w:rPr>
              <w:t>2023(k 24.11.23)</w:t>
            </w:r>
          </w:p>
        </w:tc>
      </w:tr>
      <w:tr w:rsidR="00D07589" w14:paraId="51D73914" w14:textId="7C412D1D" w:rsidTr="00D07589">
        <w:tc>
          <w:tcPr>
            <w:tcW w:w="2495" w:type="dxa"/>
            <w:tcBorders>
              <w:bottom w:val="single" w:sz="12" w:space="0" w:color="auto"/>
            </w:tcBorders>
          </w:tcPr>
          <w:p w14:paraId="7B3A54DF" w14:textId="77777777" w:rsidR="00D07589" w:rsidRPr="00E57BC0" w:rsidRDefault="00D07589" w:rsidP="00A63A70">
            <w:pPr>
              <w:contextualSpacing/>
              <w:jc w:val="both"/>
              <w:rPr>
                <w:b/>
                <w:bCs/>
              </w:rPr>
            </w:pPr>
            <w:r>
              <w:rPr>
                <w:b/>
                <w:bCs/>
              </w:rPr>
              <w:t>Počet kontrol</w:t>
            </w:r>
          </w:p>
        </w:tc>
        <w:tc>
          <w:tcPr>
            <w:tcW w:w="1813" w:type="dxa"/>
            <w:tcBorders>
              <w:bottom w:val="single" w:sz="12" w:space="0" w:color="auto"/>
            </w:tcBorders>
          </w:tcPr>
          <w:p w14:paraId="594B1DD4" w14:textId="77777777" w:rsidR="00D07589" w:rsidRDefault="00D07589" w:rsidP="00A63A70">
            <w:pPr>
              <w:contextualSpacing/>
              <w:jc w:val="both"/>
            </w:pPr>
            <w:r>
              <w:t>317</w:t>
            </w:r>
          </w:p>
        </w:tc>
        <w:tc>
          <w:tcPr>
            <w:tcW w:w="1813" w:type="dxa"/>
            <w:tcBorders>
              <w:bottom w:val="single" w:sz="12" w:space="0" w:color="auto"/>
            </w:tcBorders>
          </w:tcPr>
          <w:p w14:paraId="31C446A7" w14:textId="77777777" w:rsidR="00D07589" w:rsidRDefault="00D07589" w:rsidP="00A63A70">
            <w:pPr>
              <w:contextualSpacing/>
              <w:jc w:val="both"/>
            </w:pPr>
            <w:r>
              <w:t>456</w:t>
            </w:r>
          </w:p>
        </w:tc>
        <w:tc>
          <w:tcPr>
            <w:tcW w:w="1847" w:type="dxa"/>
            <w:tcBorders>
              <w:bottom w:val="single" w:sz="12" w:space="0" w:color="auto"/>
            </w:tcBorders>
          </w:tcPr>
          <w:p w14:paraId="6B6CA931" w14:textId="5673D0B4" w:rsidR="00D07589" w:rsidRDefault="00D07589" w:rsidP="00A63A70">
            <w:pPr>
              <w:contextualSpacing/>
              <w:jc w:val="both"/>
            </w:pPr>
            <w:r>
              <w:t>509</w:t>
            </w:r>
          </w:p>
        </w:tc>
      </w:tr>
      <w:tr w:rsidR="00D07589" w:rsidRPr="00E619BA" w14:paraId="3B7A1BDB" w14:textId="42A3C026" w:rsidTr="00D07589">
        <w:tc>
          <w:tcPr>
            <w:tcW w:w="2495" w:type="dxa"/>
            <w:tcBorders>
              <w:bottom w:val="single" w:sz="12" w:space="0" w:color="auto"/>
            </w:tcBorders>
          </w:tcPr>
          <w:p w14:paraId="48B587E3" w14:textId="77777777" w:rsidR="00D07589" w:rsidRPr="00E57BC0" w:rsidRDefault="00D07589" w:rsidP="00A63A70">
            <w:pPr>
              <w:contextualSpacing/>
              <w:jc w:val="both"/>
              <w:rPr>
                <w:b/>
                <w:bCs/>
              </w:rPr>
            </w:pPr>
            <w:r w:rsidRPr="00E57BC0">
              <w:rPr>
                <w:b/>
                <w:bCs/>
              </w:rPr>
              <w:t>Počet porušení</w:t>
            </w:r>
          </w:p>
        </w:tc>
        <w:tc>
          <w:tcPr>
            <w:tcW w:w="1813" w:type="dxa"/>
            <w:tcBorders>
              <w:bottom w:val="single" w:sz="12" w:space="0" w:color="auto"/>
            </w:tcBorders>
          </w:tcPr>
          <w:p w14:paraId="429BBA26" w14:textId="77777777" w:rsidR="00D07589" w:rsidRPr="00D0578E" w:rsidRDefault="00D07589" w:rsidP="00A63A70">
            <w:pPr>
              <w:contextualSpacing/>
              <w:jc w:val="both"/>
            </w:pPr>
            <w:r w:rsidRPr="00D0578E">
              <w:t>963</w:t>
            </w:r>
          </w:p>
        </w:tc>
        <w:tc>
          <w:tcPr>
            <w:tcW w:w="1813" w:type="dxa"/>
            <w:tcBorders>
              <w:bottom w:val="single" w:sz="12" w:space="0" w:color="auto"/>
            </w:tcBorders>
          </w:tcPr>
          <w:p w14:paraId="6B411972" w14:textId="77777777" w:rsidR="00D07589" w:rsidRPr="00D0578E" w:rsidRDefault="00D07589" w:rsidP="00A63A70">
            <w:pPr>
              <w:contextualSpacing/>
              <w:jc w:val="both"/>
            </w:pPr>
            <w:r w:rsidRPr="00D0578E">
              <w:t>1 228</w:t>
            </w:r>
          </w:p>
        </w:tc>
        <w:tc>
          <w:tcPr>
            <w:tcW w:w="1847" w:type="dxa"/>
            <w:tcBorders>
              <w:bottom w:val="single" w:sz="12" w:space="0" w:color="auto"/>
            </w:tcBorders>
          </w:tcPr>
          <w:p w14:paraId="1F0F5BAE" w14:textId="216B6165" w:rsidR="00D07589" w:rsidRPr="00D0578E" w:rsidRDefault="00D07589" w:rsidP="00A63A70">
            <w:pPr>
              <w:contextualSpacing/>
              <w:jc w:val="both"/>
            </w:pPr>
            <w:r>
              <w:t>1 714</w:t>
            </w:r>
          </w:p>
        </w:tc>
      </w:tr>
    </w:tbl>
    <w:p w14:paraId="568B7AB2" w14:textId="77777777" w:rsidR="00C23715" w:rsidRDefault="00C23715" w:rsidP="00A63A70">
      <w:pPr>
        <w:spacing w:after="0" w:line="240" w:lineRule="auto"/>
        <w:contextualSpacing/>
        <w:jc w:val="both"/>
      </w:pPr>
    </w:p>
    <w:p w14:paraId="3FEEEC36" w14:textId="60647DD6" w:rsidR="00C23715" w:rsidRDefault="00C23715" w:rsidP="002A428B">
      <w:pPr>
        <w:spacing w:after="0" w:line="240" w:lineRule="auto"/>
        <w:ind w:left="-567"/>
        <w:contextualSpacing/>
        <w:jc w:val="both"/>
        <w:rPr>
          <w:b/>
          <w:bCs/>
        </w:rPr>
      </w:pPr>
      <w:bookmarkStart w:id="4" w:name="_Hlk125381489"/>
      <w:r w:rsidRPr="00E57BC0">
        <w:rPr>
          <w:b/>
          <w:bCs/>
        </w:rPr>
        <w:t>Nejčastěji porušovan</w:t>
      </w:r>
      <w:r>
        <w:rPr>
          <w:b/>
          <w:bCs/>
        </w:rPr>
        <w:t>é právní</w:t>
      </w:r>
      <w:r w:rsidRPr="00E57BC0">
        <w:rPr>
          <w:b/>
          <w:bCs/>
        </w:rPr>
        <w:t xml:space="preserve"> předpis</w:t>
      </w:r>
      <w:r>
        <w:rPr>
          <w:b/>
          <w:bCs/>
        </w:rPr>
        <w:t>y</w:t>
      </w:r>
      <w:r w:rsidRPr="00E57BC0">
        <w:rPr>
          <w:b/>
          <w:bCs/>
        </w:rPr>
        <w:t>:</w:t>
      </w:r>
    </w:p>
    <w:p w14:paraId="4BE89C86" w14:textId="77777777" w:rsidR="00C23715" w:rsidRPr="00DA41A1" w:rsidRDefault="00C23715">
      <w:pPr>
        <w:pStyle w:val="Odstavecseseznamem"/>
        <w:numPr>
          <w:ilvl w:val="0"/>
          <w:numId w:val="5"/>
        </w:numPr>
        <w:spacing w:after="0" w:line="240" w:lineRule="auto"/>
        <w:ind w:left="-284" w:hanging="284"/>
        <w:jc w:val="both"/>
      </w:pPr>
      <w:r w:rsidRPr="006B1632">
        <w:rPr>
          <w:b/>
          <w:bCs/>
        </w:rPr>
        <w:lastRenderedPageBreak/>
        <w:t>zákon č. 262/2006 Sb</w:t>
      </w:r>
      <w:r w:rsidRPr="00DA41A1">
        <w:rPr>
          <w:b/>
          <w:bCs/>
        </w:rPr>
        <w:t>.</w:t>
      </w:r>
      <w:r w:rsidRPr="00DA41A1">
        <w:t xml:space="preserve">, zákoník práce, ve znění pozdějších předpisů [zejména </w:t>
      </w:r>
      <w:proofErr w:type="spellStart"/>
      <w:r w:rsidRPr="00DA41A1">
        <w:t>ust</w:t>
      </w:r>
      <w:proofErr w:type="spellEnd"/>
      <w:r w:rsidRPr="00DA41A1">
        <w:t xml:space="preserve">. § 102 odst. 1; </w:t>
      </w:r>
      <w:r w:rsidRPr="00DA41A1">
        <w:br/>
      </w:r>
      <w:proofErr w:type="spellStart"/>
      <w:r w:rsidRPr="00DA41A1">
        <w:t>ust</w:t>
      </w:r>
      <w:proofErr w:type="spellEnd"/>
      <w:r w:rsidRPr="00DA41A1">
        <w:t xml:space="preserve">. § 103 odst. 1 písm. a); </w:t>
      </w:r>
      <w:proofErr w:type="spellStart"/>
      <w:r w:rsidRPr="00DA41A1">
        <w:t>ust</w:t>
      </w:r>
      <w:proofErr w:type="spellEnd"/>
      <w:r w:rsidRPr="00DA41A1">
        <w:t>. § 102 odst. 3],</w:t>
      </w:r>
    </w:p>
    <w:p w14:paraId="35C99068" w14:textId="77777777" w:rsidR="00C23715" w:rsidRPr="006B1632" w:rsidRDefault="00C23715">
      <w:pPr>
        <w:pStyle w:val="Odstavecseseznamem"/>
        <w:numPr>
          <w:ilvl w:val="0"/>
          <w:numId w:val="5"/>
        </w:numPr>
        <w:spacing w:after="0" w:line="240" w:lineRule="auto"/>
        <w:ind w:left="-284" w:hanging="284"/>
        <w:jc w:val="both"/>
        <w:rPr>
          <w:b/>
          <w:bCs/>
        </w:rPr>
      </w:pPr>
      <w:r w:rsidRPr="006B1632">
        <w:rPr>
          <w:b/>
          <w:bCs/>
        </w:rPr>
        <w:t>nařízení vlády č. 101/2005 Sb.</w:t>
      </w:r>
      <w:r w:rsidRPr="00DA41A1">
        <w:t>, o podrobnějších požadavcích na pracoviště a pracovní prostředí [zejména § 4 odst. 1 příloha, bod přílohy 10.2</w:t>
      </w:r>
      <w:r>
        <w:t xml:space="preserve">; </w:t>
      </w:r>
      <w:proofErr w:type="spellStart"/>
      <w:r>
        <w:t>ust</w:t>
      </w:r>
      <w:proofErr w:type="spellEnd"/>
      <w:r>
        <w:t xml:space="preserve">. </w:t>
      </w:r>
      <w:r w:rsidRPr="00DA41A1">
        <w:t>§ 3 odst. 1</w:t>
      </w:r>
      <w:r>
        <w:t xml:space="preserve">; </w:t>
      </w:r>
      <w:proofErr w:type="spellStart"/>
      <w:r>
        <w:t>ust</w:t>
      </w:r>
      <w:proofErr w:type="spellEnd"/>
      <w:r>
        <w:t>.</w:t>
      </w:r>
      <w:r w:rsidRPr="00DA41A1">
        <w:t xml:space="preserve"> § 4 odst. 1 příloha, bod přílohy 2.2.4],</w:t>
      </w:r>
    </w:p>
    <w:p w14:paraId="10B5A373" w14:textId="77777777" w:rsidR="00C23715" w:rsidRPr="006B1632" w:rsidRDefault="00C23715">
      <w:pPr>
        <w:pStyle w:val="Odstavecseseznamem"/>
        <w:numPr>
          <w:ilvl w:val="0"/>
          <w:numId w:val="5"/>
        </w:numPr>
        <w:spacing w:after="0" w:line="240" w:lineRule="auto"/>
        <w:ind w:left="-284" w:hanging="284"/>
        <w:jc w:val="both"/>
        <w:rPr>
          <w:b/>
          <w:bCs/>
        </w:rPr>
      </w:pPr>
      <w:r w:rsidRPr="006B1632">
        <w:rPr>
          <w:b/>
          <w:bCs/>
        </w:rPr>
        <w:t xml:space="preserve">zákon č. 309/2006 Sb., </w:t>
      </w:r>
      <w: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Pr="005D7D4C">
        <w:t>, ve znění pozdějších předpisů</w:t>
      </w:r>
      <w:r w:rsidRPr="006B1632">
        <w:rPr>
          <w:b/>
          <w:bCs/>
        </w:rPr>
        <w:t xml:space="preserve"> </w:t>
      </w:r>
      <w:r w:rsidRPr="00DA41A1">
        <w:t xml:space="preserve">[zejména </w:t>
      </w:r>
      <w:proofErr w:type="spellStart"/>
      <w:r w:rsidRPr="00DA41A1">
        <w:t>ust</w:t>
      </w:r>
      <w:proofErr w:type="spellEnd"/>
      <w:r w:rsidRPr="00DA41A1">
        <w:t xml:space="preserve">. § 4 odst. 1 písm. c); </w:t>
      </w:r>
      <w:proofErr w:type="spellStart"/>
      <w:r w:rsidRPr="00DA41A1">
        <w:t>ust</w:t>
      </w:r>
      <w:proofErr w:type="spellEnd"/>
      <w:r w:rsidRPr="00DA41A1">
        <w:t xml:space="preserve">. § 6 odst. 1; </w:t>
      </w:r>
      <w:proofErr w:type="spellStart"/>
      <w:r w:rsidRPr="00DA41A1">
        <w:t>ust</w:t>
      </w:r>
      <w:proofErr w:type="spellEnd"/>
      <w:r w:rsidRPr="00DA41A1">
        <w:t>.</w:t>
      </w:r>
      <w:r>
        <w:t> </w:t>
      </w:r>
      <w:r w:rsidRPr="00DA41A1">
        <w:t>§ 4 odst. 1 písm. a)].</w:t>
      </w:r>
    </w:p>
    <w:bookmarkEnd w:id="4"/>
    <w:p w14:paraId="234C3910" w14:textId="77777777" w:rsidR="00C23715" w:rsidRDefault="00C23715" w:rsidP="00A63A70">
      <w:pPr>
        <w:shd w:val="clear" w:color="auto" w:fill="FFFFFF"/>
        <w:spacing w:after="0" w:line="330" w:lineRule="atLeast"/>
        <w:jc w:val="both"/>
        <w:outlineLvl w:val="2"/>
        <w:rPr>
          <w:rFonts w:eastAsia="Times New Roman" w:cstheme="minorHAnsi"/>
          <w:b/>
          <w:bCs/>
          <w:lang w:eastAsia="cs-CZ"/>
        </w:rPr>
      </w:pPr>
    </w:p>
    <w:p w14:paraId="3E35DCD3" w14:textId="33CA3475" w:rsidR="00C23715" w:rsidRPr="003F5188" w:rsidRDefault="00C23715" w:rsidP="002A428B">
      <w:pPr>
        <w:shd w:val="clear" w:color="auto" w:fill="FFFFFF"/>
        <w:spacing w:after="0" w:line="330" w:lineRule="atLeast"/>
        <w:ind w:left="-567"/>
        <w:jc w:val="both"/>
        <w:outlineLvl w:val="2"/>
        <w:rPr>
          <w:rFonts w:eastAsia="Times New Roman" w:cstheme="minorHAnsi"/>
          <w:b/>
          <w:bCs/>
          <w:lang w:eastAsia="cs-CZ"/>
        </w:rPr>
      </w:pPr>
      <w:bookmarkStart w:id="5" w:name="_Toc172709952"/>
      <w:r w:rsidRPr="003F5188">
        <w:rPr>
          <w:rFonts w:eastAsia="Times New Roman" w:cstheme="minorHAnsi"/>
          <w:b/>
          <w:bCs/>
          <w:lang w:eastAsia="cs-CZ"/>
        </w:rPr>
        <w:t>Nej</w:t>
      </w:r>
      <w:r w:rsidR="009E7D12">
        <w:rPr>
          <w:rFonts w:eastAsia="Times New Roman" w:cstheme="minorHAnsi"/>
          <w:b/>
          <w:bCs/>
          <w:lang w:eastAsia="cs-CZ"/>
        </w:rPr>
        <w:t>častější</w:t>
      </w:r>
      <w:r w:rsidRPr="003F5188">
        <w:rPr>
          <w:rFonts w:eastAsia="Times New Roman" w:cstheme="minorHAnsi"/>
          <w:b/>
          <w:bCs/>
          <w:lang w:eastAsia="cs-CZ"/>
        </w:rPr>
        <w:t xml:space="preserve"> </w:t>
      </w:r>
      <w:r w:rsidR="009E7D12">
        <w:rPr>
          <w:rFonts w:eastAsia="Times New Roman" w:cstheme="minorHAnsi"/>
          <w:b/>
          <w:bCs/>
          <w:lang w:eastAsia="cs-CZ"/>
        </w:rPr>
        <w:t>rizikové faktory:</w:t>
      </w:r>
      <w:bookmarkEnd w:id="5"/>
    </w:p>
    <w:p w14:paraId="33656577" w14:textId="77777777" w:rsidR="00C23715" w:rsidRPr="00641DEE" w:rsidRDefault="00C23715">
      <w:pPr>
        <w:pStyle w:val="Odstavecseseznamem"/>
        <w:numPr>
          <w:ilvl w:val="0"/>
          <w:numId w:val="11"/>
        </w:numPr>
        <w:shd w:val="clear" w:color="auto" w:fill="FFFFFF"/>
        <w:spacing w:after="0" w:line="330" w:lineRule="atLeast"/>
        <w:ind w:left="142"/>
        <w:jc w:val="both"/>
        <w:rPr>
          <w:rFonts w:eastAsia="Times New Roman" w:cstheme="minorHAnsi"/>
          <w:lang w:eastAsia="cs-CZ"/>
        </w:rPr>
      </w:pPr>
      <w:r w:rsidRPr="00641DEE">
        <w:rPr>
          <w:rFonts w:eastAsia="Times New Roman" w:cstheme="minorHAnsi"/>
          <w:bdr w:val="none" w:sz="0" w:space="0" w:color="auto" w:frame="1"/>
          <w:lang w:eastAsia="cs-CZ"/>
        </w:rPr>
        <w:t>práce s mechanizací</w:t>
      </w:r>
    </w:p>
    <w:p w14:paraId="53F265C3" w14:textId="77777777" w:rsidR="00C23715" w:rsidRPr="00641DEE" w:rsidRDefault="00C23715">
      <w:pPr>
        <w:pStyle w:val="Odstavecseseznamem"/>
        <w:numPr>
          <w:ilvl w:val="0"/>
          <w:numId w:val="11"/>
        </w:numPr>
        <w:shd w:val="clear" w:color="auto" w:fill="FFFFFF"/>
        <w:spacing w:after="0" w:line="330" w:lineRule="atLeast"/>
        <w:ind w:left="142"/>
        <w:jc w:val="both"/>
        <w:rPr>
          <w:rFonts w:eastAsia="Times New Roman" w:cstheme="minorHAnsi"/>
          <w:lang w:eastAsia="cs-CZ"/>
        </w:rPr>
      </w:pPr>
      <w:r w:rsidRPr="00641DEE">
        <w:rPr>
          <w:rFonts w:eastAsia="Times New Roman" w:cstheme="minorHAnsi"/>
          <w:bdr w:val="none" w:sz="0" w:space="0" w:color="auto" w:frame="1"/>
          <w:lang w:eastAsia="cs-CZ"/>
        </w:rPr>
        <w:t>obsluha mechanizace</w:t>
      </w:r>
    </w:p>
    <w:p w14:paraId="1536DA63" w14:textId="77777777" w:rsidR="00C23715" w:rsidRPr="00641DEE" w:rsidRDefault="00C23715">
      <w:pPr>
        <w:pStyle w:val="Odstavecseseznamem"/>
        <w:numPr>
          <w:ilvl w:val="0"/>
          <w:numId w:val="11"/>
        </w:numPr>
        <w:shd w:val="clear" w:color="auto" w:fill="FFFFFF"/>
        <w:spacing w:after="0" w:line="330" w:lineRule="atLeast"/>
        <w:ind w:left="142"/>
        <w:jc w:val="both"/>
        <w:rPr>
          <w:rFonts w:eastAsia="Times New Roman" w:cstheme="minorHAnsi"/>
          <w:lang w:eastAsia="cs-CZ"/>
        </w:rPr>
      </w:pPr>
      <w:r w:rsidRPr="00641DEE">
        <w:rPr>
          <w:rFonts w:eastAsia="Times New Roman" w:cstheme="minorHAnsi"/>
          <w:bdr w:val="none" w:sz="0" w:space="0" w:color="auto" w:frame="1"/>
          <w:lang w:eastAsia="cs-CZ"/>
        </w:rPr>
        <w:t>hluk a vibrace</w:t>
      </w:r>
    </w:p>
    <w:p w14:paraId="7464B4B2" w14:textId="77777777" w:rsidR="00C23715" w:rsidRPr="00641DEE" w:rsidRDefault="00C23715">
      <w:pPr>
        <w:pStyle w:val="Odstavecseseznamem"/>
        <w:numPr>
          <w:ilvl w:val="0"/>
          <w:numId w:val="11"/>
        </w:numPr>
        <w:shd w:val="clear" w:color="auto" w:fill="FFFFFF"/>
        <w:spacing w:after="0" w:line="330" w:lineRule="atLeast"/>
        <w:ind w:left="142"/>
        <w:jc w:val="both"/>
        <w:rPr>
          <w:rFonts w:eastAsia="Times New Roman" w:cstheme="minorHAnsi"/>
          <w:lang w:eastAsia="cs-CZ"/>
        </w:rPr>
      </w:pPr>
      <w:r w:rsidRPr="00641DEE">
        <w:rPr>
          <w:rFonts w:eastAsia="Times New Roman" w:cstheme="minorHAnsi"/>
          <w:lang w:eastAsia="cs-CZ"/>
        </w:rPr>
        <w:t>manipulace se zvířaty (nakládání a vykládání zvířat), strojní dojení aj.</w:t>
      </w:r>
    </w:p>
    <w:p w14:paraId="5674FB5C" w14:textId="77777777" w:rsidR="00C23715" w:rsidRPr="00641DEE" w:rsidRDefault="00C23715">
      <w:pPr>
        <w:pStyle w:val="Odstavecseseznamem"/>
        <w:numPr>
          <w:ilvl w:val="0"/>
          <w:numId w:val="11"/>
        </w:numPr>
        <w:shd w:val="clear" w:color="auto" w:fill="FFFFFF"/>
        <w:spacing w:after="0" w:line="330" w:lineRule="atLeast"/>
        <w:ind w:left="142"/>
        <w:jc w:val="both"/>
        <w:rPr>
          <w:rFonts w:eastAsia="Times New Roman" w:cstheme="minorHAnsi"/>
          <w:lang w:eastAsia="cs-CZ"/>
        </w:rPr>
      </w:pPr>
      <w:r w:rsidRPr="00641DEE">
        <w:rPr>
          <w:rFonts w:eastAsia="Times New Roman" w:cstheme="minorHAnsi"/>
          <w:lang w:eastAsia="cs-CZ"/>
        </w:rPr>
        <w:t>manipulace s materiálem</w:t>
      </w:r>
    </w:p>
    <w:p w14:paraId="60DBEB6F" w14:textId="77777777" w:rsidR="00C23715" w:rsidRPr="00641DEE" w:rsidRDefault="00C23715">
      <w:pPr>
        <w:pStyle w:val="Odstavecseseznamem"/>
        <w:numPr>
          <w:ilvl w:val="0"/>
          <w:numId w:val="11"/>
        </w:numPr>
        <w:shd w:val="clear" w:color="auto" w:fill="FFFFFF"/>
        <w:spacing w:after="0" w:line="330" w:lineRule="atLeast"/>
        <w:ind w:left="142"/>
        <w:jc w:val="both"/>
        <w:rPr>
          <w:rFonts w:eastAsia="Times New Roman" w:cstheme="minorHAnsi"/>
          <w:lang w:eastAsia="cs-CZ"/>
        </w:rPr>
      </w:pPr>
      <w:r w:rsidRPr="00641DEE">
        <w:rPr>
          <w:rFonts w:eastAsia="Times New Roman" w:cstheme="minorHAnsi"/>
          <w:lang w:eastAsia="cs-CZ"/>
        </w:rPr>
        <w:t>čištění chlévů, přivazování, uvazování, vážení a veterinární a inseminační zákroky</w:t>
      </w:r>
    </w:p>
    <w:p w14:paraId="6FE3FA8E" w14:textId="78425FAE" w:rsidR="00C23715" w:rsidRDefault="00C23715">
      <w:pPr>
        <w:pStyle w:val="Odstavecseseznamem"/>
        <w:numPr>
          <w:ilvl w:val="0"/>
          <w:numId w:val="11"/>
        </w:numPr>
        <w:shd w:val="clear" w:color="auto" w:fill="FFFFFF"/>
        <w:spacing w:after="0" w:line="330" w:lineRule="atLeast"/>
        <w:ind w:left="142"/>
        <w:jc w:val="both"/>
        <w:rPr>
          <w:rFonts w:eastAsia="Times New Roman" w:cstheme="minorHAnsi"/>
          <w:lang w:eastAsia="cs-CZ"/>
        </w:rPr>
      </w:pPr>
      <w:r w:rsidRPr="00641DEE">
        <w:rPr>
          <w:rFonts w:eastAsia="Times New Roman" w:cstheme="minorHAnsi"/>
          <w:lang w:eastAsia="cs-CZ"/>
        </w:rPr>
        <w:t>čištění jímek, silážních věží a zásobníků (jsou zdrojem nebezpečných plynů)</w:t>
      </w:r>
    </w:p>
    <w:p w14:paraId="118B1126" w14:textId="1FB2655C" w:rsidR="009D2F52" w:rsidRDefault="009D2F52">
      <w:pPr>
        <w:pStyle w:val="Odstavecseseznamem"/>
        <w:numPr>
          <w:ilvl w:val="0"/>
          <w:numId w:val="11"/>
        </w:numPr>
        <w:shd w:val="clear" w:color="auto" w:fill="FFFFFF"/>
        <w:spacing w:after="0" w:line="330" w:lineRule="atLeast"/>
        <w:ind w:left="142"/>
        <w:jc w:val="both"/>
        <w:rPr>
          <w:rFonts w:eastAsia="Times New Roman" w:cstheme="minorHAnsi"/>
          <w:lang w:eastAsia="cs-CZ"/>
        </w:rPr>
      </w:pPr>
      <w:r>
        <w:rPr>
          <w:rFonts w:eastAsia="Times New Roman" w:cstheme="minorHAnsi"/>
          <w:lang w:eastAsia="cs-CZ"/>
        </w:rPr>
        <w:t>informovanost a školení pracovníků</w:t>
      </w:r>
    </w:p>
    <w:p w14:paraId="54996512" w14:textId="478FECA2" w:rsidR="009D2F52" w:rsidRPr="009D2F52" w:rsidRDefault="009D2F52">
      <w:pPr>
        <w:pStyle w:val="Odstavecseseznamem"/>
        <w:numPr>
          <w:ilvl w:val="0"/>
          <w:numId w:val="11"/>
        </w:numPr>
        <w:shd w:val="clear" w:color="auto" w:fill="FFFFFF"/>
        <w:spacing w:after="0" w:line="330" w:lineRule="atLeast"/>
        <w:ind w:left="142"/>
        <w:jc w:val="both"/>
        <w:rPr>
          <w:rFonts w:eastAsia="Times New Roman" w:cstheme="minorHAnsi"/>
          <w:lang w:eastAsia="cs-CZ"/>
        </w:rPr>
      </w:pPr>
      <w:r w:rsidRPr="00FA20BF">
        <w:rPr>
          <w:rFonts w:eastAsia="Times New Roman"/>
        </w:rPr>
        <w:t xml:space="preserve">ergonomie, psychosociálních determinantů zdraví a celkového </w:t>
      </w:r>
      <w:proofErr w:type="spellStart"/>
      <w:r w:rsidRPr="00FA20BF">
        <w:rPr>
          <w:rFonts w:eastAsia="Times New Roman"/>
        </w:rPr>
        <w:t>well-beingu</w:t>
      </w:r>
      <w:proofErr w:type="spellEnd"/>
      <w:r w:rsidRPr="00FA20BF">
        <w:rPr>
          <w:rFonts w:eastAsia="Times New Roman"/>
        </w:rPr>
        <w:t xml:space="preserve"> zaměstnanců specificky v </w:t>
      </w:r>
      <w:proofErr w:type="spellStart"/>
      <w:r w:rsidRPr="00FA20BF">
        <w:rPr>
          <w:rFonts w:eastAsia="Times New Roman"/>
        </w:rPr>
        <w:t>agri</w:t>
      </w:r>
      <w:proofErr w:type="spellEnd"/>
      <w:r w:rsidRPr="00FA20BF">
        <w:rPr>
          <w:rFonts w:eastAsia="Times New Roman"/>
        </w:rPr>
        <w:t>-sektoru</w:t>
      </w:r>
    </w:p>
    <w:p w14:paraId="7DA09AFD" w14:textId="3628C019" w:rsidR="009D2F52" w:rsidRPr="009D2F52" w:rsidRDefault="009D2F52">
      <w:pPr>
        <w:pStyle w:val="Odstavecseseznamem"/>
        <w:numPr>
          <w:ilvl w:val="0"/>
          <w:numId w:val="11"/>
        </w:numPr>
        <w:shd w:val="clear" w:color="auto" w:fill="FFFFFF"/>
        <w:spacing w:after="0" w:line="330" w:lineRule="atLeast"/>
        <w:ind w:left="142"/>
        <w:jc w:val="both"/>
        <w:rPr>
          <w:rFonts w:eastAsia="Times New Roman" w:cstheme="minorHAnsi"/>
          <w:lang w:eastAsia="cs-CZ"/>
        </w:rPr>
      </w:pPr>
      <w:r>
        <w:rPr>
          <w:rFonts w:eastAsia="Times New Roman"/>
        </w:rPr>
        <w:t xml:space="preserve">náročná fyzická zátěž </w:t>
      </w:r>
    </w:p>
    <w:p w14:paraId="4061201C" w14:textId="00647FA9" w:rsidR="009D2F52" w:rsidRPr="009D2F52" w:rsidRDefault="009D2F52">
      <w:pPr>
        <w:pStyle w:val="Odstavecseseznamem"/>
        <w:numPr>
          <w:ilvl w:val="0"/>
          <w:numId w:val="11"/>
        </w:numPr>
        <w:shd w:val="clear" w:color="auto" w:fill="FFFFFF"/>
        <w:spacing w:after="0" w:line="330" w:lineRule="atLeast"/>
        <w:ind w:left="142"/>
        <w:jc w:val="both"/>
        <w:rPr>
          <w:rFonts w:eastAsia="Times New Roman" w:cstheme="minorHAnsi"/>
          <w:lang w:eastAsia="cs-CZ"/>
        </w:rPr>
      </w:pPr>
      <w:r>
        <w:rPr>
          <w:rFonts w:eastAsia="Times New Roman"/>
        </w:rPr>
        <w:t>stres, monotónnost</w:t>
      </w:r>
    </w:p>
    <w:p w14:paraId="5C037EE9" w14:textId="1CD9EA39" w:rsidR="009D2F52" w:rsidRDefault="009D2F52">
      <w:pPr>
        <w:pStyle w:val="Odstavecseseznamem"/>
        <w:numPr>
          <w:ilvl w:val="0"/>
          <w:numId w:val="11"/>
        </w:numPr>
        <w:shd w:val="clear" w:color="auto" w:fill="FFFFFF"/>
        <w:spacing w:after="0" w:line="330" w:lineRule="atLeast"/>
        <w:ind w:left="142"/>
        <w:jc w:val="both"/>
        <w:rPr>
          <w:rFonts w:eastAsia="Times New Roman" w:cstheme="minorHAnsi"/>
          <w:lang w:eastAsia="cs-CZ"/>
        </w:rPr>
      </w:pPr>
      <w:r>
        <w:rPr>
          <w:rFonts w:eastAsia="Times New Roman"/>
        </w:rPr>
        <w:t>psychosociální rizika</w:t>
      </w:r>
    </w:p>
    <w:p w14:paraId="30A24BF1" w14:textId="77777777" w:rsidR="009D2F52" w:rsidRDefault="009D2F52" w:rsidP="009D2F52">
      <w:pPr>
        <w:shd w:val="clear" w:color="auto" w:fill="FFFFFF"/>
        <w:spacing w:after="0" w:line="330" w:lineRule="atLeast"/>
        <w:jc w:val="both"/>
        <w:rPr>
          <w:rFonts w:eastAsia="Times New Roman" w:cstheme="minorHAnsi"/>
          <w:lang w:eastAsia="cs-CZ"/>
        </w:rPr>
      </w:pPr>
    </w:p>
    <w:p w14:paraId="149A71CA" w14:textId="77777777" w:rsidR="00D96C89" w:rsidRPr="007D13AC" w:rsidRDefault="00D96C89" w:rsidP="006153C7">
      <w:pPr>
        <w:pStyle w:val="Nadpis2"/>
        <w:numPr>
          <w:ilvl w:val="0"/>
          <w:numId w:val="22"/>
        </w:numPr>
        <w:rPr>
          <w:rFonts w:eastAsia="Times New Roman"/>
          <w:lang w:eastAsia="cs-CZ"/>
        </w:rPr>
      </w:pPr>
      <w:bookmarkStart w:id="6" w:name="_Toc172709953"/>
      <w:bookmarkStart w:id="7" w:name="_Toc172710066"/>
      <w:r w:rsidRPr="007D13AC">
        <w:rPr>
          <w:rFonts w:eastAsia="Times New Roman"/>
          <w:lang w:eastAsia="cs-CZ"/>
        </w:rPr>
        <w:t>Prevence rizik v lesnictví</w:t>
      </w:r>
      <w:bookmarkEnd w:id="6"/>
      <w:bookmarkEnd w:id="7"/>
    </w:p>
    <w:p w14:paraId="040C2170" w14:textId="77777777" w:rsidR="00D96C89" w:rsidRDefault="00D96C89" w:rsidP="00D96C89">
      <w:pPr>
        <w:shd w:val="clear" w:color="auto" w:fill="FFFFFF"/>
        <w:spacing w:after="0" w:line="240" w:lineRule="auto"/>
        <w:jc w:val="both"/>
        <w:rPr>
          <w:rFonts w:ascii="Calibri" w:eastAsia="Times New Roman" w:hAnsi="Calibri" w:cs="Calibri"/>
          <w:color w:val="212529"/>
          <w:lang w:eastAsia="cs-CZ"/>
        </w:rPr>
      </w:pPr>
    </w:p>
    <w:p w14:paraId="606B6B00" w14:textId="37057CB5" w:rsidR="00D96C89" w:rsidRPr="005A22E2" w:rsidRDefault="00D96C89" w:rsidP="002A428B">
      <w:pPr>
        <w:shd w:val="clear" w:color="auto" w:fill="FFFFFF"/>
        <w:spacing w:after="0" w:line="240" w:lineRule="auto"/>
        <w:ind w:left="-426"/>
        <w:jc w:val="both"/>
        <w:rPr>
          <w:rFonts w:ascii="Calibri" w:eastAsia="Times New Roman" w:hAnsi="Calibri" w:cs="Calibri"/>
          <w:color w:val="222222"/>
          <w:lang w:eastAsia="cs-CZ"/>
        </w:rPr>
      </w:pPr>
      <w:r w:rsidRPr="005A22E2">
        <w:rPr>
          <w:rFonts w:ascii="Calibri" w:eastAsia="Times New Roman" w:hAnsi="Calibri" w:cs="Calibri"/>
          <w:color w:val="212529"/>
          <w:lang w:eastAsia="cs-CZ"/>
        </w:rPr>
        <w:t>Lesnictví je jedním z nejnebezpečnějších pracovních odvětví</w:t>
      </w:r>
      <w:r>
        <w:rPr>
          <w:rFonts w:ascii="Calibri" w:eastAsia="Times New Roman" w:hAnsi="Calibri" w:cs="Calibri"/>
          <w:color w:val="212529"/>
          <w:lang w:eastAsia="cs-CZ"/>
        </w:rPr>
        <w:t xml:space="preserve">. </w:t>
      </w:r>
      <w:r w:rsidRPr="005A22E2">
        <w:rPr>
          <w:rFonts w:ascii="Calibri" w:eastAsia="Times New Roman" w:hAnsi="Calibri" w:cs="Calibri"/>
          <w:color w:val="212529"/>
          <w:lang w:eastAsia="cs-CZ"/>
        </w:rPr>
        <w:t>Vykazuje vysokou míru úrazovosti při používání vozidel, strojů a zacházení s hospodářskými zvířaty. Rizik</w:t>
      </w:r>
      <w:r>
        <w:rPr>
          <w:rFonts w:ascii="Calibri" w:eastAsia="Times New Roman" w:hAnsi="Calibri" w:cs="Calibri"/>
          <w:color w:val="212529"/>
          <w:lang w:eastAsia="cs-CZ"/>
        </w:rPr>
        <w:t>ovými faktory j</w:t>
      </w:r>
      <w:r w:rsidRPr="005A22E2">
        <w:rPr>
          <w:rFonts w:ascii="Calibri" w:eastAsia="Times New Roman" w:hAnsi="Calibri" w:cs="Calibri"/>
          <w:color w:val="212529"/>
          <w:lang w:eastAsia="cs-CZ"/>
        </w:rPr>
        <w:t>sou také expozice chemický</w:t>
      </w:r>
      <w:r>
        <w:rPr>
          <w:rFonts w:ascii="Calibri" w:eastAsia="Times New Roman" w:hAnsi="Calibri" w:cs="Calibri"/>
          <w:color w:val="212529"/>
          <w:lang w:eastAsia="cs-CZ"/>
        </w:rPr>
        <w:t xml:space="preserve">ch </w:t>
      </w:r>
      <w:r w:rsidRPr="005A22E2">
        <w:rPr>
          <w:rFonts w:ascii="Calibri" w:eastAsia="Times New Roman" w:hAnsi="Calibri" w:cs="Calibri"/>
          <w:color w:val="212529"/>
          <w:lang w:eastAsia="cs-CZ"/>
        </w:rPr>
        <w:t>pesticidů</w:t>
      </w:r>
      <w:r>
        <w:rPr>
          <w:rFonts w:ascii="Calibri" w:eastAsia="Times New Roman" w:hAnsi="Calibri" w:cs="Calibri"/>
          <w:color w:val="212529"/>
          <w:lang w:eastAsia="cs-CZ"/>
        </w:rPr>
        <w:t xml:space="preserve">, </w:t>
      </w:r>
      <w:r w:rsidRPr="005A22E2">
        <w:rPr>
          <w:rFonts w:ascii="Calibri" w:eastAsia="Times New Roman" w:hAnsi="Calibri" w:cs="Calibri"/>
          <w:color w:val="212529"/>
          <w:lang w:eastAsia="cs-CZ"/>
        </w:rPr>
        <w:t>vibrac</w:t>
      </w:r>
      <w:r>
        <w:rPr>
          <w:rFonts w:ascii="Calibri" w:eastAsia="Times New Roman" w:hAnsi="Calibri" w:cs="Calibri"/>
          <w:color w:val="212529"/>
          <w:lang w:eastAsia="cs-CZ"/>
        </w:rPr>
        <w:t xml:space="preserve">e, </w:t>
      </w:r>
      <w:r w:rsidRPr="005A22E2">
        <w:rPr>
          <w:rFonts w:ascii="Calibri" w:eastAsia="Times New Roman" w:hAnsi="Calibri" w:cs="Calibri"/>
          <w:color w:val="212529"/>
          <w:lang w:eastAsia="cs-CZ"/>
        </w:rPr>
        <w:t xml:space="preserve">hluku a </w:t>
      </w:r>
      <w:r>
        <w:rPr>
          <w:rFonts w:ascii="Calibri" w:eastAsia="Times New Roman" w:hAnsi="Calibri" w:cs="Calibri"/>
          <w:color w:val="212529"/>
          <w:lang w:eastAsia="cs-CZ"/>
        </w:rPr>
        <w:t xml:space="preserve">zejména </w:t>
      </w:r>
      <w:r w:rsidRPr="005A22E2">
        <w:rPr>
          <w:rFonts w:ascii="Calibri" w:eastAsia="Times New Roman" w:hAnsi="Calibri" w:cs="Calibri"/>
          <w:color w:val="212529"/>
          <w:lang w:eastAsia="cs-CZ"/>
        </w:rPr>
        <w:t>skutečnosti, že jsou t</w:t>
      </w:r>
      <w:r w:rsidRPr="005A22E2">
        <w:rPr>
          <w:rFonts w:ascii="Calibri" w:eastAsia="Times New Roman" w:hAnsi="Calibri" w:cs="Calibri"/>
          <w:color w:val="222222"/>
          <w:lang w:eastAsia="cs-CZ"/>
        </w:rPr>
        <w:t>yto práce v průběhu roku prováděny za měnících se podmínek (zejména klimatických a podmínek daného pracoviště</w:t>
      </w:r>
      <w:r w:rsidR="00870A84">
        <w:rPr>
          <w:rFonts w:ascii="Calibri" w:eastAsia="Times New Roman" w:hAnsi="Calibri" w:cs="Calibri"/>
          <w:color w:val="222222"/>
          <w:lang w:eastAsia="cs-CZ"/>
        </w:rPr>
        <w:t>)</w:t>
      </w:r>
      <w:r>
        <w:rPr>
          <w:rFonts w:ascii="Calibri" w:eastAsia="Times New Roman" w:hAnsi="Calibri" w:cs="Calibri"/>
          <w:color w:val="222222"/>
          <w:lang w:eastAsia="cs-CZ"/>
        </w:rPr>
        <w:t>.</w:t>
      </w:r>
    </w:p>
    <w:p w14:paraId="13F4CA60" w14:textId="77777777" w:rsidR="00D96C89" w:rsidRDefault="00D96C89" w:rsidP="00D96C89">
      <w:pPr>
        <w:shd w:val="clear" w:color="auto" w:fill="FFFFFF"/>
        <w:spacing w:after="0" w:line="240" w:lineRule="auto"/>
        <w:jc w:val="both"/>
        <w:rPr>
          <w:rFonts w:ascii="Calibri" w:eastAsia="Times New Roman" w:hAnsi="Calibri" w:cs="Calibri"/>
          <w:color w:val="222222"/>
          <w:lang w:eastAsia="cs-CZ"/>
        </w:rPr>
      </w:pPr>
    </w:p>
    <w:tbl>
      <w:tblPr>
        <w:tblStyle w:val="Mkatabulky"/>
        <w:tblW w:w="0" w:type="auto"/>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00"/>
        <w:gridCol w:w="2261"/>
        <w:gridCol w:w="2261"/>
        <w:gridCol w:w="2261"/>
      </w:tblGrid>
      <w:tr w:rsidR="00D96C89" w14:paraId="75442027" w14:textId="77777777" w:rsidTr="002A428B">
        <w:tc>
          <w:tcPr>
            <w:tcW w:w="2700" w:type="dxa"/>
            <w:shd w:val="clear" w:color="auto" w:fill="D9E2F3" w:themeFill="accent1" w:themeFillTint="33"/>
          </w:tcPr>
          <w:p w14:paraId="31048384" w14:textId="77777777" w:rsidR="00D96C89" w:rsidRPr="00E57BC0" w:rsidRDefault="00D96C89" w:rsidP="00E83DBF">
            <w:pPr>
              <w:contextualSpacing/>
              <w:jc w:val="both"/>
              <w:rPr>
                <w:b/>
                <w:bCs/>
              </w:rPr>
            </w:pPr>
            <w:r>
              <w:rPr>
                <w:b/>
                <w:bCs/>
              </w:rPr>
              <w:t>Druh PÚ v lesnictví</w:t>
            </w:r>
          </w:p>
        </w:tc>
        <w:tc>
          <w:tcPr>
            <w:tcW w:w="2261" w:type="dxa"/>
            <w:shd w:val="clear" w:color="auto" w:fill="D9E2F3" w:themeFill="accent1" w:themeFillTint="33"/>
          </w:tcPr>
          <w:p w14:paraId="1536331A" w14:textId="77777777" w:rsidR="00D96C89" w:rsidRPr="00E57BC0" w:rsidRDefault="00D96C89" w:rsidP="00E83DBF">
            <w:pPr>
              <w:contextualSpacing/>
              <w:jc w:val="both"/>
              <w:rPr>
                <w:b/>
                <w:bCs/>
              </w:rPr>
            </w:pPr>
            <w:r>
              <w:rPr>
                <w:b/>
                <w:bCs/>
              </w:rPr>
              <w:t>Smrtelný</w:t>
            </w:r>
          </w:p>
        </w:tc>
        <w:tc>
          <w:tcPr>
            <w:tcW w:w="2261" w:type="dxa"/>
            <w:shd w:val="clear" w:color="auto" w:fill="D9E2F3" w:themeFill="accent1" w:themeFillTint="33"/>
          </w:tcPr>
          <w:p w14:paraId="5B531F3F" w14:textId="77777777" w:rsidR="00D96C89" w:rsidRPr="00E57BC0" w:rsidRDefault="00D96C89" w:rsidP="00E83DBF">
            <w:pPr>
              <w:contextualSpacing/>
              <w:jc w:val="both"/>
              <w:rPr>
                <w:b/>
                <w:bCs/>
              </w:rPr>
            </w:pPr>
            <w:r>
              <w:rPr>
                <w:b/>
                <w:bCs/>
              </w:rPr>
              <w:t>Závažný</w:t>
            </w:r>
          </w:p>
        </w:tc>
        <w:tc>
          <w:tcPr>
            <w:tcW w:w="2261" w:type="dxa"/>
            <w:shd w:val="clear" w:color="auto" w:fill="D9E2F3" w:themeFill="accent1" w:themeFillTint="33"/>
          </w:tcPr>
          <w:p w14:paraId="1EE29393" w14:textId="77777777" w:rsidR="00D96C89" w:rsidRPr="00E57BC0" w:rsidRDefault="00D96C89" w:rsidP="00E83DBF">
            <w:pPr>
              <w:contextualSpacing/>
              <w:jc w:val="both"/>
              <w:rPr>
                <w:b/>
                <w:bCs/>
              </w:rPr>
            </w:pPr>
            <w:r>
              <w:rPr>
                <w:b/>
                <w:bCs/>
              </w:rPr>
              <w:t>Ostatní</w:t>
            </w:r>
          </w:p>
        </w:tc>
      </w:tr>
      <w:tr w:rsidR="00D96C89" w14:paraId="1F3F2A17" w14:textId="77777777" w:rsidTr="002A428B">
        <w:tc>
          <w:tcPr>
            <w:tcW w:w="2700" w:type="dxa"/>
          </w:tcPr>
          <w:p w14:paraId="35368ED1" w14:textId="77777777" w:rsidR="00D96C89" w:rsidRDefault="00D96C89" w:rsidP="00E83DBF">
            <w:pPr>
              <w:contextualSpacing/>
              <w:jc w:val="both"/>
              <w:rPr>
                <w:b/>
                <w:bCs/>
              </w:rPr>
            </w:pPr>
            <w:r>
              <w:rPr>
                <w:b/>
                <w:bCs/>
              </w:rPr>
              <w:t>Rok 2021</w:t>
            </w:r>
          </w:p>
        </w:tc>
        <w:tc>
          <w:tcPr>
            <w:tcW w:w="2261" w:type="dxa"/>
          </w:tcPr>
          <w:p w14:paraId="0911BDF2" w14:textId="77777777" w:rsidR="00D96C89" w:rsidRDefault="00D96C89" w:rsidP="00E83DBF">
            <w:pPr>
              <w:contextualSpacing/>
              <w:jc w:val="both"/>
            </w:pPr>
            <w:r w:rsidRPr="0017252D">
              <w:t>6</w:t>
            </w:r>
          </w:p>
        </w:tc>
        <w:tc>
          <w:tcPr>
            <w:tcW w:w="2261" w:type="dxa"/>
          </w:tcPr>
          <w:p w14:paraId="08B0B479" w14:textId="77777777" w:rsidR="00D96C89" w:rsidRDefault="00D96C89" w:rsidP="00E83DBF">
            <w:pPr>
              <w:contextualSpacing/>
              <w:jc w:val="both"/>
            </w:pPr>
            <w:r w:rsidRPr="0017252D">
              <w:t>25</w:t>
            </w:r>
          </w:p>
        </w:tc>
        <w:tc>
          <w:tcPr>
            <w:tcW w:w="2261" w:type="dxa"/>
          </w:tcPr>
          <w:p w14:paraId="7E084B56" w14:textId="77777777" w:rsidR="00D96C89" w:rsidRDefault="00D96C89" w:rsidP="00E83DBF">
            <w:pPr>
              <w:contextualSpacing/>
              <w:jc w:val="both"/>
            </w:pPr>
            <w:r w:rsidRPr="0017252D">
              <w:t>862</w:t>
            </w:r>
          </w:p>
        </w:tc>
      </w:tr>
      <w:tr w:rsidR="00D96C89" w14:paraId="62F6105E" w14:textId="77777777" w:rsidTr="002A428B">
        <w:tc>
          <w:tcPr>
            <w:tcW w:w="2700" w:type="dxa"/>
          </w:tcPr>
          <w:p w14:paraId="553E73F8" w14:textId="77777777" w:rsidR="00D96C89" w:rsidRDefault="00D96C89" w:rsidP="00E83DBF">
            <w:pPr>
              <w:contextualSpacing/>
              <w:jc w:val="both"/>
              <w:rPr>
                <w:b/>
                <w:bCs/>
              </w:rPr>
            </w:pPr>
            <w:r>
              <w:rPr>
                <w:b/>
                <w:bCs/>
              </w:rPr>
              <w:t>Rok 2022</w:t>
            </w:r>
          </w:p>
        </w:tc>
        <w:tc>
          <w:tcPr>
            <w:tcW w:w="2261" w:type="dxa"/>
          </w:tcPr>
          <w:p w14:paraId="57F3D319" w14:textId="77777777" w:rsidR="00D96C89" w:rsidRDefault="00D96C89" w:rsidP="00E83DBF">
            <w:pPr>
              <w:contextualSpacing/>
              <w:jc w:val="both"/>
            </w:pPr>
            <w:r w:rsidRPr="0017252D">
              <w:t>4</w:t>
            </w:r>
          </w:p>
        </w:tc>
        <w:tc>
          <w:tcPr>
            <w:tcW w:w="2261" w:type="dxa"/>
          </w:tcPr>
          <w:p w14:paraId="3FF65666" w14:textId="77777777" w:rsidR="00D96C89" w:rsidRDefault="00D96C89" w:rsidP="00E83DBF">
            <w:pPr>
              <w:contextualSpacing/>
              <w:jc w:val="both"/>
            </w:pPr>
            <w:r w:rsidRPr="0017252D">
              <w:t>26</w:t>
            </w:r>
          </w:p>
        </w:tc>
        <w:tc>
          <w:tcPr>
            <w:tcW w:w="2261" w:type="dxa"/>
          </w:tcPr>
          <w:p w14:paraId="685D6B9B" w14:textId="77777777" w:rsidR="00D96C89" w:rsidRDefault="00D96C89" w:rsidP="00E83DBF">
            <w:pPr>
              <w:contextualSpacing/>
              <w:jc w:val="both"/>
            </w:pPr>
            <w:r w:rsidRPr="0017252D">
              <w:t>827</w:t>
            </w:r>
          </w:p>
        </w:tc>
      </w:tr>
      <w:tr w:rsidR="0045449E" w14:paraId="7E8B509E" w14:textId="77777777" w:rsidTr="002A428B">
        <w:tc>
          <w:tcPr>
            <w:tcW w:w="2700" w:type="dxa"/>
          </w:tcPr>
          <w:p w14:paraId="781F5B00" w14:textId="5FC259D2" w:rsidR="0045449E" w:rsidRDefault="0045449E" w:rsidP="00E83DBF">
            <w:pPr>
              <w:contextualSpacing/>
              <w:jc w:val="both"/>
              <w:rPr>
                <w:b/>
                <w:bCs/>
              </w:rPr>
            </w:pPr>
            <w:r>
              <w:rPr>
                <w:b/>
                <w:bCs/>
              </w:rPr>
              <w:t>Rok 2023 k 24.11.2023</w:t>
            </w:r>
          </w:p>
        </w:tc>
        <w:tc>
          <w:tcPr>
            <w:tcW w:w="2261" w:type="dxa"/>
          </w:tcPr>
          <w:p w14:paraId="65F2F739" w14:textId="41A0BE46" w:rsidR="0045449E" w:rsidRPr="0017252D" w:rsidRDefault="0045449E" w:rsidP="00E83DBF">
            <w:pPr>
              <w:contextualSpacing/>
              <w:jc w:val="both"/>
            </w:pPr>
            <w:r>
              <w:t>0</w:t>
            </w:r>
          </w:p>
        </w:tc>
        <w:tc>
          <w:tcPr>
            <w:tcW w:w="2261" w:type="dxa"/>
          </w:tcPr>
          <w:p w14:paraId="35033906" w14:textId="6163D5CD" w:rsidR="0045449E" w:rsidRPr="0017252D" w:rsidRDefault="0045449E" w:rsidP="00E83DBF">
            <w:pPr>
              <w:contextualSpacing/>
              <w:jc w:val="both"/>
            </w:pPr>
            <w:r>
              <w:t>20</w:t>
            </w:r>
          </w:p>
        </w:tc>
        <w:tc>
          <w:tcPr>
            <w:tcW w:w="2261" w:type="dxa"/>
          </w:tcPr>
          <w:p w14:paraId="57AF638F" w14:textId="2EACEEBC" w:rsidR="0045449E" w:rsidRPr="0017252D" w:rsidRDefault="0045449E" w:rsidP="00E83DBF">
            <w:pPr>
              <w:contextualSpacing/>
              <w:jc w:val="both"/>
            </w:pPr>
            <w:r>
              <w:t>668</w:t>
            </w:r>
          </w:p>
        </w:tc>
      </w:tr>
    </w:tbl>
    <w:p w14:paraId="14DED80B" w14:textId="77777777" w:rsidR="00D96C89" w:rsidRDefault="00D96C89" w:rsidP="00D96C89">
      <w:pPr>
        <w:spacing w:after="0" w:line="240" w:lineRule="auto"/>
        <w:contextualSpacing/>
        <w:jc w:val="both"/>
        <w:rPr>
          <w:b/>
          <w:bCs/>
        </w:rPr>
      </w:pPr>
    </w:p>
    <w:p w14:paraId="4412D512" w14:textId="77777777" w:rsidR="00D96C89" w:rsidRDefault="00D96C89" w:rsidP="002A428B">
      <w:pPr>
        <w:spacing w:after="0" w:line="240" w:lineRule="auto"/>
        <w:ind w:left="-426"/>
        <w:contextualSpacing/>
        <w:jc w:val="both"/>
        <w:rPr>
          <w:b/>
          <w:bCs/>
        </w:rPr>
      </w:pPr>
      <w:r>
        <w:rPr>
          <w:b/>
          <w:bCs/>
        </w:rPr>
        <w:t>Nejčastější zdroje PÚ:</w:t>
      </w:r>
    </w:p>
    <w:p w14:paraId="2184DA6C" w14:textId="24BC0B1F" w:rsidR="00D96C89" w:rsidRDefault="00D96C89">
      <w:pPr>
        <w:pStyle w:val="Odstavecseseznamem"/>
        <w:numPr>
          <w:ilvl w:val="0"/>
          <w:numId w:val="6"/>
        </w:numPr>
        <w:ind w:left="0" w:hanging="284"/>
        <w:jc w:val="both"/>
      </w:pPr>
      <w:r>
        <w:t>Materiály, předměty, výrobky, součásti, strojů a vozidel, úlomky, prach</w:t>
      </w:r>
      <w:r w:rsidR="000A1797">
        <w:t>,</w:t>
      </w:r>
    </w:p>
    <w:p w14:paraId="00BC34A2" w14:textId="0ADEB84F" w:rsidR="00D96C89" w:rsidRPr="008F2F13" w:rsidRDefault="00D96C89">
      <w:pPr>
        <w:pStyle w:val="Odstavecseseznamem"/>
        <w:numPr>
          <w:ilvl w:val="0"/>
          <w:numId w:val="6"/>
        </w:numPr>
        <w:ind w:left="0" w:hanging="284"/>
        <w:jc w:val="both"/>
      </w:pPr>
      <w:r w:rsidRPr="008F2F13">
        <w:t>Budovy, stavební konstrukce, povrchy – v úrovni země (uvnitř i vně, pevné či mobilní, dočasné nebo trvalé)</w:t>
      </w:r>
      <w:r w:rsidR="000A1797">
        <w:t>,</w:t>
      </w:r>
    </w:p>
    <w:p w14:paraId="4F3BE4B2" w14:textId="1D3D023A" w:rsidR="00D96C89" w:rsidRDefault="00D96C89">
      <w:pPr>
        <w:pStyle w:val="Odstavecseseznamem"/>
        <w:numPr>
          <w:ilvl w:val="0"/>
          <w:numId w:val="6"/>
        </w:numPr>
        <w:ind w:left="0" w:hanging="284"/>
        <w:jc w:val="both"/>
      </w:pPr>
      <w:r>
        <w:t>Stroje a zařízení stabilní</w:t>
      </w:r>
      <w:r w:rsidR="000A1797">
        <w:t>.</w:t>
      </w:r>
    </w:p>
    <w:p w14:paraId="47C16332" w14:textId="77777777" w:rsidR="00D96C89" w:rsidRPr="00A86AF3" w:rsidRDefault="00D96C89" w:rsidP="00D96C89">
      <w:pPr>
        <w:pStyle w:val="Odstavecseseznamem"/>
        <w:spacing w:after="0" w:line="240" w:lineRule="auto"/>
        <w:ind w:left="284"/>
        <w:jc w:val="both"/>
      </w:pPr>
    </w:p>
    <w:p w14:paraId="610754FF" w14:textId="77777777" w:rsidR="00D96C89" w:rsidRDefault="00D96C89" w:rsidP="002A428B">
      <w:pPr>
        <w:spacing w:after="0" w:line="240" w:lineRule="auto"/>
        <w:ind w:left="-426"/>
        <w:contextualSpacing/>
        <w:jc w:val="both"/>
        <w:rPr>
          <w:b/>
          <w:bCs/>
        </w:rPr>
      </w:pPr>
      <w:r>
        <w:rPr>
          <w:b/>
          <w:bCs/>
        </w:rPr>
        <w:t>Nejčastější příčiny PÚ:</w:t>
      </w:r>
    </w:p>
    <w:p w14:paraId="7154A0B0" w14:textId="77777777" w:rsidR="00D96C89" w:rsidRDefault="00D96C89">
      <w:pPr>
        <w:pStyle w:val="Odstavecseseznamem"/>
        <w:numPr>
          <w:ilvl w:val="0"/>
          <w:numId w:val="5"/>
        </w:numPr>
        <w:spacing w:after="0" w:line="240" w:lineRule="auto"/>
        <w:ind w:left="0" w:hanging="284"/>
        <w:jc w:val="both"/>
      </w:pPr>
      <w:r>
        <w:t>Špatně nebo nedostatečně odhadnuté riziko,</w:t>
      </w:r>
    </w:p>
    <w:p w14:paraId="56A568E9" w14:textId="77777777" w:rsidR="00D96C89" w:rsidRDefault="00D96C89">
      <w:pPr>
        <w:pStyle w:val="Odstavecseseznamem"/>
        <w:numPr>
          <w:ilvl w:val="0"/>
          <w:numId w:val="5"/>
        </w:numPr>
        <w:spacing w:after="0" w:line="240" w:lineRule="auto"/>
        <w:ind w:left="0" w:hanging="284"/>
        <w:jc w:val="both"/>
      </w:pPr>
      <w:r>
        <w:t>Používání nebezpečných postupů nebo způsobu práce včetně jednání bez oprávnění, proti zákazu, prodlévání v ohroženém prostoru,</w:t>
      </w:r>
    </w:p>
    <w:p w14:paraId="22B69EEB" w14:textId="77777777" w:rsidR="00D96C89" w:rsidRPr="00421407" w:rsidRDefault="00D96C89">
      <w:pPr>
        <w:pStyle w:val="Odstavecseseznamem"/>
        <w:numPr>
          <w:ilvl w:val="0"/>
          <w:numId w:val="5"/>
        </w:numPr>
        <w:spacing w:after="0" w:line="240" w:lineRule="auto"/>
        <w:ind w:left="0" w:hanging="284"/>
        <w:jc w:val="both"/>
      </w:pPr>
      <w:r>
        <w:lastRenderedPageBreak/>
        <w:t>Vadný nebo nepříznivý stav zdroje úrazu (nikoliv pracoviště).</w:t>
      </w:r>
    </w:p>
    <w:p w14:paraId="52FB62E7" w14:textId="77777777" w:rsidR="00D96C89" w:rsidRDefault="00D96C89" w:rsidP="00D96C89">
      <w:pPr>
        <w:spacing w:after="0" w:line="240" w:lineRule="auto"/>
        <w:contextualSpacing/>
        <w:jc w:val="both"/>
        <w:rPr>
          <w:b/>
          <w:bCs/>
        </w:rPr>
      </w:pPr>
    </w:p>
    <w:p w14:paraId="0CCB1AF1" w14:textId="77777777" w:rsidR="002A428B" w:rsidRPr="00AE18A2" w:rsidRDefault="002A428B" w:rsidP="00D96C89">
      <w:pPr>
        <w:spacing w:after="0" w:line="240" w:lineRule="auto"/>
        <w:contextualSpacing/>
        <w:jc w:val="both"/>
        <w:rPr>
          <w:b/>
          <w:bCs/>
        </w:rPr>
      </w:pPr>
    </w:p>
    <w:tbl>
      <w:tblPr>
        <w:tblStyle w:val="Mkatabulky"/>
        <w:tblW w:w="768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12"/>
        <w:gridCol w:w="1813"/>
        <w:gridCol w:w="1813"/>
        <w:gridCol w:w="1847"/>
      </w:tblGrid>
      <w:tr w:rsidR="00D07589" w14:paraId="74282659" w14:textId="0C80523D" w:rsidTr="00D07589">
        <w:tc>
          <w:tcPr>
            <w:tcW w:w="2212" w:type="dxa"/>
            <w:shd w:val="clear" w:color="auto" w:fill="D9E2F3" w:themeFill="accent1" w:themeFillTint="33"/>
          </w:tcPr>
          <w:p w14:paraId="110E2757" w14:textId="77777777" w:rsidR="00D07589" w:rsidRPr="00E57BC0" w:rsidRDefault="00D07589" w:rsidP="00E83DBF">
            <w:pPr>
              <w:contextualSpacing/>
              <w:jc w:val="both"/>
              <w:rPr>
                <w:b/>
                <w:bCs/>
              </w:rPr>
            </w:pPr>
            <w:r w:rsidRPr="00E57BC0">
              <w:rPr>
                <w:b/>
                <w:bCs/>
              </w:rPr>
              <w:t>Rok</w:t>
            </w:r>
          </w:p>
        </w:tc>
        <w:tc>
          <w:tcPr>
            <w:tcW w:w="1813" w:type="dxa"/>
            <w:shd w:val="clear" w:color="auto" w:fill="D9E2F3" w:themeFill="accent1" w:themeFillTint="33"/>
          </w:tcPr>
          <w:p w14:paraId="35F1D8B5" w14:textId="77777777" w:rsidR="00D07589" w:rsidRPr="00E57BC0" w:rsidRDefault="00D07589" w:rsidP="00E83DBF">
            <w:pPr>
              <w:contextualSpacing/>
              <w:jc w:val="both"/>
              <w:rPr>
                <w:b/>
                <w:bCs/>
              </w:rPr>
            </w:pPr>
            <w:r w:rsidRPr="00E57BC0">
              <w:rPr>
                <w:b/>
                <w:bCs/>
              </w:rPr>
              <w:t>2021</w:t>
            </w:r>
          </w:p>
        </w:tc>
        <w:tc>
          <w:tcPr>
            <w:tcW w:w="1813" w:type="dxa"/>
            <w:shd w:val="clear" w:color="auto" w:fill="D9E2F3" w:themeFill="accent1" w:themeFillTint="33"/>
          </w:tcPr>
          <w:p w14:paraId="1A135ECA" w14:textId="77777777" w:rsidR="00D07589" w:rsidRPr="00E57BC0" w:rsidRDefault="00D07589" w:rsidP="00E83DBF">
            <w:pPr>
              <w:contextualSpacing/>
              <w:jc w:val="both"/>
              <w:rPr>
                <w:b/>
                <w:bCs/>
              </w:rPr>
            </w:pPr>
            <w:r w:rsidRPr="00E57BC0">
              <w:rPr>
                <w:b/>
                <w:bCs/>
              </w:rPr>
              <w:t>2022</w:t>
            </w:r>
          </w:p>
        </w:tc>
        <w:tc>
          <w:tcPr>
            <w:tcW w:w="1847" w:type="dxa"/>
            <w:shd w:val="clear" w:color="auto" w:fill="D9E2F3" w:themeFill="accent1" w:themeFillTint="33"/>
          </w:tcPr>
          <w:p w14:paraId="31DFACE0" w14:textId="5E16CAA2" w:rsidR="00D07589" w:rsidRPr="00E57BC0" w:rsidRDefault="00D07589" w:rsidP="00E83DBF">
            <w:pPr>
              <w:contextualSpacing/>
              <w:jc w:val="both"/>
              <w:rPr>
                <w:b/>
                <w:bCs/>
              </w:rPr>
            </w:pPr>
            <w:r>
              <w:rPr>
                <w:b/>
                <w:bCs/>
              </w:rPr>
              <w:t>2023 (k 24.11.23)</w:t>
            </w:r>
          </w:p>
        </w:tc>
      </w:tr>
      <w:tr w:rsidR="00D07589" w14:paraId="013CD9CE" w14:textId="6CF7E87C" w:rsidTr="00D07589">
        <w:tc>
          <w:tcPr>
            <w:tcW w:w="2212" w:type="dxa"/>
          </w:tcPr>
          <w:p w14:paraId="435422A9" w14:textId="77777777" w:rsidR="00D07589" w:rsidRPr="00E57BC0" w:rsidRDefault="00D07589" w:rsidP="00E83DBF">
            <w:pPr>
              <w:contextualSpacing/>
              <w:jc w:val="both"/>
              <w:rPr>
                <w:b/>
                <w:bCs/>
              </w:rPr>
            </w:pPr>
            <w:r>
              <w:rPr>
                <w:b/>
                <w:bCs/>
              </w:rPr>
              <w:t>Počet kontrol</w:t>
            </w:r>
          </w:p>
        </w:tc>
        <w:tc>
          <w:tcPr>
            <w:tcW w:w="1813" w:type="dxa"/>
          </w:tcPr>
          <w:p w14:paraId="7C3AC9E9" w14:textId="77777777" w:rsidR="00D07589" w:rsidRDefault="00D07589" w:rsidP="00E83DBF">
            <w:pPr>
              <w:contextualSpacing/>
              <w:jc w:val="both"/>
            </w:pPr>
            <w:r>
              <w:t>227</w:t>
            </w:r>
          </w:p>
        </w:tc>
        <w:tc>
          <w:tcPr>
            <w:tcW w:w="1813" w:type="dxa"/>
          </w:tcPr>
          <w:p w14:paraId="7660F8FC" w14:textId="77777777" w:rsidR="00D07589" w:rsidRDefault="00D07589" w:rsidP="00E83DBF">
            <w:pPr>
              <w:contextualSpacing/>
              <w:jc w:val="both"/>
            </w:pPr>
            <w:r>
              <w:t>399</w:t>
            </w:r>
          </w:p>
        </w:tc>
        <w:tc>
          <w:tcPr>
            <w:tcW w:w="1847" w:type="dxa"/>
          </w:tcPr>
          <w:p w14:paraId="7D9ED873" w14:textId="29C9D009" w:rsidR="00D07589" w:rsidRDefault="00D07589" w:rsidP="00E83DBF">
            <w:pPr>
              <w:contextualSpacing/>
              <w:jc w:val="both"/>
            </w:pPr>
            <w:r>
              <w:t>395</w:t>
            </w:r>
          </w:p>
        </w:tc>
      </w:tr>
      <w:tr w:rsidR="00D07589" w14:paraId="1C0C5FB6" w14:textId="51E2BA46" w:rsidTr="00D07589">
        <w:tc>
          <w:tcPr>
            <w:tcW w:w="2212" w:type="dxa"/>
          </w:tcPr>
          <w:p w14:paraId="167C69DD" w14:textId="77777777" w:rsidR="00D07589" w:rsidRPr="00E57BC0" w:rsidRDefault="00D07589" w:rsidP="00E83DBF">
            <w:pPr>
              <w:contextualSpacing/>
              <w:jc w:val="both"/>
              <w:rPr>
                <w:b/>
                <w:bCs/>
              </w:rPr>
            </w:pPr>
            <w:r w:rsidRPr="00E57BC0">
              <w:rPr>
                <w:b/>
                <w:bCs/>
              </w:rPr>
              <w:t>Počet porušení</w:t>
            </w:r>
          </w:p>
        </w:tc>
        <w:tc>
          <w:tcPr>
            <w:tcW w:w="1813" w:type="dxa"/>
          </w:tcPr>
          <w:p w14:paraId="1FD1D679" w14:textId="77777777" w:rsidR="00D07589" w:rsidRDefault="00D07589" w:rsidP="00E83DBF">
            <w:pPr>
              <w:contextualSpacing/>
              <w:jc w:val="both"/>
            </w:pPr>
            <w:r>
              <w:t>363</w:t>
            </w:r>
          </w:p>
        </w:tc>
        <w:tc>
          <w:tcPr>
            <w:tcW w:w="1813" w:type="dxa"/>
          </w:tcPr>
          <w:p w14:paraId="501DA33E" w14:textId="77777777" w:rsidR="00D07589" w:rsidRDefault="00D07589" w:rsidP="00E83DBF">
            <w:pPr>
              <w:contextualSpacing/>
              <w:jc w:val="both"/>
            </w:pPr>
            <w:r>
              <w:t>960</w:t>
            </w:r>
          </w:p>
        </w:tc>
        <w:tc>
          <w:tcPr>
            <w:tcW w:w="1847" w:type="dxa"/>
          </w:tcPr>
          <w:p w14:paraId="0210EB12" w14:textId="1DE04BB1" w:rsidR="00D07589" w:rsidRDefault="00D07589" w:rsidP="00E83DBF">
            <w:pPr>
              <w:contextualSpacing/>
              <w:jc w:val="both"/>
            </w:pPr>
            <w:r>
              <w:t>984</w:t>
            </w:r>
          </w:p>
        </w:tc>
      </w:tr>
    </w:tbl>
    <w:p w14:paraId="21C088F5" w14:textId="77777777" w:rsidR="00D96C89" w:rsidRDefault="00D96C89" w:rsidP="00D96C89">
      <w:pPr>
        <w:spacing w:after="0" w:line="240" w:lineRule="auto"/>
        <w:contextualSpacing/>
        <w:jc w:val="both"/>
      </w:pPr>
    </w:p>
    <w:p w14:paraId="7252EF8D" w14:textId="77777777" w:rsidR="00D96C89" w:rsidRDefault="00D96C89" w:rsidP="002A428B">
      <w:pPr>
        <w:spacing w:after="0" w:line="240" w:lineRule="auto"/>
        <w:ind w:left="-284"/>
        <w:contextualSpacing/>
        <w:jc w:val="both"/>
        <w:rPr>
          <w:b/>
          <w:bCs/>
        </w:rPr>
      </w:pPr>
      <w:r w:rsidRPr="00E57BC0">
        <w:rPr>
          <w:b/>
          <w:bCs/>
        </w:rPr>
        <w:t>Nejčastěji porušovan</w:t>
      </w:r>
      <w:r>
        <w:rPr>
          <w:b/>
          <w:bCs/>
        </w:rPr>
        <w:t>é právní</w:t>
      </w:r>
      <w:r w:rsidRPr="00E57BC0">
        <w:rPr>
          <w:b/>
          <w:bCs/>
        </w:rPr>
        <w:t xml:space="preserve"> předpis</w:t>
      </w:r>
      <w:r>
        <w:rPr>
          <w:b/>
          <w:bCs/>
        </w:rPr>
        <w:t>y</w:t>
      </w:r>
      <w:r w:rsidRPr="00E57BC0">
        <w:rPr>
          <w:b/>
          <w:bCs/>
        </w:rPr>
        <w:t>:</w:t>
      </w:r>
    </w:p>
    <w:p w14:paraId="72BCD82D" w14:textId="77777777" w:rsidR="00D96C89" w:rsidRPr="002351A8" w:rsidRDefault="00D96C89">
      <w:pPr>
        <w:pStyle w:val="Odstavecseseznamem"/>
        <w:numPr>
          <w:ilvl w:val="0"/>
          <w:numId w:val="5"/>
        </w:numPr>
        <w:spacing w:after="0" w:line="240" w:lineRule="auto"/>
        <w:ind w:left="0" w:hanging="284"/>
        <w:jc w:val="both"/>
      </w:pPr>
      <w:r w:rsidRPr="00FD3AB9">
        <w:rPr>
          <w:b/>
          <w:bCs/>
        </w:rPr>
        <w:t>zákon č. 262/2006 Sb.</w:t>
      </w:r>
      <w:r w:rsidRPr="002351A8">
        <w:t xml:space="preserve">, zákoník práce, ve znění pozdějších předpisů </w:t>
      </w:r>
      <w:r w:rsidRPr="00421407">
        <w:t>[</w:t>
      </w:r>
      <w:r>
        <w:t xml:space="preserve">zejména </w:t>
      </w:r>
      <w:proofErr w:type="spellStart"/>
      <w:r w:rsidRPr="002351A8">
        <w:t>ust</w:t>
      </w:r>
      <w:proofErr w:type="spellEnd"/>
      <w:r w:rsidRPr="002351A8">
        <w:t>. § 102 odst. 1</w:t>
      </w:r>
      <w:r>
        <w:t xml:space="preserve">; </w:t>
      </w:r>
      <w:proofErr w:type="spellStart"/>
      <w:r>
        <w:t>ust</w:t>
      </w:r>
      <w:proofErr w:type="spellEnd"/>
      <w:r>
        <w:t xml:space="preserve">. § 102 odst. 3; </w:t>
      </w:r>
      <w:proofErr w:type="spellStart"/>
      <w:r>
        <w:t>ust</w:t>
      </w:r>
      <w:proofErr w:type="spellEnd"/>
      <w:r>
        <w:t>. § 103 odst. 1 písm. a)],</w:t>
      </w:r>
    </w:p>
    <w:p w14:paraId="51BE1C2D" w14:textId="77777777" w:rsidR="00D96C89" w:rsidRDefault="00D96C89">
      <w:pPr>
        <w:pStyle w:val="Odstavecseseznamem"/>
        <w:numPr>
          <w:ilvl w:val="0"/>
          <w:numId w:val="5"/>
        </w:numPr>
        <w:spacing w:after="0" w:line="240" w:lineRule="auto"/>
        <w:ind w:left="0" w:hanging="284"/>
        <w:jc w:val="both"/>
      </w:pPr>
      <w:r w:rsidRPr="00793239">
        <w:rPr>
          <w:b/>
          <w:bCs/>
        </w:rPr>
        <w:t>zákon č. 309/2006 Sb.</w:t>
      </w:r>
      <w:r w:rsidRPr="00793239">
        <w:t>, kterým se upravují další požadavky bezpečnosti a ochrany zdraví při práci v</w:t>
      </w:r>
      <w:r>
        <w:t> </w:t>
      </w:r>
      <w:r w:rsidRPr="00793239">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Pr="002351A8">
        <w:t xml:space="preserve"> </w:t>
      </w:r>
      <w:r w:rsidRPr="00421407">
        <w:t>[</w:t>
      </w:r>
      <w:r>
        <w:t>zejména</w:t>
      </w:r>
      <w:r w:rsidRPr="002351A8">
        <w:t xml:space="preserve"> </w:t>
      </w:r>
      <w:proofErr w:type="spellStart"/>
      <w:r w:rsidRPr="002351A8">
        <w:t>ust</w:t>
      </w:r>
      <w:proofErr w:type="spellEnd"/>
      <w:r w:rsidRPr="002351A8">
        <w:t>. § 4 odst. 1 písm. c)</w:t>
      </w:r>
      <w:r>
        <w:t>;</w:t>
      </w:r>
      <w:r w:rsidRPr="002351A8">
        <w:t xml:space="preserve"> </w:t>
      </w:r>
      <w:proofErr w:type="spellStart"/>
      <w:r w:rsidRPr="002351A8">
        <w:t>ust</w:t>
      </w:r>
      <w:proofErr w:type="spellEnd"/>
      <w:r w:rsidRPr="002351A8">
        <w:t xml:space="preserve">. § </w:t>
      </w:r>
      <w:r>
        <w:t>2</w:t>
      </w:r>
      <w:r w:rsidRPr="002351A8">
        <w:t xml:space="preserve"> odst. 1</w:t>
      </w:r>
      <w:r>
        <w:t xml:space="preserve">; </w:t>
      </w:r>
      <w:proofErr w:type="spellStart"/>
      <w:r w:rsidRPr="002351A8">
        <w:t>ust</w:t>
      </w:r>
      <w:proofErr w:type="spellEnd"/>
      <w:r w:rsidRPr="002351A8">
        <w:t>.</w:t>
      </w:r>
      <w:r>
        <w:t> </w:t>
      </w:r>
      <w:r w:rsidRPr="002351A8">
        <w:t xml:space="preserve">§ </w:t>
      </w:r>
      <w:r>
        <w:t>5 odst. 1 písm. b)</w:t>
      </w:r>
      <w:r w:rsidRPr="00421407">
        <w:t>]</w:t>
      </w:r>
      <w:r>
        <w:t>,</w:t>
      </w:r>
    </w:p>
    <w:p w14:paraId="054BBE7F" w14:textId="77777777" w:rsidR="00D96C89" w:rsidRPr="00DA6D6A" w:rsidRDefault="00D96C89">
      <w:pPr>
        <w:pStyle w:val="Odstavecseseznamem"/>
        <w:numPr>
          <w:ilvl w:val="0"/>
          <w:numId w:val="5"/>
        </w:numPr>
        <w:spacing w:after="0" w:line="240" w:lineRule="auto"/>
        <w:ind w:left="0" w:hanging="284"/>
        <w:jc w:val="both"/>
      </w:pPr>
      <w:r>
        <w:rPr>
          <w:b/>
          <w:bCs/>
        </w:rPr>
        <w:t>nařízení vlády č</w:t>
      </w:r>
      <w:r w:rsidRPr="00EC1721">
        <w:rPr>
          <w:b/>
          <w:bCs/>
        </w:rPr>
        <w:t>. 101/2005 Sb.</w:t>
      </w:r>
      <w:r>
        <w:rPr>
          <w:b/>
          <w:bCs/>
        </w:rPr>
        <w:t>,</w:t>
      </w:r>
      <w:r>
        <w:t xml:space="preserve"> </w:t>
      </w:r>
      <w:r w:rsidRPr="00DA41A1">
        <w:t>o podrobnějších požadavcích na pracoviště a pracovní prostředí [</w:t>
      </w:r>
      <w:r w:rsidRPr="001459EB">
        <w:t xml:space="preserve">zejména § 4 odst. 1, bod přílohy 10.1; </w:t>
      </w:r>
      <w:proofErr w:type="spellStart"/>
      <w:r w:rsidRPr="001459EB">
        <w:t>ust</w:t>
      </w:r>
      <w:proofErr w:type="spellEnd"/>
      <w:r w:rsidRPr="001459EB">
        <w:t>. § 3 odst. 1; § 4 odst. 1,</w:t>
      </w:r>
      <w:r>
        <w:t xml:space="preserve"> bod přílohy 10.2</w:t>
      </w:r>
      <w:r w:rsidRPr="00DA41A1">
        <w:t>]</w:t>
      </w:r>
      <w:r>
        <w:t>.</w:t>
      </w:r>
    </w:p>
    <w:p w14:paraId="45D7C0F0" w14:textId="0C9B9C98" w:rsidR="00D96C89" w:rsidRDefault="00D96C89" w:rsidP="00D96C89">
      <w:pPr>
        <w:tabs>
          <w:tab w:val="left" w:pos="1528"/>
        </w:tabs>
        <w:spacing w:after="0" w:line="240" w:lineRule="auto"/>
        <w:contextualSpacing/>
        <w:jc w:val="both"/>
      </w:pPr>
    </w:p>
    <w:p w14:paraId="011196E0" w14:textId="77777777" w:rsidR="00D96C89" w:rsidRDefault="00D96C89" w:rsidP="002A428B">
      <w:pPr>
        <w:shd w:val="clear" w:color="auto" w:fill="FFFFFF"/>
        <w:spacing w:after="0" w:line="330" w:lineRule="atLeast"/>
        <w:ind w:left="-284"/>
        <w:jc w:val="both"/>
        <w:outlineLvl w:val="2"/>
        <w:rPr>
          <w:rFonts w:eastAsia="Times New Roman" w:cstheme="minorHAnsi"/>
          <w:b/>
          <w:bCs/>
          <w:lang w:eastAsia="cs-CZ"/>
        </w:rPr>
      </w:pPr>
      <w:bookmarkStart w:id="8" w:name="_Toc172709954"/>
      <w:r w:rsidRPr="009E7D12">
        <w:rPr>
          <w:rFonts w:eastAsia="Times New Roman" w:cstheme="minorHAnsi"/>
          <w:b/>
          <w:bCs/>
          <w:lang w:eastAsia="cs-CZ"/>
        </w:rPr>
        <w:t>Nejčastější rizikové faktory:</w:t>
      </w:r>
      <w:bookmarkEnd w:id="8"/>
    </w:p>
    <w:p w14:paraId="155ED9D9" w14:textId="77777777" w:rsidR="00D96C89" w:rsidRPr="005A22E2" w:rsidRDefault="00D96C89">
      <w:pPr>
        <w:pStyle w:val="Bezmezer"/>
        <w:numPr>
          <w:ilvl w:val="0"/>
          <w:numId w:val="7"/>
        </w:numPr>
        <w:ind w:left="142"/>
        <w:jc w:val="both"/>
        <w:rPr>
          <w:color w:val="222222"/>
          <w:lang w:eastAsia="cs-CZ"/>
        </w:rPr>
      </w:pPr>
      <w:r w:rsidRPr="005A22E2">
        <w:rPr>
          <w:lang w:eastAsia="cs-CZ"/>
        </w:rPr>
        <w:t>Klimatické podmínky (provádění prací za silného mrazu, větru, za bouřky).</w:t>
      </w:r>
    </w:p>
    <w:p w14:paraId="72D8040D" w14:textId="77777777" w:rsidR="00D96C89" w:rsidRPr="005A22E2" w:rsidRDefault="00D96C89">
      <w:pPr>
        <w:pStyle w:val="Bezmezer"/>
        <w:numPr>
          <w:ilvl w:val="0"/>
          <w:numId w:val="7"/>
        </w:numPr>
        <w:ind w:left="142"/>
        <w:jc w:val="both"/>
        <w:rPr>
          <w:color w:val="222222"/>
          <w:lang w:eastAsia="cs-CZ"/>
        </w:rPr>
      </w:pPr>
      <w:r w:rsidRPr="005A22E2">
        <w:rPr>
          <w:lang w:eastAsia="cs-CZ"/>
        </w:rPr>
        <w:t>Vibrace a hluk (zejména s ohledem na možnost vzniku nemoci z povolání při nedodržování stanovené expoziční doby a bez použití odpovídajících OOPP zejména pro práci s motorovou pilou).</w:t>
      </w:r>
    </w:p>
    <w:p w14:paraId="64206157" w14:textId="77777777" w:rsidR="00D96C89" w:rsidRPr="005A22E2" w:rsidRDefault="00D96C89">
      <w:pPr>
        <w:pStyle w:val="Bezmezer"/>
        <w:numPr>
          <w:ilvl w:val="0"/>
          <w:numId w:val="7"/>
        </w:numPr>
        <w:ind w:left="142"/>
        <w:jc w:val="both"/>
        <w:rPr>
          <w:color w:val="222222"/>
          <w:lang w:eastAsia="cs-CZ"/>
        </w:rPr>
      </w:pPr>
      <w:r w:rsidRPr="005A22E2">
        <w:rPr>
          <w:color w:val="222222"/>
          <w:lang w:eastAsia="cs-CZ"/>
        </w:rPr>
        <w:t>Nadměrná fyzická zátěž (zdvihání a přemisťování těžkých břemen, ke kterému dochází zejména při těžbě, soustřeďování a manipulaci dříví).</w:t>
      </w:r>
    </w:p>
    <w:p w14:paraId="49433D84" w14:textId="52D489D9" w:rsidR="00D96C89" w:rsidRPr="005A22E2" w:rsidRDefault="00D96C89">
      <w:pPr>
        <w:pStyle w:val="Bezmezer"/>
        <w:numPr>
          <w:ilvl w:val="0"/>
          <w:numId w:val="7"/>
        </w:numPr>
        <w:ind w:left="142"/>
        <w:jc w:val="both"/>
        <w:rPr>
          <w:color w:val="222222"/>
          <w:lang w:eastAsia="cs-CZ"/>
        </w:rPr>
      </w:pPr>
      <w:r w:rsidRPr="005A22E2">
        <w:rPr>
          <w:color w:val="222222"/>
          <w:lang w:eastAsia="cs-CZ"/>
        </w:rPr>
        <w:t>Nevhodná pracovní poloha a jednostranně opakovaná práce (práce vyžadující hluboké ohyby zad, např. při kácení stromů přenosnou řetězovou pilou, ručním</w:t>
      </w:r>
      <w:r w:rsidR="00011136">
        <w:rPr>
          <w:color w:val="222222"/>
          <w:lang w:eastAsia="cs-CZ"/>
        </w:rPr>
        <w:t xml:space="preserve"> </w:t>
      </w:r>
      <w:r w:rsidRPr="005A22E2">
        <w:rPr>
          <w:color w:val="222222"/>
          <w:lang w:eastAsia="cs-CZ"/>
        </w:rPr>
        <w:t>vyžínáním a výsadbě sazenic), vyžadující navíc při provádění těchto prací ve svahu značný energetický výdej.</w:t>
      </w:r>
    </w:p>
    <w:p w14:paraId="339BD4E9" w14:textId="77777777" w:rsidR="00D96C89" w:rsidRPr="005A22E2" w:rsidRDefault="00D96C89">
      <w:pPr>
        <w:pStyle w:val="Bezmezer"/>
        <w:numPr>
          <w:ilvl w:val="0"/>
          <w:numId w:val="7"/>
        </w:numPr>
        <w:ind w:left="142"/>
        <w:jc w:val="both"/>
        <w:rPr>
          <w:color w:val="222222"/>
          <w:lang w:eastAsia="cs-CZ"/>
        </w:rPr>
      </w:pPr>
      <w:r w:rsidRPr="005A22E2">
        <w:rPr>
          <w:color w:val="222222"/>
          <w:lang w:eastAsia="cs-CZ"/>
        </w:rPr>
        <w:t>Zátěž chladem, která je jedním z faktorů ovlivňujících vznik nemoci z povolání (provádění prací ve venkovním prostředí při nízkých teplotách po celou pracovní směnu).</w:t>
      </w:r>
    </w:p>
    <w:p w14:paraId="7C43ADF5" w14:textId="0CAEB8C3" w:rsidR="00D96C89" w:rsidRPr="005A22E2" w:rsidRDefault="00D96C89">
      <w:pPr>
        <w:pStyle w:val="Bezmezer"/>
        <w:numPr>
          <w:ilvl w:val="0"/>
          <w:numId w:val="7"/>
        </w:numPr>
        <w:ind w:left="142"/>
        <w:jc w:val="both"/>
        <w:rPr>
          <w:color w:val="222222"/>
          <w:lang w:eastAsia="cs-CZ"/>
        </w:rPr>
      </w:pPr>
      <w:r w:rsidRPr="005A22E2">
        <w:rPr>
          <w:color w:val="222222"/>
          <w:lang w:eastAsia="cs-CZ"/>
        </w:rPr>
        <w:t>Nedostatečná kvalifikace a</w:t>
      </w:r>
      <w:r w:rsidR="00F309E9">
        <w:rPr>
          <w:color w:val="222222"/>
          <w:lang w:eastAsia="cs-CZ"/>
        </w:rPr>
        <w:t xml:space="preserve"> zdravotní</w:t>
      </w:r>
      <w:r w:rsidR="00D76EFD" w:rsidRPr="005A22E2">
        <w:rPr>
          <w:color w:val="222222"/>
          <w:lang w:eastAsia="cs-CZ"/>
        </w:rPr>
        <w:t xml:space="preserve"> </w:t>
      </w:r>
      <w:r w:rsidRPr="005A22E2">
        <w:rPr>
          <w:color w:val="222222"/>
          <w:lang w:eastAsia="cs-CZ"/>
        </w:rPr>
        <w:t>nezpůsobilost k prováděné práci. </w:t>
      </w:r>
    </w:p>
    <w:p w14:paraId="4B757C80" w14:textId="77777777" w:rsidR="00D96C89" w:rsidRPr="005A22E2" w:rsidRDefault="00D96C89">
      <w:pPr>
        <w:pStyle w:val="Bezmezer"/>
        <w:numPr>
          <w:ilvl w:val="0"/>
          <w:numId w:val="7"/>
        </w:numPr>
        <w:ind w:left="142"/>
        <w:jc w:val="both"/>
        <w:rPr>
          <w:color w:val="222222"/>
          <w:lang w:eastAsia="cs-CZ"/>
        </w:rPr>
      </w:pPr>
      <w:r w:rsidRPr="005A22E2">
        <w:rPr>
          <w:color w:val="222222"/>
          <w:lang w:eastAsia="cs-CZ"/>
        </w:rPr>
        <w:t>Pád z výšky (při práci na stojících stromech, případně při práci z pracovní plošiny).</w:t>
      </w:r>
    </w:p>
    <w:p w14:paraId="753614EF" w14:textId="77777777" w:rsidR="00D96C89" w:rsidRPr="005A22E2" w:rsidRDefault="00D96C89">
      <w:pPr>
        <w:pStyle w:val="Bezmezer"/>
        <w:numPr>
          <w:ilvl w:val="0"/>
          <w:numId w:val="7"/>
        </w:numPr>
        <w:ind w:left="142"/>
        <w:jc w:val="both"/>
        <w:rPr>
          <w:color w:val="222222"/>
          <w:lang w:eastAsia="cs-CZ"/>
        </w:rPr>
      </w:pPr>
      <w:r w:rsidRPr="005A22E2">
        <w:rPr>
          <w:color w:val="222222"/>
          <w:lang w:eastAsia="cs-CZ"/>
        </w:rPr>
        <w:t>Nedodržování bezpečných pracovních postupů, stanovených zákazů práce a zákazu vstupu do ohroženého prostoru (včetně nezajištění pracovního prostoru před vstupem nepovolaných osob).</w:t>
      </w:r>
    </w:p>
    <w:p w14:paraId="36CE1E3E" w14:textId="76B1C53E" w:rsidR="00D96C89" w:rsidRPr="00011136" w:rsidRDefault="00D96C89">
      <w:pPr>
        <w:pStyle w:val="Bezmezer"/>
        <w:numPr>
          <w:ilvl w:val="0"/>
          <w:numId w:val="7"/>
        </w:numPr>
        <w:ind w:left="142"/>
        <w:jc w:val="both"/>
        <w:rPr>
          <w:color w:val="222222"/>
          <w:lang w:eastAsia="cs-CZ"/>
        </w:rPr>
      </w:pPr>
      <w:r w:rsidRPr="005A22E2">
        <w:rPr>
          <w:color w:val="222222"/>
          <w:lang w:eastAsia="cs-CZ"/>
        </w:rPr>
        <w:t>Používání strojů a nářadí, jejichž technický stav neodpovídá požadavkům předpisů k zajištění BOZP (včetně práce se stroji a nářadím se spalovacím motorem</w:t>
      </w:r>
      <w:r w:rsidR="00011136">
        <w:rPr>
          <w:color w:val="222222"/>
          <w:lang w:eastAsia="cs-CZ"/>
        </w:rPr>
        <w:t xml:space="preserve"> </w:t>
      </w:r>
      <w:r w:rsidRPr="00011136">
        <w:rPr>
          <w:color w:val="222222"/>
          <w:lang w:eastAsia="cs-CZ"/>
        </w:rPr>
        <w:t>v uzavřeném prostoru, není-li zajištěno dostatečné odvětrávání).</w:t>
      </w:r>
    </w:p>
    <w:p w14:paraId="1C6B0F76" w14:textId="77777777" w:rsidR="00D96C89" w:rsidRPr="005A22E2" w:rsidRDefault="00D96C89">
      <w:pPr>
        <w:pStyle w:val="Bezmezer"/>
        <w:numPr>
          <w:ilvl w:val="0"/>
          <w:numId w:val="7"/>
        </w:numPr>
        <w:ind w:left="142"/>
        <w:jc w:val="both"/>
        <w:rPr>
          <w:color w:val="222222"/>
          <w:lang w:eastAsia="cs-CZ"/>
        </w:rPr>
      </w:pPr>
      <w:r w:rsidRPr="005A22E2">
        <w:rPr>
          <w:color w:val="222222"/>
          <w:lang w:eastAsia="cs-CZ"/>
        </w:rPr>
        <w:t>Nezabezpečená přeprava pohonných hmot a nářadí dopravními prostředky, zejména s ohledem na ohrožení současně přepravovaných osob.</w:t>
      </w:r>
    </w:p>
    <w:p w14:paraId="523CDAA9" w14:textId="77777777" w:rsidR="00D96C89" w:rsidRPr="005A22E2" w:rsidRDefault="00D96C89">
      <w:pPr>
        <w:pStyle w:val="Bezmezer"/>
        <w:numPr>
          <w:ilvl w:val="0"/>
          <w:numId w:val="7"/>
        </w:numPr>
        <w:ind w:left="142"/>
        <w:jc w:val="both"/>
        <w:rPr>
          <w:color w:val="222222"/>
          <w:lang w:eastAsia="cs-CZ"/>
        </w:rPr>
      </w:pPr>
      <w:r w:rsidRPr="005A22E2">
        <w:rPr>
          <w:color w:val="222222"/>
          <w:lang w:eastAsia="cs-CZ"/>
        </w:rPr>
        <w:t>Provádění prací při těžbě dříví osamoceným zaměstnancem (bez zajištění jeho kontroly v pravidelných intervalech).</w:t>
      </w:r>
    </w:p>
    <w:p w14:paraId="039D7976" w14:textId="77777777" w:rsidR="00D96C89" w:rsidRPr="005A22E2" w:rsidRDefault="00D96C89">
      <w:pPr>
        <w:pStyle w:val="Bezmezer"/>
        <w:numPr>
          <w:ilvl w:val="0"/>
          <w:numId w:val="7"/>
        </w:numPr>
        <w:ind w:left="142"/>
        <w:jc w:val="both"/>
        <w:rPr>
          <w:color w:val="222222"/>
          <w:lang w:eastAsia="cs-CZ"/>
        </w:rPr>
      </w:pPr>
      <w:r w:rsidRPr="005A22E2">
        <w:rPr>
          <w:color w:val="222222"/>
          <w:lang w:eastAsia="cs-CZ"/>
        </w:rPr>
        <w:t>Práce s nebezpečnými chemickými látkami nebo přípravky (při nedodržování zásad bezpečné práce stanovených pro nakládání s těmito látkami a přípravky).</w:t>
      </w:r>
    </w:p>
    <w:p w14:paraId="4B496534" w14:textId="77777777" w:rsidR="00D96C89" w:rsidRPr="005A22E2" w:rsidRDefault="00D96C89">
      <w:pPr>
        <w:pStyle w:val="Bezmezer"/>
        <w:numPr>
          <w:ilvl w:val="0"/>
          <w:numId w:val="7"/>
        </w:numPr>
        <w:ind w:left="142"/>
        <w:jc w:val="both"/>
        <w:rPr>
          <w:color w:val="222222"/>
          <w:lang w:eastAsia="cs-CZ"/>
        </w:rPr>
      </w:pPr>
      <w:r w:rsidRPr="005A22E2">
        <w:rPr>
          <w:color w:val="222222"/>
          <w:lang w:eastAsia="cs-CZ"/>
        </w:rPr>
        <w:t>Práce zaměstnanců několika zaměstnavatelů na jednom pracovišti, bez zajištění koordinace jimi prováděných činností.</w:t>
      </w:r>
    </w:p>
    <w:p w14:paraId="59BC64B7" w14:textId="77777777" w:rsidR="00D96C89" w:rsidRPr="005A22E2" w:rsidRDefault="00D96C89">
      <w:pPr>
        <w:pStyle w:val="Bezmezer"/>
        <w:numPr>
          <w:ilvl w:val="0"/>
          <w:numId w:val="7"/>
        </w:numPr>
        <w:ind w:left="142"/>
        <w:jc w:val="both"/>
        <w:rPr>
          <w:color w:val="222222"/>
          <w:lang w:eastAsia="cs-CZ"/>
        </w:rPr>
      </w:pPr>
      <w:r w:rsidRPr="005A22E2">
        <w:rPr>
          <w:color w:val="222222"/>
          <w:lang w:eastAsia="cs-CZ"/>
        </w:rPr>
        <w:t>Nepoužívání OOPP k ochraně před riziky, vyplývajícími z prováděných prací.</w:t>
      </w:r>
    </w:p>
    <w:p w14:paraId="3FA5198F" w14:textId="2EB0A886" w:rsidR="007D13AC" w:rsidRDefault="00D96C89">
      <w:pPr>
        <w:pStyle w:val="Bezmezer"/>
        <w:numPr>
          <w:ilvl w:val="0"/>
          <w:numId w:val="7"/>
        </w:numPr>
        <w:ind w:left="142"/>
        <w:jc w:val="both"/>
        <w:rPr>
          <w:color w:val="222222"/>
          <w:lang w:eastAsia="cs-CZ"/>
        </w:rPr>
      </w:pPr>
      <w:r w:rsidRPr="005A22E2">
        <w:rPr>
          <w:color w:val="222222"/>
          <w:lang w:eastAsia="cs-CZ"/>
        </w:rPr>
        <w:t>Kontakt člověka se zvířaty, ohrožení hmyzem.</w:t>
      </w:r>
    </w:p>
    <w:p w14:paraId="4A3DD7DF" w14:textId="418F72E2" w:rsidR="007D13AC" w:rsidRDefault="007D13AC" w:rsidP="002A428B">
      <w:pPr>
        <w:pStyle w:val="Bezmezer"/>
        <w:ind w:left="142"/>
        <w:jc w:val="both"/>
        <w:rPr>
          <w:color w:val="222222"/>
          <w:lang w:eastAsia="cs-CZ"/>
        </w:rPr>
      </w:pPr>
    </w:p>
    <w:p w14:paraId="20B87DCF" w14:textId="77777777" w:rsidR="00AC5A59" w:rsidRDefault="00AC5A59" w:rsidP="00011136">
      <w:pPr>
        <w:pStyle w:val="Bezmezer"/>
        <w:ind w:left="720"/>
        <w:jc w:val="both"/>
        <w:rPr>
          <w:color w:val="222222"/>
          <w:lang w:eastAsia="cs-CZ"/>
        </w:rPr>
      </w:pPr>
    </w:p>
    <w:p w14:paraId="3000C728" w14:textId="3BD26495" w:rsidR="00C23715" w:rsidRDefault="00C23715" w:rsidP="005C47BA">
      <w:pPr>
        <w:pStyle w:val="Nadpis2"/>
        <w:numPr>
          <w:ilvl w:val="0"/>
          <w:numId w:val="22"/>
        </w:numPr>
      </w:pPr>
      <w:bookmarkStart w:id="9" w:name="_Toc172709955"/>
      <w:bookmarkStart w:id="10" w:name="_Toc172710067"/>
      <w:r w:rsidRPr="007D13AC">
        <w:t xml:space="preserve">Prevence rizik </w:t>
      </w:r>
      <w:r w:rsidR="00D96C89" w:rsidRPr="007D13AC">
        <w:t>ve</w:t>
      </w:r>
      <w:r w:rsidRPr="007D13AC">
        <w:t xml:space="preserve"> stavebnictví</w:t>
      </w:r>
      <w:bookmarkEnd w:id="9"/>
      <w:bookmarkEnd w:id="10"/>
    </w:p>
    <w:p w14:paraId="1169759C" w14:textId="77777777" w:rsidR="007D13AC" w:rsidRPr="007D13AC" w:rsidRDefault="007D13AC" w:rsidP="007D13AC">
      <w:pPr>
        <w:spacing w:after="0"/>
        <w:ind w:right="-992"/>
        <w:jc w:val="both"/>
        <w:rPr>
          <w:b/>
          <w:bCs/>
          <w:sz w:val="24"/>
          <w:szCs w:val="24"/>
          <w:u w:val="single"/>
        </w:rPr>
      </w:pPr>
    </w:p>
    <w:p w14:paraId="6C71CD36" w14:textId="77777777" w:rsidR="007D13AC" w:rsidRPr="007D13AC" w:rsidRDefault="007D13AC" w:rsidP="002A428B">
      <w:pPr>
        <w:pStyle w:val="Bezmezer"/>
        <w:ind w:left="-284"/>
        <w:jc w:val="both"/>
        <w:rPr>
          <w:color w:val="222222"/>
          <w:lang w:eastAsia="cs-CZ"/>
        </w:rPr>
      </w:pPr>
      <w:r w:rsidRPr="000E3A53">
        <w:lastRenderedPageBreak/>
        <w:t>Jako jedn</w:t>
      </w:r>
      <w:r>
        <w:t xml:space="preserve">y z nejrizikovějších </w:t>
      </w:r>
      <w:r w:rsidRPr="000E3A53">
        <w:t>prac</w:t>
      </w:r>
      <w:r>
        <w:t xml:space="preserve">í se </w:t>
      </w:r>
      <w:r w:rsidRPr="000E3A53">
        <w:t>jeví práce prováděné na staveništích</w:t>
      </w:r>
      <w:r>
        <w:t xml:space="preserve">. </w:t>
      </w:r>
      <w:r w:rsidRPr="007D13AC">
        <w:rPr>
          <w:rFonts w:cstheme="minorHAnsi"/>
          <w:shd w:val="clear" w:color="auto" w:fill="FFFFFF"/>
        </w:rPr>
        <w:t>Specifickým znakem, který charakterizuje stavebnictví, je dočasnost stavebních prací vždy na různých pracovištích navíc při současném zapojení více subjektů do realizace stavby, mezi nimiž někdy není nastavena koordinace činností tak, aby jeden subjekt neohrožoval svojí činností subjekt jiný.</w:t>
      </w:r>
    </w:p>
    <w:p w14:paraId="4FDB6050" w14:textId="77777777" w:rsidR="00F37D3C" w:rsidRPr="006B408C" w:rsidRDefault="00F37D3C" w:rsidP="00A63A70">
      <w:pPr>
        <w:pStyle w:val="Odstavecseseznamem"/>
        <w:spacing w:after="0"/>
        <w:ind w:right="-992"/>
        <w:jc w:val="both"/>
        <w:rPr>
          <w:b/>
          <w:bCs/>
          <w:sz w:val="24"/>
          <w:szCs w:val="24"/>
          <w:u w:val="single"/>
        </w:rPr>
      </w:pPr>
    </w:p>
    <w:tbl>
      <w:tblPr>
        <w:tblStyle w:val="Mkatabulky"/>
        <w:tblW w:w="947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94"/>
        <w:gridCol w:w="2260"/>
        <w:gridCol w:w="2261"/>
        <w:gridCol w:w="2260"/>
      </w:tblGrid>
      <w:tr w:rsidR="00C23715" w:rsidRPr="0064113E" w14:paraId="50EE627A" w14:textId="77777777" w:rsidTr="002A428B">
        <w:tc>
          <w:tcPr>
            <w:tcW w:w="2694" w:type="dxa"/>
            <w:shd w:val="clear" w:color="auto" w:fill="D9E2F3" w:themeFill="accent1" w:themeFillTint="33"/>
          </w:tcPr>
          <w:p w14:paraId="11181149" w14:textId="77777777" w:rsidR="00C23715" w:rsidRPr="0064113E" w:rsidRDefault="00C23715" w:rsidP="00A63A70">
            <w:pPr>
              <w:spacing w:line="259" w:lineRule="auto"/>
              <w:ind w:right="-992"/>
              <w:jc w:val="both"/>
              <w:rPr>
                <w:b/>
                <w:bCs/>
              </w:rPr>
            </w:pPr>
            <w:r w:rsidRPr="0064113E">
              <w:rPr>
                <w:b/>
                <w:bCs/>
              </w:rPr>
              <w:t>Druh PÚ</w:t>
            </w:r>
            <w:r>
              <w:rPr>
                <w:b/>
                <w:bCs/>
              </w:rPr>
              <w:t xml:space="preserve"> ve stavebnictví</w:t>
            </w:r>
          </w:p>
        </w:tc>
        <w:tc>
          <w:tcPr>
            <w:tcW w:w="2260" w:type="dxa"/>
            <w:shd w:val="clear" w:color="auto" w:fill="D9E2F3" w:themeFill="accent1" w:themeFillTint="33"/>
          </w:tcPr>
          <w:p w14:paraId="635BC8D4" w14:textId="77777777" w:rsidR="00C23715" w:rsidRPr="0064113E" w:rsidRDefault="00C23715" w:rsidP="00A63A70">
            <w:pPr>
              <w:spacing w:line="259" w:lineRule="auto"/>
              <w:ind w:right="-992"/>
              <w:jc w:val="both"/>
              <w:rPr>
                <w:b/>
                <w:bCs/>
              </w:rPr>
            </w:pPr>
            <w:r w:rsidRPr="0064113E">
              <w:rPr>
                <w:b/>
                <w:bCs/>
              </w:rPr>
              <w:t>Smrtelný</w:t>
            </w:r>
          </w:p>
        </w:tc>
        <w:tc>
          <w:tcPr>
            <w:tcW w:w="2261" w:type="dxa"/>
            <w:shd w:val="clear" w:color="auto" w:fill="D9E2F3" w:themeFill="accent1" w:themeFillTint="33"/>
          </w:tcPr>
          <w:p w14:paraId="53344667" w14:textId="77777777" w:rsidR="00C23715" w:rsidRPr="0064113E" w:rsidRDefault="00C23715" w:rsidP="00A63A70">
            <w:pPr>
              <w:spacing w:line="259" w:lineRule="auto"/>
              <w:ind w:right="-992"/>
              <w:jc w:val="both"/>
              <w:rPr>
                <w:b/>
                <w:bCs/>
              </w:rPr>
            </w:pPr>
            <w:r w:rsidRPr="0064113E">
              <w:rPr>
                <w:b/>
                <w:bCs/>
              </w:rPr>
              <w:t>Závažný</w:t>
            </w:r>
          </w:p>
        </w:tc>
        <w:tc>
          <w:tcPr>
            <w:tcW w:w="2260" w:type="dxa"/>
            <w:shd w:val="clear" w:color="auto" w:fill="D9E2F3" w:themeFill="accent1" w:themeFillTint="33"/>
          </w:tcPr>
          <w:p w14:paraId="177DD202" w14:textId="77777777" w:rsidR="00C23715" w:rsidRPr="0064113E" w:rsidRDefault="00C23715" w:rsidP="00A63A70">
            <w:pPr>
              <w:spacing w:line="259" w:lineRule="auto"/>
              <w:ind w:right="-992"/>
              <w:jc w:val="both"/>
              <w:rPr>
                <w:b/>
                <w:bCs/>
              </w:rPr>
            </w:pPr>
            <w:r w:rsidRPr="0064113E">
              <w:rPr>
                <w:b/>
                <w:bCs/>
              </w:rPr>
              <w:t>Ostatní</w:t>
            </w:r>
          </w:p>
        </w:tc>
      </w:tr>
      <w:tr w:rsidR="00C23715" w:rsidRPr="0064113E" w14:paraId="16AE9C07" w14:textId="77777777" w:rsidTr="002A428B">
        <w:tc>
          <w:tcPr>
            <w:tcW w:w="2694" w:type="dxa"/>
          </w:tcPr>
          <w:p w14:paraId="72A9B95D" w14:textId="77777777" w:rsidR="00C23715" w:rsidRPr="0064113E" w:rsidRDefault="00C23715" w:rsidP="00A63A70">
            <w:pPr>
              <w:spacing w:line="259" w:lineRule="auto"/>
              <w:ind w:right="-992"/>
              <w:jc w:val="both"/>
              <w:rPr>
                <w:b/>
                <w:bCs/>
              </w:rPr>
            </w:pPr>
            <w:r w:rsidRPr="0064113E">
              <w:rPr>
                <w:b/>
                <w:bCs/>
              </w:rPr>
              <w:t>Rok 2021</w:t>
            </w:r>
          </w:p>
        </w:tc>
        <w:tc>
          <w:tcPr>
            <w:tcW w:w="2260" w:type="dxa"/>
          </w:tcPr>
          <w:p w14:paraId="74392AC1" w14:textId="77777777" w:rsidR="00C23715" w:rsidRPr="0064113E" w:rsidRDefault="00C23715" w:rsidP="00A63A70">
            <w:pPr>
              <w:spacing w:line="259" w:lineRule="auto"/>
              <w:ind w:right="-992"/>
              <w:jc w:val="both"/>
            </w:pPr>
            <w:r w:rsidRPr="0064113E">
              <w:t>18</w:t>
            </w:r>
          </w:p>
        </w:tc>
        <w:tc>
          <w:tcPr>
            <w:tcW w:w="2261" w:type="dxa"/>
          </w:tcPr>
          <w:p w14:paraId="502A25A0" w14:textId="77777777" w:rsidR="00C23715" w:rsidRPr="0064113E" w:rsidRDefault="00C23715" w:rsidP="00A63A70">
            <w:pPr>
              <w:spacing w:line="259" w:lineRule="auto"/>
              <w:ind w:right="-992"/>
              <w:jc w:val="both"/>
            </w:pPr>
            <w:r w:rsidRPr="0064113E">
              <w:t>109</w:t>
            </w:r>
          </w:p>
        </w:tc>
        <w:tc>
          <w:tcPr>
            <w:tcW w:w="2260" w:type="dxa"/>
          </w:tcPr>
          <w:p w14:paraId="7BF23A2C" w14:textId="77777777" w:rsidR="00C23715" w:rsidRPr="0064113E" w:rsidRDefault="00C23715" w:rsidP="00A63A70">
            <w:pPr>
              <w:spacing w:line="259" w:lineRule="auto"/>
              <w:ind w:right="-992"/>
              <w:jc w:val="both"/>
            </w:pPr>
            <w:r w:rsidRPr="0064113E">
              <w:t>2 155</w:t>
            </w:r>
          </w:p>
        </w:tc>
      </w:tr>
      <w:tr w:rsidR="00C23715" w:rsidRPr="0064113E" w14:paraId="186D0CDE" w14:textId="77777777" w:rsidTr="002A428B">
        <w:tc>
          <w:tcPr>
            <w:tcW w:w="2694" w:type="dxa"/>
          </w:tcPr>
          <w:p w14:paraId="43A47DB4" w14:textId="77777777" w:rsidR="00C23715" w:rsidRPr="0064113E" w:rsidRDefault="00C23715" w:rsidP="00A63A70">
            <w:pPr>
              <w:spacing w:line="259" w:lineRule="auto"/>
              <w:ind w:right="-992"/>
              <w:jc w:val="both"/>
              <w:rPr>
                <w:b/>
                <w:bCs/>
              </w:rPr>
            </w:pPr>
            <w:r w:rsidRPr="0064113E">
              <w:rPr>
                <w:b/>
                <w:bCs/>
              </w:rPr>
              <w:t>Rok 2022</w:t>
            </w:r>
          </w:p>
        </w:tc>
        <w:tc>
          <w:tcPr>
            <w:tcW w:w="2260" w:type="dxa"/>
          </w:tcPr>
          <w:p w14:paraId="18772EF8" w14:textId="77777777" w:rsidR="00C23715" w:rsidRPr="0064113E" w:rsidRDefault="00C23715" w:rsidP="00A63A70">
            <w:pPr>
              <w:spacing w:line="259" w:lineRule="auto"/>
              <w:ind w:right="-992"/>
              <w:jc w:val="both"/>
            </w:pPr>
            <w:r w:rsidRPr="0064113E">
              <w:t>10</w:t>
            </w:r>
          </w:p>
        </w:tc>
        <w:tc>
          <w:tcPr>
            <w:tcW w:w="2261" w:type="dxa"/>
          </w:tcPr>
          <w:p w14:paraId="2F51ABFF" w14:textId="77777777" w:rsidR="00C23715" w:rsidRPr="0064113E" w:rsidRDefault="00C23715" w:rsidP="00A63A70">
            <w:pPr>
              <w:spacing w:line="259" w:lineRule="auto"/>
              <w:ind w:right="-992"/>
              <w:jc w:val="both"/>
            </w:pPr>
            <w:r w:rsidRPr="0064113E">
              <w:t>113</w:t>
            </w:r>
          </w:p>
        </w:tc>
        <w:tc>
          <w:tcPr>
            <w:tcW w:w="2260" w:type="dxa"/>
          </w:tcPr>
          <w:p w14:paraId="6B402F8C" w14:textId="77777777" w:rsidR="00C23715" w:rsidRPr="0064113E" w:rsidRDefault="00C23715" w:rsidP="00A63A70">
            <w:pPr>
              <w:spacing w:line="259" w:lineRule="auto"/>
              <w:ind w:right="-992"/>
              <w:jc w:val="both"/>
            </w:pPr>
            <w:r w:rsidRPr="0064113E">
              <w:t>1 945</w:t>
            </w:r>
          </w:p>
        </w:tc>
      </w:tr>
      <w:tr w:rsidR="0045449E" w:rsidRPr="0064113E" w14:paraId="0F78C9FF" w14:textId="77777777" w:rsidTr="002A428B">
        <w:tc>
          <w:tcPr>
            <w:tcW w:w="2694" w:type="dxa"/>
          </w:tcPr>
          <w:p w14:paraId="6A1C1B62" w14:textId="59CBD0C0" w:rsidR="0045449E" w:rsidRPr="0064113E" w:rsidRDefault="0045449E" w:rsidP="00A63A70">
            <w:pPr>
              <w:ind w:right="-992"/>
              <w:jc w:val="both"/>
              <w:rPr>
                <w:b/>
                <w:bCs/>
              </w:rPr>
            </w:pPr>
            <w:r>
              <w:rPr>
                <w:b/>
                <w:bCs/>
              </w:rPr>
              <w:t>Rok 2023 (k 24.11.23)</w:t>
            </w:r>
          </w:p>
        </w:tc>
        <w:tc>
          <w:tcPr>
            <w:tcW w:w="2260" w:type="dxa"/>
          </w:tcPr>
          <w:p w14:paraId="535362DB" w14:textId="31B6521E" w:rsidR="0045449E" w:rsidRPr="0064113E" w:rsidRDefault="0045449E" w:rsidP="00A63A70">
            <w:pPr>
              <w:ind w:right="-992"/>
              <w:jc w:val="both"/>
            </w:pPr>
            <w:r>
              <w:t>15</w:t>
            </w:r>
          </w:p>
        </w:tc>
        <w:tc>
          <w:tcPr>
            <w:tcW w:w="2261" w:type="dxa"/>
          </w:tcPr>
          <w:p w14:paraId="410446BF" w14:textId="523C9518" w:rsidR="0045449E" w:rsidRPr="0064113E" w:rsidRDefault="0045449E" w:rsidP="00A63A70">
            <w:pPr>
              <w:ind w:right="-992"/>
              <w:jc w:val="both"/>
            </w:pPr>
            <w:r>
              <w:t>73</w:t>
            </w:r>
          </w:p>
        </w:tc>
        <w:tc>
          <w:tcPr>
            <w:tcW w:w="2260" w:type="dxa"/>
          </w:tcPr>
          <w:p w14:paraId="5C1AE966" w14:textId="57CDE1AB" w:rsidR="0045449E" w:rsidRPr="0064113E" w:rsidRDefault="0045449E" w:rsidP="00A63A70">
            <w:pPr>
              <w:ind w:right="-992"/>
              <w:jc w:val="both"/>
            </w:pPr>
            <w:r>
              <w:t>1 688</w:t>
            </w:r>
          </w:p>
        </w:tc>
      </w:tr>
    </w:tbl>
    <w:p w14:paraId="13FC6890" w14:textId="77777777" w:rsidR="00C23715" w:rsidRPr="0064113E" w:rsidRDefault="00C23715" w:rsidP="002A428B">
      <w:pPr>
        <w:spacing w:after="0"/>
        <w:ind w:left="-284" w:right="-992"/>
        <w:jc w:val="both"/>
        <w:rPr>
          <w:b/>
          <w:bCs/>
        </w:rPr>
      </w:pPr>
      <w:r w:rsidRPr="0064113E">
        <w:rPr>
          <w:b/>
          <w:bCs/>
        </w:rPr>
        <w:t>Nejčastější zdroje PÚ:</w:t>
      </w:r>
    </w:p>
    <w:p w14:paraId="55441422" w14:textId="19E70121" w:rsidR="00C23715" w:rsidRPr="0064113E" w:rsidRDefault="00C23715">
      <w:pPr>
        <w:numPr>
          <w:ilvl w:val="0"/>
          <w:numId w:val="5"/>
        </w:numPr>
        <w:spacing w:after="0"/>
        <w:ind w:left="142" w:right="-142"/>
      </w:pPr>
      <w:r w:rsidRPr="0064113E">
        <w:t>Materiály, předměty, výrobky, součásti, strojů a vozidel, úlomky, prach</w:t>
      </w:r>
      <w:r w:rsidR="000A1797">
        <w:t>,</w:t>
      </w:r>
    </w:p>
    <w:p w14:paraId="2FC5428E" w14:textId="657D743D" w:rsidR="00C23715" w:rsidRPr="0064113E" w:rsidRDefault="00C23715">
      <w:pPr>
        <w:numPr>
          <w:ilvl w:val="0"/>
          <w:numId w:val="5"/>
        </w:numPr>
        <w:spacing w:after="0"/>
        <w:ind w:left="142" w:right="-142"/>
      </w:pPr>
      <w:r w:rsidRPr="0064113E">
        <w:t>Budovy, konstrukce, povrchy nad úrovní země (uvnitř i vně)</w:t>
      </w:r>
      <w:r w:rsidR="000A1797">
        <w:t>,</w:t>
      </w:r>
    </w:p>
    <w:p w14:paraId="3D971222" w14:textId="208A1C9D" w:rsidR="00C23715" w:rsidRPr="0064113E" w:rsidRDefault="00C23715">
      <w:pPr>
        <w:numPr>
          <w:ilvl w:val="0"/>
          <w:numId w:val="5"/>
        </w:numPr>
        <w:spacing w:after="0"/>
        <w:ind w:left="142" w:right="-142"/>
      </w:pPr>
      <w:r w:rsidRPr="0064113E">
        <w:t>Budovy, stavební konstrukce, povrchy – v úrovni země (uvnitř i vně, pevné či mobilní, dočasné nebo trvalé)</w:t>
      </w:r>
      <w:r w:rsidR="000A1797">
        <w:t>.</w:t>
      </w:r>
    </w:p>
    <w:p w14:paraId="3D1A3CB6" w14:textId="77777777" w:rsidR="00A51887" w:rsidRDefault="00A51887" w:rsidP="00A63A70">
      <w:pPr>
        <w:spacing w:after="0"/>
        <w:ind w:right="-992"/>
        <w:jc w:val="both"/>
        <w:rPr>
          <w:b/>
          <w:bCs/>
        </w:rPr>
      </w:pPr>
    </w:p>
    <w:p w14:paraId="679F864E" w14:textId="6C0CAB73" w:rsidR="00C23715" w:rsidRPr="0064113E" w:rsidRDefault="00C23715" w:rsidP="002A428B">
      <w:pPr>
        <w:spacing w:after="0"/>
        <w:ind w:left="-284" w:right="-992"/>
        <w:jc w:val="both"/>
        <w:rPr>
          <w:b/>
          <w:bCs/>
        </w:rPr>
      </w:pPr>
      <w:r w:rsidRPr="0064113E">
        <w:rPr>
          <w:b/>
          <w:bCs/>
        </w:rPr>
        <w:t>Nejčastější příčiny PÚ:</w:t>
      </w:r>
    </w:p>
    <w:p w14:paraId="6DF04403" w14:textId="77777777" w:rsidR="00C23715" w:rsidRPr="0064113E" w:rsidRDefault="00C23715">
      <w:pPr>
        <w:numPr>
          <w:ilvl w:val="0"/>
          <w:numId w:val="5"/>
        </w:numPr>
        <w:spacing w:after="0"/>
        <w:ind w:left="142"/>
      </w:pPr>
      <w:r w:rsidRPr="0064113E">
        <w:t>Špatně nebo nedostatečně odhadnuté riziko,</w:t>
      </w:r>
    </w:p>
    <w:p w14:paraId="356E1396" w14:textId="6F5B7DC4" w:rsidR="00C23715" w:rsidRPr="0064113E" w:rsidRDefault="00C23715">
      <w:pPr>
        <w:numPr>
          <w:ilvl w:val="0"/>
          <w:numId w:val="5"/>
        </w:numPr>
        <w:spacing w:after="0"/>
        <w:ind w:left="142"/>
      </w:pPr>
      <w:r w:rsidRPr="0064113E">
        <w:t>Používání nebezpečných postupů nebo způsobu práce včetně jednání bez oprávnění, proti zákazu, prodlévání v ohroženém prostoru,</w:t>
      </w:r>
      <w:r w:rsidR="00A63A70">
        <w:t xml:space="preserve"> </w:t>
      </w:r>
      <w:r w:rsidR="00A63A70" w:rsidRPr="008F2F13">
        <w:t>nedostatky v koordinaci činností</w:t>
      </w:r>
      <w:r w:rsidR="00A63A70">
        <w:t xml:space="preserve">   </w:t>
      </w:r>
    </w:p>
    <w:p w14:paraId="5AF23BEE" w14:textId="77777777" w:rsidR="00C23715" w:rsidRPr="0064113E" w:rsidRDefault="00C23715">
      <w:pPr>
        <w:numPr>
          <w:ilvl w:val="0"/>
          <w:numId w:val="5"/>
        </w:numPr>
        <w:spacing w:after="0"/>
        <w:ind w:left="142"/>
      </w:pPr>
      <w:r w:rsidRPr="0064113E">
        <w:t>Vadný nebo nepříznivý stav zdroje úrazu (nikoliv pracoviště).</w:t>
      </w:r>
    </w:p>
    <w:p w14:paraId="19F1FC85" w14:textId="77777777" w:rsidR="00C23715" w:rsidRDefault="00C23715" w:rsidP="00011136">
      <w:pPr>
        <w:spacing w:after="0" w:line="240" w:lineRule="auto"/>
        <w:contextualSpacing/>
        <w:rPr>
          <w:b/>
          <w:bCs/>
        </w:rPr>
      </w:pPr>
    </w:p>
    <w:tbl>
      <w:tblPr>
        <w:tblStyle w:val="Mkatabulky"/>
        <w:tblW w:w="768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12"/>
        <w:gridCol w:w="1813"/>
        <w:gridCol w:w="1813"/>
        <w:gridCol w:w="1847"/>
      </w:tblGrid>
      <w:tr w:rsidR="00D07589" w14:paraId="457EE4C8" w14:textId="34DD4778" w:rsidTr="00D07589">
        <w:tc>
          <w:tcPr>
            <w:tcW w:w="2212" w:type="dxa"/>
            <w:shd w:val="clear" w:color="auto" w:fill="D9E2F3" w:themeFill="accent1" w:themeFillTint="33"/>
          </w:tcPr>
          <w:p w14:paraId="737132BC" w14:textId="77777777" w:rsidR="00D07589" w:rsidRPr="00E57BC0" w:rsidRDefault="00D07589" w:rsidP="00A63A70">
            <w:pPr>
              <w:contextualSpacing/>
              <w:jc w:val="both"/>
              <w:rPr>
                <w:b/>
                <w:bCs/>
              </w:rPr>
            </w:pPr>
            <w:r w:rsidRPr="00E57BC0">
              <w:rPr>
                <w:b/>
                <w:bCs/>
              </w:rPr>
              <w:t>Rok</w:t>
            </w:r>
          </w:p>
        </w:tc>
        <w:tc>
          <w:tcPr>
            <w:tcW w:w="1813" w:type="dxa"/>
            <w:shd w:val="clear" w:color="auto" w:fill="D9E2F3" w:themeFill="accent1" w:themeFillTint="33"/>
          </w:tcPr>
          <w:p w14:paraId="181CAD0C" w14:textId="77777777" w:rsidR="00D07589" w:rsidRPr="00E57BC0" w:rsidRDefault="00D07589" w:rsidP="00A63A70">
            <w:pPr>
              <w:contextualSpacing/>
              <w:jc w:val="both"/>
              <w:rPr>
                <w:b/>
                <w:bCs/>
              </w:rPr>
            </w:pPr>
            <w:r w:rsidRPr="00E57BC0">
              <w:rPr>
                <w:b/>
                <w:bCs/>
              </w:rPr>
              <w:t>2021</w:t>
            </w:r>
          </w:p>
        </w:tc>
        <w:tc>
          <w:tcPr>
            <w:tcW w:w="1813" w:type="dxa"/>
            <w:shd w:val="clear" w:color="auto" w:fill="D9E2F3" w:themeFill="accent1" w:themeFillTint="33"/>
          </w:tcPr>
          <w:p w14:paraId="1F2765F3" w14:textId="77777777" w:rsidR="00D07589" w:rsidRPr="00E57BC0" w:rsidRDefault="00D07589" w:rsidP="00A63A70">
            <w:pPr>
              <w:contextualSpacing/>
              <w:jc w:val="both"/>
              <w:rPr>
                <w:b/>
                <w:bCs/>
              </w:rPr>
            </w:pPr>
            <w:r w:rsidRPr="00E57BC0">
              <w:rPr>
                <w:b/>
                <w:bCs/>
              </w:rPr>
              <w:t>2022</w:t>
            </w:r>
          </w:p>
        </w:tc>
        <w:tc>
          <w:tcPr>
            <w:tcW w:w="1847" w:type="dxa"/>
            <w:shd w:val="clear" w:color="auto" w:fill="D9E2F3" w:themeFill="accent1" w:themeFillTint="33"/>
          </w:tcPr>
          <w:p w14:paraId="280B86BC" w14:textId="29323717" w:rsidR="00D07589" w:rsidRPr="00E57BC0" w:rsidRDefault="00D07589" w:rsidP="00A63A70">
            <w:pPr>
              <w:contextualSpacing/>
              <w:jc w:val="both"/>
              <w:rPr>
                <w:b/>
                <w:bCs/>
              </w:rPr>
            </w:pPr>
            <w:r>
              <w:rPr>
                <w:b/>
                <w:bCs/>
              </w:rPr>
              <w:t>2023 (k 24.11.23)</w:t>
            </w:r>
          </w:p>
        </w:tc>
      </w:tr>
      <w:tr w:rsidR="00D07589" w14:paraId="0135F02E" w14:textId="5D3CA05A" w:rsidTr="00D07589">
        <w:tc>
          <w:tcPr>
            <w:tcW w:w="2212" w:type="dxa"/>
          </w:tcPr>
          <w:p w14:paraId="301BADC4" w14:textId="77777777" w:rsidR="00D07589" w:rsidRPr="00E57BC0" w:rsidRDefault="00D07589" w:rsidP="00A63A70">
            <w:pPr>
              <w:contextualSpacing/>
              <w:jc w:val="both"/>
              <w:rPr>
                <w:b/>
                <w:bCs/>
              </w:rPr>
            </w:pPr>
            <w:r>
              <w:rPr>
                <w:b/>
                <w:bCs/>
              </w:rPr>
              <w:t>Počet kontrol</w:t>
            </w:r>
          </w:p>
        </w:tc>
        <w:tc>
          <w:tcPr>
            <w:tcW w:w="1813" w:type="dxa"/>
          </w:tcPr>
          <w:p w14:paraId="01E528FD" w14:textId="77777777" w:rsidR="00D07589" w:rsidRDefault="00D07589" w:rsidP="00A63A70">
            <w:pPr>
              <w:contextualSpacing/>
              <w:jc w:val="both"/>
            </w:pPr>
            <w:r>
              <w:t>617</w:t>
            </w:r>
          </w:p>
        </w:tc>
        <w:tc>
          <w:tcPr>
            <w:tcW w:w="1813" w:type="dxa"/>
          </w:tcPr>
          <w:p w14:paraId="4F6217C0" w14:textId="77777777" w:rsidR="00D07589" w:rsidRDefault="00D07589" w:rsidP="00A63A70">
            <w:pPr>
              <w:contextualSpacing/>
              <w:jc w:val="both"/>
            </w:pPr>
            <w:r>
              <w:t>758</w:t>
            </w:r>
          </w:p>
        </w:tc>
        <w:tc>
          <w:tcPr>
            <w:tcW w:w="1847" w:type="dxa"/>
          </w:tcPr>
          <w:p w14:paraId="79E09687" w14:textId="19A37F80" w:rsidR="00D07589" w:rsidRDefault="00D07589" w:rsidP="00A63A70">
            <w:pPr>
              <w:contextualSpacing/>
              <w:jc w:val="both"/>
            </w:pPr>
            <w:r>
              <w:t>825</w:t>
            </w:r>
          </w:p>
        </w:tc>
      </w:tr>
      <w:tr w:rsidR="00D07589" w14:paraId="0C92474E" w14:textId="37FBA038" w:rsidTr="00D07589">
        <w:tc>
          <w:tcPr>
            <w:tcW w:w="2212" w:type="dxa"/>
          </w:tcPr>
          <w:p w14:paraId="0D4BCD83" w14:textId="77777777" w:rsidR="00D07589" w:rsidRPr="00E57BC0" w:rsidRDefault="00D07589" w:rsidP="00A63A70">
            <w:pPr>
              <w:contextualSpacing/>
              <w:jc w:val="both"/>
              <w:rPr>
                <w:b/>
                <w:bCs/>
              </w:rPr>
            </w:pPr>
            <w:r w:rsidRPr="00E57BC0">
              <w:rPr>
                <w:b/>
                <w:bCs/>
              </w:rPr>
              <w:t>Počet porušení</w:t>
            </w:r>
          </w:p>
        </w:tc>
        <w:tc>
          <w:tcPr>
            <w:tcW w:w="1813" w:type="dxa"/>
          </w:tcPr>
          <w:p w14:paraId="1A77944D" w14:textId="77777777" w:rsidR="00D07589" w:rsidRDefault="00D07589" w:rsidP="00A63A70">
            <w:pPr>
              <w:contextualSpacing/>
              <w:jc w:val="both"/>
            </w:pPr>
            <w:r>
              <w:t>1 279</w:t>
            </w:r>
          </w:p>
        </w:tc>
        <w:tc>
          <w:tcPr>
            <w:tcW w:w="1813" w:type="dxa"/>
          </w:tcPr>
          <w:p w14:paraId="78811F14" w14:textId="77777777" w:rsidR="00D07589" w:rsidRDefault="00D07589" w:rsidP="00A63A70">
            <w:pPr>
              <w:contextualSpacing/>
              <w:jc w:val="both"/>
            </w:pPr>
            <w:r>
              <w:t>1 798</w:t>
            </w:r>
          </w:p>
        </w:tc>
        <w:tc>
          <w:tcPr>
            <w:tcW w:w="1847" w:type="dxa"/>
          </w:tcPr>
          <w:p w14:paraId="4B3E62D4" w14:textId="15C1D178" w:rsidR="00D07589" w:rsidRDefault="00D07589" w:rsidP="00A63A70">
            <w:pPr>
              <w:contextualSpacing/>
              <w:jc w:val="both"/>
            </w:pPr>
            <w:r>
              <w:t>1 835</w:t>
            </w:r>
          </w:p>
        </w:tc>
      </w:tr>
    </w:tbl>
    <w:p w14:paraId="62C62EF6" w14:textId="77777777" w:rsidR="00C23715" w:rsidRDefault="00C23715" w:rsidP="00A63A70">
      <w:pPr>
        <w:spacing w:after="0" w:line="240" w:lineRule="auto"/>
        <w:contextualSpacing/>
        <w:jc w:val="both"/>
      </w:pPr>
    </w:p>
    <w:p w14:paraId="680472F9" w14:textId="77777777" w:rsidR="00C23715" w:rsidRDefault="00C23715" w:rsidP="002A428B">
      <w:pPr>
        <w:spacing w:after="0" w:line="240" w:lineRule="auto"/>
        <w:ind w:left="-284"/>
        <w:contextualSpacing/>
        <w:jc w:val="both"/>
        <w:rPr>
          <w:b/>
          <w:bCs/>
        </w:rPr>
      </w:pPr>
      <w:bookmarkStart w:id="11" w:name="_Hlk125381426"/>
      <w:r w:rsidRPr="00E57BC0">
        <w:rPr>
          <w:b/>
          <w:bCs/>
        </w:rPr>
        <w:t>Nejčastěji porušovan</w:t>
      </w:r>
      <w:r>
        <w:rPr>
          <w:b/>
          <w:bCs/>
        </w:rPr>
        <w:t>é právní</w:t>
      </w:r>
      <w:r w:rsidRPr="00E57BC0">
        <w:rPr>
          <w:b/>
          <w:bCs/>
        </w:rPr>
        <w:t xml:space="preserve"> předpis</w:t>
      </w:r>
      <w:r>
        <w:rPr>
          <w:b/>
          <w:bCs/>
        </w:rPr>
        <w:t>y</w:t>
      </w:r>
      <w:r w:rsidRPr="00E57BC0">
        <w:rPr>
          <w:b/>
          <w:bCs/>
        </w:rPr>
        <w:t>:</w:t>
      </w:r>
    </w:p>
    <w:p w14:paraId="0DBBB1F9" w14:textId="77777777" w:rsidR="00C23715" w:rsidRDefault="00C23715">
      <w:pPr>
        <w:pStyle w:val="Odstavecseseznamem"/>
        <w:numPr>
          <w:ilvl w:val="0"/>
          <w:numId w:val="5"/>
        </w:numPr>
        <w:spacing w:after="0" w:line="240" w:lineRule="auto"/>
        <w:ind w:left="142" w:hanging="284"/>
        <w:jc w:val="both"/>
      </w:pPr>
      <w:r w:rsidRPr="00EA7CD0">
        <w:rPr>
          <w:b/>
          <w:bCs/>
        </w:rPr>
        <w:t>zákon č. 309/2006 Sb</w:t>
      </w:r>
      <w:r w:rsidRPr="005D7D4C">
        <w:t xml:space="preserve">., </w:t>
      </w:r>
      <w: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Pr="005D7D4C">
        <w:t xml:space="preserve">, ve znění pozdějších předpisů </w:t>
      </w:r>
      <w:r>
        <w:rPr>
          <w:rFonts w:cstheme="minorHAnsi"/>
        </w:rPr>
        <w:t>[</w:t>
      </w:r>
      <w:r w:rsidRPr="005D7D4C">
        <w:t>zejm</w:t>
      </w:r>
      <w:r>
        <w:t xml:space="preserve">éna </w:t>
      </w:r>
      <w:proofErr w:type="spellStart"/>
      <w:r>
        <w:t>ust</w:t>
      </w:r>
      <w:proofErr w:type="spellEnd"/>
      <w:r>
        <w:t xml:space="preserve">. </w:t>
      </w:r>
      <w:r w:rsidRPr="005D7D4C">
        <w:t>§ 5 odst. 1 písm. c)</w:t>
      </w:r>
      <w:r>
        <w:t xml:space="preserve">; </w:t>
      </w:r>
      <w:proofErr w:type="spellStart"/>
      <w:r>
        <w:t>ust</w:t>
      </w:r>
      <w:proofErr w:type="spellEnd"/>
      <w:r>
        <w:t>.</w:t>
      </w:r>
      <w:r w:rsidRPr="005D7D4C">
        <w:t xml:space="preserve"> § 3 odst. 2 písm.</w:t>
      </w:r>
      <w:r>
        <w:t> </w:t>
      </w:r>
      <w:r w:rsidRPr="005D7D4C">
        <w:t>g)</w:t>
      </w:r>
      <w:r>
        <w:t xml:space="preserve">; </w:t>
      </w:r>
      <w:proofErr w:type="spellStart"/>
      <w:r>
        <w:t>ust</w:t>
      </w:r>
      <w:proofErr w:type="spellEnd"/>
      <w:r>
        <w:t xml:space="preserve">. </w:t>
      </w:r>
      <w:r w:rsidRPr="005D7D4C">
        <w:t>§ 14 odst. 1</w:t>
      </w:r>
      <w:r>
        <w:rPr>
          <w:rFonts w:cstheme="minorHAnsi"/>
        </w:rPr>
        <w:t>]</w:t>
      </w:r>
      <w:r>
        <w:t>,</w:t>
      </w:r>
    </w:p>
    <w:p w14:paraId="74A74611" w14:textId="77777777" w:rsidR="00C23715" w:rsidRDefault="00C23715">
      <w:pPr>
        <w:pStyle w:val="Odstavecseseznamem"/>
        <w:numPr>
          <w:ilvl w:val="0"/>
          <w:numId w:val="5"/>
        </w:numPr>
        <w:spacing w:after="0" w:line="240" w:lineRule="auto"/>
        <w:ind w:left="142" w:hanging="284"/>
        <w:jc w:val="both"/>
      </w:pPr>
      <w:r w:rsidRPr="00EA7CD0">
        <w:rPr>
          <w:b/>
          <w:bCs/>
        </w:rPr>
        <w:t>nařízení vlády č. 362/2005 Sb.</w:t>
      </w:r>
      <w:r w:rsidRPr="005D7D4C">
        <w:t>, o bližších požadavcích na bezpečnost a ochranu zdraví při práci na pracovištích s nebezpečím pádu z výšky nebo do hloubky</w:t>
      </w:r>
      <w:r>
        <w:t xml:space="preserve"> </w:t>
      </w:r>
      <w:r>
        <w:rPr>
          <w:rFonts w:cstheme="minorHAnsi"/>
        </w:rPr>
        <w:t>[</w:t>
      </w:r>
      <w:r w:rsidRPr="005D7D4C">
        <w:t>zejm</w:t>
      </w:r>
      <w:r>
        <w:t xml:space="preserve">éna </w:t>
      </w:r>
      <w:proofErr w:type="spellStart"/>
      <w:r>
        <w:t>ust</w:t>
      </w:r>
      <w:proofErr w:type="spellEnd"/>
      <w:r>
        <w:t xml:space="preserve">. </w:t>
      </w:r>
      <w:r w:rsidRPr="005D7D4C">
        <w:t>§ 3 odst. 1 písm. b)</w:t>
      </w:r>
      <w:r>
        <w:t xml:space="preserve">; </w:t>
      </w:r>
      <w:proofErr w:type="spellStart"/>
      <w:r>
        <w:t>ust</w:t>
      </w:r>
      <w:proofErr w:type="spellEnd"/>
      <w:r>
        <w:t xml:space="preserve">. </w:t>
      </w:r>
      <w:r w:rsidRPr="005D7D4C">
        <w:t>§ 4 příloha část I. bod přílohy 4.</w:t>
      </w:r>
      <w:r>
        <w:t xml:space="preserve">; </w:t>
      </w:r>
      <w:proofErr w:type="spellStart"/>
      <w:r>
        <w:t>ust</w:t>
      </w:r>
      <w:proofErr w:type="spellEnd"/>
      <w:r>
        <w:t xml:space="preserve">. </w:t>
      </w:r>
      <w:r w:rsidRPr="005D7D4C">
        <w:t>§ 3 odst. 5</w:t>
      </w:r>
      <w:r>
        <w:rPr>
          <w:rFonts w:cstheme="minorHAnsi"/>
        </w:rPr>
        <w:t>]</w:t>
      </w:r>
      <w:r>
        <w:t>,</w:t>
      </w:r>
    </w:p>
    <w:p w14:paraId="5037E53F" w14:textId="77777777" w:rsidR="00C23715" w:rsidRDefault="00C23715">
      <w:pPr>
        <w:pStyle w:val="Odstavecseseznamem"/>
        <w:numPr>
          <w:ilvl w:val="0"/>
          <w:numId w:val="5"/>
        </w:numPr>
        <w:spacing w:after="0" w:line="240" w:lineRule="auto"/>
        <w:ind w:left="142" w:hanging="284"/>
        <w:jc w:val="both"/>
      </w:pPr>
      <w:r w:rsidRPr="00747449">
        <w:rPr>
          <w:b/>
          <w:bCs/>
        </w:rPr>
        <w:t>nařízení vlády č. 591/2006 Sb.</w:t>
      </w:r>
      <w:r w:rsidRPr="005D7D4C">
        <w:t xml:space="preserve">, o bližších minimálních požadavcích na bezpečnost a ochranu zdraví při práci na staveništích, ve znění pozdějších předpisů </w:t>
      </w:r>
      <w:r>
        <w:rPr>
          <w:rFonts w:cstheme="minorHAnsi"/>
        </w:rPr>
        <w:t>[</w:t>
      </w:r>
      <w:r w:rsidRPr="005D7D4C">
        <w:t>zejm</w:t>
      </w:r>
      <w:r>
        <w:t xml:space="preserve">éna </w:t>
      </w:r>
      <w:proofErr w:type="spellStart"/>
      <w:r>
        <w:t>ust</w:t>
      </w:r>
      <w:proofErr w:type="spellEnd"/>
      <w:r>
        <w:t>.</w:t>
      </w:r>
      <w:r w:rsidRPr="005D7D4C">
        <w:t xml:space="preserve"> § 2 odst. 1</w:t>
      </w:r>
      <w:r>
        <w:t>;</w:t>
      </w:r>
      <w:r w:rsidRPr="005D7D4C">
        <w:t xml:space="preserve"> </w:t>
      </w:r>
      <w:proofErr w:type="spellStart"/>
      <w:r>
        <w:t>ust</w:t>
      </w:r>
      <w:proofErr w:type="spellEnd"/>
      <w:r>
        <w:t xml:space="preserve">. </w:t>
      </w:r>
      <w:r w:rsidRPr="005D7D4C">
        <w:t>§ 8 odst. 1 písm.</w:t>
      </w:r>
      <w:r>
        <w:t> </w:t>
      </w:r>
      <w:r w:rsidRPr="005D7D4C">
        <w:t>h)</w:t>
      </w:r>
      <w:r>
        <w:t>;</w:t>
      </w:r>
      <w:r w:rsidRPr="005D7D4C">
        <w:t xml:space="preserve"> </w:t>
      </w:r>
      <w:proofErr w:type="spellStart"/>
      <w:r>
        <w:t>ust</w:t>
      </w:r>
      <w:proofErr w:type="spellEnd"/>
      <w:r>
        <w:t xml:space="preserve">. </w:t>
      </w:r>
      <w:r w:rsidRPr="005D7D4C">
        <w:t>§ 8 odst. 1 písm. a)</w:t>
      </w:r>
      <w:r>
        <w:rPr>
          <w:rFonts w:cstheme="minorHAnsi"/>
        </w:rPr>
        <w:t>]</w:t>
      </w:r>
      <w:r>
        <w:t>.</w:t>
      </w:r>
    </w:p>
    <w:bookmarkEnd w:id="11"/>
    <w:p w14:paraId="0B629175" w14:textId="77777777" w:rsidR="00C23715" w:rsidRPr="005A22E2" w:rsidRDefault="00C23715" w:rsidP="00A63A70">
      <w:pPr>
        <w:spacing w:after="0"/>
        <w:ind w:right="-992"/>
        <w:jc w:val="both"/>
        <w:rPr>
          <w:sz w:val="24"/>
          <w:szCs w:val="24"/>
        </w:rPr>
      </w:pPr>
    </w:p>
    <w:p w14:paraId="6F2F826C" w14:textId="77777777" w:rsidR="009E7D12" w:rsidRPr="009E7D12" w:rsidRDefault="009E7D12" w:rsidP="002A428B">
      <w:pPr>
        <w:shd w:val="clear" w:color="auto" w:fill="FFFFFF"/>
        <w:spacing w:after="0" w:line="330" w:lineRule="atLeast"/>
        <w:ind w:left="-142"/>
        <w:jc w:val="both"/>
        <w:outlineLvl w:val="2"/>
        <w:rPr>
          <w:rFonts w:eastAsia="Times New Roman" w:cstheme="minorHAnsi"/>
          <w:b/>
          <w:bCs/>
          <w:lang w:eastAsia="cs-CZ"/>
        </w:rPr>
      </w:pPr>
      <w:bookmarkStart w:id="12" w:name="_Toc172709956"/>
      <w:r w:rsidRPr="009E7D12">
        <w:rPr>
          <w:rFonts w:eastAsia="Times New Roman" w:cstheme="minorHAnsi"/>
          <w:b/>
          <w:bCs/>
          <w:lang w:eastAsia="cs-CZ"/>
        </w:rPr>
        <w:t>Nejčastější rizikové faktory:</w:t>
      </w:r>
      <w:bookmarkEnd w:id="12"/>
    </w:p>
    <w:p w14:paraId="5909F834" w14:textId="77777777" w:rsidR="00C23715" w:rsidRPr="00934F3C" w:rsidRDefault="00C23715">
      <w:pPr>
        <w:pStyle w:val="Odstavecseseznamem"/>
        <w:numPr>
          <w:ilvl w:val="0"/>
          <w:numId w:val="10"/>
        </w:numPr>
        <w:shd w:val="clear" w:color="auto" w:fill="FFFFFF"/>
        <w:spacing w:after="0" w:line="330" w:lineRule="atLeast"/>
        <w:ind w:left="567"/>
        <w:jc w:val="both"/>
        <w:rPr>
          <w:rFonts w:eastAsia="Times New Roman" w:cstheme="minorHAnsi"/>
          <w:lang w:eastAsia="cs-CZ"/>
        </w:rPr>
      </w:pPr>
      <w:r w:rsidRPr="00934F3C">
        <w:rPr>
          <w:rFonts w:eastAsia="Times New Roman" w:cstheme="minorHAnsi"/>
          <w:bdr w:val="none" w:sz="0" w:space="0" w:color="auto" w:frame="1"/>
          <w:lang w:eastAsia="cs-CZ"/>
        </w:rPr>
        <w:t>práce ve výškách a nad volnou hloubkou</w:t>
      </w:r>
    </w:p>
    <w:p w14:paraId="6E83D108" w14:textId="77777777" w:rsidR="00C23715" w:rsidRPr="00934F3C" w:rsidRDefault="00C23715">
      <w:pPr>
        <w:pStyle w:val="Odstavecseseznamem"/>
        <w:numPr>
          <w:ilvl w:val="0"/>
          <w:numId w:val="10"/>
        </w:numPr>
        <w:shd w:val="clear" w:color="auto" w:fill="FFFFFF"/>
        <w:spacing w:after="0" w:line="330" w:lineRule="atLeast"/>
        <w:ind w:left="567"/>
        <w:jc w:val="both"/>
        <w:rPr>
          <w:rFonts w:eastAsia="Times New Roman" w:cstheme="minorHAnsi"/>
          <w:lang w:eastAsia="cs-CZ"/>
        </w:rPr>
      </w:pPr>
      <w:r w:rsidRPr="00934F3C">
        <w:rPr>
          <w:rFonts w:eastAsia="Times New Roman" w:cstheme="minorHAnsi"/>
          <w:bdr w:val="none" w:sz="0" w:space="0" w:color="auto" w:frame="1"/>
          <w:lang w:eastAsia="cs-CZ"/>
        </w:rPr>
        <w:t>hloubení výkopů, děr a prohlubní</w:t>
      </w:r>
    </w:p>
    <w:p w14:paraId="51F7208F" w14:textId="77777777" w:rsidR="00C23715" w:rsidRPr="00934F3C" w:rsidRDefault="00C23715">
      <w:pPr>
        <w:pStyle w:val="Odstavecseseznamem"/>
        <w:numPr>
          <w:ilvl w:val="0"/>
          <w:numId w:val="10"/>
        </w:numPr>
        <w:shd w:val="clear" w:color="auto" w:fill="FFFFFF"/>
        <w:spacing w:after="0" w:line="330" w:lineRule="atLeast"/>
        <w:ind w:left="567"/>
        <w:jc w:val="both"/>
        <w:rPr>
          <w:rFonts w:eastAsia="Times New Roman" w:cstheme="minorHAnsi"/>
          <w:lang w:eastAsia="cs-CZ"/>
        </w:rPr>
      </w:pPr>
      <w:r w:rsidRPr="00934F3C">
        <w:rPr>
          <w:rFonts w:eastAsia="Times New Roman" w:cstheme="minorHAnsi"/>
          <w:bdr w:val="none" w:sz="0" w:space="0" w:color="auto" w:frame="1"/>
          <w:lang w:eastAsia="cs-CZ"/>
        </w:rPr>
        <w:t>stabilita DSK (lešení) a jiných konstrukcí</w:t>
      </w:r>
    </w:p>
    <w:p w14:paraId="10A8E325" w14:textId="77777777" w:rsidR="00C23715" w:rsidRPr="00934F3C" w:rsidRDefault="00C23715">
      <w:pPr>
        <w:pStyle w:val="Odstavecseseznamem"/>
        <w:numPr>
          <w:ilvl w:val="0"/>
          <w:numId w:val="10"/>
        </w:numPr>
        <w:shd w:val="clear" w:color="auto" w:fill="FFFFFF"/>
        <w:spacing w:after="0" w:line="330" w:lineRule="atLeast"/>
        <w:ind w:left="567"/>
        <w:jc w:val="both"/>
        <w:rPr>
          <w:rFonts w:eastAsia="Times New Roman" w:cstheme="minorHAnsi"/>
          <w:lang w:eastAsia="cs-CZ"/>
        </w:rPr>
      </w:pPr>
      <w:r w:rsidRPr="00934F3C">
        <w:rPr>
          <w:rFonts w:eastAsia="Times New Roman" w:cstheme="minorHAnsi"/>
          <w:bdr w:val="none" w:sz="0" w:space="0" w:color="auto" w:frame="1"/>
          <w:lang w:eastAsia="cs-CZ"/>
        </w:rPr>
        <w:t>práce a manipulace s těžkými břemeny</w:t>
      </w:r>
    </w:p>
    <w:p w14:paraId="3A1ECA13" w14:textId="77777777" w:rsidR="00C23715" w:rsidRPr="00934F3C" w:rsidRDefault="00C23715">
      <w:pPr>
        <w:pStyle w:val="Odstavecseseznamem"/>
        <w:numPr>
          <w:ilvl w:val="0"/>
          <w:numId w:val="10"/>
        </w:numPr>
        <w:shd w:val="clear" w:color="auto" w:fill="FFFFFF"/>
        <w:spacing w:after="0" w:line="330" w:lineRule="atLeast"/>
        <w:ind w:left="567"/>
        <w:jc w:val="both"/>
        <w:rPr>
          <w:rFonts w:eastAsia="Times New Roman" w:cstheme="minorHAnsi"/>
          <w:lang w:eastAsia="cs-CZ"/>
        </w:rPr>
      </w:pPr>
      <w:r w:rsidRPr="00934F3C">
        <w:rPr>
          <w:rFonts w:eastAsia="Times New Roman" w:cstheme="minorHAnsi"/>
          <w:bdr w:val="none" w:sz="0" w:space="0" w:color="auto" w:frame="1"/>
          <w:lang w:eastAsia="cs-CZ"/>
        </w:rPr>
        <w:t>práce osamoceného zaměstnance</w:t>
      </w:r>
    </w:p>
    <w:p w14:paraId="4A3B0741" w14:textId="77777777" w:rsidR="00C23715" w:rsidRPr="00934F3C" w:rsidRDefault="00C23715">
      <w:pPr>
        <w:pStyle w:val="Odstavecseseznamem"/>
        <w:numPr>
          <w:ilvl w:val="0"/>
          <w:numId w:val="10"/>
        </w:numPr>
        <w:shd w:val="clear" w:color="auto" w:fill="FFFFFF"/>
        <w:spacing w:after="0" w:line="330" w:lineRule="atLeast"/>
        <w:ind w:left="567"/>
        <w:jc w:val="both"/>
        <w:rPr>
          <w:rFonts w:eastAsia="Times New Roman" w:cstheme="minorHAnsi"/>
          <w:lang w:eastAsia="cs-CZ"/>
        </w:rPr>
      </w:pPr>
      <w:r w:rsidRPr="00934F3C">
        <w:rPr>
          <w:rFonts w:eastAsia="Times New Roman" w:cstheme="minorHAnsi"/>
          <w:bdr w:val="none" w:sz="0" w:space="0" w:color="auto" w:frame="1"/>
          <w:lang w:eastAsia="cs-CZ"/>
        </w:rPr>
        <w:t>zakopnutí nebo uklouznutí v terénu</w:t>
      </w:r>
    </w:p>
    <w:p w14:paraId="559225F9" w14:textId="77777777" w:rsidR="00C23715" w:rsidRPr="00934F3C" w:rsidRDefault="00C23715">
      <w:pPr>
        <w:pStyle w:val="Odstavecseseznamem"/>
        <w:numPr>
          <w:ilvl w:val="0"/>
          <w:numId w:val="10"/>
        </w:numPr>
        <w:shd w:val="clear" w:color="auto" w:fill="FFFFFF"/>
        <w:spacing w:after="0" w:line="330" w:lineRule="atLeast"/>
        <w:ind w:left="567"/>
        <w:jc w:val="both"/>
        <w:rPr>
          <w:rFonts w:eastAsia="Times New Roman" w:cstheme="minorHAnsi"/>
          <w:lang w:eastAsia="cs-CZ"/>
        </w:rPr>
      </w:pPr>
      <w:r w:rsidRPr="00934F3C">
        <w:rPr>
          <w:rFonts w:eastAsia="Times New Roman" w:cstheme="minorHAnsi"/>
          <w:bdr w:val="none" w:sz="0" w:space="0" w:color="auto" w:frame="1"/>
          <w:lang w:eastAsia="cs-CZ"/>
        </w:rPr>
        <w:t>zasažení elektrickým proudem</w:t>
      </w:r>
    </w:p>
    <w:p w14:paraId="62C7A7BB" w14:textId="77777777" w:rsidR="00C23715" w:rsidRPr="00934F3C" w:rsidRDefault="00C23715">
      <w:pPr>
        <w:pStyle w:val="Odstavecseseznamem"/>
        <w:numPr>
          <w:ilvl w:val="0"/>
          <w:numId w:val="10"/>
        </w:numPr>
        <w:shd w:val="clear" w:color="auto" w:fill="FFFFFF"/>
        <w:spacing w:after="0" w:line="330" w:lineRule="atLeast"/>
        <w:ind w:left="567"/>
        <w:jc w:val="both"/>
        <w:rPr>
          <w:rFonts w:eastAsia="Times New Roman" w:cstheme="minorHAnsi"/>
          <w:lang w:eastAsia="cs-CZ"/>
        </w:rPr>
      </w:pPr>
      <w:r w:rsidRPr="00934F3C">
        <w:rPr>
          <w:rFonts w:eastAsia="Times New Roman" w:cstheme="minorHAnsi"/>
          <w:bdr w:val="none" w:sz="0" w:space="0" w:color="auto" w:frame="1"/>
          <w:lang w:eastAsia="cs-CZ"/>
        </w:rPr>
        <w:t>výbuch nebo únik plynu při poškození potrubí</w:t>
      </w:r>
    </w:p>
    <w:p w14:paraId="207AAED1" w14:textId="77777777" w:rsidR="00C23715" w:rsidRPr="00934F3C" w:rsidRDefault="00C23715">
      <w:pPr>
        <w:pStyle w:val="Odstavecseseznamem"/>
        <w:numPr>
          <w:ilvl w:val="0"/>
          <w:numId w:val="10"/>
        </w:numPr>
        <w:shd w:val="clear" w:color="auto" w:fill="FFFFFF"/>
        <w:spacing w:after="0" w:line="330" w:lineRule="atLeast"/>
        <w:ind w:left="567"/>
        <w:jc w:val="both"/>
        <w:rPr>
          <w:rFonts w:eastAsia="Times New Roman" w:cstheme="minorHAnsi"/>
          <w:lang w:eastAsia="cs-CZ"/>
        </w:rPr>
      </w:pPr>
      <w:r w:rsidRPr="00934F3C">
        <w:rPr>
          <w:rFonts w:eastAsia="Times New Roman" w:cstheme="minorHAnsi"/>
          <w:bdr w:val="none" w:sz="0" w:space="0" w:color="auto" w:frame="1"/>
          <w:lang w:eastAsia="cs-CZ"/>
        </w:rPr>
        <w:lastRenderedPageBreak/>
        <w:t>pád předmětu nebo nářadí z výšky</w:t>
      </w:r>
    </w:p>
    <w:p w14:paraId="1D914166" w14:textId="77777777" w:rsidR="00C23715" w:rsidRPr="00934F3C" w:rsidRDefault="00C23715">
      <w:pPr>
        <w:pStyle w:val="Odstavecseseznamem"/>
        <w:numPr>
          <w:ilvl w:val="0"/>
          <w:numId w:val="10"/>
        </w:numPr>
        <w:shd w:val="clear" w:color="auto" w:fill="FFFFFF"/>
        <w:spacing w:after="0" w:line="330" w:lineRule="atLeast"/>
        <w:ind w:left="567"/>
        <w:jc w:val="both"/>
        <w:rPr>
          <w:rFonts w:eastAsia="Times New Roman" w:cstheme="minorHAnsi"/>
          <w:lang w:eastAsia="cs-CZ"/>
        </w:rPr>
      </w:pPr>
      <w:r w:rsidRPr="00934F3C">
        <w:rPr>
          <w:rFonts w:eastAsia="Times New Roman" w:cstheme="minorHAnsi"/>
          <w:bdr w:val="none" w:sz="0" w:space="0" w:color="auto" w:frame="1"/>
          <w:lang w:eastAsia="cs-CZ"/>
        </w:rPr>
        <w:t>zásah pracovníka manipulovaným dílcem</w:t>
      </w:r>
    </w:p>
    <w:p w14:paraId="6886A5BE" w14:textId="77777777" w:rsidR="00C23715" w:rsidRPr="00934F3C" w:rsidRDefault="00C23715">
      <w:pPr>
        <w:pStyle w:val="Odstavecseseznamem"/>
        <w:numPr>
          <w:ilvl w:val="0"/>
          <w:numId w:val="10"/>
        </w:numPr>
        <w:shd w:val="clear" w:color="auto" w:fill="FFFFFF"/>
        <w:spacing w:after="0" w:line="330" w:lineRule="atLeast"/>
        <w:ind w:left="567"/>
        <w:jc w:val="both"/>
        <w:rPr>
          <w:rFonts w:eastAsia="Times New Roman" w:cstheme="minorHAnsi"/>
          <w:lang w:eastAsia="cs-CZ"/>
        </w:rPr>
      </w:pPr>
      <w:r w:rsidRPr="00934F3C">
        <w:rPr>
          <w:rFonts w:eastAsia="Times New Roman" w:cstheme="minorHAnsi"/>
          <w:bdr w:val="none" w:sz="0" w:space="0" w:color="auto" w:frame="1"/>
          <w:lang w:eastAsia="cs-CZ"/>
        </w:rPr>
        <w:t>práce s vrtačkou nebo bouracím zařízením</w:t>
      </w:r>
    </w:p>
    <w:p w14:paraId="10915300" w14:textId="77777777" w:rsidR="00C23715" w:rsidRPr="00934F3C" w:rsidRDefault="00C23715">
      <w:pPr>
        <w:pStyle w:val="Odstavecseseznamem"/>
        <w:numPr>
          <w:ilvl w:val="0"/>
          <w:numId w:val="10"/>
        </w:numPr>
        <w:shd w:val="clear" w:color="auto" w:fill="FFFFFF"/>
        <w:spacing w:after="0" w:line="330" w:lineRule="atLeast"/>
        <w:ind w:left="567"/>
        <w:jc w:val="both"/>
        <w:rPr>
          <w:rFonts w:eastAsia="Times New Roman" w:cstheme="minorHAnsi"/>
          <w:lang w:eastAsia="cs-CZ"/>
        </w:rPr>
      </w:pPr>
      <w:r w:rsidRPr="00934F3C">
        <w:rPr>
          <w:rFonts w:eastAsia="Times New Roman" w:cstheme="minorHAnsi"/>
          <w:bdr w:val="none" w:sz="0" w:space="0" w:color="auto" w:frame="1"/>
          <w:lang w:eastAsia="cs-CZ"/>
        </w:rPr>
        <w:t>namotání oděvu nebo vlasů na rotující nástroj</w:t>
      </w:r>
    </w:p>
    <w:p w14:paraId="3229ECD6" w14:textId="77777777" w:rsidR="00C23715" w:rsidRPr="00934F3C" w:rsidRDefault="00C23715">
      <w:pPr>
        <w:pStyle w:val="Odstavecseseznamem"/>
        <w:numPr>
          <w:ilvl w:val="0"/>
          <w:numId w:val="10"/>
        </w:numPr>
        <w:shd w:val="clear" w:color="auto" w:fill="FFFFFF"/>
        <w:spacing w:after="0" w:line="330" w:lineRule="atLeast"/>
        <w:ind w:left="567"/>
        <w:jc w:val="both"/>
        <w:rPr>
          <w:rFonts w:eastAsia="Times New Roman" w:cstheme="minorHAnsi"/>
          <w:lang w:eastAsia="cs-CZ"/>
        </w:rPr>
      </w:pPr>
      <w:r w:rsidRPr="00934F3C">
        <w:rPr>
          <w:rFonts w:eastAsia="Times New Roman" w:cstheme="minorHAnsi"/>
          <w:bdr w:val="none" w:sz="0" w:space="0" w:color="auto" w:frame="1"/>
          <w:lang w:eastAsia="cs-CZ"/>
        </w:rPr>
        <w:t>zanesení dýchacích cest prachem</w:t>
      </w:r>
    </w:p>
    <w:p w14:paraId="65AA28CD" w14:textId="77777777" w:rsidR="00934F3C" w:rsidRPr="00934F3C" w:rsidRDefault="00C23715">
      <w:pPr>
        <w:pStyle w:val="Odstavecseseznamem"/>
        <w:numPr>
          <w:ilvl w:val="0"/>
          <w:numId w:val="10"/>
        </w:numPr>
        <w:shd w:val="clear" w:color="auto" w:fill="FFFFFF"/>
        <w:spacing w:after="0" w:line="330" w:lineRule="atLeast"/>
        <w:ind w:left="567"/>
        <w:jc w:val="both"/>
        <w:rPr>
          <w:rFonts w:ascii="Calibri" w:hAnsi="Calibri" w:cs="Calibri"/>
          <w:color w:val="222222"/>
        </w:rPr>
      </w:pPr>
      <w:r w:rsidRPr="00934F3C">
        <w:rPr>
          <w:rFonts w:eastAsia="Times New Roman" w:cstheme="minorHAnsi"/>
          <w:bdr w:val="none" w:sz="0" w:space="0" w:color="auto" w:frame="1"/>
          <w:lang w:eastAsia="cs-CZ"/>
        </w:rPr>
        <w:t>ohrožení sluchu a zraku při nepoužívání OOPP</w:t>
      </w:r>
      <w:r w:rsidR="00934F3C" w:rsidRPr="00934F3C">
        <w:rPr>
          <w:rFonts w:eastAsia="Times New Roman" w:cstheme="minorHAnsi"/>
          <w:bdr w:val="none" w:sz="0" w:space="0" w:color="auto" w:frame="1"/>
          <w:lang w:eastAsia="cs-CZ"/>
        </w:rPr>
        <w:t xml:space="preserve"> </w:t>
      </w:r>
    </w:p>
    <w:p w14:paraId="64833DC4" w14:textId="23B4AEFF" w:rsidR="00934F3C" w:rsidRDefault="00934F3C">
      <w:pPr>
        <w:pStyle w:val="Bezmezer"/>
        <w:numPr>
          <w:ilvl w:val="0"/>
          <w:numId w:val="10"/>
        </w:numPr>
        <w:ind w:left="567"/>
      </w:pPr>
      <w:r w:rsidRPr="00934F3C">
        <w:t>Práce zaměstnanců několika zaměstnavatelů na jednom pracovišti, bez zajištění koordinace jimi prováděných činností.</w:t>
      </w:r>
    </w:p>
    <w:p w14:paraId="7CA3837A" w14:textId="77777777" w:rsidR="009A1CA7" w:rsidRDefault="009A1CA7">
      <w:pPr>
        <w:pStyle w:val="Bezmezer"/>
        <w:numPr>
          <w:ilvl w:val="0"/>
          <w:numId w:val="10"/>
        </w:numPr>
        <w:ind w:left="567"/>
      </w:pPr>
      <w:r>
        <w:t>Nedostatečné právní povědomí podnikatelů, manažerů a zaměstnanců v oblasti BOZP.</w:t>
      </w:r>
    </w:p>
    <w:p w14:paraId="27F7CD9E" w14:textId="77777777" w:rsidR="009A1CA7" w:rsidRDefault="009A1CA7">
      <w:pPr>
        <w:pStyle w:val="Bezmezer"/>
        <w:numPr>
          <w:ilvl w:val="0"/>
          <w:numId w:val="10"/>
        </w:numPr>
        <w:ind w:left="567"/>
      </w:pPr>
      <w:r>
        <w:t xml:space="preserve">Neexistující komplexní a kontrolovaný systém prevence pracovních úrazů a nemocí z povolání. </w:t>
      </w:r>
    </w:p>
    <w:p w14:paraId="55F97391" w14:textId="77777777" w:rsidR="00D07589" w:rsidRDefault="00D07589" w:rsidP="00D07589">
      <w:pPr>
        <w:pStyle w:val="Bezmezer"/>
        <w:ind w:left="720"/>
      </w:pPr>
    </w:p>
    <w:p w14:paraId="3A4D88C0" w14:textId="77777777" w:rsidR="009D2F52" w:rsidRDefault="009D2F52" w:rsidP="00D07589">
      <w:pPr>
        <w:pStyle w:val="Bezmezer"/>
        <w:ind w:left="720"/>
      </w:pPr>
    </w:p>
    <w:p w14:paraId="22608653" w14:textId="77777777" w:rsidR="009D2F52" w:rsidRDefault="009D2F52" w:rsidP="00D07589">
      <w:pPr>
        <w:pStyle w:val="Bezmezer"/>
        <w:ind w:left="720"/>
      </w:pPr>
    </w:p>
    <w:p w14:paraId="11A3FA88" w14:textId="77777777" w:rsidR="00D07589" w:rsidRPr="00934F3C" w:rsidRDefault="00D07589" w:rsidP="00D07589">
      <w:pPr>
        <w:pStyle w:val="Bezmezer"/>
        <w:ind w:left="720"/>
      </w:pPr>
    </w:p>
    <w:p w14:paraId="7014577B" w14:textId="77777777" w:rsidR="001663D7" w:rsidRPr="006B408C" w:rsidRDefault="001663D7" w:rsidP="005C47BA">
      <w:pPr>
        <w:pStyle w:val="Nadpis2"/>
        <w:numPr>
          <w:ilvl w:val="0"/>
          <w:numId w:val="22"/>
        </w:numPr>
      </w:pPr>
      <w:bookmarkStart w:id="13" w:name="_Toc172709957"/>
      <w:bookmarkStart w:id="14" w:name="_Toc172710068"/>
      <w:r w:rsidRPr="006B408C">
        <w:t>Prevence rizik při provozování elektrických zařízení a vyhrazených elektrických zařízeních</w:t>
      </w:r>
      <w:bookmarkEnd w:id="13"/>
      <w:bookmarkEnd w:id="14"/>
    </w:p>
    <w:p w14:paraId="576D0B02" w14:textId="77777777" w:rsidR="001663D7" w:rsidRDefault="001663D7" w:rsidP="002A428B">
      <w:pPr>
        <w:spacing w:after="0"/>
        <w:ind w:left="-426" w:right="-992"/>
        <w:rPr>
          <w:rFonts w:ascii="Calibri" w:hAnsi="Calibri" w:cs="Calibri"/>
          <w:color w:val="09161F"/>
          <w:shd w:val="clear" w:color="auto" w:fill="FFFFFF"/>
        </w:rPr>
      </w:pPr>
    </w:p>
    <w:p w14:paraId="0BE53D2B" w14:textId="77777777" w:rsidR="002A428B" w:rsidRDefault="001663D7" w:rsidP="002A428B">
      <w:pPr>
        <w:spacing w:after="0"/>
        <w:ind w:left="-426" w:right="-992"/>
        <w:rPr>
          <w:rFonts w:ascii="Calibri" w:hAnsi="Calibri" w:cs="Calibri"/>
          <w:color w:val="09161F"/>
          <w:shd w:val="clear" w:color="auto" w:fill="FFFFFF"/>
        </w:rPr>
      </w:pPr>
      <w:r w:rsidRPr="000F7FF1">
        <w:rPr>
          <w:rFonts w:ascii="Calibri" w:hAnsi="Calibri" w:cs="Calibri"/>
          <w:color w:val="09161F"/>
          <w:shd w:val="clear" w:color="auto" w:fill="FFFFFF"/>
        </w:rPr>
        <w:t>Při nesprávném </w:t>
      </w:r>
      <w:r w:rsidRPr="000F7FF1">
        <w:rPr>
          <w:rStyle w:val="Siln"/>
          <w:rFonts w:ascii="Calibri" w:hAnsi="Calibri" w:cs="Calibri"/>
          <w:color w:val="09161F"/>
          <w:shd w:val="clear" w:color="auto" w:fill="FFFFFF"/>
        </w:rPr>
        <w:t>provozování elektrických zařízení </w:t>
      </w:r>
      <w:r w:rsidRPr="000F7FF1">
        <w:rPr>
          <w:rFonts w:ascii="Calibri" w:hAnsi="Calibri" w:cs="Calibri"/>
          <w:color w:val="09161F"/>
          <w:shd w:val="clear" w:color="auto" w:fill="FFFFFF"/>
        </w:rPr>
        <w:t>dochází ke vzniku vysokého rizika ohrožení zdraví a</w:t>
      </w:r>
    </w:p>
    <w:p w14:paraId="0666A98C" w14:textId="77777777" w:rsidR="002A428B" w:rsidRDefault="001663D7" w:rsidP="002A428B">
      <w:pPr>
        <w:spacing w:after="0"/>
        <w:ind w:left="-426" w:right="-992"/>
        <w:rPr>
          <w:rFonts w:ascii="Calibri" w:hAnsi="Calibri" w:cs="Calibri"/>
          <w:color w:val="09161F"/>
          <w:shd w:val="clear" w:color="auto" w:fill="FFFFFF"/>
        </w:rPr>
      </w:pPr>
      <w:r w:rsidRPr="000F7FF1">
        <w:rPr>
          <w:rFonts w:ascii="Calibri" w:hAnsi="Calibri" w:cs="Calibri"/>
          <w:color w:val="09161F"/>
          <w:shd w:val="clear" w:color="auto" w:fill="FFFFFF"/>
        </w:rPr>
        <w:t>bezpečnosti osob i majetku. Je proto důležité, aby provozovatelé elektrických zařízení dodržovali</w:t>
      </w:r>
    </w:p>
    <w:p w14:paraId="537F2938" w14:textId="77777777" w:rsidR="002A428B" w:rsidRDefault="001663D7" w:rsidP="002A428B">
      <w:pPr>
        <w:spacing w:after="0"/>
        <w:ind w:left="-426" w:right="-992"/>
        <w:rPr>
          <w:rFonts w:ascii="Calibri" w:hAnsi="Calibri" w:cs="Calibri"/>
          <w:color w:val="000000"/>
          <w:shd w:val="clear" w:color="auto" w:fill="FFFFFF"/>
        </w:rPr>
      </w:pPr>
      <w:r w:rsidRPr="000F7FF1">
        <w:rPr>
          <w:rFonts w:ascii="Calibri" w:hAnsi="Calibri" w:cs="Calibri"/>
          <w:color w:val="09161F"/>
          <w:shd w:val="clear" w:color="auto" w:fill="FFFFFF"/>
        </w:rPr>
        <w:t>požadavky právních předpisů a technických norem, podle kterých se bezpečně provádí práce na elektrických zařízeních, jejich revize,</w:t>
      </w:r>
      <w:r w:rsidR="002A428B">
        <w:rPr>
          <w:rFonts w:ascii="Calibri" w:hAnsi="Calibri" w:cs="Calibri"/>
          <w:color w:val="09161F"/>
          <w:shd w:val="clear" w:color="auto" w:fill="FFFFFF"/>
        </w:rPr>
        <w:t xml:space="preserve"> </w:t>
      </w:r>
      <w:r w:rsidRPr="000F7FF1">
        <w:rPr>
          <w:rFonts w:ascii="Calibri" w:hAnsi="Calibri" w:cs="Calibri"/>
          <w:color w:val="09161F"/>
          <w:shd w:val="clear" w:color="auto" w:fill="FFFFFF"/>
        </w:rPr>
        <w:t>údržba a další činnosti.</w:t>
      </w:r>
      <w:r>
        <w:rPr>
          <w:rFonts w:ascii="Calibri" w:hAnsi="Calibri" w:cs="Calibri"/>
          <w:color w:val="09161F"/>
          <w:shd w:val="clear" w:color="auto" w:fill="FFFFFF"/>
        </w:rPr>
        <w:t xml:space="preserve"> Je nezbytné o</w:t>
      </w:r>
      <w:r w:rsidRPr="00511A0C">
        <w:rPr>
          <w:rFonts w:ascii="Calibri" w:hAnsi="Calibri" w:cs="Calibri"/>
          <w:color w:val="000000"/>
          <w:shd w:val="clear" w:color="auto" w:fill="FFFFFF"/>
        </w:rPr>
        <w:t>patrné zacházení s elektrickými zařízeními,</w:t>
      </w:r>
    </w:p>
    <w:p w14:paraId="0D4C395A" w14:textId="505D31A5" w:rsidR="001663D7" w:rsidRPr="00511A0C" w:rsidRDefault="001663D7" w:rsidP="002A428B">
      <w:pPr>
        <w:spacing w:after="0"/>
        <w:ind w:left="-426" w:right="-992"/>
        <w:rPr>
          <w:rFonts w:ascii="Calibri" w:hAnsi="Calibri" w:cs="Calibri"/>
          <w:color w:val="09161F"/>
          <w:shd w:val="clear" w:color="auto" w:fill="FFFFFF"/>
        </w:rPr>
      </w:pPr>
      <w:r w:rsidRPr="00511A0C">
        <w:rPr>
          <w:rFonts w:ascii="Calibri" w:hAnsi="Calibri" w:cs="Calibri"/>
          <w:color w:val="000000"/>
          <w:shd w:val="clear" w:color="auto" w:fill="FFFFFF"/>
        </w:rPr>
        <w:t>které jsou pod napětím,</w:t>
      </w:r>
      <w:r w:rsidR="002A428B">
        <w:rPr>
          <w:rFonts w:ascii="Calibri" w:hAnsi="Calibri" w:cs="Calibri"/>
          <w:color w:val="000000"/>
          <w:shd w:val="clear" w:color="auto" w:fill="FFFFFF"/>
        </w:rPr>
        <w:t xml:space="preserve"> </w:t>
      </w:r>
      <w:r w:rsidRPr="00511A0C">
        <w:rPr>
          <w:rFonts w:ascii="Calibri" w:hAnsi="Calibri" w:cs="Calibri"/>
          <w:color w:val="000000"/>
          <w:shd w:val="clear" w:color="auto" w:fill="FFFFFF"/>
        </w:rPr>
        <w:t>a rozumné chování v místech, kde se nachází vysoké napětí a elektrické vedení</w:t>
      </w:r>
      <w:r>
        <w:rPr>
          <w:rFonts w:ascii="Calibri" w:hAnsi="Calibri" w:cs="Calibri"/>
          <w:color w:val="000000"/>
          <w:shd w:val="clear" w:color="auto" w:fill="FFFFFF"/>
        </w:rPr>
        <w:t>.</w:t>
      </w:r>
    </w:p>
    <w:p w14:paraId="13264BDC" w14:textId="77777777" w:rsidR="001663D7" w:rsidRDefault="001663D7" w:rsidP="001663D7">
      <w:pPr>
        <w:spacing w:after="0" w:line="240" w:lineRule="auto"/>
        <w:contextualSpacing/>
        <w:rPr>
          <w:b/>
          <w:bCs/>
        </w:rPr>
      </w:pPr>
    </w:p>
    <w:tbl>
      <w:tblPr>
        <w:tblStyle w:val="Mkatabulky"/>
        <w:tblW w:w="0" w:type="auto"/>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00"/>
        <w:gridCol w:w="2261"/>
        <w:gridCol w:w="2261"/>
        <w:gridCol w:w="2261"/>
      </w:tblGrid>
      <w:tr w:rsidR="001663D7" w:rsidRPr="00D63C2E" w14:paraId="5A715500" w14:textId="77777777" w:rsidTr="002A428B">
        <w:tc>
          <w:tcPr>
            <w:tcW w:w="2700" w:type="dxa"/>
            <w:shd w:val="clear" w:color="auto" w:fill="D9E2F3" w:themeFill="accent1" w:themeFillTint="33"/>
          </w:tcPr>
          <w:p w14:paraId="3F38F4F6" w14:textId="77777777" w:rsidR="001663D7" w:rsidRPr="00E57BC0" w:rsidRDefault="001663D7" w:rsidP="00553E15">
            <w:pPr>
              <w:contextualSpacing/>
              <w:rPr>
                <w:b/>
                <w:bCs/>
              </w:rPr>
            </w:pPr>
            <w:bookmarkStart w:id="15" w:name="_Hlk125360693"/>
            <w:r>
              <w:rPr>
                <w:b/>
                <w:bCs/>
              </w:rPr>
              <w:t>Druh PÚ el. zařízení</w:t>
            </w:r>
          </w:p>
        </w:tc>
        <w:tc>
          <w:tcPr>
            <w:tcW w:w="2261" w:type="dxa"/>
            <w:shd w:val="clear" w:color="auto" w:fill="D9E2F3" w:themeFill="accent1" w:themeFillTint="33"/>
          </w:tcPr>
          <w:p w14:paraId="071A6A7F" w14:textId="77777777" w:rsidR="001663D7" w:rsidRPr="00E57BC0" w:rsidRDefault="001663D7" w:rsidP="00553E15">
            <w:pPr>
              <w:contextualSpacing/>
              <w:rPr>
                <w:b/>
                <w:bCs/>
              </w:rPr>
            </w:pPr>
            <w:r>
              <w:rPr>
                <w:b/>
                <w:bCs/>
              </w:rPr>
              <w:t>Smrtelný</w:t>
            </w:r>
          </w:p>
        </w:tc>
        <w:tc>
          <w:tcPr>
            <w:tcW w:w="2261" w:type="dxa"/>
            <w:shd w:val="clear" w:color="auto" w:fill="D9E2F3" w:themeFill="accent1" w:themeFillTint="33"/>
          </w:tcPr>
          <w:p w14:paraId="1B74378C" w14:textId="77777777" w:rsidR="001663D7" w:rsidRPr="00E57BC0" w:rsidRDefault="001663D7" w:rsidP="00553E15">
            <w:pPr>
              <w:contextualSpacing/>
              <w:rPr>
                <w:b/>
                <w:bCs/>
              </w:rPr>
            </w:pPr>
            <w:r>
              <w:rPr>
                <w:b/>
                <w:bCs/>
              </w:rPr>
              <w:t>Závažný</w:t>
            </w:r>
          </w:p>
        </w:tc>
        <w:tc>
          <w:tcPr>
            <w:tcW w:w="2261" w:type="dxa"/>
            <w:shd w:val="clear" w:color="auto" w:fill="D9E2F3" w:themeFill="accent1" w:themeFillTint="33"/>
          </w:tcPr>
          <w:p w14:paraId="5483AC2E" w14:textId="77777777" w:rsidR="001663D7" w:rsidRPr="00E57BC0" w:rsidRDefault="001663D7" w:rsidP="00553E15">
            <w:pPr>
              <w:contextualSpacing/>
              <w:rPr>
                <w:b/>
                <w:bCs/>
              </w:rPr>
            </w:pPr>
            <w:r>
              <w:rPr>
                <w:b/>
                <w:bCs/>
              </w:rPr>
              <w:t>Ostatní</w:t>
            </w:r>
          </w:p>
        </w:tc>
      </w:tr>
      <w:tr w:rsidR="001663D7" w:rsidRPr="00D63C2E" w14:paraId="5649BB44" w14:textId="77777777" w:rsidTr="002A428B">
        <w:tc>
          <w:tcPr>
            <w:tcW w:w="2700" w:type="dxa"/>
            <w:tcBorders>
              <w:bottom w:val="single" w:sz="12" w:space="0" w:color="auto"/>
            </w:tcBorders>
          </w:tcPr>
          <w:p w14:paraId="6D9B905F" w14:textId="77777777" w:rsidR="001663D7" w:rsidRDefault="001663D7" w:rsidP="00553E15">
            <w:pPr>
              <w:contextualSpacing/>
              <w:rPr>
                <w:b/>
                <w:bCs/>
              </w:rPr>
            </w:pPr>
            <w:r>
              <w:rPr>
                <w:b/>
                <w:bCs/>
              </w:rPr>
              <w:t>Rok 2021</w:t>
            </w:r>
          </w:p>
        </w:tc>
        <w:tc>
          <w:tcPr>
            <w:tcW w:w="2261" w:type="dxa"/>
            <w:tcBorders>
              <w:bottom w:val="single" w:sz="12" w:space="0" w:color="auto"/>
            </w:tcBorders>
            <w:vAlign w:val="bottom"/>
          </w:tcPr>
          <w:p w14:paraId="03FE89CC" w14:textId="77777777" w:rsidR="001663D7" w:rsidRPr="00D63C2E" w:rsidRDefault="001663D7" w:rsidP="00553E15">
            <w:pPr>
              <w:contextualSpacing/>
            </w:pPr>
            <w:r>
              <w:rPr>
                <w:rFonts w:ascii="Calibri" w:hAnsi="Calibri" w:cs="Calibri"/>
                <w:color w:val="000000"/>
              </w:rPr>
              <w:t>1</w:t>
            </w:r>
          </w:p>
        </w:tc>
        <w:tc>
          <w:tcPr>
            <w:tcW w:w="2261" w:type="dxa"/>
            <w:tcBorders>
              <w:bottom w:val="single" w:sz="12" w:space="0" w:color="auto"/>
            </w:tcBorders>
            <w:vAlign w:val="bottom"/>
          </w:tcPr>
          <w:p w14:paraId="56F8FF32" w14:textId="77777777" w:rsidR="001663D7" w:rsidRPr="00D63C2E" w:rsidRDefault="001663D7" w:rsidP="00553E15">
            <w:pPr>
              <w:contextualSpacing/>
            </w:pPr>
            <w:r>
              <w:rPr>
                <w:rFonts w:ascii="Calibri" w:hAnsi="Calibri" w:cs="Calibri"/>
                <w:color w:val="000000"/>
              </w:rPr>
              <w:t>6</w:t>
            </w:r>
          </w:p>
        </w:tc>
        <w:tc>
          <w:tcPr>
            <w:tcW w:w="2261" w:type="dxa"/>
            <w:tcBorders>
              <w:bottom w:val="single" w:sz="12" w:space="0" w:color="auto"/>
            </w:tcBorders>
            <w:vAlign w:val="bottom"/>
          </w:tcPr>
          <w:p w14:paraId="296301D3" w14:textId="77777777" w:rsidR="001663D7" w:rsidRPr="00D63C2E" w:rsidRDefault="001663D7" w:rsidP="00553E15">
            <w:pPr>
              <w:contextualSpacing/>
            </w:pPr>
            <w:r>
              <w:rPr>
                <w:rFonts w:ascii="Calibri" w:hAnsi="Calibri" w:cs="Calibri"/>
                <w:color w:val="000000"/>
              </w:rPr>
              <w:t>86</w:t>
            </w:r>
          </w:p>
        </w:tc>
      </w:tr>
      <w:tr w:rsidR="001663D7" w:rsidRPr="00D63C2E" w14:paraId="1653A967" w14:textId="77777777" w:rsidTr="002A428B">
        <w:tc>
          <w:tcPr>
            <w:tcW w:w="2700" w:type="dxa"/>
          </w:tcPr>
          <w:p w14:paraId="65A201B5" w14:textId="77777777" w:rsidR="001663D7" w:rsidRDefault="001663D7" w:rsidP="00553E15">
            <w:pPr>
              <w:contextualSpacing/>
              <w:rPr>
                <w:b/>
                <w:bCs/>
              </w:rPr>
            </w:pPr>
            <w:r>
              <w:rPr>
                <w:b/>
                <w:bCs/>
              </w:rPr>
              <w:t>Rok 2022</w:t>
            </w:r>
          </w:p>
        </w:tc>
        <w:tc>
          <w:tcPr>
            <w:tcW w:w="2261" w:type="dxa"/>
            <w:vAlign w:val="bottom"/>
          </w:tcPr>
          <w:p w14:paraId="13286D13" w14:textId="77777777" w:rsidR="001663D7" w:rsidRPr="00D63C2E" w:rsidRDefault="001663D7" w:rsidP="00553E15">
            <w:pPr>
              <w:contextualSpacing/>
            </w:pPr>
            <w:r>
              <w:t>0</w:t>
            </w:r>
          </w:p>
        </w:tc>
        <w:tc>
          <w:tcPr>
            <w:tcW w:w="2261" w:type="dxa"/>
            <w:vAlign w:val="bottom"/>
          </w:tcPr>
          <w:p w14:paraId="10ED3019" w14:textId="77777777" w:rsidR="001663D7" w:rsidRPr="00D63C2E" w:rsidRDefault="001663D7" w:rsidP="00553E15">
            <w:pPr>
              <w:contextualSpacing/>
            </w:pPr>
            <w:r>
              <w:rPr>
                <w:rFonts w:ascii="Calibri" w:hAnsi="Calibri" w:cs="Calibri"/>
                <w:color w:val="000000"/>
              </w:rPr>
              <w:t>4</w:t>
            </w:r>
          </w:p>
        </w:tc>
        <w:tc>
          <w:tcPr>
            <w:tcW w:w="2261" w:type="dxa"/>
            <w:vAlign w:val="bottom"/>
          </w:tcPr>
          <w:p w14:paraId="765AD96A" w14:textId="77777777" w:rsidR="001663D7" w:rsidRPr="00D63C2E" w:rsidRDefault="001663D7" w:rsidP="00553E15">
            <w:pPr>
              <w:contextualSpacing/>
            </w:pPr>
            <w:r>
              <w:rPr>
                <w:rFonts w:ascii="Calibri" w:hAnsi="Calibri" w:cs="Calibri"/>
                <w:color w:val="000000"/>
              </w:rPr>
              <w:t>77</w:t>
            </w:r>
          </w:p>
        </w:tc>
      </w:tr>
      <w:tr w:rsidR="0045449E" w:rsidRPr="00D63C2E" w14:paraId="173D9629" w14:textId="77777777" w:rsidTr="002A428B">
        <w:tc>
          <w:tcPr>
            <w:tcW w:w="2700" w:type="dxa"/>
          </w:tcPr>
          <w:p w14:paraId="3436BDA3" w14:textId="30B6717F" w:rsidR="0045449E" w:rsidRDefault="0045449E" w:rsidP="00553E15">
            <w:pPr>
              <w:contextualSpacing/>
              <w:rPr>
                <w:b/>
                <w:bCs/>
              </w:rPr>
            </w:pPr>
            <w:r>
              <w:rPr>
                <w:b/>
                <w:bCs/>
              </w:rPr>
              <w:t>Rok 2023 (k 24.11.23)</w:t>
            </w:r>
          </w:p>
        </w:tc>
        <w:tc>
          <w:tcPr>
            <w:tcW w:w="2261" w:type="dxa"/>
            <w:vAlign w:val="bottom"/>
          </w:tcPr>
          <w:p w14:paraId="3315E21E" w14:textId="30A4610E" w:rsidR="0045449E" w:rsidRDefault="0045449E" w:rsidP="00553E15">
            <w:pPr>
              <w:contextualSpacing/>
            </w:pPr>
            <w:r>
              <w:t>2</w:t>
            </w:r>
          </w:p>
        </w:tc>
        <w:tc>
          <w:tcPr>
            <w:tcW w:w="2261" w:type="dxa"/>
            <w:vAlign w:val="bottom"/>
          </w:tcPr>
          <w:p w14:paraId="699072CF" w14:textId="2D2C231D" w:rsidR="0045449E" w:rsidRDefault="0045449E" w:rsidP="00553E15">
            <w:pPr>
              <w:contextualSpacing/>
              <w:rPr>
                <w:rFonts w:ascii="Calibri" w:hAnsi="Calibri" w:cs="Calibri"/>
                <w:color w:val="000000"/>
              </w:rPr>
            </w:pPr>
            <w:r>
              <w:rPr>
                <w:rFonts w:ascii="Calibri" w:hAnsi="Calibri" w:cs="Calibri"/>
                <w:color w:val="000000"/>
              </w:rPr>
              <w:t>8</w:t>
            </w:r>
          </w:p>
        </w:tc>
        <w:tc>
          <w:tcPr>
            <w:tcW w:w="2261" w:type="dxa"/>
            <w:vAlign w:val="bottom"/>
          </w:tcPr>
          <w:p w14:paraId="65916E33" w14:textId="26B26BA8" w:rsidR="0045449E" w:rsidRDefault="0045449E" w:rsidP="00553E15">
            <w:pPr>
              <w:contextualSpacing/>
              <w:rPr>
                <w:rFonts w:ascii="Calibri" w:hAnsi="Calibri" w:cs="Calibri"/>
                <w:color w:val="000000"/>
              </w:rPr>
            </w:pPr>
            <w:r>
              <w:rPr>
                <w:rFonts w:ascii="Calibri" w:hAnsi="Calibri" w:cs="Calibri"/>
                <w:color w:val="000000"/>
              </w:rPr>
              <w:t>44</w:t>
            </w:r>
          </w:p>
        </w:tc>
      </w:tr>
      <w:bookmarkEnd w:id="15"/>
    </w:tbl>
    <w:p w14:paraId="22968B7E" w14:textId="77777777" w:rsidR="001663D7" w:rsidRDefault="001663D7" w:rsidP="001663D7">
      <w:pPr>
        <w:spacing w:after="0" w:line="240" w:lineRule="auto"/>
        <w:contextualSpacing/>
        <w:rPr>
          <w:b/>
          <w:bCs/>
        </w:rPr>
      </w:pPr>
    </w:p>
    <w:p w14:paraId="047227A9" w14:textId="6418E53C" w:rsidR="001663D7" w:rsidRDefault="002A428B" w:rsidP="002A428B">
      <w:pPr>
        <w:spacing w:after="0" w:line="240" w:lineRule="auto"/>
        <w:ind w:left="-567"/>
        <w:contextualSpacing/>
        <w:rPr>
          <w:b/>
          <w:bCs/>
        </w:rPr>
      </w:pPr>
      <w:r>
        <w:rPr>
          <w:b/>
          <w:bCs/>
        </w:rPr>
        <w:t xml:space="preserve"> </w:t>
      </w:r>
      <w:r w:rsidR="001663D7">
        <w:rPr>
          <w:b/>
          <w:bCs/>
        </w:rPr>
        <w:t>Nejčastější zdroje PÚ:</w:t>
      </w:r>
    </w:p>
    <w:p w14:paraId="2A682B6E" w14:textId="77B257BE" w:rsidR="001663D7" w:rsidRDefault="001663D7">
      <w:pPr>
        <w:pStyle w:val="Odstavecseseznamem"/>
        <w:numPr>
          <w:ilvl w:val="0"/>
          <w:numId w:val="5"/>
        </w:numPr>
        <w:spacing w:after="0" w:line="240" w:lineRule="auto"/>
        <w:ind w:left="-142" w:hanging="284"/>
        <w:jc w:val="both"/>
      </w:pPr>
      <w:r>
        <w:t>Budovy, konstrukce, povrchy nad úrovní země (uvnitř i vně)</w:t>
      </w:r>
      <w:r w:rsidR="000A1797">
        <w:t>,</w:t>
      </w:r>
    </w:p>
    <w:p w14:paraId="7956D4CD" w14:textId="4FD34234" w:rsidR="001663D7" w:rsidRDefault="001663D7">
      <w:pPr>
        <w:pStyle w:val="Odstavecseseznamem"/>
        <w:numPr>
          <w:ilvl w:val="0"/>
          <w:numId w:val="5"/>
        </w:numPr>
        <w:spacing w:after="0" w:line="240" w:lineRule="auto"/>
        <w:ind w:left="-142" w:hanging="284"/>
        <w:jc w:val="both"/>
      </w:pPr>
      <w:r>
        <w:t>Materiály, předměty, výrobky, součásti, strojů a vozidel, úlomky, prach</w:t>
      </w:r>
      <w:r w:rsidR="000A1797">
        <w:t>,</w:t>
      </w:r>
    </w:p>
    <w:p w14:paraId="132EC55F" w14:textId="70F93763" w:rsidR="001663D7" w:rsidRDefault="001663D7">
      <w:pPr>
        <w:pStyle w:val="Odstavecseseznamem"/>
        <w:numPr>
          <w:ilvl w:val="0"/>
          <w:numId w:val="5"/>
        </w:numPr>
        <w:spacing w:after="0" w:line="240" w:lineRule="auto"/>
        <w:ind w:left="-142" w:hanging="284"/>
        <w:jc w:val="both"/>
      </w:pPr>
      <w:r>
        <w:t>Budovy, stavební konstrukce, povrchy – v úrovni země (uvnitř i vně, pevné či mobilní, dočasné nebo trvalé)</w:t>
      </w:r>
      <w:r w:rsidR="000A1797">
        <w:t>.</w:t>
      </w:r>
    </w:p>
    <w:p w14:paraId="04567B99" w14:textId="77777777" w:rsidR="001663D7" w:rsidRPr="008F457F" w:rsidRDefault="001663D7" w:rsidP="001663D7">
      <w:pPr>
        <w:pStyle w:val="Odstavecseseznamem"/>
        <w:spacing w:after="0" w:line="240" w:lineRule="auto"/>
        <w:ind w:left="284"/>
        <w:jc w:val="both"/>
      </w:pPr>
    </w:p>
    <w:p w14:paraId="04D044E6" w14:textId="77777777" w:rsidR="001663D7" w:rsidRDefault="001663D7" w:rsidP="002A428B">
      <w:pPr>
        <w:spacing w:after="0" w:line="240" w:lineRule="auto"/>
        <w:ind w:left="-567"/>
        <w:contextualSpacing/>
        <w:jc w:val="both"/>
        <w:rPr>
          <w:b/>
          <w:bCs/>
        </w:rPr>
      </w:pPr>
      <w:r>
        <w:rPr>
          <w:b/>
          <w:bCs/>
        </w:rPr>
        <w:t>Nejčastější příčiny PÚ:</w:t>
      </w:r>
    </w:p>
    <w:p w14:paraId="44EFD464" w14:textId="77777777" w:rsidR="001663D7" w:rsidRDefault="001663D7">
      <w:pPr>
        <w:pStyle w:val="Odstavecseseznamem"/>
        <w:numPr>
          <w:ilvl w:val="0"/>
          <w:numId w:val="5"/>
        </w:numPr>
        <w:spacing w:after="0" w:line="240" w:lineRule="auto"/>
        <w:ind w:left="-142" w:hanging="284"/>
        <w:jc w:val="both"/>
      </w:pPr>
      <w:r>
        <w:t>Špatně nebo nedostatečně odhadnuté riziko,</w:t>
      </w:r>
    </w:p>
    <w:p w14:paraId="3FB3D9F1" w14:textId="77777777" w:rsidR="001663D7" w:rsidRDefault="001663D7">
      <w:pPr>
        <w:pStyle w:val="Odstavecseseznamem"/>
        <w:numPr>
          <w:ilvl w:val="0"/>
          <w:numId w:val="5"/>
        </w:numPr>
        <w:spacing w:after="0" w:line="240" w:lineRule="auto"/>
        <w:ind w:left="-142" w:hanging="284"/>
        <w:jc w:val="both"/>
      </w:pPr>
      <w:r>
        <w:t>Vadný nebo nepříznivý stav zdroje úrazu (nikoliv pracoviště),</w:t>
      </w:r>
    </w:p>
    <w:p w14:paraId="71BCD5AE" w14:textId="77777777" w:rsidR="001663D7" w:rsidRDefault="001663D7">
      <w:pPr>
        <w:pStyle w:val="Odstavecseseznamem"/>
        <w:numPr>
          <w:ilvl w:val="0"/>
          <w:numId w:val="5"/>
        </w:numPr>
        <w:spacing w:after="0" w:line="240" w:lineRule="auto"/>
        <w:ind w:left="-142" w:hanging="284"/>
        <w:jc w:val="both"/>
      </w:pPr>
      <w:r>
        <w:t>Nepoužívání (nesprávné používání) předepsaných a předělených OOPP (přístrojů).</w:t>
      </w:r>
    </w:p>
    <w:p w14:paraId="745E59F6" w14:textId="77777777" w:rsidR="001663D7" w:rsidRPr="00AE18A2" w:rsidRDefault="001663D7" w:rsidP="001663D7">
      <w:pPr>
        <w:spacing w:after="0" w:line="240" w:lineRule="auto"/>
        <w:contextualSpacing/>
        <w:rPr>
          <w:b/>
          <w:bCs/>
        </w:rPr>
      </w:pPr>
    </w:p>
    <w:tbl>
      <w:tblPr>
        <w:tblStyle w:val="Mkatabulky"/>
        <w:tblW w:w="7827"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4"/>
        <w:gridCol w:w="1813"/>
        <w:gridCol w:w="1813"/>
        <w:gridCol w:w="1847"/>
      </w:tblGrid>
      <w:tr w:rsidR="00D07589" w:rsidRPr="00D63C2E" w14:paraId="3BE3501B" w14:textId="359C610C" w:rsidTr="00D07589">
        <w:tc>
          <w:tcPr>
            <w:tcW w:w="2354" w:type="dxa"/>
            <w:shd w:val="clear" w:color="auto" w:fill="D9E2F3" w:themeFill="accent1" w:themeFillTint="33"/>
          </w:tcPr>
          <w:p w14:paraId="62AE25FB" w14:textId="77777777" w:rsidR="00D07589" w:rsidRPr="00E57BC0" w:rsidRDefault="00D07589" w:rsidP="00553E15">
            <w:pPr>
              <w:contextualSpacing/>
              <w:rPr>
                <w:b/>
                <w:bCs/>
              </w:rPr>
            </w:pPr>
            <w:r w:rsidRPr="00E57BC0">
              <w:rPr>
                <w:b/>
                <w:bCs/>
              </w:rPr>
              <w:t>Rok</w:t>
            </w:r>
          </w:p>
        </w:tc>
        <w:tc>
          <w:tcPr>
            <w:tcW w:w="1813" w:type="dxa"/>
            <w:shd w:val="clear" w:color="auto" w:fill="D9E2F3" w:themeFill="accent1" w:themeFillTint="33"/>
          </w:tcPr>
          <w:p w14:paraId="22AB6DBF" w14:textId="77777777" w:rsidR="00D07589" w:rsidRPr="00E57BC0" w:rsidRDefault="00D07589" w:rsidP="00553E15">
            <w:pPr>
              <w:contextualSpacing/>
              <w:rPr>
                <w:b/>
                <w:bCs/>
              </w:rPr>
            </w:pPr>
            <w:r w:rsidRPr="00E57BC0">
              <w:rPr>
                <w:b/>
                <w:bCs/>
              </w:rPr>
              <w:t>2021</w:t>
            </w:r>
          </w:p>
        </w:tc>
        <w:tc>
          <w:tcPr>
            <w:tcW w:w="1813" w:type="dxa"/>
            <w:shd w:val="clear" w:color="auto" w:fill="D9E2F3" w:themeFill="accent1" w:themeFillTint="33"/>
          </w:tcPr>
          <w:p w14:paraId="259E1048" w14:textId="77777777" w:rsidR="00D07589" w:rsidRPr="00E57BC0" w:rsidRDefault="00D07589" w:rsidP="00553E15">
            <w:pPr>
              <w:contextualSpacing/>
              <w:rPr>
                <w:b/>
                <w:bCs/>
              </w:rPr>
            </w:pPr>
            <w:r w:rsidRPr="00E57BC0">
              <w:rPr>
                <w:b/>
                <w:bCs/>
              </w:rPr>
              <w:t>2022</w:t>
            </w:r>
          </w:p>
        </w:tc>
        <w:tc>
          <w:tcPr>
            <w:tcW w:w="1847" w:type="dxa"/>
            <w:shd w:val="clear" w:color="auto" w:fill="D9E2F3" w:themeFill="accent1" w:themeFillTint="33"/>
          </w:tcPr>
          <w:p w14:paraId="4B43DE1A" w14:textId="4DF49ED1" w:rsidR="00D07589" w:rsidRPr="00E57BC0" w:rsidRDefault="00D07589" w:rsidP="00553E15">
            <w:pPr>
              <w:contextualSpacing/>
              <w:rPr>
                <w:b/>
                <w:bCs/>
              </w:rPr>
            </w:pPr>
            <w:r>
              <w:rPr>
                <w:b/>
                <w:bCs/>
              </w:rPr>
              <w:t>2023 (k 24.11.23)</w:t>
            </w:r>
          </w:p>
        </w:tc>
      </w:tr>
      <w:tr w:rsidR="00D07589" w:rsidRPr="00D63C2E" w14:paraId="771B4BC3" w14:textId="05AC75FF" w:rsidTr="00D07589">
        <w:tc>
          <w:tcPr>
            <w:tcW w:w="2354" w:type="dxa"/>
          </w:tcPr>
          <w:p w14:paraId="1A84ED42" w14:textId="77777777" w:rsidR="00D07589" w:rsidRPr="00E57BC0" w:rsidRDefault="00D07589" w:rsidP="00553E15">
            <w:pPr>
              <w:contextualSpacing/>
              <w:rPr>
                <w:b/>
                <w:bCs/>
              </w:rPr>
            </w:pPr>
            <w:r>
              <w:rPr>
                <w:b/>
                <w:bCs/>
              </w:rPr>
              <w:t>Počet kontrol</w:t>
            </w:r>
          </w:p>
        </w:tc>
        <w:tc>
          <w:tcPr>
            <w:tcW w:w="1813" w:type="dxa"/>
          </w:tcPr>
          <w:p w14:paraId="17A0A675" w14:textId="77777777" w:rsidR="00D07589" w:rsidRPr="00D63C2E" w:rsidRDefault="00D07589" w:rsidP="00553E15">
            <w:pPr>
              <w:contextualSpacing/>
            </w:pPr>
            <w:r>
              <w:t>362</w:t>
            </w:r>
          </w:p>
        </w:tc>
        <w:tc>
          <w:tcPr>
            <w:tcW w:w="1813" w:type="dxa"/>
          </w:tcPr>
          <w:p w14:paraId="091EA136" w14:textId="77777777" w:rsidR="00D07589" w:rsidRPr="00D63C2E" w:rsidRDefault="00D07589" w:rsidP="00553E15">
            <w:pPr>
              <w:contextualSpacing/>
            </w:pPr>
            <w:r>
              <w:t>529</w:t>
            </w:r>
          </w:p>
        </w:tc>
        <w:tc>
          <w:tcPr>
            <w:tcW w:w="1847" w:type="dxa"/>
          </w:tcPr>
          <w:p w14:paraId="4437765A" w14:textId="6E9C6AEC" w:rsidR="00D07589" w:rsidRDefault="00D07589" w:rsidP="00553E15">
            <w:pPr>
              <w:contextualSpacing/>
            </w:pPr>
            <w:r>
              <w:t xml:space="preserve">611 </w:t>
            </w:r>
          </w:p>
        </w:tc>
      </w:tr>
      <w:tr w:rsidR="00D07589" w:rsidRPr="00D63C2E" w14:paraId="1004DBBC" w14:textId="1EC435CF" w:rsidTr="00D07589">
        <w:tc>
          <w:tcPr>
            <w:tcW w:w="2354" w:type="dxa"/>
          </w:tcPr>
          <w:p w14:paraId="6D366C0D" w14:textId="77777777" w:rsidR="00D07589" w:rsidRPr="00E57BC0" w:rsidRDefault="00D07589" w:rsidP="00553E15">
            <w:pPr>
              <w:contextualSpacing/>
              <w:rPr>
                <w:b/>
                <w:bCs/>
              </w:rPr>
            </w:pPr>
            <w:r w:rsidRPr="00E57BC0">
              <w:rPr>
                <w:b/>
                <w:bCs/>
              </w:rPr>
              <w:t>Počet porušení</w:t>
            </w:r>
          </w:p>
        </w:tc>
        <w:tc>
          <w:tcPr>
            <w:tcW w:w="1813" w:type="dxa"/>
          </w:tcPr>
          <w:p w14:paraId="276E9DF4" w14:textId="77777777" w:rsidR="00D07589" w:rsidRPr="00D63C2E" w:rsidRDefault="00D07589" w:rsidP="00553E15">
            <w:pPr>
              <w:contextualSpacing/>
            </w:pPr>
            <w:r>
              <w:t>1 288</w:t>
            </w:r>
          </w:p>
        </w:tc>
        <w:tc>
          <w:tcPr>
            <w:tcW w:w="1813" w:type="dxa"/>
          </w:tcPr>
          <w:p w14:paraId="59AE5522" w14:textId="77777777" w:rsidR="00D07589" w:rsidRPr="00D63C2E" w:rsidRDefault="00D07589" w:rsidP="00553E15">
            <w:pPr>
              <w:contextualSpacing/>
            </w:pPr>
            <w:r>
              <w:t>1 242</w:t>
            </w:r>
          </w:p>
        </w:tc>
        <w:tc>
          <w:tcPr>
            <w:tcW w:w="1847" w:type="dxa"/>
          </w:tcPr>
          <w:p w14:paraId="68511B3E" w14:textId="0B79007E" w:rsidR="00D07589" w:rsidRDefault="00D07589" w:rsidP="00553E15">
            <w:pPr>
              <w:contextualSpacing/>
            </w:pPr>
            <w:r>
              <w:t>1 267</w:t>
            </w:r>
          </w:p>
        </w:tc>
      </w:tr>
    </w:tbl>
    <w:p w14:paraId="256E81BB" w14:textId="77777777" w:rsidR="001663D7" w:rsidRPr="00D63C2E" w:rsidRDefault="001663D7" w:rsidP="001663D7">
      <w:pPr>
        <w:spacing w:after="0" w:line="240" w:lineRule="auto"/>
        <w:contextualSpacing/>
        <w:rPr>
          <w:b/>
          <w:bCs/>
        </w:rPr>
      </w:pPr>
    </w:p>
    <w:p w14:paraId="1B73B2E2" w14:textId="77777777" w:rsidR="001663D7" w:rsidRDefault="001663D7" w:rsidP="002A428B">
      <w:pPr>
        <w:spacing w:after="0" w:line="240" w:lineRule="auto"/>
        <w:ind w:left="-426"/>
        <w:contextualSpacing/>
        <w:rPr>
          <w:b/>
          <w:bCs/>
        </w:rPr>
      </w:pPr>
      <w:r w:rsidRPr="00E57BC0">
        <w:rPr>
          <w:b/>
          <w:bCs/>
        </w:rPr>
        <w:t>Nejčastěji porušovan</w:t>
      </w:r>
      <w:r>
        <w:rPr>
          <w:b/>
          <w:bCs/>
        </w:rPr>
        <w:t>é právní</w:t>
      </w:r>
      <w:r w:rsidRPr="00E57BC0">
        <w:rPr>
          <w:b/>
          <w:bCs/>
        </w:rPr>
        <w:t xml:space="preserve"> předpis</w:t>
      </w:r>
      <w:r>
        <w:rPr>
          <w:b/>
          <w:bCs/>
        </w:rPr>
        <w:t>y</w:t>
      </w:r>
      <w:r w:rsidRPr="00E57BC0">
        <w:rPr>
          <w:b/>
          <w:bCs/>
        </w:rPr>
        <w:t>:</w:t>
      </w:r>
    </w:p>
    <w:p w14:paraId="40A25AAC" w14:textId="77777777" w:rsidR="001663D7" w:rsidRPr="00E619BA" w:rsidRDefault="001663D7">
      <w:pPr>
        <w:pStyle w:val="Odstavecseseznamem"/>
        <w:numPr>
          <w:ilvl w:val="0"/>
          <w:numId w:val="5"/>
        </w:numPr>
        <w:spacing w:after="0" w:line="240" w:lineRule="auto"/>
        <w:ind w:left="-142" w:hanging="284"/>
        <w:jc w:val="both"/>
      </w:pPr>
      <w:r w:rsidRPr="00E619BA">
        <w:rPr>
          <w:b/>
          <w:bCs/>
        </w:rPr>
        <w:t>zákon č. 262/2006 Sb.</w:t>
      </w:r>
      <w:r w:rsidRPr="00E619BA">
        <w:t xml:space="preserve">, zákoník práce, ve znění pozdějších předpisů [zejména </w:t>
      </w:r>
      <w:proofErr w:type="spellStart"/>
      <w:r w:rsidRPr="00E619BA">
        <w:t>ust</w:t>
      </w:r>
      <w:proofErr w:type="spellEnd"/>
      <w:r w:rsidRPr="00E619BA">
        <w:t xml:space="preserve">. § 102 odst. 1; </w:t>
      </w:r>
      <w:proofErr w:type="spellStart"/>
      <w:r w:rsidRPr="00E619BA">
        <w:t>ust</w:t>
      </w:r>
      <w:proofErr w:type="spellEnd"/>
      <w:r w:rsidRPr="00E619BA">
        <w:t xml:space="preserve">. § 102 odst. 3; </w:t>
      </w:r>
      <w:proofErr w:type="spellStart"/>
      <w:r w:rsidRPr="00E619BA">
        <w:t>ust</w:t>
      </w:r>
      <w:proofErr w:type="spellEnd"/>
      <w:r w:rsidRPr="00E619BA">
        <w:t>. § 103 odst. 2 písm. c)],</w:t>
      </w:r>
    </w:p>
    <w:p w14:paraId="2F7D58C5" w14:textId="77777777" w:rsidR="001663D7" w:rsidRPr="00E619BA" w:rsidRDefault="001663D7">
      <w:pPr>
        <w:pStyle w:val="Odstavecseseznamem"/>
        <w:numPr>
          <w:ilvl w:val="0"/>
          <w:numId w:val="5"/>
        </w:numPr>
        <w:spacing w:after="0" w:line="240" w:lineRule="auto"/>
        <w:ind w:left="-142" w:hanging="284"/>
        <w:jc w:val="both"/>
      </w:pPr>
      <w:r w:rsidRPr="00E619BA">
        <w:rPr>
          <w:b/>
          <w:bCs/>
        </w:rPr>
        <w:t>vyhláška č.</w:t>
      </w:r>
      <w:r w:rsidRPr="00E619BA">
        <w:t xml:space="preserve"> </w:t>
      </w:r>
      <w:r w:rsidRPr="00E619BA">
        <w:rPr>
          <w:b/>
          <w:bCs/>
        </w:rPr>
        <w:t>48/1982</w:t>
      </w:r>
      <w:r>
        <w:rPr>
          <w:b/>
          <w:bCs/>
        </w:rPr>
        <w:t xml:space="preserve"> </w:t>
      </w:r>
      <w:r w:rsidRPr="00E619BA">
        <w:rPr>
          <w:b/>
          <w:bCs/>
        </w:rPr>
        <w:t>Sb.</w:t>
      </w:r>
      <w:r w:rsidRPr="00E619BA">
        <w:t>, kterou se stanoví základní požadavky k zajištění bezpečnosti práce a</w:t>
      </w:r>
      <w:r>
        <w:t> </w:t>
      </w:r>
      <w:r w:rsidRPr="00E619BA">
        <w:t xml:space="preserve">technických zařízení, ve znění pozdějších předpisů [zejména </w:t>
      </w:r>
      <w:proofErr w:type="spellStart"/>
      <w:r w:rsidRPr="00E619BA">
        <w:t>ust</w:t>
      </w:r>
      <w:proofErr w:type="spellEnd"/>
      <w:r w:rsidRPr="00E619BA">
        <w:t xml:space="preserve">. § 199 písm. a); </w:t>
      </w:r>
      <w:proofErr w:type="spellStart"/>
      <w:r w:rsidRPr="00E619BA">
        <w:t>ust</w:t>
      </w:r>
      <w:proofErr w:type="spellEnd"/>
      <w:r w:rsidRPr="00E619BA">
        <w:t xml:space="preserve">. § 194 odst. 3; </w:t>
      </w:r>
      <w:proofErr w:type="spellStart"/>
      <w:r w:rsidRPr="00E619BA">
        <w:t>ust</w:t>
      </w:r>
      <w:proofErr w:type="spellEnd"/>
      <w:r w:rsidRPr="00E619BA">
        <w:t>. § 199 písm. f)],</w:t>
      </w:r>
    </w:p>
    <w:p w14:paraId="76C340B3" w14:textId="77777777" w:rsidR="001663D7" w:rsidRPr="00E619BA" w:rsidRDefault="001663D7">
      <w:pPr>
        <w:pStyle w:val="Odstavecseseznamem"/>
        <w:numPr>
          <w:ilvl w:val="0"/>
          <w:numId w:val="5"/>
        </w:numPr>
        <w:spacing w:after="0" w:line="240" w:lineRule="auto"/>
        <w:ind w:left="-142" w:hanging="284"/>
        <w:jc w:val="both"/>
      </w:pPr>
      <w:r w:rsidRPr="00E619BA">
        <w:rPr>
          <w:b/>
          <w:bCs/>
        </w:rPr>
        <w:lastRenderedPageBreak/>
        <w:t>zákon č. 309/2006 Sb.</w:t>
      </w:r>
      <w:r w:rsidRPr="00E619BA">
        <w:t xml:space="preserve">,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w:t>
      </w:r>
      <w:proofErr w:type="spellStart"/>
      <w:r w:rsidRPr="00E619BA">
        <w:t>ust</w:t>
      </w:r>
      <w:proofErr w:type="spellEnd"/>
      <w:r w:rsidRPr="00E619BA">
        <w:t xml:space="preserve">. § 4 odst. 1 písm. c); </w:t>
      </w:r>
      <w:proofErr w:type="spellStart"/>
      <w:r w:rsidRPr="00E619BA">
        <w:t>ust</w:t>
      </w:r>
      <w:proofErr w:type="spellEnd"/>
      <w:r w:rsidRPr="00E619BA">
        <w:t>. § 6 odst. 1].</w:t>
      </w:r>
    </w:p>
    <w:p w14:paraId="3B9609A4" w14:textId="77777777" w:rsidR="001663D7" w:rsidRDefault="001663D7" w:rsidP="001663D7">
      <w:pPr>
        <w:shd w:val="clear" w:color="auto" w:fill="FFFFFF"/>
        <w:spacing w:after="0" w:line="330" w:lineRule="atLeast"/>
        <w:outlineLvl w:val="2"/>
        <w:rPr>
          <w:rFonts w:eastAsia="Times New Roman" w:cstheme="minorHAnsi"/>
          <w:b/>
          <w:bCs/>
          <w:lang w:eastAsia="cs-CZ"/>
        </w:rPr>
      </w:pPr>
    </w:p>
    <w:p w14:paraId="05FCA0BD" w14:textId="77777777" w:rsidR="001663D7" w:rsidRPr="003F5188" w:rsidRDefault="001663D7" w:rsidP="002A428B">
      <w:pPr>
        <w:shd w:val="clear" w:color="auto" w:fill="FFFFFF"/>
        <w:spacing w:after="0" w:line="330" w:lineRule="atLeast"/>
        <w:ind w:left="-426"/>
        <w:outlineLvl w:val="2"/>
        <w:rPr>
          <w:rFonts w:eastAsia="Times New Roman" w:cstheme="minorHAnsi"/>
          <w:b/>
          <w:bCs/>
          <w:lang w:eastAsia="cs-CZ"/>
        </w:rPr>
      </w:pPr>
      <w:bookmarkStart w:id="16" w:name="_Toc172709958"/>
      <w:r w:rsidRPr="003F5188">
        <w:rPr>
          <w:rFonts w:eastAsia="Times New Roman" w:cstheme="minorHAnsi"/>
          <w:b/>
          <w:bCs/>
          <w:lang w:eastAsia="cs-CZ"/>
        </w:rPr>
        <w:t>Největší rizika představuje</w:t>
      </w:r>
      <w:bookmarkEnd w:id="16"/>
    </w:p>
    <w:p w14:paraId="47AF2310" w14:textId="77777777" w:rsidR="001663D7" w:rsidRPr="001663D7" w:rsidRDefault="001663D7">
      <w:pPr>
        <w:pStyle w:val="Odstavecseseznamem"/>
        <w:numPr>
          <w:ilvl w:val="0"/>
          <w:numId w:val="13"/>
        </w:numPr>
        <w:shd w:val="clear" w:color="auto" w:fill="FFFFFF"/>
        <w:spacing w:after="0" w:line="330" w:lineRule="atLeast"/>
        <w:ind w:left="284"/>
        <w:rPr>
          <w:rFonts w:eastAsia="Times New Roman" w:cstheme="minorHAnsi"/>
          <w:lang w:eastAsia="cs-CZ"/>
        </w:rPr>
      </w:pPr>
      <w:r w:rsidRPr="001663D7">
        <w:rPr>
          <w:rFonts w:eastAsia="Times New Roman" w:cstheme="minorHAnsi"/>
          <w:bdr w:val="none" w:sz="0" w:space="0" w:color="auto" w:frame="1"/>
          <w:lang w:eastAsia="cs-CZ"/>
        </w:rPr>
        <w:t>neprovedené revize budov</w:t>
      </w:r>
    </w:p>
    <w:p w14:paraId="24E103B1" w14:textId="77777777" w:rsidR="001663D7" w:rsidRPr="001663D7" w:rsidRDefault="001663D7">
      <w:pPr>
        <w:pStyle w:val="Odstavecseseznamem"/>
        <w:numPr>
          <w:ilvl w:val="0"/>
          <w:numId w:val="13"/>
        </w:numPr>
        <w:shd w:val="clear" w:color="auto" w:fill="FFFFFF"/>
        <w:spacing w:after="0" w:line="330" w:lineRule="atLeast"/>
        <w:ind w:left="284"/>
        <w:rPr>
          <w:rFonts w:eastAsia="Times New Roman" w:cstheme="minorHAnsi"/>
          <w:lang w:eastAsia="cs-CZ"/>
        </w:rPr>
      </w:pPr>
      <w:r w:rsidRPr="001663D7">
        <w:rPr>
          <w:rFonts w:eastAsia="Times New Roman" w:cstheme="minorHAnsi"/>
          <w:bdr w:val="none" w:sz="0" w:space="0" w:color="auto" w:frame="1"/>
          <w:lang w:eastAsia="cs-CZ"/>
        </w:rPr>
        <w:t>neprovedené revize el. spotřebičů</w:t>
      </w:r>
    </w:p>
    <w:p w14:paraId="67575FD6" w14:textId="77777777" w:rsidR="001663D7" w:rsidRPr="001663D7" w:rsidRDefault="001663D7">
      <w:pPr>
        <w:pStyle w:val="Odstavecseseznamem"/>
        <w:numPr>
          <w:ilvl w:val="0"/>
          <w:numId w:val="13"/>
        </w:numPr>
        <w:shd w:val="clear" w:color="auto" w:fill="FFFFFF"/>
        <w:spacing w:after="0" w:line="330" w:lineRule="atLeast"/>
        <w:ind w:left="284"/>
        <w:rPr>
          <w:rFonts w:eastAsia="Times New Roman" w:cstheme="minorHAnsi"/>
          <w:lang w:eastAsia="cs-CZ"/>
        </w:rPr>
      </w:pPr>
      <w:r w:rsidRPr="001663D7">
        <w:rPr>
          <w:rFonts w:eastAsia="Times New Roman" w:cstheme="minorHAnsi"/>
          <w:bdr w:val="none" w:sz="0" w:space="0" w:color="auto" w:frame="1"/>
          <w:lang w:eastAsia="cs-CZ"/>
        </w:rPr>
        <w:t>zařízení nejsou řádně udržována, kontrolována, revidována</w:t>
      </w:r>
    </w:p>
    <w:p w14:paraId="1E0479F9" w14:textId="77777777" w:rsidR="001663D7" w:rsidRPr="001663D7" w:rsidRDefault="001663D7">
      <w:pPr>
        <w:pStyle w:val="Odstavecseseznamem"/>
        <w:numPr>
          <w:ilvl w:val="0"/>
          <w:numId w:val="13"/>
        </w:numPr>
        <w:shd w:val="clear" w:color="auto" w:fill="FFFFFF"/>
        <w:spacing w:after="0" w:line="330" w:lineRule="atLeast"/>
        <w:ind w:left="284"/>
        <w:rPr>
          <w:rFonts w:eastAsia="Times New Roman" w:cstheme="minorHAnsi"/>
          <w:lang w:eastAsia="cs-CZ"/>
        </w:rPr>
      </w:pPr>
      <w:r w:rsidRPr="001663D7">
        <w:rPr>
          <w:rFonts w:eastAsia="Times New Roman" w:cstheme="minorHAnsi"/>
          <w:bdr w:val="none" w:sz="0" w:space="0" w:color="auto" w:frame="1"/>
          <w:lang w:eastAsia="cs-CZ"/>
        </w:rPr>
        <w:t>zjištěn přístup k nebezpečným živým částem (chybí kryty)</w:t>
      </w:r>
    </w:p>
    <w:p w14:paraId="2CC80825" w14:textId="77777777" w:rsidR="001663D7" w:rsidRPr="001663D7" w:rsidRDefault="001663D7">
      <w:pPr>
        <w:pStyle w:val="Odstavecseseznamem"/>
        <w:numPr>
          <w:ilvl w:val="0"/>
          <w:numId w:val="13"/>
        </w:numPr>
        <w:shd w:val="clear" w:color="auto" w:fill="FFFFFF"/>
        <w:spacing w:after="0" w:line="330" w:lineRule="atLeast"/>
        <w:ind w:left="284"/>
        <w:rPr>
          <w:rFonts w:eastAsia="Times New Roman" w:cstheme="minorHAnsi"/>
          <w:lang w:eastAsia="cs-CZ"/>
        </w:rPr>
      </w:pPr>
      <w:r w:rsidRPr="001663D7">
        <w:rPr>
          <w:rFonts w:eastAsia="Times New Roman" w:cstheme="minorHAnsi"/>
          <w:lang w:eastAsia="cs-CZ"/>
        </w:rPr>
        <w:t>elektrické instalace nejsou spolehlivě upevněny</w:t>
      </w:r>
    </w:p>
    <w:p w14:paraId="10ED403F" w14:textId="77777777" w:rsidR="001663D7" w:rsidRPr="001663D7" w:rsidRDefault="001663D7">
      <w:pPr>
        <w:pStyle w:val="Odstavecseseznamem"/>
        <w:numPr>
          <w:ilvl w:val="0"/>
          <w:numId w:val="13"/>
        </w:numPr>
        <w:shd w:val="clear" w:color="auto" w:fill="FFFFFF"/>
        <w:spacing w:after="0" w:line="330" w:lineRule="atLeast"/>
        <w:ind w:left="284"/>
        <w:rPr>
          <w:rFonts w:eastAsia="Times New Roman" w:cstheme="minorHAnsi"/>
          <w:lang w:eastAsia="cs-CZ"/>
        </w:rPr>
      </w:pPr>
      <w:r w:rsidRPr="001663D7">
        <w:rPr>
          <w:rFonts w:eastAsia="Times New Roman" w:cstheme="minorHAnsi"/>
          <w:lang w:eastAsia="cs-CZ"/>
        </w:rPr>
        <w:t>pohyblivé přívody nejsou chráněny proti vytržení</w:t>
      </w:r>
    </w:p>
    <w:p w14:paraId="78C66B54" w14:textId="77777777" w:rsidR="001663D7" w:rsidRPr="001663D7" w:rsidRDefault="001663D7">
      <w:pPr>
        <w:pStyle w:val="Odstavecseseznamem"/>
        <w:numPr>
          <w:ilvl w:val="0"/>
          <w:numId w:val="13"/>
        </w:numPr>
        <w:shd w:val="clear" w:color="auto" w:fill="FFFFFF"/>
        <w:spacing w:after="0" w:line="330" w:lineRule="atLeast"/>
        <w:ind w:left="284"/>
        <w:rPr>
          <w:rFonts w:eastAsia="Times New Roman" w:cstheme="minorHAnsi"/>
          <w:lang w:eastAsia="cs-CZ"/>
        </w:rPr>
      </w:pPr>
      <w:r w:rsidRPr="001663D7">
        <w:rPr>
          <w:rFonts w:eastAsia="Times New Roman" w:cstheme="minorHAnsi"/>
          <w:lang w:eastAsia="cs-CZ"/>
        </w:rPr>
        <w:t>není určená osoba odpovědná za provoz EZ</w:t>
      </w:r>
    </w:p>
    <w:p w14:paraId="6F10696D" w14:textId="77777777" w:rsidR="001663D7" w:rsidRPr="001663D7" w:rsidRDefault="001663D7">
      <w:pPr>
        <w:pStyle w:val="Odstavecseseznamem"/>
        <w:numPr>
          <w:ilvl w:val="0"/>
          <w:numId w:val="13"/>
        </w:numPr>
        <w:shd w:val="clear" w:color="auto" w:fill="FFFFFF"/>
        <w:spacing w:after="0" w:line="330" w:lineRule="atLeast"/>
        <w:ind w:left="284"/>
        <w:rPr>
          <w:rFonts w:eastAsia="Times New Roman" w:cstheme="minorHAnsi"/>
          <w:lang w:eastAsia="cs-CZ"/>
        </w:rPr>
      </w:pPr>
      <w:r w:rsidRPr="001663D7">
        <w:rPr>
          <w:rFonts w:eastAsia="Times New Roman" w:cstheme="minorHAnsi"/>
          <w:lang w:eastAsia="cs-CZ"/>
        </w:rPr>
        <w:t>revizní zprávy neobsahují všechny náležitosti</w:t>
      </w:r>
    </w:p>
    <w:p w14:paraId="63A97ACC" w14:textId="77777777" w:rsidR="001663D7" w:rsidRPr="001663D7" w:rsidRDefault="001663D7">
      <w:pPr>
        <w:pStyle w:val="Odstavecseseznamem"/>
        <w:numPr>
          <w:ilvl w:val="0"/>
          <w:numId w:val="13"/>
        </w:numPr>
        <w:shd w:val="clear" w:color="auto" w:fill="FFFFFF"/>
        <w:spacing w:after="0" w:line="330" w:lineRule="atLeast"/>
        <w:ind w:left="284"/>
        <w:rPr>
          <w:rFonts w:eastAsia="Times New Roman" w:cstheme="minorHAnsi"/>
          <w:lang w:eastAsia="cs-CZ"/>
        </w:rPr>
      </w:pPr>
      <w:r w:rsidRPr="001663D7">
        <w:rPr>
          <w:rFonts w:eastAsia="Times New Roman" w:cstheme="minorHAnsi"/>
          <w:lang w:eastAsia="cs-CZ"/>
        </w:rPr>
        <w:t>nejsou zpracovány protokoly o určení vnějších vlivů</w:t>
      </w:r>
    </w:p>
    <w:p w14:paraId="77D8DC37" w14:textId="77777777" w:rsidR="001663D7" w:rsidRPr="001663D7" w:rsidRDefault="001663D7">
      <w:pPr>
        <w:pStyle w:val="Odstavecseseznamem"/>
        <w:numPr>
          <w:ilvl w:val="0"/>
          <w:numId w:val="13"/>
        </w:numPr>
        <w:shd w:val="clear" w:color="auto" w:fill="FFFFFF"/>
        <w:spacing w:after="0" w:line="330" w:lineRule="atLeast"/>
        <w:ind w:left="284" w:right="-992"/>
        <w:rPr>
          <w:rFonts w:ascii="Calibri" w:hAnsi="Calibri" w:cs="Calibri"/>
          <w:b/>
          <w:bCs/>
          <w:color w:val="09161F"/>
          <w:shd w:val="clear" w:color="auto" w:fill="FFFFFF"/>
        </w:rPr>
      </w:pPr>
      <w:r w:rsidRPr="001663D7">
        <w:rPr>
          <w:rFonts w:eastAsia="Times New Roman" w:cstheme="minorHAnsi"/>
          <w:lang w:eastAsia="cs-CZ"/>
        </w:rPr>
        <w:t>nedostatečně vyhodnocená rizika s prací na EZ</w:t>
      </w:r>
    </w:p>
    <w:p w14:paraId="558530B3" w14:textId="77777777" w:rsidR="001663D7" w:rsidRPr="001663D7" w:rsidRDefault="001663D7">
      <w:pPr>
        <w:pStyle w:val="Odstavecseseznamem"/>
        <w:numPr>
          <w:ilvl w:val="0"/>
          <w:numId w:val="13"/>
        </w:numPr>
        <w:shd w:val="clear" w:color="auto" w:fill="FFFFFF"/>
        <w:spacing w:after="0" w:line="330" w:lineRule="atLeast"/>
        <w:ind w:left="284" w:right="-992"/>
        <w:rPr>
          <w:rFonts w:ascii="Calibri" w:hAnsi="Calibri" w:cs="Calibri"/>
          <w:b/>
          <w:bCs/>
          <w:color w:val="09161F"/>
          <w:shd w:val="clear" w:color="auto" w:fill="FFFFFF"/>
        </w:rPr>
      </w:pPr>
      <w:r w:rsidRPr="001663D7">
        <w:rPr>
          <w:rFonts w:eastAsia="Times New Roman" w:cstheme="minorHAnsi"/>
          <w:lang w:eastAsia="cs-CZ"/>
        </w:rPr>
        <w:t>neodstraněné závady uváděné v revizích zprávách</w:t>
      </w:r>
    </w:p>
    <w:p w14:paraId="71AA33A4" w14:textId="77777777" w:rsidR="001663D7" w:rsidRPr="001663D7" w:rsidRDefault="001663D7">
      <w:pPr>
        <w:pStyle w:val="Odstavecseseznamem"/>
        <w:numPr>
          <w:ilvl w:val="0"/>
          <w:numId w:val="13"/>
        </w:numPr>
        <w:shd w:val="clear" w:color="auto" w:fill="FFFFFF"/>
        <w:spacing w:after="0" w:line="330" w:lineRule="atLeast"/>
        <w:ind w:left="284" w:right="-992"/>
        <w:rPr>
          <w:rFonts w:ascii="Calibri" w:hAnsi="Calibri" w:cs="Calibri"/>
          <w:b/>
          <w:bCs/>
          <w:color w:val="09161F"/>
          <w:shd w:val="clear" w:color="auto" w:fill="FFFFFF"/>
        </w:rPr>
      </w:pPr>
      <w:r w:rsidRPr="001663D7">
        <w:rPr>
          <w:rFonts w:eastAsia="Times New Roman" w:cstheme="minorHAnsi"/>
          <w:lang w:eastAsia="cs-CZ"/>
        </w:rPr>
        <w:t>neoznačené nouzové vypínání</w:t>
      </w:r>
    </w:p>
    <w:p w14:paraId="298C1B02" w14:textId="77777777" w:rsidR="001663D7" w:rsidRPr="001663D7" w:rsidRDefault="001663D7">
      <w:pPr>
        <w:pStyle w:val="Odstavecseseznamem"/>
        <w:numPr>
          <w:ilvl w:val="0"/>
          <w:numId w:val="13"/>
        </w:numPr>
        <w:shd w:val="clear" w:color="auto" w:fill="FFFFFF"/>
        <w:spacing w:after="0" w:line="330" w:lineRule="atLeast"/>
        <w:ind w:left="284" w:right="-992"/>
        <w:rPr>
          <w:rFonts w:ascii="Calibri" w:hAnsi="Calibri" w:cs="Calibri"/>
          <w:b/>
          <w:bCs/>
          <w:color w:val="09161F"/>
          <w:shd w:val="clear" w:color="auto" w:fill="FFFFFF"/>
        </w:rPr>
      </w:pPr>
      <w:r w:rsidRPr="001663D7">
        <w:rPr>
          <w:rFonts w:eastAsia="Times New Roman" w:cstheme="minorHAnsi"/>
          <w:lang w:eastAsia="cs-CZ"/>
        </w:rPr>
        <w:t>neoznačení hlavního vypínače</w:t>
      </w:r>
    </w:p>
    <w:p w14:paraId="7EF4DC16" w14:textId="77777777" w:rsidR="001663D7" w:rsidRPr="001663D7" w:rsidRDefault="001663D7">
      <w:pPr>
        <w:pStyle w:val="Odstavecseseznamem"/>
        <w:numPr>
          <w:ilvl w:val="0"/>
          <w:numId w:val="13"/>
        </w:numPr>
        <w:shd w:val="clear" w:color="auto" w:fill="FFFFFF"/>
        <w:spacing w:after="0" w:line="330" w:lineRule="atLeast"/>
        <w:ind w:left="284" w:right="-992"/>
        <w:rPr>
          <w:rFonts w:ascii="Calibri" w:hAnsi="Calibri" w:cs="Calibri"/>
          <w:b/>
          <w:bCs/>
          <w:color w:val="09161F"/>
          <w:shd w:val="clear" w:color="auto" w:fill="FFFFFF"/>
        </w:rPr>
      </w:pPr>
      <w:r w:rsidRPr="001663D7">
        <w:rPr>
          <w:rFonts w:eastAsia="Times New Roman" w:cstheme="minorHAnsi"/>
          <w:lang w:eastAsia="cs-CZ"/>
        </w:rPr>
        <w:t>nevybavení pracoviště pro poskytnutí první pomoci při pracovním úrazu el. proudem</w:t>
      </w:r>
    </w:p>
    <w:p w14:paraId="12AC3952" w14:textId="77777777" w:rsidR="001663D7" w:rsidRDefault="001663D7" w:rsidP="001663D7">
      <w:pPr>
        <w:spacing w:after="0"/>
        <w:ind w:right="-992"/>
        <w:rPr>
          <w:rFonts w:ascii="Calibri" w:hAnsi="Calibri" w:cs="Calibri"/>
          <w:b/>
          <w:bCs/>
          <w:color w:val="09161F"/>
          <w:shd w:val="clear" w:color="auto" w:fill="FFFFFF"/>
        </w:rPr>
      </w:pPr>
    </w:p>
    <w:p w14:paraId="1087AA51" w14:textId="33A7BBF0" w:rsidR="00AC1719" w:rsidRPr="00AC1719" w:rsidRDefault="00AC1719" w:rsidP="00AC1719">
      <w:pPr>
        <w:pStyle w:val="Normlnweb"/>
        <w:kinsoku w:val="0"/>
        <w:overflowPunct w:val="0"/>
        <w:spacing w:before="0" w:beforeAutospacing="0" w:after="0" w:afterAutospacing="0"/>
        <w:textAlignment w:val="baseline"/>
        <w:rPr>
          <w:rFonts w:asciiTheme="minorHAnsi" w:hAnsiTheme="minorHAnsi" w:cstheme="minorHAnsi"/>
          <w:sz w:val="22"/>
          <w:szCs w:val="22"/>
        </w:rPr>
      </w:pPr>
      <w:r w:rsidRPr="00AC1719">
        <w:rPr>
          <w:rFonts w:asciiTheme="minorHAnsi" w:eastAsiaTheme="minorEastAsia" w:hAnsiTheme="minorHAnsi" w:cstheme="minorHAnsi"/>
          <w:b/>
          <w:bCs/>
          <w:color w:val="2D2D8A"/>
          <w:kern w:val="24"/>
          <w:sz w:val="22"/>
          <w:szCs w:val="22"/>
        </w:rPr>
        <w:t xml:space="preserve">Nejčastější zjišťovaná porušení v oblasti BOZP a VTZ </w:t>
      </w:r>
    </w:p>
    <w:tbl>
      <w:tblPr>
        <w:tblW w:w="6685" w:type="dxa"/>
        <w:tblCellMar>
          <w:left w:w="0" w:type="dxa"/>
          <w:right w:w="0" w:type="dxa"/>
        </w:tblCellMar>
        <w:tblLook w:val="0600" w:firstRow="0" w:lastRow="0" w:firstColumn="0" w:lastColumn="0" w:noHBand="1" w:noVBand="1"/>
      </w:tblPr>
      <w:tblGrid>
        <w:gridCol w:w="2411"/>
        <w:gridCol w:w="1397"/>
        <w:gridCol w:w="1397"/>
        <w:gridCol w:w="1480"/>
      </w:tblGrid>
      <w:tr w:rsidR="00AC1719" w:rsidRPr="00AC1719" w14:paraId="50F15F9E" w14:textId="77777777" w:rsidTr="00AC1719">
        <w:trPr>
          <w:trHeight w:val="329"/>
        </w:trPr>
        <w:tc>
          <w:tcPr>
            <w:tcW w:w="2411" w:type="dxa"/>
            <w:vMerge w:val="restart"/>
            <w:tcBorders>
              <w:top w:val="single" w:sz="8" w:space="0" w:color="000000"/>
              <w:left w:val="single" w:sz="8" w:space="0" w:color="000000"/>
              <w:bottom w:val="single" w:sz="8" w:space="0" w:color="000000"/>
              <w:right w:val="single" w:sz="8" w:space="0" w:color="000000"/>
            </w:tcBorders>
            <w:shd w:val="clear" w:color="auto" w:fill="DBE5F1"/>
            <w:tcMar>
              <w:top w:w="12" w:type="dxa"/>
              <w:left w:w="12" w:type="dxa"/>
              <w:bottom w:w="0" w:type="dxa"/>
              <w:right w:w="12" w:type="dxa"/>
            </w:tcMar>
            <w:vAlign w:val="center"/>
            <w:hideMark/>
          </w:tcPr>
          <w:p w14:paraId="5724274E" w14:textId="77777777" w:rsidR="00AC1719" w:rsidRPr="00AC1719" w:rsidRDefault="00AC1719" w:rsidP="00AC1719">
            <w:pPr>
              <w:spacing w:after="0" w:line="240" w:lineRule="auto"/>
              <w:jc w:val="center"/>
              <w:textAlignment w:val="center"/>
              <w:rPr>
                <w:rFonts w:eastAsia="Times New Roman" w:cstheme="minorHAnsi"/>
                <w:lang w:eastAsia="cs-CZ"/>
              </w:rPr>
            </w:pPr>
            <w:r w:rsidRPr="00AC1719">
              <w:rPr>
                <w:rFonts w:eastAsia="ヒラギノ角ゴ ProN W3" w:cstheme="minorHAnsi"/>
                <w:b/>
                <w:bCs/>
                <w:color w:val="000000"/>
                <w:kern w:val="24"/>
                <w:lang w:eastAsia="cs-CZ"/>
              </w:rPr>
              <w:t>Rok</w:t>
            </w:r>
          </w:p>
        </w:tc>
        <w:tc>
          <w:tcPr>
            <w:tcW w:w="4274" w:type="dxa"/>
            <w:gridSpan w:val="3"/>
            <w:tcBorders>
              <w:top w:val="single" w:sz="8" w:space="0" w:color="000000"/>
              <w:left w:val="single" w:sz="8" w:space="0" w:color="000000"/>
              <w:bottom w:val="single" w:sz="8" w:space="0" w:color="000000"/>
              <w:right w:val="single" w:sz="8" w:space="0" w:color="000000"/>
            </w:tcBorders>
            <w:shd w:val="clear" w:color="auto" w:fill="DBE5F1"/>
            <w:tcMar>
              <w:top w:w="12" w:type="dxa"/>
              <w:left w:w="12" w:type="dxa"/>
              <w:bottom w:w="0" w:type="dxa"/>
              <w:right w:w="12" w:type="dxa"/>
            </w:tcMar>
            <w:vAlign w:val="center"/>
            <w:hideMark/>
          </w:tcPr>
          <w:p w14:paraId="2104D1CD" w14:textId="77777777" w:rsidR="00AC1719" w:rsidRPr="00AC1719" w:rsidRDefault="00AC1719" w:rsidP="00AC1719">
            <w:pPr>
              <w:spacing w:after="0" w:line="240" w:lineRule="auto"/>
              <w:jc w:val="center"/>
              <w:rPr>
                <w:rFonts w:eastAsia="Times New Roman" w:cstheme="minorHAnsi"/>
                <w:lang w:eastAsia="cs-CZ"/>
              </w:rPr>
            </w:pPr>
            <w:r w:rsidRPr="00AC1719">
              <w:rPr>
                <w:rFonts w:eastAsia="ヒラギノ角ゴ ProN W3" w:cstheme="minorHAnsi"/>
                <w:b/>
                <w:bCs/>
                <w:color w:val="000000" w:themeColor="text1"/>
                <w:kern w:val="24"/>
                <w:lang w:eastAsia="cs-CZ"/>
              </w:rPr>
              <w:t>Počet porušení v oblasti</w:t>
            </w:r>
          </w:p>
        </w:tc>
      </w:tr>
      <w:tr w:rsidR="00AC1719" w:rsidRPr="00AC1719" w14:paraId="5DD504A4" w14:textId="77777777" w:rsidTr="00AC1719">
        <w:trPr>
          <w:trHeight w:val="32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EE0870" w14:textId="77777777" w:rsidR="00AC1719" w:rsidRPr="00AC1719" w:rsidRDefault="00AC1719" w:rsidP="00AC1719">
            <w:pPr>
              <w:spacing w:after="0" w:line="240" w:lineRule="auto"/>
              <w:rPr>
                <w:rFonts w:eastAsia="Times New Roman" w:cstheme="minorHAnsi"/>
                <w:lang w:eastAsia="cs-CZ"/>
              </w:rPr>
            </w:pPr>
          </w:p>
        </w:tc>
        <w:tc>
          <w:tcPr>
            <w:tcW w:w="1397" w:type="dxa"/>
            <w:tcBorders>
              <w:top w:val="single" w:sz="8" w:space="0" w:color="000000"/>
              <w:left w:val="single" w:sz="8" w:space="0" w:color="000000"/>
              <w:bottom w:val="single" w:sz="8" w:space="0" w:color="000000"/>
              <w:right w:val="single" w:sz="8" w:space="0" w:color="000000"/>
            </w:tcBorders>
            <w:shd w:val="clear" w:color="auto" w:fill="DBE5F1"/>
            <w:tcMar>
              <w:top w:w="12" w:type="dxa"/>
              <w:left w:w="12" w:type="dxa"/>
              <w:bottom w:w="0" w:type="dxa"/>
              <w:right w:w="12" w:type="dxa"/>
            </w:tcMar>
            <w:vAlign w:val="center"/>
            <w:hideMark/>
          </w:tcPr>
          <w:p w14:paraId="04C69AF1" w14:textId="77777777" w:rsidR="00AC1719" w:rsidRPr="00AC1719" w:rsidRDefault="00AC1719" w:rsidP="00AC1719">
            <w:pPr>
              <w:spacing w:after="0" w:line="240" w:lineRule="auto"/>
              <w:jc w:val="center"/>
              <w:textAlignment w:val="bottom"/>
              <w:rPr>
                <w:rFonts w:eastAsia="Times New Roman" w:cstheme="minorHAnsi"/>
                <w:lang w:eastAsia="cs-CZ"/>
              </w:rPr>
            </w:pPr>
            <w:r w:rsidRPr="00AC1719">
              <w:rPr>
                <w:rFonts w:eastAsia="ヒラギノ角ゴ ProN W3" w:cstheme="minorHAnsi"/>
                <w:b/>
                <w:bCs/>
                <w:color w:val="000000"/>
                <w:kern w:val="24"/>
                <w:lang w:eastAsia="cs-CZ"/>
              </w:rPr>
              <w:t>BOZP</w:t>
            </w:r>
          </w:p>
        </w:tc>
        <w:tc>
          <w:tcPr>
            <w:tcW w:w="1397" w:type="dxa"/>
            <w:tcBorders>
              <w:top w:val="single" w:sz="8" w:space="0" w:color="000000"/>
              <w:left w:val="single" w:sz="8" w:space="0" w:color="000000"/>
              <w:bottom w:val="single" w:sz="8" w:space="0" w:color="000000"/>
              <w:right w:val="single" w:sz="8" w:space="0" w:color="000000"/>
            </w:tcBorders>
            <w:shd w:val="clear" w:color="auto" w:fill="DBE5F1"/>
            <w:tcMar>
              <w:top w:w="12" w:type="dxa"/>
              <w:left w:w="12" w:type="dxa"/>
              <w:bottom w:w="0" w:type="dxa"/>
              <w:right w:w="12" w:type="dxa"/>
            </w:tcMar>
            <w:vAlign w:val="center"/>
            <w:hideMark/>
          </w:tcPr>
          <w:p w14:paraId="5232B264" w14:textId="77777777" w:rsidR="00AC1719" w:rsidRPr="00AC1719" w:rsidRDefault="00AC1719" w:rsidP="00AC1719">
            <w:pPr>
              <w:spacing w:after="0" w:line="240" w:lineRule="auto"/>
              <w:jc w:val="center"/>
              <w:textAlignment w:val="bottom"/>
              <w:rPr>
                <w:rFonts w:eastAsia="Times New Roman" w:cstheme="minorHAnsi"/>
                <w:lang w:eastAsia="cs-CZ"/>
              </w:rPr>
            </w:pPr>
            <w:r w:rsidRPr="00AC1719">
              <w:rPr>
                <w:rFonts w:eastAsia="ヒラギノ角ゴ ProN W3" w:cstheme="minorHAnsi"/>
                <w:b/>
                <w:bCs/>
                <w:color w:val="000000"/>
                <w:kern w:val="24"/>
                <w:lang w:eastAsia="cs-CZ"/>
              </w:rPr>
              <w:t>VTZ</w:t>
            </w:r>
          </w:p>
        </w:tc>
        <w:tc>
          <w:tcPr>
            <w:tcW w:w="1480" w:type="dxa"/>
            <w:tcBorders>
              <w:top w:val="single" w:sz="8" w:space="0" w:color="000000"/>
              <w:left w:val="single" w:sz="8" w:space="0" w:color="000000"/>
              <w:bottom w:val="single" w:sz="8" w:space="0" w:color="000000"/>
              <w:right w:val="single" w:sz="8" w:space="0" w:color="000000"/>
            </w:tcBorders>
            <w:shd w:val="clear" w:color="auto" w:fill="DBE5F1"/>
            <w:tcMar>
              <w:top w:w="12" w:type="dxa"/>
              <w:left w:w="12" w:type="dxa"/>
              <w:bottom w:w="0" w:type="dxa"/>
              <w:right w:w="12" w:type="dxa"/>
            </w:tcMar>
            <w:vAlign w:val="center"/>
            <w:hideMark/>
          </w:tcPr>
          <w:p w14:paraId="7DF291EC" w14:textId="77777777" w:rsidR="00AC1719" w:rsidRPr="00AC1719" w:rsidRDefault="00AC1719" w:rsidP="00AC1719">
            <w:pPr>
              <w:spacing w:after="0" w:line="240" w:lineRule="auto"/>
              <w:jc w:val="center"/>
              <w:textAlignment w:val="bottom"/>
              <w:rPr>
                <w:rFonts w:eastAsia="Times New Roman" w:cstheme="minorHAnsi"/>
                <w:lang w:eastAsia="cs-CZ"/>
              </w:rPr>
            </w:pPr>
            <w:r w:rsidRPr="00AC1719">
              <w:rPr>
                <w:rFonts w:eastAsia="ヒラギノ角ゴ ProN W3" w:cstheme="minorHAnsi"/>
                <w:b/>
                <w:bCs/>
                <w:color w:val="000000"/>
                <w:kern w:val="24"/>
                <w:lang w:eastAsia="cs-CZ"/>
              </w:rPr>
              <w:t>Celkem</w:t>
            </w:r>
          </w:p>
        </w:tc>
      </w:tr>
      <w:tr w:rsidR="00AC1719" w:rsidRPr="00AC1719" w14:paraId="53D5184A" w14:textId="77777777" w:rsidTr="00AC1719">
        <w:trPr>
          <w:trHeight w:val="382"/>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01FF5CC" w14:textId="77777777" w:rsidR="00AC1719" w:rsidRPr="00AC1719" w:rsidRDefault="00AC1719" w:rsidP="00AC1719">
            <w:pPr>
              <w:spacing w:after="0" w:line="240" w:lineRule="auto"/>
              <w:jc w:val="center"/>
              <w:textAlignment w:val="center"/>
              <w:rPr>
                <w:rFonts w:eastAsia="Times New Roman" w:cstheme="minorHAnsi"/>
                <w:lang w:eastAsia="cs-CZ"/>
              </w:rPr>
            </w:pPr>
            <w:r w:rsidRPr="00AC1719">
              <w:rPr>
                <w:rFonts w:eastAsia="ヒラギノ角ゴ ProN W3" w:cstheme="minorHAnsi"/>
                <w:color w:val="000000"/>
                <w:kern w:val="24"/>
                <w:lang w:eastAsia="cs-CZ"/>
              </w:rPr>
              <w:t xml:space="preserve"> 2021</w:t>
            </w:r>
          </w:p>
        </w:tc>
        <w:tc>
          <w:tcPr>
            <w:tcW w:w="139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525745D" w14:textId="77777777" w:rsidR="00AC1719" w:rsidRPr="00AC1719" w:rsidRDefault="00AC1719" w:rsidP="00AC1719">
            <w:pPr>
              <w:spacing w:after="0" w:line="240" w:lineRule="auto"/>
              <w:jc w:val="center"/>
              <w:rPr>
                <w:rFonts w:eastAsia="Times New Roman" w:cstheme="minorHAnsi"/>
                <w:lang w:eastAsia="cs-CZ"/>
              </w:rPr>
            </w:pPr>
            <w:r w:rsidRPr="00AC1719">
              <w:rPr>
                <w:rFonts w:eastAsia="ヒラギノ角ゴ ProN W3" w:cstheme="minorHAnsi"/>
                <w:color w:val="000000" w:themeColor="text1"/>
                <w:kern w:val="24"/>
                <w:lang w:eastAsia="cs-CZ"/>
              </w:rPr>
              <w:t>7 559</w:t>
            </w:r>
          </w:p>
        </w:tc>
        <w:tc>
          <w:tcPr>
            <w:tcW w:w="139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8EE0B26" w14:textId="77777777" w:rsidR="00AC1719" w:rsidRPr="00AC1719" w:rsidRDefault="00AC1719" w:rsidP="00AC1719">
            <w:pPr>
              <w:spacing w:after="0" w:line="240" w:lineRule="auto"/>
              <w:jc w:val="center"/>
              <w:textAlignment w:val="bottom"/>
              <w:rPr>
                <w:rFonts w:eastAsia="Times New Roman" w:cstheme="minorHAnsi"/>
                <w:lang w:eastAsia="cs-CZ"/>
              </w:rPr>
            </w:pPr>
            <w:r w:rsidRPr="00AC1719">
              <w:rPr>
                <w:rFonts w:eastAsiaTheme="minorEastAsia" w:cstheme="minorHAnsi"/>
                <w:color w:val="000000" w:themeColor="text1"/>
                <w:kern w:val="24"/>
                <w:lang w:eastAsia="cs-CZ"/>
              </w:rPr>
              <w:t>4 552</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F2E71EB" w14:textId="77777777" w:rsidR="00AC1719" w:rsidRPr="00AC1719" w:rsidRDefault="00AC1719" w:rsidP="00AC1719">
            <w:pPr>
              <w:spacing w:after="0" w:line="240" w:lineRule="auto"/>
              <w:jc w:val="center"/>
              <w:textAlignment w:val="bottom"/>
              <w:rPr>
                <w:rFonts w:eastAsia="Times New Roman" w:cstheme="minorHAnsi"/>
                <w:lang w:eastAsia="cs-CZ"/>
              </w:rPr>
            </w:pPr>
            <w:r w:rsidRPr="00AC1719">
              <w:rPr>
                <w:rFonts w:eastAsiaTheme="minorEastAsia" w:cstheme="minorHAnsi"/>
                <w:color w:val="000000" w:themeColor="text1"/>
                <w:kern w:val="24"/>
                <w:lang w:eastAsia="cs-CZ"/>
              </w:rPr>
              <w:t>12 111</w:t>
            </w:r>
          </w:p>
        </w:tc>
      </w:tr>
      <w:tr w:rsidR="00AC1719" w:rsidRPr="00AC1719" w14:paraId="62FDEF63" w14:textId="77777777" w:rsidTr="00AC1719">
        <w:trPr>
          <w:trHeight w:val="354"/>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111B982" w14:textId="77777777" w:rsidR="00AC1719" w:rsidRPr="00AC1719" w:rsidRDefault="00AC1719" w:rsidP="00AC1719">
            <w:pPr>
              <w:spacing w:after="0" w:line="240" w:lineRule="auto"/>
              <w:jc w:val="center"/>
              <w:textAlignment w:val="center"/>
              <w:rPr>
                <w:rFonts w:eastAsia="Times New Roman" w:cstheme="minorHAnsi"/>
                <w:lang w:eastAsia="cs-CZ"/>
              </w:rPr>
            </w:pPr>
            <w:r w:rsidRPr="00AC1719">
              <w:rPr>
                <w:rFonts w:eastAsia="ヒラギノ角ゴ ProN W3" w:cstheme="minorHAnsi"/>
                <w:color w:val="000000" w:themeColor="text1"/>
                <w:kern w:val="24"/>
                <w:lang w:eastAsia="cs-CZ"/>
              </w:rPr>
              <w:t xml:space="preserve"> 2022</w:t>
            </w:r>
          </w:p>
        </w:tc>
        <w:tc>
          <w:tcPr>
            <w:tcW w:w="139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00675EA" w14:textId="77777777" w:rsidR="00AC1719" w:rsidRPr="00AC1719" w:rsidRDefault="00AC1719" w:rsidP="00AC1719">
            <w:pPr>
              <w:spacing w:after="0" w:line="240" w:lineRule="auto"/>
              <w:jc w:val="center"/>
              <w:rPr>
                <w:rFonts w:eastAsia="Times New Roman" w:cstheme="minorHAnsi"/>
                <w:lang w:eastAsia="cs-CZ"/>
              </w:rPr>
            </w:pPr>
            <w:r w:rsidRPr="00AC1719">
              <w:rPr>
                <w:rFonts w:eastAsiaTheme="minorEastAsia" w:cstheme="minorHAnsi"/>
                <w:color w:val="000000" w:themeColor="text1"/>
                <w:kern w:val="24"/>
                <w:lang w:eastAsia="cs-CZ"/>
              </w:rPr>
              <w:t>11 344</w:t>
            </w:r>
          </w:p>
        </w:tc>
        <w:tc>
          <w:tcPr>
            <w:tcW w:w="139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2E642A2" w14:textId="77777777" w:rsidR="00AC1719" w:rsidRPr="00AC1719" w:rsidRDefault="00AC1719" w:rsidP="00AC1719">
            <w:pPr>
              <w:spacing w:after="0" w:line="240" w:lineRule="auto"/>
              <w:jc w:val="center"/>
              <w:textAlignment w:val="bottom"/>
              <w:rPr>
                <w:rFonts w:eastAsia="Times New Roman" w:cstheme="minorHAnsi"/>
                <w:lang w:eastAsia="cs-CZ"/>
              </w:rPr>
            </w:pPr>
            <w:r w:rsidRPr="00AC1719">
              <w:rPr>
                <w:rFonts w:eastAsiaTheme="minorEastAsia" w:cstheme="minorHAnsi"/>
                <w:color w:val="000000" w:themeColor="text1"/>
                <w:kern w:val="24"/>
                <w:lang w:eastAsia="cs-CZ"/>
              </w:rPr>
              <w:t>5 118</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6973CA2" w14:textId="77777777" w:rsidR="00AC1719" w:rsidRPr="00AC1719" w:rsidRDefault="00AC1719" w:rsidP="00AC1719">
            <w:pPr>
              <w:spacing w:after="0" w:line="240" w:lineRule="auto"/>
              <w:jc w:val="center"/>
              <w:textAlignment w:val="bottom"/>
              <w:rPr>
                <w:rFonts w:eastAsia="Times New Roman" w:cstheme="minorHAnsi"/>
                <w:lang w:eastAsia="cs-CZ"/>
              </w:rPr>
            </w:pPr>
            <w:r w:rsidRPr="00AC1719">
              <w:rPr>
                <w:rFonts w:eastAsiaTheme="minorEastAsia" w:cstheme="minorHAnsi"/>
                <w:color w:val="000000" w:themeColor="text1"/>
                <w:kern w:val="24"/>
                <w:lang w:eastAsia="cs-CZ"/>
              </w:rPr>
              <w:t>16 462</w:t>
            </w:r>
          </w:p>
        </w:tc>
      </w:tr>
      <w:tr w:rsidR="00AC1719" w:rsidRPr="00AC1719" w14:paraId="4F0B4ADC" w14:textId="77777777" w:rsidTr="00AC1719">
        <w:trPr>
          <w:trHeight w:val="300"/>
        </w:trPr>
        <w:tc>
          <w:tcPr>
            <w:tcW w:w="2411" w:type="dxa"/>
            <w:tcBorders>
              <w:top w:val="single" w:sz="8" w:space="0" w:color="000000"/>
              <w:left w:val="single" w:sz="8" w:space="0" w:color="000000"/>
              <w:bottom w:val="single" w:sz="8" w:space="0" w:color="000000"/>
              <w:right w:val="single" w:sz="8" w:space="0" w:color="000000"/>
            </w:tcBorders>
            <w:shd w:val="clear" w:color="auto" w:fill="BFBFBF"/>
            <w:tcMar>
              <w:top w:w="12" w:type="dxa"/>
              <w:left w:w="12" w:type="dxa"/>
              <w:bottom w:w="0" w:type="dxa"/>
              <w:right w:w="12" w:type="dxa"/>
            </w:tcMar>
            <w:vAlign w:val="center"/>
            <w:hideMark/>
          </w:tcPr>
          <w:p w14:paraId="79D1DAF5" w14:textId="77777777" w:rsidR="00AC1719" w:rsidRPr="00AC1719" w:rsidRDefault="00AC1719" w:rsidP="00AC1719">
            <w:pPr>
              <w:spacing w:after="0" w:line="240" w:lineRule="auto"/>
              <w:jc w:val="center"/>
              <w:textAlignment w:val="center"/>
              <w:rPr>
                <w:rFonts w:eastAsia="Times New Roman" w:cstheme="minorHAnsi"/>
                <w:lang w:eastAsia="cs-CZ"/>
              </w:rPr>
            </w:pPr>
            <w:r w:rsidRPr="00AC1719">
              <w:rPr>
                <w:rFonts w:eastAsia="ヒラギノ角ゴ ProN W3" w:cstheme="minorHAnsi"/>
                <w:b/>
                <w:bCs/>
                <w:color w:val="C00000"/>
                <w:kern w:val="24"/>
                <w:lang w:eastAsia="cs-CZ"/>
              </w:rPr>
              <w:t>K 31. 10. 2023</w:t>
            </w:r>
          </w:p>
        </w:tc>
        <w:tc>
          <w:tcPr>
            <w:tcW w:w="1397" w:type="dxa"/>
            <w:tcBorders>
              <w:top w:val="single" w:sz="8" w:space="0" w:color="000000"/>
              <w:left w:val="single" w:sz="8" w:space="0" w:color="000000"/>
              <w:bottom w:val="single" w:sz="8" w:space="0" w:color="000000"/>
              <w:right w:val="single" w:sz="8" w:space="0" w:color="000000"/>
            </w:tcBorders>
            <w:shd w:val="clear" w:color="auto" w:fill="BFBFBF"/>
            <w:tcMar>
              <w:top w:w="12" w:type="dxa"/>
              <w:left w:w="12" w:type="dxa"/>
              <w:bottom w:w="0" w:type="dxa"/>
              <w:right w:w="12" w:type="dxa"/>
            </w:tcMar>
            <w:vAlign w:val="center"/>
            <w:hideMark/>
          </w:tcPr>
          <w:p w14:paraId="02C9F234" w14:textId="77777777" w:rsidR="00AC1719" w:rsidRPr="00AC1719" w:rsidRDefault="00AC1719" w:rsidP="00AC1719">
            <w:pPr>
              <w:spacing w:after="0" w:line="240" w:lineRule="auto"/>
              <w:jc w:val="center"/>
              <w:textAlignment w:val="bottom"/>
              <w:rPr>
                <w:rFonts w:eastAsia="Times New Roman" w:cstheme="minorHAnsi"/>
                <w:lang w:eastAsia="cs-CZ"/>
              </w:rPr>
            </w:pPr>
            <w:r w:rsidRPr="00AC1719">
              <w:rPr>
                <w:rFonts w:eastAsiaTheme="minorEastAsia" w:cstheme="minorHAnsi"/>
                <w:b/>
                <w:bCs/>
                <w:color w:val="000000" w:themeColor="text1"/>
                <w:kern w:val="24"/>
                <w:lang w:eastAsia="cs-CZ"/>
              </w:rPr>
              <w:t>12 035</w:t>
            </w:r>
          </w:p>
        </w:tc>
        <w:tc>
          <w:tcPr>
            <w:tcW w:w="1397" w:type="dxa"/>
            <w:tcBorders>
              <w:top w:val="single" w:sz="8" w:space="0" w:color="000000"/>
              <w:left w:val="single" w:sz="8" w:space="0" w:color="000000"/>
              <w:bottom w:val="single" w:sz="8" w:space="0" w:color="000000"/>
              <w:right w:val="single" w:sz="8" w:space="0" w:color="000000"/>
            </w:tcBorders>
            <w:shd w:val="clear" w:color="auto" w:fill="BFBFBF"/>
            <w:tcMar>
              <w:top w:w="12" w:type="dxa"/>
              <w:left w:w="12" w:type="dxa"/>
              <w:bottom w:w="0" w:type="dxa"/>
              <w:right w:w="12" w:type="dxa"/>
            </w:tcMar>
            <w:vAlign w:val="center"/>
            <w:hideMark/>
          </w:tcPr>
          <w:p w14:paraId="185D587C" w14:textId="77777777" w:rsidR="00AC1719" w:rsidRPr="00AC1719" w:rsidRDefault="00AC1719" w:rsidP="00AC1719">
            <w:pPr>
              <w:spacing w:after="0" w:line="240" w:lineRule="auto"/>
              <w:jc w:val="center"/>
              <w:textAlignment w:val="bottom"/>
              <w:rPr>
                <w:rFonts w:eastAsia="Times New Roman" w:cstheme="minorHAnsi"/>
                <w:lang w:eastAsia="cs-CZ"/>
              </w:rPr>
            </w:pPr>
            <w:r w:rsidRPr="00AC1719">
              <w:rPr>
                <w:rFonts w:eastAsiaTheme="minorEastAsia" w:cstheme="minorHAnsi"/>
                <w:b/>
                <w:bCs/>
                <w:color w:val="000000" w:themeColor="text1"/>
                <w:kern w:val="24"/>
                <w:lang w:eastAsia="cs-CZ"/>
              </w:rPr>
              <w:t>5 606</w:t>
            </w:r>
          </w:p>
        </w:tc>
        <w:tc>
          <w:tcPr>
            <w:tcW w:w="1480" w:type="dxa"/>
            <w:tcBorders>
              <w:top w:val="single" w:sz="8" w:space="0" w:color="000000"/>
              <w:left w:val="single" w:sz="8" w:space="0" w:color="000000"/>
              <w:bottom w:val="single" w:sz="8" w:space="0" w:color="000000"/>
              <w:right w:val="single" w:sz="8" w:space="0" w:color="000000"/>
            </w:tcBorders>
            <w:shd w:val="clear" w:color="auto" w:fill="BFBFBF"/>
            <w:tcMar>
              <w:top w:w="12" w:type="dxa"/>
              <w:left w:w="12" w:type="dxa"/>
              <w:bottom w:w="0" w:type="dxa"/>
              <w:right w:w="12" w:type="dxa"/>
            </w:tcMar>
            <w:vAlign w:val="center"/>
            <w:hideMark/>
          </w:tcPr>
          <w:p w14:paraId="50184B3D" w14:textId="77777777" w:rsidR="00AC1719" w:rsidRPr="00AC1719" w:rsidRDefault="00AC1719" w:rsidP="00AC1719">
            <w:pPr>
              <w:spacing w:after="0" w:line="240" w:lineRule="auto"/>
              <w:jc w:val="center"/>
              <w:textAlignment w:val="bottom"/>
              <w:rPr>
                <w:rFonts w:eastAsia="Times New Roman" w:cstheme="minorHAnsi"/>
                <w:lang w:eastAsia="cs-CZ"/>
              </w:rPr>
            </w:pPr>
            <w:r w:rsidRPr="00AC1719">
              <w:rPr>
                <w:rFonts w:eastAsiaTheme="minorEastAsia" w:cstheme="minorHAnsi"/>
                <w:b/>
                <w:bCs/>
                <w:color w:val="000000" w:themeColor="text1"/>
                <w:kern w:val="24"/>
                <w:lang w:eastAsia="cs-CZ"/>
              </w:rPr>
              <w:t>17 641</w:t>
            </w:r>
          </w:p>
        </w:tc>
      </w:tr>
    </w:tbl>
    <w:p w14:paraId="0C1E7EC9" w14:textId="08F29594" w:rsidR="001663D7" w:rsidRDefault="001663D7" w:rsidP="00A63A70">
      <w:pPr>
        <w:spacing w:after="0"/>
        <w:ind w:right="-992"/>
        <w:jc w:val="both"/>
      </w:pPr>
    </w:p>
    <w:p w14:paraId="0D58BC80" w14:textId="77777777" w:rsidR="00AC1719" w:rsidRPr="00AC1719" w:rsidRDefault="00AC1719" w:rsidP="00AC1719">
      <w:pPr>
        <w:pStyle w:val="Bezmezer"/>
        <w:rPr>
          <w:rFonts w:eastAsia="Times New Roman"/>
          <w:lang w:eastAsia="cs-CZ"/>
        </w:rPr>
      </w:pPr>
      <w:r w:rsidRPr="00AC1719">
        <w:rPr>
          <w:lang w:eastAsia="cs-CZ"/>
        </w:rPr>
        <w:t>V oblasti BOZP a VTZ:</w:t>
      </w:r>
    </w:p>
    <w:p w14:paraId="20444249" w14:textId="51F65ADF" w:rsidR="00AC1719" w:rsidRPr="00AC1719" w:rsidRDefault="00AC1719">
      <w:pPr>
        <w:pStyle w:val="Bezmezer"/>
        <w:numPr>
          <w:ilvl w:val="0"/>
          <w:numId w:val="15"/>
        </w:numPr>
        <w:rPr>
          <w:rFonts w:eastAsia="Times New Roman"/>
          <w:lang w:eastAsia="cs-CZ"/>
        </w:rPr>
      </w:pPr>
      <w:r w:rsidRPr="00AC1719">
        <w:rPr>
          <w:lang w:eastAsia="cs-CZ"/>
        </w:rPr>
        <w:t xml:space="preserve">chybně nebo nedostatečně vyhodnocená rizika pro pracovní činnosti (nevyhledání a nevyhodnocení rizik v rámci pracovních a technologických postupů), </w:t>
      </w:r>
    </w:p>
    <w:p w14:paraId="75AF9E71" w14:textId="5B12112A" w:rsidR="00AC1719" w:rsidRPr="00AC1719" w:rsidRDefault="00AC1719">
      <w:pPr>
        <w:pStyle w:val="Bezmezer"/>
        <w:numPr>
          <w:ilvl w:val="0"/>
          <w:numId w:val="15"/>
        </w:numPr>
        <w:rPr>
          <w:rFonts w:eastAsia="Times New Roman"/>
          <w:lang w:eastAsia="cs-CZ"/>
        </w:rPr>
      </w:pPr>
      <w:r w:rsidRPr="00AC1719">
        <w:rPr>
          <w:lang w:eastAsia="cs-CZ"/>
        </w:rPr>
        <w:t xml:space="preserve">neseznámení zaměstnanců s příslušnými riziky ohrožujícími život a zdraví na pracovišti a chybějící či neúplné školení zaměstnanců o právních a ostatních předpisech BOZP </w:t>
      </w:r>
      <w:r>
        <w:rPr>
          <w:lang w:eastAsia="cs-CZ"/>
        </w:rPr>
        <w:t>z</w:t>
      </w:r>
      <w:r w:rsidRPr="00AC1719">
        <w:rPr>
          <w:lang w:eastAsia="cs-CZ"/>
        </w:rPr>
        <w:t xml:space="preserve">ahrnujících i návody výrobce pro obsluhu daných zařízení, </w:t>
      </w:r>
    </w:p>
    <w:p w14:paraId="6D5E5088" w14:textId="77777777" w:rsidR="00AC1719" w:rsidRPr="00AC1719" w:rsidRDefault="00AC1719">
      <w:pPr>
        <w:pStyle w:val="Bezmezer"/>
        <w:numPr>
          <w:ilvl w:val="0"/>
          <w:numId w:val="15"/>
        </w:numPr>
        <w:rPr>
          <w:rFonts w:eastAsia="Times New Roman"/>
          <w:lang w:eastAsia="cs-CZ"/>
        </w:rPr>
      </w:pPr>
      <w:r w:rsidRPr="00AC1719">
        <w:rPr>
          <w:lang w:eastAsia="cs-CZ"/>
        </w:rPr>
        <w:t xml:space="preserve">nebezpečné pracovní postupy tolerované zaměstnavatelem,  </w:t>
      </w:r>
    </w:p>
    <w:p w14:paraId="5644586E" w14:textId="77777777" w:rsidR="00AC1719" w:rsidRPr="00AC1719" w:rsidRDefault="00AC1719">
      <w:pPr>
        <w:pStyle w:val="Bezmezer"/>
        <w:numPr>
          <w:ilvl w:val="0"/>
          <w:numId w:val="15"/>
        </w:numPr>
        <w:rPr>
          <w:rFonts w:eastAsia="Times New Roman"/>
          <w:lang w:eastAsia="cs-CZ"/>
        </w:rPr>
      </w:pPr>
      <w:r w:rsidRPr="00AC1719">
        <w:rPr>
          <w:lang w:eastAsia="cs-CZ"/>
        </w:rPr>
        <w:t>nevhodnou organizaci práce ze strany zaměstnavatele,</w:t>
      </w:r>
    </w:p>
    <w:p w14:paraId="17016AE0" w14:textId="77777777" w:rsidR="00AC1719" w:rsidRPr="00AC1719" w:rsidRDefault="00AC1719">
      <w:pPr>
        <w:pStyle w:val="Bezmezer"/>
        <w:numPr>
          <w:ilvl w:val="0"/>
          <w:numId w:val="15"/>
        </w:numPr>
        <w:rPr>
          <w:rFonts w:eastAsia="Times New Roman"/>
          <w:lang w:eastAsia="cs-CZ"/>
        </w:rPr>
      </w:pPr>
      <w:r w:rsidRPr="00AC1719">
        <w:rPr>
          <w:lang w:eastAsia="cs-CZ"/>
        </w:rPr>
        <w:t xml:space="preserve">neodpovídající stav pracoviště a pracovního prostředí vzhledem k bezpečnostním požadavkům </w:t>
      </w:r>
      <w:r w:rsidRPr="00AC1719">
        <w:rPr>
          <w:lang w:eastAsia="cs-CZ"/>
        </w:rPr>
        <w:br/>
        <w:t xml:space="preserve">(např. nezajištěná místa s rizikem pádu z výšky nebo do hloubky apod.), </w:t>
      </w:r>
    </w:p>
    <w:p w14:paraId="2C6DD0F8" w14:textId="77777777" w:rsidR="00AC1719" w:rsidRPr="00AC1719" w:rsidRDefault="00AC1719">
      <w:pPr>
        <w:pStyle w:val="Bezmezer"/>
        <w:numPr>
          <w:ilvl w:val="0"/>
          <w:numId w:val="15"/>
        </w:numPr>
        <w:rPr>
          <w:rFonts w:eastAsia="Times New Roman"/>
          <w:lang w:eastAsia="cs-CZ"/>
        </w:rPr>
      </w:pPr>
      <w:r w:rsidRPr="00AC1719">
        <w:rPr>
          <w:lang w:eastAsia="cs-CZ"/>
        </w:rPr>
        <w:t xml:space="preserve">chybějící revize používaných zařízení, </w:t>
      </w:r>
    </w:p>
    <w:p w14:paraId="0BF67969" w14:textId="77777777" w:rsidR="00AC1719" w:rsidRPr="00AC1719" w:rsidRDefault="00AC1719">
      <w:pPr>
        <w:pStyle w:val="Bezmezer"/>
        <w:numPr>
          <w:ilvl w:val="0"/>
          <w:numId w:val="15"/>
        </w:numPr>
        <w:rPr>
          <w:rFonts w:eastAsia="Times New Roman"/>
          <w:lang w:eastAsia="cs-CZ"/>
        </w:rPr>
      </w:pPr>
      <w:r w:rsidRPr="00AC1719">
        <w:rPr>
          <w:lang w:eastAsia="cs-CZ"/>
        </w:rPr>
        <w:t>zanedbanou údržbu používaných zařízení,</w:t>
      </w:r>
    </w:p>
    <w:p w14:paraId="2F6C8F26" w14:textId="099C7748" w:rsidR="00AC1719" w:rsidRDefault="00AC1719">
      <w:pPr>
        <w:pStyle w:val="Bezmezer"/>
        <w:numPr>
          <w:ilvl w:val="0"/>
          <w:numId w:val="15"/>
        </w:numPr>
      </w:pPr>
      <w:r w:rsidRPr="00AC1719">
        <w:rPr>
          <w:lang w:eastAsia="cs-CZ"/>
        </w:rPr>
        <w:t>nedostatečné kontroly používaných zařízení.</w:t>
      </w:r>
    </w:p>
    <w:p w14:paraId="3D216981" w14:textId="77777777" w:rsidR="00AC1719" w:rsidRDefault="00AC1719" w:rsidP="00AC1719">
      <w:pPr>
        <w:pStyle w:val="Bezmezer"/>
        <w:rPr>
          <w:lang w:eastAsia="cs-CZ"/>
        </w:rPr>
      </w:pPr>
    </w:p>
    <w:p w14:paraId="3CA69AFD" w14:textId="77777777" w:rsidR="00AC1719" w:rsidRPr="00AC1719" w:rsidRDefault="00AC1719" w:rsidP="00AC1719">
      <w:pPr>
        <w:pStyle w:val="Bezmezer"/>
      </w:pPr>
    </w:p>
    <w:p w14:paraId="546D7CD5" w14:textId="252026CC" w:rsidR="00C23715" w:rsidRPr="00011136" w:rsidRDefault="00C23715" w:rsidP="00EC3AA0">
      <w:pPr>
        <w:pStyle w:val="Nadpis2"/>
        <w:numPr>
          <w:ilvl w:val="0"/>
          <w:numId w:val="22"/>
        </w:numPr>
      </w:pPr>
      <w:bookmarkStart w:id="17" w:name="_Toc172709959"/>
      <w:bookmarkStart w:id="18" w:name="_Toc172710069"/>
      <w:r w:rsidRPr="00011136">
        <w:t>Prevence rizik při nakládání s chemickými látkami a směsmi</w:t>
      </w:r>
      <w:bookmarkEnd w:id="17"/>
      <w:bookmarkEnd w:id="18"/>
    </w:p>
    <w:p w14:paraId="5D7D38D3" w14:textId="77777777" w:rsidR="00DF375E" w:rsidRPr="00011136" w:rsidRDefault="00DF375E" w:rsidP="002A428B">
      <w:pPr>
        <w:pStyle w:val="Odstavecseseznamem"/>
        <w:spacing w:after="0"/>
        <w:ind w:left="-851" w:right="-992"/>
        <w:jc w:val="both"/>
        <w:rPr>
          <w:b/>
          <w:bCs/>
          <w:sz w:val="24"/>
          <w:szCs w:val="24"/>
          <w:u w:val="single"/>
        </w:rPr>
      </w:pPr>
    </w:p>
    <w:p w14:paraId="075ADE69" w14:textId="697D72A1" w:rsidR="00C23715" w:rsidRDefault="00C23715" w:rsidP="002A428B">
      <w:pPr>
        <w:ind w:left="-851"/>
        <w:jc w:val="both"/>
        <w:rPr>
          <w:rFonts w:cstheme="minorHAnsi"/>
          <w:color w:val="000000"/>
        </w:rPr>
      </w:pPr>
      <w:r w:rsidRPr="000E3A53">
        <w:rPr>
          <w:rFonts w:cstheme="minorHAnsi"/>
          <w:color w:val="000000"/>
        </w:rPr>
        <w:lastRenderedPageBreak/>
        <w:t xml:space="preserve">Problematika nakládání </w:t>
      </w:r>
      <w:r w:rsidR="00434262">
        <w:rPr>
          <w:rFonts w:cstheme="minorHAnsi"/>
          <w:color w:val="000000"/>
        </w:rPr>
        <w:t xml:space="preserve">chemickými látkami </w:t>
      </w:r>
      <w:r w:rsidRPr="000E3A53">
        <w:rPr>
          <w:rFonts w:cstheme="minorHAnsi"/>
          <w:color w:val="000000"/>
        </w:rPr>
        <w:t xml:space="preserve">a </w:t>
      </w:r>
      <w:r w:rsidR="00434262">
        <w:rPr>
          <w:rFonts w:cstheme="minorHAnsi"/>
          <w:color w:val="000000"/>
        </w:rPr>
        <w:t xml:space="preserve">jejich </w:t>
      </w:r>
      <w:r w:rsidRPr="000E3A53">
        <w:rPr>
          <w:rFonts w:cstheme="minorHAnsi"/>
          <w:color w:val="000000"/>
        </w:rPr>
        <w:t xml:space="preserve">skladování </w:t>
      </w:r>
      <w:r w:rsidR="00434262">
        <w:rPr>
          <w:rFonts w:cstheme="minorHAnsi"/>
          <w:color w:val="000000"/>
        </w:rPr>
        <w:t xml:space="preserve">spočívá zejména ve značném množství </w:t>
      </w:r>
      <w:r w:rsidRPr="000E3A53">
        <w:rPr>
          <w:rFonts w:cstheme="minorHAnsi"/>
          <w:color w:val="000000"/>
        </w:rPr>
        <w:t xml:space="preserve"> předpisů jako </w:t>
      </w:r>
      <w:r w:rsidRPr="008F2F13">
        <w:rPr>
          <w:rFonts w:cstheme="minorHAnsi"/>
          <w:color w:val="000000"/>
        </w:rPr>
        <w:t>je nařízení REACH, CLP, zákon o vodách, o náležitostech nakládání se závadnými látkami, o ochraně veřejného zdraví, o prevenci závažných havárií, o ekologické újmě, normy ČSN pro hořlavé kapaliny, toxické látky, atd. Toto</w:t>
      </w:r>
      <w:r w:rsidRPr="000E3A53">
        <w:rPr>
          <w:rFonts w:cstheme="minorHAnsi"/>
          <w:color w:val="000000"/>
        </w:rPr>
        <w:t xml:space="preserve"> velké množství izolovaných pravidel pak </w:t>
      </w:r>
      <w:r w:rsidR="00CB6601">
        <w:rPr>
          <w:rFonts w:cstheme="minorHAnsi"/>
          <w:color w:val="000000"/>
        </w:rPr>
        <w:t>komplikuje orientaci v nastavených požadavcích, vede k</w:t>
      </w:r>
      <w:r w:rsidR="00515994">
        <w:rPr>
          <w:rFonts w:cstheme="minorHAnsi"/>
          <w:color w:val="000000"/>
        </w:rPr>
        <w:t xml:space="preserve"> nesprávným postupům při nakládání s </w:t>
      </w:r>
      <w:r w:rsidRPr="000E3A53">
        <w:rPr>
          <w:rFonts w:cstheme="minorHAnsi"/>
          <w:color w:val="000000"/>
        </w:rPr>
        <w:t> nebezpečnými chemickými látkami</w:t>
      </w:r>
      <w:r w:rsidR="00011136">
        <w:rPr>
          <w:rFonts w:cstheme="minorHAnsi"/>
          <w:color w:val="000000"/>
        </w:rPr>
        <w:t xml:space="preserve"> a jejich skladováním</w:t>
      </w:r>
      <w:r w:rsidRPr="000E3A53">
        <w:rPr>
          <w:rFonts w:cstheme="minorHAnsi"/>
          <w:color w:val="000000"/>
        </w:rPr>
        <w:t>, což pak může vést k nebezpečným a zdraví ohrožujícím situacím.  </w:t>
      </w:r>
    </w:p>
    <w:tbl>
      <w:tblPr>
        <w:tblStyle w:val="Mkatabulky"/>
        <w:tblW w:w="0" w:type="auto"/>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25"/>
        <w:gridCol w:w="2261"/>
        <w:gridCol w:w="2261"/>
        <w:gridCol w:w="2261"/>
      </w:tblGrid>
      <w:tr w:rsidR="00C23715" w:rsidRPr="00F972D8" w14:paraId="1E0B11E7" w14:textId="77777777" w:rsidTr="002A428B">
        <w:tc>
          <w:tcPr>
            <w:tcW w:w="3125" w:type="dxa"/>
            <w:shd w:val="clear" w:color="auto" w:fill="D9E2F3" w:themeFill="accent1" w:themeFillTint="33"/>
          </w:tcPr>
          <w:p w14:paraId="44130C41" w14:textId="77777777" w:rsidR="00C23715" w:rsidRDefault="00C23715" w:rsidP="00A63A70">
            <w:pPr>
              <w:contextualSpacing/>
              <w:jc w:val="both"/>
              <w:rPr>
                <w:b/>
                <w:bCs/>
              </w:rPr>
            </w:pPr>
            <w:r>
              <w:rPr>
                <w:b/>
                <w:bCs/>
              </w:rPr>
              <w:t>Druh PÚ</w:t>
            </w:r>
          </w:p>
          <w:p w14:paraId="29C9F69A" w14:textId="77777777" w:rsidR="00C23715" w:rsidRPr="00E57BC0" w:rsidRDefault="00C23715" w:rsidP="00A63A70">
            <w:pPr>
              <w:contextualSpacing/>
              <w:jc w:val="both"/>
              <w:rPr>
                <w:b/>
                <w:bCs/>
              </w:rPr>
            </w:pPr>
            <w:r>
              <w:rPr>
                <w:b/>
                <w:bCs/>
              </w:rPr>
              <w:t>Chemické látky</w:t>
            </w:r>
          </w:p>
        </w:tc>
        <w:tc>
          <w:tcPr>
            <w:tcW w:w="2261" w:type="dxa"/>
            <w:shd w:val="clear" w:color="auto" w:fill="D9E2F3" w:themeFill="accent1" w:themeFillTint="33"/>
          </w:tcPr>
          <w:p w14:paraId="44063561" w14:textId="77777777" w:rsidR="00C23715" w:rsidRPr="00E57BC0" w:rsidRDefault="00C23715" w:rsidP="00A63A70">
            <w:pPr>
              <w:contextualSpacing/>
              <w:jc w:val="both"/>
              <w:rPr>
                <w:b/>
                <w:bCs/>
              </w:rPr>
            </w:pPr>
            <w:r>
              <w:rPr>
                <w:b/>
                <w:bCs/>
              </w:rPr>
              <w:t>Smrtelný</w:t>
            </w:r>
          </w:p>
        </w:tc>
        <w:tc>
          <w:tcPr>
            <w:tcW w:w="2261" w:type="dxa"/>
            <w:shd w:val="clear" w:color="auto" w:fill="D9E2F3" w:themeFill="accent1" w:themeFillTint="33"/>
          </w:tcPr>
          <w:p w14:paraId="3D3AB65C" w14:textId="77777777" w:rsidR="00C23715" w:rsidRPr="00E57BC0" w:rsidRDefault="00C23715" w:rsidP="00A63A70">
            <w:pPr>
              <w:contextualSpacing/>
              <w:jc w:val="both"/>
              <w:rPr>
                <w:b/>
                <w:bCs/>
              </w:rPr>
            </w:pPr>
            <w:r>
              <w:rPr>
                <w:b/>
                <w:bCs/>
              </w:rPr>
              <w:t>Závažný</w:t>
            </w:r>
          </w:p>
        </w:tc>
        <w:tc>
          <w:tcPr>
            <w:tcW w:w="2261" w:type="dxa"/>
            <w:shd w:val="clear" w:color="auto" w:fill="D9E2F3" w:themeFill="accent1" w:themeFillTint="33"/>
          </w:tcPr>
          <w:p w14:paraId="1072C563" w14:textId="77777777" w:rsidR="00C23715" w:rsidRPr="00E57BC0" w:rsidRDefault="00C23715" w:rsidP="00A63A70">
            <w:pPr>
              <w:contextualSpacing/>
              <w:jc w:val="both"/>
              <w:rPr>
                <w:b/>
                <w:bCs/>
              </w:rPr>
            </w:pPr>
            <w:r>
              <w:rPr>
                <w:b/>
                <w:bCs/>
              </w:rPr>
              <w:t>Ostatní</w:t>
            </w:r>
          </w:p>
        </w:tc>
      </w:tr>
      <w:tr w:rsidR="00C23715" w:rsidRPr="00F972D8" w14:paraId="34AE43CB" w14:textId="77777777" w:rsidTr="002A428B">
        <w:tc>
          <w:tcPr>
            <w:tcW w:w="3125" w:type="dxa"/>
          </w:tcPr>
          <w:p w14:paraId="7668AF73" w14:textId="77777777" w:rsidR="00C23715" w:rsidRDefault="00C23715" w:rsidP="00A63A70">
            <w:pPr>
              <w:contextualSpacing/>
              <w:jc w:val="both"/>
              <w:rPr>
                <w:b/>
                <w:bCs/>
              </w:rPr>
            </w:pPr>
            <w:r>
              <w:rPr>
                <w:b/>
                <w:bCs/>
              </w:rPr>
              <w:t>Rok 2021</w:t>
            </w:r>
          </w:p>
        </w:tc>
        <w:tc>
          <w:tcPr>
            <w:tcW w:w="2261" w:type="dxa"/>
          </w:tcPr>
          <w:p w14:paraId="291FD6D9" w14:textId="77777777" w:rsidR="00C23715" w:rsidRPr="00092849" w:rsidRDefault="00C23715" w:rsidP="00A63A70">
            <w:pPr>
              <w:contextualSpacing/>
              <w:jc w:val="both"/>
            </w:pPr>
            <w:r w:rsidRPr="00092849">
              <w:t>5</w:t>
            </w:r>
          </w:p>
        </w:tc>
        <w:tc>
          <w:tcPr>
            <w:tcW w:w="2261" w:type="dxa"/>
          </w:tcPr>
          <w:p w14:paraId="45821747" w14:textId="77777777" w:rsidR="00C23715" w:rsidRPr="00092849" w:rsidRDefault="00C23715" w:rsidP="00A63A70">
            <w:pPr>
              <w:contextualSpacing/>
              <w:jc w:val="both"/>
            </w:pPr>
            <w:r w:rsidRPr="00092849">
              <w:t>18</w:t>
            </w:r>
          </w:p>
        </w:tc>
        <w:tc>
          <w:tcPr>
            <w:tcW w:w="2261" w:type="dxa"/>
          </w:tcPr>
          <w:p w14:paraId="2AC3CD78" w14:textId="77777777" w:rsidR="00C23715" w:rsidRPr="00092849" w:rsidRDefault="00C23715" w:rsidP="00A63A70">
            <w:pPr>
              <w:contextualSpacing/>
              <w:jc w:val="both"/>
            </w:pPr>
            <w:r w:rsidRPr="00092849">
              <w:t>241</w:t>
            </w:r>
          </w:p>
        </w:tc>
      </w:tr>
      <w:tr w:rsidR="00C23715" w:rsidRPr="00F972D8" w14:paraId="7A0CF90C" w14:textId="77777777" w:rsidTr="002A428B">
        <w:tc>
          <w:tcPr>
            <w:tcW w:w="3125" w:type="dxa"/>
          </w:tcPr>
          <w:p w14:paraId="1C6B9C5D" w14:textId="77777777" w:rsidR="00C23715" w:rsidRDefault="00C23715" w:rsidP="00A63A70">
            <w:pPr>
              <w:contextualSpacing/>
              <w:jc w:val="both"/>
              <w:rPr>
                <w:b/>
                <w:bCs/>
              </w:rPr>
            </w:pPr>
            <w:r>
              <w:rPr>
                <w:b/>
                <w:bCs/>
              </w:rPr>
              <w:t>Rok 2022</w:t>
            </w:r>
          </w:p>
        </w:tc>
        <w:tc>
          <w:tcPr>
            <w:tcW w:w="2261" w:type="dxa"/>
          </w:tcPr>
          <w:p w14:paraId="675A588D" w14:textId="77777777" w:rsidR="00C23715" w:rsidRPr="00092849" w:rsidRDefault="00C23715" w:rsidP="00A63A70">
            <w:pPr>
              <w:contextualSpacing/>
              <w:jc w:val="both"/>
            </w:pPr>
            <w:r w:rsidRPr="00092849">
              <w:t>1</w:t>
            </w:r>
          </w:p>
        </w:tc>
        <w:tc>
          <w:tcPr>
            <w:tcW w:w="2261" w:type="dxa"/>
          </w:tcPr>
          <w:p w14:paraId="1003FEFB" w14:textId="77777777" w:rsidR="00C23715" w:rsidRPr="00092849" w:rsidRDefault="00C23715" w:rsidP="00A63A70">
            <w:pPr>
              <w:contextualSpacing/>
              <w:jc w:val="both"/>
            </w:pPr>
            <w:r w:rsidRPr="00092849">
              <w:t>11</w:t>
            </w:r>
          </w:p>
        </w:tc>
        <w:tc>
          <w:tcPr>
            <w:tcW w:w="2261" w:type="dxa"/>
          </w:tcPr>
          <w:p w14:paraId="045989ED" w14:textId="77777777" w:rsidR="00C23715" w:rsidRPr="00092849" w:rsidRDefault="00C23715" w:rsidP="00A63A70">
            <w:pPr>
              <w:contextualSpacing/>
              <w:jc w:val="both"/>
            </w:pPr>
            <w:r w:rsidRPr="00092849">
              <w:t>189</w:t>
            </w:r>
          </w:p>
        </w:tc>
      </w:tr>
      <w:tr w:rsidR="00AC1719" w:rsidRPr="00F972D8" w14:paraId="79E73D9A" w14:textId="77777777" w:rsidTr="002A428B">
        <w:tc>
          <w:tcPr>
            <w:tcW w:w="3125" w:type="dxa"/>
          </w:tcPr>
          <w:p w14:paraId="0D95A076" w14:textId="373334FB" w:rsidR="00AC1719" w:rsidRDefault="00AC1719" w:rsidP="00A63A70">
            <w:pPr>
              <w:contextualSpacing/>
              <w:jc w:val="both"/>
              <w:rPr>
                <w:b/>
                <w:bCs/>
              </w:rPr>
            </w:pPr>
            <w:r w:rsidRPr="00205911">
              <w:rPr>
                <w:b/>
                <w:bCs/>
              </w:rPr>
              <w:t>Rok 2023 (k 24.11.23)</w:t>
            </w:r>
          </w:p>
        </w:tc>
        <w:tc>
          <w:tcPr>
            <w:tcW w:w="2261" w:type="dxa"/>
          </w:tcPr>
          <w:p w14:paraId="403984AB" w14:textId="57D46F4D" w:rsidR="00AC1719" w:rsidRPr="00092849" w:rsidRDefault="00AC1719" w:rsidP="00A63A70">
            <w:pPr>
              <w:contextualSpacing/>
              <w:jc w:val="both"/>
            </w:pPr>
            <w:r>
              <w:t>0</w:t>
            </w:r>
          </w:p>
        </w:tc>
        <w:tc>
          <w:tcPr>
            <w:tcW w:w="2261" w:type="dxa"/>
          </w:tcPr>
          <w:p w14:paraId="79A357A1" w14:textId="0BBEC86C" w:rsidR="00AC1719" w:rsidRPr="00092849" w:rsidRDefault="00AC1719" w:rsidP="00A63A70">
            <w:pPr>
              <w:contextualSpacing/>
              <w:jc w:val="both"/>
            </w:pPr>
            <w:r>
              <w:t>3</w:t>
            </w:r>
          </w:p>
        </w:tc>
        <w:tc>
          <w:tcPr>
            <w:tcW w:w="2261" w:type="dxa"/>
          </w:tcPr>
          <w:p w14:paraId="0A65AE95" w14:textId="0436ED51" w:rsidR="00AC1719" w:rsidRPr="00092849" w:rsidRDefault="00AC1719" w:rsidP="00A63A70">
            <w:pPr>
              <w:contextualSpacing/>
              <w:jc w:val="both"/>
            </w:pPr>
            <w:r>
              <w:t>224</w:t>
            </w:r>
          </w:p>
        </w:tc>
      </w:tr>
    </w:tbl>
    <w:p w14:paraId="50174B47" w14:textId="77777777" w:rsidR="00D07589" w:rsidRDefault="00D07589" w:rsidP="002A428B">
      <w:pPr>
        <w:spacing w:after="0" w:line="240" w:lineRule="auto"/>
        <w:ind w:left="-851"/>
        <w:contextualSpacing/>
        <w:jc w:val="both"/>
        <w:rPr>
          <w:b/>
          <w:bCs/>
        </w:rPr>
      </w:pPr>
    </w:p>
    <w:p w14:paraId="5EBB4B27" w14:textId="5ACEF198" w:rsidR="00C23715" w:rsidRDefault="00C23715" w:rsidP="002A428B">
      <w:pPr>
        <w:spacing w:after="0" w:line="240" w:lineRule="auto"/>
        <w:ind w:left="-851"/>
        <w:contextualSpacing/>
        <w:jc w:val="both"/>
        <w:rPr>
          <w:b/>
          <w:bCs/>
        </w:rPr>
      </w:pPr>
      <w:r>
        <w:rPr>
          <w:b/>
          <w:bCs/>
        </w:rPr>
        <w:t>Nejčastější zdroje PÚ:</w:t>
      </w:r>
    </w:p>
    <w:p w14:paraId="523EF281" w14:textId="77777777" w:rsidR="00C23715" w:rsidRPr="00793239" w:rsidRDefault="00C23715">
      <w:pPr>
        <w:pStyle w:val="Odstavecseseznamem"/>
        <w:numPr>
          <w:ilvl w:val="0"/>
          <w:numId w:val="5"/>
        </w:numPr>
        <w:spacing w:after="0" w:line="240" w:lineRule="auto"/>
        <w:ind w:left="-426" w:hanging="284"/>
        <w:jc w:val="both"/>
      </w:pPr>
      <w:r w:rsidRPr="00793239">
        <w:t>Ostatní chemikálie, výbušniny, radioaktivní látky, biologické látky skupiny 15, výše neuvedené,</w:t>
      </w:r>
    </w:p>
    <w:p w14:paraId="53EA28D0" w14:textId="77777777" w:rsidR="00C23715" w:rsidRPr="00793239" w:rsidRDefault="00C23715">
      <w:pPr>
        <w:pStyle w:val="Odstavecseseznamem"/>
        <w:numPr>
          <w:ilvl w:val="0"/>
          <w:numId w:val="5"/>
        </w:numPr>
        <w:spacing w:after="0" w:line="240" w:lineRule="auto"/>
        <w:ind w:left="-426" w:hanging="284"/>
        <w:jc w:val="both"/>
      </w:pPr>
      <w:r w:rsidRPr="00793239">
        <w:t>Nebezpečné látky a přípravky žíravé, korozívní (pevné, kapalné nebo plynné),</w:t>
      </w:r>
    </w:p>
    <w:p w14:paraId="592C8742" w14:textId="186BBF11" w:rsidR="00C23715" w:rsidRDefault="00C23715">
      <w:pPr>
        <w:pStyle w:val="Odstavecseseznamem"/>
        <w:numPr>
          <w:ilvl w:val="0"/>
          <w:numId w:val="5"/>
        </w:numPr>
        <w:spacing w:after="0" w:line="240" w:lineRule="auto"/>
        <w:ind w:left="-426" w:hanging="284"/>
        <w:jc w:val="both"/>
      </w:pPr>
      <w:r w:rsidRPr="00793239">
        <w:t>Nebezpečné látky a přípravky, radioaktivní látky, biologické látky</w:t>
      </w:r>
      <w:r w:rsidR="000A1797">
        <w:t>.</w:t>
      </w:r>
    </w:p>
    <w:p w14:paraId="7C7F1B02" w14:textId="74A83B9F" w:rsidR="00D07589" w:rsidRPr="00793239" w:rsidRDefault="00D07589">
      <w:pPr>
        <w:pStyle w:val="Odstavecseseznamem"/>
        <w:numPr>
          <w:ilvl w:val="0"/>
          <w:numId w:val="5"/>
        </w:numPr>
        <w:spacing w:after="0" w:line="240" w:lineRule="auto"/>
        <w:ind w:left="-426" w:hanging="284"/>
        <w:jc w:val="both"/>
      </w:pPr>
      <w:r>
        <w:t>Těžké alergeny.</w:t>
      </w:r>
    </w:p>
    <w:p w14:paraId="1C4DC4B2" w14:textId="77777777" w:rsidR="00C23715" w:rsidRDefault="00C23715" w:rsidP="00A63A70">
      <w:pPr>
        <w:spacing w:after="0" w:line="240" w:lineRule="auto"/>
        <w:contextualSpacing/>
        <w:jc w:val="both"/>
        <w:rPr>
          <w:b/>
          <w:bCs/>
        </w:rPr>
      </w:pPr>
    </w:p>
    <w:p w14:paraId="6E7FB2B5" w14:textId="77777777" w:rsidR="00C23715" w:rsidRDefault="00C23715" w:rsidP="002A428B">
      <w:pPr>
        <w:spacing w:after="0" w:line="240" w:lineRule="auto"/>
        <w:ind w:left="-851"/>
        <w:contextualSpacing/>
        <w:jc w:val="both"/>
        <w:rPr>
          <w:b/>
          <w:bCs/>
        </w:rPr>
      </w:pPr>
      <w:r>
        <w:rPr>
          <w:b/>
          <w:bCs/>
        </w:rPr>
        <w:t>Nejčastější příčiny PÚ:</w:t>
      </w:r>
    </w:p>
    <w:p w14:paraId="33F7C5FC" w14:textId="77777777" w:rsidR="00C23715" w:rsidRPr="00793239" w:rsidRDefault="00C23715">
      <w:pPr>
        <w:pStyle w:val="Odstavecseseznamem"/>
        <w:numPr>
          <w:ilvl w:val="0"/>
          <w:numId w:val="5"/>
        </w:numPr>
        <w:spacing w:after="0" w:line="240" w:lineRule="auto"/>
        <w:ind w:left="-426" w:hanging="284"/>
        <w:jc w:val="both"/>
      </w:pPr>
      <w:r w:rsidRPr="00793239">
        <w:t>Špatně nebo nedostatečně odhadnuté riziko,</w:t>
      </w:r>
    </w:p>
    <w:p w14:paraId="437334AE" w14:textId="77777777" w:rsidR="00C23715" w:rsidRPr="00793239" w:rsidRDefault="00C23715">
      <w:pPr>
        <w:pStyle w:val="Odstavecseseznamem"/>
        <w:numPr>
          <w:ilvl w:val="0"/>
          <w:numId w:val="5"/>
        </w:numPr>
        <w:spacing w:after="0" w:line="240" w:lineRule="auto"/>
        <w:ind w:left="-426" w:hanging="284"/>
        <w:jc w:val="both"/>
      </w:pPr>
      <w:r w:rsidRPr="00793239">
        <w:t>Používání nebezpečných postupů nebo způsobu práce včetně jednání bez oprávnění, proti zákazu, prodlévání v ohroženém prostoru,</w:t>
      </w:r>
    </w:p>
    <w:p w14:paraId="35B8D2C6" w14:textId="77777777" w:rsidR="00C23715" w:rsidRPr="00793239" w:rsidRDefault="00C23715">
      <w:pPr>
        <w:pStyle w:val="Odstavecseseznamem"/>
        <w:numPr>
          <w:ilvl w:val="0"/>
          <w:numId w:val="5"/>
        </w:numPr>
        <w:spacing w:after="0" w:line="240" w:lineRule="auto"/>
        <w:ind w:left="-426" w:hanging="284"/>
        <w:jc w:val="both"/>
      </w:pPr>
      <w:r w:rsidRPr="00793239">
        <w:t>Vadný nebo nepříznivý stav zdroje úrazu (nikoliv pracoviště).</w:t>
      </w:r>
    </w:p>
    <w:p w14:paraId="0E7ACE6C" w14:textId="77777777" w:rsidR="00C23715" w:rsidRDefault="00C23715" w:rsidP="00A63A70">
      <w:pPr>
        <w:spacing w:after="0" w:line="240" w:lineRule="auto"/>
        <w:contextualSpacing/>
        <w:jc w:val="both"/>
        <w:rPr>
          <w:b/>
          <w:bCs/>
        </w:rPr>
      </w:pPr>
    </w:p>
    <w:tbl>
      <w:tblPr>
        <w:tblStyle w:val="Mkatabulky"/>
        <w:tblW w:w="8110" w:type="dxa"/>
        <w:tblInd w:w="-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37"/>
        <w:gridCol w:w="1813"/>
        <w:gridCol w:w="1813"/>
        <w:gridCol w:w="1847"/>
      </w:tblGrid>
      <w:tr w:rsidR="00D07589" w:rsidRPr="00F972D8" w14:paraId="0111B37D" w14:textId="5880ABD4" w:rsidTr="00D07589">
        <w:tc>
          <w:tcPr>
            <w:tcW w:w="2637" w:type="dxa"/>
            <w:shd w:val="clear" w:color="auto" w:fill="D9E2F3" w:themeFill="accent1" w:themeFillTint="33"/>
          </w:tcPr>
          <w:p w14:paraId="7BADAD84" w14:textId="77777777" w:rsidR="00D07589" w:rsidRPr="00E57BC0" w:rsidRDefault="00D07589" w:rsidP="00A63A70">
            <w:pPr>
              <w:contextualSpacing/>
              <w:jc w:val="both"/>
              <w:rPr>
                <w:b/>
                <w:bCs/>
              </w:rPr>
            </w:pPr>
            <w:r w:rsidRPr="00E57BC0">
              <w:rPr>
                <w:b/>
                <w:bCs/>
              </w:rPr>
              <w:t>Rok</w:t>
            </w:r>
          </w:p>
        </w:tc>
        <w:tc>
          <w:tcPr>
            <w:tcW w:w="1813" w:type="dxa"/>
            <w:shd w:val="clear" w:color="auto" w:fill="D9E2F3" w:themeFill="accent1" w:themeFillTint="33"/>
          </w:tcPr>
          <w:p w14:paraId="38010D0A" w14:textId="77777777" w:rsidR="00D07589" w:rsidRPr="00E57BC0" w:rsidRDefault="00D07589" w:rsidP="00A63A70">
            <w:pPr>
              <w:contextualSpacing/>
              <w:jc w:val="both"/>
              <w:rPr>
                <w:b/>
                <w:bCs/>
              </w:rPr>
            </w:pPr>
            <w:r w:rsidRPr="00E57BC0">
              <w:rPr>
                <w:b/>
                <w:bCs/>
              </w:rPr>
              <w:t>2021</w:t>
            </w:r>
          </w:p>
        </w:tc>
        <w:tc>
          <w:tcPr>
            <w:tcW w:w="1813" w:type="dxa"/>
            <w:shd w:val="clear" w:color="auto" w:fill="D9E2F3" w:themeFill="accent1" w:themeFillTint="33"/>
          </w:tcPr>
          <w:p w14:paraId="1B5E05D0" w14:textId="77777777" w:rsidR="00D07589" w:rsidRPr="00E57BC0" w:rsidRDefault="00D07589" w:rsidP="00A63A70">
            <w:pPr>
              <w:contextualSpacing/>
              <w:jc w:val="both"/>
              <w:rPr>
                <w:b/>
                <w:bCs/>
              </w:rPr>
            </w:pPr>
            <w:r w:rsidRPr="00E57BC0">
              <w:rPr>
                <w:b/>
                <w:bCs/>
              </w:rPr>
              <w:t>2022</w:t>
            </w:r>
          </w:p>
        </w:tc>
        <w:tc>
          <w:tcPr>
            <w:tcW w:w="1847" w:type="dxa"/>
            <w:shd w:val="clear" w:color="auto" w:fill="D9E2F3" w:themeFill="accent1" w:themeFillTint="33"/>
          </w:tcPr>
          <w:p w14:paraId="5B4CD47B" w14:textId="12D05427" w:rsidR="00D07589" w:rsidRPr="00E57BC0" w:rsidRDefault="00D07589" w:rsidP="00A63A70">
            <w:pPr>
              <w:contextualSpacing/>
              <w:jc w:val="both"/>
              <w:rPr>
                <w:b/>
                <w:bCs/>
              </w:rPr>
            </w:pPr>
            <w:r>
              <w:rPr>
                <w:b/>
                <w:bCs/>
              </w:rPr>
              <w:t>2023 (k 24.11.23</w:t>
            </w:r>
          </w:p>
        </w:tc>
      </w:tr>
      <w:tr w:rsidR="00D07589" w:rsidRPr="00F972D8" w14:paraId="2A67CA37" w14:textId="2D80652D" w:rsidTr="00D07589">
        <w:tc>
          <w:tcPr>
            <w:tcW w:w="2637" w:type="dxa"/>
          </w:tcPr>
          <w:p w14:paraId="1F1F7B5C" w14:textId="77777777" w:rsidR="00D07589" w:rsidRPr="00E57BC0" w:rsidRDefault="00D07589" w:rsidP="00A63A70">
            <w:pPr>
              <w:contextualSpacing/>
              <w:jc w:val="both"/>
              <w:rPr>
                <w:b/>
                <w:bCs/>
              </w:rPr>
            </w:pPr>
            <w:r>
              <w:rPr>
                <w:b/>
                <w:bCs/>
              </w:rPr>
              <w:t>Počet kontrol</w:t>
            </w:r>
          </w:p>
        </w:tc>
        <w:tc>
          <w:tcPr>
            <w:tcW w:w="1813" w:type="dxa"/>
          </w:tcPr>
          <w:p w14:paraId="5501F0A0" w14:textId="77777777" w:rsidR="00D07589" w:rsidRPr="00092849" w:rsidRDefault="00D07589" w:rsidP="00A63A70">
            <w:pPr>
              <w:contextualSpacing/>
              <w:jc w:val="both"/>
            </w:pPr>
            <w:r w:rsidRPr="00092849">
              <w:t>77</w:t>
            </w:r>
          </w:p>
        </w:tc>
        <w:tc>
          <w:tcPr>
            <w:tcW w:w="1813" w:type="dxa"/>
          </w:tcPr>
          <w:p w14:paraId="4678FBFC" w14:textId="77777777" w:rsidR="00D07589" w:rsidRPr="00092849" w:rsidRDefault="00D07589" w:rsidP="00A63A70">
            <w:pPr>
              <w:contextualSpacing/>
              <w:jc w:val="both"/>
            </w:pPr>
            <w:r w:rsidRPr="00092849">
              <w:t>148</w:t>
            </w:r>
          </w:p>
        </w:tc>
        <w:tc>
          <w:tcPr>
            <w:tcW w:w="1847" w:type="dxa"/>
          </w:tcPr>
          <w:p w14:paraId="31B637CE" w14:textId="7F779A5C" w:rsidR="00D07589" w:rsidRPr="00092849" w:rsidRDefault="00D07589" w:rsidP="00A63A70">
            <w:pPr>
              <w:contextualSpacing/>
              <w:jc w:val="both"/>
            </w:pPr>
            <w:r>
              <w:t>130</w:t>
            </w:r>
          </w:p>
        </w:tc>
      </w:tr>
      <w:tr w:rsidR="00D07589" w:rsidRPr="00F972D8" w14:paraId="34414C85" w14:textId="3687A61D" w:rsidTr="00D07589">
        <w:tc>
          <w:tcPr>
            <w:tcW w:w="2637" w:type="dxa"/>
          </w:tcPr>
          <w:p w14:paraId="6AC56763" w14:textId="77777777" w:rsidR="00D07589" w:rsidRPr="00E57BC0" w:rsidRDefault="00D07589" w:rsidP="00A63A70">
            <w:pPr>
              <w:contextualSpacing/>
              <w:jc w:val="both"/>
              <w:rPr>
                <w:b/>
                <w:bCs/>
              </w:rPr>
            </w:pPr>
            <w:r w:rsidRPr="00E57BC0">
              <w:rPr>
                <w:b/>
                <w:bCs/>
              </w:rPr>
              <w:t>Počet porušení</w:t>
            </w:r>
          </w:p>
        </w:tc>
        <w:tc>
          <w:tcPr>
            <w:tcW w:w="1813" w:type="dxa"/>
          </w:tcPr>
          <w:p w14:paraId="7BD57BA6" w14:textId="77777777" w:rsidR="00D07589" w:rsidRPr="00092849" w:rsidRDefault="00D07589" w:rsidP="00A63A70">
            <w:pPr>
              <w:contextualSpacing/>
              <w:jc w:val="both"/>
            </w:pPr>
            <w:r w:rsidRPr="00092849">
              <w:t>204</w:t>
            </w:r>
          </w:p>
        </w:tc>
        <w:tc>
          <w:tcPr>
            <w:tcW w:w="1813" w:type="dxa"/>
          </w:tcPr>
          <w:p w14:paraId="47F59AD2" w14:textId="77777777" w:rsidR="00D07589" w:rsidRPr="00092849" w:rsidRDefault="00D07589" w:rsidP="00A63A70">
            <w:pPr>
              <w:contextualSpacing/>
              <w:jc w:val="both"/>
            </w:pPr>
            <w:r w:rsidRPr="00092849">
              <w:t>285</w:t>
            </w:r>
          </w:p>
        </w:tc>
        <w:tc>
          <w:tcPr>
            <w:tcW w:w="1847" w:type="dxa"/>
          </w:tcPr>
          <w:p w14:paraId="0CFC7CEE" w14:textId="514632D6" w:rsidR="00D07589" w:rsidRPr="00092849" w:rsidRDefault="00D07589" w:rsidP="00A63A70">
            <w:pPr>
              <w:contextualSpacing/>
              <w:jc w:val="both"/>
            </w:pPr>
            <w:r>
              <w:t>324</w:t>
            </w:r>
          </w:p>
        </w:tc>
      </w:tr>
    </w:tbl>
    <w:p w14:paraId="4821692D" w14:textId="77777777" w:rsidR="00C23715" w:rsidRPr="00F972D8" w:rsidRDefault="00C23715" w:rsidP="00A63A70">
      <w:pPr>
        <w:spacing w:after="0" w:line="240" w:lineRule="auto"/>
        <w:contextualSpacing/>
        <w:jc w:val="both"/>
        <w:rPr>
          <w:b/>
          <w:bCs/>
        </w:rPr>
      </w:pPr>
    </w:p>
    <w:p w14:paraId="44CCBB8A" w14:textId="3F984EE8" w:rsidR="00C23715" w:rsidRDefault="00C23715" w:rsidP="00347B43">
      <w:pPr>
        <w:spacing w:after="0" w:line="240" w:lineRule="auto"/>
        <w:ind w:left="-709"/>
        <w:contextualSpacing/>
        <w:jc w:val="both"/>
        <w:rPr>
          <w:b/>
          <w:bCs/>
        </w:rPr>
      </w:pPr>
      <w:bookmarkStart w:id="19" w:name="_Hlk125381580"/>
      <w:r w:rsidRPr="00E57BC0">
        <w:rPr>
          <w:b/>
          <w:bCs/>
        </w:rPr>
        <w:t>Nejčastěji porušovan</w:t>
      </w:r>
      <w:r>
        <w:rPr>
          <w:b/>
          <w:bCs/>
        </w:rPr>
        <w:t>é právní</w:t>
      </w:r>
      <w:r w:rsidRPr="00E57BC0">
        <w:rPr>
          <w:b/>
          <w:bCs/>
        </w:rPr>
        <w:t xml:space="preserve"> předpis</w:t>
      </w:r>
      <w:r>
        <w:rPr>
          <w:b/>
          <w:bCs/>
        </w:rPr>
        <w:t>y</w:t>
      </w:r>
      <w:r w:rsidRPr="00E57BC0">
        <w:rPr>
          <w:b/>
          <w:bCs/>
        </w:rPr>
        <w:t>:</w:t>
      </w:r>
    </w:p>
    <w:p w14:paraId="7D436EF3" w14:textId="77777777" w:rsidR="00C23715" w:rsidRPr="00B76C2E" w:rsidRDefault="00C23715">
      <w:pPr>
        <w:pStyle w:val="Odstavecseseznamem"/>
        <w:numPr>
          <w:ilvl w:val="0"/>
          <w:numId w:val="5"/>
        </w:numPr>
        <w:tabs>
          <w:tab w:val="left" w:pos="0"/>
        </w:tabs>
        <w:spacing w:after="0" w:line="240" w:lineRule="auto"/>
        <w:ind w:left="-426" w:hanging="284"/>
        <w:jc w:val="both"/>
      </w:pPr>
      <w:r w:rsidRPr="00B76C2E">
        <w:rPr>
          <w:b/>
          <w:bCs/>
        </w:rPr>
        <w:t>zákon č. 262/2006 Sb.</w:t>
      </w:r>
      <w:r w:rsidRPr="00B76C2E">
        <w:t xml:space="preserve">, zákoník práce, ve znění pozdějších předpisů [zejména </w:t>
      </w:r>
      <w:proofErr w:type="spellStart"/>
      <w:r w:rsidRPr="00B76C2E">
        <w:t>ust</w:t>
      </w:r>
      <w:proofErr w:type="spellEnd"/>
      <w:r w:rsidRPr="00B76C2E">
        <w:t xml:space="preserve">. § 102 odst. 1; </w:t>
      </w:r>
      <w:proofErr w:type="spellStart"/>
      <w:r w:rsidRPr="00B76C2E">
        <w:t>ust</w:t>
      </w:r>
      <w:proofErr w:type="spellEnd"/>
      <w:r w:rsidRPr="00B76C2E">
        <w:t>.</w:t>
      </w:r>
      <w:r w:rsidRPr="00B76C2E">
        <w:rPr>
          <w:b/>
          <w:bCs/>
        </w:rPr>
        <w:t> </w:t>
      </w:r>
      <w:r w:rsidRPr="00B76C2E">
        <w:t xml:space="preserve">§ 102 odst. 3; </w:t>
      </w:r>
      <w:proofErr w:type="spellStart"/>
      <w:r w:rsidRPr="00B76C2E">
        <w:t>ust</w:t>
      </w:r>
      <w:proofErr w:type="spellEnd"/>
      <w:r w:rsidRPr="00B76C2E">
        <w:t>. § 103 odst. 1 písm. a)],</w:t>
      </w:r>
    </w:p>
    <w:p w14:paraId="1F046DF8" w14:textId="77777777" w:rsidR="00C23715" w:rsidRPr="00B76C2E" w:rsidRDefault="00C23715">
      <w:pPr>
        <w:pStyle w:val="Odstavecseseznamem"/>
        <w:numPr>
          <w:ilvl w:val="0"/>
          <w:numId w:val="5"/>
        </w:numPr>
        <w:tabs>
          <w:tab w:val="left" w:pos="0"/>
        </w:tabs>
        <w:spacing w:after="0" w:line="240" w:lineRule="auto"/>
        <w:ind w:left="-426" w:hanging="284"/>
        <w:jc w:val="both"/>
      </w:pPr>
      <w:r w:rsidRPr="00B76C2E">
        <w:rPr>
          <w:b/>
          <w:bCs/>
        </w:rPr>
        <w:t>zákon č. 309/2006 Sb.</w:t>
      </w:r>
      <w:r w:rsidRPr="00B76C2E">
        <w:t xml:space="preserve">,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w:t>
      </w:r>
      <w:proofErr w:type="spellStart"/>
      <w:r w:rsidRPr="00B76C2E">
        <w:t>ust</w:t>
      </w:r>
      <w:proofErr w:type="spellEnd"/>
      <w:r w:rsidRPr="00B76C2E">
        <w:t xml:space="preserve">. § 6 odst. 1; </w:t>
      </w:r>
      <w:proofErr w:type="spellStart"/>
      <w:r w:rsidRPr="00B76C2E">
        <w:t>ust</w:t>
      </w:r>
      <w:proofErr w:type="spellEnd"/>
      <w:r w:rsidRPr="00B76C2E">
        <w:t xml:space="preserve">. § 4 odst. 1 písm. c); </w:t>
      </w:r>
      <w:proofErr w:type="spellStart"/>
      <w:r w:rsidRPr="00B76C2E">
        <w:t>ust</w:t>
      </w:r>
      <w:proofErr w:type="spellEnd"/>
      <w:r w:rsidRPr="00B76C2E">
        <w:t>. § 2 odst. 1]</w:t>
      </w:r>
      <w:r>
        <w:t>,</w:t>
      </w:r>
    </w:p>
    <w:p w14:paraId="07FB8928" w14:textId="77777777" w:rsidR="00C23715" w:rsidRPr="00E619BA" w:rsidRDefault="00C23715">
      <w:pPr>
        <w:pStyle w:val="Odstavecseseznamem"/>
        <w:numPr>
          <w:ilvl w:val="0"/>
          <w:numId w:val="5"/>
        </w:numPr>
        <w:tabs>
          <w:tab w:val="left" w:pos="0"/>
        </w:tabs>
        <w:spacing w:after="0" w:line="240" w:lineRule="auto"/>
        <w:ind w:left="-426" w:hanging="284"/>
        <w:jc w:val="both"/>
      </w:pPr>
      <w:r w:rsidRPr="00B76C2E">
        <w:rPr>
          <w:b/>
          <w:bCs/>
        </w:rPr>
        <w:t>nařízení vlády č. 375/2017 Sb.</w:t>
      </w:r>
      <w:r w:rsidRPr="00B76C2E">
        <w:t>, o vzhledu, umístění a provedení bezpečnostních značek a značení a</w:t>
      </w:r>
      <w:r>
        <w:t> </w:t>
      </w:r>
      <w:r w:rsidRPr="00B76C2E">
        <w:t xml:space="preserve">zavedení signálů (zejména </w:t>
      </w:r>
      <w:proofErr w:type="spellStart"/>
      <w:r w:rsidRPr="00B76C2E">
        <w:t>ust</w:t>
      </w:r>
      <w:proofErr w:type="spellEnd"/>
      <w:r w:rsidRPr="00B76C2E">
        <w:t>. § 4 odst. 1</w:t>
      </w:r>
      <w:r>
        <w:t xml:space="preserve">; </w:t>
      </w:r>
      <w:proofErr w:type="spellStart"/>
      <w:r>
        <w:t>ust</w:t>
      </w:r>
      <w:proofErr w:type="spellEnd"/>
      <w:r>
        <w:t>. § 4 odst. 3</w:t>
      </w:r>
      <w:r w:rsidRPr="00B76C2E">
        <w:t>).</w:t>
      </w:r>
    </w:p>
    <w:bookmarkEnd w:id="19"/>
    <w:p w14:paraId="381D4D27" w14:textId="77777777" w:rsidR="00347B43" w:rsidRDefault="00347B43" w:rsidP="003612AE">
      <w:pPr>
        <w:shd w:val="clear" w:color="auto" w:fill="FFFFFF"/>
        <w:spacing w:after="0" w:line="330" w:lineRule="atLeast"/>
        <w:jc w:val="both"/>
        <w:outlineLvl w:val="2"/>
        <w:rPr>
          <w:rFonts w:eastAsia="Times New Roman" w:cstheme="minorHAnsi"/>
          <w:b/>
          <w:bCs/>
          <w:lang w:eastAsia="cs-CZ"/>
        </w:rPr>
      </w:pPr>
    </w:p>
    <w:p w14:paraId="36002D97" w14:textId="16EA5DCD" w:rsidR="003612AE" w:rsidRPr="00191FD0" w:rsidRDefault="003612AE" w:rsidP="00347B43">
      <w:pPr>
        <w:shd w:val="clear" w:color="auto" w:fill="FFFFFF"/>
        <w:spacing w:after="0" w:line="330" w:lineRule="atLeast"/>
        <w:ind w:left="-567"/>
        <w:jc w:val="both"/>
        <w:outlineLvl w:val="2"/>
        <w:rPr>
          <w:rFonts w:eastAsia="Times New Roman" w:cstheme="minorHAnsi"/>
          <w:b/>
          <w:bCs/>
          <w:lang w:eastAsia="cs-CZ"/>
        </w:rPr>
      </w:pPr>
      <w:bookmarkStart w:id="20" w:name="_Toc172709960"/>
      <w:r w:rsidRPr="00191FD0">
        <w:rPr>
          <w:rFonts w:eastAsia="Times New Roman" w:cstheme="minorHAnsi"/>
          <w:b/>
          <w:bCs/>
          <w:lang w:eastAsia="cs-CZ"/>
        </w:rPr>
        <w:t>Nejčastější rizikové faktory:</w:t>
      </w:r>
      <w:bookmarkEnd w:id="20"/>
    </w:p>
    <w:p w14:paraId="36AFEB0D" w14:textId="77777777" w:rsidR="00191FD0" w:rsidRDefault="00191FD0">
      <w:pPr>
        <w:pStyle w:val="m6524801310819632729gmail-msonospacing"/>
        <w:numPr>
          <w:ilvl w:val="0"/>
          <w:numId w:val="9"/>
        </w:numPr>
        <w:shd w:val="clear" w:color="auto" w:fill="FFFFFF"/>
        <w:spacing w:before="0" w:beforeAutospacing="0" w:after="0" w:afterAutospacing="0"/>
        <w:ind w:left="-142"/>
        <w:rPr>
          <w:rFonts w:ascii="Calibri" w:hAnsi="Calibri" w:cs="Calibri"/>
          <w:color w:val="222222"/>
          <w:sz w:val="22"/>
          <w:szCs w:val="22"/>
        </w:rPr>
      </w:pPr>
      <w:r>
        <w:rPr>
          <w:rFonts w:ascii="Calibri" w:hAnsi="Calibri" w:cs="Calibri"/>
          <w:color w:val="222222"/>
          <w:sz w:val="22"/>
          <w:szCs w:val="22"/>
        </w:rPr>
        <w:t>Nepoužívání OOPP k ochraně před riziky, vyplývajícími z prováděných prací.</w:t>
      </w:r>
    </w:p>
    <w:p w14:paraId="15D9335B" w14:textId="77777777" w:rsidR="00191FD0" w:rsidRDefault="00191FD0">
      <w:pPr>
        <w:pStyle w:val="m6524801310819632729gmail-msonospacing"/>
        <w:numPr>
          <w:ilvl w:val="0"/>
          <w:numId w:val="9"/>
        </w:numPr>
        <w:shd w:val="clear" w:color="auto" w:fill="FFFFFF"/>
        <w:spacing w:before="0" w:beforeAutospacing="0" w:after="0" w:afterAutospacing="0"/>
        <w:ind w:left="-142"/>
        <w:rPr>
          <w:rFonts w:ascii="Calibri" w:hAnsi="Calibri" w:cs="Calibri"/>
          <w:color w:val="222222"/>
          <w:sz w:val="22"/>
          <w:szCs w:val="22"/>
        </w:rPr>
      </w:pPr>
      <w:r>
        <w:rPr>
          <w:rFonts w:ascii="Calibri" w:hAnsi="Calibri" w:cs="Calibri"/>
          <w:color w:val="222222"/>
          <w:sz w:val="22"/>
          <w:szCs w:val="22"/>
        </w:rPr>
        <w:t>Nebezpečné interakce mezi NCHLS při jejich společném skladování.</w:t>
      </w:r>
    </w:p>
    <w:p w14:paraId="4893F789" w14:textId="77777777" w:rsidR="00191FD0" w:rsidRDefault="00191FD0">
      <w:pPr>
        <w:pStyle w:val="m6524801310819632729gmail-msonospacing"/>
        <w:numPr>
          <w:ilvl w:val="0"/>
          <w:numId w:val="9"/>
        </w:numPr>
        <w:shd w:val="clear" w:color="auto" w:fill="FFFFFF"/>
        <w:spacing w:before="0" w:beforeAutospacing="0" w:after="0" w:afterAutospacing="0"/>
        <w:ind w:left="-142"/>
        <w:rPr>
          <w:rFonts w:ascii="Calibri" w:hAnsi="Calibri" w:cs="Calibri"/>
          <w:color w:val="222222"/>
          <w:sz w:val="22"/>
          <w:szCs w:val="22"/>
        </w:rPr>
      </w:pPr>
      <w:r>
        <w:rPr>
          <w:rFonts w:ascii="Calibri" w:hAnsi="Calibri" w:cs="Calibri"/>
          <w:color w:val="222222"/>
          <w:sz w:val="22"/>
          <w:szCs w:val="22"/>
        </w:rPr>
        <w:t>Rizika kontaktu s tekutinami nebo rozstříknutou kapalinou (žíraviny, oxidující látky).</w:t>
      </w:r>
    </w:p>
    <w:p w14:paraId="6C242A7F" w14:textId="2CD2DDC2" w:rsidR="00191FD0" w:rsidRPr="00191FD0" w:rsidRDefault="00191FD0">
      <w:pPr>
        <w:pStyle w:val="m6524801310819632729gmail-msonospacing"/>
        <w:numPr>
          <w:ilvl w:val="0"/>
          <w:numId w:val="9"/>
        </w:numPr>
        <w:shd w:val="clear" w:color="auto" w:fill="FFFFFF"/>
        <w:spacing w:before="0" w:beforeAutospacing="0" w:after="0" w:afterAutospacing="0"/>
        <w:ind w:left="-142"/>
        <w:rPr>
          <w:rFonts w:ascii="Calibri" w:hAnsi="Calibri" w:cs="Calibri"/>
          <w:color w:val="222222"/>
          <w:sz w:val="22"/>
          <w:szCs w:val="22"/>
        </w:rPr>
      </w:pPr>
      <w:r w:rsidRPr="00191FD0">
        <w:rPr>
          <w:rFonts w:ascii="Calibri" w:hAnsi="Calibri" w:cs="Calibri"/>
          <w:color w:val="222222"/>
          <w:sz w:val="22"/>
          <w:szCs w:val="22"/>
        </w:rPr>
        <w:t xml:space="preserve">Riziko ohně nebo exploze. </w:t>
      </w:r>
      <w:r>
        <w:rPr>
          <w:rFonts w:ascii="Calibri" w:hAnsi="Calibri" w:cs="Calibri"/>
          <w:color w:val="222222"/>
          <w:sz w:val="22"/>
          <w:szCs w:val="22"/>
        </w:rPr>
        <w:t>K</w:t>
      </w:r>
      <w:r w:rsidRPr="00191FD0">
        <w:rPr>
          <w:rFonts w:ascii="Calibri" w:hAnsi="Calibri" w:cs="Calibri"/>
          <w:color w:val="222222"/>
          <w:sz w:val="22"/>
          <w:szCs w:val="22"/>
        </w:rPr>
        <w:t>ouře, plyny, dýmy, mlhy.</w:t>
      </w:r>
    </w:p>
    <w:p w14:paraId="427F4DA3" w14:textId="77777777" w:rsidR="00191FD0" w:rsidRDefault="00191FD0">
      <w:pPr>
        <w:pStyle w:val="m6524801310819632729gmail-msonospacing"/>
        <w:numPr>
          <w:ilvl w:val="0"/>
          <w:numId w:val="9"/>
        </w:numPr>
        <w:shd w:val="clear" w:color="auto" w:fill="FFFFFF"/>
        <w:spacing w:before="0" w:beforeAutospacing="0" w:after="0" w:afterAutospacing="0"/>
        <w:ind w:left="-142"/>
        <w:rPr>
          <w:rFonts w:ascii="Calibri" w:hAnsi="Calibri" w:cs="Calibri"/>
          <w:color w:val="222222"/>
          <w:sz w:val="22"/>
          <w:szCs w:val="22"/>
        </w:rPr>
      </w:pPr>
      <w:r>
        <w:rPr>
          <w:rFonts w:ascii="Calibri" w:hAnsi="Calibri" w:cs="Calibri"/>
          <w:color w:val="222222"/>
          <w:sz w:val="22"/>
          <w:szCs w:val="22"/>
        </w:rPr>
        <w:t>Nedodržování bezpečných pracovních postupů, stanovených zákazů práce a zákazu vstupu do ohroženého prostoru (včetně nezajištění pracovního prostoru před vstupem nepovolaných osob).</w:t>
      </w:r>
    </w:p>
    <w:p w14:paraId="28D237AA" w14:textId="77777777" w:rsidR="00191FD0" w:rsidRDefault="00191FD0">
      <w:pPr>
        <w:pStyle w:val="m6524801310819632729gmail-msonospacing"/>
        <w:numPr>
          <w:ilvl w:val="0"/>
          <w:numId w:val="9"/>
        </w:numPr>
        <w:shd w:val="clear" w:color="auto" w:fill="FFFFFF"/>
        <w:spacing w:before="0" w:beforeAutospacing="0" w:after="0" w:afterAutospacing="0"/>
        <w:ind w:left="-142"/>
        <w:rPr>
          <w:rFonts w:ascii="Calibri" w:hAnsi="Calibri" w:cs="Calibri"/>
          <w:color w:val="222222"/>
          <w:sz w:val="22"/>
          <w:szCs w:val="22"/>
        </w:rPr>
      </w:pPr>
      <w:r>
        <w:rPr>
          <w:rFonts w:ascii="Calibri" w:hAnsi="Calibri" w:cs="Calibri"/>
          <w:color w:val="222222"/>
          <w:sz w:val="22"/>
          <w:szCs w:val="22"/>
        </w:rPr>
        <w:t>Nedostatečná kvalifikace a zdravotní nezpůsobilost k prováděné práci. </w:t>
      </w:r>
    </w:p>
    <w:p w14:paraId="6DD6DA1C" w14:textId="1708B648" w:rsidR="00191FD0" w:rsidRPr="00515994" w:rsidRDefault="00191FD0">
      <w:pPr>
        <w:pStyle w:val="m6524801310819632729gmail-msonospacing"/>
        <w:numPr>
          <w:ilvl w:val="0"/>
          <w:numId w:val="9"/>
        </w:numPr>
        <w:shd w:val="clear" w:color="auto" w:fill="FFFFFF"/>
        <w:spacing w:before="0" w:beforeAutospacing="0" w:after="0" w:afterAutospacing="0"/>
        <w:ind w:left="-142"/>
        <w:rPr>
          <w:rFonts w:ascii="Calibri" w:hAnsi="Calibri" w:cs="Calibri"/>
          <w:color w:val="222222"/>
          <w:sz w:val="22"/>
          <w:szCs w:val="22"/>
        </w:rPr>
      </w:pPr>
      <w:r>
        <w:rPr>
          <w:rFonts w:ascii="Calibri" w:hAnsi="Calibri" w:cs="Calibri"/>
          <w:color w:val="222222"/>
          <w:sz w:val="22"/>
          <w:szCs w:val="22"/>
        </w:rPr>
        <w:t>Práce zaměstnanců několika zaměstnavatelů na jednom pracovišti, bez zajištění koordinace jimi prováděných činností.</w:t>
      </w:r>
    </w:p>
    <w:p w14:paraId="5F4B0711" w14:textId="77777777" w:rsidR="00484B81" w:rsidRDefault="00484B81" w:rsidP="00191FD0">
      <w:pPr>
        <w:pStyle w:val="m6524801310819632729gmail-msonospacing"/>
        <w:shd w:val="clear" w:color="auto" w:fill="FFFFFF"/>
        <w:rPr>
          <w:rFonts w:ascii="Calibri" w:hAnsi="Calibri" w:cs="Calibri"/>
          <w:color w:val="222222"/>
          <w:sz w:val="22"/>
          <w:szCs w:val="22"/>
        </w:rPr>
      </w:pPr>
    </w:p>
    <w:p w14:paraId="0D245E1B" w14:textId="454C2EF4" w:rsidR="00C23715" w:rsidRPr="00011136" w:rsidRDefault="00C23715" w:rsidP="00EC3AA0">
      <w:pPr>
        <w:pStyle w:val="Nadpis2"/>
        <w:numPr>
          <w:ilvl w:val="0"/>
          <w:numId w:val="22"/>
        </w:numPr>
      </w:pPr>
      <w:bookmarkStart w:id="21" w:name="_Toc172709961"/>
      <w:bookmarkStart w:id="22" w:name="_Toc172710070"/>
      <w:r w:rsidRPr="00011136">
        <w:t xml:space="preserve">Prevence rizik </w:t>
      </w:r>
      <w:r w:rsidR="00140DAE" w:rsidRPr="00011136">
        <w:t>v dopravě</w:t>
      </w:r>
      <w:bookmarkEnd w:id="21"/>
      <w:bookmarkEnd w:id="22"/>
      <w:r w:rsidR="00140DAE" w:rsidRPr="00011136">
        <w:t xml:space="preserve"> </w:t>
      </w:r>
    </w:p>
    <w:p w14:paraId="24869EC6" w14:textId="77777777" w:rsidR="00B255FB" w:rsidRPr="00011136" w:rsidRDefault="00B255FB" w:rsidP="00B255FB">
      <w:pPr>
        <w:pStyle w:val="Odstavecseseznamem"/>
        <w:spacing w:after="0"/>
        <w:ind w:right="-992"/>
        <w:jc w:val="both"/>
        <w:rPr>
          <w:b/>
          <w:bCs/>
          <w:sz w:val="24"/>
          <w:szCs w:val="24"/>
          <w:u w:val="single"/>
        </w:rPr>
      </w:pPr>
    </w:p>
    <w:p w14:paraId="473ADF84" w14:textId="3E9D1811" w:rsidR="00C23715" w:rsidRDefault="00140DAE" w:rsidP="00347B43">
      <w:pPr>
        <w:spacing w:after="0"/>
        <w:ind w:left="-993" w:right="141"/>
        <w:jc w:val="both"/>
        <w:rPr>
          <w:rFonts w:ascii="Calibri" w:hAnsi="Calibri" w:cs="Calibri"/>
          <w:color w:val="09161F"/>
          <w:shd w:val="clear" w:color="auto" w:fill="FFFFFF"/>
        </w:rPr>
      </w:pPr>
      <w:r>
        <w:rPr>
          <w:rFonts w:ascii="Calibri" w:hAnsi="Calibri" w:cs="Calibri"/>
          <w:color w:val="09161F"/>
          <w:shd w:val="clear" w:color="auto" w:fill="FFFFFF"/>
        </w:rPr>
        <w:t xml:space="preserve">Doprava a logistika patří k vysoce rizikovým profesím. </w:t>
      </w:r>
      <w:r w:rsidR="008F2F13">
        <w:rPr>
          <w:rFonts w:ascii="Calibri" w:hAnsi="Calibri" w:cs="Calibri"/>
          <w:color w:val="09161F"/>
          <w:shd w:val="clear" w:color="auto" w:fill="FFFFFF"/>
        </w:rPr>
        <w:t xml:space="preserve">Nejen při </w:t>
      </w:r>
      <w:r w:rsidR="008F2F13" w:rsidRPr="003F5188">
        <w:rPr>
          <w:rFonts w:ascii="Calibri" w:hAnsi="Calibri" w:cs="Calibri"/>
          <w:color w:val="09161F"/>
          <w:shd w:val="clear" w:color="auto" w:fill="FFFFFF"/>
        </w:rPr>
        <w:t>vykládce</w:t>
      </w:r>
      <w:r w:rsidR="008F2F13">
        <w:rPr>
          <w:rFonts w:ascii="Calibri" w:hAnsi="Calibri" w:cs="Calibri"/>
          <w:color w:val="09161F"/>
          <w:shd w:val="clear" w:color="auto" w:fill="FFFFFF"/>
        </w:rPr>
        <w:t xml:space="preserve"> a nakládce</w:t>
      </w:r>
      <w:r w:rsidR="00C23715" w:rsidRPr="003F5188">
        <w:rPr>
          <w:rFonts w:ascii="Calibri" w:hAnsi="Calibri" w:cs="Calibri"/>
          <w:color w:val="09161F"/>
          <w:shd w:val="clear" w:color="auto" w:fill="FFFFFF"/>
        </w:rPr>
        <w:t xml:space="preserve"> nákladních vozidel dochází ke vzniku mnoha nebezpečných situací, které nezřídka vedou k nehodám či těžkým úrazům. Jedná se o činnosti, při nichž se s materiálem manipuluje jak pomocí strojní mechanizace, tak nezřídka i ručně nebo pomocí jednoduchých manipulačních prostředků. To s sebou nese jak řadu rizikových momentů, tak vyvolává značnou fyzickou zátěž zaměstnanců včetně zaujímání nepřijatelných pracovních poloh. I přes svou závažnost není tato problematika řešena žádným zvláštním právním předpisem.</w:t>
      </w:r>
      <w:r w:rsidR="008F2F13">
        <w:rPr>
          <w:rFonts w:ascii="Calibri" w:hAnsi="Calibri" w:cs="Calibri"/>
          <w:color w:val="09161F"/>
          <w:shd w:val="clear" w:color="auto" w:fill="FFFFFF"/>
        </w:rPr>
        <w:t xml:space="preserve"> Na pracovních úkonech a na pracovištích se </w:t>
      </w:r>
      <w:r w:rsidR="00D96C89">
        <w:rPr>
          <w:rFonts w:ascii="Calibri" w:hAnsi="Calibri" w:cs="Calibri"/>
          <w:color w:val="09161F"/>
          <w:shd w:val="clear" w:color="auto" w:fill="FFFFFF"/>
        </w:rPr>
        <w:t>v tomto odvětví střídá</w:t>
      </w:r>
      <w:r w:rsidR="008F2F13">
        <w:rPr>
          <w:rFonts w:ascii="Calibri" w:hAnsi="Calibri" w:cs="Calibri"/>
          <w:color w:val="09161F"/>
          <w:shd w:val="clear" w:color="auto" w:fill="FFFFFF"/>
        </w:rPr>
        <w:t xml:space="preserve"> více právních </w:t>
      </w:r>
      <w:r w:rsidR="001663D7">
        <w:rPr>
          <w:rFonts w:ascii="Calibri" w:hAnsi="Calibri" w:cs="Calibri"/>
          <w:color w:val="09161F"/>
          <w:shd w:val="clear" w:color="auto" w:fill="FFFFFF"/>
        </w:rPr>
        <w:t>subjektů,</w:t>
      </w:r>
      <w:r w:rsidR="00F9515D">
        <w:rPr>
          <w:rFonts w:ascii="Calibri" w:hAnsi="Calibri" w:cs="Calibri"/>
          <w:color w:val="09161F"/>
          <w:shd w:val="clear" w:color="auto" w:fill="FFFFFF"/>
        </w:rPr>
        <w:t xml:space="preserve"> a ne vždy je řádně zabezpečena </w:t>
      </w:r>
      <w:r w:rsidR="008F2F13">
        <w:rPr>
          <w:rFonts w:ascii="Calibri" w:hAnsi="Calibri" w:cs="Calibri"/>
          <w:color w:val="09161F"/>
          <w:shd w:val="clear" w:color="auto" w:fill="FFFFFF"/>
        </w:rPr>
        <w:t>koordina</w:t>
      </w:r>
      <w:r w:rsidR="00F9515D">
        <w:rPr>
          <w:rFonts w:ascii="Calibri" w:hAnsi="Calibri" w:cs="Calibri"/>
          <w:color w:val="09161F"/>
          <w:shd w:val="clear" w:color="auto" w:fill="FFFFFF"/>
        </w:rPr>
        <w:t xml:space="preserve">ce jejich </w:t>
      </w:r>
      <w:r w:rsidR="008F2F13">
        <w:rPr>
          <w:rFonts w:ascii="Calibri" w:hAnsi="Calibri" w:cs="Calibri"/>
          <w:color w:val="09161F"/>
          <w:shd w:val="clear" w:color="auto" w:fill="FFFFFF"/>
        </w:rPr>
        <w:t>činnost</w:t>
      </w:r>
      <w:r w:rsidR="00F9515D">
        <w:rPr>
          <w:rFonts w:ascii="Calibri" w:hAnsi="Calibri" w:cs="Calibri"/>
          <w:color w:val="09161F"/>
          <w:shd w:val="clear" w:color="auto" w:fill="FFFFFF"/>
        </w:rPr>
        <w:t>í</w:t>
      </w:r>
      <w:r w:rsidR="008F2F13">
        <w:rPr>
          <w:rFonts w:ascii="Calibri" w:hAnsi="Calibri" w:cs="Calibri"/>
          <w:color w:val="09161F"/>
          <w:shd w:val="clear" w:color="auto" w:fill="FFFFFF"/>
        </w:rPr>
        <w:t>.</w:t>
      </w:r>
    </w:p>
    <w:tbl>
      <w:tblPr>
        <w:tblStyle w:val="Mkatabulky"/>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67"/>
        <w:gridCol w:w="2261"/>
        <w:gridCol w:w="2261"/>
        <w:gridCol w:w="2261"/>
      </w:tblGrid>
      <w:tr w:rsidR="00C23715" w:rsidRPr="00D63C2E" w14:paraId="24FA70E7" w14:textId="77777777" w:rsidTr="00347B43">
        <w:tc>
          <w:tcPr>
            <w:tcW w:w="3267" w:type="dxa"/>
            <w:shd w:val="clear" w:color="auto" w:fill="D9E2F3" w:themeFill="accent1" w:themeFillTint="33"/>
          </w:tcPr>
          <w:p w14:paraId="20E916E3" w14:textId="77777777" w:rsidR="00C23715" w:rsidRPr="00E57BC0" w:rsidRDefault="00C23715" w:rsidP="00A63A70">
            <w:pPr>
              <w:contextualSpacing/>
              <w:jc w:val="both"/>
              <w:rPr>
                <w:b/>
                <w:bCs/>
              </w:rPr>
            </w:pPr>
            <w:r>
              <w:rPr>
                <w:b/>
                <w:bCs/>
              </w:rPr>
              <w:t>Druh PÚ nakládka/vykládka</w:t>
            </w:r>
          </w:p>
        </w:tc>
        <w:tc>
          <w:tcPr>
            <w:tcW w:w="2261" w:type="dxa"/>
            <w:shd w:val="clear" w:color="auto" w:fill="D9E2F3" w:themeFill="accent1" w:themeFillTint="33"/>
          </w:tcPr>
          <w:p w14:paraId="291FB5CB" w14:textId="77777777" w:rsidR="00C23715" w:rsidRPr="00E57BC0" w:rsidRDefault="00C23715" w:rsidP="00A63A70">
            <w:pPr>
              <w:contextualSpacing/>
              <w:jc w:val="both"/>
              <w:rPr>
                <w:b/>
                <w:bCs/>
              </w:rPr>
            </w:pPr>
            <w:r>
              <w:rPr>
                <w:b/>
                <w:bCs/>
              </w:rPr>
              <w:t>Smrtelný</w:t>
            </w:r>
          </w:p>
        </w:tc>
        <w:tc>
          <w:tcPr>
            <w:tcW w:w="2261" w:type="dxa"/>
            <w:shd w:val="clear" w:color="auto" w:fill="D9E2F3" w:themeFill="accent1" w:themeFillTint="33"/>
          </w:tcPr>
          <w:p w14:paraId="408DF07B" w14:textId="77777777" w:rsidR="00C23715" w:rsidRPr="00E57BC0" w:rsidRDefault="00C23715" w:rsidP="00A63A70">
            <w:pPr>
              <w:contextualSpacing/>
              <w:jc w:val="both"/>
              <w:rPr>
                <w:b/>
                <w:bCs/>
              </w:rPr>
            </w:pPr>
            <w:r>
              <w:rPr>
                <w:b/>
                <w:bCs/>
              </w:rPr>
              <w:t>Závažný</w:t>
            </w:r>
          </w:p>
        </w:tc>
        <w:tc>
          <w:tcPr>
            <w:tcW w:w="2261" w:type="dxa"/>
            <w:shd w:val="clear" w:color="auto" w:fill="D9E2F3" w:themeFill="accent1" w:themeFillTint="33"/>
          </w:tcPr>
          <w:p w14:paraId="204F8051" w14:textId="77777777" w:rsidR="00C23715" w:rsidRPr="00E57BC0" w:rsidRDefault="00C23715" w:rsidP="00A63A70">
            <w:pPr>
              <w:contextualSpacing/>
              <w:jc w:val="both"/>
              <w:rPr>
                <w:b/>
                <w:bCs/>
              </w:rPr>
            </w:pPr>
            <w:r>
              <w:rPr>
                <w:b/>
                <w:bCs/>
              </w:rPr>
              <w:t>Ostatní</w:t>
            </w:r>
          </w:p>
        </w:tc>
      </w:tr>
      <w:tr w:rsidR="00C23715" w:rsidRPr="00D63C2E" w14:paraId="0B30B116" w14:textId="77777777" w:rsidTr="00347B43">
        <w:tc>
          <w:tcPr>
            <w:tcW w:w="3267" w:type="dxa"/>
            <w:tcBorders>
              <w:bottom w:val="single" w:sz="12" w:space="0" w:color="auto"/>
            </w:tcBorders>
          </w:tcPr>
          <w:p w14:paraId="3E04AA7A" w14:textId="77777777" w:rsidR="00C23715" w:rsidRDefault="00C23715" w:rsidP="00A63A70">
            <w:pPr>
              <w:contextualSpacing/>
              <w:jc w:val="both"/>
              <w:rPr>
                <w:b/>
                <w:bCs/>
              </w:rPr>
            </w:pPr>
            <w:r>
              <w:rPr>
                <w:b/>
                <w:bCs/>
              </w:rPr>
              <w:t>Rok 2021</w:t>
            </w:r>
          </w:p>
        </w:tc>
        <w:tc>
          <w:tcPr>
            <w:tcW w:w="2261" w:type="dxa"/>
            <w:tcBorders>
              <w:bottom w:val="single" w:sz="12" w:space="0" w:color="auto"/>
            </w:tcBorders>
            <w:vAlign w:val="bottom"/>
          </w:tcPr>
          <w:p w14:paraId="540CDB8B" w14:textId="77777777" w:rsidR="00C23715" w:rsidRPr="00D63C2E" w:rsidRDefault="00C23715" w:rsidP="00A63A70">
            <w:pPr>
              <w:contextualSpacing/>
              <w:jc w:val="both"/>
            </w:pPr>
            <w:r w:rsidRPr="00D63C2E">
              <w:t>10</w:t>
            </w:r>
          </w:p>
        </w:tc>
        <w:tc>
          <w:tcPr>
            <w:tcW w:w="2261" w:type="dxa"/>
            <w:tcBorders>
              <w:bottom w:val="single" w:sz="12" w:space="0" w:color="auto"/>
            </w:tcBorders>
            <w:vAlign w:val="bottom"/>
          </w:tcPr>
          <w:p w14:paraId="0C4F3971" w14:textId="77777777" w:rsidR="00C23715" w:rsidRPr="00D63C2E" w:rsidRDefault="00C23715" w:rsidP="00A63A70">
            <w:pPr>
              <w:contextualSpacing/>
              <w:jc w:val="both"/>
            </w:pPr>
            <w:r w:rsidRPr="00D63C2E">
              <w:t>85</w:t>
            </w:r>
          </w:p>
        </w:tc>
        <w:tc>
          <w:tcPr>
            <w:tcW w:w="2261" w:type="dxa"/>
            <w:tcBorders>
              <w:bottom w:val="single" w:sz="12" w:space="0" w:color="auto"/>
            </w:tcBorders>
            <w:vAlign w:val="bottom"/>
          </w:tcPr>
          <w:p w14:paraId="565B64A3" w14:textId="77777777" w:rsidR="00C23715" w:rsidRPr="00D63C2E" w:rsidRDefault="00C23715" w:rsidP="00A63A70">
            <w:pPr>
              <w:contextualSpacing/>
              <w:jc w:val="both"/>
            </w:pPr>
            <w:r w:rsidRPr="00D63C2E">
              <w:t>3 808</w:t>
            </w:r>
          </w:p>
        </w:tc>
      </w:tr>
      <w:tr w:rsidR="00C23715" w:rsidRPr="00D63C2E" w14:paraId="022E9F77" w14:textId="77777777" w:rsidTr="00347B43">
        <w:tc>
          <w:tcPr>
            <w:tcW w:w="3267" w:type="dxa"/>
          </w:tcPr>
          <w:p w14:paraId="660653BC" w14:textId="77777777" w:rsidR="00C23715" w:rsidRDefault="00C23715" w:rsidP="00A63A70">
            <w:pPr>
              <w:contextualSpacing/>
              <w:jc w:val="both"/>
              <w:rPr>
                <w:b/>
                <w:bCs/>
              </w:rPr>
            </w:pPr>
            <w:r>
              <w:rPr>
                <w:b/>
                <w:bCs/>
              </w:rPr>
              <w:t>Rok 2022</w:t>
            </w:r>
          </w:p>
        </w:tc>
        <w:tc>
          <w:tcPr>
            <w:tcW w:w="2261" w:type="dxa"/>
            <w:vAlign w:val="bottom"/>
          </w:tcPr>
          <w:p w14:paraId="1BC73CB9" w14:textId="77777777" w:rsidR="00C23715" w:rsidRPr="00D63C2E" w:rsidRDefault="00C23715" w:rsidP="00A63A70">
            <w:pPr>
              <w:contextualSpacing/>
              <w:jc w:val="both"/>
            </w:pPr>
            <w:r w:rsidRPr="00D63C2E">
              <w:t>12</w:t>
            </w:r>
          </w:p>
        </w:tc>
        <w:tc>
          <w:tcPr>
            <w:tcW w:w="2261" w:type="dxa"/>
            <w:vAlign w:val="bottom"/>
          </w:tcPr>
          <w:p w14:paraId="45714E7D" w14:textId="77777777" w:rsidR="00C23715" w:rsidRPr="00D63C2E" w:rsidRDefault="00C23715" w:rsidP="00A63A70">
            <w:pPr>
              <w:contextualSpacing/>
              <w:jc w:val="both"/>
            </w:pPr>
            <w:r w:rsidRPr="00D63C2E">
              <w:t>80</w:t>
            </w:r>
          </w:p>
        </w:tc>
        <w:tc>
          <w:tcPr>
            <w:tcW w:w="2261" w:type="dxa"/>
            <w:vAlign w:val="bottom"/>
          </w:tcPr>
          <w:p w14:paraId="26DCDD9D" w14:textId="77777777" w:rsidR="00C23715" w:rsidRPr="00D63C2E" w:rsidRDefault="00C23715" w:rsidP="00A63A70">
            <w:pPr>
              <w:contextualSpacing/>
              <w:jc w:val="both"/>
            </w:pPr>
            <w:r w:rsidRPr="00D63C2E">
              <w:t>3 253</w:t>
            </w:r>
          </w:p>
        </w:tc>
      </w:tr>
      <w:tr w:rsidR="00AC1719" w:rsidRPr="00D63C2E" w14:paraId="5AB1506C" w14:textId="77777777" w:rsidTr="00347B43">
        <w:tc>
          <w:tcPr>
            <w:tcW w:w="3267" w:type="dxa"/>
          </w:tcPr>
          <w:p w14:paraId="08C8210B" w14:textId="5F672164" w:rsidR="00AC1719" w:rsidRDefault="00AC1719" w:rsidP="00A63A70">
            <w:pPr>
              <w:contextualSpacing/>
              <w:jc w:val="both"/>
              <w:rPr>
                <w:b/>
                <w:bCs/>
              </w:rPr>
            </w:pPr>
            <w:r w:rsidRPr="00130E97">
              <w:rPr>
                <w:b/>
                <w:bCs/>
              </w:rPr>
              <w:t>Rok 2023 (k 24.11.23)</w:t>
            </w:r>
          </w:p>
        </w:tc>
        <w:tc>
          <w:tcPr>
            <w:tcW w:w="2261" w:type="dxa"/>
            <w:vAlign w:val="bottom"/>
          </w:tcPr>
          <w:p w14:paraId="00A850EE" w14:textId="46704FC8" w:rsidR="00AC1719" w:rsidRPr="00D63C2E" w:rsidRDefault="00AC1719" w:rsidP="00A63A70">
            <w:pPr>
              <w:contextualSpacing/>
              <w:jc w:val="both"/>
            </w:pPr>
            <w:r>
              <w:t>10</w:t>
            </w:r>
          </w:p>
        </w:tc>
        <w:tc>
          <w:tcPr>
            <w:tcW w:w="2261" w:type="dxa"/>
            <w:vAlign w:val="bottom"/>
          </w:tcPr>
          <w:p w14:paraId="54357B33" w14:textId="00B10FEA" w:rsidR="00AC1719" w:rsidRPr="00D63C2E" w:rsidRDefault="00AC1719" w:rsidP="00A63A70">
            <w:pPr>
              <w:contextualSpacing/>
              <w:jc w:val="both"/>
            </w:pPr>
            <w:r>
              <w:t>83</w:t>
            </w:r>
          </w:p>
        </w:tc>
        <w:tc>
          <w:tcPr>
            <w:tcW w:w="2261" w:type="dxa"/>
            <w:vAlign w:val="bottom"/>
          </w:tcPr>
          <w:p w14:paraId="22C42AF9" w14:textId="3DAFDFF4" w:rsidR="00AC1719" w:rsidRPr="00D63C2E" w:rsidRDefault="00AC1719" w:rsidP="00A63A70">
            <w:pPr>
              <w:contextualSpacing/>
              <w:jc w:val="both"/>
            </w:pPr>
            <w:r>
              <w:t>2 565</w:t>
            </w:r>
          </w:p>
        </w:tc>
      </w:tr>
    </w:tbl>
    <w:p w14:paraId="3DC6CEF3" w14:textId="77777777" w:rsidR="00C23715" w:rsidRDefault="00C23715" w:rsidP="00347B43">
      <w:pPr>
        <w:spacing w:after="0" w:line="240" w:lineRule="auto"/>
        <w:ind w:left="-993"/>
        <w:contextualSpacing/>
        <w:jc w:val="both"/>
        <w:rPr>
          <w:b/>
          <w:bCs/>
        </w:rPr>
      </w:pPr>
      <w:r>
        <w:rPr>
          <w:b/>
          <w:bCs/>
        </w:rPr>
        <w:t>Nejčastější zdroje PÚ:</w:t>
      </w:r>
    </w:p>
    <w:p w14:paraId="0EFE17CC" w14:textId="65A51FFE" w:rsidR="00C23715" w:rsidRPr="00D63C2E" w:rsidRDefault="00C23715">
      <w:pPr>
        <w:pStyle w:val="Odstavecseseznamem"/>
        <w:numPr>
          <w:ilvl w:val="0"/>
          <w:numId w:val="5"/>
        </w:numPr>
        <w:spacing w:after="0" w:line="240" w:lineRule="auto"/>
        <w:ind w:left="-567" w:hanging="284"/>
        <w:jc w:val="both"/>
      </w:pPr>
      <w:r w:rsidRPr="00D63C2E">
        <w:t>Materiály, předměty, výrobky, součásti, strojů a vozidel, úlomky, prach</w:t>
      </w:r>
      <w:r w:rsidR="000A1797">
        <w:t>,</w:t>
      </w:r>
    </w:p>
    <w:p w14:paraId="44E3A694" w14:textId="679A4DD9" w:rsidR="00C23715" w:rsidRPr="00D96C89" w:rsidRDefault="00C23715">
      <w:pPr>
        <w:pStyle w:val="Odstavecseseznamem"/>
        <w:numPr>
          <w:ilvl w:val="0"/>
          <w:numId w:val="5"/>
        </w:numPr>
        <w:spacing w:after="0" w:line="240" w:lineRule="auto"/>
        <w:ind w:left="-567" w:hanging="284"/>
        <w:jc w:val="both"/>
      </w:pPr>
      <w:r w:rsidRPr="00D96C89">
        <w:t>Budovy, konstrukce, povrchy nad úrovní země (uvnitř i vně)</w:t>
      </w:r>
      <w:r w:rsidR="000A1797">
        <w:t>,</w:t>
      </w:r>
    </w:p>
    <w:p w14:paraId="6C7A61D1" w14:textId="4FCF10BF" w:rsidR="00C23715" w:rsidRPr="00D63C2E" w:rsidRDefault="00C23715">
      <w:pPr>
        <w:pStyle w:val="Odstavecseseznamem"/>
        <w:numPr>
          <w:ilvl w:val="0"/>
          <w:numId w:val="5"/>
        </w:numPr>
        <w:spacing w:after="0" w:line="240" w:lineRule="auto"/>
        <w:ind w:left="-567" w:hanging="284"/>
        <w:jc w:val="both"/>
      </w:pPr>
      <w:r w:rsidRPr="00D96C89">
        <w:t>Budovy, stavební konstrukce, povrchy</w:t>
      </w:r>
      <w:r w:rsidRPr="00D63C2E">
        <w:t xml:space="preserve"> – v úrovni země (uvnitř i vně, pevné či mobilní, dočasné nebo trvalé)</w:t>
      </w:r>
      <w:r w:rsidR="000A1797">
        <w:t>.</w:t>
      </w:r>
    </w:p>
    <w:p w14:paraId="2E0777E7" w14:textId="77777777" w:rsidR="00C23715" w:rsidRPr="00D63C2E" w:rsidRDefault="00C23715" w:rsidP="00A63A70">
      <w:pPr>
        <w:spacing w:after="0" w:line="240" w:lineRule="auto"/>
        <w:contextualSpacing/>
        <w:jc w:val="both"/>
        <w:rPr>
          <w:b/>
          <w:bCs/>
        </w:rPr>
      </w:pPr>
    </w:p>
    <w:p w14:paraId="6F8F9ED3" w14:textId="77777777" w:rsidR="00C23715" w:rsidRDefault="00C23715" w:rsidP="00347B43">
      <w:pPr>
        <w:spacing w:after="0" w:line="240" w:lineRule="auto"/>
        <w:ind w:left="-993"/>
        <w:contextualSpacing/>
        <w:jc w:val="both"/>
        <w:rPr>
          <w:b/>
          <w:bCs/>
        </w:rPr>
      </w:pPr>
      <w:r>
        <w:rPr>
          <w:b/>
          <w:bCs/>
        </w:rPr>
        <w:t>Nejčastější příčiny PÚ:</w:t>
      </w:r>
    </w:p>
    <w:p w14:paraId="73CCF08C" w14:textId="77777777" w:rsidR="00C23715" w:rsidRPr="00D63C2E" w:rsidRDefault="00C23715">
      <w:pPr>
        <w:pStyle w:val="Odstavecseseznamem"/>
        <w:numPr>
          <w:ilvl w:val="0"/>
          <w:numId w:val="5"/>
        </w:numPr>
        <w:spacing w:after="0" w:line="240" w:lineRule="auto"/>
        <w:ind w:left="-567" w:hanging="284"/>
        <w:jc w:val="both"/>
      </w:pPr>
      <w:r w:rsidRPr="00D63C2E">
        <w:t>Špatně nebo nedostatečně odhadnuté riziko,</w:t>
      </w:r>
    </w:p>
    <w:p w14:paraId="18351A48" w14:textId="77777777" w:rsidR="00C23715" w:rsidRPr="00D63C2E" w:rsidRDefault="00C23715">
      <w:pPr>
        <w:pStyle w:val="Odstavecseseznamem"/>
        <w:numPr>
          <w:ilvl w:val="0"/>
          <w:numId w:val="5"/>
        </w:numPr>
        <w:spacing w:after="0" w:line="240" w:lineRule="auto"/>
        <w:ind w:left="-567" w:hanging="284"/>
        <w:jc w:val="both"/>
      </w:pPr>
      <w:r w:rsidRPr="00D63C2E">
        <w:t>Vadný nebo nepříznivý stav zdroje úrazu (nikoliv pracoviště),</w:t>
      </w:r>
    </w:p>
    <w:p w14:paraId="483DF387" w14:textId="77777777" w:rsidR="00C23715" w:rsidRPr="00D63C2E" w:rsidRDefault="00C23715">
      <w:pPr>
        <w:pStyle w:val="Odstavecseseznamem"/>
        <w:numPr>
          <w:ilvl w:val="0"/>
          <w:numId w:val="5"/>
        </w:numPr>
        <w:spacing w:after="0" w:line="240" w:lineRule="auto"/>
        <w:ind w:left="-567" w:hanging="284"/>
        <w:jc w:val="both"/>
      </w:pPr>
      <w:r w:rsidRPr="00D63C2E">
        <w:t>Používání nebezpečných postupů nebo způsobu práce včetně jednání bez oprávnění, proti zákazu, prodlévání v ohroženém prostoru.</w:t>
      </w:r>
    </w:p>
    <w:p w14:paraId="0BB464CD" w14:textId="77777777" w:rsidR="00C23715" w:rsidRDefault="00C23715" w:rsidP="00A63A70">
      <w:pPr>
        <w:spacing w:after="0" w:line="240" w:lineRule="auto"/>
        <w:contextualSpacing/>
        <w:jc w:val="both"/>
        <w:rPr>
          <w:b/>
          <w:bCs/>
        </w:rPr>
      </w:pPr>
    </w:p>
    <w:tbl>
      <w:tblPr>
        <w:tblStyle w:val="Mkatabulky"/>
        <w:tblW w:w="8394"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1"/>
        <w:gridCol w:w="1813"/>
        <w:gridCol w:w="1813"/>
        <w:gridCol w:w="1847"/>
      </w:tblGrid>
      <w:tr w:rsidR="00D07589" w:rsidRPr="00D63C2E" w14:paraId="23F4171A" w14:textId="310F4D82" w:rsidTr="00D07589">
        <w:tc>
          <w:tcPr>
            <w:tcW w:w="2921" w:type="dxa"/>
            <w:shd w:val="clear" w:color="auto" w:fill="D9E2F3" w:themeFill="accent1" w:themeFillTint="33"/>
          </w:tcPr>
          <w:p w14:paraId="228BCF63" w14:textId="77777777" w:rsidR="00D07589" w:rsidRPr="00E57BC0" w:rsidRDefault="00D07589" w:rsidP="00A63A70">
            <w:pPr>
              <w:contextualSpacing/>
              <w:jc w:val="both"/>
              <w:rPr>
                <w:b/>
                <w:bCs/>
              </w:rPr>
            </w:pPr>
            <w:r w:rsidRPr="00E57BC0">
              <w:rPr>
                <w:b/>
                <w:bCs/>
              </w:rPr>
              <w:t>Rok</w:t>
            </w:r>
          </w:p>
        </w:tc>
        <w:tc>
          <w:tcPr>
            <w:tcW w:w="1813" w:type="dxa"/>
            <w:shd w:val="clear" w:color="auto" w:fill="D9E2F3" w:themeFill="accent1" w:themeFillTint="33"/>
          </w:tcPr>
          <w:p w14:paraId="543ADF24" w14:textId="77777777" w:rsidR="00D07589" w:rsidRPr="00E57BC0" w:rsidRDefault="00D07589" w:rsidP="00A63A70">
            <w:pPr>
              <w:contextualSpacing/>
              <w:jc w:val="both"/>
              <w:rPr>
                <w:b/>
                <w:bCs/>
              </w:rPr>
            </w:pPr>
            <w:r w:rsidRPr="00E57BC0">
              <w:rPr>
                <w:b/>
                <w:bCs/>
              </w:rPr>
              <w:t>2021</w:t>
            </w:r>
          </w:p>
        </w:tc>
        <w:tc>
          <w:tcPr>
            <w:tcW w:w="1813" w:type="dxa"/>
            <w:shd w:val="clear" w:color="auto" w:fill="D9E2F3" w:themeFill="accent1" w:themeFillTint="33"/>
          </w:tcPr>
          <w:p w14:paraId="718F5D1D" w14:textId="77777777" w:rsidR="00D07589" w:rsidRPr="00E57BC0" w:rsidRDefault="00D07589" w:rsidP="00A63A70">
            <w:pPr>
              <w:contextualSpacing/>
              <w:jc w:val="both"/>
              <w:rPr>
                <w:b/>
                <w:bCs/>
              </w:rPr>
            </w:pPr>
            <w:r w:rsidRPr="00E57BC0">
              <w:rPr>
                <w:b/>
                <w:bCs/>
              </w:rPr>
              <w:t>2022</w:t>
            </w:r>
          </w:p>
        </w:tc>
        <w:tc>
          <w:tcPr>
            <w:tcW w:w="1847" w:type="dxa"/>
            <w:shd w:val="clear" w:color="auto" w:fill="D9E2F3" w:themeFill="accent1" w:themeFillTint="33"/>
          </w:tcPr>
          <w:p w14:paraId="331D50FD" w14:textId="4A9E7C01" w:rsidR="00D07589" w:rsidRPr="00E57BC0" w:rsidRDefault="00D07589" w:rsidP="00A63A70">
            <w:pPr>
              <w:contextualSpacing/>
              <w:jc w:val="both"/>
              <w:rPr>
                <w:b/>
                <w:bCs/>
              </w:rPr>
            </w:pPr>
            <w:r>
              <w:rPr>
                <w:b/>
                <w:bCs/>
              </w:rPr>
              <w:t>2023 (k 24.11.23)</w:t>
            </w:r>
          </w:p>
        </w:tc>
      </w:tr>
      <w:tr w:rsidR="00D07589" w:rsidRPr="00D63C2E" w14:paraId="38869781" w14:textId="06B8CECF" w:rsidTr="00D07589">
        <w:tc>
          <w:tcPr>
            <w:tcW w:w="2921" w:type="dxa"/>
          </w:tcPr>
          <w:p w14:paraId="6626F3C5" w14:textId="77777777" w:rsidR="00D07589" w:rsidRPr="00E57BC0" w:rsidRDefault="00D07589" w:rsidP="00A63A70">
            <w:pPr>
              <w:contextualSpacing/>
              <w:jc w:val="both"/>
              <w:rPr>
                <w:b/>
                <w:bCs/>
              </w:rPr>
            </w:pPr>
            <w:r>
              <w:rPr>
                <w:b/>
                <w:bCs/>
              </w:rPr>
              <w:t>Počet kontrol</w:t>
            </w:r>
          </w:p>
        </w:tc>
        <w:tc>
          <w:tcPr>
            <w:tcW w:w="1813" w:type="dxa"/>
          </w:tcPr>
          <w:p w14:paraId="09067965" w14:textId="77777777" w:rsidR="00D07589" w:rsidRPr="00D63C2E" w:rsidRDefault="00D07589" w:rsidP="00A63A70">
            <w:pPr>
              <w:contextualSpacing/>
              <w:jc w:val="both"/>
            </w:pPr>
            <w:r w:rsidRPr="00D63C2E">
              <w:t>230</w:t>
            </w:r>
          </w:p>
        </w:tc>
        <w:tc>
          <w:tcPr>
            <w:tcW w:w="1813" w:type="dxa"/>
          </w:tcPr>
          <w:p w14:paraId="586BBEE1" w14:textId="77777777" w:rsidR="00D07589" w:rsidRPr="00D63C2E" w:rsidRDefault="00D07589" w:rsidP="00A63A70">
            <w:pPr>
              <w:contextualSpacing/>
              <w:jc w:val="both"/>
            </w:pPr>
            <w:r w:rsidRPr="00D63C2E">
              <w:t>303</w:t>
            </w:r>
          </w:p>
        </w:tc>
        <w:tc>
          <w:tcPr>
            <w:tcW w:w="1847" w:type="dxa"/>
          </w:tcPr>
          <w:p w14:paraId="7AE286F4" w14:textId="439632A1" w:rsidR="00D07589" w:rsidRPr="00D63C2E" w:rsidRDefault="00D07589" w:rsidP="00A63A70">
            <w:pPr>
              <w:contextualSpacing/>
              <w:jc w:val="both"/>
            </w:pPr>
            <w:r>
              <w:t>367</w:t>
            </w:r>
          </w:p>
        </w:tc>
      </w:tr>
      <w:tr w:rsidR="00D07589" w:rsidRPr="00D63C2E" w14:paraId="5B78B643" w14:textId="5F6041D7" w:rsidTr="00D07589">
        <w:tc>
          <w:tcPr>
            <w:tcW w:w="2921" w:type="dxa"/>
          </w:tcPr>
          <w:p w14:paraId="1E6EFA92" w14:textId="77777777" w:rsidR="00D07589" w:rsidRPr="00E57BC0" w:rsidRDefault="00D07589" w:rsidP="00A63A70">
            <w:pPr>
              <w:contextualSpacing/>
              <w:jc w:val="both"/>
              <w:rPr>
                <w:b/>
                <w:bCs/>
              </w:rPr>
            </w:pPr>
            <w:r w:rsidRPr="00E57BC0">
              <w:rPr>
                <w:b/>
                <w:bCs/>
              </w:rPr>
              <w:t>Počet porušení</w:t>
            </w:r>
          </w:p>
        </w:tc>
        <w:tc>
          <w:tcPr>
            <w:tcW w:w="1813" w:type="dxa"/>
          </w:tcPr>
          <w:p w14:paraId="72E98149" w14:textId="77777777" w:rsidR="00D07589" w:rsidRPr="00D63C2E" w:rsidRDefault="00D07589" w:rsidP="00A63A70">
            <w:pPr>
              <w:contextualSpacing/>
              <w:jc w:val="both"/>
            </w:pPr>
            <w:r w:rsidRPr="00D63C2E">
              <w:t>433</w:t>
            </w:r>
          </w:p>
        </w:tc>
        <w:tc>
          <w:tcPr>
            <w:tcW w:w="1813" w:type="dxa"/>
          </w:tcPr>
          <w:p w14:paraId="0311C329" w14:textId="77777777" w:rsidR="00D07589" w:rsidRPr="00D63C2E" w:rsidRDefault="00D07589" w:rsidP="00A63A70">
            <w:pPr>
              <w:contextualSpacing/>
              <w:jc w:val="both"/>
            </w:pPr>
            <w:r w:rsidRPr="00D63C2E">
              <w:t>515</w:t>
            </w:r>
          </w:p>
        </w:tc>
        <w:tc>
          <w:tcPr>
            <w:tcW w:w="1847" w:type="dxa"/>
          </w:tcPr>
          <w:p w14:paraId="0ACAB10C" w14:textId="6BD62E48" w:rsidR="00D07589" w:rsidRPr="00D63C2E" w:rsidRDefault="00D07589" w:rsidP="00A63A70">
            <w:pPr>
              <w:contextualSpacing/>
              <w:jc w:val="both"/>
            </w:pPr>
            <w:r>
              <w:t>798</w:t>
            </w:r>
          </w:p>
        </w:tc>
      </w:tr>
    </w:tbl>
    <w:p w14:paraId="40F5154A" w14:textId="77777777" w:rsidR="00C23715" w:rsidRPr="00D63C2E" w:rsidRDefault="00C23715" w:rsidP="00A63A70">
      <w:pPr>
        <w:spacing w:after="0" w:line="240" w:lineRule="auto"/>
        <w:contextualSpacing/>
        <w:jc w:val="both"/>
        <w:rPr>
          <w:b/>
          <w:bCs/>
        </w:rPr>
      </w:pPr>
    </w:p>
    <w:p w14:paraId="1AB72B69" w14:textId="77777777" w:rsidR="00C23715" w:rsidRDefault="00C23715" w:rsidP="00347B43">
      <w:pPr>
        <w:spacing w:after="0" w:line="240" w:lineRule="auto"/>
        <w:ind w:left="-993"/>
        <w:contextualSpacing/>
        <w:jc w:val="both"/>
        <w:rPr>
          <w:b/>
          <w:bCs/>
        </w:rPr>
      </w:pPr>
      <w:bookmarkStart w:id="23" w:name="_Hlk125381534"/>
      <w:r w:rsidRPr="00E57BC0">
        <w:rPr>
          <w:b/>
          <w:bCs/>
        </w:rPr>
        <w:t>Nejčastěji porušovan</w:t>
      </w:r>
      <w:r>
        <w:rPr>
          <w:b/>
          <w:bCs/>
        </w:rPr>
        <w:t>é právní</w:t>
      </w:r>
      <w:r w:rsidRPr="00E57BC0">
        <w:rPr>
          <w:b/>
          <w:bCs/>
        </w:rPr>
        <w:t xml:space="preserve"> předpis</w:t>
      </w:r>
      <w:r>
        <w:rPr>
          <w:b/>
          <w:bCs/>
        </w:rPr>
        <w:t>y</w:t>
      </w:r>
      <w:r w:rsidRPr="00E57BC0">
        <w:rPr>
          <w:b/>
          <w:bCs/>
        </w:rPr>
        <w:t>:</w:t>
      </w:r>
    </w:p>
    <w:p w14:paraId="000916A4" w14:textId="77777777" w:rsidR="00C23715" w:rsidRPr="00D63C2E" w:rsidRDefault="00C23715">
      <w:pPr>
        <w:pStyle w:val="Odstavecseseznamem"/>
        <w:numPr>
          <w:ilvl w:val="0"/>
          <w:numId w:val="5"/>
        </w:numPr>
        <w:spacing w:after="0" w:line="240" w:lineRule="auto"/>
        <w:ind w:left="-567" w:hanging="284"/>
        <w:jc w:val="both"/>
      </w:pPr>
      <w:r w:rsidRPr="00D63C2E">
        <w:rPr>
          <w:b/>
          <w:bCs/>
        </w:rPr>
        <w:t>zákon č. 262/2006 Sb.</w:t>
      </w:r>
      <w:r w:rsidRPr="00D63C2E">
        <w:t xml:space="preserve">, zákoník práce, ve znění pozdějších předpisů [zejména </w:t>
      </w:r>
      <w:proofErr w:type="spellStart"/>
      <w:r w:rsidRPr="00D63C2E">
        <w:t>ust</w:t>
      </w:r>
      <w:proofErr w:type="spellEnd"/>
      <w:r w:rsidRPr="00D63C2E">
        <w:t xml:space="preserve">. § 103 odst. 1 písm. a); </w:t>
      </w:r>
      <w:proofErr w:type="spellStart"/>
      <w:r w:rsidRPr="00D63C2E">
        <w:t>ust</w:t>
      </w:r>
      <w:proofErr w:type="spellEnd"/>
      <w:r w:rsidRPr="00D63C2E">
        <w:t xml:space="preserve">. § 102 odst. 1; </w:t>
      </w:r>
      <w:proofErr w:type="spellStart"/>
      <w:r w:rsidRPr="00D63C2E">
        <w:t>ust</w:t>
      </w:r>
      <w:proofErr w:type="spellEnd"/>
      <w:r w:rsidRPr="00D63C2E">
        <w:t>. § 96 odst. 1 písm. a)],</w:t>
      </w:r>
    </w:p>
    <w:p w14:paraId="77B64D98" w14:textId="77777777" w:rsidR="00C23715" w:rsidRPr="00D63C2E" w:rsidRDefault="00C23715">
      <w:pPr>
        <w:pStyle w:val="Odstavecseseznamem"/>
        <w:numPr>
          <w:ilvl w:val="0"/>
          <w:numId w:val="5"/>
        </w:numPr>
        <w:spacing w:after="0" w:line="240" w:lineRule="auto"/>
        <w:ind w:left="-567" w:hanging="284"/>
        <w:jc w:val="both"/>
      </w:pPr>
      <w:r w:rsidRPr="00D63C2E">
        <w:rPr>
          <w:b/>
          <w:bCs/>
        </w:rPr>
        <w:t>zákon č. 309/2006 Sb.</w:t>
      </w:r>
      <w:r w:rsidRPr="00D63C2E">
        <w:t xml:space="preserve">,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w:t>
      </w:r>
      <w:proofErr w:type="spellStart"/>
      <w:r w:rsidRPr="00D63C2E">
        <w:t>ust</w:t>
      </w:r>
      <w:proofErr w:type="spellEnd"/>
      <w:r w:rsidRPr="00D63C2E">
        <w:t xml:space="preserve">. § 4 odst. 1 písm. c); </w:t>
      </w:r>
      <w:proofErr w:type="spellStart"/>
      <w:r w:rsidRPr="00D63C2E">
        <w:t>ust</w:t>
      </w:r>
      <w:proofErr w:type="spellEnd"/>
      <w:r w:rsidRPr="00D63C2E">
        <w:t xml:space="preserve">. § 5 odst. 1 písm. a) a d); </w:t>
      </w:r>
      <w:proofErr w:type="spellStart"/>
      <w:r w:rsidRPr="00D63C2E">
        <w:t>ust</w:t>
      </w:r>
      <w:proofErr w:type="spellEnd"/>
      <w:r w:rsidRPr="00D63C2E">
        <w:t>. § 2 odst. 1 písm. a)],</w:t>
      </w:r>
    </w:p>
    <w:p w14:paraId="27CBAD05" w14:textId="77777777" w:rsidR="00C23715" w:rsidRPr="00D63C2E" w:rsidRDefault="00C23715">
      <w:pPr>
        <w:pStyle w:val="Odstavecseseznamem"/>
        <w:numPr>
          <w:ilvl w:val="0"/>
          <w:numId w:val="5"/>
        </w:numPr>
        <w:spacing w:after="0" w:line="240" w:lineRule="auto"/>
        <w:ind w:left="-567" w:hanging="284"/>
        <w:jc w:val="both"/>
      </w:pPr>
      <w:r w:rsidRPr="00D63C2E">
        <w:rPr>
          <w:b/>
          <w:bCs/>
        </w:rPr>
        <w:t>nařízení vlády č. 589/2006 Sb.</w:t>
      </w:r>
      <w:r w:rsidRPr="00D63C2E">
        <w:t xml:space="preserve">, kterým se stanoví odchylná úprava pracovní doby a doby odpočinku zaměstnanců v dopravě, ve znění pozdějších předpisů (zejména </w:t>
      </w:r>
      <w:proofErr w:type="spellStart"/>
      <w:r w:rsidRPr="00D63C2E">
        <w:t>ust</w:t>
      </w:r>
      <w:proofErr w:type="spellEnd"/>
      <w:r w:rsidRPr="00D63C2E">
        <w:t xml:space="preserve">. § 9 odst. 1; </w:t>
      </w:r>
      <w:proofErr w:type="spellStart"/>
      <w:r w:rsidRPr="00D63C2E">
        <w:t>ust</w:t>
      </w:r>
      <w:proofErr w:type="spellEnd"/>
      <w:r w:rsidRPr="00D63C2E">
        <w:t xml:space="preserve">. § 7; </w:t>
      </w:r>
      <w:proofErr w:type="spellStart"/>
      <w:r w:rsidRPr="00D63C2E">
        <w:t>ust</w:t>
      </w:r>
      <w:proofErr w:type="spellEnd"/>
      <w:r w:rsidRPr="00D63C2E">
        <w:t>. § 5 odst. 2).</w:t>
      </w:r>
    </w:p>
    <w:bookmarkEnd w:id="23"/>
    <w:p w14:paraId="4BB95030" w14:textId="77777777" w:rsidR="00C23715" w:rsidRPr="00D63C2E" w:rsidRDefault="00C23715" w:rsidP="00A63A70">
      <w:pPr>
        <w:spacing w:after="0" w:line="240" w:lineRule="auto"/>
        <w:contextualSpacing/>
        <w:jc w:val="both"/>
        <w:rPr>
          <w:b/>
          <w:bCs/>
        </w:rPr>
      </w:pPr>
    </w:p>
    <w:p w14:paraId="2B926C88" w14:textId="06325159" w:rsidR="003612AE" w:rsidRDefault="003612AE" w:rsidP="00347B43">
      <w:pPr>
        <w:shd w:val="clear" w:color="auto" w:fill="FFFFFF"/>
        <w:spacing w:after="0" w:line="330" w:lineRule="atLeast"/>
        <w:ind w:left="-993"/>
        <w:jc w:val="both"/>
        <w:outlineLvl w:val="2"/>
        <w:rPr>
          <w:rFonts w:eastAsia="Times New Roman" w:cstheme="minorHAnsi"/>
          <w:b/>
          <w:bCs/>
          <w:lang w:eastAsia="cs-CZ"/>
        </w:rPr>
      </w:pPr>
      <w:bookmarkStart w:id="24" w:name="_Toc172709962"/>
      <w:r w:rsidRPr="003F5188">
        <w:rPr>
          <w:rFonts w:eastAsia="Times New Roman" w:cstheme="minorHAnsi"/>
          <w:b/>
          <w:bCs/>
          <w:lang w:eastAsia="cs-CZ"/>
        </w:rPr>
        <w:t>Nej</w:t>
      </w:r>
      <w:r>
        <w:rPr>
          <w:rFonts w:eastAsia="Times New Roman" w:cstheme="minorHAnsi"/>
          <w:b/>
          <w:bCs/>
          <w:lang w:eastAsia="cs-CZ"/>
        </w:rPr>
        <w:t>častější</w:t>
      </w:r>
      <w:r w:rsidRPr="003F5188">
        <w:rPr>
          <w:rFonts w:eastAsia="Times New Roman" w:cstheme="minorHAnsi"/>
          <w:b/>
          <w:bCs/>
          <w:lang w:eastAsia="cs-CZ"/>
        </w:rPr>
        <w:t xml:space="preserve"> </w:t>
      </w:r>
      <w:r>
        <w:rPr>
          <w:rFonts w:eastAsia="Times New Roman" w:cstheme="minorHAnsi"/>
          <w:b/>
          <w:bCs/>
          <w:lang w:eastAsia="cs-CZ"/>
        </w:rPr>
        <w:t>rizikové faktory:</w:t>
      </w:r>
      <w:bookmarkEnd w:id="24"/>
    </w:p>
    <w:p w14:paraId="1F28BDE0" w14:textId="22A3EEAC" w:rsidR="00595A9A" w:rsidRPr="00484B81" w:rsidRDefault="00595A9A">
      <w:pPr>
        <w:pStyle w:val="Odstavecseseznamem"/>
        <w:numPr>
          <w:ilvl w:val="0"/>
          <w:numId w:val="8"/>
        </w:numPr>
        <w:shd w:val="clear" w:color="auto" w:fill="FFFFFF"/>
        <w:spacing w:after="0" w:line="330" w:lineRule="atLeast"/>
        <w:ind w:left="-567"/>
        <w:jc w:val="both"/>
        <w:outlineLvl w:val="2"/>
        <w:rPr>
          <w:rFonts w:eastAsia="Times New Roman" w:cstheme="minorHAnsi"/>
          <w:lang w:eastAsia="cs-CZ"/>
        </w:rPr>
      </w:pPr>
      <w:bookmarkStart w:id="25" w:name="_Toc172709963"/>
      <w:r w:rsidRPr="00484B81">
        <w:rPr>
          <w:rFonts w:eastAsia="Times New Roman" w:cstheme="minorHAnsi"/>
          <w:lang w:eastAsia="cs-CZ"/>
        </w:rPr>
        <w:t>práce ve výškách</w:t>
      </w:r>
      <w:bookmarkEnd w:id="25"/>
      <w:r w:rsidR="008F2F13" w:rsidRPr="00484B81">
        <w:rPr>
          <w:rFonts w:eastAsia="Times New Roman" w:cstheme="minorHAnsi"/>
          <w:lang w:eastAsia="cs-CZ"/>
        </w:rPr>
        <w:t xml:space="preserve">  </w:t>
      </w:r>
    </w:p>
    <w:p w14:paraId="5367693F" w14:textId="29EA5E19" w:rsidR="00595A9A" w:rsidRPr="00484B81" w:rsidRDefault="00595A9A">
      <w:pPr>
        <w:pStyle w:val="Odstavecseseznamem"/>
        <w:numPr>
          <w:ilvl w:val="0"/>
          <w:numId w:val="8"/>
        </w:numPr>
        <w:shd w:val="clear" w:color="auto" w:fill="FFFFFF"/>
        <w:spacing w:after="0" w:line="330" w:lineRule="atLeast"/>
        <w:ind w:left="-567"/>
        <w:jc w:val="both"/>
        <w:outlineLvl w:val="2"/>
        <w:rPr>
          <w:rFonts w:eastAsia="Times New Roman" w:cstheme="minorHAnsi"/>
          <w:lang w:eastAsia="cs-CZ"/>
        </w:rPr>
      </w:pPr>
      <w:bookmarkStart w:id="26" w:name="_Toc172709964"/>
      <w:r w:rsidRPr="00484B81">
        <w:rPr>
          <w:rFonts w:eastAsia="Times New Roman" w:cstheme="minorHAnsi"/>
          <w:lang w:eastAsia="cs-CZ"/>
        </w:rPr>
        <w:t>manipulace s materiálem</w:t>
      </w:r>
      <w:bookmarkEnd w:id="26"/>
    </w:p>
    <w:p w14:paraId="7348CF65" w14:textId="6BEF5FCD" w:rsidR="00595A9A" w:rsidRPr="00934F3C" w:rsidRDefault="00595A9A">
      <w:pPr>
        <w:pStyle w:val="Odstavecseseznamem"/>
        <w:numPr>
          <w:ilvl w:val="0"/>
          <w:numId w:val="8"/>
        </w:numPr>
        <w:shd w:val="clear" w:color="auto" w:fill="FFFFFF"/>
        <w:spacing w:after="0" w:line="330" w:lineRule="atLeast"/>
        <w:ind w:left="-567"/>
        <w:jc w:val="both"/>
        <w:outlineLvl w:val="2"/>
        <w:rPr>
          <w:rFonts w:eastAsia="Times New Roman" w:cstheme="minorHAnsi"/>
          <w:lang w:eastAsia="cs-CZ"/>
        </w:rPr>
      </w:pPr>
      <w:bookmarkStart w:id="27" w:name="_Toc172709965"/>
      <w:r w:rsidRPr="00934F3C">
        <w:rPr>
          <w:rFonts w:eastAsia="Times New Roman" w:cstheme="minorHAnsi"/>
          <w:lang w:eastAsia="cs-CZ"/>
        </w:rPr>
        <w:t>zajištění materiálu</w:t>
      </w:r>
      <w:bookmarkEnd w:id="27"/>
    </w:p>
    <w:p w14:paraId="593B2A97" w14:textId="0607F330" w:rsidR="00595A9A" w:rsidRPr="00934F3C" w:rsidRDefault="00595A9A">
      <w:pPr>
        <w:pStyle w:val="Odstavecseseznamem"/>
        <w:numPr>
          <w:ilvl w:val="0"/>
          <w:numId w:val="8"/>
        </w:numPr>
        <w:shd w:val="clear" w:color="auto" w:fill="FFFFFF"/>
        <w:spacing w:after="0" w:line="330" w:lineRule="atLeast"/>
        <w:ind w:left="-567"/>
        <w:jc w:val="both"/>
        <w:outlineLvl w:val="2"/>
        <w:rPr>
          <w:rFonts w:eastAsia="Times New Roman" w:cstheme="minorHAnsi"/>
          <w:lang w:eastAsia="cs-CZ"/>
        </w:rPr>
      </w:pPr>
      <w:bookmarkStart w:id="28" w:name="_Toc172709966"/>
      <w:r w:rsidRPr="00934F3C">
        <w:rPr>
          <w:rFonts w:eastAsia="Times New Roman" w:cstheme="minorHAnsi"/>
          <w:lang w:eastAsia="cs-CZ"/>
        </w:rPr>
        <w:t>pád břemene</w:t>
      </w:r>
      <w:bookmarkEnd w:id="28"/>
    </w:p>
    <w:p w14:paraId="7A091C7A" w14:textId="4A965C52" w:rsidR="008F2F13" w:rsidRPr="00934F3C" w:rsidRDefault="008F2F13">
      <w:pPr>
        <w:pStyle w:val="Odstavecseseznamem"/>
        <w:numPr>
          <w:ilvl w:val="0"/>
          <w:numId w:val="8"/>
        </w:numPr>
        <w:shd w:val="clear" w:color="auto" w:fill="FFFFFF"/>
        <w:spacing w:after="0" w:line="330" w:lineRule="atLeast"/>
        <w:ind w:left="-567"/>
        <w:jc w:val="both"/>
        <w:outlineLvl w:val="2"/>
        <w:rPr>
          <w:rFonts w:eastAsia="Times New Roman" w:cstheme="minorHAnsi"/>
          <w:lang w:eastAsia="cs-CZ"/>
        </w:rPr>
      </w:pPr>
      <w:bookmarkStart w:id="29" w:name="_Toc172709967"/>
      <w:r w:rsidRPr="00934F3C">
        <w:rPr>
          <w:rFonts w:eastAsia="Times New Roman" w:cstheme="minorHAnsi"/>
          <w:lang w:eastAsia="cs-CZ"/>
        </w:rPr>
        <w:t>sestup a výstup z ložné plochy</w:t>
      </w:r>
      <w:bookmarkEnd w:id="29"/>
    </w:p>
    <w:p w14:paraId="6A4A3271" w14:textId="7C7DCE6D" w:rsidR="00140DAE" w:rsidRPr="00934F3C" w:rsidRDefault="00140DAE">
      <w:pPr>
        <w:pStyle w:val="Odstavecseseznamem"/>
        <w:numPr>
          <w:ilvl w:val="0"/>
          <w:numId w:val="8"/>
        </w:numPr>
        <w:shd w:val="clear" w:color="auto" w:fill="FFFFFF"/>
        <w:spacing w:after="0" w:line="330" w:lineRule="atLeast"/>
        <w:ind w:left="-567"/>
        <w:jc w:val="both"/>
        <w:outlineLvl w:val="2"/>
        <w:rPr>
          <w:rFonts w:eastAsia="Times New Roman" w:cstheme="minorHAnsi"/>
          <w:lang w:eastAsia="cs-CZ"/>
        </w:rPr>
      </w:pPr>
      <w:bookmarkStart w:id="30" w:name="_Toc172709968"/>
      <w:r w:rsidRPr="00934F3C">
        <w:rPr>
          <w:rFonts w:eastAsia="Times New Roman" w:cstheme="minorHAnsi"/>
          <w:lang w:eastAsia="cs-CZ"/>
        </w:rPr>
        <w:t>uložení materiálu</w:t>
      </w:r>
      <w:bookmarkEnd w:id="30"/>
    </w:p>
    <w:p w14:paraId="4E93106D" w14:textId="250A46DD" w:rsidR="00140DAE" w:rsidRPr="00934F3C" w:rsidRDefault="00140DAE">
      <w:pPr>
        <w:pStyle w:val="Odstavecseseznamem"/>
        <w:numPr>
          <w:ilvl w:val="0"/>
          <w:numId w:val="8"/>
        </w:numPr>
        <w:shd w:val="clear" w:color="auto" w:fill="FFFFFF"/>
        <w:spacing w:after="0" w:line="330" w:lineRule="atLeast"/>
        <w:ind w:left="-567"/>
        <w:jc w:val="both"/>
        <w:outlineLvl w:val="2"/>
        <w:rPr>
          <w:rFonts w:eastAsia="Times New Roman" w:cstheme="minorHAnsi"/>
          <w:lang w:eastAsia="cs-CZ"/>
        </w:rPr>
      </w:pPr>
      <w:bookmarkStart w:id="31" w:name="_Toc172709969"/>
      <w:r w:rsidRPr="00934F3C">
        <w:rPr>
          <w:rFonts w:eastAsia="Times New Roman" w:cstheme="minorHAnsi"/>
          <w:lang w:eastAsia="cs-CZ"/>
        </w:rPr>
        <w:lastRenderedPageBreak/>
        <w:t>technický stav vozu</w:t>
      </w:r>
      <w:bookmarkEnd w:id="31"/>
    </w:p>
    <w:p w14:paraId="164D50B3" w14:textId="75401A7C" w:rsidR="00140DAE" w:rsidRPr="00934F3C" w:rsidRDefault="00140DAE">
      <w:pPr>
        <w:pStyle w:val="Odstavecseseznamem"/>
        <w:numPr>
          <w:ilvl w:val="0"/>
          <w:numId w:val="8"/>
        </w:numPr>
        <w:shd w:val="clear" w:color="auto" w:fill="FFFFFF"/>
        <w:spacing w:after="0" w:line="330" w:lineRule="atLeast"/>
        <w:ind w:left="-567"/>
        <w:jc w:val="both"/>
        <w:outlineLvl w:val="2"/>
        <w:rPr>
          <w:rFonts w:eastAsia="Times New Roman" w:cstheme="minorHAnsi"/>
          <w:lang w:eastAsia="cs-CZ"/>
        </w:rPr>
      </w:pPr>
      <w:bookmarkStart w:id="32" w:name="_Toc172709970"/>
      <w:r w:rsidRPr="00934F3C">
        <w:rPr>
          <w:rFonts w:eastAsia="Times New Roman" w:cstheme="minorHAnsi"/>
          <w:lang w:eastAsia="cs-CZ"/>
        </w:rPr>
        <w:t>fyzická zátěž</w:t>
      </w:r>
      <w:bookmarkEnd w:id="32"/>
    </w:p>
    <w:p w14:paraId="3744F664" w14:textId="05609421" w:rsidR="00140DAE" w:rsidRPr="00934F3C" w:rsidRDefault="00140DAE">
      <w:pPr>
        <w:pStyle w:val="Odstavecseseznamem"/>
        <w:numPr>
          <w:ilvl w:val="0"/>
          <w:numId w:val="8"/>
        </w:numPr>
        <w:shd w:val="clear" w:color="auto" w:fill="FFFFFF"/>
        <w:spacing w:after="0" w:line="330" w:lineRule="atLeast"/>
        <w:ind w:left="-567"/>
        <w:jc w:val="both"/>
        <w:outlineLvl w:val="2"/>
        <w:rPr>
          <w:rFonts w:eastAsia="Times New Roman" w:cstheme="minorHAnsi"/>
          <w:lang w:eastAsia="cs-CZ"/>
        </w:rPr>
      </w:pPr>
      <w:bookmarkStart w:id="33" w:name="_Toc172709971"/>
      <w:r w:rsidRPr="00934F3C">
        <w:rPr>
          <w:rFonts w:eastAsia="Times New Roman" w:cstheme="minorHAnsi"/>
          <w:lang w:eastAsia="cs-CZ"/>
        </w:rPr>
        <w:t>nepřijatelná pracovní poloha</w:t>
      </w:r>
      <w:bookmarkEnd w:id="33"/>
    </w:p>
    <w:p w14:paraId="651F5D66" w14:textId="7BAD16F2" w:rsidR="008F2F13" w:rsidRPr="00934F3C" w:rsidRDefault="008F2F13">
      <w:pPr>
        <w:pStyle w:val="Odstavecseseznamem"/>
        <w:numPr>
          <w:ilvl w:val="0"/>
          <w:numId w:val="8"/>
        </w:numPr>
        <w:shd w:val="clear" w:color="auto" w:fill="FFFFFF"/>
        <w:spacing w:after="0" w:line="330" w:lineRule="atLeast"/>
        <w:ind w:left="-567"/>
        <w:jc w:val="both"/>
        <w:outlineLvl w:val="2"/>
        <w:rPr>
          <w:rFonts w:ascii="Calibri" w:eastAsia="Times New Roman" w:hAnsi="Calibri" w:cs="Calibri"/>
          <w:lang w:eastAsia="cs-CZ"/>
        </w:rPr>
      </w:pPr>
      <w:bookmarkStart w:id="34" w:name="_Toc172709972"/>
      <w:r w:rsidRPr="00934F3C">
        <w:rPr>
          <w:rFonts w:eastAsia="Times New Roman" w:cstheme="minorHAnsi"/>
          <w:lang w:eastAsia="cs-CZ"/>
        </w:rPr>
        <w:t xml:space="preserve">způsob nakládky a vykládky </w:t>
      </w:r>
      <w:r w:rsidRPr="00934F3C">
        <w:rPr>
          <w:rFonts w:ascii="Calibri" w:hAnsi="Calibri" w:cs="Calibri"/>
          <w:color w:val="09161F"/>
          <w:shd w:val="clear" w:color="auto" w:fill="FFFFFF"/>
        </w:rPr>
        <w:t>pomocí manipulačních vozíků, mobilní rampy, zdvihací zařízení, stáčecí zařízení apod.)</w:t>
      </w:r>
      <w:bookmarkEnd w:id="34"/>
    </w:p>
    <w:p w14:paraId="3A4B31D3" w14:textId="06A3FCCA" w:rsidR="008F2F13" w:rsidRPr="00934F3C" w:rsidRDefault="008F2F13">
      <w:pPr>
        <w:pStyle w:val="Odstavecseseznamem"/>
        <w:numPr>
          <w:ilvl w:val="0"/>
          <w:numId w:val="8"/>
        </w:numPr>
        <w:shd w:val="clear" w:color="auto" w:fill="FFFFFF"/>
        <w:spacing w:after="0" w:line="330" w:lineRule="atLeast"/>
        <w:ind w:left="-567"/>
        <w:jc w:val="both"/>
        <w:outlineLvl w:val="2"/>
        <w:rPr>
          <w:rFonts w:eastAsia="Times New Roman" w:cstheme="minorHAnsi"/>
          <w:lang w:eastAsia="cs-CZ"/>
        </w:rPr>
      </w:pPr>
      <w:bookmarkStart w:id="35" w:name="_Toc172709973"/>
      <w:r w:rsidRPr="00934F3C">
        <w:rPr>
          <w:rFonts w:eastAsia="Times New Roman" w:cstheme="minorHAnsi"/>
          <w:lang w:eastAsia="cs-CZ"/>
        </w:rPr>
        <w:t xml:space="preserve">způsob </w:t>
      </w:r>
      <w:proofErr w:type="spellStart"/>
      <w:r w:rsidRPr="00934F3C">
        <w:rPr>
          <w:rFonts w:eastAsia="Times New Roman" w:cstheme="minorHAnsi"/>
          <w:lang w:eastAsia="cs-CZ"/>
        </w:rPr>
        <w:t>plachtování</w:t>
      </w:r>
      <w:proofErr w:type="spellEnd"/>
      <w:r w:rsidRPr="00934F3C">
        <w:rPr>
          <w:rFonts w:eastAsia="Times New Roman" w:cstheme="minorHAnsi"/>
          <w:lang w:eastAsia="cs-CZ"/>
        </w:rPr>
        <w:t>, plombování aj.</w:t>
      </w:r>
      <w:bookmarkEnd w:id="35"/>
    </w:p>
    <w:p w14:paraId="0C461196" w14:textId="77777777" w:rsidR="00934F3C" w:rsidRDefault="00934F3C">
      <w:pPr>
        <w:pStyle w:val="m6524801310819632729gmail-msonospacing"/>
        <w:numPr>
          <w:ilvl w:val="0"/>
          <w:numId w:val="8"/>
        </w:numPr>
        <w:shd w:val="clear" w:color="auto" w:fill="FFFFFF"/>
        <w:spacing w:before="0" w:beforeAutospacing="0" w:after="0" w:afterAutospacing="0"/>
        <w:ind w:left="-567"/>
        <w:rPr>
          <w:rFonts w:ascii="Calibri" w:hAnsi="Calibri" w:cs="Calibri"/>
          <w:color w:val="222222"/>
          <w:sz w:val="22"/>
          <w:szCs w:val="22"/>
        </w:rPr>
      </w:pPr>
      <w:r>
        <w:rPr>
          <w:rFonts w:ascii="Calibri" w:hAnsi="Calibri" w:cs="Calibri"/>
          <w:color w:val="222222"/>
          <w:sz w:val="22"/>
          <w:szCs w:val="22"/>
        </w:rPr>
        <w:t>Práce zaměstnanců několika zaměstnavatelů na jednom pracovišti, bez zajištění koordinace jimi prováděných činností.</w:t>
      </w:r>
    </w:p>
    <w:p w14:paraId="3BA45FD1" w14:textId="77777777" w:rsidR="00C23715" w:rsidRDefault="00C23715" w:rsidP="00484B81">
      <w:pPr>
        <w:spacing w:after="0"/>
        <w:ind w:right="-992"/>
        <w:jc w:val="both"/>
        <w:rPr>
          <w:rFonts w:ascii="Calibri" w:hAnsi="Calibri" w:cs="Calibri"/>
          <w:shd w:val="clear" w:color="auto" w:fill="FFFFFF"/>
        </w:rPr>
      </w:pPr>
    </w:p>
    <w:p w14:paraId="1819E342" w14:textId="3C1DC74F" w:rsidR="00C23715" w:rsidRPr="00011136" w:rsidRDefault="00C23715" w:rsidP="00EC3AA0">
      <w:pPr>
        <w:pStyle w:val="Nadpis2"/>
        <w:numPr>
          <w:ilvl w:val="0"/>
          <w:numId w:val="22"/>
        </w:numPr>
      </w:pPr>
      <w:bookmarkStart w:id="36" w:name="_Toc172709974"/>
      <w:bookmarkStart w:id="37" w:name="_Toc172710071"/>
      <w:r w:rsidRPr="00011136">
        <w:t>Prevence rizik v sociálních službách</w:t>
      </w:r>
      <w:r w:rsidR="00D76EFD" w:rsidRPr="00F309E9">
        <w:rPr>
          <w:color w:val="538135" w:themeColor="accent6" w:themeShade="BF"/>
        </w:rPr>
        <w:t xml:space="preserve">, </w:t>
      </w:r>
      <w:r w:rsidR="00D76EFD" w:rsidRPr="009A1CA7">
        <w:t>zdravotnictví</w:t>
      </w:r>
      <w:r w:rsidRPr="009A1CA7">
        <w:t xml:space="preserve"> </w:t>
      </w:r>
      <w:r w:rsidRPr="00011136">
        <w:t>a náhradní rodinné výchovy</w:t>
      </w:r>
      <w:bookmarkEnd w:id="36"/>
      <w:bookmarkEnd w:id="37"/>
    </w:p>
    <w:p w14:paraId="7136C8A0" w14:textId="77777777" w:rsidR="00B255FB" w:rsidRPr="00011136" w:rsidRDefault="00B255FB" w:rsidP="00347B43">
      <w:pPr>
        <w:pStyle w:val="Odstavecseseznamem"/>
        <w:spacing w:after="0"/>
        <w:ind w:left="-993" w:right="-992"/>
        <w:jc w:val="both"/>
        <w:rPr>
          <w:rFonts w:ascii="Calibri" w:hAnsi="Calibri" w:cs="Calibri"/>
          <w:b/>
          <w:bCs/>
          <w:sz w:val="24"/>
          <w:szCs w:val="24"/>
          <w:u w:val="single"/>
        </w:rPr>
      </w:pPr>
    </w:p>
    <w:p w14:paraId="34300DB4" w14:textId="5BFC5AA5" w:rsidR="00C23715" w:rsidRDefault="00105E16" w:rsidP="00347B43">
      <w:pPr>
        <w:ind w:left="-993"/>
        <w:jc w:val="both"/>
        <w:rPr>
          <w:rFonts w:ascii="Calibri" w:hAnsi="Calibri" w:cs="Calibri"/>
        </w:rPr>
      </w:pPr>
      <w:r>
        <w:rPr>
          <w:rFonts w:ascii="Calibri" w:hAnsi="Calibri" w:cs="Calibri"/>
          <w:color w:val="09161F"/>
          <w:shd w:val="clear" w:color="auto" w:fill="FFFFFF"/>
        </w:rPr>
        <w:t>J</w:t>
      </w:r>
      <w:r w:rsidR="00F9515D">
        <w:rPr>
          <w:rFonts w:ascii="Calibri" w:hAnsi="Calibri" w:cs="Calibri"/>
          <w:color w:val="09161F"/>
          <w:shd w:val="clear" w:color="auto" w:fill="FFFFFF"/>
        </w:rPr>
        <w:t xml:space="preserve">edná se </w:t>
      </w:r>
      <w:r>
        <w:rPr>
          <w:rFonts w:ascii="Calibri" w:hAnsi="Calibri" w:cs="Calibri"/>
          <w:color w:val="09161F"/>
          <w:shd w:val="clear" w:color="auto" w:fill="FFFFFF"/>
        </w:rPr>
        <w:t xml:space="preserve">o specifická pracoviště, resp. specifické skupiny zaměstnanců, </w:t>
      </w:r>
      <w:r w:rsidR="002F2203">
        <w:rPr>
          <w:rFonts w:ascii="Calibri" w:hAnsi="Calibri" w:cs="Calibri"/>
          <w:color w:val="09161F"/>
          <w:shd w:val="clear" w:color="auto" w:fill="FFFFFF"/>
        </w:rPr>
        <w:t xml:space="preserve">kteří jsou vystaveni </w:t>
      </w:r>
      <w:r w:rsidR="00C23715" w:rsidRPr="008D7A24">
        <w:rPr>
          <w:rFonts w:ascii="Calibri" w:hAnsi="Calibri" w:cs="Calibri"/>
          <w:color w:val="09161F"/>
          <w:shd w:val="clear" w:color="auto" w:fill="FFFFFF"/>
        </w:rPr>
        <w:t>psychicky často i fyzicky náročn</w:t>
      </w:r>
      <w:r w:rsidR="002F2203">
        <w:rPr>
          <w:rFonts w:ascii="Calibri" w:hAnsi="Calibri" w:cs="Calibri"/>
          <w:color w:val="09161F"/>
          <w:shd w:val="clear" w:color="auto" w:fill="FFFFFF"/>
        </w:rPr>
        <w:t xml:space="preserve">é </w:t>
      </w:r>
      <w:r w:rsidR="00C23715" w:rsidRPr="008D7A24">
        <w:rPr>
          <w:rFonts w:ascii="Calibri" w:hAnsi="Calibri" w:cs="Calibri"/>
          <w:color w:val="09161F"/>
          <w:shd w:val="clear" w:color="auto" w:fill="FFFFFF"/>
        </w:rPr>
        <w:t>prác</w:t>
      </w:r>
      <w:r w:rsidR="002F2203">
        <w:rPr>
          <w:rFonts w:ascii="Calibri" w:hAnsi="Calibri" w:cs="Calibri"/>
          <w:color w:val="09161F"/>
          <w:shd w:val="clear" w:color="auto" w:fill="FFFFFF"/>
        </w:rPr>
        <w:t xml:space="preserve">i </w:t>
      </w:r>
      <w:r w:rsidR="00C23715" w:rsidRPr="008D7A24">
        <w:rPr>
          <w:rFonts w:ascii="Calibri" w:hAnsi="Calibri" w:cs="Calibri"/>
          <w:color w:val="09161F"/>
          <w:shd w:val="clear" w:color="auto" w:fill="FFFFFF"/>
        </w:rPr>
        <w:t>s</w:t>
      </w:r>
      <w:r w:rsidR="002F2203">
        <w:rPr>
          <w:rFonts w:ascii="Calibri" w:hAnsi="Calibri" w:cs="Calibri"/>
          <w:color w:val="09161F"/>
          <w:shd w:val="clear" w:color="auto" w:fill="FFFFFF"/>
        </w:rPr>
        <w:t> </w:t>
      </w:r>
      <w:r w:rsidR="00C23715" w:rsidRPr="008D7A24">
        <w:rPr>
          <w:rFonts w:ascii="Calibri" w:hAnsi="Calibri" w:cs="Calibri"/>
          <w:color w:val="09161F"/>
          <w:shd w:val="clear" w:color="auto" w:fill="FFFFFF"/>
        </w:rPr>
        <w:t>klienty</w:t>
      </w:r>
      <w:r w:rsidR="002F2203">
        <w:rPr>
          <w:rFonts w:ascii="Calibri" w:hAnsi="Calibri" w:cs="Calibri"/>
          <w:color w:val="09161F"/>
          <w:shd w:val="clear" w:color="auto" w:fill="FFFFFF"/>
        </w:rPr>
        <w:t xml:space="preserve">. Jde o </w:t>
      </w:r>
      <w:r w:rsidR="00C23715" w:rsidRPr="003753FB">
        <w:rPr>
          <w:rFonts w:ascii="Calibri" w:hAnsi="Calibri" w:cs="Calibri"/>
        </w:rPr>
        <w:t>dlouhodob</w:t>
      </w:r>
      <w:r w:rsidR="002F2203">
        <w:rPr>
          <w:rFonts w:ascii="Calibri" w:hAnsi="Calibri" w:cs="Calibri"/>
        </w:rPr>
        <w:t xml:space="preserve">é </w:t>
      </w:r>
      <w:r w:rsidR="00C23715" w:rsidRPr="003753FB">
        <w:rPr>
          <w:rFonts w:ascii="Calibri" w:hAnsi="Calibri" w:cs="Calibri"/>
        </w:rPr>
        <w:t>vystav</w:t>
      </w:r>
      <w:r w:rsidR="002F2203">
        <w:rPr>
          <w:rFonts w:ascii="Calibri" w:hAnsi="Calibri" w:cs="Calibri"/>
        </w:rPr>
        <w:t xml:space="preserve">ení </w:t>
      </w:r>
      <w:r w:rsidR="00C23715" w:rsidRPr="003753FB">
        <w:rPr>
          <w:rFonts w:ascii="Calibri" w:hAnsi="Calibri" w:cs="Calibri"/>
        </w:rPr>
        <w:t xml:space="preserve">enormní zátěži a rizikům zejm. ze strany </w:t>
      </w:r>
      <w:r w:rsidR="00C23715">
        <w:rPr>
          <w:rFonts w:ascii="Calibri" w:hAnsi="Calibri" w:cs="Calibri"/>
        </w:rPr>
        <w:t xml:space="preserve">dospělých a </w:t>
      </w:r>
      <w:r w:rsidR="00C23715" w:rsidRPr="003753FB">
        <w:rPr>
          <w:rFonts w:ascii="Calibri" w:hAnsi="Calibri" w:cs="Calibri"/>
        </w:rPr>
        <w:t>dětských klientů, kteří mají vážné poruchy chování. To vede k častému výskytu syndromu vyhoření a dalším problémům. Výjimečné nejsou ani fyzické útoky a šikana. I přes vysokou náročnost a rizikovost práce</w:t>
      </w:r>
      <w:r w:rsidR="002F2203">
        <w:rPr>
          <w:rFonts w:ascii="Calibri" w:hAnsi="Calibri" w:cs="Calibri"/>
        </w:rPr>
        <w:t xml:space="preserve"> se dosud </w:t>
      </w:r>
      <w:r w:rsidR="00C23715" w:rsidRPr="003753FB">
        <w:rPr>
          <w:rFonts w:ascii="Calibri" w:hAnsi="Calibri" w:cs="Calibri"/>
        </w:rPr>
        <w:t>žádn</w:t>
      </w:r>
      <w:r w:rsidR="002F2203">
        <w:rPr>
          <w:rFonts w:ascii="Calibri" w:hAnsi="Calibri" w:cs="Calibri"/>
        </w:rPr>
        <w:t xml:space="preserve">é </w:t>
      </w:r>
      <w:r w:rsidR="00C23715" w:rsidRPr="003753FB">
        <w:rPr>
          <w:rFonts w:ascii="Calibri" w:hAnsi="Calibri" w:cs="Calibri"/>
        </w:rPr>
        <w:t>systémové aktivity</w:t>
      </w:r>
      <w:r w:rsidR="002F2203">
        <w:rPr>
          <w:rFonts w:ascii="Calibri" w:hAnsi="Calibri" w:cs="Calibri"/>
        </w:rPr>
        <w:t xml:space="preserve">, které by </w:t>
      </w:r>
      <w:r w:rsidR="00F9515D">
        <w:rPr>
          <w:rFonts w:ascii="Calibri" w:hAnsi="Calibri" w:cs="Calibri"/>
        </w:rPr>
        <w:t xml:space="preserve">přispěly k eliminaci rizika pracovního úrazu nebo nemoci z povolání </w:t>
      </w:r>
      <w:r w:rsidR="002F2203">
        <w:rPr>
          <w:rFonts w:ascii="Calibri" w:hAnsi="Calibri" w:cs="Calibri"/>
        </w:rPr>
        <w:t>v</w:t>
      </w:r>
      <w:r w:rsidR="00F9515D">
        <w:rPr>
          <w:rFonts w:ascii="Calibri" w:hAnsi="Calibri" w:cs="Calibri"/>
        </w:rPr>
        <w:t> </w:t>
      </w:r>
      <w:r w:rsidR="002F2203">
        <w:rPr>
          <w:rFonts w:ascii="Calibri" w:hAnsi="Calibri" w:cs="Calibri"/>
        </w:rPr>
        <w:t xml:space="preserve">daném sektoru </w:t>
      </w:r>
      <w:r w:rsidR="00C23715" w:rsidRPr="003753FB">
        <w:rPr>
          <w:rFonts w:ascii="Calibri" w:hAnsi="Calibri" w:cs="Calibri"/>
        </w:rPr>
        <w:t>nerealizovaly.</w:t>
      </w:r>
    </w:p>
    <w:p w14:paraId="70DAAF9A" w14:textId="77777777" w:rsidR="00D76EFD" w:rsidRPr="00BA58A0" w:rsidRDefault="00D76EFD" w:rsidP="00F309E9">
      <w:pPr>
        <w:ind w:left="-993"/>
        <w:jc w:val="both"/>
        <w:rPr>
          <w:rFonts w:ascii="Calibri" w:hAnsi="Calibri" w:cs="Calibri"/>
          <w:shd w:val="clear" w:color="auto" w:fill="FFFFFF"/>
        </w:rPr>
      </w:pPr>
      <w:r w:rsidRPr="00BA58A0">
        <w:rPr>
          <w:rFonts w:ascii="Calibri" w:hAnsi="Calibri" w:cs="Calibri"/>
          <w:shd w:val="clear" w:color="auto" w:fill="FFFFFF"/>
        </w:rPr>
        <w:t>Specifická pracoviště a skupiny zaměstnanců, na něž se tato problematika vztahuje, se týkají profesionálů v oblasti zdravotnictví. Jedná se o pracovníky, kteří se věnují psychicky i fyzicky náročné práci s klienty, a to zejména na dlouhodobém základě. Tito zaměstnanci čelí enormní zátěži a rizikům, zejména ze strany dospělých a dětských klientů s vážnými poruchami chování.</w:t>
      </w:r>
    </w:p>
    <w:p w14:paraId="108FAC2C" w14:textId="77777777" w:rsidR="00D76EFD" w:rsidRPr="00BA58A0" w:rsidRDefault="00D76EFD" w:rsidP="00F309E9">
      <w:pPr>
        <w:ind w:left="-993"/>
        <w:jc w:val="both"/>
        <w:rPr>
          <w:rFonts w:ascii="Calibri" w:hAnsi="Calibri" w:cs="Calibri"/>
          <w:shd w:val="clear" w:color="auto" w:fill="FFFFFF"/>
        </w:rPr>
      </w:pPr>
      <w:r w:rsidRPr="00BA58A0">
        <w:rPr>
          <w:rFonts w:ascii="Calibri" w:hAnsi="Calibri" w:cs="Calibri"/>
          <w:shd w:val="clear" w:color="auto" w:fill="FFFFFF"/>
        </w:rPr>
        <w:t>Práce na těchto pracovištích často vede k syndromu vyhoření, což je stav dlouhodobého vystavení stresu a psychické únavy. Kromě toho se setkávají s dalšími problémy spojenými s výzvami v péči o klienty s obtížným chováním. Situace je komplikována i tím, že pracovníci čelí fyzickým útokům a šikaně.</w:t>
      </w:r>
    </w:p>
    <w:p w14:paraId="72CCC5F5" w14:textId="77777777" w:rsidR="00D76EFD" w:rsidRPr="00BA58A0" w:rsidRDefault="00D76EFD" w:rsidP="00F309E9">
      <w:pPr>
        <w:ind w:left="-993"/>
        <w:jc w:val="both"/>
        <w:rPr>
          <w:rFonts w:ascii="Calibri" w:hAnsi="Calibri" w:cs="Calibri"/>
          <w:shd w:val="clear" w:color="auto" w:fill="FFFFFF"/>
        </w:rPr>
      </w:pPr>
      <w:r w:rsidRPr="00BA58A0">
        <w:rPr>
          <w:rFonts w:ascii="Calibri" w:hAnsi="Calibri" w:cs="Calibri"/>
          <w:shd w:val="clear" w:color="auto" w:fill="FFFFFF"/>
        </w:rPr>
        <w:t>Je důležité zdůraznit, že i přes vysokou náročnost a rizikovost práce těchto zaměstnanců nebyly dosud realizovány žádné systémové aktivity, které by přispěly k eliminaci rizika pracovního úrazu nebo nemoci z povolání v tomto specifickém sektoru. To ukazuje na naléhavou potřebu implementace opatření zaměřených na zlepšení pracovních podmínek a bezpečnosti těchto pracovníků ve zdravotnickém prostředí.</w:t>
      </w:r>
    </w:p>
    <w:p w14:paraId="0B562178" w14:textId="77777777" w:rsidR="00D76EFD" w:rsidRPr="003753FB" w:rsidRDefault="00D76EFD" w:rsidP="00347B43">
      <w:pPr>
        <w:ind w:left="-993"/>
        <w:jc w:val="both"/>
        <w:rPr>
          <w:rFonts w:ascii="Calibri" w:hAnsi="Calibri" w:cs="Calibri"/>
        </w:rPr>
      </w:pPr>
    </w:p>
    <w:tbl>
      <w:tblPr>
        <w:tblStyle w:val="Mkatabulky"/>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67"/>
        <w:gridCol w:w="2261"/>
        <w:gridCol w:w="2261"/>
        <w:gridCol w:w="2261"/>
      </w:tblGrid>
      <w:tr w:rsidR="00C23715" w14:paraId="6B4FE954" w14:textId="77777777" w:rsidTr="00347B43">
        <w:tc>
          <w:tcPr>
            <w:tcW w:w="3267" w:type="dxa"/>
            <w:shd w:val="clear" w:color="auto" w:fill="D9E2F3" w:themeFill="accent1" w:themeFillTint="33"/>
          </w:tcPr>
          <w:p w14:paraId="328A8B1B" w14:textId="77777777" w:rsidR="00C23715" w:rsidRPr="00E57BC0" w:rsidRDefault="00C23715" w:rsidP="00A63A70">
            <w:pPr>
              <w:contextualSpacing/>
              <w:jc w:val="both"/>
              <w:rPr>
                <w:b/>
                <w:bCs/>
              </w:rPr>
            </w:pPr>
            <w:r>
              <w:rPr>
                <w:b/>
                <w:bCs/>
              </w:rPr>
              <w:t>Druh PÚ Sociální služby</w:t>
            </w:r>
          </w:p>
        </w:tc>
        <w:tc>
          <w:tcPr>
            <w:tcW w:w="2261" w:type="dxa"/>
            <w:shd w:val="clear" w:color="auto" w:fill="D9E2F3" w:themeFill="accent1" w:themeFillTint="33"/>
          </w:tcPr>
          <w:p w14:paraId="0807670D" w14:textId="77777777" w:rsidR="00C23715" w:rsidRPr="00E57BC0" w:rsidRDefault="00C23715" w:rsidP="00A63A70">
            <w:pPr>
              <w:contextualSpacing/>
              <w:jc w:val="both"/>
              <w:rPr>
                <w:b/>
                <w:bCs/>
              </w:rPr>
            </w:pPr>
            <w:r>
              <w:rPr>
                <w:b/>
                <w:bCs/>
              </w:rPr>
              <w:t>Smrtelný</w:t>
            </w:r>
          </w:p>
        </w:tc>
        <w:tc>
          <w:tcPr>
            <w:tcW w:w="2261" w:type="dxa"/>
            <w:shd w:val="clear" w:color="auto" w:fill="D9E2F3" w:themeFill="accent1" w:themeFillTint="33"/>
          </w:tcPr>
          <w:p w14:paraId="1F0901D7" w14:textId="77777777" w:rsidR="00C23715" w:rsidRPr="00E57BC0" w:rsidRDefault="00C23715" w:rsidP="00A63A70">
            <w:pPr>
              <w:contextualSpacing/>
              <w:jc w:val="both"/>
              <w:rPr>
                <w:b/>
                <w:bCs/>
              </w:rPr>
            </w:pPr>
            <w:r>
              <w:rPr>
                <w:b/>
                <w:bCs/>
              </w:rPr>
              <w:t>Závažný</w:t>
            </w:r>
          </w:p>
        </w:tc>
        <w:tc>
          <w:tcPr>
            <w:tcW w:w="2261" w:type="dxa"/>
            <w:shd w:val="clear" w:color="auto" w:fill="D9E2F3" w:themeFill="accent1" w:themeFillTint="33"/>
          </w:tcPr>
          <w:p w14:paraId="37985DB6" w14:textId="77777777" w:rsidR="00C23715" w:rsidRPr="00E57BC0" w:rsidRDefault="00C23715" w:rsidP="00A63A70">
            <w:pPr>
              <w:contextualSpacing/>
              <w:jc w:val="both"/>
              <w:rPr>
                <w:b/>
                <w:bCs/>
              </w:rPr>
            </w:pPr>
            <w:r>
              <w:rPr>
                <w:b/>
                <w:bCs/>
              </w:rPr>
              <w:t>Ostatní</w:t>
            </w:r>
          </w:p>
        </w:tc>
      </w:tr>
      <w:tr w:rsidR="00C23715" w14:paraId="673C3BE3" w14:textId="77777777" w:rsidTr="00347B43">
        <w:tc>
          <w:tcPr>
            <w:tcW w:w="3267" w:type="dxa"/>
          </w:tcPr>
          <w:p w14:paraId="488B8042" w14:textId="77777777" w:rsidR="00C23715" w:rsidRDefault="00C23715" w:rsidP="00A63A70">
            <w:pPr>
              <w:contextualSpacing/>
              <w:jc w:val="both"/>
              <w:rPr>
                <w:b/>
                <w:bCs/>
              </w:rPr>
            </w:pPr>
            <w:r>
              <w:rPr>
                <w:b/>
                <w:bCs/>
              </w:rPr>
              <w:t>Rok 2021</w:t>
            </w:r>
          </w:p>
        </w:tc>
        <w:tc>
          <w:tcPr>
            <w:tcW w:w="2261" w:type="dxa"/>
            <w:vAlign w:val="bottom"/>
          </w:tcPr>
          <w:p w14:paraId="2AC4332D" w14:textId="77777777" w:rsidR="00C23715" w:rsidRDefault="00C23715" w:rsidP="00A63A70">
            <w:pPr>
              <w:contextualSpacing/>
              <w:jc w:val="both"/>
            </w:pPr>
            <w:r w:rsidRPr="00CA6C65">
              <w:rPr>
                <w:rFonts w:ascii="Calibri" w:hAnsi="Calibri" w:cs="Calibri"/>
                <w:color w:val="000000"/>
              </w:rPr>
              <w:t>1</w:t>
            </w:r>
          </w:p>
        </w:tc>
        <w:tc>
          <w:tcPr>
            <w:tcW w:w="2261" w:type="dxa"/>
            <w:vAlign w:val="bottom"/>
          </w:tcPr>
          <w:p w14:paraId="43EC1EF6" w14:textId="77777777" w:rsidR="00C23715" w:rsidRDefault="00C23715" w:rsidP="00A63A70">
            <w:pPr>
              <w:contextualSpacing/>
              <w:jc w:val="both"/>
            </w:pPr>
            <w:r w:rsidRPr="00CA6C65">
              <w:rPr>
                <w:rFonts w:ascii="Calibri" w:hAnsi="Calibri" w:cs="Calibri"/>
                <w:color w:val="000000"/>
              </w:rPr>
              <w:t>9</w:t>
            </w:r>
          </w:p>
        </w:tc>
        <w:tc>
          <w:tcPr>
            <w:tcW w:w="2261" w:type="dxa"/>
            <w:vAlign w:val="bottom"/>
          </w:tcPr>
          <w:p w14:paraId="546CA67F" w14:textId="77777777" w:rsidR="00C23715" w:rsidRDefault="00C23715" w:rsidP="00A63A70">
            <w:pPr>
              <w:contextualSpacing/>
              <w:jc w:val="both"/>
            </w:pPr>
            <w:r w:rsidRPr="00CA6C65">
              <w:rPr>
                <w:rFonts w:ascii="Calibri" w:hAnsi="Calibri" w:cs="Calibri"/>
                <w:color w:val="000000"/>
              </w:rPr>
              <w:t>900</w:t>
            </w:r>
          </w:p>
        </w:tc>
      </w:tr>
      <w:tr w:rsidR="00C23715" w14:paraId="30C26572" w14:textId="77777777" w:rsidTr="00347B43">
        <w:tc>
          <w:tcPr>
            <w:tcW w:w="3267" w:type="dxa"/>
          </w:tcPr>
          <w:p w14:paraId="0CD266EF" w14:textId="77777777" w:rsidR="00C23715" w:rsidRDefault="00C23715" w:rsidP="00A63A70">
            <w:pPr>
              <w:contextualSpacing/>
              <w:jc w:val="both"/>
              <w:rPr>
                <w:b/>
                <w:bCs/>
              </w:rPr>
            </w:pPr>
            <w:r>
              <w:rPr>
                <w:b/>
                <w:bCs/>
              </w:rPr>
              <w:t>Rok 2022</w:t>
            </w:r>
          </w:p>
        </w:tc>
        <w:tc>
          <w:tcPr>
            <w:tcW w:w="2261" w:type="dxa"/>
            <w:vAlign w:val="bottom"/>
          </w:tcPr>
          <w:p w14:paraId="7EC38EC6" w14:textId="77777777" w:rsidR="00C23715" w:rsidRDefault="00C23715" w:rsidP="00A63A70">
            <w:pPr>
              <w:contextualSpacing/>
              <w:jc w:val="both"/>
            </w:pPr>
            <w:r w:rsidRPr="00CA6C65">
              <w:t>0</w:t>
            </w:r>
          </w:p>
        </w:tc>
        <w:tc>
          <w:tcPr>
            <w:tcW w:w="2261" w:type="dxa"/>
            <w:vAlign w:val="bottom"/>
          </w:tcPr>
          <w:p w14:paraId="2F494BB9" w14:textId="77777777" w:rsidR="00C23715" w:rsidRDefault="00C23715" w:rsidP="00A63A70">
            <w:pPr>
              <w:contextualSpacing/>
              <w:jc w:val="both"/>
            </w:pPr>
            <w:r w:rsidRPr="00CA6C65">
              <w:rPr>
                <w:rFonts w:ascii="Calibri" w:hAnsi="Calibri" w:cs="Calibri"/>
                <w:color w:val="000000"/>
              </w:rPr>
              <w:t>9</w:t>
            </w:r>
          </w:p>
        </w:tc>
        <w:tc>
          <w:tcPr>
            <w:tcW w:w="2261" w:type="dxa"/>
            <w:vAlign w:val="bottom"/>
          </w:tcPr>
          <w:p w14:paraId="29EAD38C" w14:textId="77777777" w:rsidR="00C23715" w:rsidRDefault="00C23715" w:rsidP="00A63A70">
            <w:pPr>
              <w:contextualSpacing/>
              <w:jc w:val="both"/>
            </w:pPr>
            <w:r w:rsidRPr="00CA6C65">
              <w:rPr>
                <w:rFonts w:ascii="Calibri" w:hAnsi="Calibri" w:cs="Calibri"/>
                <w:color w:val="000000"/>
              </w:rPr>
              <w:t>769</w:t>
            </w:r>
          </w:p>
        </w:tc>
      </w:tr>
      <w:tr w:rsidR="00AC1719" w14:paraId="516BE80A" w14:textId="77777777" w:rsidTr="00347B43">
        <w:tc>
          <w:tcPr>
            <w:tcW w:w="3267" w:type="dxa"/>
          </w:tcPr>
          <w:p w14:paraId="1D32FECC" w14:textId="33B19675" w:rsidR="00AC1719" w:rsidRDefault="00AC1719" w:rsidP="00A63A70">
            <w:pPr>
              <w:contextualSpacing/>
              <w:jc w:val="both"/>
              <w:rPr>
                <w:b/>
                <w:bCs/>
              </w:rPr>
            </w:pPr>
            <w:r>
              <w:rPr>
                <w:b/>
                <w:bCs/>
              </w:rPr>
              <w:t>Rok 2023 (k 24.11.23)</w:t>
            </w:r>
          </w:p>
        </w:tc>
        <w:tc>
          <w:tcPr>
            <w:tcW w:w="2261" w:type="dxa"/>
            <w:vAlign w:val="bottom"/>
          </w:tcPr>
          <w:p w14:paraId="48658C7C" w14:textId="02E946FE" w:rsidR="00AC1719" w:rsidRPr="00CA6C65" w:rsidRDefault="00AC1719" w:rsidP="00A63A70">
            <w:pPr>
              <w:contextualSpacing/>
              <w:jc w:val="both"/>
            </w:pPr>
            <w:r>
              <w:t>0</w:t>
            </w:r>
          </w:p>
        </w:tc>
        <w:tc>
          <w:tcPr>
            <w:tcW w:w="2261" w:type="dxa"/>
            <w:vAlign w:val="bottom"/>
          </w:tcPr>
          <w:p w14:paraId="7ACB499C" w14:textId="4A55234A" w:rsidR="00AC1719" w:rsidRPr="00CA6C65" w:rsidRDefault="00AC1719" w:rsidP="00A63A70">
            <w:pPr>
              <w:contextualSpacing/>
              <w:jc w:val="both"/>
              <w:rPr>
                <w:rFonts w:ascii="Calibri" w:hAnsi="Calibri" w:cs="Calibri"/>
                <w:color w:val="000000"/>
              </w:rPr>
            </w:pPr>
            <w:r>
              <w:rPr>
                <w:rFonts w:ascii="Calibri" w:hAnsi="Calibri" w:cs="Calibri"/>
                <w:color w:val="000000"/>
              </w:rPr>
              <w:t>5</w:t>
            </w:r>
          </w:p>
        </w:tc>
        <w:tc>
          <w:tcPr>
            <w:tcW w:w="2261" w:type="dxa"/>
            <w:vAlign w:val="bottom"/>
          </w:tcPr>
          <w:p w14:paraId="63D3DA55" w14:textId="60DF3583" w:rsidR="00AC1719" w:rsidRPr="00CA6C65" w:rsidRDefault="00AC1719" w:rsidP="00A63A70">
            <w:pPr>
              <w:contextualSpacing/>
              <w:jc w:val="both"/>
              <w:rPr>
                <w:rFonts w:ascii="Calibri" w:hAnsi="Calibri" w:cs="Calibri"/>
                <w:color w:val="000000"/>
              </w:rPr>
            </w:pPr>
            <w:r>
              <w:rPr>
                <w:rFonts w:ascii="Calibri" w:hAnsi="Calibri" w:cs="Calibri"/>
                <w:color w:val="000000"/>
              </w:rPr>
              <w:t>759</w:t>
            </w:r>
          </w:p>
        </w:tc>
      </w:tr>
    </w:tbl>
    <w:p w14:paraId="5733767B" w14:textId="77777777" w:rsidR="00AC1719" w:rsidRDefault="00AC1719" w:rsidP="00A63A70">
      <w:pPr>
        <w:spacing w:after="0" w:line="240" w:lineRule="auto"/>
        <w:contextualSpacing/>
        <w:jc w:val="both"/>
        <w:rPr>
          <w:b/>
          <w:bCs/>
        </w:rPr>
      </w:pPr>
    </w:p>
    <w:p w14:paraId="0DB6F9E5" w14:textId="0B9B12F8" w:rsidR="00C23715" w:rsidRDefault="00C23715" w:rsidP="00347B43">
      <w:pPr>
        <w:spacing w:after="0" w:line="240" w:lineRule="auto"/>
        <w:ind w:left="-993"/>
        <w:contextualSpacing/>
        <w:jc w:val="both"/>
        <w:rPr>
          <w:b/>
          <w:bCs/>
        </w:rPr>
      </w:pPr>
      <w:r>
        <w:rPr>
          <w:b/>
          <w:bCs/>
        </w:rPr>
        <w:t>Nejčastější zdroje PÚ:</w:t>
      </w:r>
    </w:p>
    <w:p w14:paraId="3F9D71E0" w14:textId="2B7A7403" w:rsidR="00C23715" w:rsidRPr="00BA58A0" w:rsidRDefault="00C23715">
      <w:pPr>
        <w:pStyle w:val="Odstavecseseznamem"/>
        <w:numPr>
          <w:ilvl w:val="0"/>
          <w:numId w:val="5"/>
        </w:numPr>
        <w:spacing w:after="0" w:line="240" w:lineRule="auto"/>
        <w:ind w:left="-709" w:hanging="284"/>
        <w:jc w:val="both"/>
      </w:pPr>
      <w:r w:rsidRPr="00BA58A0">
        <w:t>Živé organismy a lidské bytosti</w:t>
      </w:r>
      <w:r w:rsidR="000A1797" w:rsidRPr="00BA58A0">
        <w:t>,</w:t>
      </w:r>
    </w:p>
    <w:p w14:paraId="1626743F" w14:textId="3AB01C57" w:rsidR="00C23715" w:rsidRPr="00BA58A0" w:rsidRDefault="00C23715">
      <w:pPr>
        <w:pStyle w:val="Odstavecseseznamem"/>
        <w:numPr>
          <w:ilvl w:val="0"/>
          <w:numId w:val="5"/>
        </w:numPr>
        <w:spacing w:after="0" w:line="240" w:lineRule="auto"/>
        <w:ind w:left="-709" w:hanging="284"/>
        <w:jc w:val="both"/>
      </w:pPr>
      <w:r w:rsidRPr="00BA58A0">
        <w:t>Budovy, stavební konstrukce, povrchy – v úrovni země (uvnitř i vně, pevné či mobilní, dočasné nebo trvalé)</w:t>
      </w:r>
      <w:r w:rsidR="000A1797" w:rsidRPr="00BA58A0">
        <w:t>,</w:t>
      </w:r>
    </w:p>
    <w:p w14:paraId="5C464E81" w14:textId="3950E81D" w:rsidR="00C23715" w:rsidRPr="00BA58A0" w:rsidRDefault="00C23715">
      <w:pPr>
        <w:pStyle w:val="Odstavecseseznamem"/>
        <w:numPr>
          <w:ilvl w:val="0"/>
          <w:numId w:val="5"/>
        </w:numPr>
        <w:spacing w:after="0" w:line="240" w:lineRule="auto"/>
        <w:ind w:left="-709" w:hanging="284"/>
        <w:jc w:val="both"/>
      </w:pPr>
      <w:r w:rsidRPr="00BA58A0">
        <w:t>Budovy, konstrukce, povrchy nad úrovní země (uvnitř i vně)</w:t>
      </w:r>
      <w:r w:rsidR="000A1797" w:rsidRPr="00BA58A0">
        <w:t>.</w:t>
      </w:r>
    </w:p>
    <w:p w14:paraId="4D60F1ED" w14:textId="5D9F1B06" w:rsidR="00C23715" w:rsidRPr="00BA58A0" w:rsidRDefault="00C23715" w:rsidP="00347B43">
      <w:pPr>
        <w:spacing w:after="0" w:line="240" w:lineRule="auto"/>
        <w:ind w:left="-993"/>
        <w:contextualSpacing/>
        <w:jc w:val="both"/>
        <w:rPr>
          <w:b/>
          <w:bCs/>
        </w:rPr>
      </w:pPr>
      <w:r w:rsidRPr="00BA58A0">
        <w:rPr>
          <w:b/>
          <w:bCs/>
        </w:rPr>
        <w:t>Nejčastější příčiny PÚ:</w:t>
      </w:r>
    </w:p>
    <w:p w14:paraId="1B2DFE0C" w14:textId="77777777" w:rsidR="00C23715" w:rsidRPr="00BA58A0" w:rsidRDefault="00C23715">
      <w:pPr>
        <w:pStyle w:val="Odstavecseseznamem"/>
        <w:numPr>
          <w:ilvl w:val="0"/>
          <w:numId w:val="5"/>
        </w:numPr>
        <w:spacing w:after="0" w:line="240" w:lineRule="auto"/>
        <w:ind w:left="-709" w:hanging="284"/>
        <w:jc w:val="both"/>
      </w:pPr>
      <w:r w:rsidRPr="00BA58A0">
        <w:t>Špatně nebo nedostatečně odhadnuté riziko,</w:t>
      </w:r>
    </w:p>
    <w:p w14:paraId="4E77C9E1" w14:textId="77777777" w:rsidR="00C23715" w:rsidRPr="00BA58A0" w:rsidRDefault="00C23715">
      <w:pPr>
        <w:pStyle w:val="Odstavecseseznamem"/>
        <w:numPr>
          <w:ilvl w:val="0"/>
          <w:numId w:val="5"/>
        </w:numPr>
        <w:spacing w:after="0" w:line="240" w:lineRule="auto"/>
        <w:ind w:left="-709" w:hanging="284"/>
        <w:jc w:val="both"/>
      </w:pPr>
      <w:r w:rsidRPr="00BA58A0">
        <w:t>Ohrožení jinými osobami (odvedení pozornosti při práci, žerty, hádky a jiná nesprávní či nebezpečná jednání druhých osob,</w:t>
      </w:r>
    </w:p>
    <w:p w14:paraId="37F7E836" w14:textId="77777777" w:rsidR="007218E2" w:rsidRPr="00BA58A0" w:rsidRDefault="007218E2">
      <w:pPr>
        <w:pStyle w:val="Odstavecseseznamem"/>
        <w:numPr>
          <w:ilvl w:val="0"/>
          <w:numId w:val="5"/>
        </w:numPr>
        <w:spacing w:after="0" w:line="240" w:lineRule="auto"/>
        <w:ind w:left="-709" w:hanging="284"/>
        <w:jc w:val="both"/>
      </w:pPr>
      <w:r w:rsidRPr="00BA58A0">
        <w:t>Manipulace s těžkými břemeny: Úrazy spojené s fyzickou námahou při manipulaci s těžkými břemeny, což může zahrnovat zdvihání, přenášení a manipulaci s těžkým nákladem.</w:t>
      </w:r>
    </w:p>
    <w:p w14:paraId="732F81C5" w14:textId="57065373" w:rsidR="000D3B49" w:rsidRPr="00BA58A0" w:rsidRDefault="000D3B49">
      <w:pPr>
        <w:pStyle w:val="Odstavecseseznamem"/>
        <w:numPr>
          <w:ilvl w:val="0"/>
          <w:numId w:val="5"/>
        </w:numPr>
        <w:spacing w:after="0" w:line="240" w:lineRule="auto"/>
        <w:ind w:left="-709" w:hanging="284"/>
        <w:jc w:val="both"/>
      </w:pPr>
      <w:r w:rsidRPr="00BA58A0">
        <w:lastRenderedPageBreak/>
        <w:t>Fyzické a psychické napadání pacienty (u pracovníků zdravotních záchranných služeb a dopravních zdravotních služeb)</w:t>
      </w:r>
    </w:p>
    <w:p w14:paraId="6488AD6E" w14:textId="77777777" w:rsidR="00C23715" w:rsidRPr="00BA58A0" w:rsidRDefault="00C23715">
      <w:pPr>
        <w:pStyle w:val="Odstavecseseznamem"/>
        <w:numPr>
          <w:ilvl w:val="0"/>
          <w:numId w:val="5"/>
        </w:numPr>
        <w:spacing w:after="0" w:line="240" w:lineRule="auto"/>
        <w:ind w:left="-709" w:hanging="284"/>
        <w:jc w:val="both"/>
      </w:pPr>
      <w:r w:rsidRPr="00BA58A0">
        <w:t>Vadný nebo nepříznivý stav zdroje úrazu (nikoliv pracoviště).</w:t>
      </w:r>
    </w:p>
    <w:p w14:paraId="1A2AB6A0" w14:textId="77777777" w:rsidR="007218E2" w:rsidRPr="00BA58A0" w:rsidRDefault="007218E2">
      <w:pPr>
        <w:pStyle w:val="Odstavecseseznamem"/>
        <w:numPr>
          <w:ilvl w:val="0"/>
          <w:numId w:val="5"/>
        </w:numPr>
        <w:spacing w:after="0" w:line="240" w:lineRule="auto"/>
        <w:ind w:left="-709" w:hanging="284"/>
        <w:jc w:val="both"/>
      </w:pPr>
      <w:r w:rsidRPr="00BA58A0">
        <w:t>Chemické látky a nebezpečné látky: Pracovníci, kteří mají kontakt s chemickými látkami nebo nebezpečnými materiály, jsou vystaveni riziku chemických popálenin nebo otrav.</w:t>
      </w:r>
    </w:p>
    <w:p w14:paraId="2C6A8A2C" w14:textId="2C4ADD77" w:rsidR="007218E2" w:rsidRPr="00BA58A0" w:rsidRDefault="007218E2">
      <w:pPr>
        <w:pStyle w:val="Odstavecseseznamem"/>
        <w:numPr>
          <w:ilvl w:val="0"/>
          <w:numId w:val="5"/>
        </w:numPr>
        <w:spacing w:after="0" w:line="240" w:lineRule="auto"/>
        <w:ind w:left="-709" w:hanging="284"/>
        <w:jc w:val="both"/>
      </w:pPr>
      <w:r w:rsidRPr="00BA58A0">
        <w:t>Poranění o ostré předměty (jehla, skalpel apod.)</w:t>
      </w:r>
    </w:p>
    <w:p w14:paraId="6A7235FE" w14:textId="77777777" w:rsidR="00C23715" w:rsidRDefault="00C23715" w:rsidP="00A63A70">
      <w:pPr>
        <w:spacing w:after="0" w:line="240" w:lineRule="auto"/>
        <w:contextualSpacing/>
        <w:jc w:val="both"/>
        <w:rPr>
          <w:b/>
          <w:bCs/>
        </w:rPr>
      </w:pPr>
    </w:p>
    <w:tbl>
      <w:tblPr>
        <w:tblStyle w:val="Mkatabulky"/>
        <w:tblW w:w="8394"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1"/>
        <w:gridCol w:w="1813"/>
        <w:gridCol w:w="1813"/>
        <w:gridCol w:w="1847"/>
      </w:tblGrid>
      <w:tr w:rsidR="00D07589" w14:paraId="3325DF95" w14:textId="526BEBD1" w:rsidTr="00D07589">
        <w:tc>
          <w:tcPr>
            <w:tcW w:w="2921" w:type="dxa"/>
            <w:shd w:val="clear" w:color="auto" w:fill="D9E2F3" w:themeFill="accent1" w:themeFillTint="33"/>
          </w:tcPr>
          <w:p w14:paraId="0A8D6113" w14:textId="77777777" w:rsidR="00D07589" w:rsidRPr="00E57BC0" w:rsidRDefault="00D07589" w:rsidP="00A63A70">
            <w:pPr>
              <w:contextualSpacing/>
              <w:jc w:val="both"/>
              <w:rPr>
                <w:b/>
                <w:bCs/>
              </w:rPr>
            </w:pPr>
            <w:r w:rsidRPr="00E57BC0">
              <w:rPr>
                <w:b/>
                <w:bCs/>
              </w:rPr>
              <w:t>Rok</w:t>
            </w:r>
          </w:p>
        </w:tc>
        <w:tc>
          <w:tcPr>
            <w:tcW w:w="1813" w:type="dxa"/>
            <w:shd w:val="clear" w:color="auto" w:fill="D9E2F3" w:themeFill="accent1" w:themeFillTint="33"/>
          </w:tcPr>
          <w:p w14:paraId="461EEBCF" w14:textId="77777777" w:rsidR="00D07589" w:rsidRPr="00E57BC0" w:rsidRDefault="00D07589" w:rsidP="00A63A70">
            <w:pPr>
              <w:contextualSpacing/>
              <w:jc w:val="both"/>
              <w:rPr>
                <w:b/>
                <w:bCs/>
              </w:rPr>
            </w:pPr>
            <w:r w:rsidRPr="00E57BC0">
              <w:rPr>
                <w:b/>
                <w:bCs/>
              </w:rPr>
              <w:t>2021</w:t>
            </w:r>
          </w:p>
        </w:tc>
        <w:tc>
          <w:tcPr>
            <w:tcW w:w="1813" w:type="dxa"/>
            <w:shd w:val="clear" w:color="auto" w:fill="D9E2F3" w:themeFill="accent1" w:themeFillTint="33"/>
          </w:tcPr>
          <w:p w14:paraId="2B49393F" w14:textId="77777777" w:rsidR="00D07589" w:rsidRPr="00E57BC0" w:rsidRDefault="00D07589" w:rsidP="00A63A70">
            <w:pPr>
              <w:contextualSpacing/>
              <w:jc w:val="both"/>
              <w:rPr>
                <w:b/>
                <w:bCs/>
              </w:rPr>
            </w:pPr>
            <w:r w:rsidRPr="00E57BC0">
              <w:rPr>
                <w:b/>
                <w:bCs/>
              </w:rPr>
              <w:t>2022</w:t>
            </w:r>
          </w:p>
        </w:tc>
        <w:tc>
          <w:tcPr>
            <w:tcW w:w="1847" w:type="dxa"/>
            <w:shd w:val="clear" w:color="auto" w:fill="D9E2F3" w:themeFill="accent1" w:themeFillTint="33"/>
          </w:tcPr>
          <w:p w14:paraId="1142A332" w14:textId="7D4F9007" w:rsidR="00D07589" w:rsidRPr="00E57BC0" w:rsidRDefault="00D07589" w:rsidP="00A63A70">
            <w:pPr>
              <w:contextualSpacing/>
              <w:jc w:val="both"/>
              <w:rPr>
                <w:b/>
                <w:bCs/>
              </w:rPr>
            </w:pPr>
            <w:r>
              <w:rPr>
                <w:b/>
                <w:bCs/>
              </w:rPr>
              <w:t>2023 (k 24.11.23)</w:t>
            </w:r>
          </w:p>
        </w:tc>
      </w:tr>
      <w:tr w:rsidR="00D07589" w14:paraId="56642D7C" w14:textId="447B68B7" w:rsidTr="00D07589">
        <w:tc>
          <w:tcPr>
            <w:tcW w:w="2921" w:type="dxa"/>
          </w:tcPr>
          <w:p w14:paraId="4EFF2BB9" w14:textId="77777777" w:rsidR="00D07589" w:rsidRPr="00E57BC0" w:rsidRDefault="00D07589" w:rsidP="00A63A70">
            <w:pPr>
              <w:contextualSpacing/>
              <w:jc w:val="both"/>
              <w:rPr>
                <w:b/>
                <w:bCs/>
              </w:rPr>
            </w:pPr>
            <w:r>
              <w:rPr>
                <w:b/>
                <w:bCs/>
              </w:rPr>
              <w:t>Počet kontrol</w:t>
            </w:r>
          </w:p>
        </w:tc>
        <w:tc>
          <w:tcPr>
            <w:tcW w:w="1813" w:type="dxa"/>
          </w:tcPr>
          <w:p w14:paraId="7D20233E" w14:textId="77777777" w:rsidR="00D07589" w:rsidRDefault="00D07589" w:rsidP="00A63A70">
            <w:pPr>
              <w:contextualSpacing/>
              <w:jc w:val="both"/>
            </w:pPr>
            <w:r w:rsidRPr="00CA6C65">
              <w:t>93</w:t>
            </w:r>
          </w:p>
        </w:tc>
        <w:tc>
          <w:tcPr>
            <w:tcW w:w="1813" w:type="dxa"/>
          </w:tcPr>
          <w:p w14:paraId="54F50240" w14:textId="77777777" w:rsidR="00D07589" w:rsidRDefault="00D07589" w:rsidP="00A63A70">
            <w:pPr>
              <w:contextualSpacing/>
              <w:jc w:val="both"/>
            </w:pPr>
            <w:r w:rsidRPr="00CA6C65">
              <w:t>112</w:t>
            </w:r>
          </w:p>
        </w:tc>
        <w:tc>
          <w:tcPr>
            <w:tcW w:w="1847" w:type="dxa"/>
          </w:tcPr>
          <w:p w14:paraId="4D6D0D1F" w14:textId="6406E9B1" w:rsidR="00D07589" w:rsidRPr="00CA6C65" w:rsidRDefault="00D07589" w:rsidP="00A63A70">
            <w:pPr>
              <w:contextualSpacing/>
              <w:jc w:val="both"/>
            </w:pPr>
            <w:r>
              <w:t>167</w:t>
            </w:r>
          </w:p>
        </w:tc>
      </w:tr>
      <w:tr w:rsidR="00D07589" w14:paraId="152728B1" w14:textId="6B9D3387" w:rsidTr="00D07589">
        <w:tc>
          <w:tcPr>
            <w:tcW w:w="2921" w:type="dxa"/>
          </w:tcPr>
          <w:p w14:paraId="5C31DEE3" w14:textId="77777777" w:rsidR="00D07589" w:rsidRPr="00E57BC0" w:rsidRDefault="00D07589" w:rsidP="00A63A70">
            <w:pPr>
              <w:contextualSpacing/>
              <w:jc w:val="both"/>
              <w:rPr>
                <w:b/>
                <w:bCs/>
              </w:rPr>
            </w:pPr>
            <w:r w:rsidRPr="00E57BC0">
              <w:rPr>
                <w:b/>
                <w:bCs/>
              </w:rPr>
              <w:t>Počet porušení</w:t>
            </w:r>
          </w:p>
        </w:tc>
        <w:tc>
          <w:tcPr>
            <w:tcW w:w="1813" w:type="dxa"/>
          </w:tcPr>
          <w:p w14:paraId="494B118A" w14:textId="77777777" w:rsidR="00D07589" w:rsidRDefault="00D07589" w:rsidP="00A63A70">
            <w:pPr>
              <w:contextualSpacing/>
              <w:jc w:val="both"/>
            </w:pPr>
            <w:r w:rsidRPr="00CA6C65">
              <w:t>92</w:t>
            </w:r>
          </w:p>
        </w:tc>
        <w:tc>
          <w:tcPr>
            <w:tcW w:w="1813" w:type="dxa"/>
          </w:tcPr>
          <w:p w14:paraId="5FECA948" w14:textId="77777777" w:rsidR="00D07589" w:rsidRDefault="00D07589" w:rsidP="00A63A70">
            <w:pPr>
              <w:contextualSpacing/>
              <w:jc w:val="both"/>
            </w:pPr>
            <w:r w:rsidRPr="00CA6C65">
              <w:t>272</w:t>
            </w:r>
          </w:p>
        </w:tc>
        <w:tc>
          <w:tcPr>
            <w:tcW w:w="1847" w:type="dxa"/>
          </w:tcPr>
          <w:p w14:paraId="08CEB702" w14:textId="30B6E1EF" w:rsidR="00D07589" w:rsidRPr="00CA6C65" w:rsidRDefault="00D07589" w:rsidP="00A63A70">
            <w:pPr>
              <w:contextualSpacing/>
              <w:jc w:val="both"/>
            </w:pPr>
            <w:r>
              <w:t>384</w:t>
            </w:r>
          </w:p>
        </w:tc>
      </w:tr>
    </w:tbl>
    <w:p w14:paraId="1A50D99B" w14:textId="6A2BE424" w:rsidR="00C23715" w:rsidRDefault="00C23715" w:rsidP="00A63A70">
      <w:pPr>
        <w:spacing w:after="0" w:line="240" w:lineRule="auto"/>
        <w:contextualSpacing/>
        <w:jc w:val="both"/>
      </w:pPr>
    </w:p>
    <w:p w14:paraId="2AB8D7D7" w14:textId="25475B94" w:rsidR="00C23715" w:rsidRDefault="00C23715" w:rsidP="00347B43">
      <w:pPr>
        <w:spacing w:after="0" w:line="240" w:lineRule="auto"/>
        <w:ind w:left="-993"/>
        <w:contextualSpacing/>
        <w:jc w:val="both"/>
        <w:rPr>
          <w:b/>
          <w:bCs/>
        </w:rPr>
      </w:pPr>
      <w:r w:rsidRPr="00E57BC0">
        <w:rPr>
          <w:b/>
          <w:bCs/>
        </w:rPr>
        <w:t>Nejčastěji porušovan</w:t>
      </w:r>
      <w:r>
        <w:rPr>
          <w:b/>
          <w:bCs/>
        </w:rPr>
        <w:t>é právní</w:t>
      </w:r>
      <w:r w:rsidRPr="00E57BC0">
        <w:rPr>
          <w:b/>
          <w:bCs/>
        </w:rPr>
        <w:t xml:space="preserve"> předpis</w:t>
      </w:r>
      <w:r>
        <w:rPr>
          <w:b/>
          <w:bCs/>
        </w:rPr>
        <w:t>y</w:t>
      </w:r>
      <w:r w:rsidRPr="00E57BC0">
        <w:rPr>
          <w:b/>
          <w:bCs/>
        </w:rPr>
        <w:t>:</w:t>
      </w:r>
    </w:p>
    <w:p w14:paraId="103D265B" w14:textId="77777777" w:rsidR="00C23715" w:rsidRPr="002351A8" w:rsidRDefault="00C23715">
      <w:pPr>
        <w:pStyle w:val="Odstavecseseznamem"/>
        <w:numPr>
          <w:ilvl w:val="0"/>
          <w:numId w:val="5"/>
        </w:numPr>
        <w:spacing w:after="0" w:line="240" w:lineRule="auto"/>
        <w:ind w:left="-709" w:hanging="284"/>
        <w:jc w:val="both"/>
      </w:pPr>
      <w:r w:rsidRPr="00FD3AB9">
        <w:rPr>
          <w:b/>
          <w:bCs/>
        </w:rPr>
        <w:t>zákon č. 262/2006 Sb.</w:t>
      </w:r>
      <w:r w:rsidRPr="002351A8">
        <w:t xml:space="preserve">, zákoník práce, ve znění pozdějších předpisů </w:t>
      </w:r>
      <w:r>
        <w:rPr>
          <w:rFonts w:cstheme="minorHAnsi"/>
        </w:rPr>
        <w:t>(</w:t>
      </w:r>
      <w:r>
        <w:t xml:space="preserve">zejména </w:t>
      </w:r>
      <w:proofErr w:type="spellStart"/>
      <w:r w:rsidRPr="002351A8">
        <w:t>ust</w:t>
      </w:r>
      <w:proofErr w:type="spellEnd"/>
      <w:r w:rsidRPr="002351A8">
        <w:t>. § 102 odst. 1</w:t>
      </w:r>
      <w:r>
        <w:t>),</w:t>
      </w:r>
    </w:p>
    <w:p w14:paraId="14F51CF8" w14:textId="77777777" w:rsidR="00C23715" w:rsidRDefault="00C23715">
      <w:pPr>
        <w:pStyle w:val="Odstavecseseznamem"/>
        <w:numPr>
          <w:ilvl w:val="0"/>
          <w:numId w:val="5"/>
        </w:numPr>
        <w:spacing w:after="0" w:line="240" w:lineRule="auto"/>
        <w:ind w:left="-709" w:hanging="284"/>
        <w:jc w:val="both"/>
      </w:pPr>
      <w:r w:rsidRPr="00793239">
        <w:rPr>
          <w:b/>
          <w:bCs/>
        </w:rPr>
        <w:t>zákon č. 309/2006 Sb.</w:t>
      </w:r>
      <w:r w:rsidRPr="00793239">
        <w:t>, kterým se upravují další požadavky bezpečnosti a ochrany zdraví při práci v</w:t>
      </w:r>
      <w:r>
        <w:t> </w:t>
      </w:r>
      <w:r w:rsidRPr="00793239">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Pr="002351A8">
        <w:t xml:space="preserve"> </w:t>
      </w:r>
      <w:r w:rsidRPr="00421407">
        <w:t>[</w:t>
      </w:r>
      <w:r>
        <w:t>zejména</w:t>
      </w:r>
      <w:r w:rsidRPr="002351A8">
        <w:t xml:space="preserve"> </w:t>
      </w:r>
      <w:proofErr w:type="spellStart"/>
      <w:r w:rsidRPr="002351A8">
        <w:t>ust</w:t>
      </w:r>
      <w:proofErr w:type="spellEnd"/>
      <w:r w:rsidRPr="002351A8">
        <w:t>. § 4 odst. 1 písm. c)</w:t>
      </w:r>
      <w:r>
        <w:t>;</w:t>
      </w:r>
      <w:r w:rsidRPr="002351A8">
        <w:t xml:space="preserve"> </w:t>
      </w:r>
      <w:proofErr w:type="spellStart"/>
      <w:r w:rsidRPr="002351A8">
        <w:t>ust</w:t>
      </w:r>
      <w:proofErr w:type="spellEnd"/>
      <w:r w:rsidRPr="002351A8">
        <w:t xml:space="preserve">. § </w:t>
      </w:r>
      <w:r>
        <w:t>2</w:t>
      </w:r>
      <w:r w:rsidRPr="002351A8">
        <w:t xml:space="preserve"> odst. 1 písm. a)</w:t>
      </w:r>
      <w:r>
        <w:t xml:space="preserve">; </w:t>
      </w:r>
      <w:proofErr w:type="spellStart"/>
      <w:r w:rsidRPr="002351A8">
        <w:t>ust</w:t>
      </w:r>
      <w:proofErr w:type="spellEnd"/>
      <w:r w:rsidRPr="002351A8">
        <w:t xml:space="preserve">. § </w:t>
      </w:r>
      <w:r>
        <w:t>6 odst. 1</w:t>
      </w:r>
      <w:r w:rsidRPr="00421407">
        <w:t>]</w:t>
      </w:r>
      <w:r>
        <w:t>,</w:t>
      </w:r>
    </w:p>
    <w:p w14:paraId="1A651A82" w14:textId="77777777" w:rsidR="00C23715" w:rsidRPr="00DA6D6A" w:rsidRDefault="00C23715">
      <w:pPr>
        <w:pStyle w:val="Odstavecseseznamem"/>
        <w:numPr>
          <w:ilvl w:val="0"/>
          <w:numId w:val="5"/>
        </w:numPr>
        <w:spacing w:after="0" w:line="240" w:lineRule="auto"/>
        <w:ind w:left="-709" w:hanging="284"/>
        <w:jc w:val="both"/>
      </w:pPr>
      <w:r>
        <w:rPr>
          <w:b/>
          <w:bCs/>
        </w:rPr>
        <w:t>nařízení vlády č</w:t>
      </w:r>
      <w:r w:rsidRPr="00EC1721">
        <w:rPr>
          <w:b/>
          <w:bCs/>
        </w:rPr>
        <w:t>. 101/2005 Sb.</w:t>
      </w:r>
      <w:r>
        <w:rPr>
          <w:b/>
          <w:bCs/>
        </w:rPr>
        <w:t>,</w:t>
      </w:r>
      <w:r>
        <w:t xml:space="preserve"> </w:t>
      </w:r>
      <w:r w:rsidRPr="00DA41A1">
        <w:t xml:space="preserve">o podrobnějších požadavcích na pracoviště a pracovní prostředí [zejména § 4 odst. 1 příloha, bod přílohy </w:t>
      </w:r>
      <w:r>
        <w:t xml:space="preserve">2.2.4; </w:t>
      </w:r>
      <w:proofErr w:type="spellStart"/>
      <w:r>
        <w:t>ust</w:t>
      </w:r>
      <w:proofErr w:type="spellEnd"/>
      <w:r>
        <w:t xml:space="preserve">. </w:t>
      </w:r>
      <w:r w:rsidRPr="00DA41A1">
        <w:t xml:space="preserve">§ 3 odst. </w:t>
      </w:r>
      <w:r>
        <w:t xml:space="preserve">4 písm. a); </w:t>
      </w:r>
      <w:proofErr w:type="spellStart"/>
      <w:r>
        <w:t>ust</w:t>
      </w:r>
      <w:proofErr w:type="spellEnd"/>
      <w:r>
        <w:t>.</w:t>
      </w:r>
      <w:r w:rsidRPr="00DA41A1">
        <w:t xml:space="preserve"> § 4 odst. 1 příloha, bod přílohy </w:t>
      </w:r>
      <w:r>
        <w:t>10.1</w:t>
      </w:r>
      <w:r w:rsidRPr="00DA41A1">
        <w:t>]</w:t>
      </w:r>
      <w:r>
        <w:t>.</w:t>
      </w:r>
    </w:p>
    <w:p w14:paraId="33B69A7C" w14:textId="77777777" w:rsidR="00C23715" w:rsidRDefault="00C23715" w:rsidP="00A63A70">
      <w:pPr>
        <w:spacing w:after="0"/>
        <w:ind w:right="-992"/>
        <w:jc w:val="both"/>
        <w:rPr>
          <w:b/>
          <w:bCs/>
          <w:color w:val="FF0000"/>
        </w:rPr>
      </w:pPr>
    </w:p>
    <w:p w14:paraId="71400EDC" w14:textId="43834084" w:rsidR="00453008" w:rsidRPr="00453008" w:rsidRDefault="003612AE" w:rsidP="00347B43">
      <w:pPr>
        <w:shd w:val="clear" w:color="auto" w:fill="FFFFFF"/>
        <w:spacing w:after="0" w:line="330" w:lineRule="atLeast"/>
        <w:ind w:left="-993"/>
        <w:jc w:val="both"/>
        <w:outlineLvl w:val="2"/>
        <w:rPr>
          <w:rFonts w:eastAsia="Times New Roman" w:cstheme="minorHAnsi"/>
          <w:b/>
          <w:bCs/>
          <w:lang w:eastAsia="cs-CZ"/>
        </w:rPr>
      </w:pPr>
      <w:bookmarkStart w:id="38" w:name="_Toc172709975"/>
      <w:r w:rsidRPr="003612AE">
        <w:rPr>
          <w:rFonts w:eastAsia="Times New Roman" w:cstheme="minorHAnsi"/>
          <w:b/>
          <w:bCs/>
          <w:lang w:eastAsia="cs-CZ"/>
        </w:rPr>
        <w:t>Nej</w:t>
      </w:r>
      <w:r w:rsidR="00453008">
        <w:rPr>
          <w:rFonts w:eastAsia="Times New Roman" w:cstheme="minorHAnsi"/>
          <w:b/>
          <w:bCs/>
          <w:lang w:eastAsia="cs-CZ"/>
        </w:rPr>
        <w:t xml:space="preserve">častější </w:t>
      </w:r>
      <w:r w:rsidR="00453008" w:rsidRPr="00453008">
        <w:rPr>
          <w:rFonts w:eastAsia="Times New Roman" w:cstheme="minorHAnsi"/>
          <w:b/>
          <w:bCs/>
          <w:lang w:eastAsia="cs-CZ"/>
        </w:rPr>
        <w:t>rizik</w:t>
      </w:r>
      <w:r w:rsidR="00453008">
        <w:rPr>
          <w:rFonts w:eastAsia="Times New Roman" w:cstheme="minorHAnsi"/>
          <w:b/>
          <w:bCs/>
          <w:lang w:eastAsia="cs-CZ"/>
        </w:rPr>
        <w:t xml:space="preserve">ové </w:t>
      </w:r>
      <w:r w:rsidR="001663D7">
        <w:rPr>
          <w:rFonts w:eastAsia="Times New Roman" w:cstheme="minorHAnsi"/>
          <w:b/>
          <w:bCs/>
          <w:lang w:eastAsia="cs-CZ"/>
        </w:rPr>
        <w:t>faktory</w:t>
      </w:r>
      <w:r w:rsidR="00453008">
        <w:rPr>
          <w:rFonts w:eastAsia="Times New Roman" w:cstheme="minorHAnsi"/>
          <w:b/>
          <w:bCs/>
          <w:lang w:eastAsia="cs-CZ"/>
        </w:rPr>
        <w:t>:</w:t>
      </w:r>
      <w:bookmarkEnd w:id="38"/>
    </w:p>
    <w:p w14:paraId="418711A5" w14:textId="3BAA060A" w:rsidR="00453008" w:rsidRPr="00453008" w:rsidRDefault="00453008">
      <w:pPr>
        <w:pStyle w:val="Odstavecseseznamem"/>
        <w:numPr>
          <w:ilvl w:val="0"/>
          <w:numId w:val="8"/>
        </w:numPr>
        <w:shd w:val="clear" w:color="auto" w:fill="FFFFFF"/>
        <w:spacing w:after="0" w:line="330" w:lineRule="atLeast"/>
        <w:ind w:left="-284"/>
        <w:jc w:val="both"/>
        <w:outlineLvl w:val="2"/>
        <w:rPr>
          <w:rFonts w:eastAsia="Times New Roman" w:cstheme="minorHAnsi"/>
          <w:lang w:eastAsia="cs-CZ"/>
        </w:rPr>
      </w:pPr>
      <w:r w:rsidRPr="00453008">
        <w:rPr>
          <w:rFonts w:eastAsia="Times New Roman" w:cstheme="minorHAnsi"/>
          <w:lang w:eastAsia="cs-CZ"/>
        </w:rPr>
        <w:t> </w:t>
      </w:r>
      <w:bookmarkStart w:id="39" w:name="_Toc172709976"/>
      <w:r w:rsidRPr="00453008">
        <w:rPr>
          <w:rFonts w:eastAsia="Times New Roman" w:cstheme="minorHAnsi"/>
          <w:lang w:eastAsia="cs-CZ"/>
        </w:rPr>
        <w:t>fyzická zátěž</w:t>
      </w:r>
      <w:bookmarkEnd w:id="39"/>
    </w:p>
    <w:p w14:paraId="75BCCD5E" w14:textId="4FCDE577" w:rsidR="00453008" w:rsidRDefault="00453008">
      <w:pPr>
        <w:pStyle w:val="Odstavecseseznamem"/>
        <w:numPr>
          <w:ilvl w:val="0"/>
          <w:numId w:val="8"/>
        </w:numPr>
        <w:shd w:val="clear" w:color="auto" w:fill="FFFFFF"/>
        <w:spacing w:after="0" w:line="330" w:lineRule="atLeast"/>
        <w:ind w:left="-284"/>
        <w:jc w:val="both"/>
        <w:outlineLvl w:val="2"/>
        <w:rPr>
          <w:rFonts w:eastAsia="Times New Roman" w:cstheme="minorHAnsi"/>
          <w:lang w:eastAsia="cs-CZ"/>
        </w:rPr>
      </w:pPr>
      <w:r w:rsidRPr="00453008">
        <w:rPr>
          <w:rFonts w:eastAsia="Times New Roman" w:cstheme="minorHAnsi"/>
          <w:lang w:eastAsia="cs-CZ"/>
        </w:rPr>
        <w:t> </w:t>
      </w:r>
      <w:bookmarkStart w:id="40" w:name="_Toc172709977"/>
      <w:r w:rsidRPr="00453008">
        <w:rPr>
          <w:rFonts w:eastAsia="Times New Roman" w:cstheme="minorHAnsi"/>
          <w:lang w:eastAsia="cs-CZ"/>
        </w:rPr>
        <w:t>zacházení s</w:t>
      </w:r>
      <w:r w:rsidR="007218E2">
        <w:rPr>
          <w:rFonts w:eastAsia="Times New Roman" w:cstheme="minorHAnsi"/>
          <w:lang w:eastAsia="cs-CZ"/>
        </w:rPr>
        <w:t> </w:t>
      </w:r>
      <w:r w:rsidRPr="00453008">
        <w:rPr>
          <w:rFonts w:eastAsia="Times New Roman" w:cstheme="minorHAnsi"/>
          <w:lang w:eastAsia="cs-CZ"/>
        </w:rPr>
        <w:t>lidmi</w:t>
      </w:r>
      <w:bookmarkEnd w:id="40"/>
    </w:p>
    <w:p w14:paraId="11FDF3CC" w14:textId="3A1AEA08" w:rsidR="007218E2" w:rsidRPr="00FD1B61" w:rsidRDefault="00FD1B61">
      <w:pPr>
        <w:pStyle w:val="Odstavecseseznamem"/>
        <w:numPr>
          <w:ilvl w:val="0"/>
          <w:numId w:val="8"/>
        </w:numPr>
        <w:shd w:val="clear" w:color="auto" w:fill="FFFFFF"/>
        <w:spacing w:after="0" w:line="330" w:lineRule="atLeast"/>
        <w:ind w:left="-284"/>
        <w:jc w:val="both"/>
        <w:outlineLvl w:val="2"/>
        <w:rPr>
          <w:rFonts w:eastAsia="Times New Roman" w:cstheme="minorHAnsi"/>
          <w:lang w:eastAsia="cs-CZ"/>
        </w:rPr>
      </w:pPr>
      <w:r>
        <w:rPr>
          <w:rFonts w:eastAsia="Times New Roman" w:cstheme="minorHAnsi"/>
          <w:lang w:eastAsia="cs-CZ"/>
        </w:rPr>
        <w:t xml:space="preserve"> </w:t>
      </w:r>
      <w:bookmarkStart w:id="41" w:name="_Toc172709978"/>
      <w:r>
        <w:rPr>
          <w:rFonts w:eastAsia="Times New Roman" w:cstheme="minorHAnsi"/>
          <w:lang w:eastAsia="cs-CZ"/>
        </w:rPr>
        <w:t>m</w:t>
      </w:r>
      <w:r w:rsidR="007218E2" w:rsidRPr="00FD1B61">
        <w:rPr>
          <w:rFonts w:eastAsia="Times New Roman" w:cstheme="minorHAnsi"/>
          <w:lang w:eastAsia="cs-CZ"/>
        </w:rPr>
        <w:t>anipulace s těžkými břemeny</w:t>
      </w:r>
      <w:bookmarkEnd w:id="41"/>
    </w:p>
    <w:p w14:paraId="671F7499" w14:textId="6A74F33F" w:rsidR="00453008" w:rsidRPr="00453008" w:rsidRDefault="00453008">
      <w:pPr>
        <w:pStyle w:val="Odstavecseseznamem"/>
        <w:numPr>
          <w:ilvl w:val="0"/>
          <w:numId w:val="8"/>
        </w:numPr>
        <w:shd w:val="clear" w:color="auto" w:fill="FFFFFF"/>
        <w:spacing w:after="0" w:line="330" w:lineRule="atLeast"/>
        <w:ind w:left="-284"/>
        <w:jc w:val="both"/>
        <w:outlineLvl w:val="2"/>
        <w:rPr>
          <w:rFonts w:eastAsia="Times New Roman" w:cstheme="minorHAnsi"/>
          <w:lang w:eastAsia="cs-CZ"/>
        </w:rPr>
      </w:pPr>
      <w:r w:rsidRPr="00453008">
        <w:rPr>
          <w:rFonts w:eastAsia="Times New Roman" w:cstheme="minorHAnsi"/>
          <w:lang w:eastAsia="cs-CZ"/>
        </w:rPr>
        <w:t> </w:t>
      </w:r>
      <w:bookmarkStart w:id="42" w:name="_Toc172709979"/>
      <w:r w:rsidRPr="00453008">
        <w:rPr>
          <w:rFonts w:eastAsia="Times New Roman" w:cstheme="minorHAnsi"/>
          <w:lang w:eastAsia="cs-CZ"/>
        </w:rPr>
        <w:t>péče a laické (nelékařské) zacházení</w:t>
      </w:r>
      <w:bookmarkEnd w:id="42"/>
    </w:p>
    <w:p w14:paraId="3CC90FB0" w14:textId="23A4A642" w:rsidR="00453008" w:rsidRPr="00453008" w:rsidRDefault="00453008">
      <w:pPr>
        <w:pStyle w:val="Odstavecseseznamem"/>
        <w:numPr>
          <w:ilvl w:val="0"/>
          <w:numId w:val="8"/>
        </w:numPr>
        <w:shd w:val="clear" w:color="auto" w:fill="FFFFFF"/>
        <w:spacing w:after="0" w:line="330" w:lineRule="atLeast"/>
        <w:ind w:left="-284"/>
        <w:jc w:val="both"/>
        <w:outlineLvl w:val="2"/>
        <w:rPr>
          <w:rFonts w:eastAsia="Times New Roman" w:cstheme="minorHAnsi"/>
          <w:lang w:eastAsia="cs-CZ"/>
        </w:rPr>
      </w:pPr>
      <w:r w:rsidRPr="00453008">
        <w:rPr>
          <w:rFonts w:eastAsia="Times New Roman" w:cstheme="minorHAnsi"/>
          <w:lang w:eastAsia="cs-CZ"/>
        </w:rPr>
        <w:t> </w:t>
      </w:r>
      <w:bookmarkStart w:id="43" w:name="_Toc172709980"/>
      <w:r w:rsidRPr="00453008">
        <w:rPr>
          <w:rFonts w:eastAsia="Times New Roman" w:cstheme="minorHAnsi"/>
          <w:lang w:eastAsia="cs-CZ"/>
        </w:rPr>
        <w:t>pomoc a osobní hygiena</w:t>
      </w:r>
      <w:bookmarkEnd w:id="43"/>
    </w:p>
    <w:p w14:paraId="086BA151" w14:textId="7E8AFACE" w:rsidR="00453008" w:rsidRPr="00453008" w:rsidRDefault="00453008">
      <w:pPr>
        <w:pStyle w:val="Odstavecseseznamem"/>
        <w:numPr>
          <w:ilvl w:val="0"/>
          <w:numId w:val="8"/>
        </w:numPr>
        <w:shd w:val="clear" w:color="auto" w:fill="FFFFFF"/>
        <w:spacing w:after="0" w:line="330" w:lineRule="atLeast"/>
        <w:ind w:left="-284"/>
        <w:jc w:val="both"/>
        <w:outlineLvl w:val="2"/>
        <w:rPr>
          <w:rFonts w:eastAsia="Times New Roman" w:cstheme="minorHAnsi"/>
          <w:lang w:eastAsia="cs-CZ"/>
        </w:rPr>
      </w:pPr>
      <w:r w:rsidRPr="00453008">
        <w:rPr>
          <w:rFonts w:eastAsia="Times New Roman" w:cstheme="minorHAnsi"/>
          <w:lang w:eastAsia="cs-CZ"/>
        </w:rPr>
        <w:t> </w:t>
      </w:r>
      <w:bookmarkStart w:id="44" w:name="_Toc172709981"/>
      <w:r w:rsidRPr="00453008">
        <w:rPr>
          <w:rFonts w:eastAsia="Times New Roman" w:cstheme="minorHAnsi"/>
          <w:lang w:eastAsia="cs-CZ"/>
        </w:rPr>
        <w:t>zaházení při nemocech a nákazách</w:t>
      </w:r>
      <w:bookmarkEnd w:id="44"/>
    </w:p>
    <w:p w14:paraId="241853C1" w14:textId="34C49FF5" w:rsidR="00453008" w:rsidRPr="00453008" w:rsidRDefault="00453008">
      <w:pPr>
        <w:pStyle w:val="Odstavecseseznamem"/>
        <w:numPr>
          <w:ilvl w:val="0"/>
          <w:numId w:val="8"/>
        </w:numPr>
        <w:shd w:val="clear" w:color="auto" w:fill="FFFFFF"/>
        <w:spacing w:after="0" w:line="330" w:lineRule="atLeast"/>
        <w:ind w:left="-284"/>
        <w:jc w:val="both"/>
        <w:outlineLvl w:val="2"/>
        <w:rPr>
          <w:rFonts w:eastAsia="Times New Roman" w:cstheme="minorHAnsi"/>
          <w:lang w:eastAsia="cs-CZ"/>
        </w:rPr>
      </w:pPr>
      <w:r w:rsidRPr="00453008">
        <w:rPr>
          <w:rFonts w:eastAsia="Times New Roman" w:cstheme="minorHAnsi"/>
          <w:lang w:eastAsia="cs-CZ"/>
        </w:rPr>
        <w:t> </w:t>
      </w:r>
      <w:bookmarkStart w:id="45" w:name="_Toc172709982"/>
      <w:r w:rsidRPr="00453008">
        <w:rPr>
          <w:rFonts w:eastAsia="Times New Roman" w:cstheme="minorHAnsi"/>
          <w:lang w:eastAsia="cs-CZ"/>
        </w:rPr>
        <w:t>čištění, mytí, dezinfekce, aj.</w:t>
      </w:r>
      <w:bookmarkEnd w:id="45"/>
    </w:p>
    <w:p w14:paraId="441FE5BD" w14:textId="0A7E936C" w:rsidR="00453008" w:rsidRDefault="00453008" w:rsidP="00453008">
      <w:pPr>
        <w:shd w:val="clear" w:color="auto" w:fill="FFFFFF"/>
        <w:spacing w:after="0" w:line="330" w:lineRule="atLeast"/>
        <w:jc w:val="both"/>
        <w:outlineLvl w:val="2"/>
        <w:rPr>
          <w:rFonts w:eastAsia="Times New Roman" w:cstheme="minorHAnsi"/>
          <w:lang w:eastAsia="cs-CZ"/>
        </w:rPr>
      </w:pPr>
    </w:p>
    <w:p w14:paraId="5775D8ED" w14:textId="060F77B6" w:rsidR="001663D7" w:rsidRPr="001663D7" w:rsidRDefault="001663D7" w:rsidP="00EC3AA0">
      <w:pPr>
        <w:pStyle w:val="Nadpis2"/>
        <w:numPr>
          <w:ilvl w:val="0"/>
          <w:numId w:val="22"/>
        </w:numPr>
        <w:rPr>
          <w:rFonts w:eastAsia="Times New Roman"/>
          <w:lang w:eastAsia="cs-CZ"/>
        </w:rPr>
      </w:pPr>
      <w:bookmarkStart w:id="46" w:name="_Toc172709983"/>
      <w:bookmarkStart w:id="47" w:name="_Toc172710072"/>
      <w:r w:rsidRPr="001663D7">
        <w:rPr>
          <w:rFonts w:eastAsia="Times New Roman"/>
          <w:lang w:eastAsia="cs-CZ"/>
        </w:rPr>
        <w:t>Návrhy konkrétních opatření na úseku BOZP ve vazbě na digitalizaci a inovaci procesů s důrazem na využití nových technologií.</w:t>
      </w:r>
      <w:bookmarkEnd w:id="46"/>
      <w:bookmarkEnd w:id="47"/>
      <w:r w:rsidRPr="001663D7">
        <w:rPr>
          <w:rFonts w:eastAsia="Times New Roman"/>
          <w:lang w:eastAsia="cs-CZ"/>
        </w:rPr>
        <w:t> </w:t>
      </w:r>
    </w:p>
    <w:p w14:paraId="5F0FE957" w14:textId="77777777" w:rsidR="001663D7" w:rsidRDefault="001663D7" w:rsidP="001663D7">
      <w:pPr>
        <w:shd w:val="clear" w:color="auto" w:fill="FFFFFF"/>
        <w:spacing w:after="0" w:line="240" w:lineRule="auto"/>
        <w:jc w:val="both"/>
        <w:rPr>
          <w:rFonts w:ascii="Arial" w:eastAsia="Times New Roman" w:hAnsi="Arial" w:cs="Arial"/>
          <w:color w:val="212529"/>
          <w:sz w:val="24"/>
          <w:szCs w:val="24"/>
          <w:lang w:eastAsia="cs-CZ"/>
        </w:rPr>
      </w:pPr>
    </w:p>
    <w:p w14:paraId="0A8B1AD2" w14:textId="35DA6DBE" w:rsidR="001663D7" w:rsidRPr="001663D7" w:rsidRDefault="001663D7" w:rsidP="00347B43">
      <w:pPr>
        <w:shd w:val="clear" w:color="auto" w:fill="FFFFFF"/>
        <w:spacing w:after="0" w:line="240" w:lineRule="auto"/>
        <w:ind w:left="-993"/>
        <w:jc w:val="both"/>
        <w:rPr>
          <w:rFonts w:eastAsia="Times New Roman" w:cstheme="minorHAnsi"/>
          <w:color w:val="222222"/>
          <w:lang w:eastAsia="cs-CZ"/>
        </w:rPr>
      </w:pPr>
      <w:r w:rsidRPr="001663D7">
        <w:rPr>
          <w:rFonts w:eastAsia="Times New Roman" w:cstheme="minorHAnsi"/>
          <w:color w:val="212529"/>
          <w:lang w:eastAsia="cs-CZ"/>
        </w:rPr>
        <w:t>Měnící se formy práce vyplývající mimo jiné z digitalizace, společně se zvýšením počtu osob pracujících s významným vlivem nových technologií na vykonávané činnosti, budou rovněž vyžadovat aktualizaci řešení v oblasti BOZP. Problematiku digitalizace akcentuje rovněž Strategický rámec EU pro bezpečnost a ochranu zdraví při práci na období 2021–2027. Oblast digitalizace by neměla být opomenuta i z důvodu právě začínající Evropské kampaně Zdravé pracoviště na období 2023–2025 s názvem</w:t>
      </w:r>
      <w:r w:rsidRPr="001663D7">
        <w:rPr>
          <w:rFonts w:eastAsia="Times New Roman" w:cstheme="minorHAnsi"/>
          <w:color w:val="000000"/>
          <w:lang w:eastAsia="cs-CZ"/>
        </w:rPr>
        <w:t> „</w:t>
      </w:r>
      <w:r w:rsidRPr="001663D7">
        <w:rPr>
          <w:rFonts w:eastAsia="Times New Roman" w:cstheme="minorHAnsi"/>
          <w:color w:val="212529"/>
          <w:lang w:eastAsia="cs-CZ"/>
        </w:rPr>
        <w:t>Bezpečná a zdravá práce v digitálním věku“, kterou organizuje Evropská agentura pro bezpečnost a ochranu zdraví při práci (OSHA). Tato kampaň má za cíl zvýšit povědomí o dopadu nových digitálních technologií na práci a pracoviště a souvisejících výzvách a příležitostech v oblasti bezpečnosti a ochrany zdraví při práci.</w:t>
      </w:r>
    </w:p>
    <w:p w14:paraId="47D79A03" w14:textId="77777777" w:rsidR="000B615C" w:rsidRDefault="000B615C" w:rsidP="001663D7">
      <w:pPr>
        <w:shd w:val="clear" w:color="auto" w:fill="FFFFFF"/>
        <w:spacing w:line="207" w:lineRule="atLeast"/>
        <w:jc w:val="both"/>
        <w:rPr>
          <w:rFonts w:ascii="Calibri" w:eastAsia="Times New Roman" w:hAnsi="Calibri" w:cs="Calibri"/>
          <w:b/>
          <w:bCs/>
          <w:color w:val="222222"/>
          <w:u w:val="single"/>
          <w:lang w:eastAsia="cs-CZ"/>
        </w:rPr>
      </w:pPr>
    </w:p>
    <w:p w14:paraId="1590990C" w14:textId="68CBE911" w:rsidR="001663D7" w:rsidRPr="001663D7" w:rsidRDefault="000B615C" w:rsidP="00347B43">
      <w:pPr>
        <w:shd w:val="clear" w:color="auto" w:fill="FFFFFF"/>
        <w:spacing w:line="207" w:lineRule="atLeast"/>
        <w:ind w:left="-993"/>
        <w:jc w:val="both"/>
        <w:rPr>
          <w:rFonts w:ascii="Calibri" w:eastAsia="Times New Roman" w:hAnsi="Calibri" w:cs="Calibri"/>
          <w:color w:val="222222"/>
          <w:lang w:eastAsia="cs-CZ"/>
        </w:rPr>
      </w:pPr>
      <w:r>
        <w:rPr>
          <w:rFonts w:ascii="Calibri" w:eastAsia="Times New Roman" w:hAnsi="Calibri" w:cs="Calibri"/>
          <w:b/>
          <w:bCs/>
          <w:color w:val="222222"/>
          <w:u w:val="single"/>
          <w:lang w:eastAsia="cs-CZ"/>
        </w:rPr>
        <w:t xml:space="preserve">Navržené oblasti </w:t>
      </w:r>
      <w:r w:rsidRPr="001663D7">
        <w:rPr>
          <w:rFonts w:ascii="Calibri" w:eastAsia="Times New Roman" w:hAnsi="Calibri" w:cs="Calibri"/>
          <w:b/>
          <w:bCs/>
          <w:color w:val="222222"/>
          <w:u w:val="single"/>
          <w:lang w:eastAsia="cs-CZ"/>
        </w:rPr>
        <w:t>pro</w:t>
      </w:r>
      <w:r>
        <w:rPr>
          <w:rFonts w:ascii="Calibri" w:eastAsia="Times New Roman" w:hAnsi="Calibri" w:cs="Calibri"/>
          <w:b/>
          <w:bCs/>
          <w:color w:val="222222"/>
          <w:u w:val="single"/>
          <w:lang w:eastAsia="cs-CZ"/>
        </w:rPr>
        <w:t xml:space="preserve"> přípravu konkrétních opatření</w:t>
      </w:r>
      <w:r w:rsidR="001663D7" w:rsidRPr="001663D7">
        <w:rPr>
          <w:rFonts w:ascii="Calibri" w:eastAsia="Times New Roman" w:hAnsi="Calibri" w:cs="Calibri"/>
          <w:b/>
          <w:bCs/>
          <w:color w:val="222222"/>
          <w:u w:val="single"/>
          <w:lang w:eastAsia="cs-CZ"/>
        </w:rPr>
        <w:t>:</w:t>
      </w:r>
    </w:p>
    <w:p w14:paraId="674C2205" w14:textId="77777777" w:rsidR="001663D7" w:rsidRPr="001663D7" w:rsidRDefault="001663D7">
      <w:pPr>
        <w:pStyle w:val="Odstavecseseznamem"/>
        <w:numPr>
          <w:ilvl w:val="0"/>
          <w:numId w:val="12"/>
        </w:numPr>
        <w:shd w:val="clear" w:color="auto" w:fill="FFFFFF"/>
        <w:spacing w:after="0" w:line="207" w:lineRule="atLeast"/>
        <w:ind w:left="0"/>
        <w:jc w:val="both"/>
        <w:rPr>
          <w:rFonts w:ascii="Calibri" w:eastAsia="Times New Roman" w:hAnsi="Calibri" w:cs="Calibri"/>
          <w:color w:val="212529"/>
          <w:lang w:eastAsia="cs-CZ"/>
        </w:rPr>
      </w:pPr>
      <w:r w:rsidRPr="001663D7">
        <w:rPr>
          <w:rFonts w:ascii="Calibri" w:eastAsia="Times New Roman" w:hAnsi="Calibri" w:cs="Calibri"/>
          <w:color w:val="212529"/>
          <w:lang w:eastAsia="cs-CZ"/>
        </w:rPr>
        <w:t>Práce prostřednictvím digitálních platforem.</w:t>
      </w:r>
    </w:p>
    <w:p w14:paraId="6EC210A6" w14:textId="77777777" w:rsidR="001663D7" w:rsidRPr="001663D7" w:rsidRDefault="001663D7">
      <w:pPr>
        <w:pStyle w:val="Odstavecseseznamem"/>
        <w:numPr>
          <w:ilvl w:val="0"/>
          <w:numId w:val="12"/>
        </w:numPr>
        <w:shd w:val="clear" w:color="auto" w:fill="FFFFFF"/>
        <w:spacing w:after="0" w:line="207" w:lineRule="atLeast"/>
        <w:ind w:left="0"/>
        <w:jc w:val="both"/>
        <w:rPr>
          <w:rFonts w:ascii="Calibri" w:eastAsia="Times New Roman" w:hAnsi="Calibri" w:cs="Calibri"/>
          <w:color w:val="212529"/>
          <w:lang w:eastAsia="cs-CZ"/>
        </w:rPr>
      </w:pPr>
      <w:r w:rsidRPr="001663D7">
        <w:rPr>
          <w:rFonts w:ascii="Calibri" w:eastAsia="Times New Roman" w:hAnsi="Calibri" w:cs="Calibri"/>
          <w:color w:val="212529"/>
          <w:lang w:eastAsia="cs-CZ"/>
        </w:rPr>
        <w:t>Pokročilá robotika a umělá inteligence.</w:t>
      </w:r>
    </w:p>
    <w:p w14:paraId="2605B3A8" w14:textId="77777777" w:rsidR="001663D7" w:rsidRPr="001663D7" w:rsidRDefault="001663D7">
      <w:pPr>
        <w:pStyle w:val="Odstavecseseznamem"/>
        <w:numPr>
          <w:ilvl w:val="0"/>
          <w:numId w:val="12"/>
        </w:numPr>
        <w:shd w:val="clear" w:color="auto" w:fill="FFFFFF"/>
        <w:spacing w:after="0" w:line="207" w:lineRule="atLeast"/>
        <w:ind w:left="0"/>
        <w:jc w:val="both"/>
        <w:rPr>
          <w:rFonts w:ascii="Calibri" w:eastAsia="Times New Roman" w:hAnsi="Calibri" w:cs="Calibri"/>
          <w:color w:val="212529"/>
          <w:lang w:eastAsia="cs-CZ"/>
        </w:rPr>
      </w:pPr>
      <w:r w:rsidRPr="001663D7">
        <w:rPr>
          <w:rFonts w:ascii="Calibri" w:eastAsia="Times New Roman" w:hAnsi="Calibri" w:cs="Calibri"/>
          <w:color w:val="212529"/>
          <w:lang w:eastAsia="cs-CZ"/>
        </w:rPr>
        <w:t>Chytré digitální systémy a registry.</w:t>
      </w:r>
    </w:p>
    <w:p w14:paraId="43C9F78B" w14:textId="77777777" w:rsidR="001663D7" w:rsidRPr="001663D7" w:rsidRDefault="001663D7">
      <w:pPr>
        <w:pStyle w:val="Odstavecseseznamem"/>
        <w:numPr>
          <w:ilvl w:val="0"/>
          <w:numId w:val="12"/>
        </w:numPr>
        <w:shd w:val="clear" w:color="auto" w:fill="FFFFFF"/>
        <w:spacing w:after="0" w:line="207" w:lineRule="atLeast"/>
        <w:ind w:left="0"/>
        <w:jc w:val="both"/>
        <w:rPr>
          <w:rFonts w:ascii="Calibri" w:eastAsia="Times New Roman" w:hAnsi="Calibri" w:cs="Calibri"/>
          <w:color w:val="212529"/>
          <w:lang w:eastAsia="cs-CZ"/>
        </w:rPr>
      </w:pPr>
      <w:r w:rsidRPr="001663D7">
        <w:rPr>
          <w:rFonts w:ascii="Calibri" w:eastAsia="Times New Roman" w:hAnsi="Calibri" w:cs="Calibri"/>
          <w:color w:val="212529"/>
          <w:lang w:eastAsia="cs-CZ"/>
        </w:rPr>
        <w:t>Řízení pracovníků pomocí umělé inteligence.</w:t>
      </w:r>
    </w:p>
    <w:p w14:paraId="362A5C39" w14:textId="77777777" w:rsidR="001663D7" w:rsidRDefault="001663D7">
      <w:pPr>
        <w:pStyle w:val="Odstavecseseznamem"/>
        <w:numPr>
          <w:ilvl w:val="0"/>
          <w:numId w:val="12"/>
        </w:numPr>
        <w:shd w:val="clear" w:color="auto" w:fill="FFFFFF"/>
        <w:spacing w:after="0" w:line="207" w:lineRule="atLeast"/>
        <w:ind w:left="0"/>
        <w:jc w:val="both"/>
        <w:rPr>
          <w:rFonts w:ascii="Calibri" w:eastAsia="Times New Roman" w:hAnsi="Calibri" w:cs="Calibri"/>
          <w:color w:val="212529"/>
          <w:lang w:eastAsia="cs-CZ"/>
        </w:rPr>
      </w:pPr>
      <w:r w:rsidRPr="001663D7">
        <w:rPr>
          <w:rFonts w:ascii="Calibri" w:eastAsia="Times New Roman" w:hAnsi="Calibri" w:cs="Calibri"/>
          <w:color w:val="212529"/>
          <w:lang w:eastAsia="cs-CZ"/>
        </w:rPr>
        <w:t>Využití potenciálu virtuální reality a rozšířené reality.</w:t>
      </w:r>
    </w:p>
    <w:p w14:paraId="774447E3" w14:textId="43DAE243" w:rsidR="00B005E0" w:rsidRPr="00AC1719" w:rsidRDefault="00B005E0">
      <w:pPr>
        <w:pStyle w:val="Odstavecseseznamem"/>
        <w:numPr>
          <w:ilvl w:val="0"/>
          <w:numId w:val="12"/>
        </w:numPr>
        <w:shd w:val="clear" w:color="auto" w:fill="FFFFFF"/>
        <w:spacing w:after="0" w:line="207" w:lineRule="atLeast"/>
        <w:ind w:left="0"/>
        <w:jc w:val="both"/>
        <w:rPr>
          <w:rFonts w:ascii="Calibri" w:eastAsia="Times New Roman" w:hAnsi="Calibri" w:cs="Calibri"/>
          <w:color w:val="212529"/>
          <w:lang w:eastAsia="cs-CZ"/>
        </w:rPr>
      </w:pPr>
      <w:r w:rsidRPr="00AC1719">
        <w:rPr>
          <w:rFonts w:ascii="Calibri" w:eastAsia="Times New Roman" w:hAnsi="Calibri" w:cs="Calibri"/>
          <w:color w:val="212529"/>
          <w:lang w:eastAsia="cs-CZ"/>
        </w:rPr>
        <w:lastRenderedPageBreak/>
        <w:t>Distribuované systémy založené na privátních a/nebo konsorciálních blockchainech (průřezové téma)</w:t>
      </w:r>
    </w:p>
    <w:p w14:paraId="61C7AA02" w14:textId="77777777" w:rsidR="00E6263C" w:rsidRDefault="00E6263C" w:rsidP="00E6263C">
      <w:pPr>
        <w:shd w:val="clear" w:color="auto" w:fill="FFFFFF"/>
        <w:spacing w:after="0" w:line="235" w:lineRule="atLeast"/>
        <w:jc w:val="both"/>
        <w:rPr>
          <w:rFonts w:ascii="Calibri" w:eastAsia="Times New Roman" w:hAnsi="Calibri" w:cs="Calibri"/>
          <w:b/>
          <w:bCs/>
          <w:color w:val="222222"/>
          <w:sz w:val="24"/>
          <w:szCs w:val="24"/>
          <w:lang w:eastAsia="cs-CZ"/>
        </w:rPr>
      </w:pPr>
    </w:p>
    <w:p w14:paraId="4BF6E3CD" w14:textId="77777777" w:rsidR="001663D7" w:rsidRDefault="001663D7" w:rsidP="00E6263C">
      <w:pPr>
        <w:shd w:val="clear" w:color="auto" w:fill="FFFFFF"/>
        <w:spacing w:after="0" w:line="235" w:lineRule="atLeast"/>
        <w:jc w:val="both"/>
        <w:rPr>
          <w:rFonts w:ascii="Calibri" w:eastAsia="Times New Roman" w:hAnsi="Calibri" w:cs="Calibri"/>
          <w:b/>
          <w:bCs/>
          <w:color w:val="222222"/>
          <w:sz w:val="24"/>
          <w:szCs w:val="24"/>
          <w:lang w:eastAsia="cs-CZ"/>
        </w:rPr>
      </w:pPr>
    </w:p>
    <w:p w14:paraId="2B023B90" w14:textId="77777777" w:rsidR="009B3F7E" w:rsidRPr="009B3F7E" w:rsidRDefault="009B3F7E" w:rsidP="00AC5A59">
      <w:pPr>
        <w:shd w:val="clear" w:color="auto" w:fill="FFFFFF"/>
        <w:spacing w:after="0" w:line="235" w:lineRule="atLeast"/>
        <w:ind w:left="-851"/>
        <w:jc w:val="both"/>
        <w:rPr>
          <w:rFonts w:ascii="Calibri" w:eastAsia="Times New Roman" w:hAnsi="Calibri" w:cs="Calibri"/>
          <w:color w:val="222222"/>
          <w:lang w:eastAsia="cs-CZ"/>
        </w:rPr>
      </w:pPr>
      <w:r w:rsidRPr="009B3F7E">
        <w:rPr>
          <w:rFonts w:ascii="Calibri" w:eastAsia="Times New Roman" w:hAnsi="Calibri" w:cs="Calibri"/>
          <w:b/>
          <w:bCs/>
          <w:color w:val="222222"/>
          <w:sz w:val="24"/>
          <w:szCs w:val="24"/>
          <w:lang w:eastAsia="cs-CZ"/>
        </w:rPr>
        <w:t>Souhrnná informace k přípravě konkrétních opatření v rámci jednotlivých priorit:</w:t>
      </w:r>
    </w:p>
    <w:p w14:paraId="0FB3C780" w14:textId="77777777" w:rsidR="009B3F7E" w:rsidRPr="00AC5A59" w:rsidRDefault="009B3F7E" w:rsidP="00AC5A59">
      <w:pPr>
        <w:shd w:val="clear" w:color="auto" w:fill="FFFFFF"/>
        <w:spacing w:after="0" w:line="330" w:lineRule="atLeast"/>
        <w:ind w:left="-851"/>
        <w:rPr>
          <w:rFonts w:ascii="Calibri" w:eastAsia="Times New Roman" w:hAnsi="Calibri" w:cs="Calibri"/>
          <w:color w:val="222222"/>
          <w:lang w:eastAsia="cs-CZ"/>
        </w:rPr>
      </w:pPr>
      <w:r w:rsidRPr="00AC5A59">
        <w:rPr>
          <w:rFonts w:ascii="Calibri" w:eastAsia="Times New Roman" w:hAnsi="Calibri" w:cs="Calibri"/>
          <w:b/>
          <w:bCs/>
          <w:color w:val="222222"/>
          <w:lang w:eastAsia="cs-CZ"/>
        </w:rPr>
        <w:t> </w:t>
      </w:r>
    </w:p>
    <w:p w14:paraId="7EF93836" w14:textId="04115E76" w:rsidR="009B3F7E" w:rsidRPr="00AC5A59" w:rsidRDefault="009B3F7E">
      <w:pPr>
        <w:pStyle w:val="Odstavecseseznamem"/>
        <w:numPr>
          <w:ilvl w:val="0"/>
          <w:numId w:val="14"/>
        </w:numPr>
        <w:shd w:val="clear" w:color="auto" w:fill="FFFFFF"/>
        <w:spacing w:after="0" w:line="235" w:lineRule="atLeast"/>
        <w:ind w:left="-851"/>
        <w:jc w:val="both"/>
        <w:rPr>
          <w:rFonts w:ascii="Calibri" w:eastAsia="Times New Roman" w:hAnsi="Calibri" w:cs="Calibri"/>
          <w:color w:val="222222"/>
          <w:lang w:eastAsia="cs-CZ"/>
        </w:rPr>
      </w:pPr>
      <w:r w:rsidRPr="00AC5A59">
        <w:rPr>
          <w:rFonts w:ascii="Calibri" w:eastAsia="Times New Roman" w:hAnsi="Calibri" w:cs="Calibri"/>
          <w:color w:val="303B42"/>
          <w:lang w:eastAsia="cs-CZ"/>
        </w:rPr>
        <w:t>Výstupem aktivit k naplňování jednotlivých priorit musí být v</w:t>
      </w:r>
      <w:r w:rsidRPr="00AC5A59">
        <w:rPr>
          <w:rFonts w:ascii="Calibri" w:eastAsia="Times New Roman" w:hAnsi="Calibri" w:cs="Calibri"/>
          <w:color w:val="222222"/>
          <w:lang w:eastAsia="cs-CZ"/>
        </w:rPr>
        <w:t xml:space="preserve">e smyslu §320a písm. b) ZP konkrétní opatření, tj. např. metodika správného postupu pracovních činností, příp. další doporučení, návodné audiovizuální výstupy (instruktážní </w:t>
      </w:r>
      <w:proofErr w:type="spellStart"/>
      <w:r w:rsidRPr="00AC5A59">
        <w:rPr>
          <w:rFonts w:ascii="Calibri" w:eastAsia="Times New Roman" w:hAnsi="Calibri" w:cs="Calibri"/>
          <w:color w:val="222222"/>
          <w:lang w:eastAsia="cs-CZ"/>
        </w:rPr>
        <w:t>videospoty</w:t>
      </w:r>
      <w:proofErr w:type="spellEnd"/>
      <w:r w:rsidRPr="00AC5A59">
        <w:rPr>
          <w:rFonts w:ascii="Calibri" w:eastAsia="Times New Roman" w:hAnsi="Calibri" w:cs="Calibri"/>
          <w:color w:val="222222"/>
          <w:lang w:eastAsia="cs-CZ"/>
        </w:rPr>
        <w:t>), které přispějí ke snížení rizika vzniku pracovního úrazu/nemoci z povolání a povedou k eliminaci nebezpečných situací. Opatření mohou mít povahu technologickou, technickou, právní, organizační či administrativní.  </w:t>
      </w:r>
    </w:p>
    <w:p w14:paraId="39EE7118" w14:textId="77777777" w:rsidR="009B3F7E" w:rsidRPr="00AC5A59" w:rsidRDefault="009B3F7E" w:rsidP="00AC5A59">
      <w:pPr>
        <w:shd w:val="clear" w:color="auto" w:fill="FFFFFF"/>
        <w:spacing w:after="0" w:line="235" w:lineRule="atLeast"/>
        <w:ind w:left="-851"/>
        <w:jc w:val="both"/>
        <w:rPr>
          <w:rFonts w:ascii="Calibri" w:eastAsia="Times New Roman" w:hAnsi="Calibri" w:cs="Calibri"/>
          <w:color w:val="222222"/>
          <w:lang w:eastAsia="cs-CZ"/>
        </w:rPr>
      </w:pPr>
      <w:r w:rsidRPr="00AC5A59">
        <w:rPr>
          <w:rFonts w:ascii="Calibri" w:eastAsia="Times New Roman" w:hAnsi="Calibri" w:cs="Calibri"/>
          <w:color w:val="222222"/>
          <w:lang w:eastAsia="cs-CZ"/>
        </w:rPr>
        <w:t> </w:t>
      </w:r>
    </w:p>
    <w:p w14:paraId="0B757AC4" w14:textId="08ECF3B1" w:rsidR="009B3F7E" w:rsidRPr="00AC5A59" w:rsidRDefault="009B3F7E">
      <w:pPr>
        <w:pStyle w:val="Odstavecseseznamem"/>
        <w:numPr>
          <w:ilvl w:val="0"/>
          <w:numId w:val="14"/>
        </w:numPr>
        <w:shd w:val="clear" w:color="auto" w:fill="FFFFFF"/>
        <w:spacing w:after="0" w:line="240" w:lineRule="auto"/>
        <w:ind w:left="-851"/>
        <w:rPr>
          <w:rFonts w:ascii="Calibri" w:eastAsia="Times New Roman" w:hAnsi="Calibri" w:cs="Calibri"/>
          <w:color w:val="222222"/>
          <w:lang w:eastAsia="cs-CZ"/>
        </w:rPr>
      </w:pPr>
      <w:r w:rsidRPr="00AC5A59">
        <w:rPr>
          <w:rFonts w:ascii="Calibri" w:eastAsia="Times New Roman" w:hAnsi="Calibri" w:cs="Calibri"/>
          <w:color w:val="222222"/>
          <w:lang w:eastAsia="cs-CZ"/>
        </w:rPr>
        <w:t>Konkrétní výstup/metodika musí být podložen identifikací rizik, vyhodnocením rizik a návrhem opatření k eliminaci případných zbytkových rizik.</w:t>
      </w:r>
    </w:p>
    <w:p w14:paraId="34F36AE6" w14:textId="77777777" w:rsidR="009B3F7E" w:rsidRPr="00AC5A59" w:rsidRDefault="009B3F7E" w:rsidP="00AC5A59">
      <w:pPr>
        <w:shd w:val="clear" w:color="auto" w:fill="FFFFFF"/>
        <w:spacing w:after="0" w:line="240" w:lineRule="auto"/>
        <w:ind w:left="-851"/>
        <w:rPr>
          <w:rFonts w:ascii="Calibri" w:eastAsia="Times New Roman" w:hAnsi="Calibri" w:cs="Calibri"/>
          <w:color w:val="222222"/>
          <w:lang w:eastAsia="cs-CZ"/>
        </w:rPr>
      </w:pPr>
      <w:r w:rsidRPr="00AC5A59">
        <w:rPr>
          <w:rFonts w:ascii="Calibri" w:eastAsia="Times New Roman" w:hAnsi="Calibri" w:cs="Calibri"/>
          <w:color w:val="222222"/>
          <w:lang w:eastAsia="cs-CZ"/>
        </w:rPr>
        <w:t> </w:t>
      </w:r>
    </w:p>
    <w:p w14:paraId="7958CE25" w14:textId="054D8BA5" w:rsidR="009B3F7E" w:rsidRPr="00AC5A59" w:rsidRDefault="009B3F7E">
      <w:pPr>
        <w:pStyle w:val="Odstavecseseznamem"/>
        <w:numPr>
          <w:ilvl w:val="0"/>
          <w:numId w:val="14"/>
        </w:numPr>
        <w:shd w:val="clear" w:color="auto" w:fill="FFFFFF"/>
        <w:spacing w:after="0" w:line="240" w:lineRule="auto"/>
        <w:ind w:left="-851"/>
        <w:rPr>
          <w:rFonts w:ascii="Calibri" w:eastAsia="Times New Roman" w:hAnsi="Calibri" w:cs="Calibri"/>
          <w:color w:val="222222"/>
          <w:lang w:eastAsia="cs-CZ"/>
        </w:rPr>
      </w:pPr>
      <w:r w:rsidRPr="00AC5A59">
        <w:rPr>
          <w:rFonts w:ascii="Calibri" w:eastAsia="Times New Roman" w:hAnsi="Calibri" w:cs="Calibri"/>
          <w:color w:val="222222"/>
          <w:lang w:eastAsia="cs-CZ"/>
        </w:rPr>
        <w:t>Na přípravě opatření se mohou podílet konkrétní zaměstnavatelé, jichž se dané riziko týká, protože mohou poskytnout cennou zpětnou vazbu z pohledu praxe na podobu metodiky a budou též jejími uživateli.</w:t>
      </w:r>
    </w:p>
    <w:p w14:paraId="5EE9646A" w14:textId="77777777" w:rsidR="009B3F7E" w:rsidRPr="00AC5A59" w:rsidRDefault="009B3F7E" w:rsidP="00AC5A59">
      <w:pPr>
        <w:shd w:val="clear" w:color="auto" w:fill="FFFFFF"/>
        <w:spacing w:after="0" w:line="240" w:lineRule="auto"/>
        <w:ind w:left="-851"/>
        <w:rPr>
          <w:rFonts w:ascii="Calibri" w:eastAsia="Times New Roman" w:hAnsi="Calibri" w:cs="Calibri"/>
          <w:color w:val="222222"/>
          <w:lang w:eastAsia="cs-CZ"/>
        </w:rPr>
      </w:pPr>
      <w:r w:rsidRPr="00AC5A59">
        <w:rPr>
          <w:rFonts w:ascii="Calibri" w:eastAsia="Times New Roman" w:hAnsi="Calibri" w:cs="Calibri"/>
          <w:color w:val="222222"/>
          <w:lang w:eastAsia="cs-CZ"/>
        </w:rPr>
        <w:t> </w:t>
      </w:r>
    </w:p>
    <w:p w14:paraId="3ABE23D4" w14:textId="0FEC2195" w:rsidR="009B3F7E" w:rsidRPr="00AC5A59" w:rsidRDefault="009B3F7E">
      <w:pPr>
        <w:pStyle w:val="Odstavecseseznamem"/>
        <w:numPr>
          <w:ilvl w:val="0"/>
          <w:numId w:val="14"/>
        </w:numPr>
        <w:shd w:val="clear" w:color="auto" w:fill="FFFFFF"/>
        <w:spacing w:after="0" w:line="240" w:lineRule="auto"/>
        <w:ind w:left="-851"/>
        <w:rPr>
          <w:rFonts w:ascii="Calibri" w:eastAsia="Times New Roman" w:hAnsi="Calibri" w:cs="Calibri"/>
          <w:color w:val="222222"/>
          <w:lang w:eastAsia="cs-CZ"/>
        </w:rPr>
      </w:pPr>
      <w:r w:rsidRPr="00AC5A59">
        <w:rPr>
          <w:rFonts w:ascii="Calibri" w:eastAsia="Times New Roman" w:hAnsi="Calibri" w:cs="Calibri"/>
          <w:color w:val="222222"/>
          <w:lang w:eastAsia="cs-CZ"/>
        </w:rPr>
        <w:t>Vedením přípravy konkrétního opatření by měla být pověřena osoba odborně způsobilá (OZO BOZP</w:t>
      </w:r>
      <w:r w:rsidR="004E059E" w:rsidRPr="00AC5A59">
        <w:rPr>
          <w:rFonts w:ascii="Calibri" w:eastAsia="Times New Roman" w:hAnsi="Calibri" w:cs="Calibri"/>
          <w:color w:val="222222"/>
          <w:lang w:eastAsia="cs-CZ"/>
        </w:rPr>
        <w:t>_</w:t>
      </w:r>
      <w:r w:rsidRPr="00AC5A59">
        <w:rPr>
          <w:rFonts w:ascii="Calibri" w:eastAsia="Times New Roman" w:hAnsi="Calibri" w:cs="Calibri"/>
          <w:color w:val="222222"/>
          <w:lang w:eastAsia="cs-CZ"/>
        </w:rPr>
        <w:t xml:space="preserve"> Zákon č. 309/2006 Sb.), protože výstupy vyžadují znalost dané problematiky (pozn. rozdíl od naplňování § 320a </w:t>
      </w:r>
      <w:r w:rsidR="00EC3AA0" w:rsidRPr="00AC5A59">
        <w:rPr>
          <w:rFonts w:ascii="Calibri" w:eastAsia="Times New Roman" w:hAnsi="Calibri" w:cs="Calibri"/>
          <w:color w:val="222222"/>
          <w:lang w:eastAsia="cs-CZ"/>
        </w:rPr>
        <w:t>písm. b</w:t>
      </w:r>
      <w:r w:rsidRPr="00AC5A59">
        <w:rPr>
          <w:rFonts w:ascii="Calibri" w:eastAsia="Times New Roman" w:hAnsi="Calibri" w:cs="Calibri"/>
          <w:color w:val="222222"/>
          <w:lang w:eastAsia="cs-CZ"/>
        </w:rPr>
        <w:t>)</w:t>
      </w:r>
      <w:r w:rsidR="004E059E" w:rsidRPr="00AC5A59">
        <w:rPr>
          <w:rFonts w:ascii="Calibri" w:eastAsia="Times New Roman" w:hAnsi="Calibri" w:cs="Calibri"/>
          <w:color w:val="222222"/>
          <w:lang w:eastAsia="cs-CZ"/>
        </w:rPr>
        <w:t>.</w:t>
      </w:r>
    </w:p>
    <w:p w14:paraId="2B715661" w14:textId="77777777" w:rsidR="009B3F7E" w:rsidRPr="00AC5A59" w:rsidRDefault="009B3F7E" w:rsidP="00AC5A59">
      <w:pPr>
        <w:shd w:val="clear" w:color="auto" w:fill="FFFFFF"/>
        <w:spacing w:after="0" w:line="240" w:lineRule="auto"/>
        <w:ind w:left="-851"/>
        <w:rPr>
          <w:rFonts w:ascii="Calibri" w:eastAsia="Times New Roman" w:hAnsi="Calibri" w:cs="Calibri"/>
          <w:color w:val="222222"/>
          <w:lang w:eastAsia="cs-CZ"/>
        </w:rPr>
      </w:pPr>
      <w:r w:rsidRPr="00AC5A59">
        <w:rPr>
          <w:rFonts w:ascii="Calibri" w:eastAsia="Times New Roman" w:hAnsi="Calibri" w:cs="Calibri"/>
          <w:color w:val="222222"/>
          <w:lang w:eastAsia="cs-CZ"/>
        </w:rPr>
        <w:t> </w:t>
      </w:r>
    </w:p>
    <w:p w14:paraId="360BA353" w14:textId="77777777" w:rsidR="009B3F7E" w:rsidRPr="00AC5A59" w:rsidRDefault="009B3F7E">
      <w:pPr>
        <w:pStyle w:val="Odstavecseseznamem"/>
        <w:numPr>
          <w:ilvl w:val="0"/>
          <w:numId w:val="14"/>
        </w:numPr>
        <w:shd w:val="clear" w:color="auto" w:fill="FFFFFF"/>
        <w:spacing w:after="0" w:line="240" w:lineRule="auto"/>
        <w:ind w:left="-851"/>
        <w:rPr>
          <w:rFonts w:ascii="Calibri" w:eastAsia="Times New Roman" w:hAnsi="Calibri" w:cs="Calibri"/>
          <w:color w:val="222222"/>
          <w:lang w:eastAsia="cs-CZ"/>
        </w:rPr>
      </w:pPr>
      <w:r w:rsidRPr="00AC5A59">
        <w:rPr>
          <w:rFonts w:ascii="Calibri" w:eastAsia="Times New Roman" w:hAnsi="Calibri" w:cs="Calibri"/>
          <w:color w:val="222222"/>
          <w:lang w:eastAsia="cs-CZ"/>
        </w:rPr>
        <w:t>Součástí předkládaného konkrétního návrhu řešení je informace o způsobu osvěty (prezentace výsledků).</w:t>
      </w:r>
    </w:p>
    <w:p w14:paraId="598EDCCB" w14:textId="67E9307D" w:rsidR="00C23715" w:rsidRDefault="00C23715" w:rsidP="00AC5A59">
      <w:pPr>
        <w:ind w:left="-851" w:right="-993"/>
        <w:jc w:val="both"/>
        <w:rPr>
          <w:b/>
          <w:bCs/>
          <w:color w:val="FF0000"/>
          <w:sz w:val="24"/>
          <w:szCs w:val="24"/>
          <w:u w:val="single"/>
        </w:rPr>
      </w:pPr>
    </w:p>
    <w:sectPr w:rsidR="00C23715" w:rsidSect="009D2F52">
      <w:pgSz w:w="11906" w:h="16838"/>
      <w:pgMar w:top="1417" w:right="849"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B3616" w14:textId="77777777" w:rsidR="00DD3389" w:rsidRDefault="00DD3389" w:rsidP="004731F0">
      <w:pPr>
        <w:spacing w:after="0" w:line="240" w:lineRule="auto"/>
      </w:pPr>
      <w:r>
        <w:separator/>
      </w:r>
    </w:p>
  </w:endnote>
  <w:endnote w:type="continuationSeparator" w:id="0">
    <w:p w14:paraId="149FFBD1" w14:textId="77777777" w:rsidR="00DD3389" w:rsidRDefault="00DD3389" w:rsidP="0047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ヒラギノ角ゴ ProN W3">
    <w:panose1 w:val="00000000000000000000"/>
    <w:charset w:val="80"/>
    <w:family w:val="roman"/>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E8799" w14:textId="77777777" w:rsidR="00DD3389" w:rsidRDefault="00DD3389" w:rsidP="004731F0">
      <w:pPr>
        <w:spacing w:after="0" w:line="240" w:lineRule="auto"/>
      </w:pPr>
      <w:r>
        <w:separator/>
      </w:r>
    </w:p>
  </w:footnote>
  <w:footnote w:type="continuationSeparator" w:id="0">
    <w:p w14:paraId="41024BF1" w14:textId="77777777" w:rsidR="00DD3389" w:rsidRDefault="00DD3389" w:rsidP="00473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110F9"/>
    <w:multiLevelType w:val="hybridMultilevel"/>
    <w:tmpl w:val="327400C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80300FA"/>
    <w:multiLevelType w:val="hybridMultilevel"/>
    <w:tmpl w:val="F4482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3151B8"/>
    <w:multiLevelType w:val="hybridMultilevel"/>
    <w:tmpl w:val="6882D354"/>
    <w:lvl w:ilvl="0" w:tplc="EAA44F92">
      <w:start w:val="1"/>
      <w:numFmt w:val="bullet"/>
      <w:lvlText w:val=""/>
      <w:lvlJc w:val="left"/>
      <w:pPr>
        <w:ind w:left="860" w:hanging="360"/>
      </w:pPr>
      <w:rPr>
        <w:rFonts w:ascii="Symbol" w:hAnsi="Symbol"/>
      </w:rPr>
    </w:lvl>
    <w:lvl w:ilvl="1" w:tplc="157EEBE4">
      <w:start w:val="1"/>
      <w:numFmt w:val="bullet"/>
      <w:lvlText w:val=""/>
      <w:lvlJc w:val="left"/>
      <w:pPr>
        <w:ind w:left="860" w:hanging="360"/>
      </w:pPr>
      <w:rPr>
        <w:rFonts w:ascii="Symbol" w:hAnsi="Symbol"/>
      </w:rPr>
    </w:lvl>
    <w:lvl w:ilvl="2" w:tplc="45705B5C">
      <w:start w:val="1"/>
      <w:numFmt w:val="bullet"/>
      <w:lvlText w:val=""/>
      <w:lvlJc w:val="left"/>
      <w:pPr>
        <w:ind w:left="860" w:hanging="360"/>
      </w:pPr>
      <w:rPr>
        <w:rFonts w:ascii="Symbol" w:hAnsi="Symbol"/>
      </w:rPr>
    </w:lvl>
    <w:lvl w:ilvl="3" w:tplc="3ECA390E">
      <w:start w:val="1"/>
      <w:numFmt w:val="bullet"/>
      <w:lvlText w:val=""/>
      <w:lvlJc w:val="left"/>
      <w:pPr>
        <w:ind w:left="860" w:hanging="360"/>
      </w:pPr>
      <w:rPr>
        <w:rFonts w:ascii="Symbol" w:hAnsi="Symbol"/>
      </w:rPr>
    </w:lvl>
    <w:lvl w:ilvl="4" w:tplc="2D8464BE">
      <w:start w:val="1"/>
      <w:numFmt w:val="bullet"/>
      <w:lvlText w:val=""/>
      <w:lvlJc w:val="left"/>
      <w:pPr>
        <w:ind w:left="860" w:hanging="360"/>
      </w:pPr>
      <w:rPr>
        <w:rFonts w:ascii="Symbol" w:hAnsi="Symbol"/>
      </w:rPr>
    </w:lvl>
    <w:lvl w:ilvl="5" w:tplc="494C38D4">
      <w:start w:val="1"/>
      <w:numFmt w:val="bullet"/>
      <w:lvlText w:val=""/>
      <w:lvlJc w:val="left"/>
      <w:pPr>
        <w:ind w:left="860" w:hanging="360"/>
      </w:pPr>
      <w:rPr>
        <w:rFonts w:ascii="Symbol" w:hAnsi="Symbol"/>
      </w:rPr>
    </w:lvl>
    <w:lvl w:ilvl="6" w:tplc="A0A092BA">
      <w:start w:val="1"/>
      <w:numFmt w:val="bullet"/>
      <w:lvlText w:val=""/>
      <w:lvlJc w:val="left"/>
      <w:pPr>
        <w:ind w:left="860" w:hanging="360"/>
      </w:pPr>
      <w:rPr>
        <w:rFonts w:ascii="Symbol" w:hAnsi="Symbol"/>
      </w:rPr>
    </w:lvl>
    <w:lvl w:ilvl="7" w:tplc="774E589E">
      <w:start w:val="1"/>
      <w:numFmt w:val="bullet"/>
      <w:lvlText w:val=""/>
      <w:lvlJc w:val="left"/>
      <w:pPr>
        <w:ind w:left="860" w:hanging="360"/>
      </w:pPr>
      <w:rPr>
        <w:rFonts w:ascii="Symbol" w:hAnsi="Symbol"/>
      </w:rPr>
    </w:lvl>
    <w:lvl w:ilvl="8" w:tplc="3BF0AE94">
      <w:start w:val="1"/>
      <w:numFmt w:val="bullet"/>
      <w:lvlText w:val=""/>
      <w:lvlJc w:val="left"/>
      <w:pPr>
        <w:ind w:left="860" w:hanging="360"/>
      </w:pPr>
      <w:rPr>
        <w:rFonts w:ascii="Symbol" w:hAnsi="Symbol"/>
      </w:rPr>
    </w:lvl>
  </w:abstractNum>
  <w:abstractNum w:abstractNumId="3" w15:restartNumberingAfterBreak="0">
    <w:nsid w:val="0E4B7E97"/>
    <w:multiLevelType w:val="hybridMultilevel"/>
    <w:tmpl w:val="C3761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343824"/>
    <w:multiLevelType w:val="hybridMultilevel"/>
    <w:tmpl w:val="C5E46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A451B5"/>
    <w:multiLevelType w:val="hybridMultilevel"/>
    <w:tmpl w:val="AA724190"/>
    <w:lvl w:ilvl="0" w:tplc="04050001">
      <w:start w:val="1"/>
      <w:numFmt w:val="bullet"/>
      <w:lvlText w:val=""/>
      <w:lvlJc w:val="left"/>
      <w:pPr>
        <w:ind w:left="1627" w:hanging="360"/>
      </w:pPr>
      <w:rPr>
        <w:rFonts w:ascii="Symbol" w:hAnsi="Symbol" w:hint="default"/>
      </w:rPr>
    </w:lvl>
    <w:lvl w:ilvl="1" w:tplc="04050003" w:tentative="1">
      <w:start w:val="1"/>
      <w:numFmt w:val="bullet"/>
      <w:lvlText w:val="o"/>
      <w:lvlJc w:val="left"/>
      <w:pPr>
        <w:ind w:left="2347" w:hanging="360"/>
      </w:pPr>
      <w:rPr>
        <w:rFonts w:ascii="Courier New" w:hAnsi="Courier New" w:cs="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6" w15:restartNumberingAfterBreak="0">
    <w:nsid w:val="25C24A72"/>
    <w:multiLevelType w:val="hybridMultilevel"/>
    <w:tmpl w:val="6DFA679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60B332C"/>
    <w:multiLevelType w:val="hybridMultilevel"/>
    <w:tmpl w:val="1360B21E"/>
    <w:lvl w:ilvl="0" w:tplc="A164ED4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2B2BCA"/>
    <w:multiLevelType w:val="hybridMultilevel"/>
    <w:tmpl w:val="63D6A39C"/>
    <w:lvl w:ilvl="0" w:tplc="FF420D98">
      <w:start w:val="1"/>
      <w:numFmt w:val="decimal"/>
      <w:lvlText w:val="%1."/>
      <w:lvlJc w:val="left"/>
      <w:pPr>
        <w:ind w:left="720" w:hanging="360"/>
      </w:pPr>
    </w:lvl>
    <w:lvl w:ilvl="1" w:tplc="E8F0E7BE">
      <w:start w:val="1"/>
      <w:numFmt w:val="decimal"/>
      <w:lvlText w:val="%2."/>
      <w:lvlJc w:val="left"/>
      <w:pPr>
        <w:ind w:left="720" w:hanging="360"/>
      </w:pPr>
    </w:lvl>
    <w:lvl w:ilvl="2" w:tplc="FEF6B0D2">
      <w:start w:val="1"/>
      <w:numFmt w:val="decimal"/>
      <w:lvlText w:val="%3."/>
      <w:lvlJc w:val="left"/>
      <w:pPr>
        <w:ind w:left="720" w:hanging="360"/>
      </w:pPr>
    </w:lvl>
    <w:lvl w:ilvl="3" w:tplc="D6200CE2">
      <w:start w:val="1"/>
      <w:numFmt w:val="decimal"/>
      <w:lvlText w:val="%4."/>
      <w:lvlJc w:val="left"/>
      <w:pPr>
        <w:ind w:left="720" w:hanging="360"/>
      </w:pPr>
    </w:lvl>
    <w:lvl w:ilvl="4" w:tplc="79EA6962">
      <w:start w:val="1"/>
      <w:numFmt w:val="decimal"/>
      <w:lvlText w:val="%5."/>
      <w:lvlJc w:val="left"/>
      <w:pPr>
        <w:ind w:left="720" w:hanging="360"/>
      </w:pPr>
    </w:lvl>
    <w:lvl w:ilvl="5" w:tplc="6564345A">
      <w:start w:val="1"/>
      <w:numFmt w:val="decimal"/>
      <w:lvlText w:val="%6."/>
      <w:lvlJc w:val="left"/>
      <w:pPr>
        <w:ind w:left="720" w:hanging="360"/>
      </w:pPr>
    </w:lvl>
    <w:lvl w:ilvl="6" w:tplc="F1FE25FC">
      <w:start w:val="1"/>
      <w:numFmt w:val="decimal"/>
      <w:lvlText w:val="%7."/>
      <w:lvlJc w:val="left"/>
      <w:pPr>
        <w:ind w:left="720" w:hanging="360"/>
      </w:pPr>
    </w:lvl>
    <w:lvl w:ilvl="7" w:tplc="A134BE2C">
      <w:start w:val="1"/>
      <w:numFmt w:val="decimal"/>
      <w:lvlText w:val="%8."/>
      <w:lvlJc w:val="left"/>
      <w:pPr>
        <w:ind w:left="720" w:hanging="360"/>
      </w:pPr>
    </w:lvl>
    <w:lvl w:ilvl="8" w:tplc="4A84081E">
      <w:start w:val="1"/>
      <w:numFmt w:val="decimal"/>
      <w:lvlText w:val="%9."/>
      <w:lvlJc w:val="left"/>
      <w:pPr>
        <w:ind w:left="720" w:hanging="360"/>
      </w:pPr>
    </w:lvl>
  </w:abstractNum>
  <w:abstractNum w:abstractNumId="9" w15:restartNumberingAfterBreak="0">
    <w:nsid w:val="2C6D1629"/>
    <w:multiLevelType w:val="hybridMultilevel"/>
    <w:tmpl w:val="8E32B3CC"/>
    <w:lvl w:ilvl="0" w:tplc="A450249A">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9E2683"/>
    <w:multiLevelType w:val="hybridMultilevel"/>
    <w:tmpl w:val="E9A27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8A3026"/>
    <w:multiLevelType w:val="hybridMultilevel"/>
    <w:tmpl w:val="7932D30E"/>
    <w:lvl w:ilvl="0" w:tplc="114E517C">
      <w:numFmt w:val="bullet"/>
      <w:lvlText w:val="-"/>
      <w:lvlJc w:val="left"/>
      <w:pPr>
        <w:ind w:left="-207" w:hanging="360"/>
      </w:pPr>
      <w:rPr>
        <w:rFonts w:ascii="Calibri" w:eastAsiaTheme="minorHAnsi" w:hAnsi="Calibri" w:cs="Calibri" w:hint="default"/>
      </w:rPr>
    </w:lvl>
    <w:lvl w:ilvl="1" w:tplc="04050003" w:tentative="1">
      <w:start w:val="1"/>
      <w:numFmt w:val="bullet"/>
      <w:lvlText w:val="o"/>
      <w:lvlJc w:val="left"/>
      <w:pPr>
        <w:ind w:left="513" w:hanging="360"/>
      </w:pPr>
      <w:rPr>
        <w:rFonts w:ascii="Courier New" w:hAnsi="Courier New" w:cs="Courier New" w:hint="default"/>
      </w:rPr>
    </w:lvl>
    <w:lvl w:ilvl="2" w:tplc="04050005" w:tentative="1">
      <w:start w:val="1"/>
      <w:numFmt w:val="bullet"/>
      <w:lvlText w:val=""/>
      <w:lvlJc w:val="left"/>
      <w:pPr>
        <w:ind w:left="1233" w:hanging="360"/>
      </w:pPr>
      <w:rPr>
        <w:rFonts w:ascii="Wingdings" w:hAnsi="Wingdings" w:hint="default"/>
      </w:rPr>
    </w:lvl>
    <w:lvl w:ilvl="3" w:tplc="04050001" w:tentative="1">
      <w:start w:val="1"/>
      <w:numFmt w:val="bullet"/>
      <w:lvlText w:val=""/>
      <w:lvlJc w:val="left"/>
      <w:pPr>
        <w:ind w:left="1953" w:hanging="360"/>
      </w:pPr>
      <w:rPr>
        <w:rFonts w:ascii="Symbol" w:hAnsi="Symbol" w:hint="default"/>
      </w:rPr>
    </w:lvl>
    <w:lvl w:ilvl="4" w:tplc="04050003" w:tentative="1">
      <w:start w:val="1"/>
      <w:numFmt w:val="bullet"/>
      <w:lvlText w:val="o"/>
      <w:lvlJc w:val="left"/>
      <w:pPr>
        <w:ind w:left="2673" w:hanging="360"/>
      </w:pPr>
      <w:rPr>
        <w:rFonts w:ascii="Courier New" w:hAnsi="Courier New" w:cs="Courier New" w:hint="default"/>
      </w:rPr>
    </w:lvl>
    <w:lvl w:ilvl="5" w:tplc="04050005" w:tentative="1">
      <w:start w:val="1"/>
      <w:numFmt w:val="bullet"/>
      <w:lvlText w:val=""/>
      <w:lvlJc w:val="left"/>
      <w:pPr>
        <w:ind w:left="3393" w:hanging="360"/>
      </w:pPr>
      <w:rPr>
        <w:rFonts w:ascii="Wingdings" w:hAnsi="Wingdings" w:hint="default"/>
      </w:rPr>
    </w:lvl>
    <w:lvl w:ilvl="6" w:tplc="04050001" w:tentative="1">
      <w:start w:val="1"/>
      <w:numFmt w:val="bullet"/>
      <w:lvlText w:val=""/>
      <w:lvlJc w:val="left"/>
      <w:pPr>
        <w:ind w:left="4113" w:hanging="360"/>
      </w:pPr>
      <w:rPr>
        <w:rFonts w:ascii="Symbol" w:hAnsi="Symbol" w:hint="default"/>
      </w:rPr>
    </w:lvl>
    <w:lvl w:ilvl="7" w:tplc="04050003" w:tentative="1">
      <w:start w:val="1"/>
      <w:numFmt w:val="bullet"/>
      <w:lvlText w:val="o"/>
      <w:lvlJc w:val="left"/>
      <w:pPr>
        <w:ind w:left="4833" w:hanging="360"/>
      </w:pPr>
      <w:rPr>
        <w:rFonts w:ascii="Courier New" w:hAnsi="Courier New" w:cs="Courier New" w:hint="default"/>
      </w:rPr>
    </w:lvl>
    <w:lvl w:ilvl="8" w:tplc="04050005" w:tentative="1">
      <w:start w:val="1"/>
      <w:numFmt w:val="bullet"/>
      <w:lvlText w:val=""/>
      <w:lvlJc w:val="left"/>
      <w:pPr>
        <w:ind w:left="5553" w:hanging="360"/>
      </w:pPr>
      <w:rPr>
        <w:rFonts w:ascii="Wingdings" w:hAnsi="Wingdings" w:hint="default"/>
      </w:rPr>
    </w:lvl>
  </w:abstractNum>
  <w:abstractNum w:abstractNumId="12" w15:restartNumberingAfterBreak="0">
    <w:nsid w:val="39D6185D"/>
    <w:multiLevelType w:val="hybridMultilevel"/>
    <w:tmpl w:val="DE3AF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BA3FA5"/>
    <w:multiLevelType w:val="hybridMultilevel"/>
    <w:tmpl w:val="6B1C83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40681F27"/>
    <w:multiLevelType w:val="hybridMultilevel"/>
    <w:tmpl w:val="1E4EF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402E17"/>
    <w:multiLevelType w:val="hybridMultilevel"/>
    <w:tmpl w:val="E55CB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5E5DB3"/>
    <w:multiLevelType w:val="hybridMultilevel"/>
    <w:tmpl w:val="C1B27C2C"/>
    <w:lvl w:ilvl="0" w:tplc="F3A0DDF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577448C"/>
    <w:multiLevelType w:val="hybridMultilevel"/>
    <w:tmpl w:val="41083444"/>
    <w:lvl w:ilvl="0" w:tplc="F3A0DDF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51080C"/>
    <w:multiLevelType w:val="hybridMultilevel"/>
    <w:tmpl w:val="EAF2F682"/>
    <w:lvl w:ilvl="0" w:tplc="F3A0DDF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A395977"/>
    <w:multiLevelType w:val="hybridMultilevel"/>
    <w:tmpl w:val="38F68B7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7721E33"/>
    <w:multiLevelType w:val="hybridMultilevel"/>
    <w:tmpl w:val="4F422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B37E6E"/>
    <w:multiLevelType w:val="hybridMultilevel"/>
    <w:tmpl w:val="E2F69BA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59487208">
    <w:abstractNumId w:val="7"/>
  </w:num>
  <w:num w:numId="2" w16cid:durableId="1205555576">
    <w:abstractNumId w:val="3"/>
  </w:num>
  <w:num w:numId="3" w16cid:durableId="1557274365">
    <w:abstractNumId w:val="1"/>
  </w:num>
  <w:num w:numId="4" w16cid:durableId="635988075">
    <w:abstractNumId w:val="9"/>
  </w:num>
  <w:num w:numId="5" w16cid:durableId="236092666">
    <w:abstractNumId w:val="18"/>
  </w:num>
  <w:num w:numId="6" w16cid:durableId="615216089">
    <w:abstractNumId w:val="16"/>
  </w:num>
  <w:num w:numId="7" w16cid:durableId="484979072">
    <w:abstractNumId w:val="10"/>
  </w:num>
  <w:num w:numId="8" w16cid:durableId="683478738">
    <w:abstractNumId w:val="12"/>
  </w:num>
  <w:num w:numId="9" w16cid:durableId="564340932">
    <w:abstractNumId w:val="4"/>
  </w:num>
  <w:num w:numId="10" w16cid:durableId="1355502490">
    <w:abstractNumId w:val="21"/>
  </w:num>
  <w:num w:numId="11" w16cid:durableId="1104301752">
    <w:abstractNumId w:val="13"/>
  </w:num>
  <w:num w:numId="12" w16cid:durableId="103350587">
    <w:abstractNumId w:val="19"/>
  </w:num>
  <w:num w:numId="13" w16cid:durableId="223030738">
    <w:abstractNumId w:val="0"/>
  </w:num>
  <w:num w:numId="14" w16cid:durableId="1423530365">
    <w:abstractNumId w:val="17"/>
  </w:num>
  <w:num w:numId="15" w16cid:durableId="1216896496">
    <w:abstractNumId w:val="20"/>
  </w:num>
  <w:num w:numId="16" w16cid:durableId="781923641">
    <w:abstractNumId w:val="5"/>
  </w:num>
  <w:num w:numId="17" w16cid:durableId="221991942">
    <w:abstractNumId w:val="6"/>
  </w:num>
  <w:num w:numId="18" w16cid:durableId="275720823">
    <w:abstractNumId w:val="15"/>
  </w:num>
  <w:num w:numId="19" w16cid:durableId="1380471361">
    <w:abstractNumId w:val="8"/>
  </w:num>
  <w:num w:numId="20" w16cid:durableId="778988781">
    <w:abstractNumId w:val="11"/>
  </w:num>
  <w:num w:numId="21" w16cid:durableId="198783280">
    <w:abstractNumId w:val="2"/>
  </w:num>
  <w:num w:numId="22" w16cid:durableId="2090078978">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37"/>
    <w:rsid w:val="00011136"/>
    <w:rsid w:val="000519E1"/>
    <w:rsid w:val="000728E0"/>
    <w:rsid w:val="000A1797"/>
    <w:rsid w:val="000B615C"/>
    <w:rsid w:val="000D3B49"/>
    <w:rsid w:val="000D7136"/>
    <w:rsid w:val="000E001E"/>
    <w:rsid w:val="000E3A53"/>
    <w:rsid w:val="000F7FF1"/>
    <w:rsid w:val="00102B10"/>
    <w:rsid w:val="00105E16"/>
    <w:rsid w:val="00124851"/>
    <w:rsid w:val="001256B1"/>
    <w:rsid w:val="00140DAE"/>
    <w:rsid w:val="001610E5"/>
    <w:rsid w:val="00162A8B"/>
    <w:rsid w:val="001663D7"/>
    <w:rsid w:val="00172F61"/>
    <w:rsid w:val="00191FD0"/>
    <w:rsid w:val="001F1FFF"/>
    <w:rsid w:val="001F4622"/>
    <w:rsid w:val="00215C33"/>
    <w:rsid w:val="002948EB"/>
    <w:rsid w:val="00296DB8"/>
    <w:rsid w:val="002A428B"/>
    <w:rsid w:val="002B3DAC"/>
    <w:rsid w:val="002C2095"/>
    <w:rsid w:val="002F2203"/>
    <w:rsid w:val="00347B43"/>
    <w:rsid w:val="00357631"/>
    <w:rsid w:val="003612AE"/>
    <w:rsid w:val="0036291F"/>
    <w:rsid w:val="00374027"/>
    <w:rsid w:val="003753FB"/>
    <w:rsid w:val="003A05CF"/>
    <w:rsid w:val="003B3AD3"/>
    <w:rsid w:val="003B43AF"/>
    <w:rsid w:val="003C6ADA"/>
    <w:rsid w:val="003E2FF3"/>
    <w:rsid w:val="003E4499"/>
    <w:rsid w:val="003F5188"/>
    <w:rsid w:val="00410591"/>
    <w:rsid w:val="00434262"/>
    <w:rsid w:val="00453008"/>
    <w:rsid w:val="00453F85"/>
    <w:rsid w:val="0045449E"/>
    <w:rsid w:val="004727BA"/>
    <w:rsid w:val="004731F0"/>
    <w:rsid w:val="00480222"/>
    <w:rsid w:val="00484B81"/>
    <w:rsid w:val="00494F50"/>
    <w:rsid w:val="004B13DA"/>
    <w:rsid w:val="004D1F32"/>
    <w:rsid w:val="004E0282"/>
    <w:rsid w:val="004E059E"/>
    <w:rsid w:val="00511A0C"/>
    <w:rsid w:val="00515994"/>
    <w:rsid w:val="005336E0"/>
    <w:rsid w:val="00570C4C"/>
    <w:rsid w:val="0058331E"/>
    <w:rsid w:val="00595A9A"/>
    <w:rsid w:val="005A22E2"/>
    <w:rsid w:val="005B4894"/>
    <w:rsid w:val="005C47BA"/>
    <w:rsid w:val="005C481D"/>
    <w:rsid w:val="00605F74"/>
    <w:rsid w:val="006153C7"/>
    <w:rsid w:val="00617D27"/>
    <w:rsid w:val="006224D9"/>
    <w:rsid w:val="0064113E"/>
    <w:rsid w:val="00641969"/>
    <w:rsid w:val="006419D2"/>
    <w:rsid w:val="00641DEE"/>
    <w:rsid w:val="00656CA1"/>
    <w:rsid w:val="00663EE5"/>
    <w:rsid w:val="006836C9"/>
    <w:rsid w:val="00691EDA"/>
    <w:rsid w:val="00694F62"/>
    <w:rsid w:val="00697476"/>
    <w:rsid w:val="006A64C0"/>
    <w:rsid w:val="006B408C"/>
    <w:rsid w:val="006C054C"/>
    <w:rsid w:val="006C1B9D"/>
    <w:rsid w:val="006E2537"/>
    <w:rsid w:val="007177F9"/>
    <w:rsid w:val="00720CA3"/>
    <w:rsid w:val="007218E2"/>
    <w:rsid w:val="0073684D"/>
    <w:rsid w:val="007635BF"/>
    <w:rsid w:val="00773326"/>
    <w:rsid w:val="007B1BF5"/>
    <w:rsid w:val="007C0A9D"/>
    <w:rsid w:val="007D13AC"/>
    <w:rsid w:val="007F7E7B"/>
    <w:rsid w:val="00813F86"/>
    <w:rsid w:val="00820444"/>
    <w:rsid w:val="00824B6C"/>
    <w:rsid w:val="00825C5D"/>
    <w:rsid w:val="00843A98"/>
    <w:rsid w:val="00847D5C"/>
    <w:rsid w:val="0086721C"/>
    <w:rsid w:val="00870A84"/>
    <w:rsid w:val="00881591"/>
    <w:rsid w:val="008829A9"/>
    <w:rsid w:val="008A6AF5"/>
    <w:rsid w:val="008B059E"/>
    <w:rsid w:val="008C56A0"/>
    <w:rsid w:val="008D7A24"/>
    <w:rsid w:val="008F2F13"/>
    <w:rsid w:val="0090410C"/>
    <w:rsid w:val="00913C4B"/>
    <w:rsid w:val="00934F3C"/>
    <w:rsid w:val="00971F8E"/>
    <w:rsid w:val="009A1CA7"/>
    <w:rsid w:val="009A5AC2"/>
    <w:rsid w:val="009A6CCE"/>
    <w:rsid w:val="009B248F"/>
    <w:rsid w:val="009B3F7E"/>
    <w:rsid w:val="009D2F52"/>
    <w:rsid w:val="009E2D8A"/>
    <w:rsid w:val="009E5565"/>
    <w:rsid w:val="009E7D12"/>
    <w:rsid w:val="00A22112"/>
    <w:rsid w:val="00A243ED"/>
    <w:rsid w:val="00A368FF"/>
    <w:rsid w:val="00A51887"/>
    <w:rsid w:val="00A63A70"/>
    <w:rsid w:val="00A73478"/>
    <w:rsid w:val="00A84C12"/>
    <w:rsid w:val="00AC1719"/>
    <w:rsid w:val="00AC5A59"/>
    <w:rsid w:val="00AE5CE4"/>
    <w:rsid w:val="00B005E0"/>
    <w:rsid w:val="00B00D69"/>
    <w:rsid w:val="00B13EDB"/>
    <w:rsid w:val="00B255FB"/>
    <w:rsid w:val="00B42762"/>
    <w:rsid w:val="00B573DB"/>
    <w:rsid w:val="00B620E5"/>
    <w:rsid w:val="00BA58A0"/>
    <w:rsid w:val="00BB0837"/>
    <w:rsid w:val="00BB2087"/>
    <w:rsid w:val="00C23715"/>
    <w:rsid w:val="00C37E2E"/>
    <w:rsid w:val="00C77257"/>
    <w:rsid w:val="00C8704C"/>
    <w:rsid w:val="00C874E0"/>
    <w:rsid w:val="00CB6601"/>
    <w:rsid w:val="00CD6E81"/>
    <w:rsid w:val="00CF5E14"/>
    <w:rsid w:val="00D07589"/>
    <w:rsid w:val="00D10273"/>
    <w:rsid w:val="00D54825"/>
    <w:rsid w:val="00D5737F"/>
    <w:rsid w:val="00D61937"/>
    <w:rsid w:val="00D76EFD"/>
    <w:rsid w:val="00D96C89"/>
    <w:rsid w:val="00DD1D07"/>
    <w:rsid w:val="00DD3389"/>
    <w:rsid w:val="00DF375E"/>
    <w:rsid w:val="00DF3A24"/>
    <w:rsid w:val="00DF7768"/>
    <w:rsid w:val="00E6263C"/>
    <w:rsid w:val="00E849E5"/>
    <w:rsid w:val="00EC3AA0"/>
    <w:rsid w:val="00F02A45"/>
    <w:rsid w:val="00F04B23"/>
    <w:rsid w:val="00F11E6D"/>
    <w:rsid w:val="00F27E26"/>
    <w:rsid w:val="00F309E9"/>
    <w:rsid w:val="00F37D3C"/>
    <w:rsid w:val="00F4301D"/>
    <w:rsid w:val="00F9515D"/>
    <w:rsid w:val="00F95594"/>
    <w:rsid w:val="00FC6128"/>
    <w:rsid w:val="00FD1B61"/>
    <w:rsid w:val="00FD27FD"/>
    <w:rsid w:val="00FE63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1378"/>
  <w15:chartTrackingRefBased/>
  <w15:docId w15:val="{6D09D0E2-96C5-4076-BF1E-F018CCEC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974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C772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31F0"/>
    <w:pPr>
      <w:ind w:left="720"/>
      <w:contextualSpacing/>
    </w:pPr>
  </w:style>
  <w:style w:type="paragraph" w:styleId="Zhlav">
    <w:name w:val="header"/>
    <w:basedOn w:val="Normln"/>
    <w:link w:val="ZhlavChar"/>
    <w:uiPriority w:val="99"/>
    <w:unhideWhenUsed/>
    <w:rsid w:val="004731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31F0"/>
  </w:style>
  <w:style w:type="paragraph" w:styleId="Zpat">
    <w:name w:val="footer"/>
    <w:basedOn w:val="Normln"/>
    <w:link w:val="ZpatChar"/>
    <w:uiPriority w:val="99"/>
    <w:unhideWhenUsed/>
    <w:rsid w:val="004731F0"/>
    <w:pPr>
      <w:tabs>
        <w:tab w:val="center" w:pos="4536"/>
        <w:tab w:val="right" w:pos="9072"/>
      </w:tabs>
      <w:spacing w:after="0" w:line="240" w:lineRule="auto"/>
    </w:pPr>
  </w:style>
  <w:style w:type="character" w:customStyle="1" w:styleId="ZpatChar">
    <w:name w:val="Zápatí Char"/>
    <w:basedOn w:val="Standardnpsmoodstavce"/>
    <w:link w:val="Zpat"/>
    <w:uiPriority w:val="99"/>
    <w:rsid w:val="004731F0"/>
  </w:style>
  <w:style w:type="character" w:styleId="Hypertextovodkaz">
    <w:name w:val="Hyperlink"/>
    <w:basedOn w:val="Standardnpsmoodstavce"/>
    <w:uiPriority w:val="99"/>
    <w:unhideWhenUsed/>
    <w:rsid w:val="0058331E"/>
    <w:rPr>
      <w:color w:val="0563C1" w:themeColor="hyperlink"/>
      <w:u w:val="single"/>
    </w:rPr>
  </w:style>
  <w:style w:type="character" w:customStyle="1" w:styleId="Nevyeenzmnka1">
    <w:name w:val="Nevyřešená zmínka1"/>
    <w:basedOn w:val="Standardnpsmoodstavce"/>
    <w:uiPriority w:val="99"/>
    <w:semiHidden/>
    <w:unhideWhenUsed/>
    <w:rsid w:val="0058331E"/>
    <w:rPr>
      <w:color w:val="605E5C"/>
      <w:shd w:val="clear" w:color="auto" w:fill="E1DFDD"/>
    </w:rPr>
  </w:style>
  <w:style w:type="character" w:styleId="Siln">
    <w:name w:val="Strong"/>
    <w:basedOn w:val="Standardnpsmoodstavce"/>
    <w:uiPriority w:val="22"/>
    <w:qFormat/>
    <w:rsid w:val="000F7FF1"/>
    <w:rPr>
      <w:b/>
      <w:bCs/>
    </w:rPr>
  </w:style>
  <w:style w:type="table" w:styleId="Mkatabulky">
    <w:name w:val="Table Grid"/>
    <w:basedOn w:val="Normlntabulka"/>
    <w:uiPriority w:val="39"/>
    <w:rsid w:val="00641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E7D12"/>
    <w:pPr>
      <w:spacing w:after="0" w:line="240" w:lineRule="auto"/>
    </w:pPr>
  </w:style>
  <w:style w:type="paragraph" w:customStyle="1" w:styleId="m6524801310819632729gmail-msonospacing">
    <w:name w:val="m_6524801310819632729gmail-msonospacing"/>
    <w:basedOn w:val="Normln"/>
    <w:rsid w:val="00191FD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005E0"/>
    <w:pPr>
      <w:spacing w:after="0" w:line="240" w:lineRule="auto"/>
    </w:pPr>
  </w:style>
  <w:style w:type="character" w:styleId="Sledovanodkaz">
    <w:name w:val="FollowedHyperlink"/>
    <w:basedOn w:val="Standardnpsmoodstavce"/>
    <w:uiPriority w:val="99"/>
    <w:semiHidden/>
    <w:unhideWhenUsed/>
    <w:rsid w:val="0045449E"/>
    <w:rPr>
      <w:color w:val="954F72" w:themeColor="followedHyperlink"/>
      <w:u w:val="single"/>
    </w:rPr>
  </w:style>
  <w:style w:type="paragraph" w:styleId="Normlnweb">
    <w:name w:val="Normal (Web)"/>
    <w:basedOn w:val="Normln"/>
    <w:uiPriority w:val="99"/>
    <w:semiHidden/>
    <w:unhideWhenUsed/>
    <w:rsid w:val="00AC171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A1CA7"/>
    <w:rPr>
      <w:sz w:val="16"/>
      <w:szCs w:val="16"/>
    </w:rPr>
  </w:style>
  <w:style w:type="paragraph" w:styleId="Textkomente">
    <w:name w:val="annotation text"/>
    <w:basedOn w:val="Normln"/>
    <w:link w:val="TextkomenteChar"/>
    <w:uiPriority w:val="99"/>
    <w:unhideWhenUsed/>
    <w:rsid w:val="009A1CA7"/>
    <w:pPr>
      <w:spacing w:line="240" w:lineRule="auto"/>
    </w:pPr>
    <w:rPr>
      <w:sz w:val="20"/>
      <w:szCs w:val="20"/>
    </w:rPr>
  </w:style>
  <w:style w:type="character" w:customStyle="1" w:styleId="TextkomenteChar">
    <w:name w:val="Text komentáře Char"/>
    <w:basedOn w:val="Standardnpsmoodstavce"/>
    <w:link w:val="Textkomente"/>
    <w:uiPriority w:val="99"/>
    <w:rsid w:val="009A1CA7"/>
    <w:rPr>
      <w:sz w:val="20"/>
      <w:szCs w:val="20"/>
    </w:rPr>
  </w:style>
  <w:style w:type="paragraph" w:styleId="Pedmtkomente">
    <w:name w:val="annotation subject"/>
    <w:basedOn w:val="Textkomente"/>
    <w:next w:val="Textkomente"/>
    <w:link w:val="PedmtkomenteChar"/>
    <w:uiPriority w:val="99"/>
    <w:semiHidden/>
    <w:unhideWhenUsed/>
    <w:rsid w:val="009A1CA7"/>
    <w:rPr>
      <w:b/>
      <w:bCs/>
    </w:rPr>
  </w:style>
  <w:style w:type="character" w:customStyle="1" w:styleId="PedmtkomenteChar">
    <w:name w:val="Předmět komentáře Char"/>
    <w:basedOn w:val="TextkomenteChar"/>
    <w:link w:val="Pedmtkomente"/>
    <w:uiPriority w:val="99"/>
    <w:semiHidden/>
    <w:rsid w:val="009A1CA7"/>
    <w:rPr>
      <w:b/>
      <w:bCs/>
      <w:sz w:val="20"/>
      <w:szCs w:val="20"/>
    </w:rPr>
  </w:style>
  <w:style w:type="character" w:customStyle="1" w:styleId="Nadpis2Char">
    <w:name w:val="Nadpis 2 Char"/>
    <w:basedOn w:val="Standardnpsmoodstavce"/>
    <w:link w:val="Nadpis2"/>
    <w:uiPriority w:val="9"/>
    <w:rsid w:val="00C77257"/>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Standardnpsmoodstavce"/>
    <w:link w:val="Nadpis1"/>
    <w:uiPriority w:val="9"/>
    <w:rsid w:val="00697476"/>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C37E2E"/>
    <w:pPr>
      <w:outlineLvl w:val="9"/>
    </w:pPr>
    <w:rPr>
      <w:lang w:eastAsia="cs-CZ"/>
    </w:rPr>
  </w:style>
  <w:style w:type="paragraph" w:styleId="Obsah1">
    <w:name w:val="toc 1"/>
    <w:basedOn w:val="Normln"/>
    <w:next w:val="Normln"/>
    <w:autoRedefine/>
    <w:uiPriority w:val="39"/>
    <w:unhideWhenUsed/>
    <w:rsid w:val="00C37E2E"/>
    <w:pPr>
      <w:spacing w:after="100"/>
    </w:pPr>
  </w:style>
  <w:style w:type="paragraph" w:styleId="Obsah2">
    <w:name w:val="toc 2"/>
    <w:basedOn w:val="Normln"/>
    <w:next w:val="Normln"/>
    <w:autoRedefine/>
    <w:uiPriority w:val="39"/>
    <w:unhideWhenUsed/>
    <w:rsid w:val="00C37E2E"/>
    <w:pPr>
      <w:spacing w:after="100"/>
      <w:ind w:left="220"/>
    </w:pPr>
  </w:style>
  <w:style w:type="paragraph" w:styleId="Obsah3">
    <w:name w:val="toc 3"/>
    <w:basedOn w:val="Normln"/>
    <w:next w:val="Normln"/>
    <w:autoRedefine/>
    <w:uiPriority w:val="39"/>
    <w:unhideWhenUsed/>
    <w:rsid w:val="00C37E2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6660">
      <w:bodyDiv w:val="1"/>
      <w:marLeft w:val="0"/>
      <w:marRight w:val="0"/>
      <w:marTop w:val="0"/>
      <w:marBottom w:val="0"/>
      <w:divBdr>
        <w:top w:val="none" w:sz="0" w:space="0" w:color="auto"/>
        <w:left w:val="none" w:sz="0" w:space="0" w:color="auto"/>
        <w:bottom w:val="none" w:sz="0" w:space="0" w:color="auto"/>
        <w:right w:val="none" w:sz="0" w:space="0" w:color="auto"/>
      </w:divBdr>
    </w:div>
    <w:div w:id="289438537">
      <w:bodyDiv w:val="1"/>
      <w:marLeft w:val="0"/>
      <w:marRight w:val="0"/>
      <w:marTop w:val="0"/>
      <w:marBottom w:val="0"/>
      <w:divBdr>
        <w:top w:val="none" w:sz="0" w:space="0" w:color="auto"/>
        <w:left w:val="none" w:sz="0" w:space="0" w:color="auto"/>
        <w:bottom w:val="none" w:sz="0" w:space="0" w:color="auto"/>
        <w:right w:val="none" w:sz="0" w:space="0" w:color="auto"/>
      </w:divBdr>
    </w:div>
    <w:div w:id="400443315">
      <w:bodyDiv w:val="1"/>
      <w:marLeft w:val="0"/>
      <w:marRight w:val="0"/>
      <w:marTop w:val="0"/>
      <w:marBottom w:val="0"/>
      <w:divBdr>
        <w:top w:val="none" w:sz="0" w:space="0" w:color="auto"/>
        <w:left w:val="none" w:sz="0" w:space="0" w:color="auto"/>
        <w:bottom w:val="none" w:sz="0" w:space="0" w:color="auto"/>
        <w:right w:val="none" w:sz="0" w:space="0" w:color="auto"/>
      </w:divBdr>
      <w:divsChild>
        <w:div w:id="294525120">
          <w:marLeft w:val="547"/>
          <w:marRight w:val="0"/>
          <w:marTop w:val="0"/>
          <w:marBottom w:val="0"/>
          <w:divBdr>
            <w:top w:val="none" w:sz="0" w:space="0" w:color="auto"/>
            <w:left w:val="none" w:sz="0" w:space="0" w:color="auto"/>
            <w:bottom w:val="none" w:sz="0" w:space="0" w:color="auto"/>
            <w:right w:val="none" w:sz="0" w:space="0" w:color="auto"/>
          </w:divBdr>
        </w:div>
        <w:div w:id="2044939662">
          <w:marLeft w:val="547"/>
          <w:marRight w:val="0"/>
          <w:marTop w:val="0"/>
          <w:marBottom w:val="0"/>
          <w:divBdr>
            <w:top w:val="none" w:sz="0" w:space="0" w:color="auto"/>
            <w:left w:val="none" w:sz="0" w:space="0" w:color="auto"/>
            <w:bottom w:val="none" w:sz="0" w:space="0" w:color="auto"/>
            <w:right w:val="none" w:sz="0" w:space="0" w:color="auto"/>
          </w:divBdr>
        </w:div>
        <w:div w:id="463236048">
          <w:marLeft w:val="547"/>
          <w:marRight w:val="0"/>
          <w:marTop w:val="0"/>
          <w:marBottom w:val="0"/>
          <w:divBdr>
            <w:top w:val="none" w:sz="0" w:space="0" w:color="auto"/>
            <w:left w:val="none" w:sz="0" w:space="0" w:color="auto"/>
            <w:bottom w:val="none" w:sz="0" w:space="0" w:color="auto"/>
            <w:right w:val="none" w:sz="0" w:space="0" w:color="auto"/>
          </w:divBdr>
        </w:div>
        <w:div w:id="1562256691">
          <w:marLeft w:val="547"/>
          <w:marRight w:val="0"/>
          <w:marTop w:val="0"/>
          <w:marBottom w:val="0"/>
          <w:divBdr>
            <w:top w:val="none" w:sz="0" w:space="0" w:color="auto"/>
            <w:left w:val="none" w:sz="0" w:space="0" w:color="auto"/>
            <w:bottom w:val="none" w:sz="0" w:space="0" w:color="auto"/>
            <w:right w:val="none" w:sz="0" w:space="0" w:color="auto"/>
          </w:divBdr>
        </w:div>
        <w:div w:id="392772639">
          <w:marLeft w:val="547"/>
          <w:marRight w:val="0"/>
          <w:marTop w:val="0"/>
          <w:marBottom w:val="160"/>
          <w:divBdr>
            <w:top w:val="none" w:sz="0" w:space="0" w:color="auto"/>
            <w:left w:val="none" w:sz="0" w:space="0" w:color="auto"/>
            <w:bottom w:val="none" w:sz="0" w:space="0" w:color="auto"/>
            <w:right w:val="none" w:sz="0" w:space="0" w:color="auto"/>
          </w:divBdr>
        </w:div>
      </w:divsChild>
    </w:div>
    <w:div w:id="582836205">
      <w:bodyDiv w:val="1"/>
      <w:marLeft w:val="0"/>
      <w:marRight w:val="0"/>
      <w:marTop w:val="0"/>
      <w:marBottom w:val="0"/>
      <w:divBdr>
        <w:top w:val="none" w:sz="0" w:space="0" w:color="auto"/>
        <w:left w:val="none" w:sz="0" w:space="0" w:color="auto"/>
        <w:bottom w:val="none" w:sz="0" w:space="0" w:color="auto"/>
        <w:right w:val="none" w:sz="0" w:space="0" w:color="auto"/>
      </w:divBdr>
    </w:div>
    <w:div w:id="692847954">
      <w:bodyDiv w:val="1"/>
      <w:marLeft w:val="0"/>
      <w:marRight w:val="0"/>
      <w:marTop w:val="0"/>
      <w:marBottom w:val="0"/>
      <w:divBdr>
        <w:top w:val="none" w:sz="0" w:space="0" w:color="auto"/>
        <w:left w:val="none" w:sz="0" w:space="0" w:color="auto"/>
        <w:bottom w:val="none" w:sz="0" w:space="0" w:color="auto"/>
        <w:right w:val="none" w:sz="0" w:space="0" w:color="auto"/>
      </w:divBdr>
    </w:div>
    <w:div w:id="693112228">
      <w:bodyDiv w:val="1"/>
      <w:marLeft w:val="0"/>
      <w:marRight w:val="0"/>
      <w:marTop w:val="0"/>
      <w:marBottom w:val="0"/>
      <w:divBdr>
        <w:top w:val="none" w:sz="0" w:space="0" w:color="auto"/>
        <w:left w:val="none" w:sz="0" w:space="0" w:color="auto"/>
        <w:bottom w:val="none" w:sz="0" w:space="0" w:color="auto"/>
        <w:right w:val="none" w:sz="0" w:space="0" w:color="auto"/>
      </w:divBdr>
      <w:divsChild>
        <w:div w:id="1717005678">
          <w:marLeft w:val="1397"/>
          <w:marRight w:val="0"/>
          <w:marTop w:val="120"/>
          <w:marBottom w:val="120"/>
          <w:divBdr>
            <w:top w:val="none" w:sz="0" w:space="0" w:color="auto"/>
            <w:left w:val="none" w:sz="0" w:space="0" w:color="auto"/>
            <w:bottom w:val="none" w:sz="0" w:space="0" w:color="auto"/>
            <w:right w:val="none" w:sz="0" w:space="0" w:color="auto"/>
          </w:divBdr>
        </w:div>
        <w:div w:id="499589942">
          <w:marLeft w:val="1397"/>
          <w:marRight w:val="0"/>
          <w:marTop w:val="120"/>
          <w:marBottom w:val="120"/>
          <w:divBdr>
            <w:top w:val="none" w:sz="0" w:space="0" w:color="auto"/>
            <w:left w:val="none" w:sz="0" w:space="0" w:color="auto"/>
            <w:bottom w:val="none" w:sz="0" w:space="0" w:color="auto"/>
            <w:right w:val="none" w:sz="0" w:space="0" w:color="auto"/>
          </w:divBdr>
        </w:div>
        <w:div w:id="1088231219">
          <w:marLeft w:val="1397"/>
          <w:marRight w:val="0"/>
          <w:marTop w:val="120"/>
          <w:marBottom w:val="120"/>
          <w:divBdr>
            <w:top w:val="none" w:sz="0" w:space="0" w:color="auto"/>
            <w:left w:val="none" w:sz="0" w:space="0" w:color="auto"/>
            <w:bottom w:val="none" w:sz="0" w:space="0" w:color="auto"/>
            <w:right w:val="none" w:sz="0" w:space="0" w:color="auto"/>
          </w:divBdr>
        </w:div>
        <w:div w:id="1402172318">
          <w:marLeft w:val="1397"/>
          <w:marRight w:val="0"/>
          <w:marTop w:val="120"/>
          <w:marBottom w:val="120"/>
          <w:divBdr>
            <w:top w:val="none" w:sz="0" w:space="0" w:color="auto"/>
            <w:left w:val="none" w:sz="0" w:space="0" w:color="auto"/>
            <w:bottom w:val="none" w:sz="0" w:space="0" w:color="auto"/>
            <w:right w:val="none" w:sz="0" w:space="0" w:color="auto"/>
          </w:divBdr>
        </w:div>
      </w:divsChild>
    </w:div>
    <w:div w:id="893200415">
      <w:bodyDiv w:val="1"/>
      <w:marLeft w:val="0"/>
      <w:marRight w:val="0"/>
      <w:marTop w:val="0"/>
      <w:marBottom w:val="0"/>
      <w:divBdr>
        <w:top w:val="none" w:sz="0" w:space="0" w:color="auto"/>
        <w:left w:val="none" w:sz="0" w:space="0" w:color="auto"/>
        <w:bottom w:val="none" w:sz="0" w:space="0" w:color="auto"/>
        <w:right w:val="none" w:sz="0" w:space="0" w:color="auto"/>
      </w:divBdr>
    </w:div>
    <w:div w:id="1010571857">
      <w:bodyDiv w:val="1"/>
      <w:marLeft w:val="0"/>
      <w:marRight w:val="0"/>
      <w:marTop w:val="0"/>
      <w:marBottom w:val="0"/>
      <w:divBdr>
        <w:top w:val="none" w:sz="0" w:space="0" w:color="auto"/>
        <w:left w:val="none" w:sz="0" w:space="0" w:color="auto"/>
        <w:bottom w:val="none" w:sz="0" w:space="0" w:color="auto"/>
        <w:right w:val="none" w:sz="0" w:space="0" w:color="auto"/>
      </w:divBdr>
    </w:div>
    <w:div w:id="1137911909">
      <w:bodyDiv w:val="1"/>
      <w:marLeft w:val="0"/>
      <w:marRight w:val="0"/>
      <w:marTop w:val="0"/>
      <w:marBottom w:val="0"/>
      <w:divBdr>
        <w:top w:val="none" w:sz="0" w:space="0" w:color="auto"/>
        <w:left w:val="none" w:sz="0" w:space="0" w:color="auto"/>
        <w:bottom w:val="none" w:sz="0" w:space="0" w:color="auto"/>
        <w:right w:val="none" w:sz="0" w:space="0" w:color="auto"/>
      </w:divBdr>
    </w:div>
    <w:div w:id="1304306809">
      <w:bodyDiv w:val="1"/>
      <w:marLeft w:val="0"/>
      <w:marRight w:val="0"/>
      <w:marTop w:val="0"/>
      <w:marBottom w:val="0"/>
      <w:divBdr>
        <w:top w:val="none" w:sz="0" w:space="0" w:color="auto"/>
        <w:left w:val="none" w:sz="0" w:space="0" w:color="auto"/>
        <w:bottom w:val="none" w:sz="0" w:space="0" w:color="auto"/>
        <w:right w:val="none" w:sz="0" w:space="0" w:color="auto"/>
      </w:divBdr>
    </w:div>
    <w:div w:id="1337610037">
      <w:bodyDiv w:val="1"/>
      <w:marLeft w:val="0"/>
      <w:marRight w:val="0"/>
      <w:marTop w:val="0"/>
      <w:marBottom w:val="0"/>
      <w:divBdr>
        <w:top w:val="none" w:sz="0" w:space="0" w:color="auto"/>
        <w:left w:val="none" w:sz="0" w:space="0" w:color="auto"/>
        <w:bottom w:val="none" w:sz="0" w:space="0" w:color="auto"/>
        <w:right w:val="none" w:sz="0" w:space="0" w:color="auto"/>
      </w:divBdr>
    </w:div>
    <w:div w:id="1373581367">
      <w:bodyDiv w:val="1"/>
      <w:marLeft w:val="0"/>
      <w:marRight w:val="0"/>
      <w:marTop w:val="0"/>
      <w:marBottom w:val="0"/>
      <w:divBdr>
        <w:top w:val="none" w:sz="0" w:space="0" w:color="auto"/>
        <w:left w:val="none" w:sz="0" w:space="0" w:color="auto"/>
        <w:bottom w:val="none" w:sz="0" w:space="0" w:color="auto"/>
        <w:right w:val="none" w:sz="0" w:space="0" w:color="auto"/>
      </w:divBdr>
    </w:div>
    <w:div w:id="1378816074">
      <w:bodyDiv w:val="1"/>
      <w:marLeft w:val="0"/>
      <w:marRight w:val="0"/>
      <w:marTop w:val="0"/>
      <w:marBottom w:val="0"/>
      <w:divBdr>
        <w:top w:val="none" w:sz="0" w:space="0" w:color="auto"/>
        <w:left w:val="none" w:sz="0" w:space="0" w:color="auto"/>
        <w:bottom w:val="none" w:sz="0" w:space="0" w:color="auto"/>
        <w:right w:val="none" w:sz="0" w:space="0" w:color="auto"/>
      </w:divBdr>
    </w:div>
    <w:div w:id="1458259866">
      <w:bodyDiv w:val="1"/>
      <w:marLeft w:val="0"/>
      <w:marRight w:val="0"/>
      <w:marTop w:val="0"/>
      <w:marBottom w:val="0"/>
      <w:divBdr>
        <w:top w:val="none" w:sz="0" w:space="0" w:color="auto"/>
        <w:left w:val="none" w:sz="0" w:space="0" w:color="auto"/>
        <w:bottom w:val="none" w:sz="0" w:space="0" w:color="auto"/>
        <w:right w:val="none" w:sz="0" w:space="0" w:color="auto"/>
      </w:divBdr>
      <w:divsChild>
        <w:div w:id="626158822">
          <w:marLeft w:val="0"/>
          <w:marRight w:val="0"/>
          <w:marTop w:val="0"/>
          <w:marBottom w:val="0"/>
          <w:divBdr>
            <w:top w:val="none" w:sz="0" w:space="0" w:color="auto"/>
            <w:left w:val="none" w:sz="0" w:space="0" w:color="auto"/>
            <w:bottom w:val="none" w:sz="0" w:space="0" w:color="auto"/>
            <w:right w:val="none" w:sz="0" w:space="0" w:color="auto"/>
          </w:divBdr>
          <w:divsChild>
            <w:div w:id="735319606">
              <w:marLeft w:val="0"/>
              <w:marRight w:val="0"/>
              <w:marTop w:val="0"/>
              <w:marBottom w:val="0"/>
              <w:divBdr>
                <w:top w:val="none" w:sz="0" w:space="0" w:color="auto"/>
                <w:left w:val="none" w:sz="0" w:space="0" w:color="auto"/>
                <w:bottom w:val="none" w:sz="0" w:space="0" w:color="auto"/>
                <w:right w:val="none" w:sz="0" w:space="0" w:color="auto"/>
              </w:divBdr>
              <w:divsChild>
                <w:div w:id="3342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5462">
      <w:bodyDiv w:val="1"/>
      <w:marLeft w:val="0"/>
      <w:marRight w:val="0"/>
      <w:marTop w:val="0"/>
      <w:marBottom w:val="0"/>
      <w:divBdr>
        <w:top w:val="none" w:sz="0" w:space="0" w:color="auto"/>
        <w:left w:val="none" w:sz="0" w:space="0" w:color="auto"/>
        <w:bottom w:val="none" w:sz="0" w:space="0" w:color="auto"/>
        <w:right w:val="none" w:sz="0" w:space="0" w:color="auto"/>
      </w:divBdr>
    </w:div>
    <w:div w:id="1696270457">
      <w:bodyDiv w:val="1"/>
      <w:marLeft w:val="0"/>
      <w:marRight w:val="0"/>
      <w:marTop w:val="0"/>
      <w:marBottom w:val="0"/>
      <w:divBdr>
        <w:top w:val="none" w:sz="0" w:space="0" w:color="auto"/>
        <w:left w:val="none" w:sz="0" w:space="0" w:color="auto"/>
        <w:bottom w:val="none" w:sz="0" w:space="0" w:color="auto"/>
        <w:right w:val="none" w:sz="0" w:space="0" w:color="auto"/>
      </w:divBdr>
    </w:div>
    <w:div w:id="1764452597">
      <w:bodyDiv w:val="1"/>
      <w:marLeft w:val="0"/>
      <w:marRight w:val="0"/>
      <w:marTop w:val="0"/>
      <w:marBottom w:val="0"/>
      <w:divBdr>
        <w:top w:val="none" w:sz="0" w:space="0" w:color="auto"/>
        <w:left w:val="none" w:sz="0" w:space="0" w:color="auto"/>
        <w:bottom w:val="none" w:sz="0" w:space="0" w:color="auto"/>
        <w:right w:val="none" w:sz="0" w:space="0" w:color="auto"/>
      </w:divBdr>
      <w:divsChild>
        <w:div w:id="2045716243">
          <w:marLeft w:val="475"/>
          <w:marRight w:val="0"/>
          <w:marTop w:val="128"/>
          <w:marBottom w:val="0"/>
          <w:divBdr>
            <w:top w:val="none" w:sz="0" w:space="0" w:color="auto"/>
            <w:left w:val="none" w:sz="0" w:space="0" w:color="auto"/>
            <w:bottom w:val="none" w:sz="0" w:space="0" w:color="auto"/>
            <w:right w:val="none" w:sz="0" w:space="0" w:color="auto"/>
          </w:divBdr>
        </w:div>
        <w:div w:id="1270771836">
          <w:marLeft w:val="475"/>
          <w:marRight w:val="0"/>
          <w:marTop w:val="128"/>
          <w:marBottom w:val="0"/>
          <w:divBdr>
            <w:top w:val="none" w:sz="0" w:space="0" w:color="auto"/>
            <w:left w:val="none" w:sz="0" w:space="0" w:color="auto"/>
            <w:bottom w:val="none" w:sz="0" w:space="0" w:color="auto"/>
            <w:right w:val="none" w:sz="0" w:space="0" w:color="auto"/>
          </w:divBdr>
        </w:div>
        <w:div w:id="834146252">
          <w:marLeft w:val="475"/>
          <w:marRight w:val="0"/>
          <w:marTop w:val="128"/>
          <w:marBottom w:val="0"/>
          <w:divBdr>
            <w:top w:val="none" w:sz="0" w:space="0" w:color="auto"/>
            <w:left w:val="none" w:sz="0" w:space="0" w:color="auto"/>
            <w:bottom w:val="none" w:sz="0" w:space="0" w:color="auto"/>
            <w:right w:val="none" w:sz="0" w:space="0" w:color="auto"/>
          </w:divBdr>
        </w:div>
        <w:div w:id="757600031">
          <w:marLeft w:val="475"/>
          <w:marRight w:val="0"/>
          <w:marTop w:val="128"/>
          <w:marBottom w:val="0"/>
          <w:divBdr>
            <w:top w:val="none" w:sz="0" w:space="0" w:color="auto"/>
            <w:left w:val="none" w:sz="0" w:space="0" w:color="auto"/>
            <w:bottom w:val="none" w:sz="0" w:space="0" w:color="auto"/>
            <w:right w:val="none" w:sz="0" w:space="0" w:color="auto"/>
          </w:divBdr>
        </w:div>
        <w:div w:id="1397240468">
          <w:marLeft w:val="475"/>
          <w:marRight w:val="0"/>
          <w:marTop w:val="128"/>
          <w:marBottom w:val="0"/>
          <w:divBdr>
            <w:top w:val="none" w:sz="0" w:space="0" w:color="auto"/>
            <w:left w:val="none" w:sz="0" w:space="0" w:color="auto"/>
            <w:bottom w:val="none" w:sz="0" w:space="0" w:color="auto"/>
            <w:right w:val="none" w:sz="0" w:space="0" w:color="auto"/>
          </w:divBdr>
        </w:div>
        <w:div w:id="257711277">
          <w:marLeft w:val="475"/>
          <w:marRight w:val="0"/>
          <w:marTop w:val="128"/>
          <w:marBottom w:val="0"/>
          <w:divBdr>
            <w:top w:val="none" w:sz="0" w:space="0" w:color="auto"/>
            <w:left w:val="none" w:sz="0" w:space="0" w:color="auto"/>
            <w:bottom w:val="none" w:sz="0" w:space="0" w:color="auto"/>
            <w:right w:val="none" w:sz="0" w:space="0" w:color="auto"/>
          </w:divBdr>
        </w:div>
        <w:div w:id="1563558011">
          <w:marLeft w:val="475"/>
          <w:marRight w:val="0"/>
          <w:marTop w:val="128"/>
          <w:marBottom w:val="0"/>
          <w:divBdr>
            <w:top w:val="none" w:sz="0" w:space="0" w:color="auto"/>
            <w:left w:val="none" w:sz="0" w:space="0" w:color="auto"/>
            <w:bottom w:val="none" w:sz="0" w:space="0" w:color="auto"/>
            <w:right w:val="none" w:sz="0" w:space="0" w:color="auto"/>
          </w:divBdr>
        </w:div>
      </w:divsChild>
    </w:div>
    <w:div w:id="1820264973">
      <w:bodyDiv w:val="1"/>
      <w:marLeft w:val="0"/>
      <w:marRight w:val="0"/>
      <w:marTop w:val="0"/>
      <w:marBottom w:val="0"/>
      <w:divBdr>
        <w:top w:val="none" w:sz="0" w:space="0" w:color="auto"/>
        <w:left w:val="none" w:sz="0" w:space="0" w:color="auto"/>
        <w:bottom w:val="none" w:sz="0" w:space="0" w:color="auto"/>
        <w:right w:val="none" w:sz="0" w:space="0" w:color="auto"/>
      </w:divBdr>
    </w:div>
    <w:div w:id="205168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ord" ma:contentTypeID="0x0101001080BA5B6F537345B510BA6E33B03E3B0006B4F45D2716C1459D1964E434BA421E" ma:contentTypeVersion="17" ma:contentTypeDescription="Vytvoří nový dokument" ma:contentTypeScope="" ma:versionID="3e323c67d95cd321cd0629d97b191c93">
  <xsd:schema xmlns:xsd="http://www.w3.org/2001/XMLSchema" xmlns:xs="http://www.w3.org/2001/XMLSchema" xmlns:p="http://schemas.microsoft.com/office/2006/metadata/properties" xmlns:ns2="6eb1f215-6a82-4f51-a846-5a85a2eef38e" xmlns:ns3="966839c3-b5aa-4aa9-8667-f55983f4c225" targetNamespace="http://schemas.microsoft.com/office/2006/metadata/properties" ma:root="true" ma:fieldsID="b171ef4ad7f4e44861c0338c811439dc" ns2:_="" ns3:_="">
    <xsd:import namespace="6eb1f215-6a82-4f51-a846-5a85a2eef38e"/>
    <xsd:import namespace="966839c3-b5aa-4aa9-8667-f55983f4c2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1f215-6a82-4f51-a846-5a85a2eef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26013a-5111-42e4-8b1c-dca2288b65d1"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839c3-b5aa-4aa9-8667-f55983f4c225"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DB1DD-03A8-4C96-BA90-8170CDCA953E}">
  <ds:schemaRefs>
    <ds:schemaRef ds:uri="http://schemas.openxmlformats.org/officeDocument/2006/bibliography"/>
  </ds:schemaRefs>
</ds:datastoreItem>
</file>

<file path=customXml/itemProps2.xml><?xml version="1.0" encoding="utf-8"?>
<ds:datastoreItem xmlns:ds="http://schemas.openxmlformats.org/officeDocument/2006/customXml" ds:itemID="{E8E59C7A-57B6-4885-98AF-C79ADF3A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1f215-6a82-4f51-a846-5a85a2eef38e"/>
    <ds:schemaRef ds:uri="966839c3-b5aa-4aa9-8667-f55983f4c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98079-F7D8-4803-A667-014342BC7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3832</Words>
  <Characters>22611</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Kroupová</dc:creator>
  <cp:keywords/>
  <dc:description/>
  <cp:lastModifiedBy>Obývák</cp:lastModifiedBy>
  <cp:revision>2</cp:revision>
  <cp:lastPrinted>2024-07-24T08:22:00Z</cp:lastPrinted>
  <dcterms:created xsi:type="dcterms:W3CDTF">2024-07-26T07:23:00Z</dcterms:created>
  <dcterms:modified xsi:type="dcterms:W3CDTF">2024-07-26T07:23:00Z</dcterms:modified>
</cp:coreProperties>
</file>