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9E06" w14:textId="42986E73" w:rsidR="004D5836" w:rsidRPr="006053FB" w:rsidRDefault="004D5836">
      <w:pPr>
        <w:rPr>
          <w:rFonts w:ascii="Times New Roman" w:hAnsi="Times New Roman" w:cs="Times New Roman"/>
          <w:sz w:val="20"/>
          <w:szCs w:val="20"/>
        </w:rPr>
      </w:pPr>
    </w:p>
    <w:p w14:paraId="5344A348" w14:textId="252B11D4" w:rsidR="005E6758" w:rsidRPr="005E6758" w:rsidRDefault="005E6758" w:rsidP="005E6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675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E675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INCLUDEPICTURE "/var/folders/kn/f1mjtcns6jgfhhb7sk8gtm7w0000gn/T/com.microsoft.Word/WebArchiveCopyPasteTempFiles/kzps-logo.png" \* MERGEFORMATINET </w:instrText>
      </w:r>
      <w:r w:rsidRPr="005E675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E675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780CCFB" wp14:editId="67222D27">
            <wp:extent cx="2336800" cy="773430"/>
            <wp:effectExtent l="0" t="0" r="0" b="127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75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313D196F" w14:textId="35B73D6D" w:rsidR="004D5836" w:rsidRPr="006053FB" w:rsidRDefault="004D5836" w:rsidP="005E675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0057538" w14:textId="77777777" w:rsidR="004D5836" w:rsidRPr="006053FB" w:rsidRDefault="004D5836" w:rsidP="004D5836">
      <w:pPr>
        <w:rPr>
          <w:rFonts w:ascii="Times New Roman" w:hAnsi="Times New Roman" w:cs="Times New Roman"/>
          <w:sz w:val="20"/>
          <w:szCs w:val="20"/>
        </w:rPr>
      </w:pPr>
    </w:p>
    <w:p w14:paraId="3C6E9A2B" w14:textId="02705D0A" w:rsidR="00FB4ABA" w:rsidRPr="00F1100D" w:rsidRDefault="00CA328D" w:rsidP="004D5836">
      <w:pPr>
        <w:tabs>
          <w:tab w:val="left" w:pos="9612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F1100D">
        <w:rPr>
          <w:rFonts w:ascii="Times New Roman" w:hAnsi="Times New Roman" w:cs="Times New Roman"/>
          <w:b/>
          <w:caps/>
          <w:sz w:val="20"/>
          <w:szCs w:val="20"/>
          <w:u w:val="single"/>
        </w:rPr>
        <w:t>PŘÍLOHA č: 1</w:t>
      </w:r>
    </w:p>
    <w:p w14:paraId="56AC277A" w14:textId="3DC63CB3" w:rsidR="004D5836" w:rsidRPr="006053FB" w:rsidRDefault="004D5836" w:rsidP="00ED019D">
      <w:pPr>
        <w:rPr>
          <w:rFonts w:ascii="Times New Roman" w:hAnsi="Times New Roman" w:cs="Times New Roman"/>
          <w:b/>
          <w:sz w:val="20"/>
          <w:szCs w:val="20"/>
        </w:rPr>
      </w:pPr>
      <w:r w:rsidRPr="006053FB">
        <w:rPr>
          <w:rFonts w:ascii="Times New Roman" w:hAnsi="Times New Roman" w:cs="Times New Roman"/>
          <w:b/>
          <w:caps/>
          <w:sz w:val="20"/>
          <w:szCs w:val="20"/>
        </w:rPr>
        <w:t>připomínkY k materiálu s názvem:</w:t>
      </w:r>
      <w:r w:rsidR="00F23C4E" w:rsidRPr="006053FB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="00ED019D" w:rsidRPr="00ED019D">
        <w:rPr>
          <w:rFonts w:ascii="Times New Roman" w:hAnsi="Times New Roman" w:cs="Times New Roman"/>
          <w:b/>
          <w:sz w:val="20"/>
          <w:szCs w:val="20"/>
        </w:rPr>
        <w:t xml:space="preserve">Teze pro změnu liniového zákona za účelem podpory klimatu a energetické bezpečnosti ČR (pro podporu výstavby nízkouhlíkových výroben energie, dosažení uhlíkové neutrality a dalších záměrů podporujících dekarbonizaci </w:t>
      </w:r>
      <w:proofErr w:type="gramStart"/>
      <w:r w:rsidR="00ED019D" w:rsidRPr="00ED019D">
        <w:rPr>
          <w:rFonts w:ascii="Times New Roman" w:hAnsi="Times New Roman" w:cs="Times New Roman"/>
          <w:b/>
          <w:sz w:val="20"/>
          <w:szCs w:val="20"/>
        </w:rPr>
        <w:t>hospodářství)</w:t>
      </w:r>
      <w:r w:rsidR="007B1F6B" w:rsidRPr="006053FB">
        <w:rPr>
          <w:rFonts w:ascii="Times New Roman" w:hAnsi="Times New Roman" w:cs="Times New Roman"/>
          <w:b/>
          <w:sz w:val="20"/>
          <w:szCs w:val="20"/>
        </w:rPr>
        <w:t>Obecná</w:t>
      </w:r>
      <w:proofErr w:type="gramEnd"/>
      <w:r w:rsidR="007B1F6B" w:rsidRPr="006053FB">
        <w:rPr>
          <w:rFonts w:ascii="Times New Roman" w:hAnsi="Times New Roman" w:cs="Times New Roman"/>
          <w:b/>
          <w:sz w:val="20"/>
          <w:szCs w:val="20"/>
        </w:rPr>
        <w:t xml:space="preserve"> připomínka</w:t>
      </w:r>
    </w:p>
    <w:p w14:paraId="78C265DD" w14:textId="77777777" w:rsidR="007B1F6B" w:rsidRPr="006053FB" w:rsidRDefault="007B1F6B" w:rsidP="007B1F6B">
      <w:pPr>
        <w:pStyle w:val="Zkladntext"/>
        <w:rPr>
          <w:rFonts w:ascii="Times New Roman" w:hAnsi="Times New Roman" w:cs="Times New Roman"/>
          <w:b/>
          <w:caps/>
          <w:sz w:val="20"/>
          <w:szCs w:val="20"/>
        </w:rPr>
      </w:pPr>
    </w:p>
    <w:p w14:paraId="25735867" w14:textId="77777777" w:rsidR="004D5836" w:rsidRPr="0008155F" w:rsidRDefault="004D5836" w:rsidP="004D5836">
      <w:pP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08155F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Zásadní připomínky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5565"/>
        <w:gridCol w:w="6662"/>
      </w:tblGrid>
      <w:tr w:rsidR="0090787A" w:rsidRPr="006053FB" w14:paraId="7C8DB3ED" w14:textId="77777777" w:rsidTr="002C3651">
        <w:trPr>
          <w:trHeight w:val="34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131C2B" w14:textId="69693FEF" w:rsidR="0090787A" w:rsidRPr="006053FB" w:rsidRDefault="00ED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1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Člen uplatňující připomínku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37C3D2" w14:textId="77777777" w:rsidR="0090787A" w:rsidRPr="006053FB" w:rsidRDefault="00907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Připomínka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5FFD86" w14:textId="77777777" w:rsidR="0090787A" w:rsidRPr="006053FB" w:rsidRDefault="00907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Zdůvodnění</w:t>
            </w:r>
          </w:p>
        </w:tc>
      </w:tr>
      <w:tr w:rsidR="00A60CCE" w:rsidRPr="006053FB" w14:paraId="399091B5" w14:textId="77777777" w:rsidTr="002C3651">
        <w:trPr>
          <w:trHeight w:val="34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C57D" w14:textId="47032A8B" w:rsidR="00A60CCE" w:rsidRPr="006053FB" w:rsidRDefault="00ED01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19D">
              <w:rPr>
                <w:rFonts w:ascii="Times New Roman" w:hAnsi="Times New Roman" w:cs="Times New Roman"/>
                <w:sz w:val="20"/>
                <w:szCs w:val="20"/>
              </w:rPr>
              <w:t>Zaměstnavatelský svaz důlního a naftového průmyslu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487" w14:textId="7CC9C7C4" w:rsidR="00ED019D" w:rsidRDefault="00ED019D" w:rsidP="00ED019D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 účelem dosažení evropských a národních cílů k dosažení uhlíkové neutrality v souladu s mezinárodními a národními závazky NAVRHUJEME, </w:t>
            </w:r>
            <w:r w:rsidRPr="00ED01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aby se návrh předkládaných tezí vztahoval i na oblast zachytávání a ukládání oxidu uhličitého do horninových struktur.</w:t>
            </w:r>
          </w:p>
          <w:p w14:paraId="414EEEB5" w14:textId="64019B91" w:rsidR="00ED019D" w:rsidRPr="00ED019D" w:rsidRDefault="00ED019D" w:rsidP="00ED019D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Konkrétní úpravy</w:t>
            </w:r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textu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materiálu jsou obsaženy v příloze č. 1 těchto připomínek, a jsou uplatněny </w:t>
            </w:r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>formou revizí.</w:t>
            </w:r>
          </w:p>
          <w:p w14:paraId="04066626" w14:textId="608E75EA" w:rsidR="00ED019D" w:rsidRPr="00ED019D" w:rsidRDefault="00ED019D" w:rsidP="00ED019D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>Současně do výčtu předpokládaných dotčených právních předpisů navrhujeme doplnit:</w:t>
            </w:r>
          </w:p>
          <w:p w14:paraId="04896B6B" w14:textId="77777777" w:rsidR="00ED019D" w:rsidRPr="00ED019D" w:rsidRDefault="00ED019D" w:rsidP="00ED019D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>a)</w:t>
            </w:r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Zákon č. 85/2012, o ukládání oxidu uhličitého do přírodních horninových struktur a o změně některých zákonů</w:t>
            </w:r>
          </w:p>
          <w:p w14:paraId="0F001382" w14:textId="26EA9069" w:rsidR="00ED019D" w:rsidRPr="00ED019D" w:rsidRDefault="00ED019D" w:rsidP="00ED019D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>b)</w:t>
            </w:r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Zákon č. 62/1988 Sb., o geologických pracích</w:t>
            </w:r>
          </w:p>
          <w:p w14:paraId="6AD80FEB" w14:textId="0A4D3AB3" w:rsidR="00A60CCE" w:rsidRPr="006053FB" w:rsidRDefault="00A60CCE" w:rsidP="0098076F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2716" w14:textId="77777777" w:rsidR="00ED019D" w:rsidRPr="00ED019D" w:rsidRDefault="00ED019D" w:rsidP="00ED019D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>Technologie zachytávání a ukládání oxidu uhličitého do horninových struktur představuje významný nástroj ke snižování obsahu oxidu uhličitého, zejména jeho produkce z průmyslových odvětví, u nichž dle aktuálního stupně technologického vývoje není možné efektivně a ekonomicky dosáhnout snižování produkce CO2.</w:t>
            </w:r>
          </w:p>
          <w:p w14:paraId="69426223" w14:textId="77777777" w:rsidR="00ED019D" w:rsidRPr="00ED019D" w:rsidRDefault="00ED019D" w:rsidP="00ED019D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>Evropská rada na zasedání v březnu 2007 vyzvala členské státy a Komisi, mimo jiné, k odstranění právních překážek a vypracování předpisového rámce k zavedení CCS (</w:t>
            </w:r>
            <w:proofErr w:type="spellStart"/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>carbon</w:t>
            </w:r>
            <w:proofErr w:type="spellEnd"/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>capture</w:t>
            </w:r>
            <w:proofErr w:type="spellEnd"/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>storage</w:t>
            </w:r>
            <w:proofErr w:type="spellEnd"/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>) a dále Evropská rada na zasedání v červnu 2008 vyzvala Komisi, aby navrhla mechanismus, který bude motivovat členské státy a soukromý sektor k vybudování a provozu úložišť.</w:t>
            </w:r>
          </w:p>
          <w:p w14:paraId="32BBCF54" w14:textId="77777777" w:rsidR="00ED019D" w:rsidRPr="00ED019D" w:rsidRDefault="00ED019D" w:rsidP="00ED019D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Česká republika přijala zákon č. 85/2012, o ukládání oxidu uhličitého do přírodních horninových struktur a o změně některých zákonů, kterým je implementována Směrnice Evropského parlamentu a Rady 2009/31/ES ze dne 23. dubna 2009 o geologickém ukládání oxidu uhličitého a o změně směrnice Rady 85/337/EHS. Ukládání oxidu uhličitého do horninových struktur je dle zákona č. 44/1988 Sb., resp. zákona č. 61/1988 Sb. hornickou činností a podléhá </w:t>
            </w:r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povolování státní báňskou správou. Vyhledávání a průzkum horninových struktur pro ukládání oxidu uhličitého (geologické práce) pak upravuje zákon č. 62/1988 Sb., o geologických pracích.</w:t>
            </w:r>
          </w:p>
          <w:p w14:paraId="6A0D9198" w14:textId="77777777" w:rsidR="00ED019D" w:rsidRPr="00ED019D" w:rsidRDefault="00ED019D" w:rsidP="00ED019D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D8F63D" w14:textId="5F83F56E" w:rsidR="00ED019D" w:rsidRPr="00ED019D" w:rsidRDefault="00ED019D" w:rsidP="00ED019D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Uhlíkové neutrality může být dosaženo výlučně kombinací opatření, a to především snižováním podílu fosilních paliv, efektivním energetickým mixem, zachytáváním CO2 a jeho ukládáním do horninových struktur. </w:t>
            </w:r>
          </w:p>
          <w:p w14:paraId="7DE79D75" w14:textId="436084C3" w:rsidR="00A60CCE" w:rsidRPr="006053FB" w:rsidRDefault="00ED019D" w:rsidP="00ED019D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>Aktuální právní úprava a časový rámec legislativních procesů znemožňují realizaci případných enviromentálních projektů v oblasti zachytávání a ukládání oxidu uhličitého do geologických formací. S ohledem na vázanost místa úložiště na geologickou stavbu území a jeho nepřemístitelnost a současně nutnost zachytávání CO2 v místě existujících průmyslových provozů (např. cementárny) je nezbytným mimo jiné realizace produktovodů, propojujících místo vzniku CO2 s místem jeho uložení. Bude se jednat o liniové stavby v řádu desítek kilometrů délky, které aktuálně nemají speciální zákonnou úpravu v podobě možného omezení vlastnického práva k pozemkům, která je pro jiné typy energetických liniových staveb v Českém právním řádu zakotvena.</w:t>
            </w:r>
          </w:p>
        </w:tc>
      </w:tr>
      <w:tr w:rsidR="00802DA6" w:rsidRPr="006053FB" w14:paraId="05FDE494" w14:textId="77777777" w:rsidTr="002C3651">
        <w:trPr>
          <w:trHeight w:val="34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A511" w14:textId="036B8AAC" w:rsidR="00802DA6" w:rsidRPr="006053FB" w:rsidRDefault="00ED019D" w:rsidP="00802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Zaměstnavatelský svaz důlního a naftového průmyslu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F60" w14:textId="77777777" w:rsidR="002C3651" w:rsidRDefault="002C3651" w:rsidP="002C3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65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NAVRHUJEME doplnění textu</w:t>
            </w:r>
            <w:r w:rsidRPr="002C3651">
              <w:rPr>
                <w:rFonts w:ascii="Times New Roman" w:hAnsi="Times New Roman" w:cs="Times New Roman"/>
                <w:sz w:val="20"/>
                <w:szCs w:val="20"/>
              </w:rPr>
              <w:t xml:space="preserve"> tak, aby byl v souladu s jeho smyslem a účelem, tzn. procesní ukotvení jednotlivých záměrů a staveb </w:t>
            </w:r>
            <w:r w:rsidRPr="002C3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včetně zajištění surovin nezbytných pro tyto záměry</w:t>
            </w:r>
            <w:r w:rsidRPr="002C36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7171A0C" w14:textId="77777777" w:rsidR="002C3651" w:rsidRPr="00ED019D" w:rsidRDefault="002C3651" w:rsidP="002C3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Konkrétní úpravy</w:t>
            </w:r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textu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materiálu jsou obsaženy v příloze č. 1 těchto připomínek, a jsou uplatněny </w:t>
            </w:r>
            <w:r w:rsidRPr="00ED019D">
              <w:rPr>
                <w:rFonts w:ascii="Times New Roman" w:eastAsia="Calibri" w:hAnsi="Times New Roman" w:cs="Times New Roman"/>
                <w:sz w:val="20"/>
                <w:szCs w:val="20"/>
              </w:rPr>
              <w:t>formou revizí.</w:t>
            </w:r>
          </w:p>
          <w:p w14:paraId="78909CF4" w14:textId="152602D3" w:rsidR="002C3651" w:rsidRPr="002C3651" w:rsidRDefault="002C3651" w:rsidP="002C3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651">
              <w:rPr>
                <w:rFonts w:ascii="Times New Roman" w:hAnsi="Times New Roman" w:cs="Times New Roman"/>
                <w:sz w:val="20"/>
                <w:szCs w:val="20"/>
              </w:rPr>
              <w:t>Současně navrhované úpravy uvádíme níže.</w:t>
            </w:r>
          </w:p>
          <w:p w14:paraId="5EE24190" w14:textId="4B954CE0" w:rsidR="002C3651" w:rsidRDefault="002C3651" w:rsidP="002C3651">
            <w:pPr>
              <w:pStyle w:val="Odstavecseseznamem"/>
              <w:numPr>
                <w:ilvl w:val="0"/>
                <w:numId w:val="15"/>
              </w:numPr>
              <w:suppressAutoHyphens w:val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3651">
              <w:rPr>
                <w:rFonts w:ascii="Times New Roman" w:hAnsi="Times New Roman" w:cs="Times New Roman"/>
                <w:bCs/>
                <w:sz w:val="20"/>
                <w:szCs w:val="20"/>
              </w:rPr>
              <w:t>Základní principy rozhodování orgánů státní báňské správy</w:t>
            </w:r>
            <w:r w:rsidRPr="002C3651" w:rsidDel="004313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C36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budou kopírovat procesní postup pro </w:t>
            </w:r>
            <w:r w:rsidRPr="002C3651">
              <w:rPr>
                <w:rFonts w:ascii="Times New Roman" w:hAnsi="Times New Roman" w:cs="Times New Roman"/>
                <w:sz w:val="20"/>
                <w:szCs w:val="20"/>
              </w:rPr>
              <w:t>ostatní</w:t>
            </w:r>
            <w:r w:rsidRPr="002C36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uvažované záměry na SOSÚ </w:t>
            </w:r>
            <w:r w:rsidRPr="002C365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včetně přednostního projednání a zkrácení lhůt</w:t>
            </w:r>
            <w:r w:rsidRPr="002C365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9B31B4C" w14:textId="77777777" w:rsidR="002C3651" w:rsidRPr="002C3651" w:rsidRDefault="002C3651" w:rsidP="002C3651">
            <w:pPr>
              <w:pStyle w:val="Odstavecseseznamem"/>
              <w:suppressAutoHyphens w:val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FA1425" w14:textId="77777777" w:rsidR="002C3651" w:rsidRPr="002C3651" w:rsidRDefault="002C3651" w:rsidP="002C3651">
            <w:pPr>
              <w:pStyle w:val="Odstavecseseznamem"/>
              <w:numPr>
                <w:ilvl w:val="0"/>
                <w:numId w:val="15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651">
              <w:rPr>
                <w:rFonts w:ascii="Times New Roman" w:hAnsi="Times New Roman" w:cs="Times New Roman"/>
                <w:sz w:val="20"/>
                <w:szCs w:val="20"/>
              </w:rPr>
              <w:t xml:space="preserve">Bude prověřena možnost zavedení konzultativního postavení ekologických spolků v navazujících řízeních podle stavebního zákona </w:t>
            </w:r>
            <w:r w:rsidRPr="002C365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 horního zákona</w:t>
            </w:r>
            <w:r w:rsidRPr="002C3651">
              <w:rPr>
                <w:rFonts w:ascii="Times New Roman" w:hAnsi="Times New Roman" w:cs="Times New Roman"/>
                <w:sz w:val="20"/>
                <w:szCs w:val="20"/>
              </w:rPr>
              <w:t xml:space="preserve">. Spolkům by zůstala plná možnost vznášet věcné připomínky, které bude správní orgán povinen vypořádat, avšak nebudou mít procesní postavení účastníka řízení podle stavebního </w:t>
            </w:r>
            <w:r w:rsidRPr="002C3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zákona </w:t>
            </w:r>
            <w:r w:rsidRPr="002C365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 podle horního zákona</w:t>
            </w:r>
            <w:r w:rsidRPr="002C3651">
              <w:rPr>
                <w:rFonts w:ascii="Times New Roman" w:hAnsi="Times New Roman" w:cs="Times New Roman"/>
                <w:sz w:val="20"/>
                <w:szCs w:val="20"/>
              </w:rPr>
              <w:t>, tj. například nebudou moci vznést námitky podjatosti, podat odvolání atd.</w:t>
            </w:r>
          </w:p>
          <w:p w14:paraId="1CE39953" w14:textId="77777777" w:rsidR="002C3651" w:rsidRPr="002C3651" w:rsidRDefault="002C3651" w:rsidP="002C3651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DBC5F" w14:textId="77777777" w:rsidR="002C3651" w:rsidRPr="002C3651" w:rsidRDefault="002C3651" w:rsidP="002C3651">
            <w:pPr>
              <w:pStyle w:val="Odstavecseseznamem"/>
              <w:numPr>
                <w:ilvl w:val="0"/>
                <w:numId w:val="15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651">
              <w:rPr>
                <w:rFonts w:ascii="Times New Roman" w:hAnsi="Times New Roman" w:cs="Times New Roman"/>
                <w:sz w:val="20"/>
                <w:szCs w:val="20"/>
              </w:rPr>
              <w:t xml:space="preserve">Ve vztahu k ochraně veřejných zájmů podle složkových právních předpisů (mimo stanoviska JES) a procesu EIA nebudou vydávána závazná stanoviska, ale podkladová vyjádření tak, aby stavební úřad </w:t>
            </w:r>
            <w:r w:rsidRPr="002C365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nebo báňský úřad</w:t>
            </w:r>
            <w:r w:rsidRPr="002C3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C3651">
              <w:rPr>
                <w:rFonts w:ascii="Times New Roman" w:hAnsi="Times New Roman" w:cs="Times New Roman"/>
                <w:sz w:val="20"/>
                <w:szCs w:val="20"/>
              </w:rPr>
              <w:t>mohl řešit veřejné zájmy komplexně a nebyl dogmaticky vázán závazným stanoviskem.</w:t>
            </w:r>
          </w:p>
          <w:p w14:paraId="0CB083B3" w14:textId="77777777" w:rsidR="002C3651" w:rsidRPr="002C3651" w:rsidRDefault="002C3651" w:rsidP="002C3651">
            <w:pPr>
              <w:pStyle w:val="Odstavecseseznamem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90ED1" w14:textId="272AF7FF" w:rsidR="002C3651" w:rsidRDefault="002C3651" w:rsidP="002C3651">
            <w:pPr>
              <w:pStyle w:val="Odstavecseseznamem"/>
              <w:numPr>
                <w:ilvl w:val="0"/>
                <w:numId w:val="15"/>
              </w:numPr>
              <w:suppressAutoHyphens w:val="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651">
              <w:rPr>
                <w:rFonts w:ascii="Times New Roman" w:hAnsi="Times New Roman" w:cs="Times New Roman"/>
                <w:sz w:val="20"/>
                <w:szCs w:val="20"/>
              </w:rPr>
              <w:t xml:space="preserve">Bude prověřeno, aby při vydání podkladových správních aktů pro uvažované záměry (včetně souvisejících staveb) např. vynětí ze ZPF či PUPFL, zvláštní užívání komunikací, </w:t>
            </w:r>
            <w:r w:rsidRPr="002C365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kácení dřevin rostoucích mimo les</w:t>
            </w:r>
            <w:r w:rsidRPr="002C3651">
              <w:rPr>
                <w:rFonts w:ascii="Times New Roman" w:hAnsi="Times New Roman" w:cs="Times New Roman"/>
                <w:sz w:val="20"/>
                <w:szCs w:val="20"/>
              </w:rPr>
              <w:t xml:space="preserve"> nebyl vyžadován souhlas vlastníka pozemku se záměrem, lze-li práva k pozemkům vyvlastnit nebo zřídit zákonné věcné břemeno.</w:t>
            </w:r>
          </w:p>
          <w:p w14:paraId="3678ACC2" w14:textId="77777777" w:rsidR="002C3651" w:rsidRPr="002C3651" w:rsidRDefault="002C3651" w:rsidP="002C3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A48E2" w14:textId="77777777" w:rsidR="002C3651" w:rsidRPr="002C3651" w:rsidRDefault="002C3651" w:rsidP="002C3651">
            <w:pPr>
              <w:pStyle w:val="Odstavecseseznamem"/>
              <w:numPr>
                <w:ilvl w:val="0"/>
                <w:numId w:val="15"/>
              </w:numPr>
              <w:suppressAutoHyphens w:val="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651">
              <w:rPr>
                <w:rFonts w:ascii="Times New Roman" w:hAnsi="Times New Roman" w:cs="Times New Roman"/>
                <w:sz w:val="20"/>
                <w:szCs w:val="20"/>
              </w:rPr>
              <w:t xml:space="preserve">Zákonná úprava stanoví, že vláda nařízením definuje, jaké nerostné suroviny jsou potřebné k transformaci hospodářství </w:t>
            </w:r>
            <w:r w:rsidRPr="002C365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 realizaci staveb k transformaci hospodářství</w:t>
            </w:r>
            <w:r w:rsidRPr="002C3651">
              <w:rPr>
                <w:rFonts w:ascii="Times New Roman" w:hAnsi="Times New Roman" w:cs="Times New Roman"/>
                <w:sz w:val="20"/>
                <w:szCs w:val="20"/>
              </w:rPr>
              <w:t xml:space="preserve">, přičemž bude vycházet z již identifikovaných strategických surovin v České republice a Evropské unii (Surovinová politika) </w:t>
            </w:r>
            <w:r w:rsidRPr="002C365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 surovinových potřeb záměrů</w:t>
            </w:r>
            <w:r w:rsidRPr="002C36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1B6D61" w14:textId="77777777" w:rsidR="00C93675" w:rsidRPr="006053FB" w:rsidRDefault="00C93675" w:rsidP="002C3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49366C" w14:textId="526A3185" w:rsidR="00802DA6" w:rsidRPr="006053FB" w:rsidRDefault="00802DA6" w:rsidP="002C3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9CDA" w14:textId="2D043894" w:rsidR="002C3651" w:rsidRPr="002C3651" w:rsidRDefault="002C3651" w:rsidP="002C3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</w:t>
            </w:r>
            <w:r w:rsidRPr="002C3651">
              <w:rPr>
                <w:rFonts w:ascii="Times New Roman" w:hAnsi="Times New Roman" w:cs="Times New Roman"/>
                <w:sz w:val="20"/>
                <w:szCs w:val="20"/>
              </w:rPr>
              <w:t xml:space="preserve">elmi oceňujeme komplexnost přijímaného řešení. Správní řízení za účelem stanovení dobývacího prostoru a povolení otvírky, přípravy a dobývání nerostných surovin jsou obsaženy především v zákoně č. 44/1988 Sb. a č. 61/1988 Sb. Navrhovaný dokument </w:t>
            </w:r>
            <w:r w:rsidRPr="002C3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 některých odstavcích odkazuje výlučně na postupy dle stavebního zákona</w:t>
            </w:r>
            <w:r w:rsidRPr="002C36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 zajištění surovin nezbytných pro záměry plánované tezemi, je potřeba upravit i další právní předpisy.</w:t>
            </w:r>
          </w:p>
          <w:p w14:paraId="6797002E" w14:textId="77777777" w:rsidR="002C3651" w:rsidRPr="002C3651" w:rsidRDefault="002C3651" w:rsidP="002C3651">
            <w:pPr>
              <w:spacing w:line="29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99E61" w14:textId="106AD40A" w:rsidR="004D0616" w:rsidRPr="002C3651" w:rsidRDefault="004D0616" w:rsidP="009C410B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2DA6" w:rsidRPr="006053FB" w14:paraId="0247BED4" w14:textId="77777777" w:rsidTr="002C3651">
        <w:trPr>
          <w:trHeight w:val="34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4473" w14:textId="38045B0D" w:rsidR="00802DA6" w:rsidRPr="006053FB" w:rsidRDefault="002B7885" w:rsidP="00802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885">
              <w:rPr>
                <w:rFonts w:ascii="Times New Roman" w:eastAsia="Calibri" w:hAnsi="Times New Roman" w:cs="Times New Roman"/>
                <w:sz w:val="20"/>
                <w:szCs w:val="20"/>
              </w:rPr>
              <w:t>Zemědělský svaz ČR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B74" w14:textId="25DBC778" w:rsidR="002B7885" w:rsidRDefault="002B7885" w:rsidP="002B7885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Zajistit</w:t>
            </w:r>
            <w:r w:rsidR="0039368C">
              <w:rPr>
                <w:rFonts w:ascii="Times New Roman" w:eastAsia="Calibri" w:hAnsi="Times New Roman" w:cs="Times New Roman"/>
                <w:sz w:val="20"/>
                <w:szCs w:val="20"/>
              </w:rPr>
              <w:t>, aby přijetím plánované právní úpravy nedošlo ke snížení úrovně ochrany zemědělského půdního fondu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32BB72F" w14:textId="77FAC0A3" w:rsidR="00C93675" w:rsidRPr="00C93675" w:rsidRDefault="002B7885" w:rsidP="002B7885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B78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3E2" w14:textId="702885AC" w:rsidR="00802DA6" w:rsidRPr="006053FB" w:rsidRDefault="002B7885" w:rsidP="002B7885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7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 6.a 7. odstavci na straně 4 Tezí je zmínka o ZPF, ovšem vyznívá spíše proti záměru ochrany ZPF, což ve svém důsledku staví </w:t>
            </w:r>
            <w:r w:rsidR="0039368C">
              <w:rPr>
                <w:rFonts w:ascii="Times New Roman" w:eastAsia="Calibri" w:hAnsi="Times New Roman" w:cs="Times New Roman"/>
                <w:sz w:val="20"/>
                <w:szCs w:val="20"/>
              </w:rPr>
              <w:t>materiál</w:t>
            </w:r>
            <w:r w:rsidRPr="002B7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proti zákonu č. 334/1992 Sb., o ochraně zemědělského půdního fondu.</w:t>
            </w:r>
          </w:p>
        </w:tc>
      </w:tr>
    </w:tbl>
    <w:p w14:paraId="753DA3EF" w14:textId="0CEDC568" w:rsidR="004D5836" w:rsidRDefault="004D5836" w:rsidP="004D583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50ED2A7" w14:textId="5C66BA48" w:rsidR="0008155F" w:rsidRPr="0008155F" w:rsidRDefault="0008155F" w:rsidP="0008155F">
      <w:pP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08155F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Doporučující připomínky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5565"/>
        <w:gridCol w:w="6662"/>
      </w:tblGrid>
      <w:tr w:rsidR="0008155F" w:rsidRPr="006053FB" w14:paraId="1E813CEF" w14:textId="77777777" w:rsidTr="007623DF">
        <w:trPr>
          <w:trHeight w:val="34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68CB95" w14:textId="77777777" w:rsidR="0008155F" w:rsidRPr="006053FB" w:rsidRDefault="0008155F" w:rsidP="00762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1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Člen uplatňující připomínku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56E3D4" w14:textId="77777777" w:rsidR="0008155F" w:rsidRPr="006053FB" w:rsidRDefault="0008155F" w:rsidP="00762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Připomínka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6F078B" w14:textId="77777777" w:rsidR="0008155F" w:rsidRPr="006053FB" w:rsidRDefault="0008155F" w:rsidP="00762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Zdůvodnění</w:t>
            </w:r>
          </w:p>
        </w:tc>
      </w:tr>
      <w:tr w:rsidR="0008155F" w:rsidRPr="006053FB" w14:paraId="0ED15B0A" w14:textId="77777777" w:rsidTr="007623DF">
        <w:trPr>
          <w:trHeight w:val="34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3B4" w14:textId="77777777" w:rsidR="0008155F" w:rsidRPr="006053FB" w:rsidRDefault="0008155F" w:rsidP="00762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Zaměstnavatelský svaz důlního a naftového průmyslu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7C5" w14:textId="56F9873E" w:rsidR="0008155F" w:rsidRPr="006053FB" w:rsidRDefault="0008155F" w:rsidP="007623DF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Doporučujeme</w:t>
            </w:r>
            <w:r w:rsidRPr="000815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navrhovanou úpravu rozšířit o těžbu nerostů pro strategické dopravní stavby při zachování navrhovaných principů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05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39FE" w14:textId="77777777" w:rsidR="0008155F" w:rsidRDefault="0008155F" w:rsidP="007623DF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155F"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  <w:r w:rsidRPr="0008155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Těžební unie, na základě požadavku Ředitelství silnic a dálnic a Správy železnic dokončuje ve spolupráci s Českou geologickou službou projekt (analýzu) možných zdrojů nerostných surovin pro plánované strategické dopravní stavby na území ČR včetně analýzy možného způsobu urychlení legislativních procesů k otvírce nových ložisek pro tyto strategické dopravní stavby. O projektu byly informovány Ministerstvo dopravy a Ministerstvo průmyslu a obchodu. </w:t>
            </w:r>
          </w:p>
          <w:p w14:paraId="1C1C901D" w14:textId="1212B652" w:rsidR="0008155F" w:rsidRPr="006053FB" w:rsidRDefault="0008155F" w:rsidP="007623DF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08155F">
              <w:rPr>
                <w:rFonts w:ascii="Times New Roman" w:eastAsia="Calibri" w:hAnsi="Times New Roman" w:cs="Times New Roman"/>
                <w:sz w:val="20"/>
                <w:szCs w:val="20"/>
              </w:rPr>
              <w:t>ředběžné závěry analýzy navrhují úpravu zákona č. 416/2009 Sb. tak, aby bylo možné pro otvírku ložisek za účelem zajištění surovin pro dopravní stavby ve veřejném zájmu aplikovat totožné principy, jako pro samotné dopravní stavby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815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dáváme tímto na zvážení, zda navrhovanou úpravu nerozšířit o těžbu nerostů pro strategické dopravní stavby při zachování navrhovaných principů.</w:t>
            </w:r>
          </w:p>
        </w:tc>
      </w:tr>
    </w:tbl>
    <w:p w14:paraId="6F6233C4" w14:textId="77777777" w:rsidR="0008155F" w:rsidRPr="006053FB" w:rsidRDefault="0008155F" w:rsidP="004D583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8C70A33" w14:textId="579056FD" w:rsidR="004D5836" w:rsidRDefault="004D5836" w:rsidP="004D583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053FB">
        <w:rPr>
          <w:rFonts w:ascii="Times New Roman" w:hAnsi="Times New Roman" w:cs="Times New Roman"/>
          <w:sz w:val="20"/>
          <w:szCs w:val="20"/>
        </w:rPr>
        <w:t>V </w:t>
      </w:r>
      <w:r w:rsidRPr="006053FB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aze"/>
            </w:textInput>
          </w:ffData>
        </w:fldChar>
      </w:r>
      <w:r w:rsidRPr="006053FB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6053FB">
        <w:rPr>
          <w:rFonts w:ascii="Times New Roman" w:hAnsi="Times New Roman" w:cs="Times New Roman"/>
          <w:bCs/>
          <w:sz w:val="20"/>
          <w:szCs w:val="20"/>
        </w:rPr>
      </w:r>
      <w:r w:rsidRPr="006053FB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6053FB">
        <w:rPr>
          <w:rFonts w:ascii="Times New Roman" w:hAnsi="Times New Roman" w:cs="Times New Roman"/>
          <w:bCs/>
          <w:noProof/>
          <w:sz w:val="20"/>
          <w:szCs w:val="20"/>
        </w:rPr>
        <w:t>Praze</w:t>
      </w:r>
      <w:r w:rsidRPr="006053FB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6053FB">
        <w:rPr>
          <w:rFonts w:ascii="Times New Roman" w:hAnsi="Times New Roman" w:cs="Times New Roman"/>
          <w:sz w:val="20"/>
          <w:szCs w:val="20"/>
        </w:rPr>
        <w:t xml:space="preserve"> </w:t>
      </w:r>
      <w:r w:rsidRPr="006053FB">
        <w:rPr>
          <w:rFonts w:ascii="Times New Roman" w:hAnsi="Times New Roman" w:cs="Times New Roman"/>
          <w:sz w:val="20"/>
          <w:szCs w:val="20"/>
        </w:rPr>
        <w:fldChar w:fldCharType="begin"/>
      </w:r>
      <w:r w:rsidRPr="006053FB">
        <w:rPr>
          <w:rFonts w:ascii="Times New Roman" w:hAnsi="Times New Roman" w:cs="Times New Roman"/>
          <w:sz w:val="20"/>
          <w:szCs w:val="20"/>
        </w:rPr>
        <w:instrText xml:space="preserve"> TIME \@ "d. MMMM yyyy" </w:instrText>
      </w:r>
      <w:r w:rsidRPr="006053FB">
        <w:rPr>
          <w:rFonts w:ascii="Times New Roman" w:hAnsi="Times New Roman" w:cs="Times New Roman"/>
          <w:sz w:val="20"/>
          <w:szCs w:val="20"/>
        </w:rPr>
        <w:fldChar w:fldCharType="separate"/>
      </w:r>
      <w:r w:rsidR="00CE0A8F">
        <w:rPr>
          <w:rFonts w:ascii="Times New Roman" w:hAnsi="Times New Roman" w:cs="Times New Roman"/>
          <w:noProof/>
          <w:sz w:val="20"/>
          <w:szCs w:val="20"/>
        </w:rPr>
        <w:t>14. listopadu 2022</w:t>
      </w:r>
      <w:r w:rsidRPr="006053FB">
        <w:rPr>
          <w:rFonts w:ascii="Times New Roman" w:hAnsi="Times New Roman" w:cs="Times New Roman"/>
          <w:sz w:val="20"/>
          <w:szCs w:val="20"/>
        </w:rPr>
        <w:fldChar w:fldCharType="end"/>
      </w:r>
      <w:r w:rsidRPr="006053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268CAF34" w14:textId="77777777" w:rsidR="007F35A9" w:rsidRPr="006053FB" w:rsidRDefault="007F35A9" w:rsidP="004D583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93A0434" w14:textId="5A09DBA1" w:rsidR="004D5836" w:rsidRPr="006053FB" w:rsidRDefault="004D5836" w:rsidP="007F35A9">
      <w:pPr>
        <w:tabs>
          <w:tab w:val="left" w:pos="9498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053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7F35A9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26DB1BC6" w14:textId="77777777" w:rsidR="004D5836" w:rsidRPr="006053FB" w:rsidRDefault="004D5836" w:rsidP="004D5836">
      <w:pPr>
        <w:tabs>
          <w:tab w:val="left" w:pos="9612"/>
        </w:tabs>
        <w:rPr>
          <w:rFonts w:ascii="Times New Roman" w:hAnsi="Times New Roman" w:cs="Times New Roman"/>
          <w:sz w:val="20"/>
          <w:szCs w:val="20"/>
        </w:rPr>
      </w:pPr>
    </w:p>
    <w:sectPr w:rsidR="004D5836" w:rsidRPr="006053FB" w:rsidSect="004D58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E977" w14:textId="77777777" w:rsidR="004A2088" w:rsidRDefault="004A2088" w:rsidP="00787CA9">
      <w:pPr>
        <w:spacing w:after="0" w:line="240" w:lineRule="auto"/>
      </w:pPr>
      <w:r>
        <w:separator/>
      </w:r>
    </w:p>
  </w:endnote>
  <w:endnote w:type="continuationSeparator" w:id="0">
    <w:p w14:paraId="41595F8D" w14:textId="77777777" w:rsidR="004A2088" w:rsidRDefault="004A2088" w:rsidP="0078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obert CEZ">
    <w:altName w:val="Calibri"/>
    <w:charset w:val="EE"/>
    <w:family w:val="auto"/>
    <w:pitch w:val="variable"/>
    <w:sig w:usb0="A10000FF" w:usb1="00006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7C22" w14:textId="77777777" w:rsidR="004A2088" w:rsidRDefault="004A2088" w:rsidP="00787CA9">
      <w:pPr>
        <w:spacing w:after="0" w:line="240" w:lineRule="auto"/>
      </w:pPr>
      <w:r>
        <w:separator/>
      </w:r>
    </w:p>
  </w:footnote>
  <w:footnote w:type="continuationSeparator" w:id="0">
    <w:p w14:paraId="593BB8FC" w14:textId="77777777" w:rsidR="004A2088" w:rsidRDefault="004A2088" w:rsidP="0078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240C"/>
    <w:multiLevelType w:val="hybridMultilevel"/>
    <w:tmpl w:val="11625D5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76A"/>
    <w:multiLevelType w:val="hybridMultilevel"/>
    <w:tmpl w:val="9D229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5D8B"/>
    <w:multiLevelType w:val="hybridMultilevel"/>
    <w:tmpl w:val="01FEB1A4"/>
    <w:lvl w:ilvl="0" w:tplc="CA409A46">
      <w:numFmt w:val="bullet"/>
      <w:lvlText w:val="-"/>
      <w:lvlJc w:val="left"/>
      <w:pPr>
        <w:ind w:left="720" w:hanging="360"/>
      </w:pPr>
      <w:rPr>
        <w:rFonts w:ascii="Roobert CEZ" w:eastAsiaTheme="minorHAnsi" w:hAnsi="Roobert CEZ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A0C2E"/>
    <w:multiLevelType w:val="hybridMultilevel"/>
    <w:tmpl w:val="B64AB238"/>
    <w:lvl w:ilvl="0" w:tplc="9962ED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4618"/>
    <w:multiLevelType w:val="hybridMultilevel"/>
    <w:tmpl w:val="9D229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5E32"/>
    <w:multiLevelType w:val="hybridMultilevel"/>
    <w:tmpl w:val="9D229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3310"/>
    <w:multiLevelType w:val="hybridMultilevel"/>
    <w:tmpl w:val="BD98E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00417"/>
    <w:multiLevelType w:val="hybridMultilevel"/>
    <w:tmpl w:val="1494B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B5D47"/>
    <w:multiLevelType w:val="hybridMultilevel"/>
    <w:tmpl w:val="9D229B32"/>
    <w:lvl w:ilvl="0" w:tplc="B1967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E02E8"/>
    <w:multiLevelType w:val="hybridMultilevel"/>
    <w:tmpl w:val="9D229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E1A93"/>
    <w:multiLevelType w:val="hybridMultilevel"/>
    <w:tmpl w:val="52BC7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9060D"/>
    <w:multiLevelType w:val="hybridMultilevel"/>
    <w:tmpl w:val="854C27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B25A8"/>
    <w:multiLevelType w:val="hybridMultilevel"/>
    <w:tmpl w:val="6B8431E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121590"/>
    <w:multiLevelType w:val="hybridMultilevel"/>
    <w:tmpl w:val="9D229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F6EA0"/>
    <w:multiLevelType w:val="hybridMultilevel"/>
    <w:tmpl w:val="922E95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69413">
    <w:abstractNumId w:val="10"/>
  </w:num>
  <w:num w:numId="2" w16cid:durableId="895817971">
    <w:abstractNumId w:val="11"/>
  </w:num>
  <w:num w:numId="3" w16cid:durableId="661008287">
    <w:abstractNumId w:val="7"/>
  </w:num>
  <w:num w:numId="4" w16cid:durableId="1461992343">
    <w:abstractNumId w:val="6"/>
  </w:num>
  <w:num w:numId="5" w16cid:durableId="1094207300">
    <w:abstractNumId w:val="14"/>
  </w:num>
  <w:num w:numId="6" w16cid:durableId="1045955819">
    <w:abstractNumId w:val="12"/>
  </w:num>
  <w:num w:numId="7" w16cid:durableId="474757422">
    <w:abstractNumId w:val="0"/>
  </w:num>
  <w:num w:numId="8" w16cid:durableId="651325307">
    <w:abstractNumId w:val="8"/>
  </w:num>
  <w:num w:numId="9" w16cid:durableId="1927105280">
    <w:abstractNumId w:val="5"/>
  </w:num>
  <w:num w:numId="10" w16cid:durableId="1978367041">
    <w:abstractNumId w:val="13"/>
  </w:num>
  <w:num w:numId="11" w16cid:durableId="1502156018">
    <w:abstractNumId w:val="4"/>
  </w:num>
  <w:num w:numId="12" w16cid:durableId="885723196">
    <w:abstractNumId w:val="9"/>
  </w:num>
  <w:num w:numId="13" w16cid:durableId="2099401354">
    <w:abstractNumId w:val="1"/>
  </w:num>
  <w:num w:numId="14" w16cid:durableId="1164127997">
    <w:abstractNumId w:val="3"/>
  </w:num>
  <w:num w:numId="15" w16cid:durableId="32008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36"/>
    <w:rsid w:val="00055282"/>
    <w:rsid w:val="000560CC"/>
    <w:rsid w:val="0008155F"/>
    <w:rsid w:val="000A65C8"/>
    <w:rsid w:val="000D1073"/>
    <w:rsid w:val="00261319"/>
    <w:rsid w:val="00297F10"/>
    <w:rsid w:val="002B7885"/>
    <w:rsid w:val="002C3651"/>
    <w:rsid w:val="002D0196"/>
    <w:rsid w:val="00311E81"/>
    <w:rsid w:val="00312417"/>
    <w:rsid w:val="0039368C"/>
    <w:rsid w:val="0040676F"/>
    <w:rsid w:val="0042161D"/>
    <w:rsid w:val="004A2088"/>
    <w:rsid w:val="004D0616"/>
    <w:rsid w:val="004D11C4"/>
    <w:rsid w:val="004D5836"/>
    <w:rsid w:val="0054051B"/>
    <w:rsid w:val="005E6758"/>
    <w:rsid w:val="005F2892"/>
    <w:rsid w:val="005F62DE"/>
    <w:rsid w:val="006053FB"/>
    <w:rsid w:val="00605711"/>
    <w:rsid w:val="00623319"/>
    <w:rsid w:val="00697C6E"/>
    <w:rsid w:val="007611F4"/>
    <w:rsid w:val="00787CA9"/>
    <w:rsid w:val="007A78F1"/>
    <w:rsid w:val="007B1F6B"/>
    <w:rsid w:val="007F35A9"/>
    <w:rsid w:val="00802DA6"/>
    <w:rsid w:val="00810103"/>
    <w:rsid w:val="00895A09"/>
    <w:rsid w:val="008B29E7"/>
    <w:rsid w:val="008B3A69"/>
    <w:rsid w:val="008B5672"/>
    <w:rsid w:val="008D22AD"/>
    <w:rsid w:val="00904DCA"/>
    <w:rsid w:val="0090787A"/>
    <w:rsid w:val="0098076F"/>
    <w:rsid w:val="009C410B"/>
    <w:rsid w:val="009C6C0C"/>
    <w:rsid w:val="00A60CCE"/>
    <w:rsid w:val="00A942EF"/>
    <w:rsid w:val="00A94501"/>
    <w:rsid w:val="00AA078D"/>
    <w:rsid w:val="00AE7C1E"/>
    <w:rsid w:val="00B05D84"/>
    <w:rsid w:val="00B110F1"/>
    <w:rsid w:val="00B360EA"/>
    <w:rsid w:val="00B7505F"/>
    <w:rsid w:val="00B95CA6"/>
    <w:rsid w:val="00B970B1"/>
    <w:rsid w:val="00BE1BDB"/>
    <w:rsid w:val="00C31C34"/>
    <w:rsid w:val="00C93675"/>
    <w:rsid w:val="00CA328D"/>
    <w:rsid w:val="00CE0A8F"/>
    <w:rsid w:val="00CE399C"/>
    <w:rsid w:val="00CF369F"/>
    <w:rsid w:val="00CF6D81"/>
    <w:rsid w:val="00D0576D"/>
    <w:rsid w:val="00D46D74"/>
    <w:rsid w:val="00D751D0"/>
    <w:rsid w:val="00D86DCA"/>
    <w:rsid w:val="00DE56AC"/>
    <w:rsid w:val="00E3575F"/>
    <w:rsid w:val="00E463FA"/>
    <w:rsid w:val="00E537D7"/>
    <w:rsid w:val="00ED019D"/>
    <w:rsid w:val="00ED1559"/>
    <w:rsid w:val="00F1100D"/>
    <w:rsid w:val="00F23C4E"/>
    <w:rsid w:val="00F43362"/>
    <w:rsid w:val="00F76843"/>
    <w:rsid w:val="00F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FEF6"/>
  <w15:chartTrackingRefBased/>
  <w15:docId w15:val="{A5726CA5-0207-4AA9-A19D-84EB54C4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4D5836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5836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4D5836"/>
    <w:rPr>
      <w:rFonts w:ascii="Arial" w:hAnsi="Arial" w:cs="Arial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4D5836"/>
    <w:pPr>
      <w:suppressAutoHyphens/>
      <w:spacing w:after="0" w:line="240" w:lineRule="auto"/>
      <w:ind w:left="720"/>
      <w:contextualSpacing/>
    </w:pPr>
    <w:rPr>
      <w:rFonts w:ascii="Arial" w:hAnsi="Arial" w:cs="Arial"/>
      <w:sz w:val="24"/>
      <w:lang w:eastAsia="ar-SA"/>
    </w:rPr>
  </w:style>
  <w:style w:type="paragraph" w:customStyle="1" w:styleId="Popisky">
    <w:name w:val="Popisky"/>
    <w:rsid w:val="004D58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ListParagraphChar">
    <w:name w:val="List Paragraph Char"/>
    <w:link w:val="Odstavecseseznamem1"/>
    <w:locked/>
    <w:rsid w:val="004D5836"/>
    <w:rPr>
      <w:rFonts w:ascii="Calibri" w:hAnsi="Calibri" w:cs="Calibri"/>
    </w:rPr>
  </w:style>
  <w:style w:type="paragraph" w:customStyle="1" w:styleId="Odstavecseseznamem1">
    <w:name w:val="Odstavec se seznamem1"/>
    <w:basedOn w:val="Normln"/>
    <w:link w:val="ListParagraphChar"/>
    <w:rsid w:val="004D5836"/>
    <w:pPr>
      <w:spacing w:line="256" w:lineRule="auto"/>
      <w:ind w:left="720"/>
    </w:pPr>
    <w:rPr>
      <w:rFonts w:ascii="Calibri" w:hAnsi="Calibri" w:cs="Calibri"/>
    </w:rPr>
  </w:style>
  <w:style w:type="paragraph" w:styleId="Zkladntext">
    <w:name w:val="Body Text"/>
    <w:basedOn w:val="Normln"/>
    <w:link w:val="ZkladntextChar"/>
    <w:unhideWhenUsed/>
    <w:rsid w:val="004D583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5836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58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836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AE7C1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C1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C1E"/>
    <w:rPr>
      <w:rFonts w:ascii="Times New Roman" w:hAnsi="Times New Roman" w:cs="Times New Roman"/>
      <w:sz w:val="18"/>
      <w:szCs w:val="18"/>
    </w:rPr>
  </w:style>
  <w:style w:type="character" w:styleId="Znakapoznpodarou">
    <w:name w:val="footnote reference"/>
    <w:uiPriority w:val="99"/>
    <w:semiHidden/>
    <w:rsid w:val="00787CA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787CA9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7C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CF6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F6D81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Ševčík</dc:creator>
  <cp:keywords/>
  <dc:description/>
  <cp:lastModifiedBy>Jan Zikeš</cp:lastModifiedBy>
  <cp:revision>7</cp:revision>
  <dcterms:created xsi:type="dcterms:W3CDTF">2022-11-14T11:07:00Z</dcterms:created>
  <dcterms:modified xsi:type="dcterms:W3CDTF">2022-11-14T11:57:00Z</dcterms:modified>
</cp:coreProperties>
</file>