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E2" w:rsidRDefault="00684AE2">
      <w:r>
        <w:t>Příloha 1</w:t>
      </w:r>
    </w:p>
    <w:p w:rsidR="00684AE2" w:rsidRDefault="00684AE2">
      <w:r>
        <w:t>Návrh ekonomických opatření MPO (zapracovány rovněž vstupy MF)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0773"/>
      </w:tblGrid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b/>
                <w:sz w:val="16"/>
                <w:szCs w:val="16"/>
              </w:rPr>
            </w:pPr>
            <w:r w:rsidRPr="0032510E">
              <w:rPr>
                <w:rFonts w:cstheme="minorHAnsi"/>
                <w:b/>
                <w:sz w:val="16"/>
                <w:szCs w:val="16"/>
              </w:rPr>
              <w:t>Opatření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b/>
                <w:sz w:val="16"/>
                <w:szCs w:val="16"/>
              </w:rPr>
            </w:pPr>
            <w:r w:rsidRPr="0032510E">
              <w:rPr>
                <w:rFonts w:cstheme="minorHAnsi"/>
                <w:b/>
                <w:sz w:val="16"/>
                <w:szCs w:val="16"/>
              </w:rPr>
              <w:t>Zdůvodnění</w:t>
            </w:r>
          </w:p>
        </w:tc>
      </w:tr>
      <w:tr w:rsidR="00985B4C" w:rsidRPr="0032510E" w:rsidTr="00FE373F">
        <w:tc>
          <w:tcPr>
            <w:tcW w:w="13745" w:type="dxa"/>
            <w:gridSpan w:val="2"/>
            <w:shd w:val="clear" w:color="auto" w:fill="auto"/>
          </w:tcPr>
          <w:p w:rsidR="00985B4C" w:rsidRPr="0032510E" w:rsidRDefault="00985B4C" w:rsidP="006A09ED">
            <w:pPr>
              <w:spacing w:after="60" w:line="240" w:lineRule="auto"/>
              <w:rPr>
                <w:rFonts w:cstheme="minorHAnsi"/>
                <w:b/>
                <w:sz w:val="16"/>
                <w:szCs w:val="16"/>
              </w:rPr>
            </w:pPr>
            <w:r w:rsidRPr="0032510E">
              <w:rPr>
                <w:rFonts w:cstheme="minorHAnsi"/>
                <w:b/>
                <w:sz w:val="16"/>
                <w:szCs w:val="16"/>
              </w:rPr>
              <w:t>Operativní a krátkodobá opatření (do 1 roku)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bookmarkStart w:id="0" w:name="_Hlk98278716"/>
            <w:proofErr w:type="spellStart"/>
            <w:r w:rsidRPr="0032510E">
              <w:rPr>
                <w:rFonts w:cstheme="minorHAnsi"/>
                <w:sz w:val="16"/>
                <w:szCs w:val="16"/>
              </w:rPr>
              <w:t>Kurzarbeit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zatím nespouštět plošně, zvážit adresně pro vybraná odvětví 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1616BA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Jde o jednu z uvažovaných variant. Celá problematika se bude dále ještě diskutovat s MF. </w:t>
            </w:r>
            <w:r w:rsidR="00D00D8C" w:rsidRPr="0032510E">
              <w:rPr>
                <w:rFonts w:cstheme="minorHAnsi"/>
                <w:sz w:val="16"/>
                <w:szCs w:val="16"/>
              </w:rPr>
              <w:t>Vláda</w:t>
            </w:r>
            <w:r>
              <w:rPr>
                <w:rFonts w:cstheme="minorHAnsi"/>
                <w:sz w:val="16"/>
                <w:szCs w:val="16"/>
              </w:rPr>
              <w:t xml:space="preserve"> spíše</w:t>
            </w:r>
            <w:r w:rsidR="00D00D8C" w:rsidRPr="0032510E">
              <w:rPr>
                <w:rFonts w:cstheme="minorHAnsi"/>
                <w:sz w:val="16"/>
                <w:szCs w:val="16"/>
              </w:rPr>
              <w:t xml:space="preserve"> preferuje adresná řešení, nikoliv plošná. Dopad zavedení Kurzarbeitu by byl pravděpodobně omezený, ve své plošné aplikaci má rovněž své negativní makroekonomické dopady, kdy posiluje inflační tlaky, které v současnosti nejsou žádoucí. Zavádění kurzarbeitu vede ke snižování flexibility trhu práce. V současné fiskální situaci a dosud rekordně nízké nezaměstnanosti se nejedná o preferovaný nástroj. Zvážit přesně cílenou aplikaci ve strategických odvětvích, kde z technologických důvodů nelze (nebo pouze se značnými náklady) zcela přerušit výrobu - např. výroba hutních a ocelářských výrobků.</w:t>
            </w:r>
          </w:p>
        </w:tc>
      </w:tr>
      <w:bookmarkEnd w:id="0"/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Využití fondů EU na posílení energetické bezpečnosti v rámci NPO v gesci MPO a OPTAK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NPO: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38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Vyhlášena výzva (dne 8.3.2022) na podporu rozvoje výroby elektřiny z 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fotovoltaických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elektráren v rámci NPO s alokací 4 mld. Kč s přínosy pro zvýšení energetické nezávislosti, snížení nákladů na nákup elektřiny pro podnikatele.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38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Vyhlášení výzvy na Modernizaci distribuce tepla v systémech dálkového vytápění ve výši 1 mld. Kč za účelem snížení ztrát tepelné energie při distribuci tepla. Předpokládaný termín vyhlášení výzvy je v rámci měsíce března/dubna 2022.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OP TAK: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 rámci Priority 4 - Posun k nízkouhlíkovému hospodářství OPTAK budou vyhlášeny prioritně výzvy s těmito aktivitami: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0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Úspory energie v podnikatelském sektoru zvyšující energetickou nezávislost a snižující náklady na nákup energií.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0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Modernizace přenosové soustavy za účelem zvýšení energetické bezpečnosti a integraci obnovitelných zdrojů energie.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0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Instalace inteligentních prvků v distribučních soustavách za účelem rozvoje/vzniku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smart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grids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podporující integraci nových OZE.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Nezavádění cenových stropů u pohonných hmot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Vysoká volatilita cen a jejich skokový nárůst rychle zvyšuje výdaje domácností a firem dopravu. Zavedení cenového stropu v konkurenčním prostředí jiných států by vedlo pravděpodobně k nedostatku pohonných hmot na českém trhu a vliv na finální cenu by byl omezený. Opatření se proto budou orientovat spíše na zvýšení nabídky a kompenzace zvýšených nákladů pro zasažené domácnosti prostřednictvím nástrojů sociálního systému a nebudou deformovat informace o cenách pohonných hmot.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Monitoring cen pohonných hmot a příprava na možnou regulaci marží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Ceny pohonných hmot jsou determinovány cenami na mezinárodních trzích. Zavedení cenového stropu v konkurenčním prostředí jiných států by vedlo pravděpodobně k nedostatku pohonných hmot na českém trhu a povinnosti státu kompenzovat možné ztráty převážně zahraničním subjektům provozujícím čerpací stanice. Ministerstvo financí tak přistupuje k dennímu monitoringu cen pro sledování vývoje hrubých marží na čerpacích stanicích. V případě nepřiměřenému nárůstu hrubých marží by mohlo díky sběru být přistoupeno k regulaci maximální výše marží.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>Železné rudy – prověření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možnosti dodávek železných rud z alternativních teritorií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>Naprostá většina dodávek železných rud a koncentrátů pro český ocelářský průmysl pochází tradičně z Ukrajiny a Ruska. Je třeba prověřit možnosti zvýšení dodávek ze zemí, které do CZ železné rudy v menším množství již dodávají (Libérie, Švédsko, Brazílie)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,</w:t>
            </w:r>
            <w:r>
              <w:t xml:space="preserve"> </w:t>
            </w:r>
            <w:r w:rsidRPr="00FB50B5">
              <w:rPr>
                <w:rFonts w:eastAsia="Times New Roman" w:cstheme="minorHAnsi"/>
                <w:sz w:val="16"/>
                <w:szCs w:val="16"/>
                <w:lang w:eastAsia="cs-CZ"/>
              </w:rPr>
              <w:t>dříve dodávaly (Bosna a Hercegovina)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či ze zcela nových teritorií (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Severní Makedonie, 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Mauretánie, Sierra Leone). 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br/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Fosfáty, </w:t>
            </w:r>
            <w:proofErr w:type="gramStart"/>
            <w:r w:rsidRPr="0032510E">
              <w:rPr>
                <w:rFonts w:cstheme="minorHAnsi"/>
                <w:sz w:val="16"/>
                <w:szCs w:val="16"/>
              </w:rPr>
              <w:t>apatit - prověření</w:t>
            </w:r>
            <w:proofErr w:type="gramEnd"/>
            <w:r w:rsidRPr="0032510E">
              <w:rPr>
                <w:rFonts w:cstheme="minorHAnsi"/>
                <w:sz w:val="16"/>
                <w:szCs w:val="16"/>
              </w:rPr>
              <w:t xml:space="preserve"> možnosti dodávek z alternativních teritorií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Jedná se o vstupy zásadní pro chemický průmysl (např. výroba hnojiv). Výsledkem omezení výroby hnojiv budou nižší výnosy zemědělských komodit v zemích EU, které se promítnou do vyšších cen potravin a větší závislosti EU na dovozu potravin, kdy dovozy z Ukrajiny a Ruska budou nejisté.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474934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Titanové rudy – ilmenit – prověření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možnosti dodávek 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titanových</w:t>
            </w:r>
            <w:r w:rsidRPr="0032510E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rud z alternativních teritorií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474934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Téměř veškerý dovoz ilmenitových rud je realizován z Ukrajiny. Předpokládá se pokračování dodávek po válečném konfliktu. V tomto mezidobí je třeba zajistit dražší dodávky z </w:t>
            </w:r>
            <w:r>
              <w:rPr>
                <w:rFonts w:cstheme="minorHAnsi"/>
                <w:sz w:val="16"/>
                <w:szCs w:val="16"/>
              </w:rPr>
              <w:t>Norska</w:t>
            </w:r>
            <w:r w:rsidRPr="0032510E">
              <w:rPr>
                <w:rFonts w:cstheme="minorHAnsi"/>
                <w:sz w:val="16"/>
                <w:szCs w:val="16"/>
              </w:rPr>
              <w:t>, Číny, Srí Lanka, Indonésie, Mosambik</w:t>
            </w:r>
            <w:r>
              <w:rPr>
                <w:rFonts w:cstheme="minorHAnsi"/>
                <w:sz w:val="16"/>
                <w:szCs w:val="16"/>
              </w:rPr>
              <w:t>u.</w:t>
            </w:r>
            <w:r w:rsidRPr="0032510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Využití domácího uhlí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Prověřit možnost obnovení provozu zařízení na výrobu plynu zplyňováním uhlí v Sokolovské uhelná, a.s. a ověřit možnost uplatnění metody SASOL (studie VŠCHT)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32510E">
              <w:rPr>
                <w:rFonts w:cstheme="minorHAnsi"/>
                <w:sz w:val="16"/>
                <w:szCs w:val="16"/>
              </w:rPr>
              <w:t>kde je údajný předpoklad výroby plynu ve velmi krátké době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Kompenzace nepřímých nákladů pro odvětví ohrožený únikem uhlíku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186B4D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Jednou z uvažovaných variant je r</w:t>
            </w:r>
            <w:r w:rsidR="00D00D8C" w:rsidRPr="0032510E">
              <w:rPr>
                <w:rFonts w:cstheme="minorHAnsi"/>
                <w:sz w:val="16"/>
                <w:szCs w:val="16"/>
              </w:rPr>
              <w:t>ealizovat kompenzace nepřímých nákladů u odvětví ohrožených únikem uhlíku v návaznosti na novelu nařízení vlády č.565/2020 Sb. schváleného vládou dne 25.2. 2022</w:t>
            </w:r>
            <w:r>
              <w:rPr>
                <w:rFonts w:cstheme="minorHAnsi"/>
                <w:sz w:val="16"/>
                <w:szCs w:val="16"/>
              </w:rPr>
              <w:t>. Vše se bude ještě diskutovat s MŽP.</w:t>
            </w:r>
            <w:r w:rsidR="00D00D8C" w:rsidRPr="0032510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lastRenderedPageBreak/>
              <w:t xml:space="preserve">Automobilový průmysl: Invaze téměř okamžitě způsobila nové potíže dodavatelskému řetězci. Zasaženy jsou nejen dodávky kabelových svazků, které jsou pro fungování moderních vozů naprosto klíčové. 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Obě země konfliktu jsou cennými zdroji neonu a paladia, které se používají při výrobě polovodičových čipů.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Další pokračování by pak ohrozilo i snižující se zásoby polovodičů čipů i dalších produktů, které se vyrábí z ropy. 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Celý automobilový průmysl může postihnout nedostatek zásadních zdrojů. Nikl je důležitou surovinou pro výrobu lithium-iontových baterií, palladium se zase používá v katalyzátorech aut se spalovacími motory a Rusko patří mezi jejich největší světové dodavatele.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Pokud by na sankce měly za následek přerušení dodávek palladia, automobilky by musely najít alternativní dodávky, jinak by nebyly schopny vyrábět vozidla se spalovacími motory.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Nejhorší předpoklady pak hovoří o 3,5 milionech chybějících vozů. Taková prognóza počítá s dlouhodobým konfliktem a zastavenou výrobou automobilových čipů.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 xml:space="preserve">Chemický průmysl: </w:t>
            </w:r>
            <w:r w:rsidRPr="0032510E">
              <w:rPr>
                <w:rFonts w:cstheme="minorHAnsi"/>
                <w:sz w:val="16"/>
                <w:szCs w:val="16"/>
              </w:rPr>
              <w:t>Při uplatňování ochranných opatření je nezbytné zohlednit i alternativní obchodní kanály, zejména ty, kde je současná cenová hladina energií, resp. zemního plynu, nízká (Blízký východ, USA), protože konkurenceschopnost evropského (chemického) průmyslu není ohrožena pouze současnou politickou situací.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Extrémní nárůst cen energií v Evropě se významně projevuje v konkurenceschopnosti chemických výrob. 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  <w:p w:rsidR="00D00D8C" w:rsidRPr="0032510E" w:rsidRDefault="00D00D8C" w:rsidP="006A09ED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Tato situace je navíc prohlubována i dodávkami produktů ruských výrobců, kteří mají extrémně nízké ceny plynu, a tedy extrémně nízké výrobní náklady na řadu výrobků, jako jsou hnojiva, močovina,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methanol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>. Tyto ruské společnosti tak dosahují masivních zisků na úkor evropských konkurentů v důsledku strukturálního narušení hospodářské soutěže.</w:t>
            </w:r>
          </w:p>
        </w:tc>
      </w:tr>
      <w:tr w:rsidR="00985B4C" w:rsidRPr="0032510E" w:rsidTr="002F32F0">
        <w:tc>
          <w:tcPr>
            <w:tcW w:w="2972" w:type="dxa"/>
            <w:shd w:val="clear" w:color="auto" w:fill="auto"/>
          </w:tcPr>
          <w:p w:rsidR="00985B4C" w:rsidRPr="0032510E" w:rsidRDefault="00985B4C" w:rsidP="00985B4C">
            <w:pPr>
              <w:spacing w:after="60" w:line="240" w:lineRule="auto"/>
              <w:rPr>
                <w:rFonts w:cstheme="minorHAnsi"/>
                <w:sz w:val="16"/>
                <w:szCs w:val="16"/>
                <w:shd w:val="clear" w:color="auto" w:fill="FFFFFF" w:themeFill="background1"/>
              </w:rPr>
            </w:pPr>
            <w:r w:rsidRPr="0032510E">
              <w:rPr>
                <w:rFonts w:cstheme="minorHAnsi"/>
                <w:sz w:val="16"/>
                <w:szCs w:val="16"/>
              </w:rPr>
              <w:t>Také je třeba dále podporovat existující anti-dumpingov</w:t>
            </w:r>
            <w:r>
              <w:rPr>
                <w:rFonts w:cstheme="minorHAnsi"/>
                <w:sz w:val="16"/>
                <w:szCs w:val="16"/>
              </w:rPr>
              <w:t>á</w:t>
            </w:r>
            <w:r w:rsidRPr="0032510E">
              <w:rPr>
                <w:rFonts w:cstheme="minorHAnsi"/>
                <w:sz w:val="16"/>
                <w:szCs w:val="16"/>
              </w:rPr>
              <w:t xml:space="preserve"> opatřeni namířené na importy z RU.</w:t>
            </w:r>
            <w:r>
              <w:rPr>
                <w:rFonts w:cstheme="minorHAnsi"/>
                <w:sz w:val="16"/>
                <w:szCs w:val="16"/>
              </w:rPr>
              <w:t xml:space="preserve"> Zároveň došlo k úpravě </w:t>
            </w:r>
            <w:proofErr w:type="spellStart"/>
            <w:r>
              <w:rPr>
                <w:rFonts w:cstheme="minorHAnsi"/>
                <w:sz w:val="16"/>
                <w:szCs w:val="16"/>
              </w:rPr>
              <w:t>safeguardových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opatření na dovozy oceli do EU tak, že bezcelní kvóta pro RU a BY byla snížena na nulu.</w:t>
            </w:r>
          </w:p>
        </w:tc>
        <w:tc>
          <w:tcPr>
            <w:tcW w:w="10773" w:type="dxa"/>
            <w:shd w:val="clear" w:color="auto" w:fill="auto"/>
          </w:tcPr>
          <w:p w:rsidR="00985B4C" w:rsidRPr="0032510E" w:rsidRDefault="00985B4C" w:rsidP="00985B4C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V současnosti je v platnosti 13 antidumpingových opatření na dovozy vybraných výrobků z Ruska. Přestože ČR se obecně staví k používání antidumpingových cel rezervovaně, v nynější situaci přistoupí k systémové podpoře prodlužování těchto opatření. V případě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safeguardových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/ochranných opatření na dovozy oceli a výrobků z oceli do EU již bylo 15. 3. provedeno zrušení kvót přidělených RU a BY pro bezcelní dovoz. Objemy zrušených kvót</w:t>
            </w:r>
            <w:r w:rsidRPr="00D032A1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v jednotlivých kategoriích 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byly</w:t>
            </w:r>
            <w:r w:rsidRPr="00D032A1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rozdistribuován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y</w:t>
            </w:r>
            <w:r w:rsidRPr="00D032A1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mezi další 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dovážející</w:t>
            </w:r>
            <w:r w:rsidRPr="00D032A1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země tak, aby 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b</w:t>
            </w:r>
            <w:r w:rsidRPr="00D032A1">
              <w:rPr>
                <w:rFonts w:eastAsia="Times New Roman" w:cstheme="minorHAnsi"/>
                <w:sz w:val="16"/>
                <w:szCs w:val="16"/>
                <w:lang w:eastAsia="cs-CZ"/>
              </w:rPr>
              <w:t>yly zaručeny dostatečné dodávky oceli do EU</w:t>
            </w: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.</w:t>
            </w:r>
          </w:p>
        </w:tc>
      </w:tr>
      <w:tr w:rsidR="00985B4C" w:rsidRPr="0032510E" w:rsidTr="002F32F0">
        <w:tc>
          <w:tcPr>
            <w:tcW w:w="2972" w:type="dxa"/>
            <w:shd w:val="clear" w:color="auto" w:fill="auto"/>
          </w:tcPr>
          <w:p w:rsidR="00985B4C" w:rsidRPr="0032510E" w:rsidRDefault="00985B4C" w:rsidP="00985B4C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Zajištění náhrady pro průmyslové podniky za chybějící zejména ukrajinské pracovníky </w:t>
            </w:r>
          </w:p>
        </w:tc>
        <w:tc>
          <w:tcPr>
            <w:tcW w:w="10773" w:type="dxa"/>
            <w:shd w:val="clear" w:color="auto" w:fill="auto"/>
          </w:tcPr>
          <w:p w:rsidR="00985B4C" w:rsidRDefault="00985B4C" w:rsidP="00985B4C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>
              <w:rPr>
                <w:rFonts w:eastAsia="Times New Roman" w:cstheme="minorHAnsi"/>
                <w:sz w:val="16"/>
                <w:szCs w:val="16"/>
                <w:lang w:eastAsia="cs-CZ"/>
              </w:rPr>
              <w:t>V současnosti jsou pozastaveny vládní programy ekonomické migrace směrem k Rusku a Bělorusku a z důvodu pozastavení činnosti zastupitelských úřadů ČR také směrem k Ukrajině. Z toho důvodu dochází k výpadku nejvýznamnější zdrojové země ekonomické migrace a je zapotřebí zajistit potřebnou pracovní sílu z jiných zemí.</w:t>
            </w:r>
          </w:p>
        </w:tc>
      </w:tr>
      <w:tr w:rsidR="00985B4C" w:rsidRPr="0032510E" w:rsidTr="003553E7">
        <w:tc>
          <w:tcPr>
            <w:tcW w:w="13745" w:type="dxa"/>
            <w:gridSpan w:val="2"/>
            <w:shd w:val="clear" w:color="auto" w:fill="auto"/>
          </w:tcPr>
          <w:p w:rsidR="00985B4C" w:rsidRDefault="00985B4C" w:rsidP="00985B4C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32510E">
              <w:rPr>
                <w:rFonts w:cstheme="minorHAnsi"/>
                <w:b/>
                <w:sz w:val="16"/>
                <w:szCs w:val="16"/>
              </w:rPr>
              <w:t>Střednědobá a dlouhodobá strategická opatření</w:t>
            </w:r>
          </w:p>
        </w:tc>
      </w:tr>
      <w:tr w:rsidR="00985B4C" w:rsidRPr="0032510E" w:rsidTr="002F32F0">
        <w:tc>
          <w:tcPr>
            <w:tcW w:w="2972" w:type="dxa"/>
            <w:shd w:val="clear" w:color="auto" w:fill="auto"/>
          </w:tcPr>
          <w:p w:rsidR="00985B4C" w:rsidRPr="0032510E" w:rsidRDefault="00985B4C" w:rsidP="00985B4C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Příprava proexportních opatření směrem k nalezení nových trhů a posílení pozice českých exportérů </w:t>
            </w:r>
          </w:p>
        </w:tc>
        <w:tc>
          <w:tcPr>
            <w:tcW w:w="10773" w:type="dxa"/>
            <w:shd w:val="clear" w:color="auto" w:fill="auto"/>
          </w:tcPr>
          <w:p w:rsidR="00985B4C" w:rsidRPr="0032510E" w:rsidRDefault="00985B4C" w:rsidP="00985B4C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 ohledem na charakter českého hospodářství je nezbytné (i po vzoru dalších vyspělých zemí) posilovat mechanismy podpory exportu, jak v návaznosti na probíhající ruskou krizi, tak s ohledem na dopady pandemie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covid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Další aktivity mohou zahrnovat nástroje na podporu diverzifikace exportu, jako například posílení přítomnosti na zahraničních trzích, posílení koncentrace na nové sektory a další inovativní opatření.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Využití fondů EU na posílení energetické bezpečnosti v rámci OPTAK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 rámci Priority 4 - Posun k nízkouhlíkovému hospodářství OP TAK jsou obsaženy další aktivity vedoucí ke zvýšení energetické nezávislosti, které budou postupně vyhlašovány v období 2022 až 2027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Jedná se např. o tyto aktivity: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1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Podpora energie z obnovitelných zdrojů (solární, větrná, MVE, tepelná čerpadla, zvyšování účinnosti bioplynových stanic využitím odpadního tepla, transformace bioplynových stanic na výrobny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biometanu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,), 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1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výroba, distribuce, uskladnění zeleného vodíku, 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1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akumulace energie, 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1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lastRenderedPageBreak/>
              <w:t xml:space="preserve">modernizace plynárenské soustavy pro využití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biometanu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a zeleného vodíku, </w:t>
            </w:r>
          </w:p>
          <w:p w:rsidR="00D00D8C" w:rsidRPr="0032510E" w:rsidRDefault="00D00D8C" w:rsidP="006A09ED">
            <w:pPr>
              <w:pStyle w:val="Odstavecseseznamem"/>
              <w:numPr>
                <w:ilvl w:val="0"/>
                <w:numId w:val="41"/>
              </w:num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a další opatřeni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lastRenderedPageBreak/>
              <w:t>Zrušení povinnosti přimíchávání biosložky do nafty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Přimíchávání biosložek do pohonných hmot bylo zavedeno v roce 2007 pro naftu, o dva roky později se zavedlo i pro benzin. Dodavatelé pohonných hmot musejí nyní přimíchávat povinně alespoň 4,1 procenta biosložky do benzinu a šest procent do nafty.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Ekologický dopad přimíchávání biosložek je v současnosti již překonaný a sporný. Přestože krátkodobý efekt opatření je omezený, trvalé zrušení umožní zemědělcům orientovat se na jiné plodiny.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Zrušení silniční daně pro osobní auta a dodávky do 12 tun, a snížení daně pro automobily nad </w:t>
            </w:r>
            <w:proofErr w:type="gramStart"/>
            <w:r w:rsidRPr="0032510E">
              <w:rPr>
                <w:rFonts w:cstheme="minorHAnsi"/>
                <w:sz w:val="16"/>
                <w:szCs w:val="16"/>
              </w:rPr>
              <w:t>12t</w:t>
            </w:r>
            <w:proofErr w:type="gramEnd"/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Silniční dani podléhají automobily, které využívají firmy i fyzické osoby k podnikání. Sazba se určuje u osobních aut podle obsahu motoru a objemu válců v motoru. Silniční daň odvádí v Česku přibližně 830 000 poplatníků, představuje přibližně 0,7 procenta daňových příjmů Česka. Přiznání k dani musí podnikatelé předkládat každý rok a daň se platí za standardních podmínek čtyřikrát ročně formou zálohy.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Podle Nejvyššího kontrolního úřadu (NKÚ), který prověřil správu silniční daně v letech 2017 až 2020, je správa silniční daně nákladná a její efektivita je v porovnání s ostatními daněmi v Česku zhruba čtyřikrát nižší.</w:t>
            </w:r>
          </w:p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Kromě úspory nákladů v podnikatelském sektoru povede opatření ke snížení byrokracie a počtu míst ve finanční správě. 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Kompenzace nepřímých nákladů pro odvětví ohrožený únikem uhlíku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102E21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102E21">
              <w:rPr>
                <w:rFonts w:cstheme="minorHAnsi"/>
                <w:sz w:val="16"/>
                <w:szCs w:val="16"/>
              </w:rPr>
              <w:t xml:space="preserve">Jednou z uvažovaných variant je 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="00D00D8C" w:rsidRPr="0032510E">
              <w:rPr>
                <w:rFonts w:cstheme="minorHAnsi"/>
                <w:sz w:val="16"/>
                <w:szCs w:val="16"/>
              </w:rPr>
              <w:t>okračovat v kompenzacích nepřímých nákladů u odvětví ohrožených únikem uhlíku i za rok 2022 (realizace v roce 2023)</w:t>
            </w:r>
            <w:r>
              <w:rPr>
                <w:rFonts w:cstheme="minorHAnsi"/>
                <w:sz w:val="16"/>
                <w:szCs w:val="16"/>
              </w:rPr>
              <w:t>.</w:t>
            </w:r>
            <w:bookmarkStart w:id="1" w:name="_GoBack"/>
            <w:bookmarkEnd w:id="1"/>
            <w:r w:rsidR="00D00D8C" w:rsidRPr="0032510E">
              <w:rPr>
                <w:rFonts w:cstheme="minorHAnsi"/>
                <w:sz w:val="16"/>
                <w:szCs w:val="16"/>
              </w:rPr>
              <w:t xml:space="preserve"> </w:t>
            </w:r>
            <w:r w:rsidRPr="00102E21">
              <w:rPr>
                <w:rFonts w:cstheme="minorHAnsi"/>
                <w:sz w:val="16"/>
                <w:szCs w:val="16"/>
              </w:rPr>
              <w:t>Vše se bude ještě diskutovat s MŽP.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Využití fondů EU na posílení energetické bezpečnosti…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 xml:space="preserve">Akcentovat v EU potřebu </w:t>
            </w:r>
            <w:proofErr w:type="spellStart"/>
            <w:r w:rsidRPr="0032510E">
              <w:rPr>
                <w:rFonts w:cstheme="minorHAnsi"/>
                <w:sz w:val="16"/>
                <w:szCs w:val="16"/>
              </w:rPr>
              <w:t>prioritizovat</w:t>
            </w:r>
            <w:proofErr w:type="spellEnd"/>
            <w:r w:rsidRPr="0032510E">
              <w:rPr>
                <w:rFonts w:cstheme="minorHAnsi"/>
                <w:sz w:val="16"/>
                <w:szCs w:val="16"/>
              </w:rPr>
              <w:t xml:space="preserve"> zajištění bezpečnosti dodávek a iniciovat jednání o zrušení zákazu využití fondů EU pro účely jaderné energie.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Zajištění dostatečných zásob čerstvého jaderného paliva pro provozované jaderné elektrárny v Dukovanech a Temelíně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Je nezbytné pro zajištění energetické bezpečnosti státu takovéto opatření přijmout.</w:t>
            </w:r>
          </w:p>
        </w:tc>
      </w:tr>
      <w:tr w:rsidR="00D00D8C" w:rsidRPr="0032510E" w:rsidTr="002F32F0">
        <w:tc>
          <w:tcPr>
            <w:tcW w:w="2972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32510E">
              <w:rPr>
                <w:rFonts w:cstheme="minorHAnsi"/>
                <w:sz w:val="16"/>
                <w:szCs w:val="16"/>
              </w:rPr>
              <w:t>Pokračovat v projektu Dukovany II dle schváleného harmonogramu (zprovoznění 2036)</w:t>
            </w:r>
            <w:r>
              <w:rPr>
                <w:rFonts w:cstheme="minorHAnsi"/>
                <w:sz w:val="16"/>
                <w:szCs w:val="16"/>
              </w:rPr>
              <w:t xml:space="preserve"> a r</w:t>
            </w:r>
            <w:r w:rsidRPr="0032510E">
              <w:rPr>
                <w:rFonts w:cstheme="minorHAnsi"/>
                <w:sz w:val="16"/>
                <w:szCs w:val="16"/>
              </w:rPr>
              <w:t>ozhodnout o přípravě dalších nových jaderných zdrojů v lokalitách Temelín a Dukovany v souladu s programovým prohlášením vlády.</w:t>
            </w:r>
          </w:p>
        </w:tc>
        <w:tc>
          <w:tcPr>
            <w:tcW w:w="10773" w:type="dxa"/>
            <w:shd w:val="clear" w:color="auto" w:fill="auto"/>
          </w:tcPr>
          <w:p w:rsidR="00D00D8C" w:rsidRPr="0032510E" w:rsidRDefault="00D00D8C" w:rsidP="006A09ED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Rozvoj jaderné energetiky je pro ČR klíčový z pohledu energetické bezpečnosti. </w:t>
            </w:r>
          </w:p>
        </w:tc>
      </w:tr>
    </w:tbl>
    <w:p w:rsidR="00713948" w:rsidRPr="0032510E" w:rsidRDefault="00713948" w:rsidP="006A09ED">
      <w:pPr>
        <w:spacing w:after="60" w:line="240" w:lineRule="auto"/>
        <w:rPr>
          <w:rFonts w:cstheme="minorHAnsi"/>
          <w:sz w:val="16"/>
          <w:szCs w:val="16"/>
        </w:rPr>
      </w:pPr>
    </w:p>
    <w:sectPr w:rsidR="00713948" w:rsidRPr="0032510E" w:rsidSect="00830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B8" w:rsidRDefault="00C543B8" w:rsidP="00677FE0">
      <w:pPr>
        <w:spacing w:after="0" w:line="240" w:lineRule="auto"/>
      </w:pPr>
      <w:r>
        <w:separator/>
      </w:r>
    </w:p>
  </w:endnote>
  <w:endnote w:type="continuationSeparator" w:id="0">
    <w:p w:rsidR="00C543B8" w:rsidRDefault="00C543B8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B8" w:rsidRDefault="00C543B8" w:rsidP="00677FE0">
      <w:pPr>
        <w:spacing w:after="0" w:line="240" w:lineRule="auto"/>
      </w:pPr>
      <w:r>
        <w:separator/>
      </w:r>
    </w:p>
  </w:footnote>
  <w:footnote w:type="continuationSeparator" w:id="0">
    <w:p w:rsidR="00C543B8" w:rsidRDefault="00C543B8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54965A3"/>
    <w:multiLevelType w:val="hybridMultilevel"/>
    <w:tmpl w:val="7CD43C9E"/>
    <w:lvl w:ilvl="0" w:tplc="57F61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2EA52CE"/>
    <w:multiLevelType w:val="hybridMultilevel"/>
    <w:tmpl w:val="11D6BC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FB2F1F"/>
    <w:multiLevelType w:val="multilevel"/>
    <w:tmpl w:val="E8BAE50A"/>
    <w:numStyleLink w:val="VariantaA-odrky"/>
  </w:abstractNum>
  <w:abstractNum w:abstractNumId="17" w15:restartNumberingAfterBreak="0">
    <w:nsid w:val="15587B24"/>
    <w:multiLevelType w:val="multilevel"/>
    <w:tmpl w:val="E8BAE50A"/>
    <w:numStyleLink w:val="VariantaA-odrky"/>
  </w:abstractNum>
  <w:abstractNum w:abstractNumId="18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9" w15:restartNumberingAfterBreak="0">
    <w:nsid w:val="191872DA"/>
    <w:multiLevelType w:val="multilevel"/>
    <w:tmpl w:val="E8A48D7C"/>
    <w:numStyleLink w:val="VariantaA-sla"/>
  </w:abstractNum>
  <w:abstractNum w:abstractNumId="20" w15:restartNumberingAfterBreak="0">
    <w:nsid w:val="19987FCF"/>
    <w:multiLevelType w:val="multilevel"/>
    <w:tmpl w:val="0D8ABE32"/>
    <w:numStyleLink w:val="VariantaB-sla"/>
  </w:abstractNum>
  <w:abstractNum w:abstractNumId="21" w15:restartNumberingAfterBreak="0">
    <w:nsid w:val="1D3068A6"/>
    <w:multiLevelType w:val="multilevel"/>
    <w:tmpl w:val="3320A8B2"/>
    <w:numStyleLink w:val="VariantaB-odrky"/>
  </w:abstractNum>
  <w:abstractNum w:abstractNumId="22" w15:restartNumberingAfterBreak="0">
    <w:nsid w:val="1D464EC2"/>
    <w:multiLevelType w:val="multilevel"/>
    <w:tmpl w:val="E8BAE50A"/>
    <w:numStyleLink w:val="VariantaA-odrky"/>
  </w:abstractNum>
  <w:abstractNum w:abstractNumId="23" w15:restartNumberingAfterBreak="0">
    <w:nsid w:val="1EAB39CE"/>
    <w:multiLevelType w:val="multilevel"/>
    <w:tmpl w:val="E8BAE50A"/>
    <w:numStyleLink w:val="VariantaA-odrky"/>
  </w:abstractNum>
  <w:abstractNum w:abstractNumId="24" w15:restartNumberingAfterBreak="0">
    <w:nsid w:val="27E66832"/>
    <w:multiLevelType w:val="hybridMultilevel"/>
    <w:tmpl w:val="2F868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A5EA2"/>
    <w:multiLevelType w:val="multilevel"/>
    <w:tmpl w:val="E8BAE50A"/>
    <w:numStyleLink w:val="VariantaA-odrky"/>
  </w:abstractNum>
  <w:abstractNum w:abstractNumId="26" w15:restartNumberingAfterBreak="0">
    <w:nsid w:val="28AB573E"/>
    <w:multiLevelType w:val="multilevel"/>
    <w:tmpl w:val="3320A8B2"/>
    <w:numStyleLink w:val="VariantaB-odrky"/>
  </w:abstractNum>
  <w:abstractNum w:abstractNumId="27" w15:restartNumberingAfterBreak="0">
    <w:nsid w:val="2A5F2D39"/>
    <w:multiLevelType w:val="multilevel"/>
    <w:tmpl w:val="E8BAE50A"/>
    <w:numStyleLink w:val="VariantaA-odrky"/>
  </w:abstractNum>
  <w:abstractNum w:abstractNumId="28" w15:restartNumberingAfterBreak="0">
    <w:nsid w:val="2DBB2CE6"/>
    <w:multiLevelType w:val="multilevel"/>
    <w:tmpl w:val="E8BAE50A"/>
    <w:numStyleLink w:val="VariantaA-odrky"/>
  </w:abstractNum>
  <w:abstractNum w:abstractNumId="29" w15:restartNumberingAfterBreak="0">
    <w:nsid w:val="355131EF"/>
    <w:multiLevelType w:val="multilevel"/>
    <w:tmpl w:val="E8A48D7C"/>
    <w:numStyleLink w:val="VariantaA-sla"/>
  </w:abstractNum>
  <w:abstractNum w:abstractNumId="30" w15:restartNumberingAfterBreak="0">
    <w:nsid w:val="36D41C74"/>
    <w:multiLevelType w:val="hybridMultilevel"/>
    <w:tmpl w:val="C728C7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06389"/>
    <w:multiLevelType w:val="multilevel"/>
    <w:tmpl w:val="E8BAE50A"/>
    <w:numStyleLink w:val="VariantaA-odrky"/>
  </w:abstractNum>
  <w:abstractNum w:abstractNumId="32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290926"/>
    <w:multiLevelType w:val="multilevel"/>
    <w:tmpl w:val="E8BAE50A"/>
    <w:numStyleLink w:val="VariantaA-odrky"/>
  </w:abstractNum>
  <w:abstractNum w:abstractNumId="34" w15:restartNumberingAfterBreak="0">
    <w:nsid w:val="533902EA"/>
    <w:multiLevelType w:val="multilevel"/>
    <w:tmpl w:val="E8BAE50A"/>
    <w:numStyleLink w:val="VariantaA-odrky"/>
  </w:abstractNum>
  <w:abstractNum w:abstractNumId="35" w15:restartNumberingAfterBreak="0">
    <w:nsid w:val="571C11E2"/>
    <w:multiLevelType w:val="multilevel"/>
    <w:tmpl w:val="E8A48D7C"/>
    <w:numStyleLink w:val="VariantaA-sla"/>
  </w:abstractNum>
  <w:abstractNum w:abstractNumId="36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7" w15:restartNumberingAfterBreak="0">
    <w:nsid w:val="5AF35F43"/>
    <w:multiLevelType w:val="multilevel"/>
    <w:tmpl w:val="0D8ABE32"/>
    <w:numStyleLink w:val="VariantaB-sla"/>
  </w:abstractNum>
  <w:abstractNum w:abstractNumId="38" w15:restartNumberingAfterBreak="0">
    <w:nsid w:val="63D5393D"/>
    <w:multiLevelType w:val="hybridMultilevel"/>
    <w:tmpl w:val="E848A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21"/>
  </w:num>
  <w:num w:numId="4">
    <w:abstractNumId w:val="16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2"/>
  </w:num>
  <w:num w:numId="7">
    <w:abstractNumId w:val="7"/>
  </w:num>
  <w:num w:numId="8">
    <w:abstractNumId w:val="35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4"/>
  </w:num>
  <w:num w:numId="14">
    <w:abstractNumId w:val="4"/>
  </w:num>
  <w:num w:numId="15">
    <w:abstractNumId w:val="3"/>
  </w:num>
  <w:num w:numId="16">
    <w:abstractNumId w:val="32"/>
  </w:num>
  <w:num w:numId="17">
    <w:abstractNumId w:val="22"/>
  </w:num>
  <w:num w:numId="18">
    <w:abstractNumId w:val="6"/>
  </w:num>
  <w:num w:numId="19">
    <w:abstractNumId w:val="13"/>
  </w:num>
  <w:num w:numId="20">
    <w:abstractNumId w:val="8"/>
  </w:num>
  <w:num w:numId="21">
    <w:abstractNumId w:val="29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1"/>
  </w:num>
  <w:num w:numId="27">
    <w:abstractNumId w:val="28"/>
  </w:num>
  <w:num w:numId="28">
    <w:abstractNumId w:val="27"/>
  </w:num>
  <w:num w:numId="29">
    <w:abstractNumId w:val="20"/>
  </w:num>
  <w:num w:numId="30">
    <w:abstractNumId w:val="33"/>
  </w:num>
  <w:num w:numId="31">
    <w:abstractNumId w:val="37"/>
  </w:num>
  <w:num w:numId="32">
    <w:abstractNumId w:val="25"/>
  </w:num>
  <w:num w:numId="33">
    <w:abstractNumId w:val="19"/>
  </w:num>
  <w:num w:numId="34">
    <w:abstractNumId w:val="9"/>
  </w:num>
  <w:num w:numId="35">
    <w:abstractNumId w:val="26"/>
  </w:num>
  <w:num w:numId="36">
    <w:abstractNumId w:val="15"/>
  </w:num>
  <w:num w:numId="37">
    <w:abstractNumId w:val="30"/>
  </w:num>
  <w:num w:numId="38">
    <w:abstractNumId w:val="14"/>
  </w:num>
  <w:num w:numId="39">
    <w:abstractNumId w:val="11"/>
  </w:num>
  <w:num w:numId="40">
    <w:abstractNumId w:val="24"/>
  </w:num>
  <w:num w:numId="4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AB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02E21"/>
    <w:rsid w:val="00121485"/>
    <w:rsid w:val="001268B0"/>
    <w:rsid w:val="001616BA"/>
    <w:rsid w:val="0018051B"/>
    <w:rsid w:val="00186B4D"/>
    <w:rsid w:val="001B1E4A"/>
    <w:rsid w:val="001C5FB7"/>
    <w:rsid w:val="001D27C0"/>
    <w:rsid w:val="001E74C3"/>
    <w:rsid w:val="001F6937"/>
    <w:rsid w:val="00220DE3"/>
    <w:rsid w:val="00220E68"/>
    <w:rsid w:val="0025290D"/>
    <w:rsid w:val="00260372"/>
    <w:rsid w:val="00262DAF"/>
    <w:rsid w:val="00285AED"/>
    <w:rsid w:val="002E2442"/>
    <w:rsid w:val="002F0E8C"/>
    <w:rsid w:val="002F32F0"/>
    <w:rsid w:val="00310FA0"/>
    <w:rsid w:val="00320481"/>
    <w:rsid w:val="003250CB"/>
    <w:rsid w:val="0032510E"/>
    <w:rsid w:val="00363201"/>
    <w:rsid w:val="0039063C"/>
    <w:rsid w:val="003A46A8"/>
    <w:rsid w:val="003A51AA"/>
    <w:rsid w:val="003B565A"/>
    <w:rsid w:val="003D00A1"/>
    <w:rsid w:val="0041427F"/>
    <w:rsid w:val="0042573F"/>
    <w:rsid w:val="004509E5"/>
    <w:rsid w:val="00474934"/>
    <w:rsid w:val="00486FB9"/>
    <w:rsid w:val="004957E0"/>
    <w:rsid w:val="004C212A"/>
    <w:rsid w:val="00500232"/>
    <w:rsid w:val="00504668"/>
    <w:rsid w:val="005455E1"/>
    <w:rsid w:val="005502BD"/>
    <w:rsid w:val="00556787"/>
    <w:rsid w:val="00582276"/>
    <w:rsid w:val="005C2560"/>
    <w:rsid w:val="005F7585"/>
    <w:rsid w:val="00605759"/>
    <w:rsid w:val="0062308D"/>
    <w:rsid w:val="00650C6C"/>
    <w:rsid w:val="00652FE6"/>
    <w:rsid w:val="00667898"/>
    <w:rsid w:val="00677FE0"/>
    <w:rsid w:val="00684AE2"/>
    <w:rsid w:val="006A09ED"/>
    <w:rsid w:val="006D04EF"/>
    <w:rsid w:val="006E2FB0"/>
    <w:rsid w:val="007102D2"/>
    <w:rsid w:val="00713948"/>
    <w:rsid w:val="00753A27"/>
    <w:rsid w:val="0079342A"/>
    <w:rsid w:val="007B4949"/>
    <w:rsid w:val="007F0BC6"/>
    <w:rsid w:val="0083067A"/>
    <w:rsid w:val="00831374"/>
    <w:rsid w:val="00857580"/>
    <w:rsid w:val="00865238"/>
    <w:rsid w:val="008667BF"/>
    <w:rsid w:val="00895645"/>
    <w:rsid w:val="00897C60"/>
    <w:rsid w:val="008A7851"/>
    <w:rsid w:val="008C3782"/>
    <w:rsid w:val="008D4A32"/>
    <w:rsid w:val="008D593A"/>
    <w:rsid w:val="008D6830"/>
    <w:rsid w:val="008E7760"/>
    <w:rsid w:val="00922001"/>
    <w:rsid w:val="00922C17"/>
    <w:rsid w:val="00942DDD"/>
    <w:rsid w:val="009516A8"/>
    <w:rsid w:val="0097705C"/>
    <w:rsid w:val="00985B4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0466C"/>
    <w:rsid w:val="00B1477A"/>
    <w:rsid w:val="00B20993"/>
    <w:rsid w:val="00B42E96"/>
    <w:rsid w:val="00B43BAB"/>
    <w:rsid w:val="00B50EE6"/>
    <w:rsid w:val="00B52185"/>
    <w:rsid w:val="00B732C3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543B8"/>
    <w:rsid w:val="00C6690E"/>
    <w:rsid w:val="00C703C5"/>
    <w:rsid w:val="00C73715"/>
    <w:rsid w:val="00C805F2"/>
    <w:rsid w:val="00C96EFE"/>
    <w:rsid w:val="00CC5E40"/>
    <w:rsid w:val="00D00D8C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667C1"/>
    <w:rsid w:val="00E90B00"/>
    <w:rsid w:val="00EC3F88"/>
    <w:rsid w:val="00ED36D8"/>
    <w:rsid w:val="00EE6BD7"/>
    <w:rsid w:val="00F0689D"/>
    <w:rsid w:val="00FB01B5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B81BAB"/>
  <w15:chartTrackingRefBased/>
  <w15:docId w15:val="{9407EB9E-C4F1-491C-98D7-C88848A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B4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ECFA989E.dotm</Template>
  <TotalTime>11</TotalTime>
  <Pages>3</Pages>
  <Words>1625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Kyselák Milan</dc:creator>
  <cp:keywords/>
  <dc:description/>
  <cp:lastModifiedBy>Houska Martin</cp:lastModifiedBy>
  <cp:revision>6</cp:revision>
  <dcterms:created xsi:type="dcterms:W3CDTF">2022-03-16T11:13:00Z</dcterms:created>
  <dcterms:modified xsi:type="dcterms:W3CDTF">2022-03-16T11:23:00Z</dcterms:modified>
</cp:coreProperties>
</file>