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0884" w14:textId="10CC4D1E" w:rsidR="00A01CF9" w:rsidRDefault="00676706">
      <w:pPr>
        <w:spacing w:after="126" w:line="259" w:lineRule="auto"/>
        <w:ind w:left="850" w:firstLine="0"/>
        <w:jc w:val="left"/>
      </w:pPr>
      <w:r>
        <w:t xml:space="preserve"> </w:t>
      </w:r>
    </w:p>
    <w:p w14:paraId="2993AA17" w14:textId="77777777" w:rsidR="00A01CF9" w:rsidRDefault="00676706">
      <w:pPr>
        <w:spacing w:after="260" w:line="259" w:lineRule="auto"/>
        <w:ind w:left="865" w:firstLine="0"/>
        <w:jc w:val="left"/>
      </w:pPr>
      <w:r>
        <w:rPr>
          <w:rFonts w:ascii="Arial" w:eastAsia="Arial" w:hAnsi="Arial" w:cs="Arial"/>
        </w:rPr>
        <w:t xml:space="preserve"> </w:t>
      </w:r>
    </w:p>
    <w:p w14:paraId="20F0EAD5" w14:textId="77777777" w:rsidR="00A01CF9" w:rsidRDefault="00676706">
      <w:pPr>
        <w:spacing w:after="0" w:line="259" w:lineRule="auto"/>
        <w:ind w:left="875" w:right="920"/>
        <w:jc w:val="right"/>
      </w:pPr>
      <w:r>
        <w:rPr>
          <w:noProof/>
        </w:rPr>
        <w:drawing>
          <wp:anchor distT="0" distB="0" distL="114300" distR="114300" simplePos="0" relativeHeight="251658240" behindDoc="0" locked="0" layoutInCell="1" allowOverlap="0" wp14:anchorId="2BBF41B0" wp14:editId="6347CCCF">
            <wp:simplePos x="0" y="0"/>
            <wp:positionH relativeFrom="column">
              <wp:posOffset>549148</wp:posOffset>
            </wp:positionH>
            <wp:positionV relativeFrom="paragraph">
              <wp:posOffset>-134286</wp:posOffset>
            </wp:positionV>
            <wp:extent cx="1588107" cy="778499"/>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588107" cy="778499"/>
                    </a:xfrm>
                    <a:prstGeom prst="rect">
                      <a:avLst/>
                    </a:prstGeom>
                  </pic:spPr>
                </pic:pic>
              </a:graphicData>
            </a:graphic>
          </wp:anchor>
        </w:drawing>
      </w:r>
      <w:r>
        <w:rPr>
          <w:rFonts w:ascii="Arial" w:eastAsia="Arial" w:hAnsi="Arial" w:cs="Arial"/>
          <w:sz w:val="23"/>
        </w:rPr>
        <w:t xml:space="preserve">VYSOKÝ ZÁSTUPCE </w:t>
      </w:r>
    </w:p>
    <w:p w14:paraId="556DA2E0" w14:textId="77777777" w:rsidR="00A01CF9" w:rsidRDefault="00676706">
      <w:pPr>
        <w:spacing w:after="0" w:line="259" w:lineRule="auto"/>
        <w:ind w:left="875" w:right="920"/>
        <w:jc w:val="right"/>
      </w:pPr>
      <w:r>
        <w:rPr>
          <w:rFonts w:ascii="Arial" w:eastAsia="Arial" w:hAnsi="Arial" w:cs="Arial"/>
          <w:sz w:val="23"/>
        </w:rPr>
        <w:t xml:space="preserve">Z UNIE PRO </w:t>
      </w:r>
    </w:p>
    <w:p w14:paraId="6A0E5FBD" w14:textId="77777777" w:rsidR="00A01CF9" w:rsidRDefault="00676706">
      <w:pPr>
        <w:tabs>
          <w:tab w:val="center" w:pos="4171"/>
          <w:tab w:val="center" w:pos="8521"/>
        </w:tabs>
        <w:spacing w:after="0" w:line="265" w:lineRule="auto"/>
        <w:ind w:left="0" w:firstLine="0"/>
        <w:jc w:val="left"/>
      </w:pPr>
      <w:r>
        <w:rPr>
          <w:rFonts w:ascii="Calibri" w:eastAsia="Calibri" w:hAnsi="Calibri" w:cs="Calibri"/>
          <w:sz w:val="22"/>
        </w:rPr>
        <w:tab/>
      </w:r>
      <w:r>
        <w:rPr>
          <w:rFonts w:ascii="Arial" w:eastAsia="Arial" w:hAnsi="Arial" w:cs="Arial"/>
          <w:sz w:val="23"/>
        </w:rPr>
        <w:t xml:space="preserve">EVROPSKÁ </w:t>
      </w:r>
      <w:r>
        <w:rPr>
          <w:rFonts w:ascii="Arial" w:eastAsia="Arial" w:hAnsi="Arial" w:cs="Arial"/>
        </w:rPr>
        <w:tab/>
      </w:r>
      <w:r>
        <w:rPr>
          <w:rFonts w:ascii="Arial" w:eastAsia="Arial" w:hAnsi="Arial" w:cs="Arial"/>
          <w:sz w:val="23"/>
        </w:rPr>
        <w:t xml:space="preserve">ZAHRANIČNÍ ZÁLEŽITOSTI </w:t>
      </w:r>
    </w:p>
    <w:p w14:paraId="447BB2DF" w14:textId="77777777" w:rsidR="00A01CF9" w:rsidRDefault="00676706">
      <w:pPr>
        <w:tabs>
          <w:tab w:val="center" w:pos="4199"/>
          <w:tab w:val="center" w:pos="8802"/>
        </w:tabs>
        <w:spacing w:after="1013" w:line="265" w:lineRule="auto"/>
        <w:ind w:lef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sz w:val="23"/>
        </w:rPr>
        <w:t xml:space="preserve">ZAŘAZENÍ </w:t>
      </w:r>
      <w:r>
        <w:rPr>
          <w:rFonts w:ascii="Arial" w:eastAsia="Arial" w:hAnsi="Arial" w:cs="Arial"/>
          <w:sz w:val="23"/>
        </w:rPr>
        <w:tab/>
        <w:t xml:space="preserve">BEZPEČNOSTNÍ POLITIKA </w:t>
      </w:r>
    </w:p>
    <w:p w14:paraId="5889ED5A" w14:textId="77777777" w:rsidR="00A01CF9" w:rsidRDefault="00676706">
      <w:pPr>
        <w:spacing w:after="0" w:line="265" w:lineRule="auto"/>
        <w:ind w:left="3253" w:right="66"/>
        <w:jc w:val="center"/>
      </w:pPr>
      <w:r>
        <w:t xml:space="preserve">Brusel, 12.11.2025  </w:t>
      </w:r>
    </w:p>
    <w:p w14:paraId="3E637574" w14:textId="77777777" w:rsidR="00A01CF9" w:rsidRDefault="00676706">
      <w:pPr>
        <w:spacing w:after="522" w:line="265" w:lineRule="auto"/>
        <w:ind w:left="3253"/>
        <w:jc w:val="center"/>
      </w:pPr>
      <w:r>
        <w:t xml:space="preserve">JOIN (2025) 791 finále </w:t>
      </w:r>
    </w:p>
    <w:p w14:paraId="089DC23A" w14:textId="77777777" w:rsidR="00A01CF9" w:rsidRDefault="00676706">
      <w:pPr>
        <w:spacing w:after="501" w:line="259" w:lineRule="auto"/>
        <w:ind w:left="1245" w:firstLine="0"/>
        <w:jc w:val="center"/>
      </w:pPr>
      <w:r>
        <w:rPr>
          <w:i/>
          <w:sz w:val="32"/>
        </w:rPr>
        <w:t xml:space="preserve"> </w:t>
      </w:r>
    </w:p>
    <w:p w14:paraId="2730F1CE" w14:textId="77777777" w:rsidR="00A01CF9" w:rsidRDefault="00676706">
      <w:pPr>
        <w:spacing w:after="0" w:line="259" w:lineRule="auto"/>
        <w:ind w:left="37" w:right="2"/>
        <w:jc w:val="center"/>
      </w:pPr>
      <w:r>
        <w:rPr>
          <w:b/>
        </w:rPr>
        <w:t xml:space="preserve">SPOLEČNÁ KOMUNIKACE EVROPSKÉMU PARLAMENTU, RADĚ, </w:t>
      </w:r>
    </w:p>
    <w:p w14:paraId="1BB9314C" w14:textId="77777777" w:rsidR="00A01CF9" w:rsidRDefault="00676706">
      <w:pPr>
        <w:spacing w:after="0" w:line="259" w:lineRule="auto"/>
        <w:ind w:left="37" w:right="2"/>
        <w:jc w:val="center"/>
      </w:pPr>
      <w:r>
        <w:rPr>
          <w:b/>
        </w:rPr>
        <w:t xml:space="preserve">EVROPSKÝ HOSPODÁŘSKÝ A SOCIÁLNÍ VÝBOR A </w:t>
      </w:r>
    </w:p>
    <w:p w14:paraId="2AA4F2B3" w14:textId="77777777" w:rsidR="00A01CF9" w:rsidRDefault="00676706">
      <w:pPr>
        <w:spacing w:after="336" w:line="259" w:lineRule="auto"/>
        <w:ind w:left="37"/>
        <w:jc w:val="center"/>
      </w:pPr>
      <w:r>
        <w:rPr>
          <w:b/>
        </w:rPr>
        <w:t xml:space="preserve">VÝBOR REGIONŮ </w:t>
      </w:r>
    </w:p>
    <w:p w14:paraId="14FF7873" w14:textId="77777777" w:rsidR="00A01CF9" w:rsidRDefault="00676706">
      <w:pPr>
        <w:spacing w:after="110" w:line="259" w:lineRule="auto"/>
        <w:ind w:left="37"/>
        <w:jc w:val="center"/>
      </w:pPr>
      <w:r>
        <w:rPr>
          <w:b/>
        </w:rPr>
        <w:t xml:space="preserve">Evropský štít demokracie: Posilování silných a odolných demokracií  </w:t>
      </w:r>
    </w:p>
    <w:p w14:paraId="27BC88D4" w14:textId="77777777" w:rsidR="00A01CF9" w:rsidRDefault="00676706">
      <w:pPr>
        <w:spacing w:after="8123" w:line="259" w:lineRule="auto"/>
        <w:ind w:left="0" w:right="755" w:firstLine="0"/>
        <w:jc w:val="right"/>
      </w:pPr>
      <w:r>
        <w:t xml:space="preserve"> </w:t>
      </w:r>
    </w:p>
    <w:p w14:paraId="06D9F793" w14:textId="2CD1C0F0" w:rsidR="00A01CF9" w:rsidRDefault="000D3247">
      <w:pPr>
        <w:pStyle w:val="Nadpis1"/>
        <w:tabs>
          <w:tab w:val="center" w:pos="5387"/>
          <w:tab w:val="right" w:pos="10772"/>
        </w:tabs>
      </w:pPr>
      <w:r>
        <w:lastRenderedPageBreak/>
        <w:t>CZ</w:t>
      </w:r>
      <w:r w:rsidR="00676706">
        <w:t xml:space="preserve">  </w:t>
      </w:r>
      <w:r w:rsidR="00676706">
        <w:tab/>
      </w:r>
      <w:r>
        <w:t xml:space="preserve">                                                                   CZ</w:t>
      </w:r>
      <w:r w:rsidR="00676706">
        <w:t xml:space="preserve"> </w:t>
      </w:r>
    </w:p>
    <w:p w14:paraId="72FB6B9C" w14:textId="77777777" w:rsidR="00A01CF9" w:rsidRDefault="00676706">
      <w:pPr>
        <w:spacing w:after="73" w:line="316" w:lineRule="auto"/>
        <w:ind w:left="1594" w:right="215" w:firstLine="0"/>
        <w:jc w:val="left"/>
      </w:pPr>
      <w:r>
        <w:rPr>
          <w:i/>
        </w:rPr>
        <w:t xml:space="preserve">"Pouze tím, že ukážeme, že demokracie funguje pro lidi a že přináší výsledky, můžeme vytvořit silnější unii. Evropa může prosperovat jen tehdy, pokud demokracie vzkvétá." </w:t>
      </w:r>
    </w:p>
    <w:p w14:paraId="325C3C21" w14:textId="77777777" w:rsidR="00A01CF9" w:rsidRDefault="00676706">
      <w:pPr>
        <w:spacing w:after="232" w:line="259" w:lineRule="auto"/>
        <w:ind w:left="0" w:right="874" w:firstLine="0"/>
        <w:jc w:val="right"/>
      </w:pPr>
      <w:r>
        <w:rPr>
          <w:i/>
        </w:rPr>
        <w:t xml:space="preserve">Prezidentka Ursula von der Leyen, Mezinárodní cena Karla Velikého </w:t>
      </w:r>
    </w:p>
    <w:p w14:paraId="177B8C97" w14:textId="77777777" w:rsidR="00A01CF9" w:rsidRDefault="00676706">
      <w:pPr>
        <w:pStyle w:val="Nadpis2"/>
        <w:ind w:right="716"/>
      </w:pPr>
      <w:r>
        <w:t xml:space="preserve">1. Úvod  </w:t>
      </w:r>
    </w:p>
    <w:p w14:paraId="79CD4515" w14:textId="77777777" w:rsidR="00A01CF9" w:rsidRDefault="00676706">
      <w:pPr>
        <w:ind w:left="869" w:right="860"/>
      </w:pPr>
      <w:r>
        <w:t xml:space="preserve">Demokracie je základním kamenem Evropské unie a klíčem k budování </w:t>
      </w:r>
      <w:r>
        <w:rPr>
          <w:b/>
        </w:rPr>
        <w:t>míru</w:t>
      </w:r>
      <w:r>
        <w:t xml:space="preserve">, </w:t>
      </w:r>
      <w:r>
        <w:rPr>
          <w:b/>
        </w:rPr>
        <w:t xml:space="preserve">bezpečnosti, ekonomické prosperity, konkurenceschopnosti </w:t>
      </w:r>
      <w:r>
        <w:t xml:space="preserve">a </w:t>
      </w:r>
      <w:r>
        <w:rPr>
          <w:b/>
        </w:rPr>
        <w:t>sociální soudržnosti</w:t>
      </w:r>
      <w:r>
        <w:t>. Základy demokracie spočívají ve svobodných lidech, svobodných a spravedlivých volbách, svobodných médiích a silných demokratických institucích a procesech. Demokracie je více než systém správy věcí veřejných – demokracie je naším způsobem života – zaručuje naše práva a svobody, chrání rovnost před zákonem, podporuje otevřené a spravedlivé společnosti a zajišťuje, že ti, kdo jsou u moci, mohou být pohnáni k odpovědnosti. Občané EU považují demokracii, lidská práva a právní stát za hlavní sílu EU</w:t>
      </w:r>
      <w:r>
        <w:rPr>
          <w:vertAlign w:val="superscript"/>
        </w:rPr>
        <w:t>1</w:t>
      </w:r>
      <w:r>
        <w:t xml:space="preserve">.  </w:t>
      </w:r>
    </w:p>
    <w:p w14:paraId="52E03ABA" w14:textId="77777777" w:rsidR="00A01CF9" w:rsidRDefault="00676706">
      <w:pPr>
        <w:ind w:left="869" w:right="860"/>
      </w:pPr>
      <w:r>
        <w:t xml:space="preserve">V době rostoucích geopolitických konfrontací, mezinárodních a regionálních konfliktů a technologických narušení jsou naše demokracie pod vnitřním i vnějším tlakem. Autoritářské režimy vnímají demokracie jako hrozbu a používají stále agresivnější taktiky, včetně spoléhání se na státní či nestátní zástupce, aby je oslabili. Zatímco demokracie znamená spojovat různé hlasy ve společnosti a hledat společná řešení, autoritářské režimy usilují o vytváření nebo prohlubování rozdělení, instrumentalizaci konfliktů, diskreditaci demokratických aktérů, zejména svobodných médií a občanské společnosti, a podkopávání svobodných a spravedlivých voleb. Jejich cílem je podkopat důvěru občanů v demokratické instituce a v schopnost demokracie přinášet věci pro lidi. </w:t>
      </w:r>
    </w:p>
    <w:p w14:paraId="7F39D466" w14:textId="77777777" w:rsidR="00A01CF9" w:rsidRDefault="00676706">
      <w:pPr>
        <w:ind w:left="869" w:right="860"/>
      </w:pPr>
      <w:r>
        <w:t xml:space="preserve">To je naléhavý problém pro EU, její sousedství a demokracie po celém světě. Podpora kandidátských zemí a potenciálních kandidátů v jejich snaze o posílení a upevnění demokracie je zásadní. Některé byly cílem intenzivní destabilizace a pokusů o zásah. Kromě brutální války agrese proti Ukrajině Rusko také stupňuje hybridní útoky a vede boj o vliv proti Evropě. Používané taktiky zasahují hluboko do struktury našich společností a mohou mít potenciálně dlouhodobé dopady. Šířením klamavých narativů, někdy včetně manipulace a falšování historických faktů, se snaží narušit důvěru v demokratické systémy.  </w:t>
      </w:r>
    </w:p>
    <w:p w14:paraId="68963D4C" w14:textId="77777777" w:rsidR="00A01CF9" w:rsidRDefault="00676706">
      <w:pPr>
        <w:spacing w:after="241"/>
        <w:ind w:left="869" w:right="860"/>
      </w:pPr>
      <w:r>
        <w:t>Tyto hrozby nepřicházejí izolovaně, ale živí a posilují další důležité výzvy, kterým dnes demokracie čelí. Patří sem rostoucí extremismus a polarizace, klesající důvěra a zapojení, hrozby pro integritu voleb a pluralitu veřejné debaty a svobody projevu, a zhoršování prostředí, ve kterém působí novináři a občanská společnost</w:t>
      </w:r>
      <w:r>
        <w:rPr>
          <w:vertAlign w:val="superscript"/>
        </w:rPr>
        <w:t>2</w:t>
      </w:r>
      <w:r>
        <w:t xml:space="preserve">. Tyto výzvy přicházejí v době hluboké digitální transformace našich společností, která změnila způsob, jakým probíhá veřejná debata, jak proudí informace a jak se občané zapojují do veřejné sféry. To přineslo významné nové příležitosti pro volný přístup k informacím, vyjádření názorů a účast na veřejném životě a demokratické debatě. </w:t>
      </w:r>
    </w:p>
    <w:p w14:paraId="66BA6A58"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5489132A" wp14:editId="29B116AA">
                <wp:extent cx="1829054" cy="7620"/>
                <wp:effectExtent l="0" t="0" r="0" b="0"/>
                <wp:docPr id="48473" name="Group 484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40" name="Shape 557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8473" style="width:144.02pt;height:0.599976pt;mso-position-horizontal-relative:char;mso-position-vertical-relative:line" coordsize="18290,76">
                <v:shape id="Shape 55741"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188E94BA" w14:textId="77777777" w:rsidR="00A01CF9" w:rsidRDefault="00676706">
      <w:pPr>
        <w:numPr>
          <w:ilvl w:val="0"/>
          <w:numId w:val="1"/>
        </w:numPr>
        <w:spacing w:after="6" w:line="249" w:lineRule="auto"/>
        <w:ind w:right="854"/>
      </w:pPr>
      <w:r>
        <w:rPr>
          <w:sz w:val="20"/>
        </w:rPr>
        <w:t xml:space="preserve">Podle </w:t>
      </w:r>
      <w:proofErr w:type="spellStart"/>
      <w:r>
        <w:rPr>
          <w:sz w:val="20"/>
        </w:rPr>
        <w:t>Flash</w:t>
      </w:r>
      <w:proofErr w:type="spellEnd"/>
      <w:r>
        <w:rPr>
          <w:sz w:val="20"/>
        </w:rPr>
        <w:t xml:space="preserve"> Eurobarometru 550 "Výzvy a priority v EU" z července 2024 byla první hlavní silnou stránkou EU identifikovanou Evropany respekt k demokracii, lidským právům a právnímu státu (38 %).</w:t>
      </w:r>
      <w:r>
        <w:rPr>
          <w:color w:val="00B0F0"/>
          <w:sz w:val="20"/>
        </w:rPr>
        <w:t xml:space="preserve"> </w:t>
      </w:r>
    </w:p>
    <w:p w14:paraId="30EC667C" w14:textId="77777777" w:rsidR="00A01CF9" w:rsidRDefault="00676706">
      <w:pPr>
        <w:numPr>
          <w:ilvl w:val="0"/>
          <w:numId w:val="1"/>
        </w:numPr>
        <w:spacing w:after="6" w:line="249" w:lineRule="auto"/>
        <w:ind w:right="854"/>
      </w:pPr>
      <w:r>
        <w:rPr>
          <w:sz w:val="20"/>
        </w:rPr>
        <w:t xml:space="preserve">2025 Strategická předvídavá zpráva Odolnost 2.0: Posílení EU k prosperitě uprostřed turbulencí a nejistoty, </w:t>
      </w:r>
      <w:r>
        <w:rPr>
          <w:color w:val="333333"/>
          <w:sz w:val="20"/>
        </w:rPr>
        <w:t xml:space="preserve">COM/2025/484 finále; a "Nové přehodnocení společenské odolnosti v době polykrize", </w:t>
      </w:r>
      <w:hyperlink r:id="rId8">
        <w:r>
          <w:rPr>
            <w:color w:val="467886"/>
            <w:sz w:val="20"/>
            <w:u w:val="single" w:color="467886"/>
          </w:rPr>
          <w:t>https://publications.jrc.ec.europa.eu/repository/handle/JRC142772</w:t>
        </w:r>
      </w:hyperlink>
      <w:hyperlink r:id="rId9">
        <w:r>
          <w:rPr>
            <w:sz w:val="20"/>
          </w:rPr>
          <w:t xml:space="preserve"> </w:t>
        </w:r>
      </w:hyperlink>
      <w:r>
        <w:rPr>
          <w:color w:val="333333"/>
          <w:sz w:val="20"/>
        </w:rPr>
        <w:t xml:space="preserve">.  </w:t>
      </w:r>
    </w:p>
    <w:p w14:paraId="78245E63" w14:textId="77777777" w:rsidR="00A01CF9" w:rsidRDefault="00676706">
      <w:pPr>
        <w:ind w:left="869" w:right="860"/>
      </w:pPr>
      <w:r>
        <w:lastRenderedPageBreak/>
        <w:t xml:space="preserve">Nicméně také odhalila a vytvořila nové zranitelnosti. Názory lidí jsou stále více formovány algoritmickými, personalizovanými zdroji, což omezuje sdílený prostor pro demokratickou debatu. Sociální sítě také ovlivňují udržitelnost modelů příjmů médií. Vývoj v oblasti umělé inteligence (AI) může také vážně ovlivnit demokratický prostor, včetně volebních procesů.  </w:t>
      </w:r>
    </w:p>
    <w:p w14:paraId="2645F6C6" w14:textId="77777777" w:rsidR="00A01CF9" w:rsidRDefault="00676706">
      <w:pPr>
        <w:ind w:left="869" w:right="860"/>
      </w:pPr>
      <w:r>
        <w:t xml:space="preserve">Ochrana demokracie a budování demokratické odolnosti občanů, společností a institucí je naléhavým kolektivním úsilím, které vyžaduje přístup celého státu a celé společnosti. To není nutné jen pro zachování hodnot EU, ale také pro zajištění bezpečnosti Evropy a ochranu její nezávislosti, svobody a prosperity. Instituce EU, členské státy, kandidátské země a potenciální kandidáti, občanská společnost a soukromý sektor mají každý klíčovou roli, kterou mohou sehrát pod vlivem našich společných hodnot. Naši občané a jejich svobody musí být v jádru všeho.  </w:t>
      </w:r>
    </w:p>
    <w:p w14:paraId="6518D8AD" w14:textId="77777777" w:rsidR="00A01CF9" w:rsidRDefault="00676706">
      <w:pPr>
        <w:spacing w:after="180" w:line="259" w:lineRule="auto"/>
        <w:ind w:left="874" w:firstLine="0"/>
        <w:jc w:val="left"/>
      </w:pPr>
      <w:r>
        <w:t xml:space="preserve"> </w:t>
      </w:r>
    </w:p>
    <w:p w14:paraId="053D6162" w14:textId="77777777" w:rsidR="00A01CF9" w:rsidRDefault="00676706">
      <w:pPr>
        <w:pStyle w:val="Nadpis2"/>
        <w:spacing w:after="134"/>
        <w:ind w:left="869" w:right="716"/>
      </w:pPr>
      <w:r>
        <w:t xml:space="preserve">2. Evropský štít demokracie  </w:t>
      </w:r>
    </w:p>
    <w:p w14:paraId="1ECD9BBC" w14:textId="77777777" w:rsidR="00A01CF9" w:rsidRDefault="00676706">
      <w:pPr>
        <w:ind w:left="869" w:right="860"/>
      </w:pPr>
      <w:r>
        <w:t xml:space="preserve">Roste povědomí o společných výzvách, kterým čelí demokracie napříč EU i globálně, a již se přijímají opatření na všech úrovních. Členské státy zřídily nové orgány a nové schopnosti k posílení své národní demokratické odolnosti. </w:t>
      </w:r>
      <w:proofErr w:type="spellStart"/>
      <w:r>
        <w:t>Politickí</w:t>
      </w:r>
      <w:proofErr w:type="spellEnd"/>
      <w:r>
        <w:t xml:space="preserve"> aktéři a široká komunita aktivních občanů a skupin vedli výzvu k akci a přispívají k reakci.  </w:t>
      </w:r>
    </w:p>
    <w:p w14:paraId="50DC3870" w14:textId="77777777" w:rsidR="00A01CF9" w:rsidRDefault="00676706">
      <w:pPr>
        <w:ind w:left="869" w:right="860"/>
      </w:pPr>
      <w:r>
        <w:t>EU zavedla robustní politický a právní rámec, který je zakotvený v Akčním plánu pro evropskou demokracii 2020</w:t>
      </w:r>
      <w:r>
        <w:rPr>
          <w:vertAlign w:val="superscript"/>
        </w:rPr>
        <w:footnoteReference w:id="1"/>
      </w:r>
      <w:r>
        <w:t xml:space="preserve"> a balíčku Obrany demokracie 2023</w:t>
      </w:r>
      <w:r>
        <w:rPr>
          <w:vertAlign w:val="superscript"/>
        </w:rPr>
        <w:footnoteReference w:id="2"/>
      </w:r>
      <w:r>
        <w:t xml:space="preserve">, aby pomohla koordinovat, mobilizovat, doplnit a posílit toto společné úsilí.  </w:t>
      </w:r>
    </w:p>
    <w:p w14:paraId="2B6E02EC" w14:textId="77777777" w:rsidR="00A01CF9" w:rsidRDefault="00676706">
      <w:pPr>
        <w:spacing w:after="171"/>
        <w:ind w:left="869" w:right="860"/>
      </w:pPr>
      <w:r>
        <w:t xml:space="preserve">Na základě tohoto rámce Komise a Vysoký představitel pro zahraniční věci a bezpečnostní politiku s Evropským štítem demokracie předkládají soubor nových opatření ve třech prioritních oblastech, jejichž cílem je posílit silné a odolné demokracie tím, že: </w:t>
      </w:r>
    </w:p>
    <w:p w14:paraId="3672D03B" w14:textId="77777777" w:rsidR="00A01CF9" w:rsidRDefault="00676706">
      <w:pPr>
        <w:numPr>
          <w:ilvl w:val="0"/>
          <w:numId w:val="2"/>
        </w:numPr>
        <w:spacing w:after="28" w:line="259" w:lineRule="auto"/>
        <w:ind w:right="855" w:hanging="360"/>
      </w:pPr>
      <w:r>
        <w:rPr>
          <w:b/>
        </w:rPr>
        <w:t xml:space="preserve">posiluje situační povědomí a podporuje kapacitu reakce za ochranu integrity informačního prostoru, </w:t>
      </w:r>
    </w:p>
    <w:p w14:paraId="6DAB3F9F" w14:textId="77777777" w:rsidR="00A01CF9" w:rsidRDefault="00676706">
      <w:pPr>
        <w:numPr>
          <w:ilvl w:val="0"/>
          <w:numId w:val="2"/>
        </w:numPr>
        <w:spacing w:after="28" w:line="259" w:lineRule="auto"/>
        <w:ind w:right="855" w:hanging="360"/>
      </w:pPr>
      <w:r>
        <w:rPr>
          <w:b/>
        </w:rPr>
        <w:t xml:space="preserve">posilování demokratických institucí, svobodných a spravedlivých voleb a svobodných a nezávislých médií, </w:t>
      </w:r>
    </w:p>
    <w:p w14:paraId="5DB4AEF2" w14:textId="77777777" w:rsidR="00A01CF9" w:rsidRDefault="00676706">
      <w:pPr>
        <w:numPr>
          <w:ilvl w:val="0"/>
          <w:numId w:val="2"/>
        </w:numPr>
        <w:spacing w:after="177" w:line="259" w:lineRule="auto"/>
        <w:ind w:right="855" w:hanging="360"/>
      </w:pPr>
      <w:r>
        <w:rPr>
          <w:b/>
        </w:rPr>
        <w:t xml:space="preserve">posilování odolnosti společnosti a zapojení občanů. </w:t>
      </w:r>
    </w:p>
    <w:p w14:paraId="77A8613D" w14:textId="77777777" w:rsidR="00A01CF9" w:rsidRDefault="00676706">
      <w:pPr>
        <w:spacing w:after="95"/>
        <w:ind w:left="869" w:right="860"/>
      </w:pPr>
      <w:r>
        <w:t xml:space="preserve">Aby se podpořila lepší spolupráce a koordinace při řešení několika aspektů v těchto prioritních oblastech, Evropské </w:t>
      </w:r>
      <w:r>
        <w:rPr>
          <w:b/>
        </w:rPr>
        <w:t xml:space="preserve">centrum pro demokratickou odolnost </w:t>
      </w:r>
      <w:r>
        <w:t xml:space="preserve">("Centrum") spojí odborné znalosti a kapacity členských států, kandidátských zemí EU a potenciálních kandidátů a institucí, orgánů, úřadů a agentur EU, včetně Evropské služby pro vnější akci (EEAS), podle relevantnosti. Centrum bude usnadňovat </w:t>
      </w:r>
      <w:r>
        <w:rPr>
          <w:b/>
        </w:rPr>
        <w:t>sdílení informací</w:t>
      </w:r>
      <w:r>
        <w:t xml:space="preserve"> a </w:t>
      </w:r>
      <w:r>
        <w:rPr>
          <w:b/>
        </w:rPr>
        <w:t xml:space="preserve">podporovat operační spolupráci </w:t>
      </w:r>
      <w:r>
        <w:t xml:space="preserve">a </w:t>
      </w:r>
      <w:r>
        <w:rPr>
          <w:b/>
        </w:rPr>
        <w:t>budování kapacit,</w:t>
      </w:r>
      <w:r>
        <w:t xml:space="preserve"> aby odolalo vyvíjejícím se společným  aktivitám</w:t>
      </w:r>
    </w:p>
    <w:p w14:paraId="11A74D82"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09BF3A86" wp14:editId="0834D417">
                <wp:extent cx="1829054" cy="7620"/>
                <wp:effectExtent l="0" t="0" r="0" b="0"/>
                <wp:docPr id="48369" name="Group 4836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42" name="Shape 557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8369" style="width:144.02pt;height:0.600037pt;mso-position-horizontal-relative:char;mso-position-vertical-relative:line" coordsize="18290,76">
                <v:shape id="Shape 55743"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5A5540E0" w14:textId="77777777" w:rsidR="00A01CF9" w:rsidRDefault="00676706">
      <w:pPr>
        <w:spacing w:after="165"/>
        <w:ind w:left="869" w:right="860"/>
      </w:pPr>
      <w:r>
        <w:t xml:space="preserve">hrozby, zejména zahraniční manipulace a zasahování do informací (FIMI) a dezinformace. Jejím cílem bude zlepšit situační povědomí a schopnost předvídat a detekovat hrozby, vyvinout robustní a koordinovaný systém včasného varování a podpořit kapacitu rychlé reakce. Podpoří také zvyšování povědomí, aby se připravila a posílila společnost a instituce, aby byly odolnější </w:t>
      </w:r>
      <w:r>
        <w:lastRenderedPageBreak/>
        <w:t xml:space="preserve">vůči manipulaci s informacemi a dezinformacím. Jeho práce přispěje k upevnění celospolečenského přístupu EU za účelem posílení připravenosti, zvýšení povědomí a budování demokratické odolnosti. </w:t>
      </w:r>
    </w:p>
    <w:p w14:paraId="13A6CA9D" w14:textId="77777777" w:rsidR="00A01CF9" w:rsidRDefault="00676706">
      <w:pPr>
        <w:spacing w:after="219"/>
        <w:ind w:left="869" w:right="860"/>
      </w:pPr>
      <w:r>
        <w:t xml:space="preserve"> </w:t>
      </w:r>
      <w:r>
        <w:rPr>
          <w:b/>
        </w:rPr>
        <w:t xml:space="preserve">Evropský štít demokracie </w:t>
      </w:r>
      <w:r>
        <w:t xml:space="preserve">přispěje k posílení našich demokracií a posílení Evropanů v uplatňování jejich práv, svobodné formování a vyjadřování svých názorů a k aktivní a bezpečné účasti na demokratickém životě Unie. Jeho kroky posílí demokratické instituce, ochrání integritu voleb a podpoří svobodu médií a pluralitu, aby naše demokracie zůstaly silné, otevřené a pluralitní a postavené na důvěře občanů. Bude realizována v souladu s agendou EU v oblasti bezpečnosti, obrany, připravenosti </w:t>
      </w:r>
      <w:r>
        <w:rPr>
          <w:vertAlign w:val="superscript"/>
        </w:rPr>
        <w:footnoteReference w:id="3"/>
      </w:r>
      <w:r>
        <w:t xml:space="preserve">a v souladu s vnější činností EU obecně.  </w:t>
      </w:r>
    </w:p>
    <w:p w14:paraId="00B79878" w14:textId="77777777" w:rsidR="00A01CF9" w:rsidRDefault="00676706">
      <w:pPr>
        <w:pStyle w:val="Nadpis3"/>
        <w:ind w:left="869" w:right="716"/>
      </w:pPr>
      <w:r>
        <w:t xml:space="preserve">2.1. Nové Evropské centrum pro demokratickou odolnost: posilování situačního povědomí a posilování odolnosti společnosti  </w:t>
      </w:r>
    </w:p>
    <w:p w14:paraId="1E60E63F" w14:textId="77777777" w:rsidR="00A01CF9" w:rsidRDefault="00676706">
      <w:pPr>
        <w:ind w:left="869" w:right="860"/>
      </w:pPr>
      <w:r>
        <w:t xml:space="preserve">Budování demokratické odolnosti vyžaduje posílené úsilí na všech úrovních vlády, mezi institucemi EU, členskými státy i uvnitř společnosti jako celku. Tyto koordinované úsilí se musí zaměřit </w:t>
      </w:r>
      <w:r>
        <w:rPr>
          <w:b/>
        </w:rPr>
        <w:t>na zlepšení situačního povědomí</w:t>
      </w:r>
      <w:r>
        <w:t xml:space="preserve"> a </w:t>
      </w:r>
      <w:r>
        <w:rPr>
          <w:b/>
        </w:rPr>
        <w:t>kolektivní kapacity předvídat, detekovat a reagovat na hrozby</w:t>
      </w:r>
      <w:r>
        <w:t xml:space="preserve"> a na </w:t>
      </w:r>
      <w:r>
        <w:rPr>
          <w:b/>
        </w:rPr>
        <w:t xml:space="preserve">budování demokratické </w:t>
      </w:r>
      <w:r>
        <w:t>odolnosti. Již bylo provedeno mnoho práce na řešení těchto výzev, přičemž nástroje a struktury vznikají jak na národní, tak evropské úrovni,</w:t>
      </w:r>
      <w:r>
        <w:rPr>
          <w:vertAlign w:val="superscript"/>
        </w:rPr>
        <w:footnoteReference w:id="4"/>
      </w:r>
      <w:r>
        <w:t xml:space="preserve"> a přinášejí důležité výsledky.  </w:t>
      </w:r>
    </w:p>
    <w:p w14:paraId="066DD0A3" w14:textId="77777777" w:rsidR="00A01CF9" w:rsidRDefault="00676706">
      <w:pPr>
        <w:ind w:left="869" w:right="860"/>
      </w:pPr>
      <w:r>
        <w:t>Mnohé z těchto struktur se však zaměřují pouze na konkrétní oblasti a komunity, používají odlišné metodologie a často nabízejí omezenou kapacitu reakce a mají omezené vazby na práci příslušných orgánů na národní a evropské úrovni. Je nezbytné, aby tyto snahy byly spojeny; Je třeba posílit silnější vazby, aby se posílilo situační povědomí a zlepšila kolektivní kapacita EU monitorovat, odhalovat a předvídat manipulaci s informacemi a dezinformační kampaně.</w:t>
      </w:r>
      <w:r>
        <w:rPr>
          <w:vertAlign w:val="superscript"/>
        </w:rPr>
        <w:footnoteReference w:id="5"/>
      </w:r>
      <w:r>
        <w:t xml:space="preserve">  </w:t>
      </w:r>
    </w:p>
    <w:p w14:paraId="3DE9C2B6" w14:textId="77777777" w:rsidR="00A01CF9" w:rsidRDefault="00676706">
      <w:pPr>
        <w:spacing w:after="7"/>
        <w:ind w:left="869" w:right="860"/>
      </w:pPr>
      <w:r>
        <w:t xml:space="preserve">Aby se těmto potřebám vyhovělo, Komise zřídí </w:t>
      </w:r>
      <w:r>
        <w:rPr>
          <w:b/>
        </w:rPr>
        <w:t xml:space="preserve">Evropské centrum pro demokracii </w:t>
      </w:r>
    </w:p>
    <w:p w14:paraId="4BDF98DF" w14:textId="77777777" w:rsidR="00A01CF9" w:rsidRDefault="00676706">
      <w:pPr>
        <w:spacing w:after="309"/>
        <w:ind w:left="869" w:right="860"/>
      </w:pPr>
      <w:r>
        <w:rPr>
          <w:b/>
        </w:rPr>
        <w:t>Odolnost.</w:t>
      </w:r>
      <w:r>
        <w:t xml:space="preserve"> Centrum nabídne rámec pro posílení koordinace a informování </w:t>
      </w:r>
    </w:p>
    <w:p w14:paraId="5BF86F96"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6DB92CAD" wp14:editId="73F3DD22">
                <wp:extent cx="1829054" cy="7621"/>
                <wp:effectExtent l="0" t="0" r="0" b="0"/>
                <wp:docPr id="48299" name="Group 48299"/>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55744" name="Shape 557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8299" style="width:144.02pt;height:0.600098pt;mso-position-horizontal-relative:char;mso-position-vertical-relative:line" coordsize="18290,76">
                <v:shape id="Shape 5574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64DDBFC2" w14:textId="77777777" w:rsidR="00A01CF9" w:rsidRDefault="00676706">
      <w:pPr>
        <w:ind w:left="869" w:right="860"/>
      </w:pPr>
      <w:r>
        <w:t xml:space="preserve">sdílení mezi institucemi, orgány, úřady a agenturami EU a členskými státy a podporu operační spolupráce a budování kapacit. To usnadní integrovanější a efektivnější přístup ke zvýšení situačního povědomí a k rozvoji robustního a koordinovaného systému včasného varování, který podpoří kapacitu reakce. Práce centra také přispěje ke zvýšení povědomí, aby připravila a posílila občany, společnost a instituce a učinila je odolnějšími.  </w:t>
      </w:r>
    </w:p>
    <w:p w14:paraId="2A124F64" w14:textId="77777777" w:rsidR="00A01CF9" w:rsidRDefault="00676706">
      <w:pPr>
        <w:ind w:left="869" w:right="860"/>
      </w:pPr>
      <w:r>
        <w:t xml:space="preserve">Centrum bude primárně fungovat jako specializované centrum pro výměnu a provozní spolupráci mezi institucemi EU a členskými státy. Centrum propojí stávající sítě a struktury </w:t>
      </w:r>
      <w:r>
        <w:lastRenderedPageBreak/>
        <w:t xml:space="preserve">pracující na prevenci, detekci, analýze a reakci na vzorce hrozeb v informačním prostoru a bude pracovat na rozvoji společných přístupů, praktik a metodologií a výměně relevantních dat a analýz. Bude podporovat školení a aktivity na budování kapacit. Dále by mohl radit ohledně společných nástrojů reakce, strategií, standardních operačních postupů, protokolů nebo společných cvičení. Centrum bude podporováno a úzce koordinováno systémem Rapid </w:t>
      </w:r>
      <w:proofErr w:type="spellStart"/>
      <w:r>
        <w:t>Alert</w:t>
      </w:r>
      <w:proofErr w:type="spellEnd"/>
      <w:r>
        <w:t xml:space="preserve">, což je zavedený mechanismus pro výměnu informací o FIMI a dezinformacích mezi institucemi EU a členskými státy. </w:t>
      </w:r>
    </w:p>
    <w:p w14:paraId="1B7C87F9" w14:textId="77777777" w:rsidR="00A01CF9" w:rsidRDefault="00676706">
      <w:pPr>
        <w:ind w:left="869" w:right="860"/>
      </w:pPr>
      <w:r>
        <w:t xml:space="preserve">Bude zřízena </w:t>
      </w:r>
      <w:r>
        <w:rPr>
          <w:b/>
        </w:rPr>
        <w:t xml:space="preserve">platforma zainteresovaných stran </w:t>
      </w:r>
      <w:r>
        <w:t xml:space="preserve">pro nezávislé neinstitucionální zainteresované strany, která umožní příspěvky široké škály relevantních zainteresovaných stran a komunit a tyto příspěvky budou vkládány do práce Centra. Tato platforma spojí zainteresované strany, jako jsou organizace občanské společnosti, </w:t>
      </w:r>
      <w:proofErr w:type="spellStart"/>
      <w:r>
        <w:t>think</w:t>
      </w:r>
      <w:proofErr w:type="spellEnd"/>
      <w:r>
        <w:t xml:space="preserve">-tanky, výzkumníci a akademická obec, ověřovatelé faktů a poskytovatelé médií. S plným respektem k nezávislosti všech účastníků tato platforma usnadní výměnu informací, odborných znalostí a rad a postupně naváže na stávající komunity zainteresovaných stran, jako je Evropská observatoř digitálních médií (EDMO), a nové komunity, jako je Evropská síť ověřovatelů faktů a budoucí společný rámec podpory výzkumu. Platforma podpoří šíření výzkumu a dalších výstupů a podpoří výměnu mezi různými zainteresovanými stranami. </w:t>
      </w:r>
    </w:p>
    <w:p w14:paraId="13790A5D" w14:textId="77777777" w:rsidR="00A01CF9" w:rsidRDefault="00676706">
      <w:pPr>
        <w:ind w:left="869" w:right="860"/>
      </w:pPr>
      <w:r>
        <w:t xml:space="preserve">Centrum bude </w:t>
      </w:r>
      <w:r>
        <w:rPr>
          <w:b/>
        </w:rPr>
        <w:t>plně respektovat kompetence EU a národních institucí</w:t>
      </w:r>
      <w:r>
        <w:t xml:space="preserve"> a nezávislost stávajících struktur na národní i evropské úrovni. Její rozvoj bude postupně </w:t>
      </w:r>
      <w:r>
        <w:rPr>
          <w:b/>
        </w:rPr>
        <w:t>zaváděn</w:t>
      </w:r>
      <w:r>
        <w:t xml:space="preserve">, na základě dobrovolné účasti členských států a jejich </w:t>
      </w:r>
      <w:r>
        <w:rPr>
          <w:b/>
        </w:rPr>
        <w:t>podnětů a potřeb podpory a spolupráce</w:t>
      </w:r>
      <w:r>
        <w:t xml:space="preserve">, aby bylo zajištěno, že poskytne co nejlepší podporu národním orgánům a společně na úrovni EU. Na základě pokračující podpory a zapojení EU s mezinárodními partnery </w:t>
      </w:r>
      <w:r>
        <w:rPr>
          <w:vertAlign w:val="superscript"/>
        </w:rPr>
        <w:footnoteReference w:id="6"/>
      </w:r>
      <w:r>
        <w:t xml:space="preserve">bude centrum otevřeno také přidruženým kandidátským zemím EU a potenciálním kandidátům, aby je podpořilo a podpořilo vzájemné učení. Lze také předvídat spolupráci s partnery se stejným smýšlením. </w:t>
      </w:r>
    </w:p>
    <w:p w14:paraId="258F6063" w14:textId="77777777" w:rsidR="00A01CF9" w:rsidRDefault="00676706">
      <w:pPr>
        <w:spacing w:after="203"/>
        <w:ind w:left="869" w:right="860"/>
      </w:pPr>
      <w:r>
        <w:t xml:space="preserve">Práce pod vedením centra bude doplňovat a být v souladu s dalšími opatřeními navrženými k ochraně integrity informačního prostoru, posílení integrity voleb, podpoře svobody médií a pluralitě médií a budování celkové odolnosti společnosti tím, že posílí a zapojí občany.  </w:t>
      </w:r>
    </w:p>
    <w:p w14:paraId="08717E33" w14:textId="77777777" w:rsidR="00A01CF9" w:rsidRDefault="00676706">
      <w:pPr>
        <w:pStyle w:val="Nadpis3"/>
        <w:ind w:left="869" w:right="716"/>
      </w:pPr>
      <w:r>
        <w:t xml:space="preserve">2.2. Ochrana integrity informačního prostoru </w:t>
      </w:r>
    </w:p>
    <w:p w14:paraId="050321E7" w14:textId="77777777" w:rsidR="00A01CF9" w:rsidRDefault="00676706">
      <w:pPr>
        <w:spacing w:after="163"/>
        <w:ind w:left="869" w:right="860"/>
      </w:pPr>
      <w:r>
        <w:t xml:space="preserve">Posilování integrity informačního prostoru, aby každý ve společnosti mohl přistupovat k spolehlivým a důvěryhodným informacím, uplatňovat svá demokratická práva a smysluplně se zapojovat </w:t>
      </w:r>
    </w:p>
    <w:p w14:paraId="6438574F"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6D775DF4" wp14:editId="175C5C8B">
                <wp:extent cx="1829054" cy="7621"/>
                <wp:effectExtent l="0" t="0" r="0" b="0"/>
                <wp:docPr id="48701" name="Group 48701"/>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55746" name="Shape 557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8701" style="width:144.02pt;height:0.600098pt;mso-position-horizontal-relative:char;mso-position-vertical-relative:line" coordsize="18290,76">
                <v:shape id="Shape 55747"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607A5AF9" w14:textId="77777777" w:rsidR="00A01CF9" w:rsidRDefault="00676706">
      <w:pPr>
        <w:ind w:left="869" w:right="860"/>
      </w:pPr>
      <w:r>
        <w:t xml:space="preserve">s institucemi a komunitami je nezbytný. Transparentnost, odpovědnost a integrita v informačním prostoru jsou klíčové pro to, aby byl hlas lidí slyšet, aby byli aktivními občany a aby budovali a udržovali důvěru v demokratické procesy.  </w:t>
      </w:r>
    </w:p>
    <w:p w14:paraId="5100E42A" w14:textId="77777777" w:rsidR="00A01CF9" w:rsidRDefault="00676706">
      <w:pPr>
        <w:ind w:left="869" w:right="860"/>
      </w:pPr>
      <w:r>
        <w:t>Zahraniční manipulace a zasahování do informací (FIMI)</w:t>
      </w:r>
      <w:r>
        <w:rPr>
          <w:vertAlign w:val="superscript"/>
        </w:rPr>
        <w:footnoteReference w:id="7"/>
      </w:r>
      <w:r>
        <w:t xml:space="preserve"> a dezinformační kampaně mají přesně za cíl podkopat důvěru veřejnosti v informační prostor a demokratické instituce a </w:t>
      </w:r>
      <w:r>
        <w:lastRenderedPageBreak/>
        <w:t>zároveň zesilovat společenské rozdělení</w:t>
      </w:r>
      <w:r>
        <w:rPr>
          <w:vertAlign w:val="superscript"/>
        </w:rPr>
        <w:footnoteReference w:id="8"/>
      </w:r>
      <w:r>
        <w:t>. Jsou umožněny rozšířením nových online manipulačních technik. Patří sem neautentické používání sociálních médií</w:t>
      </w:r>
      <w:r>
        <w:rPr>
          <w:vertAlign w:val="superscript"/>
        </w:rPr>
        <w:footnoteReference w:id="9"/>
      </w:r>
      <w:r>
        <w:t xml:space="preserve">, falešné účty na sociálních sítích, weby navržené tak, aby napodobovaly oficiální zdroje, umělé zesilování rozdělujícího obsahu, používání syntetického obsahu jako deepfaky a další obsah generovaný umělou inteligencí ('AI'). Jejich šíření často závisí na neautentickém chování, jako jsou falešné účty, AI a boty poháněné zesilování a neautentická zapojení. Takové koordinované operace, často součást širších hybridních kampaní, jsou stále sofistikovanější a decentralizovanější a mohou zahrnovat sítě fungující na více platformách a v různých jurisdikcích, často pod rouškou anonymity, což je činí obzvlášť obtížně odhalitelnými, akreditovatelnými a účinnými protiopatřeními.  </w:t>
      </w:r>
    </w:p>
    <w:p w14:paraId="2A3DF3B4" w14:textId="77777777" w:rsidR="00A01CF9" w:rsidRDefault="00676706">
      <w:pPr>
        <w:spacing w:after="390"/>
        <w:ind w:left="869" w:right="860"/>
      </w:pPr>
      <w:r>
        <w:t xml:space="preserve">K řešení těchto problémů má EU vyhrazenou legislativu. Zákon </w:t>
      </w:r>
      <w:r>
        <w:rPr>
          <w:b/>
        </w:rPr>
        <w:t xml:space="preserve">o umělé inteligenci 12 </w:t>
      </w:r>
      <w:r>
        <w:t xml:space="preserve">stanovuje povinnosti transparentnosti pro poskytovatele a </w:t>
      </w:r>
      <w:proofErr w:type="spellStart"/>
      <w:r>
        <w:t>nasazovatele</w:t>
      </w:r>
      <w:proofErr w:type="spellEnd"/>
      <w:r>
        <w:t xml:space="preserve"> určitých AI systémů, včetně povinnosti označit a umožnit detekci, pokud byl obsah uměle vytvořen nebo upraven, a povinnosti označovat </w:t>
      </w:r>
      <w:proofErr w:type="spellStart"/>
      <w:r>
        <w:t>deepfake</w:t>
      </w:r>
      <w:proofErr w:type="spellEnd"/>
      <w:r>
        <w:t xml:space="preserve"> a některé další publikace generované AI o veřejných záležitostech. Zákon </w:t>
      </w:r>
      <w:r>
        <w:rPr>
          <w:b/>
        </w:rPr>
        <w:t xml:space="preserve">o digitálních </w:t>
      </w:r>
      <w:proofErr w:type="spellStart"/>
      <w:r>
        <w:rPr>
          <w:b/>
        </w:rPr>
        <w:t>službách</w:t>
      </w:r>
      <w:r>
        <w:rPr>
          <w:vertAlign w:val="superscript"/>
        </w:rPr>
        <w:t>č</w:t>
      </w:r>
      <w:proofErr w:type="spellEnd"/>
      <w:r>
        <w:rPr>
          <w:vertAlign w:val="superscript"/>
        </w:rPr>
        <w:t>. 13</w:t>
      </w:r>
      <w:r>
        <w:t xml:space="preserve"> (DSA) také přispívá k posílení integrity informačního prostoru, reguluje odpovědnosti a vyžaduje, aby poskytovatelé velmi velkých online platforem (VLOP) a velmi velkých online vyhledávačů (VLOSE) zmírňovali systémová rizika pro společnost a demokracii vyplývající z jejich služeb, s plným respektem k svobodě projevu uživatelů. DSA zvyšuje algoritmickou transparentnost, umožňuje uživatelům kontrolovat, jak doporučující systémy ovlivňují obsah, který vidí online, a umožňuje výzkumníkům přístup k datům platforem. DSA také dává Komisi pravomoc kontrolovat návrh algoritmických systémů s podporou Evropského centra pro algoritmickou transparentnost (ECAT). Implementace a vymáhání této legislativy jsou klíčovými prioritami a několik postupů týkajících se některých poskytovatelů VLOP týkajících se hodnocení a řízení systémových rizik pro občanský diskurz a volební procesy jsou </w:t>
      </w:r>
    </w:p>
    <w:p w14:paraId="25BB0F11"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4D57008F" wp14:editId="1DBD5368">
                <wp:extent cx="1829054" cy="7620"/>
                <wp:effectExtent l="0" t="0" r="0" b="0"/>
                <wp:docPr id="48516" name="Group 4851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48" name="Shape 557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8516" style="width:144.02pt;height:0.599976pt;mso-position-horizontal-relative:char;mso-position-vertical-relative:line" coordsize="18290,76">
                <v:shape id="Shape 55749"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143DCE61" w14:textId="77777777" w:rsidR="00A01CF9" w:rsidRDefault="00676706">
      <w:pPr>
        <w:ind w:left="869" w:right="860"/>
      </w:pPr>
      <w:r>
        <w:t>pokračuje. Obecněji bude Komise nadále monitorovat a vymáhat povinnosti podle DSA a bude spolupracovat se zainteresovanými stranami, aby zajistila jejich dodržování</w:t>
      </w:r>
      <w:r>
        <w:rPr>
          <w:vertAlign w:val="superscript"/>
        </w:rPr>
        <w:footnoteReference w:id="10"/>
      </w:r>
      <w:r>
        <w:t xml:space="preserve">.  </w:t>
      </w:r>
    </w:p>
    <w:p w14:paraId="2223127E" w14:textId="77777777" w:rsidR="00A01CF9" w:rsidRDefault="00676706">
      <w:pPr>
        <w:ind w:left="869" w:right="860"/>
      </w:pPr>
      <w:r>
        <w:t xml:space="preserve">Aby se předcházelo a řešilo závažné incidenty a zásahy do informačního prostředí, Komise společně s Evropskou radou pro digitální služby připraví </w:t>
      </w:r>
      <w:r>
        <w:rPr>
          <w:b/>
        </w:rPr>
        <w:t>protokol DSA pro incidenty a krize</w:t>
      </w:r>
      <w:r>
        <w:rPr>
          <w:vertAlign w:val="superscript"/>
        </w:rPr>
        <w:footnoteReference w:id="11"/>
      </w:r>
      <w:r>
        <w:t xml:space="preserve">. To usnadní koordinaci mezi příslušnými orgány a zajistí rychlé reakce na rozsáhlé a potenciálně nadnárodní informační operace. Tento protokol zohledňuje a bude spolupracovat s </w:t>
      </w:r>
      <w:r>
        <w:lastRenderedPageBreak/>
        <w:t>dalšími krizovými mechanismy, zejména s Plánem kybernetické bezpečnosti</w:t>
      </w:r>
      <w:r>
        <w:rPr>
          <w:vertAlign w:val="superscript"/>
        </w:rPr>
        <w:footnoteReference w:id="12"/>
      </w:r>
      <w:r>
        <w:t>, aby zajistil koordinaci a soudržnost akcí a zároveň s ohledem na příslušnou legislativu EU</w:t>
      </w:r>
      <w:r>
        <w:rPr>
          <w:vertAlign w:val="superscript"/>
        </w:rPr>
        <w:footnoteReference w:id="13"/>
      </w:r>
      <w:r>
        <w:t xml:space="preserve">. Výměny mezi těmito mechanismy mohou být podporovány Evropským centrem pro demokratickou odolnost a jeho platformou pro zainteresované strany. </w:t>
      </w:r>
    </w:p>
    <w:p w14:paraId="3689288B" w14:textId="77777777" w:rsidR="00A01CF9" w:rsidRDefault="00676706">
      <w:pPr>
        <w:spacing w:after="164"/>
        <w:ind w:left="869" w:right="860"/>
      </w:pPr>
      <w:r>
        <w:t xml:space="preserve">Kodex </w:t>
      </w:r>
      <w:r>
        <w:rPr>
          <w:b/>
        </w:rPr>
        <w:t xml:space="preserve">chování o dezinformacích, podporovaný </w:t>
      </w:r>
      <w:r>
        <w:t xml:space="preserve">spolupracující pracovní skupinou, poskytuje pevný soubor závazků a podrobných opatření, která společně pomáhají zmírňovat rizika spojená s dezinformacemi, přičemž plně dodržují svobodu projevu, například prostřednictvím vylepšených nástrojů, které uživatelům umožňují dezinformace rozpoznávat, rozumět a označovat je a posilovat výzkumníky. Je také užitečný pro určování souladu s povinnostmi týkajícími </w:t>
      </w:r>
      <w:r>
        <w:rPr>
          <w:b/>
        </w:rPr>
        <w:t xml:space="preserve">se systémových rizik souvisejících s dezinformacemi </w:t>
      </w:r>
      <w:r>
        <w:t>pro poskytovatele VLOP a VLOSE, kteří dodržují a splňují závazky podle tohoto</w:t>
      </w:r>
      <w:r>
        <w:rPr>
          <w:vertAlign w:val="superscript"/>
        </w:rPr>
        <w:footnoteReference w:id="14"/>
      </w:r>
      <w:r>
        <w:t xml:space="preserve"> kodexu. Komise posoudí úroveň závazku jednotlivých signatářů kodexu a jejich implementaci. Pokud bude potřeba, Komise povede regulační dialogy podle DSA s těmito signatáři a rozhodne o dalších vhodných následných opatřeních. Například Komise bude spolupracovat s signatáři na posílení jejich úsilí v oblasti </w:t>
      </w:r>
      <w:r>
        <w:rPr>
          <w:b/>
        </w:rPr>
        <w:t xml:space="preserve">transparentnosti </w:t>
      </w:r>
      <w:proofErr w:type="spellStart"/>
      <w:r>
        <w:rPr>
          <w:b/>
        </w:rPr>
        <w:t>doporučovacích</w:t>
      </w:r>
      <w:proofErr w:type="spellEnd"/>
      <w:r>
        <w:rPr>
          <w:b/>
        </w:rPr>
        <w:t xml:space="preserve"> systémů</w:t>
      </w:r>
      <w:r>
        <w:t xml:space="preserve"> a </w:t>
      </w:r>
      <w:r>
        <w:rPr>
          <w:b/>
        </w:rPr>
        <w:t>na demonetizaci dezinformací</w:t>
      </w:r>
      <w:r>
        <w:rPr>
          <w:vertAlign w:val="superscript"/>
        </w:rPr>
        <w:footnoteReference w:id="15"/>
      </w:r>
      <w:r>
        <w:t>, včetně odstranění finančních pobídek pro dezinformace prostřednictvím reklamních příjmů</w:t>
      </w:r>
      <w:r>
        <w:rPr>
          <w:vertAlign w:val="superscript"/>
        </w:rPr>
        <w:footnoteReference w:id="16"/>
      </w:r>
      <w:r>
        <w:t xml:space="preserve"> a na vývoji relevantních ukazatelů pro měření úsilí platforem v této oblasti</w:t>
      </w:r>
      <w:r>
        <w:rPr>
          <w:vertAlign w:val="superscript"/>
        </w:rPr>
        <w:footnoteReference w:id="17"/>
      </w:r>
      <w:r>
        <w:t xml:space="preserve">. </w:t>
      </w:r>
    </w:p>
    <w:p w14:paraId="46E51BE3" w14:textId="77777777" w:rsidR="00A01CF9" w:rsidRDefault="00676706">
      <w:pPr>
        <w:spacing w:after="11"/>
        <w:ind w:left="869" w:right="860"/>
      </w:pPr>
      <w:r>
        <w:t xml:space="preserve">Komise také prozkoumá možné další kroky s signatáři kodexu. To by mohlo zahrnovat způsoby zlepšení detekce a </w:t>
      </w:r>
      <w:r>
        <w:rPr>
          <w:b/>
        </w:rPr>
        <w:t xml:space="preserve">označování AI generovaného a manipulovaného obsahu </w:t>
      </w:r>
      <w:r>
        <w:t>kolujícího na sociálních sítích</w:t>
      </w:r>
      <w:r>
        <w:rPr>
          <w:vertAlign w:val="superscript"/>
        </w:rPr>
        <w:footnoteReference w:id="18"/>
      </w:r>
      <w:r>
        <w:t xml:space="preserve"> a </w:t>
      </w:r>
      <w:r>
        <w:rPr>
          <w:b/>
        </w:rPr>
        <w:t>dobrovolných nástrojů pro ověřování uživatelů</w:t>
      </w:r>
      <w:r>
        <w:rPr>
          <w:vertAlign w:val="superscript"/>
        </w:rPr>
        <w:footnoteReference w:id="19"/>
      </w:r>
      <w:r>
        <w:t xml:space="preserve">. Taková opatření by byla doplňkem zákona o umělé inteligenci a dalších relevantních pravidel EU. EU Digital </w:t>
      </w:r>
      <w:r>
        <w:rPr>
          <w:b/>
        </w:rPr>
        <w:t xml:space="preserve"> </w:t>
      </w:r>
    </w:p>
    <w:p w14:paraId="5E6BA091" w14:textId="77777777" w:rsidR="00A01CF9" w:rsidRDefault="00676706">
      <w:pPr>
        <w:spacing w:after="24"/>
        <w:ind w:left="869" w:right="860"/>
      </w:pPr>
      <w:r>
        <w:rPr>
          <w:b/>
        </w:rPr>
        <w:t xml:space="preserve">Identity </w:t>
      </w:r>
      <w:r>
        <w:t xml:space="preserve">Wallets, které budou dostupné občanům a rezidentům EU do konce roku 2026, </w:t>
      </w:r>
    </w:p>
    <w:p w14:paraId="61FBB0FE"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03356E03" wp14:editId="33CA2987">
                <wp:extent cx="1829054" cy="7620"/>
                <wp:effectExtent l="0" t="0" r="0" b="0"/>
                <wp:docPr id="48446" name="Group 4844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50" name="Shape 557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8446" style="width:144.02pt;height:0.599976pt;mso-position-horizontal-relative:char;mso-position-vertical-relative:line" coordsize="18290,76">
                <v:shape id="Shape 55751"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0FC1E3B5" w14:textId="77777777" w:rsidR="00A01CF9" w:rsidRDefault="00676706">
      <w:pPr>
        <w:spacing w:after="147"/>
        <w:ind w:left="869" w:right="860"/>
      </w:pPr>
      <w:r>
        <w:t>by mohla usnadnit taková opatření a podpořit důvěru a bezpečnost v online interakcích tím, že umožní bezpečnou identifikaci a autentizaci</w:t>
      </w:r>
      <w:r>
        <w:rPr>
          <w:vertAlign w:val="superscript"/>
        </w:rPr>
        <w:footnoteReference w:id="20"/>
      </w:r>
      <w:r>
        <w:t xml:space="preserve">.  </w:t>
      </w:r>
    </w:p>
    <w:p w14:paraId="1C494BA8" w14:textId="77777777" w:rsidR="00A01CF9" w:rsidRDefault="00676706">
      <w:pPr>
        <w:ind w:left="869" w:right="860"/>
      </w:pPr>
      <w:r>
        <w:t xml:space="preserve">Úsilí členských států o zajištění integrity informačního prostoru lze na úrovni EU posílit koordinací přístupů a sdílením odborných znalostí a informací na stávající </w:t>
      </w:r>
      <w:r>
        <w:rPr>
          <w:b/>
        </w:rPr>
        <w:t xml:space="preserve">FIMI </w:t>
      </w:r>
      <w:proofErr w:type="spellStart"/>
      <w:r>
        <w:rPr>
          <w:b/>
        </w:rPr>
        <w:t>Toolbox</w:t>
      </w:r>
      <w:proofErr w:type="spellEnd"/>
      <w:r>
        <w:rPr>
          <w:vertAlign w:val="superscript"/>
        </w:rPr>
        <w:footnoteReference w:id="21"/>
      </w:r>
      <w:r>
        <w:t xml:space="preserve">. Ve spolupráci s národními orgány a odborníky Komise podpoří přípravu Plánu </w:t>
      </w:r>
      <w:r>
        <w:rPr>
          <w:b/>
        </w:rPr>
        <w:t>pro boj proti FIMI a dezinformacím</w:t>
      </w:r>
      <w:r>
        <w:t xml:space="preserve">, včetně nástrojů a doporučení k opatřením k předvídání, detekci a reakci, </w:t>
      </w:r>
      <w:r>
        <w:lastRenderedPageBreak/>
        <w:t xml:space="preserve">stejně jako specializovaného mechanismu pro profesní výměny a týmovou práci na podporu národního budování kapacit a vzájemného učení.  </w:t>
      </w:r>
    </w:p>
    <w:p w14:paraId="42E828A6" w14:textId="77777777" w:rsidR="00A01CF9" w:rsidRDefault="00676706">
      <w:pPr>
        <w:ind w:left="869" w:right="860"/>
      </w:pPr>
      <w:r>
        <w:t xml:space="preserve">Posílení kapacit nezávislé komunity pro ověřování faktů v celé EU je zásadní pro posílení detekce a monitorování FIMI a dezinformačních kampaní. S  podporou Komise bude zřízena </w:t>
      </w:r>
      <w:r>
        <w:rPr>
          <w:b/>
        </w:rPr>
        <w:t>nezávislá Evropská síť ověřovatelů faktů</w:t>
      </w:r>
      <w:r>
        <w:rPr>
          <w:vertAlign w:val="superscript"/>
        </w:rPr>
        <w:footnoteReference w:id="22"/>
      </w:r>
      <w:r>
        <w:t xml:space="preserve"> a její práce přispěje k Platformě zainteresovaných stran Evropského centra demokratické odolnosti. Síť bude založena na nejvyšších etických a profesních standardech a bude fungovat v EU a v kandidátských zemích, potenciálních kandidátech a sousedních zemích spojených s programem </w:t>
      </w:r>
      <w:r>
        <w:rPr>
          <w:b/>
        </w:rPr>
        <w:t>Digitální Evropa</w:t>
      </w:r>
      <w:r>
        <w:t xml:space="preserve">. Zvýší kapacitu ověřování faktů ve všech úředních jazycích EU, zejména v situacích jako jsou volby, zdravotní nouze nebo přírodní katastrofy, kde je přístup ke spolehlivým informacím kritický. Síť také vytvoří a bude spravovat </w:t>
      </w:r>
      <w:r>
        <w:rPr>
          <w:b/>
        </w:rPr>
        <w:t>nezávislé úložiště pro ověřování faktů</w:t>
      </w:r>
      <w:r>
        <w:t>, aby konsolidovala ověřování faktů vydávaných nezávislými, oprávněnými a důvěryhodnými organizacemi, a usnadní přístup novinářů, online platforem, výzkumníků a občanské společnosti k ověřeným informacím, podpoří přeshraniční spolupráci a umožní včasné reakce</w:t>
      </w:r>
      <w:r>
        <w:rPr>
          <w:i/>
        </w:rPr>
        <w:t xml:space="preserve">. </w:t>
      </w:r>
      <w:r>
        <w:t xml:space="preserve">Také poskytne přístup k </w:t>
      </w:r>
      <w:r>
        <w:rPr>
          <w:b/>
        </w:rPr>
        <w:t>ochrannému systému pro ověřovatele faktů</w:t>
      </w:r>
      <w:r>
        <w:t xml:space="preserve"> v EU před hrozbami a obtěžováním, včetně právní a psychologické ochrany. Podporou ověřovačů faktů při oslovování širšího publika síť významně přispěje k odolnosti společnosti</w:t>
      </w:r>
      <w:r>
        <w:rPr>
          <w:vertAlign w:val="superscript"/>
        </w:rPr>
        <w:footnoteReference w:id="23"/>
      </w:r>
      <w:r>
        <w:t xml:space="preserve">. </w:t>
      </w:r>
    </w:p>
    <w:p w14:paraId="5F6C401E" w14:textId="77777777" w:rsidR="00A01CF9" w:rsidRDefault="00676706">
      <w:pPr>
        <w:spacing w:after="500"/>
        <w:ind w:left="869" w:right="860"/>
      </w:pPr>
      <w:r>
        <w:t xml:space="preserve"> </w:t>
      </w:r>
      <w:r>
        <w:rPr>
          <w:b/>
        </w:rPr>
        <w:t xml:space="preserve">Evropská observatoř digitálních médií </w:t>
      </w:r>
      <w:r>
        <w:t xml:space="preserve">(EDMO) poskytuje celoevropskou, nezávislou a interdisciplinární síť výzkumu a analýz k boji proti FIMI a dezinformačním kampaním. V rámci </w:t>
      </w:r>
      <w:r>
        <w:rPr>
          <w:b/>
        </w:rPr>
        <w:t>prodlouženého mandátu</w:t>
      </w:r>
      <w:r>
        <w:rPr>
          <w:vertAlign w:val="superscript"/>
        </w:rPr>
        <w:footnoteReference w:id="24"/>
      </w:r>
      <w:r>
        <w:rPr>
          <w:b/>
        </w:rPr>
        <w:t xml:space="preserve"> </w:t>
      </w:r>
      <w:r>
        <w:t xml:space="preserve">bude EDMO schopno vyvinout nové nezávislé monitorovací a analytické schopnosti na podporu situačního povědomí, zejména v souvislosti s volbami nebo krizovými situacími. Jeho monitorování bude pokrývat všechny členské státy, kandidáty </w:t>
      </w:r>
    </w:p>
    <w:p w14:paraId="56E4BA9B"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6DA801F9" wp14:editId="6160ADCF">
                <wp:extent cx="1829054" cy="7620"/>
                <wp:effectExtent l="0" t="0" r="0" b="0"/>
                <wp:docPr id="49165" name="Group 4916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52" name="Shape 557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9165" style="width:144.02pt;height:0.599976pt;mso-position-horizontal-relative:char;mso-position-vertical-relative:line" coordsize="18290,76">
                <v:shape id="Shape 55753"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1FD7A1E1" w14:textId="77777777" w:rsidR="00A01CF9" w:rsidRDefault="00676706">
      <w:pPr>
        <w:ind w:left="869" w:right="860"/>
      </w:pPr>
      <w:r>
        <w:t>země (např. Ukrajina, Moldavsko)</w:t>
      </w:r>
      <w:r>
        <w:rPr>
          <w:vertAlign w:val="superscript"/>
        </w:rPr>
        <w:footnoteReference w:id="25"/>
      </w:r>
      <w:r>
        <w:t xml:space="preserve"> a potenciální kandidáti a také přispívají k práci Platformy zainteresovaných stran pod Evropským centrem demokratické odolnosti.  </w:t>
      </w:r>
    </w:p>
    <w:p w14:paraId="2E69F8D9" w14:textId="77777777" w:rsidR="00A01CF9" w:rsidRDefault="00676706">
      <w:pPr>
        <w:spacing w:after="282"/>
        <w:ind w:left="869" w:right="860"/>
      </w:pPr>
      <w:r>
        <w:t xml:space="preserve">Výzkumná a akademická komunita také vyvinula relevantní příspěvky tím, že poskytuje nezávislé analýzy a důkazy o FIMI a dezinformačních kampaních. Komise podpoří vytvoření společného rámce </w:t>
      </w:r>
      <w:r>
        <w:rPr>
          <w:b/>
        </w:rPr>
        <w:t>podpory výzkumu</w:t>
      </w:r>
      <w:r>
        <w:t>, který zajistí přístup k datům a pokročilým technologiím</w:t>
      </w:r>
      <w:r>
        <w:rPr>
          <w:vertAlign w:val="superscript"/>
        </w:rPr>
        <w:footnoteReference w:id="26"/>
      </w:r>
      <w:r>
        <w:t xml:space="preserve">, sdruží a posílí tyto nezávislé kapacity. Tento rámec, který bude mimo jiné </w:t>
      </w:r>
      <w:r>
        <w:lastRenderedPageBreak/>
        <w:t>spoléhat na privilegovaný přístup k datům podle DSA a nařízení o politické reklamě</w:t>
      </w:r>
      <w:r>
        <w:rPr>
          <w:vertAlign w:val="superscript"/>
        </w:rPr>
        <w:footnoteReference w:id="27"/>
      </w:r>
      <w:r>
        <w:t xml:space="preserve">, bude přispět k práci Platformy zainteresovaných stran Evropského centra demokratické odolnosti. Pomůže to prohloubit porozumění tomu, jak se kampaně šíří online a jak ovlivňují integritu informačního prostoru. Podpoří vývoj nástrojů, které usnadní detekci AI generovaného nebo manipulovaného zvuku, obrázků a videí za účelem zkreslení faktů nebo zobrazení dezinformačních narativů (například deepfakeů vydávajících se za politiky). Pomůže také sledovat nové formy koordinovaného neautentického chování, včetně koordinace napříč platformami, používání botů nebo algoritmické amplifikace.  </w:t>
      </w:r>
    </w:p>
    <w:p w14:paraId="327C7AF1" w14:textId="77777777" w:rsidR="00A01CF9" w:rsidRDefault="00676706">
      <w:pPr>
        <w:spacing w:after="383"/>
        <w:ind w:left="869" w:right="860"/>
      </w:pPr>
      <w:r>
        <w:t xml:space="preserve">Pro předvídání a robustní reakci na FIMI je důležité plně využít </w:t>
      </w:r>
      <w:r>
        <w:rPr>
          <w:b/>
        </w:rPr>
        <w:t>FIMI toolbox</w:t>
      </w:r>
      <w:r>
        <w:rPr>
          <w:vertAlign w:val="superscript"/>
        </w:rPr>
        <w:t>32</w:t>
      </w:r>
      <w:r>
        <w:t>. Tento nástroj zahrnuje širokou škálu reakcí, včetně restriktivních opatření Unie vůči jednotlivcům a subjektům mimo EU, které se zapojily do kampaní FIMI zaměřených na EU, kandidátské země a potenciální kandidáty. Rozsah režimu sankcí EU zaměřeného na destabilizační aktivity Ruska zahrnuje zákaz vysílání propagandistických médií podporovaných Kremlem zapojených do FIMI. Další opatření byla přijata jak na úrovni EU, tak na národní úrovni k omezení šíření obsahu od nelegálních poskytovatelů mediálních služeb mimo EU, kteří představují riziko pro veřejnou bezpečnost, včetně pozastavení mediálních licencí. Evropský zákon o svobodě médií (EMFA)</w:t>
      </w:r>
      <w:r>
        <w:rPr>
          <w:vertAlign w:val="superscript"/>
        </w:rPr>
        <w:footnoteReference w:id="28"/>
      </w:r>
      <w:r>
        <w:t xml:space="preserve"> umožňuje rychlou a efektivní koordinaci opatření proti těmto poskytovatelům ze strany mediálních regulátorů EU, shromážděných v Evropské radě pro mediální služby. Aby tyto regulátory dále podpořila, Evropská rada pro mediální služby vypracuje ve spolupráci s komisí </w:t>
      </w:r>
      <w:r>
        <w:rPr>
          <w:b/>
        </w:rPr>
        <w:t xml:space="preserve">seznam společných kritérií, která budou řídit národní mediální regulátory </w:t>
      </w:r>
      <w:r>
        <w:t xml:space="preserve">při jejich ochraně informačního prostoru EU před neposlušnými mediálními službami mimo EU. </w:t>
      </w:r>
    </w:p>
    <w:p w14:paraId="6C854EC8"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54F8BDE2" wp14:editId="65995F37">
                <wp:extent cx="1829054" cy="7620"/>
                <wp:effectExtent l="0" t="0" r="0" b="0"/>
                <wp:docPr id="52241" name="Group 5224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54" name="Shape 557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2241" style="width:144.02pt;height:0.599976pt;mso-position-horizontal-relative:char;mso-position-vertical-relative:line" coordsize="18290,76">
                <v:shape id="Shape 5575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512C49B0" w14:textId="77777777" w:rsidR="00A01CF9" w:rsidRDefault="00676706">
      <w:pPr>
        <w:spacing w:after="283"/>
        <w:ind w:left="869" w:right="860"/>
      </w:pPr>
      <w:r>
        <w:t xml:space="preserve">FIMI a dezinformační kampaně se také mohou spoléhat na chování nebo aktivity kriminálního charakteru, jako je praní špinavých peněz nebo organizovaný zločin. Trestnoprávní acquis EU pokrývá určité formy FIMI a dezinformačních aktivit a posílená spolupráce EU v této oblasti může pomoci jim lépe čelit. Plánovaná </w:t>
      </w:r>
      <w:r>
        <w:rPr>
          <w:b/>
        </w:rPr>
        <w:t xml:space="preserve">revize mandátů Europolu a </w:t>
      </w:r>
      <w:proofErr w:type="spellStart"/>
      <w:r>
        <w:rPr>
          <w:b/>
        </w:rPr>
        <w:t>Eurojustu</w:t>
      </w:r>
      <w:proofErr w:type="spellEnd"/>
      <w:r>
        <w:rPr>
          <w:b/>
        </w:rPr>
        <w:t xml:space="preserve"> bude zkoumat způsoby, jak toto úsilí dále posílit.  </w:t>
      </w:r>
    </w:p>
    <w:p w14:paraId="2B13C8AB" w14:textId="77777777" w:rsidR="00A01CF9" w:rsidRDefault="00676706">
      <w:pPr>
        <w:ind w:left="869" w:right="860"/>
      </w:pPr>
      <w:r>
        <w:t xml:space="preserve">V kontextu geopolitického napětí a rostoucí polarizace je důležité, aby EU posílila své úsilí o budování aliancí se stejně smýšlejícími zeměmi a regionálními partnery. Podpora demokratických aktérů a integrity informačních ekosystémů po celém světě prospěje evropské demokracii, bezpečnosti a prosperitě. Komise bude spolupracovat s třetími zeměmi na podpoře občanského a digitálního vzdělávání, důvěryhodných iniciativ ověřování faktů a regulačních iniciativ zaměřených na posílení integrity informačního prostoru. Iniciativa Team Europe Democracy přispívá ke zvýšení sdílení znalostí a koordinaci v oblasti integrity informací a pomoci novinářům ohroženým mimo EU, ve spolupráci s členskými státy, podobně smýšlejícími partnery a občanskou společností. </w:t>
      </w:r>
    </w:p>
    <w:p w14:paraId="310618E5" w14:textId="77777777" w:rsidR="00A01CF9" w:rsidRDefault="00676706">
      <w:pPr>
        <w:spacing w:after="0"/>
        <w:ind w:left="869" w:right="860"/>
      </w:pPr>
      <w:r>
        <w:t xml:space="preserve">EU zesílí své úsilí o boj proti FIMI ve svých zahraničních aktivitách prostřednictvím ESVS, v úzké spolupráci s Komisí, členskými státy a mezinárodními partnery. To bude zahrnovat </w:t>
      </w:r>
      <w:r>
        <w:lastRenderedPageBreak/>
        <w:t xml:space="preserve">budování schopností globální přítomnosti EU, včetně sítě delegací EU, misí společné bezpečnostní a obranné politiky a diplomatických misí členských států, rozšíření školení a poskytování proti-FIMI nástrojů pro personál přímo na místě. EU posílí spolupráci s kandidátskými zeměmi a potenciálními kandidáty a partnery v boji proti FIMI, se zvláštním zaměřením na sousedství EU, přičemž bude podporovat kolektivní spolupráci s mezinárodními partnery, včetně G7, NATO, a v kontextu bezpečnostních a obranných partnerství. Bude se rozvíjet aktivnější přístup k boji proti FIMI, kombinující strategické komunikační aktivity s úsilím zaměřeným na narušení infrastruktury umožňující provoz FIMI, včetně zvýšení úsilí o zavádění restriktivních opatření ke zvýšení nákladů pachatelů.  </w:t>
      </w:r>
    </w:p>
    <w:tbl>
      <w:tblPr>
        <w:tblStyle w:val="TableGrid"/>
        <w:tblW w:w="9165" w:type="dxa"/>
        <w:tblInd w:w="732" w:type="dxa"/>
        <w:tblCellMar>
          <w:top w:w="17" w:type="dxa"/>
          <w:right w:w="48" w:type="dxa"/>
        </w:tblCellMar>
        <w:tblLook w:val="04A0" w:firstRow="1" w:lastRow="0" w:firstColumn="1" w:lastColumn="0" w:noHBand="0" w:noVBand="1"/>
      </w:tblPr>
      <w:tblGrid>
        <w:gridCol w:w="828"/>
        <w:gridCol w:w="8337"/>
      </w:tblGrid>
      <w:tr w:rsidR="00A01CF9" w14:paraId="67623EB7" w14:textId="77777777">
        <w:trPr>
          <w:trHeight w:val="4875"/>
        </w:trPr>
        <w:tc>
          <w:tcPr>
            <w:tcW w:w="9165" w:type="dxa"/>
            <w:gridSpan w:val="2"/>
            <w:tcBorders>
              <w:top w:val="single" w:sz="4" w:space="0" w:color="000000"/>
              <w:left w:val="single" w:sz="4" w:space="0" w:color="000000"/>
              <w:bottom w:val="single" w:sz="4" w:space="0" w:color="000000"/>
              <w:right w:val="single" w:sz="4" w:space="0" w:color="000000"/>
            </w:tcBorders>
          </w:tcPr>
          <w:p w14:paraId="51F5DBB0" w14:textId="77777777" w:rsidR="00A01CF9" w:rsidRDefault="00676706">
            <w:pPr>
              <w:spacing w:after="0" w:line="259" w:lineRule="auto"/>
              <w:ind w:left="0" w:firstLine="0"/>
              <w:jc w:val="left"/>
            </w:pPr>
            <w:r>
              <w:rPr>
                <w:i/>
              </w:rPr>
              <w:t xml:space="preserve">Akce: </w:t>
            </w:r>
          </w:p>
          <w:p w14:paraId="5FF9C840" w14:textId="77777777" w:rsidR="00A01CF9" w:rsidRDefault="00676706">
            <w:pPr>
              <w:numPr>
                <w:ilvl w:val="0"/>
                <w:numId w:val="3"/>
              </w:numPr>
              <w:spacing w:after="0" w:line="259" w:lineRule="auto"/>
              <w:ind w:hanging="360"/>
              <w:jc w:val="left"/>
            </w:pPr>
            <w:r>
              <w:rPr>
                <w:i/>
              </w:rPr>
              <w:t xml:space="preserve">V rámci zákona o digitálních službách </w:t>
            </w:r>
          </w:p>
          <w:p w14:paraId="0C842CE0" w14:textId="77777777" w:rsidR="00A01CF9" w:rsidRDefault="00676706">
            <w:pPr>
              <w:numPr>
                <w:ilvl w:val="1"/>
                <w:numId w:val="3"/>
              </w:numPr>
              <w:spacing w:after="21" w:line="259" w:lineRule="auto"/>
              <w:ind w:right="32" w:hanging="360"/>
              <w:jc w:val="left"/>
            </w:pPr>
            <w:r>
              <w:rPr>
                <w:i/>
              </w:rPr>
              <w:t xml:space="preserve">Připravte protokol DSA pro incidenty a krizové situace </w:t>
            </w:r>
          </w:p>
          <w:p w14:paraId="45BA36E3" w14:textId="77777777" w:rsidR="00A01CF9" w:rsidRDefault="00676706">
            <w:pPr>
              <w:numPr>
                <w:ilvl w:val="1"/>
                <w:numId w:val="3"/>
              </w:numPr>
              <w:spacing w:after="13" w:line="265" w:lineRule="auto"/>
              <w:ind w:right="32" w:hanging="360"/>
              <w:jc w:val="left"/>
            </w:pPr>
            <w:r>
              <w:rPr>
                <w:i/>
              </w:rPr>
              <w:t xml:space="preserve">Pokračuje ve spolupráci se signatáři Kodexu chování o dezinformacích, aby posílila opatření proti manipulativním technikám online </w:t>
            </w:r>
          </w:p>
          <w:p w14:paraId="13D86E12" w14:textId="77777777" w:rsidR="00A01CF9" w:rsidRDefault="00676706">
            <w:pPr>
              <w:numPr>
                <w:ilvl w:val="0"/>
                <w:numId w:val="3"/>
              </w:numPr>
              <w:spacing w:after="0" w:line="259" w:lineRule="auto"/>
              <w:ind w:hanging="360"/>
              <w:jc w:val="left"/>
            </w:pPr>
            <w:r>
              <w:rPr>
                <w:i/>
              </w:rPr>
              <w:t xml:space="preserve">Podpořte přípravu EU plánu pro boj proti FIMI a dezinformacím </w:t>
            </w:r>
          </w:p>
          <w:p w14:paraId="71036694" w14:textId="77777777" w:rsidR="00A01CF9" w:rsidRDefault="00676706">
            <w:pPr>
              <w:numPr>
                <w:ilvl w:val="0"/>
                <w:numId w:val="3"/>
              </w:numPr>
              <w:spacing w:after="0" w:line="259" w:lineRule="auto"/>
              <w:ind w:hanging="360"/>
              <w:jc w:val="left"/>
            </w:pPr>
            <w:r>
              <w:rPr>
                <w:i/>
              </w:rPr>
              <w:t xml:space="preserve">Založit Evropskou síť ověřovačů faktů </w:t>
            </w:r>
          </w:p>
          <w:p w14:paraId="2A8324E4" w14:textId="77777777" w:rsidR="00A01CF9" w:rsidRDefault="00676706">
            <w:pPr>
              <w:numPr>
                <w:ilvl w:val="0"/>
                <w:numId w:val="3"/>
              </w:numPr>
              <w:spacing w:after="0" w:line="259" w:lineRule="auto"/>
              <w:ind w:hanging="360"/>
              <w:jc w:val="left"/>
            </w:pPr>
            <w:r>
              <w:rPr>
                <w:i/>
              </w:rPr>
              <w:t xml:space="preserve">Rozšíření mandátu Evropské observatoře digitálních médií </w:t>
            </w:r>
          </w:p>
          <w:p w14:paraId="042B12AD" w14:textId="77777777" w:rsidR="00A01CF9" w:rsidRDefault="00676706">
            <w:pPr>
              <w:numPr>
                <w:ilvl w:val="0"/>
                <w:numId w:val="3"/>
              </w:numPr>
              <w:spacing w:after="25" w:line="256" w:lineRule="auto"/>
              <w:ind w:hanging="360"/>
              <w:jc w:val="left"/>
            </w:pPr>
            <w:r>
              <w:rPr>
                <w:i/>
              </w:rPr>
              <w:t xml:space="preserve">Podpora vytvoření společného rámce podpory výzkumu za účelem posílení monitorování manipulace s informacemi a dezinformačních kampaní </w:t>
            </w:r>
          </w:p>
          <w:p w14:paraId="03783425" w14:textId="77777777" w:rsidR="00A01CF9" w:rsidRDefault="00676706">
            <w:pPr>
              <w:numPr>
                <w:ilvl w:val="0"/>
                <w:numId w:val="3"/>
              </w:numPr>
              <w:spacing w:after="25" w:line="255" w:lineRule="auto"/>
              <w:ind w:hanging="360"/>
              <w:jc w:val="left"/>
            </w:pPr>
            <w:r>
              <w:rPr>
                <w:i/>
              </w:rPr>
              <w:t xml:space="preserve">Vypracování seznamu společných kritérií pro evropské mediální služby v rámci konzultace s Komisí pro evropské mediální regulátory při jednání proti nelegálním mediálním provozovatelům mimo EU, kteří představují riziko pro veřejnou bezpečnost </w:t>
            </w:r>
          </w:p>
          <w:p w14:paraId="357512E2" w14:textId="77777777" w:rsidR="00A01CF9" w:rsidRDefault="00676706">
            <w:pPr>
              <w:numPr>
                <w:ilvl w:val="0"/>
                <w:numId w:val="3"/>
              </w:numPr>
              <w:spacing w:after="0" w:line="259" w:lineRule="auto"/>
              <w:ind w:hanging="360"/>
              <w:jc w:val="left"/>
            </w:pPr>
            <w:r>
              <w:rPr>
                <w:i/>
              </w:rPr>
              <w:t xml:space="preserve">Posílit schopnosti delegací EU, misí a operací SDSP, velvyslanectví členských států EU proti FIMI </w:t>
            </w:r>
          </w:p>
        </w:tc>
      </w:tr>
      <w:tr w:rsidR="00A01CF9" w14:paraId="366E5497" w14:textId="77777777">
        <w:trPr>
          <w:trHeight w:val="324"/>
        </w:trPr>
        <w:tc>
          <w:tcPr>
            <w:tcW w:w="828" w:type="dxa"/>
            <w:tcBorders>
              <w:top w:val="single" w:sz="4" w:space="0" w:color="000000"/>
              <w:left w:val="single" w:sz="4" w:space="0" w:color="000000"/>
              <w:bottom w:val="nil"/>
              <w:right w:val="nil"/>
            </w:tcBorders>
          </w:tcPr>
          <w:p w14:paraId="3F0CF1C9" w14:textId="77777777" w:rsidR="00A01CF9" w:rsidRDefault="00676706">
            <w:pPr>
              <w:spacing w:after="0" w:line="259" w:lineRule="auto"/>
              <w:ind w:left="266" w:firstLine="0"/>
              <w:jc w:val="center"/>
            </w:pPr>
            <w:r>
              <w:rPr>
                <w:rFonts w:ascii="Segoe UI Symbol" w:eastAsia="Segoe UI Symbol" w:hAnsi="Segoe UI Symbol" w:cs="Segoe UI Symbol"/>
              </w:rPr>
              <w:t xml:space="preserve">• </w:t>
            </w:r>
          </w:p>
        </w:tc>
        <w:tc>
          <w:tcPr>
            <w:tcW w:w="8337" w:type="dxa"/>
            <w:tcBorders>
              <w:top w:val="single" w:sz="4" w:space="0" w:color="000000"/>
              <w:left w:val="nil"/>
              <w:bottom w:val="nil"/>
              <w:right w:val="single" w:sz="4" w:space="0" w:color="000000"/>
            </w:tcBorders>
          </w:tcPr>
          <w:p w14:paraId="6EA476CC" w14:textId="77777777" w:rsidR="00A01CF9" w:rsidRDefault="00676706">
            <w:pPr>
              <w:spacing w:after="0" w:line="259" w:lineRule="auto"/>
              <w:ind w:left="0" w:firstLine="0"/>
              <w:jc w:val="left"/>
            </w:pPr>
            <w:r>
              <w:rPr>
                <w:i/>
              </w:rPr>
              <w:t xml:space="preserve">Nasadit proaktivní strategické komunikační kampaně v prioritních regionech </w:t>
            </w:r>
          </w:p>
        </w:tc>
      </w:tr>
      <w:tr w:rsidR="00A01CF9" w14:paraId="29FE6C08" w14:textId="77777777">
        <w:trPr>
          <w:trHeight w:val="910"/>
        </w:trPr>
        <w:tc>
          <w:tcPr>
            <w:tcW w:w="828" w:type="dxa"/>
            <w:tcBorders>
              <w:top w:val="nil"/>
              <w:left w:val="single" w:sz="4" w:space="0" w:color="000000"/>
              <w:bottom w:val="nil"/>
              <w:right w:val="nil"/>
            </w:tcBorders>
          </w:tcPr>
          <w:p w14:paraId="41AFEEA9" w14:textId="77777777" w:rsidR="00A01CF9" w:rsidRDefault="00676706">
            <w:pPr>
              <w:spacing w:after="0" w:line="259" w:lineRule="auto"/>
              <w:ind w:left="266" w:firstLine="0"/>
              <w:jc w:val="center"/>
            </w:pPr>
            <w:r>
              <w:rPr>
                <w:rFonts w:ascii="Segoe UI Symbol" w:eastAsia="Segoe UI Symbol" w:hAnsi="Segoe UI Symbol" w:cs="Segoe UI Symbol"/>
              </w:rPr>
              <w:t xml:space="preserve">• </w:t>
            </w:r>
          </w:p>
        </w:tc>
        <w:tc>
          <w:tcPr>
            <w:tcW w:w="8337" w:type="dxa"/>
            <w:tcBorders>
              <w:top w:val="nil"/>
              <w:left w:val="nil"/>
              <w:bottom w:val="nil"/>
              <w:right w:val="single" w:sz="4" w:space="0" w:color="000000"/>
            </w:tcBorders>
          </w:tcPr>
          <w:p w14:paraId="1563A004" w14:textId="77777777" w:rsidR="00A01CF9" w:rsidRDefault="00676706">
            <w:pPr>
              <w:spacing w:after="0" w:line="259" w:lineRule="auto"/>
              <w:ind w:left="0" w:right="60" w:firstLine="0"/>
            </w:pPr>
            <w:r>
              <w:rPr>
                <w:i/>
              </w:rPr>
              <w:t xml:space="preserve">Poskytovat cílené budování kapacit a podporu kandidátským zemím EU a potenciálním kandidátům za účelem posílení odolnosti vůči zásahům FIMI a hybridním zásahům, včetně misí v rámci CSDP </w:t>
            </w:r>
          </w:p>
        </w:tc>
      </w:tr>
      <w:tr w:rsidR="00A01CF9" w14:paraId="35D589D1" w14:textId="77777777">
        <w:trPr>
          <w:trHeight w:val="914"/>
        </w:trPr>
        <w:tc>
          <w:tcPr>
            <w:tcW w:w="828" w:type="dxa"/>
            <w:tcBorders>
              <w:top w:val="nil"/>
              <w:left w:val="single" w:sz="4" w:space="0" w:color="000000"/>
              <w:bottom w:val="single" w:sz="4" w:space="0" w:color="000000"/>
              <w:right w:val="nil"/>
            </w:tcBorders>
          </w:tcPr>
          <w:p w14:paraId="208339B0" w14:textId="77777777" w:rsidR="00A01CF9" w:rsidRDefault="00676706">
            <w:pPr>
              <w:spacing w:after="0" w:line="259" w:lineRule="auto"/>
              <w:ind w:left="266" w:firstLine="0"/>
              <w:jc w:val="center"/>
            </w:pPr>
            <w:r>
              <w:rPr>
                <w:rFonts w:ascii="Segoe UI Symbol" w:eastAsia="Segoe UI Symbol" w:hAnsi="Segoe UI Symbol" w:cs="Segoe UI Symbol"/>
              </w:rPr>
              <w:t xml:space="preserve">• </w:t>
            </w:r>
          </w:p>
        </w:tc>
        <w:tc>
          <w:tcPr>
            <w:tcW w:w="8337" w:type="dxa"/>
            <w:tcBorders>
              <w:top w:val="nil"/>
              <w:left w:val="nil"/>
              <w:bottom w:val="single" w:sz="4" w:space="0" w:color="000000"/>
              <w:right w:val="single" w:sz="4" w:space="0" w:color="000000"/>
            </w:tcBorders>
          </w:tcPr>
          <w:p w14:paraId="6548D30D" w14:textId="77777777" w:rsidR="00A01CF9" w:rsidRDefault="00676706">
            <w:pPr>
              <w:spacing w:after="0" w:line="259" w:lineRule="auto"/>
              <w:ind w:left="0" w:right="64" w:firstLine="0"/>
            </w:pPr>
            <w:r>
              <w:rPr>
                <w:i/>
              </w:rPr>
              <w:t xml:space="preserve">Využít mezinárodní partnerství pro kolektivní reakce proti FIMI, včetně mechanismu rychlé reakce G7, spolupráce EU-NATO a partnerství v oblasti bezpečnosti a obrany </w:t>
            </w:r>
          </w:p>
        </w:tc>
      </w:tr>
    </w:tbl>
    <w:p w14:paraId="5C14E693" w14:textId="77777777" w:rsidR="00A01CF9" w:rsidRDefault="00676706">
      <w:pPr>
        <w:spacing w:after="21" w:line="259" w:lineRule="auto"/>
        <w:ind w:left="874" w:firstLine="0"/>
        <w:jc w:val="left"/>
      </w:pPr>
      <w:r>
        <w:rPr>
          <w:b/>
          <w:sz w:val="28"/>
        </w:rPr>
        <w:t xml:space="preserve"> </w:t>
      </w:r>
    </w:p>
    <w:p w14:paraId="28DE7277" w14:textId="77777777" w:rsidR="00A01CF9" w:rsidRDefault="00676706">
      <w:pPr>
        <w:pStyle w:val="Nadpis3"/>
        <w:ind w:left="869" w:right="716"/>
      </w:pPr>
      <w:r>
        <w:t xml:space="preserve">2.3. Silnější demokratické instituce, svobodné a spravedlivé volby a svobodná a nezávislá média </w:t>
      </w:r>
    </w:p>
    <w:p w14:paraId="78DA09A2" w14:textId="77777777" w:rsidR="00A01CF9" w:rsidRDefault="00676706">
      <w:pPr>
        <w:ind w:left="869" w:right="860"/>
      </w:pPr>
      <w:r>
        <w:t>Svobodná a nezávislá média, svobodné a spravedlivé volby a silné a odolné demokratické instituce a procesy jsou nezbytné k tomu, aby občané mohli smysluplně participovat na politickém životě, volit své zástupce, hnát je k odpovědnosti a plně uplatňovat svá práva a svobody. Nedávné volby, včetně těch v Rumunsku a Moldavsku</w:t>
      </w:r>
      <w:r>
        <w:rPr>
          <w:vertAlign w:val="superscript"/>
        </w:rPr>
        <w:footnoteReference w:id="29"/>
      </w:r>
      <w:r>
        <w:t xml:space="preserve">, ukázaly širší eskalaci vměšování ze strany Ruska a jeho zástupců do evropského demokratického prostoru.  </w:t>
      </w:r>
      <w:r>
        <w:rPr>
          <w:b/>
          <w:i/>
        </w:rPr>
        <w:t xml:space="preserve">2.3.1. Posilování spravedlnosti a integrity volebních a dalších demokratických procesů </w:t>
      </w:r>
    </w:p>
    <w:p w14:paraId="5FB073DA" w14:textId="77777777" w:rsidR="00A01CF9" w:rsidRDefault="00676706">
      <w:pPr>
        <w:ind w:left="869" w:right="860"/>
      </w:pPr>
      <w:r>
        <w:lastRenderedPageBreak/>
        <w:t>Volby, které jsou univerzální, rovné, svobodné a založené na tajném a přímém volebním právu, jsou součástí společných evropských volebních tradic</w:t>
      </w:r>
      <w:r>
        <w:rPr>
          <w:vertAlign w:val="superscript"/>
        </w:rPr>
        <w:footnoteReference w:id="30"/>
      </w:r>
      <w:r>
        <w:t>. Zatímco organizace a pořádání voleb jsou v kompetenci členských států, je potřeba posílit spolupráci na úrovni EU, aby se mohly řešit společné výzvy v této oblasti</w:t>
      </w:r>
      <w:r>
        <w:rPr>
          <w:vertAlign w:val="superscript"/>
        </w:rPr>
        <w:footnoteReference w:id="31"/>
      </w:r>
      <w:r>
        <w:t xml:space="preserve">. Komise usnadňuje cennou výměnu a vzájemnou podporu prostřednictvím Evropské </w:t>
      </w:r>
      <w:r>
        <w:rPr>
          <w:b/>
        </w:rPr>
        <w:t>sítě pro spolupráci ve volbách</w:t>
      </w:r>
      <w:r>
        <w:t xml:space="preserve"> (ECNE), která sdružuje národní orgány s odpovědností v oblasti voleb. Například v červnu 2025 Komise zveřejnila kontrolní seznam integrity voleb a matici řízení rizik pro volby, připravenou s členskými státy v rámci ECNE. </w:t>
      </w:r>
      <w:r>
        <w:rPr>
          <w:b/>
        </w:rPr>
        <w:t>Společný mechanismus pro volební odolnost</w:t>
      </w:r>
      <w:r>
        <w:t xml:space="preserve">, organizovaný a koordinovaný prostřednictvím ECNE (v úzké spolupráci se skupinou pro spolupráci sítí a informačních systémů (NIS) a RAS), podporuje operační nasazení společných expertních týmů a výměny expertů, zejména v oblasti online forenziky, dezinformací a kybernetické bezpečnosti voleb. </w:t>
      </w:r>
    </w:p>
    <w:p w14:paraId="0F595089" w14:textId="77777777" w:rsidR="00A01CF9" w:rsidRDefault="00676706">
      <w:pPr>
        <w:spacing w:after="586"/>
        <w:ind w:left="869" w:right="860"/>
      </w:pPr>
      <w:r>
        <w:t xml:space="preserve">Komise zesílí svou podporu členským státům a zainteresovaným stranám za účelem posílení integrity a připravenosti voleb, ochrany infrastruktury související s volbami, která je klíčová pro organizaci a průběh voleb, minimalizace rizik zahraničního zasahování, posílení volebních sítí, volební spolupráce a reportování a podpory pozorování </w:t>
      </w:r>
    </w:p>
    <w:p w14:paraId="70733F2E"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47E6B232" wp14:editId="784F139C">
                <wp:extent cx="1829054" cy="7620"/>
                <wp:effectExtent l="0" t="0" r="0" b="0"/>
                <wp:docPr id="53089" name="Group 5308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56" name="Shape 557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3089" style="width:144.02pt;height:0.600037pt;mso-position-horizontal-relative:char;mso-position-vertical-relative:line" coordsize="18290,76">
                <v:shape id="Shape 55757"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104BB662" w14:textId="77777777" w:rsidR="00A01CF9" w:rsidRDefault="00676706">
      <w:pPr>
        <w:ind w:left="869" w:right="860"/>
      </w:pPr>
      <w:r>
        <w:t xml:space="preserve">volby občanů a mezinárodních organizací, které potvrzují příslušné mezinárodní standardy, což jsou všechny klíčové aspekty Doporučení pro rok 2023.  </w:t>
      </w:r>
    </w:p>
    <w:p w14:paraId="43A08C04" w14:textId="77777777" w:rsidR="00A01CF9" w:rsidRDefault="00676706">
      <w:pPr>
        <w:ind w:left="869" w:right="860"/>
      </w:pPr>
      <w:r>
        <w:t xml:space="preserve">Aby byly zajištěny svobodné a spravedlivé volby, </w:t>
      </w:r>
      <w:r>
        <w:rPr>
          <w:b/>
        </w:rPr>
        <w:t xml:space="preserve">infrastruktura související s volbami </w:t>
      </w:r>
      <w:r>
        <w:t>by měla být chráněna před kybernetickými útoky. Směrnice NIS2</w:t>
      </w:r>
      <w:r>
        <w:rPr>
          <w:vertAlign w:val="superscript"/>
        </w:rPr>
        <w:footnoteReference w:id="32"/>
      </w:r>
      <w:r>
        <w:t xml:space="preserve"> a zákon o kybernetické odolnosti posilují</w:t>
      </w:r>
      <w:r>
        <w:rPr>
          <w:vertAlign w:val="superscript"/>
        </w:rPr>
        <w:footnoteReference w:id="33"/>
      </w:r>
      <w:r>
        <w:t xml:space="preserve"> kybernetickou bezpečnost EU tím, že zajišťují, že jak kritické sektory, tak digitální produkty jsou bezpečné, odolné a koordinované podle návrhu v celé EU, což přímo přispívá k bezpečnosti volebních procesů v EU a celkové připravenosti na kybernetické hrozby v kontextu voleb. Například Kompendium o kybernetické bezpečnosti a odolnosti voleb, aktualizované v roce 2024</w:t>
      </w:r>
      <w:r>
        <w:rPr>
          <w:vertAlign w:val="superscript"/>
        </w:rPr>
        <w:footnoteReference w:id="34"/>
      </w:r>
      <w:r>
        <w:t>, bylo připraveno Skupinou pro spolupráci NIS ve spolupráci s Agenturou Evropské unie pro kybernetickou bezpečnost (ENISA) a ECNE. Rezerva kybernetické bezpečnosti, zřízená zákonem o kybernetické solidaritě</w:t>
      </w:r>
      <w:r>
        <w:rPr>
          <w:vertAlign w:val="superscript"/>
        </w:rPr>
        <w:footnoteReference w:id="35"/>
      </w:r>
      <w:r>
        <w:t xml:space="preserve">, je efektivním nástrojem k dispozici členským státům i partnerům EU prostřednictvím vnější pomoci, který lze na žádost využít k pomoci při reakci na významné nebo rozsáhlé kybernetické incidenty. </w:t>
      </w:r>
    </w:p>
    <w:p w14:paraId="01285B0F" w14:textId="77777777" w:rsidR="00A01CF9" w:rsidRDefault="00676706">
      <w:pPr>
        <w:ind w:left="869" w:right="860"/>
      </w:pPr>
      <w:r>
        <w:t xml:space="preserve">Nařízení </w:t>
      </w:r>
      <w:r>
        <w:rPr>
          <w:b/>
        </w:rPr>
        <w:t xml:space="preserve">o politické reklamě </w:t>
      </w:r>
      <w:r>
        <w:t xml:space="preserve">stanovuje společné normy EU, které občanům usnadňují rozpoznávání politických reklam, jejich rozpoznávání, zda jsou těmito reklamami cíleny, a </w:t>
      </w:r>
      <w:r>
        <w:lastRenderedPageBreak/>
        <w:t>jejich rozlišení od jiných typů obsahu. Aby se zabránilo zahraničnímu zasahování, nařízení zakazuje poskytování reklam sponzorům třetích zemí ve třech měsících před volbami nebo referendem v jedné z členských zemí EU. Nová pravidla pomáhají chránit integritu volebních procesů a podporují otevřenou a transparentní demokratickou debatu</w:t>
      </w:r>
      <w:r>
        <w:rPr>
          <w:vertAlign w:val="superscript"/>
        </w:rPr>
        <w:footnoteReference w:id="36"/>
      </w:r>
      <w:r>
        <w:t xml:space="preserve">. Informace o online politických reklamách budou dostupné v online repozitáři, včetně informací o tom, kdo za ně zaplatil. </w:t>
      </w:r>
    </w:p>
    <w:p w14:paraId="043A0D9E" w14:textId="77777777" w:rsidR="00A01CF9" w:rsidRDefault="00676706">
      <w:pPr>
        <w:spacing w:after="62"/>
        <w:ind w:left="869" w:right="860"/>
      </w:pPr>
      <w:r>
        <w:t>Pro další zlepšení připravenosti na volby a odolnosti volebních procesů bude spolupráce s členskými státy posílena v rámci ECNE. Schopnosti ECNE budou posíleny prostřednictvím systematičtějších výměn na podporu společného vývoje společných nástrojů a produktů v oblastech společného zájmu. Nové tematické prostředí podpoří výměnu na témata jako integrita voleb a řízení a připravenost na volby související s riziky, pozorování voleb v EU, nové způsoby politického vedení včetně financování, bezpečnost politických kandidátů a volených zástupců a dopad a role umělé inteligence a dalších nových technologií ve volebních procesech</w:t>
      </w:r>
      <w:r>
        <w:rPr>
          <w:vertAlign w:val="superscript"/>
        </w:rPr>
        <w:t>42</w:t>
      </w:r>
      <w:r>
        <w:t xml:space="preserve">. Na základě výměn v ECNE Komise připraví </w:t>
      </w:r>
      <w:proofErr w:type="spellStart"/>
      <w:r>
        <w:rPr>
          <w:b/>
        </w:rPr>
        <w:t>repozitář</w:t>
      </w:r>
      <w:proofErr w:type="spellEnd"/>
      <w:r>
        <w:rPr>
          <w:b/>
        </w:rPr>
        <w:t xml:space="preserve"> společných referencí a standardů pro volební procesy</w:t>
      </w:r>
      <w:r>
        <w:rPr>
          <w:vertAlign w:val="superscript"/>
        </w:rPr>
        <w:footnoteReference w:id="37"/>
      </w:r>
      <w:r>
        <w:t xml:space="preserve">. Komise bude podporovat používání společného </w:t>
      </w:r>
      <w:r>
        <w:rPr>
          <w:b/>
        </w:rPr>
        <w:t xml:space="preserve"> </w:t>
      </w:r>
    </w:p>
    <w:p w14:paraId="42291E99"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0CB033A6" wp14:editId="5EBA110A">
                <wp:extent cx="1829054" cy="7620"/>
                <wp:effectExtent l="0" t="0" r="0" b="0"/>
                <wp:docPr id="52846" name="Group 5284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58" name="Shape 557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2846" style="width:144.02pt;height:0.599976pt;mso-position-horizontal-relative:char;mso-position-vertical-relative:line" coordsize="18290,76">
                <v:shape id="Shape 55759"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3E879B66" w14:textId="77777777" w:rsidR="00A01CF9" w:rsidRDefault="00676706">
      <w:pPr>
        <w:ind w:left="869" w:right="860"/>
      </w:pPr>
      <w:r>
        <w:rPr>
          <w:b/>
        </w:rPr>
        <w:t xml:space="preserve">mechanismus pro volební odolnost, podporovat </w:t>
      </w:r>
      <w:r>
        <w:t xml:space="preserve">vzájemnou výměnu, vzájemnou dobrovolnou pomoc, společné školení a stolní cvičení. Také podpoří </w:t>
      </w:r>
      <w:r>
        <w:rPr>
          <w:b/>
        </w:rPr>
        <w:t xml:space="preserve">krátkodobou výměnu národních expertů </w:t>
      </w:r>
      <w:r>
        <w:t xml:space="preserve">mezi členskými státy. Protože kandidátské země a potenciální kandidáti EU jsou pravidelně terčem volebního zasahování, budou úžeji a systematicky spojeni s prací ECNE, včetně specializovaných setkání. Kromě toho bude usilovat o další spolupráci s mezinárodními organizacemi vyvíjejícími referenční rámce a metodiky pro volby, včetně pozorování voleb, jako jsou OBSE a Rada Evropy.  </w:t>
      </w:r>
    </w:p>
    <w:p w14:paraId="73615B0A" w14:textId="77777777" w:rsidR="00A01CF9" w:rsidRDefault="00676706">
      <w:pPr>
        <w:ind w:left="869" w:right="860"/>
      </w:pPr>
      <w:r>
        <w:t xml:space="preserve">Na základě legislativního rámce EU a nástrojů politiky </w:t>
      </w:r>
      <w:r>
        <w:rPr>
          <w:vertAlign w:val="superscript"/>
        </w:rPr>
        <w:footnoteReference w:id="38"/>
      </w:r>
      <w:r>
        <w:t xml:space="preserve">bude Komise dále spolupracovat s členskými státy a zainteresovanými stranami na přípravě speciálních </w:t>
      </w:r>
      <w:r>
        <w:rPr>
          <w:b/>
        </w:rPr>
        <w:t>pokynů pro spravedlivé, transparentní, na člověka zaměřené a odpovědné využívání AI ve volebních procesech</w:t>
      </w:r>
      <w:r>
        <w:t xml:space="preserve">. Na základě těchto pokynů, připravených s podporou ECNE a Evropského úřadu pro umělou inteligenci, bude Komise podporovat </w:t>
      </w:r>
      <w:r>
        <w:rPr>
          <w:b/>
        </w:rPr>
        <w:t xml:space="preserve">dobrovolné závazky k odpovědnému využívání nových technologií </w:t>
      </w:r>
      <w:r>
        <w:t xml:space="preserve">(zejména AI) v politických aktivitách evropských a národních politických stran a dalších relevantních aktérů a dále podporovat sdílení osvědčených postupů v těchto oblastech.  doplňující stávající právní závazky.  </w:t>
      </w:r>
    </w:p>
    <w:p w14:paraId="78EE774E" w14:textId="77777777" w:rsidR="00A01CF9" w:rsidRDefault="00676706">
      <w:pPr>
        <w:spacing w:after="159"/>
        <w:ind w:left="869" w:right="860"/>
      </w:pPr>
      <w:r>
        <w:rPr>
          <w:b/>
        </w:rPr>
        <w:t xml:space="preserve">Online platformy a vyhledávače </w:t>
      </w:r>
      <w:r>
        <w:t xml:space="preserve">se staly důležitými místy veřejné debaty a formování veřejného mínění a chování voličů. Poskytovatelé VLOP a VLOSE mají proto podle DSA povinnost zavést opatření ke zmírnění rizik souvisejících s negativními dopady na občanský diskurz a volební </w:t>
      </w:r>
      <w:r>
        <w:rPr>
          <w:vertAlign w:val="superscript"/>
        </w:rPr>
        <w:footnoteReference w:id="39"/>
      </w:r>
      <w:r>
        <w:t xml:space="preserve">procesy. Aby podpořila dodržování těchto povinností, Komise přijala </w:t>
      </w:r>
      <w:r>
        <w:rPr>
          <w:b/>
        </w:rPr>
        <w:lastRenderedPageBreak/>
        <w:t>směrnice ke zmírnění systémových rizik pro volební procesy</w:t>
      </w:r>
      <w:r>
        <w:rPr>
          <w:vertAlign w:val="superscript"/>
        </w:rPr>
        <w:footnoteReference w:id="40"/>
      </w:r>
      <w:r>
        <w:rPr>
          <w:b/>
        </w:rPr>
        <w:t xml:space="preserve"> </w:t>
      </w:r>
      <w:r>
        <w:t>a spolupracuje s národními orgány členských států na jejich připravenosti před volbami</w:t>
      </w:r>
      <w:r>
        <w:rPr>
          <w:vertAlign w:val="superscript"/>
        </w:rPr>
        <w:footnoteReference w:id="41"/>
      </w:r>
      <w:r>
        <w:t xml:space="preserve">. Společně s národními koordinátory digitálních služeb Komise </w:t>
      </w:r>
      <w:r>
        <w:rPr>
          <w:b/>
        </w:rPr>
        <w:t>aktualizuje Nástrojovou sadu voleb DSA</w:t>
      </w:r>
      <w:r>
        <w:t xml:space="preserve"> ve spolupráci s ECNE, aby zohlednila zkušenosti z nedávných voleb a potřebu pokrýt konkrétní jevy</w:t>
      </w:r>
      <w:r>
        <w:rPr>
          <w:vertAlign w:val="superscript"/>
        </w:rPr>
        <w:footnoteReference w:id="42"/>
      </w:r>
      <w:r>
        <w:t xml:space="preserve">. </w:t>
      </w:r>
    </w:p>
    <w:p w14:paraId="6F63E218" w14:textId="77777777" w:rsidR="00A01CF9" w:rsidRDefault="00676706">
      <w:pPr>
        <w:spacing w:after="43"/>
        <w:ind w:left="869" w:right="860"/>
      </w:pPr>
      <w:r>
        <w:t xml:space="preserve">Kodex </w:t>
      </w:r>
      <w:r>
        <w:rPr>
          <w:b/>
        </w:rPr>
        <w:t xml:space="preserve">chování o dezinformacích </w:t>
      </w:r>
      <w:r>
        <w:t xml:space="preserve">bude i nadále hrát klíčovou roli v řešení hrozeb souvisejících s volbami prostřednictvím svého dobrovolného přístupu s více zainteresovanými stranami, zejména prostřednictvím </w:t>
      </w:r>
      <w:r>
        <w:rPr>
          <w:b/>
        </w:rPr>
        <w:t xml:space="preserve">systému rychlé reakce </w:t>
      </w:r>
      <w:r>
        <w:t xml:space="preserve">pro volby, který umožňuje </w:t>
      </w:r>
      <w:proofErr w:type="spellStart"/>
      <w:r>
        <w:t>neplatformovým</w:t>
      </w:r>
      <w:proofErr w:type="spellEnd"/>
      <w:r>
        <w:t xml:space="preserve"> signatářům, jako jsou organizace občanské společnosti, rychle hlásit časově citlivý obsah nebo účty, které považují za vhodné </w:t>
      </w:r>
    </w:p>
    <w:p w14:paraId="65E5AF2C"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232C8D24" wp14:editId="7F2F761E">
                <wp:extent cx="1829054" cy="7620"/>
                <wp:effectExtent l="0" t="0" r="0" b="0"/>
                <wp:docPr id="53467" name="Group 5346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60" name="Shape 557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3467" style="width:144.02pt;height:0.599976pt;mso-position-horizontal-relative:char;mso-position-vertical-relative:line" coordsize="18290,76">
                <v:shape id="Shape 55761"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377E1FF3" w14:textId="77777777" w:rsidR="00A01CF9" w:rsidRDefault="00676706">
      <w:pPr>
        <w:ind w:left="869" w:right="860"/>
      </w:pPr>
      <w:r>
        <w:t>představují hrozby pro integritu volebního procesu pro online platformy, aby zajistily, že tyto mohou přijmout odpovídající opatření vzhledem ke svým politickým politikám. To by mělo být dále rozvíjeno a rozšiřováno, včetně krizových situací</w:t>
      </w:r>
      <w:r>
        <w:rPr>
          <w:vertAlign w:val="superscript"/>
        </w:rPr>
        <w:footnoteReference w:id="43"/>
      </w:r>
      <w:r>
        <w:t xml:space="preserve">. Nová práce související s volbami v rámci tohoto kodexu se zaměří na mapování a analýzu nových a vznikajících hrozeb spojených s kampaněmi manipulace s informacemi, které jsou během volebních období stále častěji pozorovány. Signatáři kodexu jsou vyzýváni, aby tento přístup rozvíjeli ve své práci v rámci pracovní skupiny kodexu, identifikovali osvědčené postupy a vycházeli z poznatků získaných z předchozích voleb do EU a národních voleb. </w:t>
      </w:r>
    </w:p>
    <w:p w14:paraId="7C9C7581" w14:textId="77777777" w:rsidR="00A01CF9" w:rsidRDefault="00676706">
      <w:pPr>
        <w:spacing w:after="162"/>
        <w:ind w:left="869" w:right="860"/>
      </w:pPr>
      <w:proofErr w:type="spellStart"/>
      <w:r>
        <w:rPr>
          <w:b/>
        </w:rPr>
        <w:t>Influenceři</w:t>
      </w:r>
      <w:proofErr w:type="spellEnd"/>
      <w:r>
        <w:rPr>
          <w:b/>
        </w:rPr>
        <w:t xml:space="preserve"> </w:t>
      </w:r>
      <w:r>
        <w:t xml:space="preserve">hrají stále významnější roli v online politických kampaních. Na základě EU Influencer Legal Hub Komise podpoří zřízení dobrovolné </w:t>
      </w:r>
      <w:r>
        <w:rPr>
          <w:b/>
        </w:rPr>
        <w:t xml:space="preserve">sítě influencerů, </w:t>
      </w:r>
      <w:r>
        <w:t>která bude zvyšovat povědomí o relevantních pravidlech EU</w:t>
      </w:r>
      <w:r>
        <w:rPr>
          <w:vertAlign w:val="superscript"/>
        </w:rPr>
        <w:footnoteReference w:id="44"/>
      </w:r>
      <w:r>
        <w:t xml:space="preserve">, včetně jejich odpovědnosti při politickém angažování a podporovat výměnu osvědčených postupů. Komise také bude podporovat etické standardy a dobrovolné závazky, včetně těch týkajících se integrity informací, a podporovat práci influencerů na podporu digitální gramotnosti.  </w:t>
      </w:r>
    </w:p>
    <w:p w14:paraId="1954D9F7" w14:textId="77777777" w:rsidR="00A01CF9" w:rsidRDefault="00676706">
      <w:pPr>
        <w:spacing w:after="164"/>
        <w:ind w:left="869" w:right="860"/>
      </w:pPr>
      <w:r>
        <w:rPr>
          <w:b/>
        </w:rPr>
        <w:t>Transparentnost a odpovědnost financování v politice</w:t>
      </w:r>
      <w:r>
        <w:t>, včetně financování kampaní, jsou klíčové pro prevenci zasahování a zásadní pro zajištění rovných podmínek mezi politickými stranami a kandidáty a pro udržení důvěry občanů v integritu a férovost voleb. Na základě relevantních pravidel a standardů EU</w:t>
      </w:r>
      <w:r>
        <w:rPr>
          <w:vertAlign w:val="superscript"/>
        </w:rPr>
        <w:footnoteReference w:id="45"/>
      </w:r>
      <w:r>
        <w:t xml:space="preserve"> bude Komise podporovat společnou spolupráci s členskými státy na </w:t>
      </w:r>
      <w:r>
        <w:rPr>
          <w:b/>
        </w:rPr>
        <w:t>transparentnosti a integritě financování v politice</w:t>
      </w:r>
      <w:r>
        <w:t xml:space="preserve">, zaměřující se na otázky společného zájmu, jako jsou anonymní dary a kryptoměny, které lze použít k </w:t>
      </w:r>
      <w:r>
        <w:lastRenderedPageBreak/>
        <w:t>financování aktivit způsobem, který není transparentní a obtížně odhalitelný. Komise sdruží národní experty, zejména pod záštitou ECNE a v úzké spolupráci s dalšími sítěmi EU a zapojenými zainteresovanými stranami</w:t>
      </w:r>
      <w:r>
        <w:rPr>
          <w:vertAlign w:val="superscript"/>
        </w:rPr>
        <w:footnoteReference w:id="46"/>
      </w:r>
      <w:r>
        <w:t xml:space="preserve">, aby si vyměňovali </w:t>
      </w:r>
      <w:r>
        <w:rPr>
          <w:b/>
        </w:rPr>
        <w:t xml:space="preserve">osvědčené postupy, připravovali možné směrnice a </w:t>
      </w:r>
      <w:proofErr w:type="spellStart"/>
      <w:r>
        <w:rPr>
          <w:b/>
        </w:rPr>
        <w:t>podpořovali</w:t>
      </w:r>
      <w:proofErr w:type="spellEnd"/>
      <w:r>
        <w:rPr>
          <w:b/>
        </w:rPr>
        <w:t xml:space="preserve"> společné aktivity</w:t>
      </w:r>
      <w:r>
        <w:t xml:space="preserve">.  </w:t>
      </w:r>
    </w:p>
    <w:p w14:paraId="673A9532" w14:textId="77777777" w:rsidR="00A01CF9" w:rsidRDefault="00676706">
      <w:pPr>
        <w:spacing w:after="313"/>
        <w:ind w:left="869" w:right="860"/>
      </w:pPr>
      <w:r>
        <w:t xml:space="preserve">Společenský a technologický vývoj, zejména online, poskytuje nové příležitosti pro politické strany a kandidáty oslovit voliče, ale zároveň přináší nové výzvy. Rychlá změna informačního prostředí, napětí a polarizace vedly k tomu, že političtí kandidáti a volení zástupci jsou stále více vystaveni hrozbám, útokům a násilí, ať už online nebo </w:t>
      </w:r>
      <w:proofErr w:type="spellStart"/>
      <w:r>
        <w:t>offline</w:t>
      </w:r>
      <w:proofErr w:type="spellEnd"/>
      <w:r>
        <w:rPr>
          <w:vertAlign w:val="superscript"/>
        </w:rPr>
        <w:footnoteReference w:id="47"/>
      </w:r>
      <w:r>
        <w:t>. Ženy v politice jsou zvláštním terčem takového chování</w:t>
      </w:r>
      <w:r>
        <w:rPr>
          <w:vertAlign w:val="superscript"/>
        </w:rPr>
        <w:footnoteReference w:id="48"/>
      </w:r>
      <w:r>
        <w:t xml:space="preserve">, </w:t>
      </w:r>
    </w:p>
    <w:p w14:paraId="4D7A8F68"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5AD34725" wp14:editId="765D4628">
                <wp:extent cx="1829054" cy="7620"/>
                <wp:effectExtent l="0" t="0" r="0" b="0"/>
                <wp:docPr id="49654" name="Group 4965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62" name="Shape 557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9654" style="width:144.02pt;height:0.599976pt;mso-position-horizontal-relative:char;mso-position-vertical-relative:line" coordsize="18290,76">
                <v:shape id="Shape 55763"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71DC665D" w14:textId="77777777" w:rsidR="00A01CF9" w:rsidRDefault="00676706">
      <w:pPr>
        <w:ind w:left="869" w:right="860"/>
      </w:pPr>
      <w:r>
        <w:t>což je může odradit od kandidatury a v některých případech je přimět rezignovat na volené funkce, což má jasný negativní dopad na demokratické zastoupení, zatímco jsou v politice stále nedostatečně zastoupeni</w:t>
      </w:r>
      <w:r>
        <w:rPr>
          <w:vertAlign w:val="superscript"/>
        </w:rPr>
        <w:footnoteReference w:id="49"/>
      </w:r>
      <w:r>
        <w:t xml:space="preserve">. Aby  byla </w:t>
      </w:r>
      <w:r>
        <w:rPr>
          <w:b/>
        </w:rPr>
        <w:t>lépe zajištěna bezpečnost politických kandidátů a volených zástupců</w:t>
      </w:r>
      <w:r>
        <w:t xml:space="preserve">, komise přijme </w:t>
      </w:r>
      <w:r>
        <w:rPr>
          <w:b/>
        </w:rPr>
        <w:t>doporučení o bezpečnosti v politice</w:t>
      </w:r>
      <w:r>
        <w:rPr>
          <w:b/>
          <w:vertAlign w:val="superscript"/>
        </w:rPr>
        <w:footnoteReference w:id="50"/>
      </w:r>
      <w:r>
        <w:t xml:space="preserve">. Komise bude také v rámci ECNE a v úzké spolupráci s příslušnými zainteresovanými stranami pracovat na přípravě specializovaného </w:t>
      </w:r>
      <w:r>
        <w:rPr>
          <w:b/>
        </w:rPr>
        <w:t>průvodce osvědčenými postupy</w:t>
      </w:r>
      <w:r>
        <w:t xml:space="preserve"> a podporou budování kapacit, praktické podpory, sběru dat a dobrovolných závazků (např. závazky a kodexy chování) a etických standardů v této oblasti. Zvláštní pozornost bude v rámci tohoto pracovního pole věnována ženám a dalším skupinám s vyšším rizikem diskriminace a situaci místních politiků.  </w:t>
      </w:r>
    </w:p>
    <w:p w14:paraId="2F4FF8F8" w14:textId="77777777" w:rsidR="00A01CF9" w:rsidRDefault="00676706">
      <w:pPr>
        <w:spacing w:after="155"/>
        <w:ind w:left="869" w:right="860"/>
      </w:pPr>
      <w:r>
        <w:t xml:space="preserve">Hrozby pro integritu volebních procesů jsou složité a mnohovrstevné, vyžadují připravenost a reakci napříč širokým spektrem politik a aktérů. Nedávné zkušenosti Moldavska ukazují, že FIMI lze odolat a jeho dopad snížit a že připravenost, pevný politický závazek, efektivní koordinace a podpora EU mohou výrazně zvýšit demokratickou odolnost vůči hybridním hrozbám.  </w:t>
      </w:r>
    </w:p>
    <w:p w14:paraId="2A0F0D40" w14:textId="77777777" w:rsidR="00A01CF9" w:rsidRDefault="00676706">
      <w:pPr>
        <w:pStyle w:val="Nadpis4"/>
        <w:pBdr>
          <w:top w:val="single" w:sz="4" w:space="0" w:color="000000"/>
          <w:left w:val="single" w:sz="4" w:space="0" w:color="000000"/>
          <w:right w:val="single" w:sz="4" w:space="0" w:color="000000"/>
        </w:pBdr>
        <w:spacing w:after="139"/>
        <w:ind w:left="859" w:right="854" w:firstLine="0"/>
      </w:pPr>
      <w:r>
        <w:rPr>
          <w:i w:val="0"/>
        </w:rPr>
        <w:t xml:space="preserve">Příklady hrozeb a přístupu k reakci: případová studie Moldavska </w:t>
      </w:r>
    </w:p>
    <w:p w14:paraId="1E7C0AD9" w14:textId="77777777" w:rsidR="00A01CF9" w:rsidRDefault="00676706">
      <w:pPr>
        <w:pBdr>
          <w:top w:val="single" w:sz="4" w:space="0" w:color="000000"/>
          <w:left w:val="single" w:sz="4" w:space="0" w:color="000000"/>
          <w:right w:val="single" w:sz="4" w:space="0" w:color="000000"/>
        </w:pBdr>
        <w:spacing w:after="138" w:line="278" w:lineRule="auto"/>
        <w:ind w:left="869" w:right="854"/>
      </w:pPr>
      <w:r>
        <w:t>V roce 2024 Moldavsko uspořádalo prezidentské volby a referendum o tom, zda zakotvit své ambice v EU do ústavy, a to uprostřed rozsáhlých ruských dezinformací, vměšování a kupování hlasů. Parlamentní volby v září 2025 přinesly intenzivní ruské hybridní hrozby, včetně kybernetických útoků, falešných bombových poplachů, FIMI a dezinformací</w:t>
      </w:r>
      <w:r>
        <w:rPr>
          <w:vertAlign w:val="superscript"/>
        </w:rPr>
        <w:footnoteReference w:id="51"/>
      </w:r>
      <w:r>
        <w:t xml:space="preserve"> včetně umělého </w:t>
      </w:r>
      <w:r>
        <w:lastRenderedPageBreak/>
        <w:t>zesilování profilů některých kandidátů nebo stran, rozsáhlého používání AI generovaného obsahu, falešných mediálních stránek a kupování hlasů</w:t>
      </w:r>
      <w:r>
        <w:rPr>
          <w:vertAlign w:val="superscript"/>
        </w:rPr>
        <w:footnoteReference w:id="52"/>
      </w:r>
      <w:r>
        <w:t xml:space="preserve">. </w:t>
      </w:r>
    </w:p>
    <w:p w14:paraId="17B8DBF5" w14:textId="77777777" w:rsidR="00A01CF9" w:rsidRDefault="00676706">
      <w:pPr>
        <w:pBdr>
          <w:top w:val="single" w:sz="4" w:space="0" w:color="000000"/>
          <w:left w:val="single" w:sz="4" w:space="0" w:color="000000"/>
          <w:right w:val="single" w:sz="4" w:space="0" w:color="000000"/>
        </w:pBdr>
        <w:spacing w:after="256" w:line="278" w:lineRule="auto"/>
        <w:ind w:left="869" w:right="854"/>
      </w:pPr>
      <w:r>
        <w:t xml:space="preserve">V kontextu procesu vstupu do EU Moldavsko posílilo svou odolnost komplexním a komplexním přístupem zaměřeným na řešení FIMI a dezinformací již na počátku. S pomocí EU a dalších partnerů Moldavsko posílilo svou kybernetickou a vnitřní bezpečnost, soudní integritu, schopnost vyšetřovacích orgánů odhalovat nelegální finanční toky – včetně kryptoměn, strategické komunikační schopnosti a schopnost poskytovat služby obyvatelstvu i během krizí (např. energetika a příliv osob prchající před ruskou válkou proti Ukrajině), aby pomohlo řešit trhliny v národní soudržnosti. Národní volební komise podnikla rozhodná opatření ohledně porušení pravidel financování stran. Nově založené centrum StratCom koordinovalo implementaci </w:t>
      </w:r>
    </w:p>
    <w:p w14:paraId="29DB1787"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73596610" wp14:editId="47AD65A1">
                <wp:extent cx="1829054" cy="7621"/>
                <wp:effectExtent l="0" t="0" r="0" b="0"/>
                <wp:docPr id="53466" name="Group 53466"/>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55764" name="Shape 557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3466" style="width:144.02pt;height:0.600098pt;mso-position-horizontal-relative:char;mso-position-vertical-relative:line" coordsize="18290,76">
                <v:shape id="Shape 5576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5522617F" w14:textId="77777777" w:rsidR="00A01CF9" w:rsidRDefault="00676706">
      <w:pPr>
        <w:pBdr>
          <w:left w:val="single" w:sz="4" w:space="0" w:color="000000"/>
          <w:bottom w:val="single" w:sz="4" w:space="0" w:color="000000"/>
          <w:right w:val="single" w:sz="4" w:space="0" w:color="000000"/>
        </w:pBdr>
        <w:spacing w:after="116" w:line="279" w:lineRule="auto"/>
        <w:ind w:left="869" w:right="856"/>
      </w:pPr>
      <w:r>
        <w:t xml:space="preserve">vícestranné strategické komunikační rámce pro posílení odolnosti společnosti vůči FIMI založené na komplexní analýze a předvídavosti. </w:t>
      </w:r>
    </w:p>
    <w:p w14:paraId="23031B9B" w14:textId="77777777" w:rsidR="00A01CF9" w:rsidRDefault="00676706">
      <w:pPr>
        <w:pBdr>
          <w:left w:val="single" w:sz="4" w:space="0" w:color="000000"/>
          <w:bottom w:val="single" w:sz="4" w:space="0" w:color="000000"/>
          <w:right w:val="single" w:sz="4" w:space="0" w:color="000000"/>
        </w:pBdr>
        <w:spacing w:after="144" w:line="279" w:lineRule="auto"/>
        <w:ind w:left="869" w:right="856"/>
      </w:pPr>
      <w:r>
        <w:t>Pro podporu situačního povědomí a připravenosti bylo zřízeno nové regionální centrum Evropské observatoře digitálních médií zaměřené na ruské dezinformace a pokrývající Moldavsko a Ukrajinu</w:t>
      </w:r>
      <w:r>
        <w:rPr>
          <w:vertAlign w:val="superscript"/>
        </w:rPr>
        <w:footnoteReference w:id="53"/>
      </w:r>
      <w:r>
        <w:t>. Komise také společně s Delegací EU a Misí partnerství EU (EUPM) zorganizovala simulaci dezinformací a kybernetických hrozeb za účelem zvýšení připravenosti související s hybridními hrozbami v Moldavsku</w:t>
      </w:r>
      <w:r>
        <w:rPr>
          <w:vertAlign w:val="superscript"/>
        </w:rPr>
        <w:footnoteReference w:id="54"/>
      </w:r>
      <w:r>
        <w:t xml:space="preserve"> a usnadnila dočasný eskalační mechanismus mezi čtyřmi hlavními online platformami, signatáři Kodexu chování o dezinformacích, a místními aktéry občanské společnosti</w:t>
      </w:r>
      <w:r>
        <w:rPr>
          <w:vertAlign w:val="superscript"/>
        </w:rPr>
        <w:footnoteReference w:id="55"/>
      </w:r>
      <w:r>
        <w:t xml:space="preserve">. </w:t>
      </w:r>
    </w:p>
    <w:p w14:paraId="4946D450" w14:textId="77777777" w:rsidR="00A01CF9" w:rsidRDefault="00676706">
      <w:pPr>
        <w:pBdr>
          <w:left w:val="single" w:sz="4" w:space="0" w:color="000000"/>
          <w:bottom w:val="single" w:sz="4" w:space="0" w:color="000000"/>
          <w:right w:val="single" w:sz="4" w:space="0" w:color="000000"/>
        </w:pBdr>
        <w:spacing w:after="144" w:line="279" w:lineRule="auto"/>
        <w:ind w:left="869" w:right="856"/>
      </w:pPr>
      <w:r>
        <w:t xml:space="preserve">Nepřetržité úsilí moldavských národních orgánů, občanské společnosti a nezávislých médií, stejně jako podpora EU, včetně misí pozorování voleb, sehrály klíčovou roli při odhalování zásahů, podpoře mediální gramotnosti a boji proti dezinformacím prostřednictvím faktické komunikace. Tato zkušenost ukázala, že hlavní zranitelnosti se vyskytly v online prostoru a že je nezbytné pokračující zapojení jak národních orgánů, tak EU k zajištění digitální odpovědnosti na podporu demokracie. </w:t>
      </w:r>
    </w:p>
    <w:p w14:paraId="3D4BD415" w14:textId="77777777" w:rsidR="00A01CF9" w:rsidRDefault="00676706">
      <w:pPr>
        <w:ind w:left="869" w:right="860"/>
      </w:pPr>
      <w:r>
        <w:t xml:space="preserve">Posilování volební integrity je také ústřední prioritou vnější politiky EU. Je to strategický imperativ, protože mnoho výzev a útoků na evropské demokracie a volební procesy je nadnárodní povahou a lze je skutečně chránit pouze tehdy, pokud je EU obklopena odolnými demokraciemi. Nedávné volby v této čtvrti zdůraznily potřebu reagovat na žádosti národních úřadů o pomoc v boji proti dezinformacím na sociálních sítích. EU posílí svou podporu mezinárodním misím pozorování voleb, které jsou přítomny přímo na místě. </w:t>
      </w:r>
    </w:p>
    <w:p w14:paraId="21140D5C" w14:textId="77777777" w:rsidR="00A01CF9" w:rsidRDefault="00676706">
      <w:pPr>
        <w:spacing w:after="0"/>
        <w:ind w:left="869" w:right="860"/>
      </w:pPr>
      <w:r>
        <w:lastRenderedPageBreak/>
        <w:t xml:space="preserve">Práce pod Evropským centrem pro demokratickou odolnost přispěje k posílení spravedlnosti a integrity volebních a dalších demokratických procesů. Spolupráce a výměna mezi centrem a příslušnými strukturami na úrovni EU a mechanismy spolupráce v této oblasti budou plně respektovat platné právní rámce, nezávislost nebo specifika těchto struktur a jejich účastníků a stávající postupy (např. ECNE, síť národních kontaktních míst pro politickou reklamu nebo Radu pro digitální služby).  </w:t>
      </w:r>
    </w:p>
    <w:tbl>
      <w:tblPr>
        <w:tblStyle w:val="TableGrid"/>
        <w:tblW w:w="9018" w:type="dxa"/>
        <w:tblInd w:w="879" w:type="dxa"/>
        <w:tblCellMar>
          <w:top w:w="14" w:type="dxa"/>
          <w:left w:w="108" w:type="dxa"/>
          <w:right w:w="53" w:type="dxa"/>
        </w:tblCellMar>
        <w:tblLook w:val="04A0" w:firstRow="1" w:lastRow="0" w:firstColumn="1" w:lastColumn="0" w:noHBand="0" w:noVBand="1"/>
      </w:tblPr>
      <w:tblGrid>
        <w:gridCol w:w="9018"/>
      </w:tblGrid>
      <w:tr w:rsidR="00A01CF9" w14:paraId="0DA3F35B" w14:textId="77777777">
        <w:trPr>
          <w:trHeight w:val="2012"/>
        </w:trPr>
        <w:tc>
          <w:tcPr>
            <w:tcW w:w="9018" w:type="dxa"/>
            <w:tcBorders>
              <w:top w:val="single" w:sz="4" w:space="0" w:color="000000"/>
              <w:left w:val="single" w:sz="4" w:space="0" w:color="000000"/>
              <w:bottom w:val="single" w:sz="4" w:space="0" w:color="000000"/>
              <w:right w:val="single" w:sz="4" w:space="0" w:color="000000"/>
            </w:tcBorders>
          </w:tcPr>
          <w:p w14:paraId="19515332" w14:textId="77777777" w:rsidR="00A01CF9" w:rsidRDefault="00676706">
            <w:pPr>
              <w:spacing w:after="0" w:line="259" w:lineRule="auto"/>
              <w:ind w:left="0" w:firstLine="0"/>
              <w:jc w:val="left"/>
            </w:pPr>
            <w:r>
              <w:rPr>
                <w:i/>
              </w:rPr>
              <w:t xml:space="preserve">Akce:  </w:t>
            </w:r>
          </w:p>
          <w:p w14:paraId="5FF177A9" w14:textId="77777777" w:rsidR="00A01CF9" w:rsidRDefault="00676706">
            <w:pPr>
              <w:numPr>
                <w:ilvl w:val="0"/>
                <w:numId w:val="4"/>
              </w:numPr>
              <w:spacing w:after="21" w:line="239" w:lineRule="auto"/>
              <w:ind w:hanging="360"/>
              <w:jc w:val="left"/>
            </w:pPr>
            <w:r>
              <w:rPr>
                <w:i/>
              </w:rPr>
              <w:t xml:space="preserve">Podpora posílené spolupráce s členskými státy v rámci Evropské sítě pro volby (ECNE) za účelem posílení volební integrity a připravenosti voleb </w:t>
            </w:r>
          </w:p>
          <w:p w14:paraId="4D8867B5" w14:textId="77777777" w:rsidR="00A01CF9" w:rsidRDefault="00676706">
            <w:pPr>
              <w:numPr>
                <w:ilvl w:val="0"/>
                <w:numId w:val="4"/>
              </w:numPr>
              <w:spacing w:after="0" w:line="259" w:lineRule="auto"/>
              <w:ind w:hanging="360"/>
              <w:jc w:val="left"/>
            </w:pPr>
            <w:r>
              <w:rPr>
                <w:i/>
              </w:rPr>
              <w:t xml:space="preserve">Připravit pokyny k využití AI v volebních procesech </w:t>
            </w:r>
          </w:p>
          <w:p w14:paraId="04FF7861" w14:textId="77777777" w:rsidR="00A01CF9" w:rsidRDefault="00676706">
            <w:pPr>
              <w:numPr>
                <w:ilvl w:val="0"/>
                <w:numId w:val="4"/>
              </w:numPr>
              <w:spacing w:after="0" w:line="259" w:lineRule="auto"/>
              <w:ind w:hanging="360"/>
              <w:jc w:val="left"/>
            </w:pPr>
            <w:r>
              <w:rPr>
                <w:i/>
              </w:rPr>
              <w:t xml:space="preserve">Aktualizace volebního nástroje zákona o digitálních službách </w:t>
            </w:r>
          </w:p>
          <w:p w14:paraId="57B9CABF" w14:textId="77777777" w:rsidR="00A01CF9" w:rsidRDefault="00676706">
            <w:pPr>
              <w:numPr>
                <w:ilvl w:val="0"/>
                <w:numId w:val="4"/>
              </w:numPr>
              <w:spacing w:after="0" w:line="259" w:lineRule="auto"/>
              <w:ind w:hanging="360"/>
              <w:jc w:val="left"/>
            </w:pPr>
            <w:r>
              <w:rPr>
                <w:i/>
              </w:rPr>
              <w:t xml:space="preserve">Podpořte vznik dobrovolné sítě influencerů v EU  </w:t>
            </w:r>
          </w:p>
        </w:tc>
      </w:tr>
    </w:tbl>
    <w:p w14:paraId="65BBA819"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6220A807" wp14:editId="19DB0CE1">
                <wp:extent cx="1829054" cy="7620"/>
                <wp:effectExtent l="0" t="0" r="0" b="0"/>
                <wp:docPr id="50702" name="Group 5070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66" name="Shape 557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0702" style="width:144.02pt;height:0.600037pt;mso-position-horizontal-relative:char;mso-position-vertical-relative:line" coordsize="18290,76">
                <v:shape id="Shape 55767"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tbl>
      <w:tblPr>
        <w:tblStyle w:val="TableGrid"/>
        <w:tblW w:w="9018" w:type="dxa"/>
        <w:tblInd w:w="879" w:type="dxa"/>
        <w:tblCellMar>
          <w:top w:w="14" w:type="dxa"/>
          <w:right w:w="49" w:type="dxa"/>
        </w:tblCellMar>
        <w:tblLook w:val="04A0" w:firstRow="1" w:lastRow="0" w:firstColumn="1" w:lastColumn="0" w:noHBand="0" w:noVBand="1"/>
      </w:tblPr>
      <w:tblGrid>
        <w:gridCol w:w="828"/>
        <w:gridCol w:w="8190"/>
      </w:tblGrid>
      <w:tr w:rsidR="00A01CF9" w14:paraId="7ADD8403" w14:textId="77777777">
        <w:trPr>
          <w:trHeight w:val="587"/>
        </w:trPr>
        <w:tc>
          <w:tcPr>
            <w:tcW w:w="828" w:type="dxa"/>
            <w:tcBorders>
              <w:top w:val="single" w:sz="4" w:space="0" w:color="000000"/>
              <w:left w:val="single" w:sz="4" w:space="0" w:color="000000"/>
              <w:bottom w:val="nil"/>
              <w:right w:val="nil"/>
            </w:tcBorders>
          </w:tcPr>
          <w:p w14:paraId="6B2CB034" w14:textId="77777777" w:rsidR="00A01CF9" w:rsidRDefault="00676706">
            <w:pPr>
              <w:spacing w:after="0" w:line="259" w:lineRule="auto"/>
              <w:ind w:left="267" w:firstLine="0"/>
              <w:jc w:val="center"/>
            </w:pPr>
            <w:r>
              <w:rPr>
                <w:rFonts w:ascii="Segoe UI Symbol" w:eastAsia="Segoe UI Symbol" w:hAnsi="Segoe UI Symbol" w:cs="Segoe UI Symbol"/>
              </w:rPr>
              <w:t xml:space="preserve">• </w:t>
            </w:r>
          </w:p>
        </w:tc>
        <w:tc>
          <w:tcPr>
            <w:tcW w:w="8190" w:type="dxa"/>
            <w:tcBorders>
              <w:top w:val="single" w:sz="4" w:space="0" w:color="000000"/>
              <w:left w:val="nil"/>
              <w:bottom w:val="nil"/>
              <w:right w:val="single" w:sz="4" w:space="0" w:color="000000"/>
            </w:tcBorders>
          </w:tcPr>
          <w:p w14:paraId="2C70B506" w14:textId="77777777" w:rsidR="00A01CF9" w:rsidRDefault="00676706">
            <w:pPr>
              <w:spacing w:after="0" w:line="259" w:lineRule="auto"/>
              <w:ind w:left="0" w:firstLine="0"/>
            </w:pPr>
            <w:r>
              <w:rPr>
                <w:i/>
              </w:rPr>
              <w:t xml:space="preserve">Podporovat společnou spolupráci s členskými státy na transparentnosti a integritě financování v politice </w:t>
            </w:r>
          </w:p>
        </w:tc>
      </w:tr>
      <w:tr w:rsidR="00A01CF9" w14:paraId="605DF08C" w14:textId="77777777">
        <w:trPr>
          <w:trHeight w:val="569"/>
        </w:trPr>
        <w:tc>
          <w:tcPr>
            <w:tcW w:w="828" w:type="dxa"/>
            <w:tcBorders>
              <w:top w:val="nil"/>
              <w:left w:val="single" w:sz="4" w:space="0" w:color="000000"/>
              <w:bottom w:val="nil"/>
              <w:right w:val="nil"/>
            </w:tcBorders>
          </w:tcPr>
          <w:p w14:paraId="1F1E6951" w14:textId="77777777" w:rsidR="00A01CF9" w:rsidRDefault="00676706">
            <w:pPr>
              <w:spacing w:after="0" w:line="259" w:lineRule="auto"/>
              <w:ind w:left="267" w:firstLine="0"/>
              <w:jc w:val="center"/>
            </w:pPr>
            <w:r>
              <w:rPr>
                <w:rFonts w:ascii="Segoe UI Symbol" w:eastAsia="Segoe UI Symbol" w:hAnsi="Segoe UI Symbol" w:cs="Segoe UI Symbol"/>
              </w:rPr>
              <w:t xml:space="preserve">• </w:t>
            </w:r>
          </w:p>
        </w:tc>
        <w:tc>
          <w:tcPr>
            <w:tcW w:w="8190" w:type="dxa"/>
            <w:tcBorders>
              <w:top w:val="nil"/>
              <w:left w:val="nil"/>
              <w:bottom w:val="nil"/>
              <w:right w:val="single" w:sz="4" w:space="0" w:color="000000"/>
            </w:tcBorders>
          </w:tcPr>
          <w:p w14:paraId="6CBB1693" w14:textId="77777777" w:rsidR="00A01CF9" w:rsidRDefault="00676706">
            <w:pPr>
              <w:spacing w:after="0" w:line="259" w:lineRule="auto"/>
              <w:ind w:left="0" w:firstLine="0"/>
            </w:pPr>
            <w:r>
              <w:rPr>
                <w:i/>
              </w:rPr>
              <w:t xml:space="preserve">Připravte doporučení komise a speciální průvodce osvědčenými postupy pro bezpečnost politických kandidátů a volených zástupců </w:t>
            </w:r>
          </w:p>
        </w:tc>
      </w:tr>
      <w:tr w:rsidR="00A01CF9" w14:paraId="4CEE3A6E" w14:textId="77777777">
        <w:trPr>
          <w:trHeight w:val="839"/>
        </w:trPr>
        <w:tc>
          <w:tcPr>
            <w:tcW w:w="828" w:type="dxa"/>
            <w:tcBorders>
              <w:top w:val="nil"/>
              <w:left w:val="single" w:sz="4" w:space="0" w:color="000000"/>
              <w:bottom w:val="single" w:sz="4" w:space="0" w:color="000000"/>
              <w:right w:val="nil"/>
            </w:tcBorders>
          </w:tcPr>
          <w:p w14:paraId="0EE22179" w14:textId="77777777" w:rsidR="00A01CF9" w:rsidRDefault="00676706">
            <w:pPr>
              <w:spacing w:after="0" w:line="259" w:lineRule="auto"/>
              <w:ind w:left="267" w:firstLine="0"/>
              <w:jc w:val="center"/>
            </w:pPr>
            <w:r>
              <w:rPr>
                <w:rFonts w:ascii="Segoe UI Symbol" w:eastAsia="Segoe UI Symbol" w:hAnsi="Segoe UI Symbol" w:cs="Segoe UI Symbol"/>
              </w:rPr>
              <w:t xml:space="preserve">• </w:t>
            </w:r>
          </w:p>
        </w:tc>
        <w:tc>
          <w:tcPr>
            <w:tcW w:w="8190" w:type="dxa"/>
            <w:tcBorders>
              <w:top w:val="nil"/>
              <w:left w:val="nil"/>
              <w:bottom w:val="single" w:sz="4" w:space="0" w:color="000000"/>
              <w:right w:val="single" w:sz="4" w:space="0" w:color="000000"/>
            </w:tcBorders>
          </w:tcPr>
          <w:p w14:paraId="142AE70B" w14:textId="77777777" w:rsidR="00A01CF9" w:rsidRDefault="00676706">
            <w:pPr>
              <w:spacing w:after="0" w:line="259" w:lineRule="auto"/>
              <w:ind w:left="0" w:right="62" w:firstLine="0"/>
            </w:pPr>
            <w:r>
              <w:rPr>
                <w:i/>
              </w:rPr>
              <w:t xml:space="preserve">Posílit spolupráci s mezinárodními pozorovateli voleb za účelem posílení kapacit pro monitorování dezinformací na sociálních sítích během pozorování voleb mimo EU </w:t>
            </w:r>
          </w:p>
        </w:tc>
      </w:tr>
    </w:tbl>
    <w:p w14:paraId="6A4478F5" w14:textId="77777777" w:rsidR="00A01CF9" w:rsidRDefault="00676706">
      <w:pPr>
        <w:spacing w:after="139" w:line="259" w:lineRule="auto"/>
        <w:ind w:left="874" w:firstLine="0"/>
        <w:jc w:val="left"/>
      </w:pPr>
      <w:r>
        <w:t xml:space="preserve"> </w:t>
      </w:r>
    </w:p>
    <w:p w14:paraId="5FE13787" w14:textId="77777777" w:rsidR="00A01CF9" w:rsidRDefault="00676706">
      <w:pPr>
        <w:pStyle w:val="Nadpis5"/>
        <w:ind w:left="869"/>
      </w:pPr>
      <w:r>
        <w:t xml:space="preserve">2.3.2. Posilování odolnosti svobodných a nezávislých médií  </w:t>
      </w:r>
    </w:p>
    <w:p w14:paraId="5E1C1ECB" w14:textId="77777777" w:rsidR="00A01CF9" w:rsidRDefault="00676706">
      <w:pPr>
        <w:ind w:left="869" w:right="860"/>
      </w:pPr>
      <w:r>
        <w:t>Volná, nezávislá a pluralitní média jsou základem integrity a rozmanitosti informačního prostoru a činí je nezbytnými pro naše demokracie. Drží moc odpovědnou a poskytováním plurality spolehlivých zdrojů informací pomáhají lidem utvářet si názory a činit informovaná rozhodnutí</w:t>
      </w:r>
      <w:r>
        <w:rPr>
          <w:vertAlign w:val="superscript"/>
        </w:rPr>
        <w:footnoteReference w:id="56"/>
      </w:r>
      <w:r>
        <w:t>. Podpora svobody médií a pluralismu byla také jádrem práce EU, prostřednictvím legislativních iniciativ, jako je Evropský zákon o svobodě médií (EMFA) nebo směrnice proti SLAPP.</w:t>
      </w:r>
      <w:r>
        <w:rPr>
          <w:vertAlign w:val="superscript"/>
        </w:rPr>
        <w:footnoteReference w:id="57"/>
      </w:r>
      <w:r>
        <w:t xml:space="preserve"> EU je také silným podporovatelem svobody médií na celosvětové úrovni, včetně multilaterální úrovně, a uznává zásadní roli nezávislých médií a žurnalistiky při prosazování demokratických hodnot a základních práv po celém světě.  </w:t>
      </w:r>
    </w:p>
    <w:p w14:paraId="77D62909" w14:textId="77777777" w:rsidR="00A01CF9" w:rsidRDefault="00676706">
      <w:pPr>
        <w:ind w:left="869" w:right="860"/>
      </w:pPr>
      <w:r>
        <w:t>Mediální sektor je však pod silným ekonomickým tlakem v kontextu digitalizace. Tyto změny v informačním prostředí ovlivňují, jak jsou informace vytvářeny, sdíleny, konzumovány a důvěryhodné. Občané se stále více spoléhají na online platformy a v poslední době na generativní umělou inteligenci, aby získali přístup k informacím a vytvořili si názory na širokou škálu témat, včetně politiky. Online platformy se stávají hlavními zdroji informací pro mladé lidi</w:t>
      </w:r>
      <w:r>
        <w:rPr>
          <w:vertAlign w:val="superscript"/>
        </w:rPr>
        <w:footnoteReference w:id="58"/>
      </w:r>
      <w:r>
        <w:t>, zejména prostřednictvím influencerů</w:t>
      </w:r>
      <w:r>
        <w:rPr>
          <w:vertAlign w:val="superscript"/>
        </w:rPr>
        <w:footnoteReference w:id="59"/>
      </w:r>
      <w:r>
        <w:t xml:space="preserve">. Algoritmy, které online platformy používají k </w:t>
      </w:r>
      <w:r>
        <w:lastRenderedPageBreak/>
        <w:t>třídění obsahu, podporují zapojení, často tím, že upřednostňují senzacechtivý nebo kontroverzní obsah před spolehlivými a podloženými informacemi. To hrozí zesílením dezinformací, společenských rozdělení a zpochybňuje viditelnost mediálního obsahu. Nezávislí poskytovatelé médií a zpravodajské platformy se potýkají s přizpůsobením svých obchodních modelů, pokud jde o příjmy z reklamy</w:t>
      </w:r>
      <w:r>
        <w:rPr>
          <w:vertAlign w:val="superscript"/>
        </w:rPr>
        <w:footnoteReference w:id="60"/>
      </w:r>
      <w:r>
        <w:t xml:space="preserve">, což je trh, který stále více ovládají online platformy.  </w:t>
      </w:r>
    </w:p>
    <w:p w14:paraId="6DF12F8F" w14:textId="77777777" w:rsidR="00A01CF9" w:rsidRDefault="00676706">
      <w:pPr>
        <w:spacing w:after="297"/>
        <w:ind w:left="869" w:right="860"/>
      </w:pPr>
      <w:r>
        <w:t xml:space="preserve">To ztížilo udržení nezávislých zpravodajských médií a dostupnosti kvalitního a investigativního novinářského obsahu založeného na profesních a etických standardech. V několika regionech, zejména v mnoha venkovských oblastech, byly místní zpravodajské stanice vyhnány z </w:t>
      </w:r>
    </w:p>
    <w:p w14:paraId="58BA735D"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0389E2A4" wp14:editId="5BC86B51">
                <wp:extent cx="1829054" cy="7620"/>
                <wp:effectExtent l="0" t="0" r="0" b="0"/>
                <wp:docPr id="50536" name="Group 5053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68" name="Shape 557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0536" style="width:144.02pt;height:0.599976pt;mso-position-horizontal-relative:char;mso-position-vertical-relative:line" coordsize="18290,76">
                <v:shape id="Shape 55769"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03E89EB7" w14:textId="77777777" w:rsidR="00A01CF9" w:rsidRDefault="00676706">
      <w:pPr>
        <w:ind w:left="869" w:right="860"/>
      </w:pPr>
      <w:r>
        <w:t>což vytváří "zpravodajské pouště", což vede k poklesu dostupnosti, plurality a kvality informací</w:t>
      </w:r>
      <w:r>
        <w:rPr>
          <w:vertAlign w:val="superscript"/>
        </w:rPr>
        <w:footnoteReference w:id="61"/>
      </w:r>
      <w:r>
        <w:t>, což může vést ke ztrátě zapojení a důvěry v demokracii a větší expozici dezinformacím. Kromě toho útoky, zneužívající žaloby a další formy zastrašování poškozují prostředí, ve kterém novináři pracují, a proto je bezpečnost a ochrana novinářů zásadní prioritou</w:t>
      </w:r>
      <w:r>
        <w:rPr>
          <w:vertAlign w:val="superscript"/>
        </w:rPr>
        <w:footnoteReference w:id="62"/>
      </w:r>
      <w:r>
        <w:t xml:space="preserve">.  </w:t>
      </w:r>
    </w:p>
    <w:p w14:paraId="0E1D837D" w14:textId="77777777" w:rsidR="00A01CF9" w:rsidRDefault="00676706">
      <w:pPr>
        <w:spacing w:after="163"/>
        <w:ind w:left="869" w:right="860"/>
      </w:pPr>
      <w:r>
        <w:t xml:space="preserve">EU byla aktivní v řešení výzev pro svobodu médií a pluralitu médií, přičemž předložila několik právních, politických a finančních nástrojů. EMFA poskytuje nový soubor společných pravidel na ochranu plurality médií a nezávislosti v EU, s cílem zajistit, aby veřejná i soukromá média mohla snadno fungovat na vnitřním trhu, bez nadměrného tlaku a s ohledem na digitální transformaci. Komise podporuje členské státy při uplatňování EMFA, včetně směrnic, a zajistí jeho vymáhání. Komise bude udržovat aktivní dialog s příslušnými hráči v odvětví a organizacemi občanské společnosti, aby zajistila, že záruky a mechanismy poskytované EMFA budou efektivně uplatňovány v celé EU. </w:t>
      </w:r>
    </w:p>
    <w:p w14:paraId="1D49FDF2" w14:textId="77777777" w:rsidR="00A01CF9" w:rsidRDefault="00676706">
      <w:pPr>
        <w:spacing w:after="163"/>
        <w:ind w:left="869" w:right="860"/>
      </w:pPr>
      <w:r>
        <w:t xml:space="preserve">Aby poskytovatelé VLOP a VLOSE věnovali náležitou pozornost svobodě médií a pluralismu, DSA vyžaduje, aby pečlivě identifikovali a zmírnili jakákoli systémová rizika vyplývající z návrhu nebo fungování svých služeb, včetně svobody a pluralismu médií. Komise bude tyto povinnosti nadále monitorovat a vymáhat a bude spolupracovat s příslušnými zainteresovanými stranami, aby zajistila jejich dodržování v digitální sféře. </w:t>
      </w:r>
    </w:p>
    <w:p w14:paraId="3A9FF4D9" w14:textId="77777777" w:rsidR="00A01CF9" w:rsidRDefault="00676706">
      <w:pPr>
        <w:spacing w:after="6"/>
        <w:ind w:left="869" w:right="860"/>
      </w:pPr>
      <w:r>
        <w:t xml:space="preserve">Ochrana volného toku informací v naší demokracii vyžaduje živé a sporné trhy pro svobodná a nezávislá média. Komise bude i nadále vymáhat </w:t>
      </w:r>
      <w:r>
        <w:rPr>
          <w:b/>
        </w:rPr>
        <w:t xml:space="preserve">antimonopolní pravidla EU </w:t>
      </w:r>
      <w:r>
        <w:t xml:space="preserve"> v digitálním sektoru, aby pomohla podpořit spravedlivé a rozmanité mediální prostředí a bojovat proti praktikám, které mohou podkopat mediální pluralitu, včetně ochrany nezávislých poskytovatelů médií před protisoutěžním chováním v online reklamě. Kromě toho ochrana konkurence může také podporovat mediální pluralitu a rozmanitost, a to nejen v tradičních mediálních sektorech, ale také v rychle se rozvíjejících sektorech, jako je umělá inteligence. V </w:t>
      </w:r>
      <w:r>
        <w:lastRenderedPageBreak/>
        <w:t xml:space="preserve">revidovaných </w:t>
      </w:r>
      <w:r>
        <w:rPr>
          <w:b/>
        </w:rPr>
        <w:t>směrnicích pro fúze</w:t>
      </w:r>
      <w:r>
        <w:rPr>
          <w:vertAlign w:val="superscript"/>
        </w:rPr>
        <w:footnoteReference w:id="63"/>
      </w:r>
      <w:r>
        <w:t xml:space="preserve"> Komise poskytne více pokynů ohledně toho, jak zachovává konkurenci v oblasti kvality a jak to může podpořit pluralitu a rozmanitost médií ve prospěch spotřebitelů a občanů. Podle zákona </w:t>
      </w:r>
      <w:r>
        <w:rPr>
          <w:b/>
        </w:rPr>
        <w:t>o digitálních trzích</w:t>
      </w:r>
      <w:r>
        <w:rPr>
          <w:vertAlign w:val="superscript"/>
        </w:rPr>
        <w:footnoteReference w:id="64"/>
      </w:r>
      <w:r>
        <w:t xml:space="preserve"> Komise zahrne mezi své priority vymáhací opatření, která podporují nezávislé a rozmanité mediální prostředí, včetně zvýšení transparentnosti online reklamy. Nové výzvy, jako je zavádění služeb poháněných AI, mají také dopad na spravedlivé a soutěžitelné digitální trhy médií. </w:t>
      </w:r>
    </w:p>
    <w:p w14:paraId="2580EAB2" w14:textId="77777777" w:rsidR="00A01CF9" w:rsidRDefault="00676706">
      <w:pPr>
        <w:spacing w:after="449"/>
        <w:ind w:left="869" w:right="860"/>
      </w:pPr>
      <w:r>
        <w:t xml:space="preserve">Komise vede regulační dialogy o těchto otázkách s dotčenými </w:t>
      </w:r>
    </w:p>
    <w:p w14:paraId="5DB87B8A"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32C9F60B" wp14:editId="08F0C1E4">
                <wp:extent cx="1829054" cy="7620"/>
                <wp:effectExtent l="0" t="0" r="0" b="0"/>
                <wp:docPr id="49094" name="Group 4909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70" name="Shape 557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9094" style="width:144.02pt;height:0.600037pt;mso-position-horizontal-relative:char;mso-position-vertical-relative:line" coordsize="18290,76">
                <v:shape id="Shape 55771"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096844EA" w14:textId="77777777" w:rsidR="00A01CF9" w:rsidRDefault="00676706">
      <w:pPr>
        <w:spacing w:after="163"/>
        <w:ind w:left="869" w:right="860"/>
      </w:pPr>
      <w:r>
        <w:t xml:space="preserve">Strážci brán. Toto je také součástí probíhajícího přezkumu DMA, který bude informovat o identifikovaných problémech a možných budoucích krocích.  </w:t>
      </w:r>
    </w:p>
    <w:p w14:paraId="00286814" w14:textId="77777777" w:rsidR="00A01CF9" w:rsidRDefault="00676706">
      <w:pPr>
        <w:spacing w:after="162"/>
        <w:ind w:left="869" w:right="860"/>
      </w:pPr>
      <w:r>
        <w:t xml:space="preserve">Aby Komise dále podpořila ekonomickou životaschopnost sektoru v kontextu současného hodnocení a nadcházejícího přezkumu </w:t>
      </w:r>
      <w:r>
        <w:rPr>
          <w:b/>
        </w:rPr>
        <w:t>směrnice o audiovizuálních mediálních službách</w:t>
      </w:r>
      <w:r>
        <w:rPr>
          <w:b/>
          <w:vertAlign w:val="superscript"/>
        </w:rPr>
        <w:footnoteReference w:id="65"/>
      </w:r>
      <w:r>
        <w:t xml:space="preserve"> (AVMSD), zhodnotí způsoby, jak </w:t>
      </w:r>
      <w:r>
        <w:rPr>
          <w:b/>
        </w:rPr>
        <w:t>posílit význam mediálních služeb obecného zájmu</w:t>
      </w:r>
      <w:r>
        <w:t xml:space="preserve"> a </w:t>
      </w:r>
      <w:r>
        <w:rPr>
          <w:b/>
        </w:rPr>
        <w:t xml:space="preserve">modernizovat pravidla reklamy s cílem podpořit udržitelnost médií EU. </w:t>
      </w:r>
      <w:r>
        <w:t xml:space="preserve"> </w:t>
      </w:r>
      <w:r>
        <w:rPr>
          <w:b/>
        </w:rPr>
        <w:t xml:space="preserve">Role </w:t>
      </w:r>
      <w:proofErr w:type="spellStart"/>
      <w:r>
        <w:rPr>
          <w:b/>
        </w:rPr>
        <w:t>influencerů</w:t>
      </w:r>
      <w:proofErr w:type="spellEnd"/>
      <w:r>
        <w:rPr>
          <w:b/>
        </w:rPr>
        <w:t xml:space="preserve"> </w:t>
      </w:r>
      <w:r>
        <w:t>bude také zohledněna při přezkumu AVMSD</w:t>
      </w:r>
      <w:r>
        <w:rPr>
          <w:vertAlign w:val="superscript"/>
        </w:rPr>
        <w:footnoteReference w:id="66"/>
      </w:r>
      <w:r>
        <w:t xml:space="preserve"> a v připravovaném zákoně Digital Fairness Act, který doplní stávající pravidla EU.  </w:t>
      </w:r>
    </w:p>
    <w:p w14:paraId="292D7B0B" w14:textId="77777777" w:rsidR="00A01CF9" w:rsidRDefault="00676706">
      <w:pPr>
        <w:ind w:left="869" w:right="860"/>
      </w:pPr>
      <w:r>
        <w:rPr>
          <w:b/>
        </w:rPr>
        <w:t xml:space="preserve">Veřejné financování veřejnoprávního vysílání </w:t>
      </w:r>
      <w:r>
        <w:t>má za cíl umožnit jim naplnit demokratické, sociální a kulturní potřeby společnosti a zaručit pluralismus, včetně kulturní a jazykové rozmanitosti. EMFA vyžaduje, aby členské státy zavedly postupy financování, které zaručují, že poskytovatelé veřejných médií mají dostatečné, udržitelné a předvídatelné finanční zdroje odpovídající plnění a schopnosti rozvíjet se v rámci svých veřejných služeb. Probíhající hodnocení Vysílací komunikace z roku 2009</w:t>
      </w:r>
      <w:r>
        <w:rPr>
          <w:vertAlign w:val="superscript"/>
        </w:rPr>
        <w:footnoteReference w:id="67"/>
      </w:r>
      <w:r>
        <w:t xml:space="preserve"> si klade za cíl posoudit, zda jsou stávající pravidla státní podpory pro veřejnoprávní vysílání stále vhodná vzhledem k vývoji na trhu – od nových technologií po nové způsoby sledování a nové hráče v sektoru.  </w:t>
      </w:r>
    </w:p>
    <w:p w14:paraId="50D61C2E" w14:textId="77777777" w:rsidR="00A01CF9" w:rsidRDefault="00676706">
      <w:pPr>
        <w:ind w:left="869" w:right="860"/>
      </w:pPr>
      <w:r>
        <w:t xml:space="preserve">Vývoj generativní AI, který přináší příležitosti, přináší různé výzvy pro mediální ekosystém. Online pirátství a používání chráněného materiálu k trénování AI modelů bez povolení zůstává významnou hrozbou pro mediální sektor, snižuje příjmy a ovlivňuje kvalitu a rozmanitost médií. Komise přezkoumá </w:t>
      </w:r>
      <w:r>
        <w:rPr>
          <w:b/>
        </w:rPr>
        <w:t>směrnici o autorském právu na digitálním jednotném trhu</w:t>
      </w:r>
      <w:r>
        <w:rPr>
          <w:b/>
          <w:vertAlign w:val="superscript"/>
        </w:rPr>
        <w:footnoteReference w:id="68"/>
      </w:r>
      <w:r>
        <w:rPr>
          <w:b/>
        </w:rPr>
        <w:t xml:space="preserve"> </w:t>
      </w:r>
      <w:r>
        <w:t xml:space="preserve">a </w:t>
      </w:r>
      <w:proofErr w:type="spellStart"/>
      <w:r>
        <w:t>zváži</w:t>
      </w:r>
      <w:proofErr w:type="spellEnd"/>
      <w:r>
        <w:t xml:space="preserve">, jak zlepšit její účinnost v kontextu těchto událostí.  </w:t>
      </w:r>
    </w:p>
    <w:p w14:paraId="4103E801" w14:textId="77777777" w:rsidR="00A01CF9" w:rsidRDefault="00676706">
      <w:pPr>
        <w:spacing w:after="247"/>
        <w:ind w:left="869" w:right="860"/>
      </w:pPr>
      <w:r>
        <w:lastRenderedPageBreak/>
        <w:t xml:space="preserve">Komise také využije své finanční nástroje k podpoře ekonomické odolnosti mediálního sektoru v EU i mimo ni. </w:t>
      </w:r>
      <w:r>
        <w:rPr>
          <w:b/>
        </w:rPr>
        <w:t xml:space="preserve">Program mediální odolnosti </w:t>
      </w:r>
      <w:r>
        <w:t>propojí současnou podporu médií s programy financování navrženými v novém víceletém finančním rámci (MFF)</w:t>
      </w:r>
      <w:r>
        <w:rPr>
          <w:vertAlign w:val="superscript"/>
        </w:rPr>
        <w:t>75</w:t>
      </w:r>
      <w:r>
        <w:t xml:space="preserve">, čímž připraví půdu pro úspěšné nasazení dalšího MFF. Tento program podpoří nezávislou žurnalistiku a mediální gramotnost a podtrhne úsilí Komise o posílení udržitelného sektoru zpravodajských médií, včetně místní žurnalistiky, a to také v kandidátských zemích EU a potenciálních kandidátech. Komise zvýší podporu poskytovanou místním médiím prostřednictvím </w:t>
      </w:r>
      <w:proofErr w:type="spellStart"/>
      <w:r>
        <w:rPr>
          <w:b/>
        </w:rPr>
        <w:t>Creative</w:t>
      </w:r>
      <w:proofErr w:type="spellEnd"/>
      <w:r>
        <w:rPr>
          <w:b/>
        </w:rPr>
        <w:t xml:space="preserve"> </w:t>
      </w:r>
      <w:proofErr w:type="spellStart"/>
      <w:r>
        <w:rPr>
          <w:b/>
        </w:rPr>
        <w:t>Europe</w:t>
      </w:r>
      <w:proofErr w:type="spellEnd"/>
      <w:r>
        <w:rPr>
          <w:b/>
        </w:rPr>
        <w:t xml:space="preserve"> </w:t>
      </w:r>
      <w:r>
        <w:t xml:space="preserve">tím, že podpoří projekty zaměřené na </w:t>
      </w:r>
    </w:p>
    <w:p w14:paraId="4DE8394B"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174AFCA8" wp14:editId="32CB6EAE">
                <wp:extent cx="1829054" cy="7621"/>
                <wp:effectExtent l="0" t="0" r="0" b="0"/>
                <wp:docPr id="53864" name="Group 53864"/>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55772" name="Shape 557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3864" style="width:144.02pt;height:0.600098pt;mso-position-horizontal-relative:char;mso-position-vertical-relative:line" coordsize="18290,76">
                <v:shape id="Shape 55773"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60EABE4C" w14:textId="77777777" w:rsidR="00A01CF9" w:rsidRDefault="00676706">
      <w:pPr>
        <w:spacing w:after="163"/>
        <w:ind w:left="869" w:right="860"/>
      </w:pPr>
      <w:r>
        <w:t>životaschopnost nezávislé a místní žurnalistiky</w:t>
      </w:r>
      <w:r>
        <w:rPr>
          <w:vertAlign w:val="superscript"/>
        </w:rPr>
        <w:footnoteReference w:id="69"/>
      </w:r>
      <w:r>
        <w:t xml:space="preserve">. Creative Europe také rozšíří své stávající výzvy k podávání nabídek na dovednosti v roce 2027 přidáním nové akce na zvyšování kvalifikace profesionálů v médiích. Nová akce v rámci </w:t>
      </w:r>
      <w:r>
        <w:rPr>
          <w:b/>
        </w:rPr>
        <w:t xml:space="preserve">programu Horizon Europe </w:t>
      </w:r>
      <w:r>
        <w:t xml:space="preserve">dále podpoří digitální transformaci mediálního průmyslu mimo jiné tím, že navrhne nové inovativní nástroje pro média, která osloví nové uživatele a zdroje příjmů.  </w:t>
      </w:r>
    </w:p>
    <w:p w14:paraId="28935176" w14:textId="77777777" w:rsidR="00A01CF9" w:rsidRDefault="00676706">
      <w:pPr>
        <w:spacing w:after="163"/>
        <w:ind w:left="869" w:right="860"/>
      </w:pPr>
      <w:r>
        <w:rPr>
          <w:b/>
        </w:rPr>
        <w:t xml:space="preserve">Soukromé investice do médií </w:t>
      </w:r>
      <w:r>
        <w:t xml:space="preserve">zůstávají relativně nízké a vyžadují nová investiční řešení na míru, zaměřená na dlouhodobé výnosy z investic. </w:t>
      </w:r>
      <w:proofErr w:type="spellStart"/>
      <w:r>
        <w:rPr>
          <w:b/>
        </w:rPr>
        <w:t>Private</w:t>
      </w:r>
      <w:proofErr w:type="spellEnd"/>
      <w:r>
        <w:rPr>
          <w:b/>
        </w:rPr>
        <w:t xml:space="preserve"> </w:t>
      </w:r>
      <w:proofErr w:type="spellStart"/>
      <w:r>
        <w:rPr>
          <w:b/>
        </w:rPr>
        <w:t>equity</w:t>
      </w:r>
      <w:proofErr w:type="spellEnd"/>
      <w:r>
        <w:rPr>
          <w:b/>
        </w:rPr>
        <w:t xml:space="preserve"> </w:t>
      </w:r>
      <w:r>
        <w:t xml:space="preserve">by měl být umožněn podporovat kvalitní nezávislá média. Komise bude podporovat investice s dopadem v sektoru zpravodajských médií a začne spolupracovat s potenciálními investory společně se skupinou EIB.  </w:t>
      </w:r>
    </w:p>
    <w:p w14:paraId="36A8EC44" w14:textId="77777777" w:rsidR="00A01CF9" w:rsidRDefault="00676706">
      <w:pPr>
        <w:ind w:left="869" w:right="860"/>
      </w:pPr>
      <w:r>
        <w:t xml:space="preserve">Komise se zavázala, jako součást podpory rozšíření AI v kulturním a kreativním sektoru, pomoci rozvoji </w:t>
      </w:r>
      <w:r>
        <w:rPr>
          <w:b/>
        </w:rPr>
        <w:t>celoevropských platforem</w:t>
      </w:r>
      <w:r>
        <w:t>,  které zpřístupní zprávy a informace v reálném čase z profesionálních médií širšímu publiku po celé EU v několika jazycích</w:t>
      </w:r>
      <w:r>
        <w:rPr>
          <w:vertAlign w:val="superscript"/>
        </w:rPr>
        <w:footnoteReference w:id="70"/>
      </w:r>
      <w:r>
        <w:t>. Komise také posílí podporu inovativním mediálním projektům, které přinášejí nové formáty a obsah publiku po celé Unii i mimo ni</w:t>
      </w:r>
      <w:r>
        <w:rPr>
          <w:vertAlign w:val="superscript"/>
        </w:rPr>
        <w:footnoteReference w:id="71"/>
      </w:r>
      <w:r>
        <w:t xml:space="preserve">. Kromě toho Komise prozkoumá budoucí cesty pro technologické prostředí EU, s počátečním zaměřením na budoucí platformy sociálních sítí a sociálních médií, které podporují </w:t>
      </w:r>
      <w:r>
        <w:rPr>
          <w:b/>
        </w:rPr>
        <w:t>digitální suverenitu</w:t>
      </w:r>
      <w:r>
        <w:t xml:space="preserve"> EU.  </w:t>
      </w:r>
    </w:p>
    <w:p w14:paraId="097CC2B9" w14:textId="77777777" w:rsidR="00A01CF9" w:rsidRDefault="00676706">
      <w:pPr>
        <w:spacing w:after="292"/>
        <w:ind w:left="869" w:right="860"/>
      </w:pPr>
      <w:r>
        <w:t xml:space="preserve">Zajištění </w:t>
      </w:r>
      <w:r>
        <w:rPr>
          <w:b/>
        </w:rPr>
        <w:t xml:space="preserve">bezpečnosti a ochrany novinářů </w:t>
      </w:r>
      <w:r>
        <w:t>zůstává klíčovou prioritou, včetně vnějších aktivit EU</w:t>
      </w:r>
      <w:r>
        <w:rPr>
          <w:vertAlign w:val="superscript"/>
        </w:rPr>
        <w:footnoteReference w:id="72"/>
      </w:r>
      <w:r>
        <w:t xml:space="preserve">. Aby zesílila své úsilí chránit novináře před nepřiměřeným tlakem, hrozbami a útoky, Komise aktualizuje </w:t>
      </w:r>
      <w:r>
        <w:rPr>
          <w:b/>
        </w:rPr>
        <w:t xml:space="preserve">své Doporučení o bezpečnosti novinářů, </w:t>
      </w:r>
      <w:r>
        <w:rPr>
          <w:vertAlign w:val="superscript"/>
        </w:rPr>
        <w:footnoteReference w:id="73"/>
      </w:r>
      <w:r>
        <w:rPr>
          <w:b/>
        </w:rPr>
        <w:t xml:space="preserve"> </w:t>
      </w:r>
      <w:r>
        <w:t xml:space="preserve">aby podpořila silnější bezpečnostní a příznivé prostředí pro novináře a pro kvalitní zpravodajství (žurnalistika primárních zdrojů) ve společnosti, a zorganizuje </w:t>
      </w:r>
      <w:r>
        <w:rPr>
          <w:b/>
        </w:rPr>
        <w:t xml:space="preserve">akci na vysoké úrovni zaměřenou na boj </w:t>
      </w:r>
      <w:r>
        <w:rPr>
          <w:b/>
        </w:rPr>
        <w:lastRenderedPageBreak/>
        <w:t>proti SLAPP</w:t>
      </w:r>
      <w:r>
        <w:t xml:space="preserve"> na podporu přezkumu svého doporučení </w:t>
      </w:r>
      <w:r>
        <w:rPr>
          <w:vertAlign w:val="superscript"/>
        </w:rPr>
        <w:footnoteReference w:id="74"/>
      </w:r>
      <w:r>
        <w:t>proti SLAPP. Kromě toho, aby Komise podporovala bezpečné přístavy pro novináře, výzkumníky a organizace občanské společnosti aktivní v analýze informačního prostředí a jeho vývoje (např. dopad umělé inteligence), přijme pokyny na podporu implementace příslušných pravidel EU.</w:t>
      </w:r>
      <w:r>
        <w:rPr>
          <w:vertAlign w:val="superscript"/>
        </w:rPr>
        <w:footnoteReference w:id="75"/>
      </w:r>
      <w:r>
        <w:t xml:space="preserve">  </w:t>
      </w:r>
    </w:p>
    <w:p w14:paraId="1246FAC4"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4161E526" wp14:editId="63A0B7C6">
                <wp:extent cx="1829054" cy="7621"/>
                <wp:effectExtent l="0" t="0" r="0" b="0"/>
                <wp:docPr id="53866" name="Group 53866"/>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55774" name="Shape 557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3866" style="width:144.02pt;height:0.600098pt;mso-position-horizontal-relative:char;mso-position-vertical-relative:line" coordsize="18290,76">
                <v:shape id="Shape 5577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480EF696" w14:textId="77777777" w:rsidR="00A01CF9" w:rsidRDefault="00676706">
      <w:pPr>
        <w:spacing w:after="194"/>
        <w:ind w:left="869" w:right="860"/>
      </w:pPr>
      <w:r>
        <w:t>Aby přispěla k celkovému cíli podpory svobody médií a pluralismu, Komise bude také nadále financovat mechanismy monitorování svobody tisku v členských státech EU a kandidátských zemích</w:t>
      </w:r>
      <w:r>
        <w:rPr>
          <w:vertAlign w:val="superscript"/>
        </w:rPr>
        <w:footnoteReference w:id="76"/>
      </w:r>
      <w:r>
        <w:t xml:space="preserve">.  </w:t>
      </w:r>
    </w:p>
    <w:p w14:paraId="0116B9FA" w14:textId="77777777" w:rsidR="00A01CF9" w:rsidRDefault="00676706">
      <w:pPr>
        <w:spacing w:after="70"/>
        <w:ind w:left="869" w:right="860"/>
      </w:pPr>
      <w:r>
        <w:t>Komise také podporuje kvalitní nezávislá média a žurnalistiku na mezinárodní úrovni, zejména v sousedství EU a kandidátských zemích EU a potenciálních kandidátech. Základní financování pro udržení nezávislých mediálních operací je účinným a účinným prostředkem k boji proti dezinformačním operacím autoritářských režimů doma i v zahraničí. Nezávislé, kvalitní investigativní a zábavní formáty pomáhají zabránit tomu, aby se příběhy FIMI uchytily, a mohou omezit šíření do EU a partnerských zemí EU</w:t>
      </w:r>
      <w:r>
        <w:rPr>
          <w:vertAlign w:val="superscript"/>
        </w:rPr>
        <w:footnoteReference w:id="77"/>
      </w:r>
      <w:r>
        <w:t xml:space="preserve">. </w:t>
      </w:r>
    </w:p>
    <w:p w14:paraId="5FE96B5C" w14:textId="77777777" w:rsidR="00A01CF9" w:rsidRDefault="00676706">
      <w:pPr>
        <w:tabs>
          <w:tab w:val="center" w:pos="1503"/>
          <w:tab w:val="center" w:pos="2526"/>
          <w:tab w:val="center" w:pos="3380"/>
          <w:tab w:val="center" w:pos="4666"/>
          <w:tab w:val="center" w:pos="5636"/>
          <w:tab w:val="center" w:pos="6575"/>
          <w:tab w:val="center" w:pos="7549"/>
          <w:tab w:val="center" w:pos="8116"/>
          <w:tab w:val="center" w:pos="9205"/>
        </w:tabs>
        <w:spacing w:after="13"/>
        <w:ind w:left="0" w:firstLine="0"/>
        <w:jc w:val="left"/>
      </w:pPr>
      <w:r>
        <w:rPr>
          <w:rFonts w:ascii="Calibri" w:eastAsia="Calibri" w:hAnsi="Calibri" w:cs="Calibri"/>
          <w:sz w:val="22"/>
        </w:rPr>
        <w:tab/>
      </w:r>
      <w:r>
        <w:t xml:space="preserve">Dále, </w:t>
      </w:r>
      <w:r>
        <w:tab/>
      </w:r>
      <w:proofErr w:type="spellStart"/>
      <w:r>
        <w:t>the</w:t>
      </w:r>
      <w:proofErr w:type="spellEnd"/>
      <w:r>
        <w:t xml:space="preserve"> </w:t>
      </w:r>
      <w:r>
        <w:tab/>
        <w:t xml:space="preserve">Evropská </w:t>
      </w:r>
      <w:r>
        <w:tab/>
        <w:t xml:space="preserve">Nadační fond </w:t>
      </w:r>
      <w:r>
        <w:tab/>
        <w:t xml:space="preserve">pro </w:t>
      </w:r>
      <w:r>
        <w:tab/>
        <w:t xml:space="preserve">Demokracie </w:t>
      </w:r>
      <w:r>
        <w:tab/>
        <w:t xml:space="preserve">a </w:t>
      </w:r>
      <w:r>
        <w:tab/>
      </w:r>
      <w:proofErr w:type="spellStart"/>
      <w:r>
        <w:t>the</w:t>
      </w:r>
      <w:proofErr w:type="spellEnd"/>
      <w:r>
        <w:t xml:space="preserve"> </w:t>
      </w:r>
      <w:r>
        <w:tab/>
        <w:t xml:space="preserve">Komise </w:t>
      </w:r>
    </w:p>
    <w:p w14:paraId="18C88377" w14:textId="77777777" w:rsidR="00A01CF9" w:rsidRDefault="00676706">
      <w:pPr>
        <w:spacing w:after="0"/>
        <w:ind w:left="869" w:right="860"/>
      </w:pPr>
      <w:r>
        <w:t xml:space="preserve">ProtectDefenders.eu mechanismus poskytuje podporu novinářům ohroženým jako obránci lidských práv mimo EU. V roce 2024 bylo prostřednictvím tohoto mechanismu podporováno nejméně 943 pracovníků médií. Komise bude i nadále poskytovat klíčovou podporu exilovým nezávislým novinářům a mediálním subjektům, včetně těch z Ruska, Běloruska a dalších zemí, kteří pracují uvnitř EU a jejího okolí, a zároveň pomáhá udržovat vysoce kvalitní nezávislá média v klíčových partnerských zemích. Komise rozšíří rychlou reakci s důvěryhodnými partnery, aby zajistila, že řešení obcházení digitální cenzury, proti sledování a proti uzavření činnosti budou dostupná občanům, aktérům občanské společnosti a novinářům pod autoritářskými režimy. Komise také navrhla upřednostnit podporu svobody médií v rámci nového MFF Global Europe. </w:t>
      </w:r>
    </w:p>
    <w:tbl>
      <w:tblPr>
        <w:tblStyle w:val="TableGrid"/>
        <w:tblW w:w="9018" w:type="dxa"/>
        <w:tblInd w:w="879" w:type="dxa"/>
        <w:tblCellMar>
          <w:top w:w="17" w:type="dxa"/>
          <w:left w:w="108" w:type="dxa"/>
          <w:right w:w="50" w:type="dxa"/>
        </w:tblCellMar>
        <w:tblLook w:val="04A0" w:firstRow="1" w:lastRow="0" w:firstColumn="1" w:lastColumn="0" w:noHBand="0" w:noVBand="1"/>
      </w:tblPr>
      <w:tblGrid>
        <w:gridCol w:w="9018"/>
      </w:tblGrid>
      <w:tr w:rsidR="00A01CF9" w14:paraId="58C0D610" w14:textId="77777777">
        <w:trPr>
          <w:trHeight w:val="3720"/>
        </w:trPr>
        <w:tc>
          <w:tcPr>
            <w:tcW w:w="9018" w:type="dxa"/>
            <w:tcBorders>
              <w:top w:val="single" w:sz="4" w:space="0" w:color="000000"/>
              <w:left w:val="single" w:sz="4" w:space="0" w:color="000000"/>
              <w:bottom w:val="single" w:sz="4" w:space="0" w:color="000000"/>
              <w:right w:val="single" w:sz="4" w:space="0" w:color="000000"/>
            </w:tcBorders>
          </w:tcPr>
          <w:p w14:paraId="5F681F68" w14:textId="77777777" w:rsidR="00A01CF9" w:rsidRDefault="00676706">
            <w:pPr>
              <w:spacing w:after="0" w:line="259" w:lineRule="auto"/>
              <w:ind w:left="0" w:firstLine="0"/>
              <w:jc w:val="left"/>
            </w:pPr>
            <w:r>
              <w:rPr>
                <w:i/>
              </w:rPr>
              <w:t xml:space="preserve">Akce: </w:t>
            </w:r>
          </w:p>
          <w:p w14:paraId="3889B4F2" w14:textId="77777777" w:rsidR="00A01CF9" w:rsidRDefault="00676706">
            <w:pPr>
              <w:numPr>
                <w:ilvl w:val="0"/>
                <w:numId w:val="5"/>
              </w:numPr>
              <w:spacing w:after="0" w:line="259" w:lineRule="auto"/>
              <w:ind w:hanging="360"/>
            </w:pPr>
            <w:r>
              <w:rPr>
                <w:i/>
              </w:rPr>
              <w:t xml:space="preserve">Přestudujte směrnici o audiovizuálních mediálních službách  </w:t>
            </w:r>
          </w:p>
          <w:p w14:paraId="15EF6B6D" w14:textId="77777777" w:rsidR="00A01CF9" w:rsidRDefault="00676706">
            <w:pPr>
              <w:numPr>
                <w:ilvl w:val="0"/>
                <w:numId w:val="5"/>
              </w:numPr>
              <w:spacing w:after="20" w:line="239" w:lineRule="auto"/>
              <w:ind w:hanging="360"/>
            </w:pPr>
            <w:r>
              <w:rPr>
                <w:i/>
              </w:rPr>
              <w:t xml:space="preserve">Řešení výzev pro mediální ekosystém v kontextu přezkumu směrnice o autorském právu na jednotném digitálním trhu </w:t>
            </w:r>
          </w:p>
          <w:p w14:paraId="1CF90154" w14:textId="77777777" w:rsidR="00A01CF9" w:rsidRDefault="00676706">
            <w:pPr>
              <w:numPr>
                <w:ilvl w:val="0"/>
                <w:numId w:val="5"/>
              </w:numPr>
              <w:spacing w:after="20" w:line="239" w:lineRule="auto"/>
              <w:ind w:hanging="360"/>
            </w:pPr>
            <w:r>
              <w:rPr>
                <w:i/>
              </w:rPr>
              <w:t xml:space="preserve">Poskytovat pokyny k udržení konkurence a podpoře mediální plurality a rozmanitosti v kontextu revize Směrnic pro sloučení  </w:t>
            </w:r>
          </w:p>
          <w:p w14:paraId="17B4A6FF" w14:textId="77777777" w:rsidR="00A01CF9" w:rsidRDefault="00676706">
            <w:pPr>
              <w:numPr>
                <w:ilvl w:val="0"/>
                <w:numId w:val="5"/>
              </w:numPr>
              <w:spacing w:after="20" w:line="239" w:lineRule="auto"/>
              <w:ind w:hanging="360"/>
            </w:pPr>
            <w:r>
              <w:rPr>
                <w:i/>
              </w:rPr>
              <w:t xml:space="preserve">Posuzovat vhodnost stávajících pravidel státní podpory pro veřejnoprávní vysílání v rámci hodnocení Broadcasting </w:t>
            </w:r>
            <w:proofErr w:type="spellStart"/>
            <w:r>
              <w:rPr>
                <w:i/>
              </w:rPr>
              <w:t>Communication</w:t>
            </w:r>
            <w:proofErr w:type="spellEnd"/>
            <w:r>
              <w:rPr>
                <w:i/>
              </w:rPr>
              <w:t xml:space="preserve"> z roku 2009 </w:t>
            </w:r>
          </w:p>
          <w:p w14:paraId="08772FF3" w14:textId="77777777" w:rsidR="00A01CF9" w:rsidRDefault="00676706">
            <w:pPr>
              <w:numPr>
                <w:ilvl w:val="0"/>
                <w:numId w:val="5"/>
              </w:numPr>
              <w:spacing w:after="20" w:line="239" w:lineRule="auto"/>
              <w:ind w:hanging="360"/>
            </w:pPr>
            <w:r>
              <w:rPr>
                <w:i/>
              </w:rPr>
              <w:t xml:space="preserve">Spustit Program mediální odolnosti na podporu nezávislé žurnalistiky a mediální gramotnosti </w:t>
            </w:r>
          </w:p>
          <w:p w14:paraId="5F77304D" w14:textId="77777777" w:rsidR="00A01CF9" w:rsidRDefault="00676706">
            <w:pPr>
              <w:numPr>
                <w:ilvl w:val="0"/>
                <w:numId w:val="5"/>
              </w:numPr>
              <w:spacing w:after="18" w:line="241" w:lineRule="auto"/>
              <w:ind w:hanging="360"/>
            </w:pPr>
            <w:r>
              <w:rPr>
                <w:i/>
              </w:rPr>
              <w:t xml:space="preserve">Posílit opatření týkající se bezpečnosti novinářů a boje proti zneužívajícím soudním sporům (SLAPP)  </w:t>
            </w:r>
          </w:p>
          <w:p w14:paraId="7A84EE8F" w14:textId="77777777" w:rsidR="00A01CF9" w:rsidRDefault="00676706">
            <w:pPr>
              <w:numPr>
                <w:ilvl w:val="0"/>
                <w:numId w:val="5"/>
              </w:numPr>
              <w:spacing w:after="0" w:line="259" w:lineRule="auto"/>
              <w:ind w:hanging="360"/>
            </w:pPr>
            <w:r>
              <w:rPr>
                <w:i/>
              </w:rPr>
              <w:t xml:space="preserve">Podporovat kvalitní nezávislá média a žurnalistiku mimo hranice EU </w:t>
            </w:r>
          </w:p>
        </w:tc>
      </w:tr>
    </w:tbl>
    <w:p w14:paraId="78E1163A" w14:textId="77777777" w:rsidR="00A01CF9" w:rsidRDefault="00676706">
      <w:pPr>
        <w:spacing w:after="216" w:line="259" w:lineRule="auto"/>
        <w:ind w:left="874" w:firstLine="0"/>
        <w:jc w:val="left"/>
      </w:pPr>
      <w:r>
        <w:lastRenderedPageBreak/>
        <w:t xml:space="preserve"> </w:t>
      </w:r>
    </w:p>
    <w:p w14:paraId="6E1E96EB" w14:textId="77777777" w:rsidR="00A01CF9" w:rsidRDefault="00676706">
      <w:pPr>
        <w:pStyle w:val="Nadpis3"/>
        <w:ind w:left="869" w:right="716"/>
      </w:pPr>
      <w:r>
        <w:t xml:space="preserve">2.4. Posilování odolnosti společnosti a zapojení občanů  </w:t>
      </w:r>
    </w:p>
    <w:p w14:paraId="2690AC49" w14:textId="77777777" w:rsidR="00A01CF9" w:rsidRDefault="00676706">
      <w:pPr>
        <w:spacing w:after="158"/>
        <w:ind w:left="869" w:right="860"/>
      </w:pPr>
      <w:r>
        <w:t xml:space="preserve">Zapojení a zmocnění občané a aktivní občanská společnost jsou páteří demokracie. Podpora občanské výchovy, včetně médií, digitální gramotnosti a kritického myšlení, posiluje povědomí o rizicích a hrozbách a posiluje občany všech věkových kategorií napříč všemi </w:t>
      </w:r>
    </w:p>
    <w:p w14:paraId="172E2A30"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27B70005" wp14:editId="32889888">
                <wp:extent cx="1829054" cy="7620"/>
                <wp:effectExtent l="0" t="0" r="0" b="0"/>
                <wp:docPr id="54405" name="Group 5440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76" name="Shape 557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4405" style="width:144.02pt;height:0.599976pt;mso-position-horizontal-relative:char;mso-position-vertical-relative:line" coordsize="18290,76">
                <v:shape id="Shape 55777"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611539B8" w14:textId="77777777" w:rsidR="00A01CF9" w:rsidRDefault="00676706">
      <w:pPr>
        <w:ind w:left="869" w:right="860"/>
      </w:pPr>
      <w:r>
        <w:t xml:space="preserve">komunity se orientují v informačním prostředí, získávají spolehlivé informace, uplatňují svá demokratická práva a zapojují se do demokratických procesů. Podpora zapojení občanů do demokratického života prostřednictvím participativních a deliberativních nástrojů je také nezbytná k posílení vlastnictví, posílení postavení a důvěry veřejnosti. Tyto jsou klíčové pro budování celkové odolnosti společnosti. </w:t>
      </w:r>
    </w:p>
    <w:p w14:paraId="06543039" w14:textId="77777777" w:rsidR="00A01CF9" w:rsidRDefault="00676706">
      <w:pPr>
        <w:pStyle w:val="Nadpis4"/>
        <w:ind w:left="869"/>
      </w:pPr>
      <w:r>
        <w:t xml:space="preserve">2.4.1. Občanská výchova a dovednosti pro demokracii </w:t>
      </w:r>
    </w:p>
    <w:p w14:paraId="66CAAF28" w14:textId="77777777" w:rsidR="00A01CF9" w:rsidRDefault="00676706">
      <w:pPr>
        <w:ind w:left="869" w:right="860"/>
      </w:pPr>
      <w:r>
        <w:t xml:space="preserve">Občanské dovednosti, včetně mediální a digitální gramotnosti, jsou pro demokracii zásadní. Široká škála projektů podporuje tyto dovednosti v rámci různých programů EU, například Erasmus+ a Občané, rovnost, práva a hodnoty (CERV) a Horizon </w:t>
      </w:r>
      <w:proofErr w:type="spellStart"/>
      <w:r>
        <w:t>Europe</w:t>
      </w:r>
      <w:proofErr w:type="spellEnd"/>
      <w:r>
        <w:t xml:space="preserve">. </w:t>
      </w:r>
    </w:p>
    <w:p w14:paraId="08AE7112" w14:textId="77777777" w:rsidR="00A01CF9" w:rsidRDefault="00676706">
      <w:pPr>
        <w:pStyle w:val="Nadpis4"/>
        <w:ind w:left="869"/>
      </w:pPr>
      <w:r>
        <w:t xml:space="preserve">Opatření ve vzdělávání </w:t>
      </w:r>
    </w:p>
    <w:p w14:paraId="2734635B" w14:textId="77777777" w:rsidR="00A01CF9" w:rsidRDefault="00676706">
      <w:pPr>
        <w:ind w:left="869" w:right="860"/>
      </w:pPr>
      <w:r>
        <w:t xml:space="preserve">Školy a vzdělávací instituce hrají klíčovou roli ve rozvoji občanských dovedností, které umožňují lidem jednat zodpovědně tím, že podporují kritické myšlení, </w:t>
      </w:r>
      <w:proofErr w:type="spellStart"/>
      <w:r>
        <w:t>inkluzivitu</w:t>
      </w:r>
      <w:proofErr w:type="spellEnd"/>
      <w:r>
        <w:t xml:space="preserve">, svobodu projevu a aktivní občanskou angažovanost. Rozvíjením těchto dovedností vzdělávací instituce na všech úrovních posilují informované a angažované občany a tím budují odolnější demokratické společnosti.  </w:t>
      </w:r>
    </w:p>
    <w:p w14:paraId="1FD46D28" w14:textId="77777777" w:rsidR="00A01CF9" w:rsidRDefault="00676706">
      <w:pPr>
        <w:ind w:left="869" w:right="860"/>
      </w:pPr>
      <w:r>
        <w:t xml:space="preserve">V rámci Unie dovedností Akční </w:t>
      </w:r>
      <w:r>
        <w:rPr>
          <w:b/>
        </w:rPr>
        <w:t xml:space="preserve">plán základních dovedností </w:t>
      </w:r>
      <w:r>
        <w:t xml:space="preserve">považuje jak občanské dovednosti, tak digitální dovednosti za základní dovednosti, které jsou zásadní pro to, aby občané mohli prosperovat jak v profesním, tak osobním životě. Vzdělávací balíček pro rok 2026 </w:t>
      </w:r>
      <w:r>
        <w:rPr>
          <w:b/>
        </w:rPr>
        <w:t xml:space="preserve"> </w:t>
      </w:r>
      <w:r>
        <w:t xml:space="preserve">bude zahrnovat </w:t>
      </w:r>
      <w:r>
        <w:rPr>
          <w:b/>
        </w:rPr>
        <w:t>program podpory základních dovedností pro školy</w:t>
      </w:r>
      <w:r>
        <w:t xml:space="preserve"> , který podpoří děti a mladé lidi při získávání dovedností v gramotnosti, matematice, přírodních vědách, digitálních a občanských dovednostech. V rámci tohoto balíčku Komise představí cestovní mapu do roku 2030 pro budoucnost digitálního vzdělávání a dovedností, navazující na přezkum akčního plánu digitálního vzdělávání, zaměřující se na digitální dovednosti, umělou gramotnost a kritické myšlení a posilující demokratickou odolnost v digitálním světě. </w:t>
      </w:r>
    </w:p>
    <w:p w14:paraId="336C5BDE" w14:textId="77777777" w:rsidR="00A01CF9" w:rsidRDefault="00676706">
      <w:pPr>
        <w:spacing w:after="500"/>
        <w:ind w:left="869" w:right="860"/>
      </w:pPr>
      <w:r>
        <w:t xml:space="preserve">Komise poskytne doporučení školním vedoucím a tvůrcům politik. To bude zahrnovat aktualizované </w:t>
      </w:r>
      <w:r>
        <w:rPr>
          <w:b/>
        </w:rPr>
        <w:t xml:space="preserve">pokyny pro učitele a pedagogy pro boj proti dezinformacím a podporu digitální gramotnosti </w:t>
      </w:r>
      <w:r>
        <w:t>prostřednictvím vzdělávání a školení</w:t>
      </w:r>
      <w:r>
        <w:rPr>
          <w:vertAlign w:val="superscript"/>
        </w:rPr>
        <w:footnoteReference w:id="78"/>
      </w:r>
      <w:r>
        <w:t>, posílení pedagogické odbornosti učitelů a kritického myšlení mladých lidí, podporu odpovědného využívání digitálních technologií a podporu informovaných voleb online. Tyto budou zahrnovat vývoj jako generativní AI, manipulaci s</w:t>
      </w:r>
      <w:r>
        <w:rPr>
          <w:vertAlign w:val="superscript"/>
        </w:rPr>
        <w:footnoteReference w:id="79"/>
      </w:r>
      <w:r>
        <w:t xml:space="preserve"> informacemi a roli sociálních médií a influencerů. Komise také vyvíjí pokyny na podporu získávání základních dovedností v oblasti připravenosti, včetně relevantních prvků mediální gramotnosti, jako klíče k aktivnímu a informovanému občanství a boji proti dezinformacím a manipulaci s informacemi. Komise vypracuje </w:t>
      </w:r>
      <w:r>
        <w:rPr>
          <w:b/>
        </w:rPr>
        <w:t xml:space="preserve">rámec kompetencí </w:t>
      </w:r>
      <w:r>
        <w:rPr>
          <w:b/>
        </w:rPr>
        <w:lastRenderedPageBreak/>
        <w:t>občanství EU</w:t>
      </w:r>
      <w:r>
        <w:rPr>
          <w:vertAlign w:val="superscript"/>
        </w:rPr>
        <w:footnoteReference w:id="80"/>
      </w:r>
      <w:r>
        <w:t xml:space="preserve"> spolu s </w:t>
      </w:r>
      <w:r>
        <w:rPr>
          <w:b/>
        </w:rPr>
        <w:t xml:space="preserve">pokyny pro posílení vzdělávání občanství ve školách. </w:t>
      </w:r>
      <w:r>
        <w:t xml:space="preserve">To ovlivní tvorbu učebních osnov a vzdělávacích programů. </w:t>
      </w:r>
    </w:p>
    <w:p w14:paraId="5F0D204C"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3D5075A5" wp14:editId="52BE056B">
                <wp:extent cx="1829054" cy="7620"/>
                <wp:effectExtent l="0" t="0" r="0" b="0"/>
                <wp:docPr id="54727" name="Group 5472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78" name="Shape 557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4727" style="width:144.02pt;height:0.600037pt;mso-position-horizontal-relative:char;mso-position-vertical-relative:line" coordsize="18290,76">
                <v:shape id="Shape 55779"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159CFCD9" w14:textId="77777777" w:rsidR="00A01CF9" w:rsidRDefault="00676706">
      <w:pPr>
        <w:pStyle w:val="Nadpis4"/>
        <w:ind w:left="869"/>
      </w:pPr>
      <w:r>
        <w:t xml:space="preserve">Akce na podporu mediální gramotnosti přesahující vzdělávání </w:t>
      </w:r>
    </w:p>
    <w:p w14:paraId="429CC043" w14:textId="77777777" w:rsidR="00A01CF9" w:rsidRDefault="00676706">
      <w:pPr>
        <w:ind w:left="869" w:right="860"/>
      </w:pPr>
      <w:r>
        <w:t xml:space="preserve">Doplňující opatření v oblasti vzdělávání je třeba inkluzivně a efektivně rozšiřovat akce na podporu mediální gramotnosti, včetně digitální gramotnosti v celé EU, aby oslovily lidi všech věkových kategorií a socioekonomického původu, zejména lidi mimo vzdělávací a školicí prostředí.  </w:t>
      </w:r>
    </w:p>
    <w:p w14:paraId="1288A35C" w14:textId="77777777" w:rsidR="00A01CF9" w:rsidRDefault="00676706">
      <w:pPr>
        <w:spacing w:after="149"/>
        <w:ind w:left="869" w:right="860"/>
      </w:pPr>
      <w:r>
        <w:t xml:space="preserve">Komise představí </w:t>
      </w:r>
      <w:r>
        <w:rPr>
          <w:b/>
        </w:rPr>
        <w:t>balíček opatření zaměřených na mediální gramotnost</w:t>
      </w:r>
      <w:r>
        <w:t xml:space="preserve">. Program </w:t>
      </w:r>
      <w:r>
        <w:rPr>
          <w:b/>
        </w:rPr>
        <w:t xml:space="preserve">mediální odolnosti </w:t>
      </w:r>
      <w:r>
        <w:t xml:space="preserve">bude zahrnovat nové kroky na podporu mediální gramotnosti </w:t>
      </w:r>
      <w:proofErr w:type="spellStart"/>
      <w:r>
        <w:t>zasáhnoucí</w:t>
      </w:r>
      <w:proofErr w:type="spellEnd"/>
      <w:r>
        <w:t xml:space="preserve"> všechny věkové kategorie (mládež, dospělé, senioři) napříč venkovskými i městskými oblastmi. Bude řešit nové i stávající výzvy integrity informací, propojovat mediální gramotnost s připraveností a zaměřit se na nové trendy v oblasti konzumace médií</w:t>
      </w:r>
      <w:r>
        <w:rPr>
          <w:vertAlign w:val="superscript"/>
        </w:rPr>
        <w:footnoteReference w:id="81"/>
      </w:r>
      <w:r>
        <w:t>. Potenciální kroky ke zlepšení stávajících mechanismů podle směrnice o audiovizuálních mediálních službách týkající se mediální gramotnosti budou také součástí hodnocení a přezkumu těchto pravidel. Prioritou bude podpora členských států, které čelí specifickým výzvám a potřebám, stejně jako kandidátských zemí a potenciálních kandidátů</w:t>
      </w:r>
      <w:r>
        <w:rPr>
          <w:vertAlign w:val="superscript"/>
        </w:rPr>
        <w:t>89</w:t>
      </w:r>
      <w:r>
        <w:t xml:space="preserve"> a skupin, které čelí překážkám v zapojení do demokratického života</w:t>
      </w:r>
      <w:r>
        <w:rPr>
          <w:vertAlign w:val="superscript"/>
        </w:rPr>
        <w:t xml:space="preserve"> </w:t>
      </w:r>
      <w:r>
        <w:t xml:space="preserve">90.  </w:t>
      </w:r>
    </w:p>
    <w:p w14:paraId="1EEFABCF" w14:textId="77777777" w:rsidR="00A01CF9" w:rsidRDefault="00676706">
      <w:pPr>
        <w:spacing w:after="151"/>
        <w:ind w:left="869" w:right="860"/>
      </w:pPr>
      <w:r>
        <w:t xml:space="preserve">Komise bude podporovat členské státy při vývoji, rozšiřování nebo realizaci </w:t>
      </w:r>
      <w:r>
        <w:rPr>
          <w:b/>
        </w:rPr>
        <w:t>národních či regionálních akčních plánů v oblasti mediální gramotnosti</w:t>
      </w:r>
      <w:r>
        <w:rPr>
          <w:vertAlign w:val="superscript"/>
        </w:rPr>
        <w:footnoteReference w:id="82"/>
      </w:r>
      <w:r>
        <w:t xml:space="preserve">.  </w:t>
      </w:r>
    </w:p>
    <w:p w14:paraId="6B9EDE31" w14:textId="77777777" w:rsidR="00A01CF9" w:rsidRDefault="00676706">
      <w:pPr>
        <w:spacing w:after="1303"/>
        <w:ind w:left="869" w:right="860"/>
      </w:pPr>
      <w:r>
        <w:t xml:space="preserve">Komise také posílí </w:t>
      </w:r>
      <w:r>
        <w:rPr>
          <w:b/>
        </w:rPr>
        <w:t>komunitu mediální gramotnosti</w:t>
      </w:r>
      <w:r>
        <w:t xml:space="preserve">, aby zvýšila koordinaci a posílila vazby mezi zúčastněnými aktéry. To bude zahrnovat posílení </w:t>
      </w:r>
      <w:r>
        <w:rPr>
          <w:b/>
        </w:rPr>
        <w:t xml:space="preserve">Expertní skupiny Komise pro mediální gramotnost </w:t>
      </w:r>
      <w:r>
        <w:t xml:space="preserve">(MLEG) složené z orgánů členských států, podporou výměny osvědčených postupů, nabídkou nových nástrojů spolupráce a rozšířením mandátu na aspekty společenské odolnosti a připravenosti. Aby doplnila úsilí MLEG, Komise také zřídí novou </w:t>
      </w:r>
      <w:r>
        <w:rPr>
          <w:b/>
        </w:rPr>
        <w:t>nezávislou síť expertů pro mediální gramotnost</w:t>
      </w:r>
      <w:r>
        <w:t>, která sdruží nezávislé experty z různých oblastí (např. připravenost, FIMI a dezinformace, analýza dat, rizika integrity informací, behaviorální vědy atd.), aby poskytovali nezávislé vstupy a poznatky pro řešení nových výzev. Úsilí o mediální gramotnost také naváže na komunitu mediální gramotnosti Evropské digitální mediální observatoře (EDMO), dále rozšíří repozitář osvědčených postupů a případů použití založených na EDMO Guidelines for Effective Media Literacy Initiatives</w:t>
      </w:r>
      <w:r>
        <w:rPr>
          <w:vertAlign w:val="superscript"/>
        </w:rPr>
        <w:footnoteReference w:id="83"/>
      </w:r>
      <w:r>
        <w:t xml:space="preserve"> a rozšiřuje úspěšné </w:t>
      </w:r>
      <w:r>
        <w:lastRenderedPageBreak/>
        <w:t xml:space="preserve">příběhy vyvinuté a nasazené </w:t>
      </w:r>
      <w:r>
        <w:rPr>
          <w:b/>
        </w:rPr>
        <w:t>regionálními/národními centry EDMO</w:t>
      </w:r>
      <w:r>
        <w:t xml:space="preserve">, například pro oslovování zranitelných a venkovských komunit a seniorů nebo spolupráci s médii.  </w:t>
      </w:r>
    </w:p>
    <w:p w14:paraId="48BEEE45"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5EE2C8D7" wp14:editId="3D3FBA52">
                <wp:extent cx="1829054" cy="7620"/>
                <wp:effectExtent l="0" t="0" r="0" b="0"/>
                <wp:docPr id="52610" name="Group 5261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80" name="Shape 557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2610" style="width:144.02pt;height:0.600037pt;mso-position-horizontal-relative:char;mso-position-vertical-relative:line" coordsize="18290,76">
                <v:shape id="Shape 55781"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5FC79944" w14:textId="77777777" w:rsidR="00A01CF9" w:rsidRDefault="00676706">
      <w:pPr>
        <w:spacing w:after="153"/>
        <w:ind w:left="869" w:right="860"/>
      </w:pPr>
      <w:r>
        <w:t xml:space="preserve">Komise představí občanům </w:t>
      </w:r>
      <w:r>
        <w:rPr>
          <w:b/>
        </w:rPr>
        <w:t>průvodce demokracií EU</w:t>
      </w:r>
      <w:r>
        <w:t>, aby podpořila povědomí občanů o jejich demokratických právech podle práva a politických rámců EU a o tom, jak je uplatňovat</w:t>
      </w:r>
      <w:r>
        <w:rPr>
          <w:vertAlign w:val="superscript"/>
        </w:rPr>
        <w:footnoteReference w:id="84"/>
      </w:r>
      <w:r>
        <w:t xml:space="preserve">. Zvláštní důraz bude kladen na mladé lidi. </w:t>
      </w:r>
    </w:p>
    <w:p w14:paraId="074FBB7F" w14:textId="77777777" w:rsidR="00A01CF9" w:rsidRDefault="00676706">
      <w:pPr>
        <w:spacing w:after="0"/>
        <w:ind w:left="869" w:right="860"/>
      </w:pPr>
      <w:r>
        <w:t xml:space="preserve">Aby se občané zapojili do rámcování těchto opatření týkajících se demokracie, občanství, mediálních a digitálních dovedností, Komise zorganizuje </w:t>
      </w:r>
      <w:r>
        <w:rPr>
          <w:b/>
        </w:rPr>
        <w:t xml:space="preserve">Evropský panel občanů o demokratické </w:t>
      </w:r>
      <w:r>
        <w:t xml:space="preserve">odolnosti.  </w:t>
      </w:r>
    </w:p>
    <w:tbl>
      <w:tblPr>
        <w:tblStyle w:val="TableGrid"/>
        <w:tblW w:w="9018" w:type="dxa"/>
        <w:tblInd w:w="879" w:type="dxa"/>
        <w:tblCellMar>
          <w:top w:w="14" w:type="dxa"/>
          <w:left w:w="108" w:type="dxa"/>
          <w:right w:w="48" w:type="dxa"/>
        </w:tblCellMar>
        <w:tblLook w:val="04A0" w:firstRow="1" w:lastRow="0" w:firstColumn="1" w:lastColumn="0" w:noHBand="0" w:noVBand="1"/>
      </w:tblPr>
      <w:tblGrid>
        <w:gridCol w:w="9018"/>
      </w:tblGrid>
      <w:tr w:rsidR="00A01CF9" w14:paraId="3F529321" w14:textId="77777777">
        <w:trPr>
          <w:trHeight w:val="3785"/>
        </w:trPr>
        <w:tc>
          <w:tcPr>
            <w:tcW w:w="9018" w:type="dxa"/>
            <w:tcBorders>
              <w:top w:val="single" w:sz="4" w:space="0" w:color="000000"/>
              <w:left w:val="single" w:sz="4" w:space="0" w:color="000000"/>
              <w:bottom w:val="single" w:sz="4" w:space="0" w:color="000000"/>
              <w:right w:val="single" w:sz="4" w:space="0" w:color="000000"/>
            </w:tcBorders>
          </w:tcPr>
          <w:p w14:paraId="18D898EF" w14:textId="77777777" w:rsidR="00A01CF9" w:rsidRDefault="00676706">
            <w:pPr>
              <w:spacing w:after="0" w:line="259" w:lineRule="auto"/>
              <w:ind w:left="0" w:firstLine="0"/>
              <w:jc w:val="left"/>
            </w:pPr>
            <w:r>
              <w:rPr>
                <w:i/>
              </w:rPr>
              <w:t xml:space="preserve">Akce:  </w:t>
            </w:r>
          </w:p>
          <w:p w14:paraId="486FB93A" w14:textId="77777777" w:rsidR="00A01CF9" w:rsidRDefault="00676706">
            <w:pPr>
              <w:numPr>
                <w:ilvl w:val="0"/>
                <w:numId w:val="6"/>
              </w:numPr>
              <w:spacing w:after="20" w:line="239" w:lineRule="auto"/>
              <w:ind w:hanging="360"/>
            </w:pPr>
            <w:r>
              <w:rPr>
                <w:i/>
              </w:rPr>
              <w:t xml:space="preserve">Vypracovat program podpory základních dovedností pro školy pro rok 2026, včetně občanství a digitálních dovedností </w:t>
            </w:r>
          </w:p>
          <w:p w14:paraId="0121CCF3" w14:textId="77777777" w:rsidR="00A01CF9" w:rsidRDefault="00676706">
            <w:pPr>
              <w:numPr>
                <w:ilvl w:val="0"/>
                <w:numId w:val="6"/>
              </w:numPr>
              <w:spacing w:after="18" w:line="241" w:lineRule="auto"/>
              <w:ind w:hanging="360"/>
            </w:pPr>
            <w:r>
              <w:rPr>
                <w:i/>
              </w:rPr>
              <w:t xml:space="preserve">Aktualizovat pokyny pro učitele a pedagogy týkající se dezinformací a digitální gramotnosti </w:t>
            </w:r>
          </w:p>
          <w:p w14:paraId="08C048D1" w14:textId="77777777" w:rsidR="00A01CF9" w:rsidRDefault="00676706">
            <w:pPr>
              <w:numPr>
                <w:ilvl w:val="0"/>
                <w:numId w:val="6"/>
              </w:numPr>
              <w:spacing w:after="22" w:line="239" w:lineRule="auto"/>
              <w:ind w:hanging="360"/>
            </w:pPr>
            <w:r>
              <w:rPr>
                <w:i/>
              </w:rPr>
              <w:t xml:space="preserve">Vypracovat rámec kompetencí občanství EU spolu s pokyny pro posílení občanské výchovy ve školách </w:t>
            </w:r>
          </w:p>
          <w:p w14:paraId="53B638CA" w14:textId="77777777" w:rsidR="00A01CF9" w:rsidRDefault="00676706">
            <w:pPr>
              <w:numPr>
                <w:ilvl w:val="0"/>
                <w:numId w:val="6"/>
              </w:numPr>
              <w:spacing w:after="22" w:line="256" w:lineRule="auto"/>
              <w:ind w:hanging="360"/>
            </w:pPr>
            <w:r>
              <w:rPr>
                <w:i/>
              </w:rPr>
              <w:t xml:space="preserve">Podporovat členské státy při vývoji, rozšiřování nebo realizaci národních či regionálních akčních plánů na mediální gramotnost </w:t>
            </w:r>
          </w:p>
          <w:p w14:paraId="10AD91F0" w14:textId="77777777" w:rsidR="00A01CF9" w:rsidRDefault="00676706">
            <w:pPr>
              <w:numPr>
                <w:ilvl w:val="0"/>
                <w:numId w:val="6"/>
              </w:numPr>
              <w:spacing w:after="20" w:line="239" w:lineRule="auto"/>
              <w:ind w:hanging="360"/>
            </w:pPr>
            <w:r>
              <w:rPr>
                <w:i/>
              </w:rPr>
              <w:t xml:space="preserve">Zavádějte opatření mediální gramotnosti s novými prioritami a posílenou komunitou mediální gramotnosti  </w:t>
            </w:r>
          </w:p>
          <w:p w14:paraId="6DC4593C" w14:textId="77777777" w:rsidR="00A01CF9" w:rsidRDefault="00676706">
            <w:pPr>
              <w:numPr>
                <w:ilvl w:val="0"/>
                <w:numId w:val="6"/>
              </w:numPr>
              <w:spacing w:after="0" w:line="259" w:lineRule="auto"/>
              <w:ind w:hanging="360"/>
            </w:pPr>
            <w:r>
              <w:rPr>
                <w:i/>
              </w:rPr>
              <w:t xml:space="preserve">Připravte průvodce demokracií EU pro občany </w:t>
            </w:r>
          </w:p>
          <w:p w14:paraId="20A043B7" w14:textId="77777777" w:rsidR="00A01CF9" w:rsidRDefault="00676706">
            <w:pPr>
              <w:numPr>
                <w:ilvl w:val="0"/>
                <w:numId w:val="6"/>
              </w:numPr>
              <w:spacing w:after="0" w:line="259" w:lineRule="auto"/>
              <w:ind w:hanging="360"/>
            </w:pPr>
            <w:r>
              <w:rPr>
                <w:i/>
              </w:rPr>
              <w:t xml:space="preserve">Organizovat Evropský občanský panel o demokratické odolnosti </w:t>
            </w:r>
          </w:p>
        </w:tc>
      </w:tr>
    </w:tbl>
    <w:p w14:paraId="5DE3360C" w14:textId="77777777" w:rsidR="00A01CF9" w:rsidRDefault="00676706">
      <w:pPr>
        <w:spacing w:after="147" w:line="259" w:lineRule="auto"/>
        <w:ind w:left="874" w:firstLine="0"/>
        <w:jc w:val="left"/>
      </w:pPr>
      <w:r>
        <w:t xml:space="preserve"> </w:t>
      </w:r>
      <w:r>
        <w:tab/>
        <w:t xml:space="preserve"> </w:t>
      </w:r>
    </w:p>
    <w:p w14:paraId="709D5B20" w14:textId="77777777" w:rsidR="00A01CF9" w:rsidRDefault="00676706">
      <w:pPr>
        <w:pStyle w:val="Nadpis4"/>
        <w:ind w:left="1592"/>
      </w:pPr>
      <w:r>
        <w:t xml:space="preserve">2.4.2. Podpora zapojení a účasti občanů </w:t>
      </w:r>
    </w:p>
    <w:p w14:paraId="5FBDC2A0" w14:textId="77777777" w:rsidR="00A01CF9" w:rsidRDefault="00676706">
      <w:pPr>
        <w:ind w:left="869" w:right="860"/>
      </w:pPr>
      <w:r>
        <w:t>Nové a smysluplné metody občanské účasti, projednání a zapojení napříč generacemi</w:t>
      </w:r>
      <w:r>
        <w:rPr>
          <w:vertAlign w:val="superscript"/>
        </w:rPr>
        <w:footnoteReference w:id="85"/>
      </w:r>
      <w:r>
        <w:t xml:space="preserve"> poskytují další způsoby, jak se občané mohou zapojit do demokratických debat a veřejné politiky, obohacují jednání o různé pohledy – jak ukázala Konference o budoucnosti Evropy – a posilují zastupitelskou demokracii založenou na volbách.  </w:t>
      </w:r>
    </w:p>
    <w:p w14:paraId="0DE05277" w14:textId="77777777" w:rsidR="00A01CF9" w:rsidRDefault="00676706">
      <w:pPr>
        <w:spacing w:after="1415"/>
        <w:ind w:left="869" w:right="860"/>
      </w:pPr>
      <w:r>
        <w:t xml:space="preserve">Na úrovni EU Komise využívá několik nástrojů k zapojení občanů EU do tvorby politik, počínaje Evropskými občanskými iniciativami, jedinečným nástrojem pro tvorbu agendy, který umožňuje občanům předkládat své návrhy pro opatření EU. </w:t>
      </w:r>
      <w:r>
        <w:rPr>
          <w:b/>
        </w:rPr>
        <w:t xml:space="preserve">Evropské občanské panely a </w:t>
      </w:r>
      <w:r>
        <w:t>Platforma pro zapojení občanů</w:t>
      </w:r>
      <w:r>
        <w:rPr>
          <w:b/>
        </w:rPr>
        <w:t xml:space="preserve"> se staly </w:t>
      </w:r>
      <w:r>
        <w:t xml:space="preserve">důležitými nástroji pro informování a podporu tvorby politik, budování demokratické odolnosti a podporu evropského občanství, přičemž jejich využívání na úrovni EU i v členských státech bude podporováno. Komise bude zkoumat </w:t>
      </w:r>
      <w:r>
        <w:lastRenderedPageBreak/>
        <w:t xml:space="preserve">možnosti otevření své Platformy pro zapojení občanů nebo umožnit její interoperabilitu s národními, regionálními a místními veřejnými správami.  </w:t>
      </w:r>
    </w:p>
    <w:p w14:paraId="71C846A4"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50DBA9F0" wp14:editId="16134756">
                <wp:extent cx="1829054" cy="7620"/>
                <wp:effectExtent l="0" t="0" r="0" b="0"/>
                <wp:docPr id="52150" name="Group 521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82" name="Shape 557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2150" style="width:144.02pt;height:0.599976pt;mso-position-horizontal-relative:char;mso-position-vertical-relative:line" coordsize="18290,76">
                <v:shape id="Shape 55783"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2B4AF040" w14:textId="77777777" w:rsidR="00A01CF9" w:rsidRDefault="00676706">
      <w:pPr>
        <w:ind w:left="869" w:right="860"/>
      </w:pPr>
      <w:r>
        <w:t>Komise bude úzce spolupracovat s příslušnými orgány a subjekty, jako je Evropský výbor regionů, Evropský hospodářský a sociální výbor a zainteresovanými stranami,</w:t>
      </w:r>
      <w:r>
        <w:rPr>
          <w:vertAlign w:val="superscript"/>
        </w:rPr>
        <w:footnoteReference w:id="86"/>
      </w:r>
      <w:r>
        <w:t xml:space="preserve"> aby posílila </w:t>
      </w:r>
      <w:r>
        <w:rPr>
          <w:b/>
        </w:rPr>
        <w:t>síť národních orgánů pro občanskou participaci</w:t>
      </w:r>
      <w:r>
        <w:t>, s národními kontaktními body, zejména na základě virtuálního Kompetenčního centra Komise pro participativní a deliberativní demokracii</w:t>
      </w:r>
      <w:r>
        <w:rPr>
          <w:vertAlign w:val="superscript"/>
        </w:rPr>
        <w:footnoteReference w:id="87"/>
      </w:r>
      <w:r>
        <w:t xml:space="preserve">. Práce této sítě se zaměří na místní úroveň, posilování postavení mládeže a mezigenerační dialog, poskytující praktickou podporu a propagující relevantní nástroje pro národní orgány. V rámci tohoto rámce Komise podpoří přípravu </w:t>
      </w:r>
      <w:r>
        <w:rPr>
          <w:b/>
        </w:rPr>
        <w:t xml:space="preserve">školícího balíčku </w:t>
      </w:r>
      <w:r>
        <w:t xml:space="preserve">pro členské státy o účasti občanů ve všech úředních jazycích EU.  </w:t>
      </w:r>
    </w:p>
    <w:p w14:paraId="74EF85AA" w14:textId="77777777" w:rsidR="00A01CF9" w:rsidRDefault="00676706">
      <w:pPr>
        <w:ind w:left="869" w:right="860"/>
      </w:pPr>
      <w:r>
        <w:t xml:space="preserve">Komise zajistí širší přístup k informacím o účasti občanů prostřednictvím </w:t>
      </w:r>
      <w:r>
        <w:rPr>
          <w:b/>
        </w:rPr>
        <w:t xml:space="preserve">vícejazyčného portálu </w:t>
      </w:r>
      <w:r>
        <w:t xml:space="preserve">pro zdroje na úrovni EU, aby šířila nástroje a informace o demokratické účasti širším způsobem, pro použití na všech úrovních v EU, včetně veřejných správ, zainteresovaných stran a občanů, centralizovala informace shromážděné prostřednictvím sítě národních orgánů o účasti občanů a v rámci Centra kompetencí pro participativní a Deliberativní demokracie.  </w:t>
      </w:r>
    </w:p>
    <w:p w14:paraId="23E7B05D" w14:textId="77777777" w:rsidR="00A01CF9" w:rsidRDefault="00676706">
      <w:pPr>
        <w:ind w:left="869" w:right="860"/>
      </w:pPr>
      <w:r>
        <w:t>Inovativní digitální nástroje by měly být podporovány jako doplněk a podpora osobních výměn. Komise bude podporovat inovace v online platformách, které umožňují účast na demokracii (občanské technologie</w:t>
      </w:r>
      <w:r>
        <w:rPr>
          <w:vertAlign w:val="superscript"/>
        </w:rPr>
        <w:footnoteReference w:id="88"/>
      </w:r>
      <w:r>
        <w:t xml:space="preserve">), včetně místních digitálních platforem podporujících demokratické zapojení a využívajících AI pro participativní účely. Aby Komise zahájila zapojení do sektoru občanských technologií, zorganizuje </w:t>
      </w:r>
      <w:proofErr w:type="spellStart"/>
      <w:r>
        <w:rPr>
          <w:b/>
        </w:rPr>
        <w:t>hackathon</w:t>
      </w:r>
      <w:proofErr w:type="spellEnd"/>
      <w:r>
        <w:rPr>
          <w:b/>
        </w:rPr>
        <w:t xml:space="preserve"> pro občanské technologie</w:t>
      </w:r>
      <w:r>
        <w:t xml:space="preserve">, který představí inovativní projekty, a zřídí evropské </w:t>
      </w:r>
      <w:r>
        <w:rPr>
          <w:b/>
        </w:rPr>
        <w:t>centrum občanských technologií</w:t>
      </w:r>
      <w:r>
        <w:rPr>
          <w:vertAlign w:val="superscript"/>
        </w:rPr>
        <w:footnoteReference w:id="89"/>
      </w:r>
      <w:r>
        <w:t>, které poskytne komplexní, vícejazyčné centrum pro informace, zdroje a nástroje o občanských technologiích.</w:t>
      </w:r>
      <w:r>
        <w:rPr>
          <w:vertAlign w:val="superscript"/>
        </w:rPr>
        <w:footnoteReference w:id="90"/>
      </w:r>
      <w:r>
        <w:t xml:space="preserve"> Komise bude podporovat pilotní projekty v této oblasti v rámci příslušných programů EU na financování s využitím místních úřadů, komunit a technologických start-upů za účelem vývoje škálovatelných řešení, a to i ve venkovských oblastech</w:t>
      </w:r>
      <w:r>
        <w:rPr>
          <w:vertAlign w:val="superscript"/>
        </w:rPr>
        <w:footnoteReference w:id="91"/>
      </w:r>
      <w:r>
        <w:t xml:space="preserve">. V těchto pracovních oblastech bude zvláštní pozornost věnována přístupnosti a interoperabilitě nástrojů občanských technologií. </w:t>
      </w:r>
    </w:p>
    <w:p w14:paraId="0A659EF4" w14:textId="77777777" w:rsidR="00A01CF9" w:rsidRDefault="00676706">
      <w:pPr>
        <w:spacing w:after="42"/>
        <w:ind w:left="869" w:right="860"/>
      </w:pPr>
      <w:r>
        <w:rPr>
          <w:b/>
        </w:rPr>
        <w:lastRenderedPageBreak/>
        <w:t xml:space="preserve">Účast mládeže </w:t>
      </w:r>
      <w:r>
        <w:t xml:space="preserve">a konzultace na všech úrovních zajišťují, že politiky a rozhodnutí zohledňují perspektivy a potřeby mladší generace, která bude žít s jejich dlouhodobými důsledky. Zapojení mladých lidí inkluzivním způsobem také podporuje pocit občanské odpovědnosti a podporuje celoživotní účast ve společnosti a demokracii. Mladí lidé hrají </w:t>
      </w:r>
    </w:p>
    <w:p w14:paraId="778FAED5"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7CA47E56" wp14:editId="4D8FB01D">
                <wp:extent cx="1829054" cy="7620"/>
                <wp:effectExtent l="0" t="0" r="0" b="0"/>
                <wp:docPr id="54072" name="Group 5407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84" name="Shape 557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4072" style="width:144.02pt;height:0.599976pt;mso-position-horizontal-relative:char;mso-position-vertical-relative:line" coordsize="18290,76">
                <v:shape id="Shape 5578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5E332A6C" w14:textId="77777777" w:rsidR="00A01CF9" w:rsidRDefault="00676706">
      <w:pPr>
        <w:spacing w:after="0"/>
        <w:ind w:left="869" w:right="860"/>
      </w:pPr>
      <w:r>
        <w:t xml:space="preserve">klíčovou roli v úsilí Komise zapojit občany do tvorby politik, včetně prostřednictvím Prezidentské poradní rady pro mládež. Budou organizovány </w:t>
      </w:r>
      <w:r>
        <w:rPr>
          <w:b/>
        </w:rPr>
        <w:t xml:space="preserve">dialogy o mládežnické politice </w:t>
      </w:r>
      <w:r>
        <w:t xml:space="preserve">mezi komisaři a mladými lidmi </w:t>
      </w:r>
      <w:r>
        <w:rPr>
          <w:b/>
        </w:rPr>
        <w:t>o realizaci Evropského štítu demokracie</w:t>
      </w:r>
      <w:r>
        <w:t xml:space="preserve">. </w:t>
      </w:r>
      <w:r>
        <w:rPr>
          <w:b/>
        </w:rPr>
        <w:t>Nástroj EU pro účast v dialogu mládeže</w:t>
      </w:r>
      <w:r>
        <w:t xml:space="preserve">, vytvořený ve spolupráci s národními mládežnickými radami, </w:t>
      </w:r>
      <w:r>
        <w:rPr>
          <w:b/>
        </w:rPr>
        <w:t>bude přizpůsoben</w:t>
      </w:r>
      <w:r>
        <w:t xml:space="preserve"> tak, aby oslovil více mladých lidí, a bude propagován prostřednictvím Evropského portálu pro mládež, aby se zvýšila širší zapojení mládeže. Iniciativa </w:t>
      </w:r>
      <w:proofErr w:type="spellStart"/>
      <w:r>
        <w:rPr>
          <w:b/>
        </w:rPr>
        <w:t>Voices</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Future</w:t>
      </w:r>
      <w:proofErr w:type="spellEnd"/>
      <w:r>
        <w:rPr>
          <w:b/>
        </w:rPr>
        <w:t xml:space="preserve"> </w:t>
      </w:r>
      <w:r>
        <w:t xml:space="preserve">si klade za cíl vytvořit Evropské fórum pro mezigenerační spravedlnost v demokracii, jako inkluzivní prostor, kde se lidé všech věkových kategorií mohou setkávat a formovat dlouhodobá evropská rozhodnutí.  </w:t>
      </w:r>
    </w:p>
    <w:tbl>
      <w:tblPr>
        <w:tblStyle w:val="TableGrid"/>
        <w:tblW w:w="9018" w:type="dxa"/>
        <w:tblInd w:w="879" w:type="dxa"/>
        <w:tblCellMar>
          <w:top w:w="14" w:type="dxa"/>
          <w:left w:w="108" w:type="dxa"/>
          <w:right w:w="54" w:type="dxa"/>
        </w:tblCellMar>
        <w:tblLook w:val="04A0" w:firstRow="1" w:lastRow="0" w:firstColumn="1" w:lastColumn="0" w:noHBand="0" w:noVBand="1"/>
      </w:tblPr>
      <w:tblGrid>
        <w:gridCol w:w="9018"/>
      </w:tblGrid>
      <w:tr w:rsidR="00A01CF9" w14:paraId="3CABAD54" w14:textId="77777777">
        <w:trPr>
          <w:trHeight w:val="1424"/>
        </w:trPr>
        <w:tc>
          <w:tcPr>
            <w:tcW w:w="9018" w:type="dxa"/>
            <w:tcBorders>
              <w:top w:val="single" w:sz="4" w:space="0" w:color="000000"/>
              <w:left w:val="single" w:sz="4" w:space="0" w:color="000000"/>
              <w:bottom w:val="single" w:sz="4" w:space="0" w:color="000000"/>
              <w:right w:val="single" w:sz="4" w:space="0" w:color="000000"/>
            </w:tcBorders>
          </w:tcPr>
          <w:p w14:paraId="6BEF539D" w14:textId="77777777" w:rsidR="00A01CF9" w:rsidRDefault="00676706">
            <w:pPr>
              <w:spacing w:after="22" w:line="245" w:lineRule="auto"/>
              <w:ind w:left="360" w:right="58" w:hanging="360"/>
            </w:pPr>
            <w:r>
              <w:rPr>
                <w:i/>
              </w:rPr>
              <w:t xml:space="preserve">Aktivity:  </w:t>
            </w:r>
            <w:r>
              <w:rPr>
                <w:rFonts w:ascii="Segoe UI Symbol" w:eastAsia="Segoe UI Symbol" w:hAnsi="Segoe UI Symbol" w:cs="Segoe UI Symbol"/>
              </w:rPr>
              <w:t xml:space="preserve">• </w:t>
            </w:r>
            <w:r>
              <w:rPr>
                <w:i/>
              </w:rPr>
              <w:t xml:space="preserve">Podporovat účast občanů a mládeže, včetně posílení sítě národních orgánů pro občanskou účast, prostřednictvím školícího balíčku a vícejazyčného portálu pro zdroje na úrovni EU </w:t>
            </w:r>
          </w:p>
          <w:p w14:paraId="57679AD4" w14:textId="77777777" w:rsidR="00A01CF9" w:rsidRDefault="00676706">
            <w:pPr>
              <w:spacing w:after="0" w:line="259" w:lineRule="auto"/>
              <w:ind w:left="360" w:firstLine="0"/>
              <w:jc w:val="left"/>
            </w:pPr>
            <w:r>
              <w:rPr>
                <w:rFonts w:ascii="Segoe UI Symbol" w:eastAsia="Segoe UI Symbol" w:hAnsi="Segoe UI Symbol" w:cs="Segoe UI Symbol"/>
              </w:rPr>
              <w:t xml:space="preserve">• </w:t>
            </w:r>
            <w:r>
              <w:rPr>
                <w:i/>
              </w:rPr>
              <w:t xml:space="preserve">Zřídit evropské centrum občanských technologií na podporu sektoru občanských technologií </w:t>
            </w:r>
          </w:p>
        </w:tc>
      </w:tr>
    </w:tbl>
    <w:p w14:paraId="21254217" w14:textId="77777777" w:rsidR="00A01CF9" w:rsidRDefault="00676706">
      <w:pPr>
        <w:spacing w:after="139" w:line="259" w:lineRule="auto"/>
        <w:ind w:left="874" w:firstLine="0"/>
        <w:jc w:val="left"/>
      </w:pPr>
      <w:r>
        <w:rPr>
          <w:b/>
          <w:i/>
        </w:rPr>
        <w:t xml:space="preserve"> </w:t>
      </w:r>
    </w:p>
    <w:p w14:paraId="2D652647" w14:textId="77777777" w:rsidR="00A01CF9" w:rsidRDefault="00676706">
      <w:pPr>
        <w:pStyle w:val="Nadpis4"/>
        <w:ind w:left="869"/>
      </w:pPr>
      <w:r>
        <w:t xml:space="preserve">2.4.3. Posilování demokracie prostřednictvím akcí celé společnosti </w:t>
      </w:r>
    </w:p>
    <w:p w14:paraId="1C7A34EE" w14:textId="77777777" w:rsidR="00A01CF9" w:rsidRDefault="00676706">
      <w:pPr>
        <w:ind w:left="869" w:right="860"/>
      </w:pPr>
      <w:r>
        <w:t xml:space="preserve">Pro další posílení demokracie je nutné poskytovat trvalou podporu zapojeným aktérům a komunitám, uznávat a zesilovat jejich iniciativy a prezentovat osvědčené postupy, které ukazují inovativní přístupy. Zvláštní pozornost je nutná na regiony postižené nízkou občanskou a politickou angažovaností. </w:t>
      </w:r>
    </w:p>
    <w:p w14:paraId="174D5EB6" w14:textId="77777777" w:rsidR="00A01CF9" w:rsidRDefault="00676706">
      <w:pPr>
        <w:ind w:left="869" w:right="860"/>
      </w:pPr>
      <w:r>
        <w:t xml:space="preserve">Aby Komise řešila rostoucí výzvy, jako je sociální fragmentace, digitální izolace a klesající důvěra ve veřejné instituce, bude podporovat přístupy zaměřené na budování komunity. Společně s místními úřady a sítěmi po celé EU – včetně </w:t>
      </w:r>
      <w:r>
        <w:rPr>
          <w:b/>
        </w:rPr>
        <w:t>Sítě místních radních EU</w:t>
      </w:r>
      <w:r>
        <w:t xml:space="preserve"> – bude Komise podporovat a podporovat iniciativy na místní úrovni, které spojují lidi různých věkových kategorií a původů a posilují místní propojení a inkluzivní veřejná prostora, včetně sportu, hudby, vyprávění příběhů a spolupráce.  </w:t>
      </w:r>
    </w:p>
    <w:p w14:paraId="0E373434" w14:textId="77777777" w:rsidR="00A01CF9" w:rsidRDefault="00676706">
      <w:pPr>
        <w:ind w:left="869" w:right="860"/>
      </w:pPr>
      <w:r>
        <w:t xml:space="preserve">Místní demokracie, inkluze a participativní přístupy patří mezi základní hodnoty a principy Nového evropského Bauhausu. Bude podporovat místní demokracii prostřednictvím konkrétních iniciativ, které podporují inovativní přístupy k zapojení komunity na úrovni sousedství. To zahrnuje posilování komunitní účasti a mezigeneračních vazeb, stejně jako rozvoj spolupracujících přístupů k inkluzivním veřejným prostorům a čtvrtím. </w:t>
      </w:r>
    </w:p>
    <w:p w14:paraId="76DA5853" w14:textId="77777777" w:rsidR="00A01CF9" w:rsidRDefault="00676706">
      <w:pPr>
        <w:ind w:left="869" w:right="860"/>
      </w:pPr>
      <w:r>
        <w:t xml:space="preserve">Centra EUROPE DIRECT Komise budou fungovat jako místní mikro-centra demokracie – otevřená, obývaná místa, kde se komunity setkávají, vyměňují si a jednají společně, podporující inkluzivní dialog zakořeněný v jejich každodenní realitě. Ve spolupráci s místními úřady mohou pořádat aktivity, které proměňují diskusi ve sdílený zážitek – od komunitních večerů přes sdílení dovedností v sousedství až po místní </w:t>
      </w:r>
      <w:r>
        <w:rPr>
          <w:vertAlign w:val="superscript"/>
        </w:rPr>
        <w:footnoteReference w:id="92"/>
      </w:r>
      <w:proofErr w:type="spellStart"/>
      <w:r>
        <w:t>podcasty</w:t>
      </w:r>
      <w:proofErr w:type="spellEnd"/>
      <w:r>
        <w:t xml:space="preserve">.  </w:t>
      </w:r>
    </w:p>
    <w:p w14:paraId="317B5327" w14:textId="77777777" w:rsidR="00A01CF9" w:rsidRDefault="00676706">
      <w:pPr>
        <w:spacing w:after="74"/>
        <w:ind w:left="869" w:right="860"/>
      </w:pPr>
      <w:r>
        <w:lastRenderedPageBreak/>
        <w:t xml:space="preserve">Aby podpořila více výměn a synergií mezi zainteresovanými stranami aktivními v demokratických inovacích, sdílení osvědčených postupů a zviditelnění jejich projektů, Komise uspořádá </w:t>
      </w:r>
      <w:r>
        <w:rPr>
          <w:b/>
        </w:rPr>
        <w:t>Vysokou úroveň akce</w:t>
      </w:r>
      <w:r>
        <w:t xml:space="preserve"> o demokracii a udělí každoroční </w:t>
      </w:r>
      <w:r>
        <w:rPr>
          <w:b/>
        </w:rPr>
        <w:t xml:space="preserve">ocenění za demokracii </w:t>
      </w:r>
    </w:p>
    <w:p w14:paraId="6331C154"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1C642094" wp14:editId="484291A7">
                <wp:extent cx="1829054" cy="7620"/>
                <wp:effectExtent l="0" t="0" r="0" b="0"/>
                <wp:docPr id="51440" name="Group 5144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86" name="Shape 557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1440" style="width:144.02pt;height:0.599976pt;mso-position-horizontal-relative:char;mso-position-vertical-relative:line" coordsize="18290,76">
                <v:shape id="Shape 55787"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06D29C45" w14:textId="77777777" w:rsidR="00A01CF9" w:rsidRDefault="00676706">
      <w:pPr>
        <w:ind w:left="869" w:right="860"/>
      </w:pPr>
      <w:r>
        <w:rPr>
          <w:b/>
        </w:rPr>
        <w:t>inovace</w:t>
      </w:r>
      <w:r>
        <w:rPr>
          <w:vertAlign w:val="superscript"/>
        </w:rPr>
        <w:footnoteReference w:id="93"/>
      </w:r>
      <w:r>
        <w:t xml:space="preserve">. Prezentace projektů souvisejících s demokracií zvyšuje jejich viditelnost u soukromých dárců a filantropických organizací, které jsou povzbuzovány k tomu, aby hrály stále větší roli. </w:t>
      </w:r>
    </w:p>
    <w:p w14:paraId="58C1B3FE" w14:textId="77777777" w:rsidR="00A01CF9" w:rsidRDefault="00676706">
      <w:pPr>
        <w:spacing w:after="154"/>
        <w:ind w:left="869" w:right="860"/>
      </w:pPr>
      <w:r>
        <w:t xml:space="preserve">Komise zahájí </w:t>
      </w:r>
      <w:r>
        <w:rPr>
          <w:b/>
        </w:rPr>
        <w:t xml:space="preserve">cílené kampaně na zvyšování povědomí </w:t>
      </w:r>
      <w:r>
        <w:t>, aby jasně vysvětlila, proč je demokracie důležitá a jak mohou všichni občané, včetně mladých lidí, uplatňovat svá demokratická práva a dát najevo svůj hlas</w:t>
      </w:r>
      <w:r>
        <w:rPr>
          <w:vertAlign w:val="superscript"/>
        </w:rPr>
        <w:footnoteReference w:id="94"/>
      </w:r>
      <w:r>
        <w:t xml:space="preserve">. </w:t>
      </w:r>
    </w:p>
    <w:p w14:paraId="1A230891" w14:textId="77777777" w:rsidR="00A01CF9" w:rsidRDefault="00676706">
      <w:pPr>
        <w:spacing w:after="0"/>
        <w:ind w:left="869" w:right="860"/>
      </w:pPr>
      <w:r>
        <w:t xml:space="preserve">Soukromý </w:t>
      </w:r>
      <w:r>
        <w:rPr>
          <w:b/>
        </w:rPr>
        <w:t xml:space="preserve">sektor </w:t>
      </w:r>
      <w:r>
        <w:t xml:space="preserve">má také roli v podpoře a udržování demokracie, což je zásadní pro spravedlivé a dobře fungující podnikatelské prostředí a ekonomickou prosperitu. Prosperující ekonomika je naopak nezbytná pro prosperitu demokracie. Komise bude povzbuzovat soukromé společnosti a obchodní sdružení, aby sdílely osvědčené postupy, přijímaly dobrovolné závazky v této oblasti a budovaly podnikatelskou </w:t>
      </w:r>
      <w:r>
        <w:rPr>
          <w:b/>
        </w:rPr>
        <w:t xml:space="preserve">koalici pro </w:t>
      </w:r>
      <w:r>
        <w:rPr>
          <w:vertAlign w:val="superscript"/>
        </w:rPr>
        <w:footnoteReference w:id="95"/>
      </w:r>
      <w:r>
        <w:t xml:space="preserve">demokracii.  </w:t>
      </w:r>
    </w:p>
    <w:tbl>
      <w:tblPr>
        <w:tblStyle w:val="TableGrid"/>
        <w:tblW w:w="9018" w:type="dxa"/>
        <w:tblInd w:w="879" w:type="dxa"/>
        <w:tblCellMar>
          <w:top w:w="14" w:type="dxa"/>
          <w:left w:w="108" w:type="dxa"/>
          <w:right w:w="53" w:type="dxa"/>
        </w:tblCellMar>
        <w:tblLook w:val="04A0" w:firstRow="1" w:lastRow="0" w:firstColumn="1" w:lastColumn="0" w:noHBand="0" w:noVBand="1"/>
      </w:tblPr>
      <w:tblGrid>
        <w:gridCol w:w="9018"/>
      </w:tblGrid>
      <w:tr w:rsidR="00A01CF9" w14:paraId="7C87266F" w14:textId="77777777">
        <w:trPr>
          <w:trHeight w:val="1959"/>
        </w:trPr>
        <w:tc>
          <w:tcPr>
            <w:tcW w:w="9018" w:type="dxa"/>
            <w:tcBorders>
              <w:top w:val="single" w:sz="4" w:space="0" w:color="000000"/>
              <w:left w:val="single" w:sz="4" w:space="0" w:color="000000"/>
              <w:bottom w:val="single" w:sz="4" w:space="0" w:color="000000"/>
              <w:right w:val="single" w:sz="4" w:space="0" w:color="000000"/>
            </w:tcBorders>
          </w:tcPr>
          <w:p w14:paraId="4D0C6EBA" w14:textId="77777777" w:rsidR="00A01CF9" w:rsidRDefault="00676706">
            <w:pPr>
              <w:spacing w:after="117" w:line="259" w:lineRule="auto"/>
              <w:ind w:left="0" w:firstLine="0"/>
              <w:jc w:val="left"/>
            </w:pPr>
            <w:r>
              <w:rPr>
                <w:i/>
              </w:rPr>
              <w:t xml:space="preserve">Akce: </w:t>
            </w:r>
          </w:p>
          <w:p w14:paraId="7100BD6B" w14:textId="77777777" w:rsidR="00A01CF9" w:rsidRDefault="00676706">
            <w:pPr>
              <w:numPr>
                <w:ilvl w:val="0"/>
                <w:numId w:val="7"/>
              </w:numPr>
              <w:spacing w:after="20" w:line="239" w:lineRule="auto"/>
              <w:ind w:hanging="360"/>
              <w:jc w:val="left"/>
            </w:pPr>
            <w:r>
              <w:rPr>
                <w:i/>
              </w:rPr>
              <w:t xml:space="preserve">Uspořádat vysokou akci o demokracii a každoroční ocenění za demokratickou inovaci </w:t>
            </w:r>
          </w:p>
          <w:p w14:paraId="446FA8A2" w14:textId="77777777" w:rsidR="00A01CF9" w:rsidRDefault="00676706">
            <w:pPr>
              <w:numPr>
                <w:ilvl w:val="0"/>
                <w:numId w:val="7"/>
              </w:numPr>
              <w:spacing w:after="0" w:line="259" w:lineRule="auto"/>
              <w:ind w:hanging="360"/>
              <w:jc w:val="left"/>
            </w:pPr>
            <w:r>
              <w:rPr>
                <w:i/>
              </w:rPr>
              <w:t xml:space="preserve">Zavádění specializovaných kampaní na zvyšování povědomí komisí </w:t>
            </w:r>
          </w:p>
          <w:p w14:paraId="0AA524F3" w14:textId="77777777" w:rsidR="00A01CF9" w:rsidRDefault="00676706">
            <w:pPr>
              <w:numPr>
                <w:ilvl w:val="0"/>
                <w:numId w:val="7"/>
              </w:numPr>
              <w:spacing w:after="0" w:line="259" w:lineRule="auto"/>
              <w:ind w:hanging="360"/>
              <w:jc w:val="left"/>
            </w:pPr>
            <w:r>
              <w:rPr>
                <w:i/>
              </w:rPr>
              <w:t xml:space="preserve">Podpora budování dobrovolných závazků soukromého sektoru k budování podnikatelské koalice pro demokracii </w:t>
            </w:r>
          </w:p>
        </w:tc>
      </w:tr>
    </w:tbl>
    <w:p w14:paraId="67DA7E50" w14:textId="77777777" w:rsidR="00A01CF9" w:rsidRDefault="00676706">
      <w:pPr>
        <w:spacing w:after="139" w:line="259" w:lineRule="auto"/>
        <w:ind w:left="874" w:firstLine="0"/>
        <w:jc w:val="left"/>
      </w:pPr>
      <w:r>
        <w:t xml:space="preserve"> </w:t>
      </w:r>
    </w:p>
    <w:p w14:paraId="442CA4FE" w14:textId="77777777" w:rsidR="00A01CF9" w:rsidRDefault="00676706">
      <w:pPr>
        <w:pStyle w:val="Nadpis4"/>
        <w:ind w:left="869"/>
      </w:pPr>
      <w:r>
        <w:t xml:space="preserve">2.4.4. Ochrana rozhodování založeného na důkazech </w:t>
      </w:r>
    </w:p>
    <w:p w14:paraId="7FC28D9E" w14:textId="77777777" w:rsidR="00A01CF9" w:rsidRDefault="00676706">
      <w:pPr>
        <w:ind w:left="869" w:right="860"/>
      </w:pPr>
      <w:r>
        <w:t xml:space="preserve">Tvorba politik založená na důkazech zajišťuje, že instituce, debaty a rozhodování jsou založeny na faktických, transparentních a odpovědných procesech a nestranných datech založených na svobodě vědeckého výzkumu, což posiluje důvěru a legitimitu ve správě. Aby byly zajištěny efektivní a demokratické vědecké poradenské procesy a vědecká podpora veřejných politik, je nutné podporovat dodržování nejvyšších standardů výzkumné etiky a integrity. Je také nezbytné umožnit zapojení a důvěru občanů ve vědu a zajistit robustní a nezávislé poradenské systémy. V tomto ohledu Komise přijme </w:t>
      </w:r>
      <w:r>
        <w:rPr>
          <w:b/>
        </w:rPr>
        <w:t>doporučení o podpoře vědeckých důkazů a jejich využití ve veřejné politice</w:t>
      </w:r>
      <w:r>
        <w:t xml:space="preserve">.  </w:t>
      </w:r>
    </w:p>
    <w:p w14:paraId="65BFF56F" w14:textId="77777777" w:rsidR="00A01CF9" w:rsidRDefault="00676706">
      <w:pPr>
        <w:spacing w:after="477"/>
        <w:ind w:left="869" w:right="860"/>
      </w:pPr>
      <w:r>
        <w:t xml:space="preserve">Svoboda vědeckého výzkumu je klíčovou součástí akademické svobody a je nezbytná pro vytváření důvěryhodných znalostí a spolehlivých dat. Ochranou nezávislosti výzkumníků a akademiků při zkoumání, zpochybňování a inovacích zajišťují, že důkazy používané při tvorbě politik jsou důvěryhodné a nestranné. Tyto hodnoty jsou také předpokladem pro vysokoškolské instituce, aby mohly dosáhnout svého akademického a společenského poslání, podporovat a podporovat veřejné diskurzy poskytováním odbornosti a důkazů a jsou nezbytné pro demokratickou odolnost. Připravovaný </w:t>
      </w:r>
      <w:r>
        <w:rPr>
          <w:b/>
        </w:rPr>
        <w:t xml:space="preserve">zákon o Evropském výzkumném prostoru </w:t>
      </w:r>
      <w:r>
        <w:t xml:space="preserve">znovu potvrdí svobodu vědeckého výzkumu v právu EU, jako nezbytnou součást akademických </w:t>
      </w:r>
      <w:r>
        <w:lastRenderedPageBreak/>
        <w:t xml:space="preserve">hodnot. Svoboda umění a ochrana umělců a kulturních institucí, jak je řešeno v </w:t>
      </w:r>
      <w:proofErr w:type="spellStart"/>
      <w:r>
        <w:t>Culture</w:t>
      </w:r>
      <w:proofErr w:type="spellEnd"/>
      <w:r>
        <w:t xml:space="preserve"> </w:t>
      </w:r>
      <w:proofErr w:type="spellStart"/>
      <w:r>
        <w:t>Compass</w:t>
      </w:r>
      <w:proofErr w:type="spellEnd"/>
      <w:r>
        <w:t xml:space="preserve"> </w:t>
      </w:r>
      <w:proofErr w:type="spellStart"/>
      <w:r>
        <w:t>for</w:t>
      </w:r>
      <w:proofErr w:type="spellEnd"/>
      <w:r>
        <w:t xml:space="preserve"> </w:t>
      </w:r>
      <w:proofErr w:type="spellStart"/>
      <w:r>
        <w:t>Europe</w:t>
      </w:r>
      <w:proofErr w:type="spellEnd"/>
      <w:r>
        <w:t xml:space="preserve">, je také důležitou součástí demokratické struktury a odolnosti.  </w:t>
      </w:r>
    </w:p>
    <w:p w14:paraId="10379A17"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3CDA7CE0" wp14:editId="24F5629C">
                <wp:extent cx="1829054" cy="7620"/>
                <wp:effectExtent l="0" t="0" r="0" b="0"/>
                <wp:docPr id="51509" name="Group 5150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88" name="Shape 557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1509" style="width:144.02pt;height:0.600037pt;mso-position-horizontal-relative:char;mso-position-vertical-relative:line" coordsize="18290,76">
                <v:shape id="Shape 55789"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401F1403" w14:textId="77777777" w:rsidR="00A01CF9" w:rsidRDefault="00676706">
      <w:pPr>
        <w:ind w:left="869" w:right="860"/>
      </w:pPr>
      <w:r>
        <w:t>Na základě doporučení Rady z roku 2024 pro posílení bezpečnosti výzkumu</w:t>
      </w:r>
      <w:r>
        <w:rPr>
          <w:vertAlign w:val="superscript"/>
        </w:rPr>
        <w:footnoteReference w:id="96"/>
      </w:r>
      <w:r>
        <w:t xml:space="preserve"> Komise také zvažuje možnosti zřízení </w:t>
      </w:r>
      <w:r>
        <w:rPr>
          <w:b/>
        </w:rPr>
        <w:t xml:space="preserve">Evropského centra </w:t>
      </w:r>
      <w:proofErr w:type="spellStart"/>
      <w:r>
        <w:rPr>
          <w:b/>
        </w:rPr>
        <w:t>expertnosti</w:t>
      </w:r>
      <w:proofErr w:type="spellEnd"/>
      <w:r>
        <w:rPr>
          <w:b/>
        </w:rPr>
        <w:t xml:space="preserve"> pro bezpečnost výzkumu</w:t>
      </w:r>
      <w:r>
        <w:t xml:space="preserve">, aby posílila důkazní základnu pro tvorbu politiky výzkumu a bezpečnosti a podpořila komunitu praxe napříč EU. </w:t>
      </w:r>
    </w:p>
    <w:p w14:paraId="034F7EA7" w14:textId="77777777" w:rsidR="00A01CF9" w:rsidRDefault="00676706">
      <w:pPr>
        <w:spacing w:after="0" w:line="259" w:lineRule="auto"/>
        <w:ind w:left="874" w:right="855" w:firstLine="0"/>
      </w:pPr>
      <w:r>
        <w:t xml:space="preserve">Obecněji by Evropské centrum pro demokratickou odolnost mohlo také usnadnit </w:t>
      </w:r>
      <w:r>
        <w:rPr>
          <w:b/>
        </w:rPr>
        <w:t>výměnu zkušeností s budováním demokratické odolnosti</w:t>
      </w:r>
      <w:r>
        <w:t xml:space="preserve">, například </w:t>
      </w:r>
      <w:r>
        <w:rPr>
          <w:b/>
        </w:rPr>
        <w:t>s nejlepšími postupy pro budování komunit,</w:t>
      </w:r>
      <w:r>
        <w:t xml:space="preserve"> </w:t>
      </w:r>
      <w:r>
        <w:rPr>
          <w:b/>
        </w:rPr>
        <w:t xml:space="preserve">iniciativami </w:t>
      </w:r>
      <w:r>
        <w:t xml:space="preserve">mediální gramotnosti </w:t>
      </w:r>
      <w:r>
        <w:rPr>
          <w:b/>
        </w:rPr>
        <w:t xml:space="preserve"> a opatřeními </w:t>
      </w:r>
      <w:r>
        <w:t>v oblasti připravenosti.</w:t>
      </w:r>
    </w:p>
    <w:tbl>
      <w:tblPr>
        <w:tblStyle w:val="TableGrid"/>
        <w:tblW w:w="9496" w:type="dxa"/>
        <w:tblInd w:w="874" w:type="dxa"/>
        <w:tblCellMar>
          <w:top w:w="60" w:type="dxa"/>
          <w:left w:w="108" w:type="dxa"/>
          <w:right w:w="323" w:type="dxa"/>
        </w:tblCellMar>
        <w:tblLook w:val="04A0" w:firstRow="1" w:lastRow="0" w:firstColumn="1" w:lastColumn="0" w:noHBand="0" w:noVBand="1"/>
      </w:tblPr>
      <w:tblGrid>
        <w:gridCol w:w="9496"/>
      </w:tblGrid>
      <w:tr w:rsidR="00A01CF9" w14:paraId="0931209B" w14:textId="77777777">
        <w:trPr>
          <w:trHeight w:val="1829"/>
        </w:trPr>
        <w:tc>
          <w:tcPr>
            <w:tcW w:w="9496" w:type="dxa"/>
            <w:tcBorders>
              <w:top w:val="single" w:sz="4" w:space="0" w:color="000000"/>
              <w:left w:val="single" w:sz="4" w:space="0" w:color="000000"/>
              <w:bottom w:val="single" w:sz="4" w:space="0" w:color="000000"/>
              <w:right w:val="single" w:sz="4" w:space="0" w:color="000000"/>
            </w:tcBorders>
          </w:tcPr>
          <w:p w14:paraId="1BBA6BB1" w14:textId="77777777" w:rsidR="00A01CF9" w:rsidRDefault="00676706">
            <w:pPr>
              <w:spacing w:after="67" w:line="259" w:lineRule="auto"/>
              <w:ind w:left="0" w:firstLine="0"/>
              <w:jc w:val="left"/>
            </w:pPr>
            <w:r>
              <w:rPr>
                <w:i/>
              </w:rPr>
              <w:t xml:space="preserve">Akce: </w:t>
            </w:r>
          </w:p>
          <w:p w14:paraId="59C2206C" w14:textId="77777777" w:rsidR="00A01CF9" w:rsidRDefault="00676706">
            <w:pPr>
              <w:numPr>
                <w:ilvl w:val="0"/>
                <w:numId w:val="8"/>
              </w:numPr>
              <w:spacing w:after="25" w:line="295" w:lineRule="auto"/>
              <w:ind w:hanging="360"/>
              <w:jc w:val="left"/>
            </w:pPr>
            <w:r>
              <w:rPr>
                <w:i/>
              </w:rPr>
              <w:t xml:space="preserve">Přijmout doporučení Komise o podpoře vědeckých důkazů a jejich využití při tvorbě veřejné politiky </w:t>
            </w:r>
          </w:p>
          <w:p w14:paraId="0762A5C8" w14:textId="77777777" w:rsidR="00A01CF9" w:rsidRDefault="00676706">
            <w:pPr>
              <w:numPr>
                <w:ilvl w:val="0"/>
                <w:numId w:val="8"/>
              </w:numPr>
              <w:spacing w:after="24" w:line="294" w:lineRule="auto"/>
              <w:ind w:hanging="360"/>
              <w:jc w:val="left"/>
            </w:pPr>
            <w:r>
              <w:rPr>
                <w:i/>
              </w:rPr>
              <w:t xml:space="preserve">Zakotvení svobody vědeckého výzkumu v právu EU podle zákona o Evropském výzkumném prostoru </w:t>
            </w:r>
          </w:p>
          <w:p w14:paraId="6E7E9543" w14:textId="77777777" w:rsidR="00A01CF9" w:rsidRDefault="00676706">
            <w:pPr>
              <w:numPr>
                <w:ilvl w:val="0"/>
                <w:numId w:val="8"/>
              </w:numPr>
              <w:spacing w:after="0" w:line="259" w:lineRule="auto"/>
              <w:ind w:hanging="360"/>
              <w:jc w:val="left"/>
            </w:pPr>
            <w:r>
              <w:rPr>
                <w:i/>
              </w:rPr>
              <w:t xml:space="preserve">Zhodnotit možnosti pro zřízení Evropského centra </w:t>
            </w:r>
            <w:proofErr w:type="spellStart"/>
            <w:r>
              <w:rPr>
                <w:i/>
              </w:rPr>
              <w:t>expertnosti</w:t>
            </w:r>
            <w:proofErr w:type="spellEnd"/>
            <w:r>
              <w:rPr>
                <w:i/>
              </w:rPr>
              <w:t xml:space="preserve"> pro bezpečnost výzkumu </w:t>
            </w:r>
          </w:p>
        </w:tc>
      </w:tr>
    </w:tbl>
    <w:p w14:paraId="3CBC9820" w14:textId="77777777" w:rsidR="00A01CF9" w:rsidRDefault="00676706">
      <w:pPr>
        <w:spacing w:after="219" w:line="259" w:lineRule="auto"/>
        <w:ind w:left="874" w:firstLine="0"/>
        <w:jc w:val="left"/>
      </w:pPr>
      <w:r>
        <w:rPr>
          <w:rFonts w:ascii="Calibri" w:eastAsia="Calibri" w:hAnsi="Calibri" w:cs="Calibri"/>
        </w:rPr>
        <w:t xml:space="preserve"> </w:t>
      </w:r>
    </w:p>
    <w:p w14:paraId="2A24D7D9" w14:textId="77777777" w:rsidR="00A01CF9" w:rsidRDefault="00676706">
      <w:pPr>
        <w:pStyle w:val="Nadpis2"/>
        <w:ind w:left="869" w:right="716"/>
      </w:pPr>
      <w:r>
        <w:t xml:space="preserve">3. Investovat do demokracie znamená investovat do naší budoucnosti </w:t>
      </w:r>
    </w:p>
    <w:p w14:paraId="6279599A" w14:textId="77777777" w:rsidR="00A01CF9" w:rsidRDefault="00676706">
      <w:pPr>
        <w:ind w:left="869" w:right="860"/>
      </w:pPr>
      <w:r>
        <w:t xml:space="preserve">Finanční podpora je klíčová pro dosažení priorit Evropského štítu demokracie v bezprostředním i dlouhodobém horizontu. V tomto ohledu je relevantních několik programů financování EU. </w:t>
      </w:r>
      <w:proofErr w:type="spellStart"/>
      <w:r>
        <w:rPr>
          <w:b/>
        </w:rPr>
        <w:t>Creative</w:t>
      </w:r>
      <w:proofErr w:type="spellEnd"/>
      <w:r>
        <w:rPr>
          <w:b/>
        </w:rPr>
        <w:t xml:space="preserve"> </w:t>
      </w:r>
      <w:proofErr w:type="spellStart"/>
      <w:r>
        <w:rPr>
          <w:b/>
        </w:rPr>
        <w:t>Europe</w:t>
      </w:r>
      <w:proofErr w:type="spellEnd"/>
      <w:r>
        <w:rPr>
          <w:b/>
        </w:rPr>
        <w:t xml:space="preserve"> </w:t>
      </w:r>
      <w:r>
        <w:t xml:space="preserve">poskytuje financování na podporu médií, žurnalistiky a digitální a mediální gramotnosti. </w:t>
      </w:r>
      <w:r>
        <w:rPr>
          <w:b/>
        </w:rPr>
        <w:t xml:space="preserve">Digital </w:t>
      </w:r>
      <w:proofErr w:type="spellStart"/>
      <w:r>
        <w:rPr>
          <w:b/>
        </w:rPr>
        <w:t>Europe</w:t>
      </w:r>
      <w:proofErr w:type="spellEnd"/>
      <w:r>
        <w:rPr>
          <w:b/>
        </w:rPr>
        <w:t xml:space="preserve"> </w:t>
      </w:r>
      <w:r>
        <w:t xml:space="preserve">podporuje multidisciplinární spolupráci proti dezinformacím prostřednictvím financování EDMO, včetně regionálních center a Evropské sítě ověřovatelů faktů. </w:t>
      </w:r>
      <w:r>
        <w:rPr>
          <w:b/>
        </w:rPr>
        <w:t xml:space="preserve">Horizon </w:t>
      </w:r>
      <w:proofErr w:type="spellStart"/>
      <w:r>
        <w:rPr>
          <w:b/>
        </w:rPr>
        <w:t>Europe</w:t>
      </w:r>
      <w:proofErr w:type="spellEnd"/>
      <w:r>
        <w:rPr>
          <w:b/>
        </w:rPr>
        <w:t xml:space="preserve"> </w:t>
      </w:r>
      <w:r>
        <w:t xml:space="preserve">podporuje výzkum, inovace a experimentování s cílem posílit demokracii a správu a rozvíjet demokratické inovace.  Program </w:t>
      </w:r>
      <w:r>
        <w:rPr>
          <w:b/>
        </w:rPr>
        <w:t xml:space="preserve">Občanská rovnost, práva a hodnoty (CERV) </w:t>
      </w:r>
      <w:r>
        <w:t xml:space="preserve">chrání a podporuje hodnoty Unie a podporuje zapojení občanů a účast občanů na demokratickém životě Unie.  </w:t>
      </w:r>
    </w:p>
    <w:p w14:paraId="646F4481" w14:textId="77777777" w:rsidR="00A01CF9" w:rsidRDefault="00676706">
      <w:pPr>
        <w:ind w:left="869" w:right="860"/>
      </w:pPr>
      <w:r>
        <w:t xml:space="preserve">Pilíř rychlé reakce v rámci nástroje </w:t>
      </w:r>
      <w:proofErr w:type="spellStart"/>
      <w:r>
        <w:t>Neighbourhood</w:t>
      </w:r>
      <w:proofErr w:type="spellEnd"/>
      <w:r>
        <w:t xml:space="preserve"> and Development and International </w:t>
      </w:r>
      <w:proofErr w:type="spellStart"/>
      <w:r>
        <w:t>Cooperation</w:t>
      </w:r>
      <w:proofErr w:type="spellEnd"/>
      <w:r>
        <w:t xml:space="preserve"> podporuje nezávislou žurnalistiku a buduje kapacity FIMI v krizových situacích. Další programy, jako </w:t>
      </w:r>
      <w:r>
        <w:rPr>
          <w:b/>
        </w:rPr>
        <w:t xml:space="preserve">je Justice </w:t>
      </w:r>
      <w:proofErr w:type="spellStart"/>
      <w:r>
        <w:rPr>
          <w:b/>
        </w:rPr>
        <w:t>programme</w:t>
      </w:r>
      <w:proofErr w:type="spellEnd"/>
      <w:r>
        <w:t xml:space="preserve"> a </w:t>
      </w:r>
      <w:r>
        <w:rPr>
          <w:b/>
        </w:rPr>
        <w:t xml:space="preserve">Erasmus+, </w:t>
      </w:r>
      <w:r>
        <w:t xml:space="preserve">posilují demokracii tím, že dosahují svých hlavních cílů. Zařízení pro Ukrajinu, západní Balkán a Moldavsko umožňují rozdělovat financování na základě plnění strukturálních reforem, které mají posílit demokracii, s podporou organizací občanské společnosti, nezávislých médií, mediální gramotnosti a odolnosti vůči hrozbám FIMI a hybridům. Komise bude při plánování těchto prostředků na zbývající dobu v rámci současného víceletého finančního rámce (MFF) s prioritou zvážit aspekty související s demokracií. Je třeba zvážit inovativní financování, jako jsou </w:t>
      </w:r>
      <w:proofErr w:type="spellStart"/>
      <w:r>
        <w:t>mikrogranty</w:t>
      </w:r>
      <w:proofErr w:type="spellEnd"/>
      <w:r>
        <w:t xml:space="preserve"> pro místní iniciativy, finanční nástroje jako záruky, půjčky a kapitál, a podpora a zefektivnění crowdfundingu.  </w:t>
      </w:r>
    </w:p>
    <w:p w14:paraId="1BA407B8" w14:textId="77777777" w:rsidR="00A01CF9" w:rsidRDefault="00676706">
      <w:pPr>
        <w:spacing w:after="225"/>
        <w:ind w:left="869" w:right="860"/>
      </w:pPr>
      <w:r>
        <w:t xml:space="preserve">Soukromé financování by mělo být motivováno. Například financování soukromého kapitálu lze již využít k omezení rizik kreativních projektů v audiovizuálním sektoru financováním </w:t>
      </w:r>
      <w:r>
        <w:lastRenderedPageBreak/>
        <w:t xml:space="preserve">vývoje a distribuce filmů, mediálního obsahu nebo kulturních iniciativ. Takové snížení rizika lze aplikovat na </w:t>
      </w:r>
    </w:p>
    <w:p w14:paraId="7EC8E52C"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74D4CE37" wp14:editId="22F80221">
                <wp:extent cx="1829054" cy="7621"/>
                <wp:effectExtent l="0" t="0" r="0" b="0"/>
                <wp:docPr id="51511" name="Group 51511"/>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55790" name="Shape 5579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1511" style="width:144.02pt;height:0.600098pt;mso-position-horizontal-relative:char;mso-position-vertical-relative:line" coordsize="18290,76">
                <v:shape id="Shape 55791"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7C0CC630" w14:textId="77777777" w:rsidR="00A01CF9" w:rsidRDefault="00676706">
      <w:pPr>
        <w:ind w:left="869" w:right="860"/>
      </w:pPr>
      <w:r>
        <w:t xml:space="preserve">budoucích projektech podporujících nezávislá média a žurnalistiku. Fundraisingové akce by mohly podpořit filantropické příspěvky a spolupráci se soukromými nadacemi za účelem posílení finanční podpory Evropského štítu demokracie. </w:t>
      </w:r>
    </w:p>
    <w:p w14:paraId="111C0D5C" w14:textId="77777777" w:rsidR="00A01CF9" w:rsidRDefault="00676706">
      <w:pPr>
        <w:spacing w:after="153"/>
        <w:ind w:left="869" w:right="860"/>
      </w:pPr>
      <w:r>
        <w:t xml:space="preserve">V rámci příštího </w:t>
      </w:r>
      <w:r>
        <w:rPr>
          <w:b/>
        </w:rPr>
        <w:t>MFF pro období 2028–2034</w:t>
      </w:r>
      <w:r>
        <w:t xml:space="preserve"> Komise navrhla řadu programů, které mají přispět k cílům Evropského štítu demokracie. Navrhované financování by pokrývalo podporu napříč širokým spektrem priorit a aktérů, včetně svobodných a nezávislých médií, práce organizací občanské společnosti, vzdělávání a celkové demokratické odolnosti. Zejména </w:t>
      </w:r>
      <w:r>
        <w:rPr>
          <w:b/>
        </w:rPr>
        <w:t xml:space="preserve">je </w:t>
      </w:r>
      <w:proofErr w:type="spellStart"/>
      <w:r>
        <w:rPr>
          <w:b/>
        </w:rPr>
        <w:t>AgoraEU</w:t>
      </w:r>
      <w:proofErr w:type="spellEnd"/>
      <w:r>
        <w:rPr>
          <w:b/>
        </w:rPr>
        <w:t xml:space="preserve"> zaměřena </w:t>
      </w:r>
      <w:r>
        <w:t xml:space="preserve">na podporu sdílených hodnot, včetně demokracie, a na podporu evropské kulturní rozmanitosti, jejího audiovizuálního a kreativního sektoru, svobody médií i zapojení občanské společnosti. Nová složka </w:t>
      </w:r>
      <w:r>
        <w:rPr>
          <w:b/>
        </w:rPr>
        <w:t xml:space="preserve">MEDIA+ </w:t>
      </w:r>
      <w:r>
        <w:t xml:space="preserve">v rámci </w:t>
      </w:r>
      <w:proofErr w:type="spellStart"/>
      <w:r>
        <w:rPr>
          <w:b/>
        </w:rPr>
        <w:t>AgoraEU</w:t>
      </w:r>
      <w:proofErr w:type="spellEnd"/>
      <w:r>
        <w:rPr>
          <w:b/>
        </w:rPr>
        <w:t xml:space="preserve"> </w:t>
      </w:r>
      <w:r>
        <w:t xml:space="preserve">by poskytla komplexní podporu svobodné a nezávislé žurnalistice a zpravodajských médií, chránila a podporovala svobodu médií; zvyšovala finanční životaschopnost médií, podporovala mediální gramotnost a detekci a boj proti dezinformacím. </w:t>
      </w:r>
      <w:proofErr w:type="spellStart"/>
      <w:r>
        <w:t>Stand</w:t>
      </w:r>
      <w:proofErr w:type="spellEnd"/>
      <w:r>
        <w:t xml:space="preserve"> </w:t>
      </w:r>
      <w:r>
        <w:rPr>
          <w:b/>
        </w:rPr>
        <w:t xml:space="preserve">CERV+ </w:t>
      </w:r>
      <w:r>
        <w:t xml:space="preserve"> </w:t>
      </w:r>
      <w:r>
        <w:rPr>
          <w:b/>
        </w:rPr>
        <w:t xml:space="preserve">organizace </w:t>
      </w:r>
      <w:proofErr w:type="spellStart"/>
      <w:r>
        <w:rPr>
          <w:b/>
        </w:rPr>
        <w:t>AgoraEU</w:t>
      </w:r>
      <w:proofErr w:type="spellEnd"/>
      <w:r>
        <w:rPr>
          <w:b/>
        </w:rPr>
        <w:t xml:space="preserve"> </w:t>
      </w:r>
      <w:r>
        <w:t xml:space="preserve">má za cíl podpořit realizaci Štítu demokracie podporou svobodných, spravedlivých a inkluzivních volebních procesů a posílením účasti a zapojení občanů do demokratického a občanského života Unie. Další důležité podpůrné akce budou financovány prostřednictvím </w:t>
      </w:r>
      <w:r>
        <w:rPr>
          <w:b/>
        </w:rPr>
        <w:t>Justice Programme</w:t>
      </w:r>
      <w:r>
        <w:rPr>
          <w:b/>
          <w:vertAlign w:val="superscript"/>
        </w:rPr>
        <w:t>106</w:t>
      </w:r>
      <w:r>
        <w:rPr>
          <w:b/>
        </w:rPr>
        <w:t xml:space="preserve">, Horizon </w:t>
      </w:r>
      <w:proofErr w:type="spellStart"/>
      <w:r>
        <w:rPr>
          <w:b/>
        </w:rPr>
        <w:t>Europe</w:t>
      </w:r>
      <w:proofErr w:type="spellEnd"/>
      <w:r>
        <w:rPr>
          <w:vertAlign w:val="superscript"/>
        </w:rPr>
        <w:footnoteReference w:id="97"/>
      </w:r>
      <w:r>
        <w:t xml:space="preserve">, </w:t>
      </w:r>
      <w:r>
        <w:rPr>
          <w:b/>
        </w:rPr>
        <w:t>Erasmus+108, Evropského fondu konkurenceschopnosti</w:t>
      </w:r>
      <w:r>
        <w:rPr>
          <w:b/>
          <w:vertAlign w:val="superscript"/>
        </w:rPr>
        <w:footnoteReference w:id="98"/>
      </w:r>
      <w:r>
        <w:rPr>
          <w:b/>
        </w:rPr>
        <w:t>, nástroje Global Europe</w:t>
      </w:r>
      <w:r>
        <w:rPr>
          <w:b/>
          <w:vertAlign w:val="superscript"/>
        </w:rPr>
        <w:footnoteReference w:id="99"/>
      </w:r>
      <w:r>
        <w:rPr>
          <w:b/>
        </w:rPr>
        <w:t xml:space="preserve"> a Národních a regionálních partnerských plánů</w:t>
      </w:r>
      <w:r>
        <w:rPr>
          <w:vertAlign w:val="superscript"/>
        </w:rPr>
        <w:footnoteReference w:id="100"/>
      </w:r>
      <w:r>
        <w:t xml:space="preserve">.  </w:t>
      </w:r>
    </w:p>
    <w:p w14:paraId="7C3947E1" w14:textId="77777777" w:rsidR="00A01CF9" w:rsidRDefault="00676706">
      <w:pPr>
        <w:spacing w:after="151"/>
        <w:ind w:left="869" w:right="860"/>
      </w:pPr>
      <w:r>
        <w:t xml:space="preserve">Demokratická odolnost a obrana se navzájem posilují. </w:t>
      </w:r>
      <w:r>
        <w:rPr>
          <w:b/>
        </w:rPr>
        <w:t xml:space="preserve">Výdaje na obranu </w:t>
      </w:r>
      <w:r>
        <w:t xml:space="preserve">lze také považovat za prostředek podpory demokratické odolnosti, například investicemi do kybernetické bezpečnosti, prevence proti hybridním hrozbám nebo ochrany kritické infrastruktury a demokratických institucí před vnějším zásahem. Odolnost EU v oblasti obrany a opatření v boji proti hybridním hrozbám posilují demokratickou odolnost, mimo jiné prostřednictvím posílení evropské technologické excelence v kybernetické obraně a rozvoje nejmodernějších technologií. </w:t>
      </w:r>
    </w:p>
    <w:p w14:paraId="3C876B30" w14:textId="77777777"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1F766011" wp14:editId="1B5028DF">
                <wp:extent cx="1829054" cy="7620"/>
                <wp:effectExtent l="0" t="0" r="0" b="0"/>
                <wp:docPr id="49093" name="Group 4909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92" name="Shape 5579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49093" style="width:144.02pt;height:0.600006pt;mso-position-horizontal-relative:char;mso-position-vertical-relative:line" coordsize="18290,76">
                <v:shape id="Shape 55793"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p w14:paraId="3227F25F" w14:textId="77777777" w:rsidR="00A01CF9" w:rsidRDefault="00676706">
      <w:pPr>
        <w:spacing w:after="6" w:line="249" w:lineRule="auto"/>
        <w:ind w:left="869" w:right="854"/>
      </w:pPr>
      <w:r>
        <w:rPr>
          <w:sz w:val="20"/>
          <w:vertAlign w:val="superscript"/>
        </w:rPr>
        <w:lastRenderedPageBreak/>
        <w:t xml:space="preserve">106 </w:t>
      </w:r>
      <w:r>
        <w:rPr>
          <w:sz w:val="20"/>
        </w:rPr>
        <w:t xml:space="preserve">Navrhovaný příští program spravedlnosti si klade za cíl posílit demokracii podporou školení soudnictví a soudního personálu s cílem podpořit demokracii a zajistit konzistentní a efektivní implementaci právních nástrojů EU na vyrovnání. </w:t>
      </w:r>
    </w:p>
    <w:p w14:paraId="4189E97F" w14:textId="77777777" w:rsidR="00A01CF9" w:rsidRDefault="00676706">
      <w:pPr>
        <w:ind w:left="869" w:right="860"/>
      </w:pPr>
      <w:r>
        <w:t xml:space="preserve">Finanční podpora EU v rámci </w:t>
      </w:r>
      <w:r>
        <w:rPr>
          <w:b/>
        </w:rPr>
        <w:t>Evropského obranného fondu</w:t>
      </w:r>
      <w:r>
        <w:t xml:space="preserve">, </w:t>
      </w:r>
      <w:r>
        <w:rPr>
          <w:b/>
        </w:rPr>
        <w:t xml:space="preserve">programu Horizon </w:t>
      </w:r>
      <w:proofErr w:type="spellStart"/>
      <w:r>
        <w:rPr>
          <w:b/>
        </w:rPr>
        <w:t>Europe</w:t>
      </w:r>
      <w:proofErr w:type="spellEnd"/>
      <w:r>
        <w:t xml:space="preserve">, </w:t>
      </w:r>
      <w:r>
        <w:rPr>
          <w:b/>
        </w:rPr>
        <w:t>Digital Europe</w:t>
      </w:r>
      <w:r>
        <w:t xml:space="preserve">, </w:t>
      </w:r>
      <w:r>
        <w:rPr>
          <w:b/>
        </w:rPr>
        <w:t>nástroje SAFE</w:t>
      </w:r>
      <w:r>
        <w:t xml:space="preserve"> (Security Action for Europe) a v budoucnu MFF v rámci </w:t>
      </w:r>
      <w:r>
        <w:rPr>
          <w:b/>
        </w:rPr>
        <w:t xml:space="preserve">navrhovaného programu Evropského obranného průmyslu </w:t>
      </w:r>
      <w:r>
        <w:t xml:space="preserve">je v tomto ohledu zásadní. </w:t>
      </w:r>
    </w:p>
    <w:p w14:paraId="62CF95CF" w14:textId="77777777" w:rsidR="00A01CF9" w:rsidRDefault="00676706">
      <w:pPr>
        <w:spacing w:after="235" w:line="259" w:lineRule="auto"/>
        <w:ind w:left="874" w:firstLine="0"/>
        <w:jc w:val="left"/>
      </w:pPr>
      <w:r>
        <w:t xml:space="preserve"> </w:t>
      </w:r>
    </w:p>
    <w:p w14:paraId="50B31CE3" w14:textId="77777777" w:rsidR="00A01CF9" w:rsidRDefault="00676706">
      <w:pPr>
        <w:pStyle w:val="Nadpis2"/>
        <w:ind w:left="869" w:right="716"/>
      </w:pPr>
      <w:r>
        <w:t xml:space="preserve">4. Závěry </w:t>
      </w:r>
    </w:p>
    <w:p w14:paraId="0267FF85" w14:textId="77777777" w:rsidR="00A01CF9" w:rsidRDefault="00676706">
      <w:pPr>
        <w:ind w:left="869" w:right="860"/>
      </w:pPr>
      <w:r>
        <w:t xml:space="preserve">Tato komunikace o Evropském štítu demokracie poskytuje strategický přístup k dlouhodobé ochraně, posilování a podpoře demokracie v EU. Zdůrazňuje silný závazek Komise posilovat demokratickou odolnost v celé Unii a její ochotu spolupracovat s dalšími institucemi a orgány EU, členskými státy EU, partnery z okolí EU, relevantními zainteresovanými stranami i občany na řešení výzev, kterým demokracie čelí.  </w:t>
      </w:r>
    </w:p>
    <w:p w14:paraId="6AC236A1" w14:textId="77777777" w:rsidR="00A01CF9" w:rsidRDefault="00676706">
      <w:pPr>
        <w:ind w:left="869" w:right="860"/>
      </w:pPr>
      <w:r>
        <w:t xml:space="preserve">V rámci tohoto strategického přístupu je oznámena řada kroků, které budou postupně zaváděny do roku 2027. Členské státy budou hrát klíčovou roli při dosahování těchto cílů a Komise bude pokračovat ve svém úsilí o zajištění společného vlastnictví.  </w:t>
      </w:r>
    </w:p>
    <w:p w14:paraId="37B6A9DD" w14:textId="77777777" w:rsidR="00A01CF9" w:rsidRDefault="00676706">
      <w:pPr>
        <w:ind w:left="869" w:right="860"/>
      </w:pPr>
      <w:r>
        <w:t xml:space="preserve">Aby byla zajištěna politická sledovací opatření ohledně implementace této komunikace, Komise bude pravidelně informovat Evropský parlament a Radu. Komise zorganizuje každoroční ministerské fórum na vysoké úrovni, které zhodnotí opatření realizovaná v rámci Evropského štítu demokracie a usnadní sdílení osvědčených postupů prostřednictvím zapojení jak institucionálních, tak neinstitucionálních aktérů. Komise bude také spolupracovat s partnery a zainteresovanými stranami na národní i místní úrovni. Na konci mandátu Komise zhodnotí realizaci a dopad opatření uvedených v této komunikaci.  </w:t>
      </w:r>
    </w:p>
    <w:p w14:paraId="759F58ED" w14:textId="77777777" w:rsidR="00A01CF9" w:rsidRDefault="00676706">
      <w:pPr>
        <w:ind w:left="869" w:right="860"/>
      </w:pPr>
      <w:r>
        <w:t xml:space="preserve">Evropský štít demokracie je nedílnou součástí proaktivního přístupu, který Komise zaujímá k obraně a dodržování hodnot EU. Komise podnikla silné kroky na ochranu a podporu právního státu a základních práv v EU, zejména prostřednictvím výroční </w:t>
      </w:r>
      <w:r>
        <w:rPr>
          <w:b/>
        </w:rPr>
        <w:t>zprávy o právním státu</w:t>
      </w:r>
      <w:r>
        <w:t xml:space="preserve"> a výročních zpráv o aplikaci Charty </w:t>
      </w:r>
      <w:r>
        <w:rPr>
          <w:b/>
        </w:rPr>
        <w:t>základních práv EU</w:t>
      </w:r>
      <w:r>
        <w:t xml:space="preserve">. Ochrana a podpora lidských práv a demokracie je také klíčovou prioritou vnějších akcí EU, jak je zdůrazněno v Akčním </w:t>
      </w:r>
      <w:r>
        <w:rPr>
          <w:b/>
        </w:rPr>
        <w:t>plánu pro lidská práva a demokracii 2020–2027</w:t>
      </w:r>
      <w:r>
        <w:t xml:space="preserve">. Strategie EU </w:t>
      </w:r>
      <w:r>
        <w:rPr>
          <w:b/>
        </w:rPr>
        <w:t>pro občanskou společnost</w:t>
      </w:r>
      <w:r>
        <w:rPr>
          <w:vertAlign w:val="superscript"/>
        </w:rPr>
        <w:footnoteReference w:id="101"/>
      </w:r>
      <w:r>
        <w:rPr>
          <w:b/>
        </w:rPr>
        <w:t xml:space="preserve"> </w:t>
      </w:r>
      <w:r>
        <w:t xml:space="preserve">doplňuje tyto snahy podporou silnějšího zapojení organizací občanské společnosti a budováním prosperujícího občanského prostoru napříč EU.  </w:t>
      </w:r>
    </w:p>
    <w:p w14:paraId="7D236D89" w14:textId="77777777" w:rsidR="00A01CF9" w:rsidRDefault="00676706">
      <w:pPr>
        <w:spacing w:after="809"/>
        <w:ind w:left="869" w:right="860"/>
      </w:pPr>
      <w:r>
        <w:t xml:space="preserve">Demokracie je každodenní závazek, který musíme chránit, pečovat o něj a nikdy ho nepovažujeme za samozřejmost. EU zůstává pevně odhodlána bránit demokracii a podporovat demokratické hodnoty, instituce a procesy tváří v tvář rostoucím vnějším i vnitřním výzvám. To, co máme, stojí za zachování a budeme tak činit s plnou silou a jednotou, budujíc silné a odolné demokracie. </w:t>
      </w:r>
    </w:p>
    <w:p w14:paraId="532E2145" w14:textId="47CFFA90" w:rsidR="00A01CF9" w:rsidRDefault="00676706">
      <w:pPr>
        <w:spacing w:after="0" w:line="259" w:lineRule="auto"/>
        <w:ind w:left="874" w:firstLine="0"/>
        <w:jc w:val="left"/>
      </w:pPr>
      <w:r>
        <w:rPr>
          <w:rFonts w:ascii="Calibri" w:eastAsia="Calibri" w:hAnsi="Calibri" w:cs="Calibri"/>
          <w:noProof/>
          <w:sz w:val="22"/>
        </w:rPr>
        <mc:AlternateContent>
          <mc:Choice Requires="wpg">
            <w:drawing>
              <wp:inline distT="0" distB="0" distL="0" distR="0" wp14:anchorId="6D3CAB6E" wp14:editId="4B89928C">
                <wp:extent cx="1829054" cy="7620"/>
                <wp:effectExtent l="0" t="0" r="0" b="0"/>
                <wp:docPr id="51186" name="Group 5118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5794" name="Shape 5579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51186" style="width:144.02pt;height:0.599976pt;mso-position-horizontal-relative:char;mso-position-vertical-relative:line" coordsize="18290,76">
                <v:shape id="Shape 5579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Calibri" w:eastAsia="Calibri" w:hAnsi="Calibri" w:cs="Calibri"/>
        </w:rPr>
        <w:t xml:space="preserve"> </w:t>
      </w:r>
    </w:p>
    <w:sectPr w:rsidR="00A01CF9">
      <w:footerReference w:type="even" r:id="rId10"/>
      <w:footerReference w:type="default" r:id="rId11"/>
      <w:footerReference w:type="first" r:id="rId12"/>
      <w:pgSz w:w="11906" w:h="16838"/>
      <w:pgMar w:top="717" w:right="568" w:bottom="710" w:left="56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2626" w14:textId="77777777" w:rsidR="00D03F16" w:rsidRDefault="00D03F16">
      <w:pPr>
        <w:spacing w:after="0" w:line="240" w:lineRule="auto"/>
      </w:pPr>
      <w:r>
        <w:separator/>
      </w:r>
    </w:p>
  </w:endnote>
  <w:endnote w:type="continuationSeparator" w:id="0">
    <w:p w14:paraId="7F101CAC" w14:textId="77777777" w:rsidR="00D03F16" w:rsidRDefault="00D0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2B35" w14:textId="77777777" w:rsidR="00A01CF9" w:rsidRDefault="00676706">
    <w:pPr>
      <w:spacing w:after="0" w:line="259" w:lineRule="auto"/>
      <w:ind w:left="1" w:firstLine="0"/>
      <w:jc w:val="center"/>
    </w:pPr>
    <w:r>
      <w:fldChar w:fldCharType="begin"/>
    </w:r>
    <w:r>
      <w:instrText xml:space="preserve"> PAGE   \* MERGEFORMAT </w:instrText>
    </w:r>
    <w:r>
      <w:fldChar w:fldCharType="separate"/>
    </w:r>
    <w:r>
      <w:t>2</w:t>
    </w:r>
    <w:r>
      <w:fldChar w:fldCharType="end"/>
    </w:r>
    <w:r>
      <w:t xml:space="preserve"> </w:t>
    </w:r>
  </w:p>
  <w:p w14:paraId="1F954289" w14:textId="77777777" w:rsidR="00A01CF9" w:rsidRDefault="00676706">
    <w:pPr>
      <w:spacing w:after="0" w:line="259" w:lineRule="auto"/>
      <w:ind w:left="874"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A3BF" w14:textId="77777777" w:rsidR="00A01CF9" w:rsidRDefault="00676706">
    <w:pPr>
      <w:spacing w:after="0" w:line="259" w:lineRule="auto"/>
      <w:ind w:left="1" w:firstLine="0"/>
      <w:jc w:val="center"/>
    </w:pPr>
    <w:r>
      <w:fldChar w:fldCharType="begin"/>
    </w:r>
    <w:r>
      <w:instrText xml:space="preserve"> PAGE   \* MERGEFORMAT </w:instrText>
    </w:r>
    <w:r>
      <w:fldChar w:fldCharType="separate"/>
    </w:r>
    <w:r>
      <w:t>2</w:t>
    </w:r>
    <w:r>
      <w:fldChar w:fldCharType="end"/>
    </w:r>
    <w:r>
      <w:t xml:space="preserve"> </w:t>
    </w:r>
  </w:p>
  <w:p w14:paraId="31CE9F71" w14:textId="77777777" w:rsidR="00A01CF9" w:rsidRDefault="00676706">
    <w:pPr>
      <w:spacing w:after="0" w:line="259" w:lineRule="auto"/>
      <w:ind w:left="874"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14E8" w14:textId="77777777" w:rsidR="00A01CF9" w:rsidRDefault="00A01CF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474C" w14:textId="77777777" w:rsidR="00D03F16" w:rsidRDefault="00D03F16">
      <w:pPr>
        <w:spacing w:after="0" w:line="259" w:lineRule="auto"/>
        <w:ind w:left="874" w:firstLine="0"/>
        <w:jc w:val="left"/>
      </w:pPr>
      <w:r>
        <w:separator/>
      </w:r>
    </w:p>
  </w:footnote>
  <w:footnote w:type="continuationSeparator" w:id="0">
    <w:p w14:paraId="6D63D595" w14:textId="77777777" w:rsidR="00D03F16" w:rsidRDefault="00D03F16">
      <w:pPr>
        <w:spacing w:after="0" w:line="259" w:lineRule="auto"/>
        <w:ind w:left="874" w:firstLine="0"/>
        <w:jc w:val="left"/>
      </w:pPr>
      <w:r>
        <w:continuationSeparator/>
      </w:r>
    </w:p>
  </w:footnote>
  <w:footnote w:id="1">
    <w:p w14:paraId="6B1127A8" w14:textId="77777777" w:rsidR="00A01CF9" w:rsidRDefault="00676706">
      <w:pPr>
        <w:pStyle w:val="footnotedescription"/>
        <w:spacing w:line="259" w:lineRule="auto"/>
        <w:ind w:right="0"/>
        <w:jc w:val="left"/>
      </w:pPr>
      <w:r>
        <w:rPr>
          <w:rStyle w:val="footnotemark"/>
        </w:rPr>
        <w:footnoteRef/>
      </w:r>
      <w:r>
        <w:t xml:space="preserve"> Evropská komise, Komunikace k Evropskému akčnímu plánu pro demokracii, COM(2020) 790 finále. </w:t>
      </w:r>
    </w:p>
  </w:footnote>
  <w:footnote w:id="2">
    <w:p w14:paraId="0C2B3B51" w14:textId="77777777" w:rsidR="00A01CF9" w:rsidRDefault="00676706">
      <w:pPr>
        <w:pStyle w:val="footnotedescription"/>
        <w:spacing w:line="237" w:lineRule="auto"/>
        <w:ind w:right="869"/>
      </w:pPr>
      <w:r>
        <w:rPr>
          <w:rStyle w:val="footnotemark"/>
        </w:rPr>
        <w:footnoteRef/>
      </w:r>
      <w:r>
        <w:t xml:space="preserve"> Evropská komise, Komunikace o obraně demokracie, COM(2023) 630 finále. V rámci tohoto balíčku Komise navrhla směrnici o aktivitách zastupování zájmů prováděných jménem třetích zemí, které jsou v současnosti předmětem diskuse spoluzákonodárci.  </w:t>
      </w:r>
    </w:p>
  </w:footnote>
  <w:footnote w:id="3">
    <w:p w14:paraId="718F3976" w14:textId="77777777" w:rsidR="00A01CF9" w:rsidRDefault="00676706">
      <w:pPr>
        <w:pStyle w:val="footnotedescription"/>
        <w:ind w:right="881"/>
      </w:pPr>
      <w:r>
        <w:rPr>
          <w:rStyle w:val="footnotemark"/>
        </w:rPr>
        <w:footnoteRef/>
      </w:r>
      <w:r>
        <w:t xml:space="preserve"> Evropská komise 2025: Bílá kniha o připravenosti evropské obrany, finální JOIN/2025/120; Strategie Evropské unie připravenosti, JOIN(2025) 130 finále; ProtectEU: Evropská strategie vnitřní bezpečnosti, COM(2025) 148 finále. </w:t>
      </w:r>
    </w:p>
  </w:footnote>
  <w:footnote w:id="4">
    <w:p w14:paraId="1E9C560F" w14:textId="77777777" w:rsidR="00A01CF9" w:rsidRDefault="00676706">
      <w:pPr>
        <w:pStyle w:val="footnotedescription"/>
        <w:spacing w:line="260" w:lineRule="auto"/>
        <w:ind w:right="868"/>
      </w:pPr>
      <w:r>
        <w:rPr>
          <w:rStyle w:val="footnotemark"/>
        </w:rPr>
        <w:footnoteRef/>
      </w:r>
      <w:r>
        <w:t xml:space="preserve"> Na úrovni EU i na národní úrovni již existuje několik rámců, struktur a nástrojů pro řešení FIMI a dezinformací, stejně jako pro obecnější odolnost společnosti. Na úrovni EU to zahrnuje mimo jiné systém rychlého varování EU spravovaný ESVS (RAS), interní síť Komise proti dezinformacím, EUvsDisinfo, Evropskou observatoř digitálních médií (EDMO), volební kulaté stoly DSA a práci v </w:t>
      </w:r>
    </w:p>
    <w:p w14:paraId="6E9E5064" w14:textId="77777777" w:rsidR="00A01CF9" w:rsidRDefault="00676706">
      <w:pPr>
        <w:pStyle w:val="footnotedescription"/>
        <w:spacing w:line="238" w:lineRule="auto"/>
        <w:ind w:right="873"/>
      </w:pPr>
      <w:r>
        <w:t xml:space="preserve">Evropská síť pro volby (ECNE). Specializované struktury existují také na národní úrovni, jako je Viginum ve Francii a Švédská agentura psychologické obrany, nebo přístup celé společnosti k demokratické odolnosti, který zavedlo Finsko. </w:t>
      </w:r>
    </w:p>
  </w:footnote>
  <w:footnote w:id="5">
    <w:p w14:paraId="4A7F0F74" w14:textId="77777777" w:rsidR="00A01CF9" w:rsidRDefault="00676706">
      <w:pPr>
        <w:pStyle w:val="footnotedescription"/>
        <w:spacing w:line="244" w:lineRule="auto"/>
        <w:ind w:right="0"/>
        <w:jc w:val="left"/>
      </w:pPr>
      <w:r>
        <w:rPr>
          <w:rStyle w:val="footnotemark"/>
        </w:rPr>
        <w:footnoteRef/>
      </w:r>
      <w:r>
        <w:t xml:space="preserve"> Jak je také uvedeno v závěrech předsednictva z května 2025 o posilování demokratické odolnosti – </w:t>
      </w:r>
      <w:hyperlink r:id="rId1"/>
      <w:hyperlink r:id="rId2"/>
      <w:hyperlink r:id="rId3">
        <w:r>
          <w:rPr>
            <w:color w:val="467886"/>
            <w:u w:val="single" w:color="467886"/>
          </w:rPr>
          <w:t>https://www.consilium.europa.eu/en/press/press-releases/2025/05/27/</w:t>
        </w:r>
      </w:hyperlink>
      <w:hyperlink r:id="rId4">
        <w:r>
          <w:rPr>
            <w:color w:val="467886"/>
            <w:u w:val="single" w:color="467886"/>
          </w:rPr>
          <w:t>presidency-conclusions-on-strengthening</w:t>
        </w:r>
      </w:hyperlink>
      <w:hyperlink r:id="rId5"/>
      <w:hyperlink r:id="rId6"/>
      <w:hyperlink r:id="rId7"/>
      <w:hyperlink r:id="rId8"/>
      <w:hyperlink r:id="rId9">
        <w:r>
          <w:rPr>
            <w:color w:val="467886"/>
            <w:u w:val="single" w:color="467886"/>
          </w:rPr>
          <w:t xml:space="preserve"> </w:t>
        </w:r>
      </w:hyperlink>
      <w:hyperlink r:id="rId10"/>
      <w:hyperlink r:id="rId11">
        <w:proofErr w:type="spellStart"/>
        <w:r>
          <w:rPr>
            <w:color w:val="467886"/>
            <w:u w:val="single" w:color="467886"/>
          </w:rPr>
          <w:t>eu-democratic-resilience</w:t>
        </w:r>
        <w:proofErr w:type="spellEnd"/>
      </w:hyperlink>
      <w:hyperlink r:id="rId12"/>
      <w:hyperlink r:id="rId13"/>
      <w:hyperlink r:id="rId14"/>
      <w:hyperlink r:id="rId15">
        <w:r>
          <w:rPr>
            <w:color w:val="467886"/>
            <w:u w:val="single" w:color="467886"/>
          </w:rPr>
          <w:t>/.</w:t>
        </w:r>
      </w:hyperlink>
      <w:hyperlink r:id="rId16"/>
      <w:r>
        <w:t xml:space="preserve">  </w:t>
      </w:r>
    </w:p>
  </w:footnote>
  <w:footnote w:id="6">
    <w:p w14:paraId="0780AA30" w14:textId="77777777" w:rsidR="00A01CF9" w:rsidRDefault="00676706">
      <w:pPr>
        <w:pStyle w:val="footnotedescription"/>
        <w:spacing w:line="259" w:lineRule="auto"/>
        <w:ind w:right="0"/>
        <w:jc w:val="left"/>
      </w:pPr>
      <w:r>
        <w:rPr>
          <w:rStyle w:val="footnotemark"/>
        </w:rPr>
        <w:footnoteRef/>
      </w:r>
      <w:r>
        <w:t xml:space="preserve"> G7, NATO, OSN, Organizace pro bezpečnost a spolupráci v Evropě nebo Rada Evropy. </w:t>
      </w:r>
    </w:p>
  </w:footnote>
  <w:footnote w:id="7">
    <w:p w14:paraId="6E0DAD21" w14:textId="77777777" w:rsidR="00A01CF9" w:rsidRDefault="00676706">
      <w:pPr>
        <w:pStyle w:val="footnotedescription"/>
        <w:spacing w:line="248" w:lineRule="auto"/>
        <w:ind w:right="875"/>
      </w:pPr>
      <w:r>
        <w:rPr>
          <w:rStyle w:val="footnotemark"/>
        </w:rPr>
        <w:footnoteRef/>
      </w:r>
      <w:r>
        <w:t xml:space="preserve"> FIMI je vzorec chování, který ohrožuje nebo může negativně ovlivnit hodnoty, postupy a politické procesy. Taková činnost má manipulativní charakter, prováděná záměrně a koordinovaně. Aktéři takové činnosti mohou být státní nebo nestátní aktéři, včetně jejich zástupců uvnitř i vně jejich vlastního území. </w:t>
      </w:r>
    </w:p>
  </w:footnote>
  <w:footnote w:id="8">
    <w:p w14:paraId="1DB7C5F3" w14:textId="77777777" w:rsidR="00A01CF9" w:rsidRDefault="00676706">
      <w:pPr>
        <w:pStyle w:val="footnotedescription"/>
        <w:ind w:right="872"/>
      </w:pPr>
      <w:r>
        <w:rPr>
          <w:rStyle w:val="footnotemark"/>
        </w:rPr>
        <w:footnoteRef/>
      </w:r>
      <w:r>
        <w:t xml:space="preserve"> Odpovědi na otevřenou veřejnou konzultaci provedenou komisí při přípravě Štítu demokracie ukazují, že respondenti považují neautentické využívání sociálních médií a FIMI za některá z nejdůležitějších rizik pro demokracii. Také speciální Eurobarometr [reference: EB Special 568] z roku 2025 odhalil, že respondenti považují FIMI a dezinformace za hlavní výzvu pro demokracii, spolu s rostoucí nedůvěrou v demokratické instituce a procesy. Stejný průzkum Eurobarometru ukazuje, že více než sedm z deseti Evropanů má obavy, že rozhodnutí voličů jsou založena na dezinformacích. </w:t>
      </w:r>
    </w:p>
  </w:footnote>
  <w:footnote w:id="9">
    <w:p w14:paraId="2E31B19A" w14:textId="77777777" w:rsidR="00A01CF9" w:rsidRDefault="00676706">
      <w:pPr>
        <w:pStyle w:val="footnotedescription"/>
        <w:spacing w:line="245" w:lineRule="auto"/>
        <w:ind w:right="869"/>
      </w:pPr>
      <w:r>
        <w:rPr>
          <w:rStyle w:val="footnotemark"/>
        </w:rPr>
        <w:footnoteRef/>
      </w:r>
      <w:r>
        <w:t xml:space="preserve"> Automatizované softwarové programy navržené k provádění opakujících se úkolů v síti, často napodobující skutečné uživatele </w:t>
      </w:r>
      <w:r>
        <w:rPr>
          <w:vertAlign w:val="superscript"/>
        </w:rPr>
        <w:t>12</w:t>
      </w:r>
      <w:r>
        <w:t xml:space="preserve"> nařízení (EU) 2024/1689 Evropského parlamentu a Rady ze dne 13. června 2024, které stanovuje harmonizovaná pravidla pro umělou inteligenci, Úřad L, 2024/1689, 12.7.2024. Bude platit od 2. srpna 2026. </w:t>
      </w:r>
      <w:r>
        <w:rPr>
          <w:vertAlign w:val="superscript"/>
        </w:rPr>
        <w:t>13</w:t>
      </w:r>
      <w:r>
        <w:t xml:space="preserve"> Nařízení (EU) 2022/2065 Evropského parlamentu a Rady ze dne 19. října 2022 o jednotném trhu digitálních služeb, OJ L 277, 27.10.2022, s. 1–102. </w:t>
      </w:r>
    </w:p>
  </w:footnote>
  <w:footnote w:id="10">
    <w:p w14:paraId="43772EDF" w14:textId="77777777" w:rsidR="00A01CF9" w:rsidRDefault="00676706">
      <w:pPr>
        <w:pStyle w:val="footnotedescription"/>
        <w:spacing w:line="278" w:lineRule="auto"/>
        <w:ind w:right="876"/>
      </w:pPr>
      <w:r>
        <w:rPr>
          <w:rStyle w:val="footnotemark"/>
        </w:rPr>
        <w:footnoteRef/>
      </w:r>
      <w:r>
        <w:t xml:space="preserve"> Podle článku 91(2) DSA Komise do 17. listopadu 2027 a každých pět let poté posoudí toto nařízení a podá zprávu Evropskému parlamentu, Radě a Evropskému hospodářskému a sociálnímu výboru. </w:t>
      </w:r>
    </w:p>
  </w:footnote>
  <w:footnote w:id="11">
    <w:p w14:paraId="4E4DF741" w14:textId="77777777" w:rsidR="00A01CF9" w:rsidRDefault="00676706">
      <w:pPr>
        <w:pStyle w:val="footnotedescription"/>
        <w:spacing w:line="259" w:lineRule="auto"/>
        <w:ind w:right="0"/>
        <w:jc w:val="left"/>
      </w:pPr>
      <w:r>
        <w:rPr>
          <w:rStyle w:val="footnotemark"/>
        </w:rPr>
        <w:footnoteRef/>
      </w:r>
      <w:r>
        <w:t xml:space="preserve"> Článek 48 nařízení DSA stanoví konkrétní postup pro zavedení takového protokolu. </w:t>
      </w:r>
    </w:p>
  </w:footnote>
  <w:footnote w:id="12">
    <w:p w14:paraId="20135514" w14:textId="77777777" w:rsidR="00A01CF9" w:rsidRDefault="00676706">
      <w:pPr>
        <w:pStyle w:val="footnotedescription"/>
        <w:spacing w:line="259" w:lineRule="auto"/>
        <w:ind w:right="0"/>
        <w:jc w:val="left"/>
      </w:pPr>
      <w:r>
        <w:rPr>
          <w:rStyle w:val="footnotemark"/>
        </w:rPr>
        <w:footnoteRef/>
      </w:r>
      <w:r>
        <w:t xml:space="preserve"> Delegované nařízení komise ze dne 1.7.2025 C(2025) 4340 final a článek 40 DSA. </w:t>
      </w:r>
    </w:p>
  </w:footnote>
  <w:footnote w:id="13">
    <w:p w14:paraId="20B3994A" w14:textId="77777777" w:rsidR="00A01CF9" w:rsidRDefault="00676706">
      <w:pPr>
        <w:pStyle w:val="footnotedescription"/>
        <w:spacing w:line="265" w:lineRule="auto"/>
        <w:ind w:right="0"/>
      </w:pPr>
      <w:r>
        <w:rPr>
          <w:rStyle w:val="footnotemark"/>
        </w:rPr>
        <w:footnoteRef/>
      </w:r>
      <w:r>
        <w:t xml:space="preserve"> Například směrnice NIS2, zákon o kybernetické bezpečnosti, zákon o umělé inteligenci, nařízení o politické reklamě a nařízení o řešení šíření teroristického obsahu online. </w:t>
      </w:r>
    </w:p>
  </w:footnote>
  <w:footnote w:id="14">
    <w:p w14:paraId="250C6821" w14:textId="77777777" w:rsidR="00A01CF9" w:rsidRDefault="00676706">
      <w:pPr>
        <w:pStyle w:val="footnotedescription"/>
        <w:spacing w:line="249" w:lineRule="auto"/>
        <w:ind w:right="0"/>
        <w:jc w:val="left"/>
      </w:pPr>
      <w:r>
        <w:rPr>
          <w:rStyle w:val="footnotemark"/>
        </w:rPr>
        <w:footnoteRef/>
      </w:r>
      <w:r>
        <w:t xml:space="preserve"> Viz stanovisko Komise – Hodnocení kodexu praxe o dezinformacích, C(2025) 1008 finále, https://ec.europa.eu/newsroom/dae/redirection/document/112679 </w:t>
      </w:r>
    </w:p>
  </w:footnote>
  <w:footnote w:id="15">
    <w:p w14:paraId="68036EF6" w14:textId="77777777" w:rsidR="00A01CF9" w:rsidRDefault="00676706">
      <w:pPr>
        <w:pStyle w:val="footnotedescription"/>
        <w:spacing w:line="251" w:lineRule="auto"/>
        <w:ind w:right="658"/>
      </w:pPr>
      <w:r>
        <w:rPr>
          <w:rStyle w:val="footnotemark"/>
        </w:rPr>
        <w:footnoteRef/>
      </w:r>
      <w:r>
        <w:t xml:space="preserve"> Navazuji na závazek 19 kapitoly o posilování uživatelů a závazek 1 kapitoly Kontrola reklam: Umístění Kodexu chování k dezinformacím. </w:t>
      </w:r>
    </w:p>
  </w:footnote>
  <w:footnote w:id="16">
    <w:p w14:paraId="66C4BD50" w14:textId="77777777" w:rsidR="00A01CF9" w:rsidRDefault="00676706">
      <w:pPr>
        <w:pStyle w:val="footnotedescription"/>
        <w:spacing w:line="259" w:lineRule="auto"/>
        <w:ind w:right="0"/>
        <w:jc w:val="left"/>
      </w:pPr>
      <w:r>
        <w:rPr>
          <w:rStyle w:val="footnotemark"/>
        </w:rPr>
        <w:footnoteRef/>
      </w:r>
      <w:r>
        <w:t xml:space="preserve"> Těm, kteří neustále šíří dezinformace. </w:t>
      </w:r>
    </w:p>
  </w:footnote>
  <w:footnote w:id="17">
    <w:p w14:paraId="249FA01F" w14:textId="77777777" w:rsidR="00A01CF9" w:rsidRDefault="00676706">
      <w:pPr>
        <w:pStyle w:val="footnotedescription"/>
        <w:spacing w:line="262" w:lineRule="auto"/>
        <w:ind w:right="291"/>
      </w:pPr>
      <w:r>
        <w:rPr>
          <w:rStyle w:val="footnotemark"/>
        </w:rPr>
        <w:footnoteRef/>
      </w:r>
      <w:r>
        <w:t xml:space="preserve"> Navazujíc na závazek 41 kapitoly Monitorování kodexu chování o dezinformacích týkajících se strukturálních indikátorů. </w:t>
      </w:r>
    </w:p>
  </w:footnote>
  <w:footnote w:id="18">
    <w:p w14:paraId="1ACE9AFB" w14:textId="77777777" w:rsidR="00A01CF9" w:rsidRDefault="00676706">
      <w:pPr>
        <w:pStyle w:val="footnotedescription"/>
        <w:spacing w:line="259" w:lineRule="auto"/>
        <w:ind w:right="0"/>
        <w:jc w:val="left"/>
      </w:pPr>
      <w:r>
        <w:rPr>
          <w:rStyle w:val="footnotemark"/>
        </w:rPr>
        <w:footnoteRef/>
      </w:r>
      <w:r>
        <w:t xml:space="preserve"> Navazujeme na závazek 15 a opatření 15.1 Kodexu chování o dezinformacích. </w:t>
      </w:r>
    </w:p>
  </w:footnote>
  <w:footnote w:id="19">
    <w:p w14:paraId="031C613C" w14:textId="77777777" w:rsidR="00A01CF9" w:rsidRDefault="00676706">
      <w:pPr>
        <w:pStyle w:val="footnotedescription"/>
        <w:spacing w:line="265" w:lineRule="auto"/>
        <w:ind w:right="741"/>
      </w:pPr>
      <w:r>
        <w:rPr>
          <w:rStyle w:val="footnotemark"/>
        </w:rPr>
        <w:footnoteRef/>
      </w:r>
      <w:r>
        <w:t xml:space="preserve"> Řešení by mohla být prozkoumána zejména tak, aby uživatelům pomohla ověřit, zda komunikují se skutečným člověkem (např. pomocí ověřovací ikony).  </w:t>
      </w:r>
    </w:p>
  </w:footnote>
  <w:footnote w:id="20">
    <w:p w14:paraId="72CAEA4C" w14:textId="77777777" w:rsidR="00A01CF9" w:rsidRDefault="00676706">
      <w:pPr>
        <w:pStyle w:val="footnotedescription"/>
        <w:ind w:right="877"/>
      </w:pPr>
      <w:r>
        <w:rPr>
          <w:rStyle w:val="footnotemark"/>
        </w:rPr>
        <w:footnoteRef/>
      </w:r>
      <w:r>
        <w:t xml:space="preserve"> Digitální identitní peněženky EU poskytnou bezpečný, spolehlivý a soukromý způsob digitální identifikace pro všechny v Evropě. Každý členský stát poskytne alespoň jednu peněženku všem svým občanům, obyvatelům a podnikům, což jim umožní prokázat, kým jsou, a bezpečně uchovávat, sdílet a podepisovat důležité digitální dokumenty. </w:t>
      </w:r>
    </w:p>
  </w:footnote>
  <w:footnote w:id="21">
    <w:p w14:paraId="6D8B6BF5" w14:textId="77777777" w:rsidR="00A01CF9" w:rsidRDefault="00676706">
      <w:pPr>
        <w:pStyle w:val="footnotedescription"/>
        <w:spacing w:after="11" w:line="243" w:lineRule="auto"/>
        <w:ind w:right="0"/>
        <w:jc w:val="left"/>
      </w:pPr>
      <w:r>
        <w:rPr>
          <w:rStyle w:val="footnotemark"/>
        </w:rPr>
        <w:footnoteRef/>
      </w:r>
      <w:r>
        <w:t xml:space="preserve"> Tento nástroj poskytuje rámec pro akci:</w:t>
      </w:r>
      <w:hyperlink r:id="rId17">
        <w:r>
          <w:t xml:space="preserve"> </w:t>
        </w:r>
      </w:hyperlink>
      <w:hyperlink r:id="rId18"/>
      <w:hyperlink r:id="rId19"/>
      <w:hyperlink r:id="rId20"/>
      <w:hyperlink r:id="rId21"/>
      <w:hyperlink r:id="rId22">
        <w:r>
          <w:rPr>
            <w:color w:val="467886"/>
            <w:u w:val="single" w:color="467886"/>
          </w:rPr>
          <w:t xml:space="preserve"> </w:t>
        </w:r>
      </w:hyperlink>
      <w:hyperlink r:id="rId23"/>
      <w:hyperlink r:id="rId24">
        <w:r>
          <w:rPr>
            <w:color w:val="467886"/>
            <w:u w:val="single" w:color="467886"/>
          </w:rPr>
          <w:t>https://www.eeas.europa.eu/eeas/information-integrita</w:t>
        </w:r>
      </w:hyperlink>
      <w:hyperlink r:id="rId25"/>
      <w:hyperlink r:id="rId26">
        <w:r>
          <w:rPr>
            <w:color w:val="467886"/>
            <w:u w:val="single" w:color="467886"/>
          </w:rPr>
          <w:t xml:space="preserve"> a</w:t>
        </w:r>
      </w:hyperlink>
      <w:hyperlink r:id="rId27"/>
      <w:hyperlink r:id="rId28">
        <w:r>
          <w:rPr>
            <w:color w:val="467886"/>
            <w:u w:val="single" w:color="467886"/>
          </w:rPr>
          <w:t xml:space="preserve"> proti-cizí</w:t>
        </w:r>
      </w:hyperlink>
      <w:hyperlink r:id="rId29">
        <w:r>
          <w:rPr>
            <w:color w:val="467886"/>
            <w:u w:val="single" w:color="467886"/>
          </w:rPr>
          <w:t xml:space="preserve"> manipulace-manipulace-interference-</w:t>
        </w:r>
        <w:proofErr w:type="spellStart"/>
        <w:r>
          <w:rPr>
            <w:color w:val="467886"/>
            <w:u w:val="single" w:color="467886"/>
          </w:rPr>
          <w:t>fimi_en</w:t>
        </w:r>
        <w:proofErr w:type="spellEnd"/>
      </w:hyperlink>
      <w:hyperlink r:id="rId30"/>
      <w:hyperlink r:id="rId31"/>
      <w:hyperlink r:id="rId32"/>
      <w:hyperlink r:id="rId33">
        <w:r>
          <w:rPr>
            <w:color w:val="467886"/>
            <w:u w:val="single" w:color="467886"/>
          </w:rPr>
          <w:t>.</w:t>
        </w:r>
      </w:hyperlink>
      <w:hyperlink r:id="rId34"/>
      <w:hyperlink r:id="rId35"/>
      <w:r>
        <w:t xml:space="preserve">  </w:t>
      </w:r>
    </w:p>
  </w:footnote>
  <w:footnote w:id="22">
    <w:p w14:paraId="18B97AA3" w14:textId="77777777" w:rsidR="00A01CF9" w:rsidRDefault="00676706">
      <w:pPr>
        <w:pStyle w:val="footnotedescription"/>
        <w:spacing w:line="246" w:lineRule="auto"/>
        <w:ind w:right="868"/>
      </w:pPr>
      <w:r>
        <w:rPr>
          <w:rStyle w:val="footnotemark"/>
        </w:rPr>
        <w:footnoteRef/>
      </w:r>
      <w:r>
        <w:t xml:space="preserve"> Jak bylo oznámeno v politických směrnicích předsedy komise na období 2024-2029. Výzva k podávání návrhů byla otevřena od 15. dubna do 2. září 2025 </w:t>
      </w:r>
      <w:hyperlink r:id="rId36"/>
      <w:hyperlink r:id="rId37"/>
      <w:hyperlink r:id="rId38"/>
      <w:hyperlink r:id="rId39"/>
      <w:hyperlink r:id="rId40"/>
      <w:hyperlink r:id="rId41"/>
      <w:hyperlink r:id="rId42"/>
      <w:hyperlink r:id="rId43"/>
      <w:hyperlink r:id="rId44"/>
      <w:hyperlink r:id="rId45"/>
      <w:hyperlink r:id="rId46"/>
      <w:hyperlink r:id="rId47"/>
      <w:hyperlink r:id="rId48"/>
      <w:hyperlink r:id="rId49"/>
      <w:hyperlink r:id="rId50"/>
      <w:hyperlink r:id="rId51">
        <w:r>
          <w:rPr>
            <w:color w:val="467886"/>
            <w:u w:val="single" w:color="467886"/>
          </w:rPr>
          <w:t xml:space="preserve"> https://digital-strategy.ec.europa.eu/en/news/commission-spouští-eu5milion-výzva-posilu-evropsko-ověřovací </w:t>
        </w:r>
      </w:hyperlink>
      <w:hyperlink r:id="rId52"/>
      <w:hyperlink r:id="rId53"/>
      <w:hyperlink r:id="rId54"/>
      <w:hyperlink r:id="rId55">
        <w:r>
          <w:rPr>
            <w:color w:val="467886"/>
            <w:u w:val="single" w:color="467886"/>
          </w:rPr>
          <w:t>síť</w:t>
        </w:r>
      </w:hyperlink>
      <w:hyperlink r:id="rId56">
        <w:r>
          <w:rPr>
            <w:color w:val="467886"/>
            <w:u w:val="single" w:color="467886"/>
          </w:rPr>
          <w:t>.</w:t>
        </w:r>
      </w:hyperlink>
      <w:hyperlink r:id="rId57"/>
      <w:r>
        <w:t xml:space="preserve">  </w:t>
      </w:r>
    </w:p>
  </w:footnote>
  <w:footnote w:id="23">
    <w:p w14:paraId="1EA27098" w14:textId="77777777" w:rsidR="00A01CF9" w:rsidRDefault="00676706">
      <w:pPr>
        <w:pStyle w:val="footnotedescription"/>
        <w:spacing w:line="251" w:lineRule="auto"/>
        <w:ind w:right="868"/>
      </w:pPr>
      <w:r>
        <w:rPr>
          <w:rStyle w:val="footnotemark"/>
        </w:rPr>
        <w:footnoteRef/>
      </w:r>
      <w:r>
        <w:t xml:space="preserve"> Přípravná akce vyzývá k projektům zvyšujícím dosah a dopad profesionálního obsahu vytvářeného nezávislými organizacemi pro ověřování faktů v rámci EU https://digital-strategy.ec.europa.eu/en/funding/boostingvisibility-fact-checking-content-europe. </w:t>
      </w:r>
    </w:p>
  </w:footnote>
  <w:footnote w:id="24">
    <w:p w14:paraId="58C64598" w14:textId="77777777" w:rsidR="00A01CF9" w:rsidRDefault="00676706">
      <w:pPr>
        <w:pStyle w:val="footnotedescription"/>
        <w:spacing w:line="247" w:lineRule="auto"/>
      </w:pPr>
      <w:r>
        <w:rPr>
          <w:rStyle w:val="footnotemark"/>
        </w:rPr>
        <w:footnoteRef/>
      </w:r>
      <w:r>
        <w:t xml:space="preserve">V  červenci 2025 byla v rámci programu Digital Europe (DEP) vyhlášena výzva k podání výběrových řízení až do výše 2,56 milionu eur. Viz: </w:t>
      </w:r>
      <w:hyperlink r:id="rId58"/>
      <w:hyperlink r:id="rId59"/>
      <w:hyperlink r:id="rId60"/>
      <w:hyperlink r:id="rId61"/>
      <w:hyperlink r:id="rId62">
        <w:r>
          <w:rPr>
            <w:color w:val="467886"/>
            <w:u w:val="single" w:color="467886"/>
          </w:rPr>
          <w:t xml:space="preserve"> https://digital-strategy.ec.europa.eu/en/funding/commission-launches-call-continuation-european </w:t>
        </w:r>
      </w:hyperlink>
      <w:hyperlink r:id="rId63"/>
      <w:hyperlink r:id="rId64"/>
      <w:hyperlink r:id="rId65"/>
      <w:hyperlink r:id="rId66"/>
      <w:hyperlink r:id="rId67"/>
      <w:hyperlink r:id="rId68"/>
      <w:hyperlink r:id="rId69"/>
      <w:hyperlink r:id="rId70"/>
      <w:hyperlink r:id="rId71"/>
      <w:hyperlink r:id="rId72">
        <w:r>
          <w:rPr>
            <w:color w:val="467886"/>
            <w:u w:val="single" w:color="467886"/>
          </w:rPr>
          <w:t xml:space="preserve"> </w:t>
        </w:r>
        <w:proofErr w:type="spellStart"/>
        <w:r>
          <w:rPr>
            <w:color w:val="467886"/>
            <w:u w:val="single" w:color="467886"/>
          </w:rPr>
          <w:t>digital</w:t>
        </w:r>
        <w:proofErr w:type="spellEnd"/>
        <w:r>
          <w:rPr>
            <w:color w:val="467886"/>
            <w:u w:val="single" w:color="467886"/>
          </w:rPr>
          <w:t>-media-</w:t>
        </w:r>
        <w:proofErr w:type="spellStart"/>
        <w:r>
          <w:rPr>
            <w:color w:val="467886"/>
            <w:u w:val="single" w:color="467886"/>
          </w:rPr>
          <w:t>observatory</w:t>
        </w:r>
        <w:proofErr w:type="spellEnd"/>
      </w:hyperlink>
      <w:hyperlink r:id="rId73"/>
      <w:hyperlink r:id="rId74"/>
      <w:hyperlink r:id="rId75"/>
      <w:hyperlink r:id="rId76">
        <w:r>
          <w:t>/.</w:t>
        </w:r>
      </w:hyperlink>
      <w:r>
        <w:t xml:space="preserve">  </w:t>
      </w:r>
    </w:p>
  </w:footnote>
  <w:footnote w:id="25">
    <w:p w14:paraId="4968B1E8" w14:textId="77777777" w:rsidR="00A01CF9" w:rsidRDefault="00676706">
      <w:pPr>
        <w:pStyle w:val="footnotedescription"/>
        <w:spacing w:line="245" w:lineRule="auto"/>
        <w:ind w:right="868"/>
      </w:pPr>
      <w:r>
        <w:rPr>
          <w:rStyle w:val="footnotemark"/>
        </w:rPr>
        <w:footnoteRef/>
      </w:r>
      <w:r>
        <w:t xml:space="preserve"> Nové centrum EDMO, FACT, bude v roce 2025 spuštěno na boj proti dezinformacím na Ukrajině a v Moldavsku s grantem EU ve výši 1,29 milionu EUR v rámci DEP (v rámci širší výzvy k podávání návrhů v hodnotě 8,8 milionu EUR). Projekt potrvá do roku 2027. Viz https://ec.europa.eu/info/funding-</w:t>
      </w:r>
    </w:p>
    <w:p w14:paraId="507DFB61" w14:textId="77777777" w:rsidR="00A01CF9" w:rsidRDefault="00676706">
      <w:pPr>
        <w:pStyle w:val="footnotedescription"/>
        <w:spacing w:line="253" w:lineRule="auto"/>
        <w:ind w:right="877"/>
      </w:pPr>
      <w:r>
        <w:t xml:space="preserve">výběrová řízení/příležitosti/portál/screen/příležitosti/detaily projektů/43152860/101226241 Odkaz na nové výběrové řízení EDMO: Komise vyhlašuje výzvu k pokračování Evropské observatoře digitálních médií | Formování digitální budoucnosti Evropy.  </w:t>
      </w:r>
    </w:p>
  </w:footnote>
  <w:footnote w:id="26">
    <w:p w14:paraId="0C2199E0" w14:textId="77777777" w:rsidR="00A01CF9" w:rsidRDefault="00676706">
      <w:pPr>
        <w:pStyle w:val="footnotedescription"/>
        <w:spacing w:line="249" w:lineRule="auto"/>
        <w:ind w:right="876"/>
      </w:pPr>
      <w:r>
        <w:rPr>
          <w:rStyle w:val="footnotemark"/>
        </w:rPr>
        <w:footnoteRef/>
      </w:r>
      <w:r>
        <w:t xml:space="preserve"> Například přístup ke sdíleným cloudovým zdrojům a softwaru. To doplní probíhající iniciativy zvyšující rychlost detekce a analytickou kapacitu sofistikovaných škodlivých aktivit (např. koordinovaných neautentických chování), které jsou často součástí hybridních útoků. </w:t>
      </w:r>
    </w:p>
  </w:footnote>
  <w:footnote w:id="27">
    <w:p w14:paraId="0018CD7E" w14:textId="77777777" w:rsidR="00A01CF9" w:rsidRDefault="00676706">
      <w:pPr>
        <w:pStyle w:val="footnotedescription"/>
        <w:spacing w:line="250" w:lineRule="auto"/>
      </w:pPr>
      <w:r>
        <w:rPr>
          <w:rStyle w:val="footnotemark"/>
        </w:rPr>
        <w:footnoteRef/>
      </w:r>
      <w:r>
        <w:t xml:space="preserve"> Nařízení (EU) 2024/900 Evropského parlamentu a Rady ze dne 13. března 2024 o transparentnosti a cílení politické reklamy (OJ L, 2024/900, 20.3.2024, ELI</w:t>
      </w:r>
      <w:hyperlink r:id="rId77">
        <w:r>
          <w:t xml:space="preserve">: </w:t>
        </w:r>
      </w:hyperlink>
      <w:hyperlink r:id="rId78">
        <w:r>
          <w:rPr>
            <w:i/>
            <w:color w:val="467886"/>
            <w:u w:val="single" w:color="467886"/>
          </w:rPr>
          <w:t>http://data.europa.eu/eli/reg/2024/900/o</w:t>
        </w:r>
      </w:hyperlink>
      <w:hyperlink r:id="rId79">
        <w:r>
          <w:rPr>
            <w:i/>
          </w:rPr>
          <w:t>j</w:t>
        </w:r>
      </w:hyperlink>
      <w:r>
        <w:rPr>
          <w:i/>
        </w:rPr>
        <w:t xml:space="preserve">). </w:t>
      </w:r>
      <w:hyperlink r:id="rId80"/>
      <w:hyperlink r:id="rId81"/>
      <w:hyperlink r:id="rId82">
        <w:r>
          <w:rPr>
            <w:color w:val="467886"/>
            <w:u w:val="single" w:color="467886"/>
          </w:rPr>
          <w:t xml:space="preserve">32 </w:t>
        </w:r>
      </w:hyperlink>
      <w:hyperlink r:id="rId83"/>
      <w:hyperlink r:id="rId84"/>
      <w:hyperlink r:id="rId85"/>
      <w:hyperlink r:id="rId86"/>
      <w:hyperlink r:id="rId87"/>
      <w:hyperlink r:id="rId88">
        <w:r>
          <w:rPr>
            <w:color w:val="467886"/>
            <w:u w:val="single" w:color="467886"/>
          </w:rPr>
          <w:t>https://www.eeas.europa.eu/eeas/information-integrita</w:t>
        </w:r>
      </w:hyperlink>
      <w:hyperlink r:id="rId89"/>
      <w:hyperlink r:id="rId90">
        <w:r>
          <w:rPr>
            <w:color w:val="467886"/>
            <w:u w:val="single" w:color="467886"/>
          </w:rPr>
          <w:t xml:space="preserve"> a </w:t>
        </w:r>
      </w:hyperlink>
      <w:hyperlink r:id="rId91">
        <w:r>
          <w:rPr>
            <w:color w:val="467886"/>
            <w:u w:val="single" w:color="467886"/>
          </w:rPr>
          <w:t>proti-zahraniční</w:t>
        </w:r>
      </w:hyperlink>
      <w:hyperlink r:id="rId92">
        <w:r>
          <w:rPr>
            <w:color w:val="467886"/>
            <w:u w:val="single" w:color="467886"/>
          </w:rPr>
          <w:t xml:space="preserve"> manipulace</w:t>
        </w:r>
      </w:hyperlink>
      <w:hyperlink r:id="rId93"/>
      <w:hyperlink r:id="rId94">
        <w:r>
          <w:rPr>
            <w:color w:val="467886"/>
            <w:u w:val="single" w:color="467886"/>
          </w:rPr>
          <w:t xml:space="preserve"> </w:t>
        </w:r>
      </w:hyperlink>
      <w:hyperlink r:id="rId95">
        <w:r>
          <w:rPr>
            <w:color w:val="467886"/>
            <w:u w:val="single" w:color="467886"/>
          </w:rPr>
          <w:t>s informacemi</w:t>
        </w:r>
      </w:hyperlink>
      <w:hyperlink r:id="rId96">
        <w:r>
          <w:rPr>
            <w:color w:val="467886"/>
            <w:u w:val="single" w:color="467886"/>
          </w:rPr>
          <w:t xml:space="preserve"> </w:t>
        </w:r>
        <w:proofErr w:type="spellStart"/>
        <w:r>
          <w:rPr>
            <w:color w:val="467886"/>
            <w:u w:val="single" w:color="467886"/>
          </w:rPr>
          <w:t>fimi_en</w:t>
        </w:r>
        <w:proofErr w:type="spellEnd"/>
      </w:hyperlink>
      <w:hyperlink r:id="rId97">
        <w:r>
          <w:t>.</w:t>
        </w:r>
      </w:hyperlink>
      <w:r>
        <w:t xml:space="preserve">  </w:t>
      </w:r>
    </w:p>
  </w:footnote>
  <w:footnote w:id="28">
    <w:p w14:paraId="52900735" w14:textId="77777777" w:rsidR="00A01CF9" w:rsidRDefault="00676706">
      <w:pPr>
        <w:pStyle w:val="footnotedescription"/>
        <w:ind w:right="877"/>
      </w:pPr>
      <w:r>
        <w:rPr>
          <w:rStyle w:val="footnotemark"/>
        </w:rPr>
        <w:footnoteRef/>
      </w:r>
      <w:r>
        <w:t xml:space="preserve"> Nařízení (EU) 2024/1083 Evropského parlamentu a Rady ze dne 11. dubna 2024, které stanovuje společný rámec pro mediální služby na vnitřním trhu a mění směrnici 2010/13/EU (Evropský zákon o svobodě médií) (OJ L, 2024/1083, 17.4.2024, ELI: http://data.europa.eu/eli/reg/2024/1083/oj). </w:t>
      </w:r>
    </w:p>
  </w:footnote>
  <w:footnote w:id="29">
    <w:p w14:paraId="7A714B14" w14:textId="77777777" w:rsidR="00A01CF9" w:rsidRDefault="00676706">
      <w:pPr>
        <w:pStyle w:val="footnotedescription"/>
        <w:spacing w:line="246" w:lineRule="auto"/>
      </w:pPr>
      <w:r>
        <w:rPr>
          <w:rStyle w:val="footnotemark"/>
        </w:rPr>
        <w:footnoteRef/>
      </w:r>
      <w:r>
        <w:t xml:space="preserve"> </w:t>
      </w:r>
      <w:hyperlink r:id="rId98">
        <w:r>
          <w:rPr>
            <w:color w:val="467886"/>
            <w:u w:val="single" w:color="467886"/>
          </w:rPr>
          <w:t>https://www.presidency.ro/files/userfiles/Documente%20CSAT/Document%20CSAT%20SIE.pdf</w:t>
        </w:r>
      </w:hyperlink>
      <w:hyperlink r:id="rId99">
        <w:r>
          <w:t xml:space="preserve"> </w:t>
        </w:r>
      </w:hyperlink>
      <w:r>
        <w:t xml:space="preserve">a </w:t>
      </w:r>
      <w:hyperlink r:id="rId100">
        <w:r>
          <w:rPr>
            <w:color w:val="467886"/>
            <w:u w:val="single" w:color="467886"/>
          </w:rPr>
          <w:t xml:space="preserve">https://www.sis.md/sites/default/files/comunicate/fisiere/Raport_SIS_Public_Interferenta_in_procesul_electoral. </w:t>
        </w:r>
      </w:hyperlink>
      <w:hyperlink r:id="rId101">
        <w:r>
          <w:rPr>
            <w:color w:val="467886"/>
            <w:u w:val="single" w:color="467886"/>
          </w:rPr>
          <w:t>PDF</w:t>
        </w:r>
      </w:hyperlink>
      <w:hyperlink r:id="rId102">
        <w:r>
          <w:t>.</w:t>
        </w:r>
      </w:hyperlink>
      <w:r>
        <w:t xml:space="preserve">  </w:t>
      </w:r>
    </w:p>
  </w:footnote>
  <w:footnote w:id="30">
    <w:p w14:paraId="675A2909" w14:textId="77777777" w:rsidR="00A01CF9" w:rsidRDefault="00676706">
      <w:pPr>
        <w:pStyle w:val="footnotedescription"/>
        <w:spacing w:line="245" w:lineRule="auto"/>
        <w:ind w:right="870"/>
      </w:pPr>
      <w:r>
        <w:rPr>
          <w:rStyle w:val="footnotemark"/>
        </w:rPr>
        <w:footnoteRef/>
      </w:r>
      <w:r>
        <w:t xml:space="preserve"> Viz mimo jiné Zákon o volbách EU, Doporučení Komise z roku 2023 o inkluzivních a odolných volebních procesech v EU, stejně jako Kodex dobré praxe ve volebních záležitostech, Evropská komise pro demokracii prostřednictvím práva, Benátská komise, Stanovisko č. 190/2002, Štrasburk, 25.10.2018) </w:t>
      </w:r>
    </w:p>
  </w:footnote>
  <w:footnote w:id="31">
    <w:p w14:paraId="08E53855" w14:textId="77777777" w:rsidR="00A01CF9" w:rsidRDefault="00676706">
      <w:pPr>
        <w:pStyle w:val="footnotedescription"/>
        <w:spacing w:line="245" w:lineRule="auto"/>
        <w:ind w:right="871"/>
      </w:pPr>
      <w:r>
        <w:rPr>
          <w:rStyle w:val="footnotemark"/>
        </w:rPr>
        <w:footnoteRef/>
      </w:r>
      <w:r>
        <w:t xml:space="preserve"> Je třeba lépe chránit volební procesy, včetně infrastruktury související s volbami, před útoky kombinujícími FIMI a dezinformační kampaně a řadou dalších nástrojů a taktik, jako jsou kybernetické útoky, tajné financování kampaní, kupování hlasů, útoky na politické kandidáty, pokusy o vyvolání sociálních nepokojů nebo násilné a destabilizační činy.  </w:t>
      </w:r>
    </w:p>
  </w:footnote>
  <w:footnote w:id="32">
    <w:p w14:paraId="5CAEC43B" w14:textId="77777777" w:rsidR="00A01CF9" w:rsidRDefault="00676706">
      <w:pPr>
        <w:pStyle w:val="footnotedescription"/>
        <w:ind w:right="601"/>
      </w:pPr>
      <w:r>
        <w:rPr>
          <w:rStyle w:val="footnotemark"/>
        </w:rPr>
        <w:footnoteRef/>
      </w:r>
      <w:r>
        <w:t xml:space="preserve"> Směrnice (EU) 2022/2555 Evropského parlamentu a Rady ze dne 14. prosince 2022 o opatřeních pro vysokou společnou úroveň kybernetické bezpečnosti v celé Unii, Úřední správa L 333, 27.12.2022, s. 80–152. </w:t>
      </w:r>
    </w:p>
  </w:footnote>
  <w:footnote w:id="33">
    <w:p w14:paraId="37AB03D8" w14:textId="77777777" w:rsidR="00A01CF9" w:rsidRDefault="00676706">
      <w:pPr>
        <w:pStyle w:val="footnotedescription"/>
        <w:ind w:right="0"/>
      </w:pPr>
      <w:r>
        <w:rPr>
          <w:rStyle w:val="footnotemark"/>
        </w:rPr>
        <w:footnoteRef/>
      </w:r>
      <w:r>
        <w:t xml:space="preserve"> Nařízení (EU) 2024/2847 Evropského parlamentu a Rady ze dne 23. října 2024 o horizontálních požadavcích na kybernetickou bezpečnost pro produkty s digitálními prvky, Úřad L, 2024/2847, 20.11.2024. </w:t>
      </w:r>
    </w:p>
  </w:footnote>
  <w:footnote w:id="34">
    <w:p w14:paraId="36BF4B56" w14:textId="77777777" w:rsidR="00A01CF9" w:rsidRDefault="00676706">
      <w:pPr>
        <w:pStyle w:val="footnotedescription"/>
        <w:spacing w:line="244" w:lineRule="auto"/>
        <w:ind w:right="39"/>
      </w:pPr>
      <w:r>
        <w:rPr>
          <w:rStyle w:val="footnotemark"/>
        </w:rPr>
        <w:footnoteRef/>
      </w:r>
      <w:r>
        <w:t xml:space="preserve"> </w:t>
      </w:r>
      <w:hyperlink r:id="rId103"/>
      <w:hyperlink r:id="rId104"/>
      <w:hyperlink r:id="rId105">
        <w:r>
          <w:rPr>
            <w:color w:val="467886"/>
            <w:u w:val="single" w:color="467886"/>
          </w:rPr>
          <w:t xml:space="preserve"> </w:t>
        </w:r>
      </w:hyperlink>
      <w:hyperlink r:id="rId106"/>
      <w:hyperlink r:id="rId107">
        <w:r>
          <w:rPr>
            <w:color w:val="467886"/>
            <w:u w:val="single" w:color="467886"/>
          </w:rPr>
          <w:t xml:space="preserve"> https://digital-strategy.ec.europa.eu/en/news/new-kompendium </w:t>
        </w:r>
      </w:hyperlink>
      <w:hyperlink r:id="rId108"/>
      <w:hyperlink r:id="rId109">
        <w:r>
          <w:rPr>
            <w:color w:val="467886"/>
            <w:u w:val="single" w:color="467886"/>
          </w:rPr>
          <w:t>kybernetické</w:t>
        </w:r>
      </w:hyperlink>
      <w:hyperlink r:id="rId110">
        <w:r>
          <w:rPr>
            <w:color w:val="467886"/>
            <w:u w:val="single" w:color="467886"/>
          </w:rPr>
          <w:t xml:space="preserve"> bezpečnosti-jak-ochrana-integritu </w:t>
        </w:r>
      </w:hyperlink>
      <w:hyperlink r:id="rId111"/>
      <w:hyperlink r:id="rId112"/>
      <w:hyperlink r:id="rId113"/>
      <w:hyperlink r:id="rId114"/>
      <w:hyperlink r:id="rId115"/>
      <w:hyperlink r:id="rId116"/>
      <w:hyperlink r:id="rId117"/>
      <w:hyperlink r:id="rId118"/>
      <w:hyperlink r:id="rId119">
        <w:proofErr w:type="spellStart"/>
        <w:r>
          <w:rPr>
            <w:color w:val="467886"/>
            <w:u w:val="single" w:color="467886"/>
          </w:rPr>
          <w:t>voleb</w:t>
        </w:r>
      </w:hyperlink>
      <w:hyperlink r:id="rId120">
        <w:r>
          <w:t>publikováno</w:t>
        </w:r>
        <w:proofErr w:type="spellEnd"/>
        <w:r>
          <w:t>.</w:t>
        </w:r>
      </w:hyperlink>
      <w:r>
        <w:t xml:space="preserve">  </w:t>
      </w:r>
    </w:p>
  </w:footnote>
  <w:footnote w:id="35">
    <w:p w14:paraId="63BA0239" w14:textId="77777777" w:rsidR="00A01CF9" w:rsidRDefault="00676706">
      <w:pPr>
        <w:pStyle w:val="footnotedescription"/>
        <w:ind w:right="883"/>
      </w:pPr>
      <w:r>
        <w:rPr>
          <w:rStyle w:val="footnotemark"/>
        </w:rPr>
        <w:footnoteRef/>
      </w:r>
      <w:r>
        <w:t xml:space="preserve"> Nařízení (EU) 2025/38 Evropského parlamentu a Rady ze dne 19. prosince 2024, které stanovuje opatření k posílení solidarity a kapacit v Unii pro detekci, přípravu a reakci na kybernetické hrozby a incidenty, Pán práce, 2025/38, 15.1.2025 </w:t>
      </w:r>
    </w:p>
  </w:footnote>
  <w:footnote w:id="36">
    <w:p w14:paraId="71F438B1" w14:textId="77777777" w:rsidR="00A01CF9" w:rsidRDefault="00676706">
      <w:pPr>
        <w:pStyle w:val="footnotedescription"/>
        <w:spacing w:after="8" w:line="240" w:lineRule="auto"/>
        <w:ind w:right="868"/>
      </w:pPr>
      <w:r>
        <w:rPr>
          <w:rStyle w:val="footnotemark"/>
        </w:rPr>
        <w:footnoteRef/>
      </w:r>
      <w:r>
        <w:t xml:space="preserve"> Pokyny vydané komisí podporují aplikaci tohoto nařízení a pomáhají všem aktérům spadajícím do jeho působnosti porozumět a dodržet jejich povinnosti. Komise zřídí novou expertní skupinu zainteresovaných stran, která bude monitorovat a sbírat praktickou zpětnou vazbu k implementaci pravidel. Komise dále podpoří přípravu šablon a dalších nástrojů pro usnadnění aplikace nařízení. </w:t>
      </w:r>
      <w:r>
        <w:rPr>
          <w:vertAlign w:val="superscript"/>
        </w:rPr>
        <w:t>42</w:t>
      </w:r>
      <w:r>
        <w:t xml:space="preserve"> V rámci ECNE bude Komise také organizovat výměny informací o volebních průzkumech.  </w:t>
      </w:r>
    </w:p>
  </w:footnote>
  <w:footnote w:id="37">
    <w:p w14:paraId="412FE566" w14:textId="77777777" w:rsidR="00A01CF9" w:rsidRDefault="00676706">
      <w:pPr>
        <w:pStyle w:val="footnotedescription"/>
        <w:spacing w:line="250" w:lineRule="auto"/>
        <w:ind w:right="0"/>
      </w:pPr>
      <w:r>
        <w:rPr>
          <w:rStyle w:val="footnotemark"/>
        </w:rPr>
        <w:footnoteRef/>
      </w:r>
      <w:r>
        <w:t xml:space="preserve"> To bude založeno na příslušných standardech a bude zahrnovat zkušenosti získané v kontextu misí pozorování voleb EU.  </w:t>
      </w:r>
    </w:p>
  </w:footnote>
  <w:footnote w:id="38">
    <w:p w14:paraId="658040B6" w14:textId="77777777" w:rsidR="00A01CF9" w:rsidRDefault="00676706">
      <w:pPr>
        <w:pStyle w:val="footnotedescription"/>
        <w:spacing w:line="255" w:lineRule="auto"/>
        <w:ind w:right="0"/>
      </w:pPr>
      <w:r>
        <w:rPr>
          <w:rStyle w:val="footnotemark"/>
        </w:rPr>
        <w:footnoteRef/>
      </w:r>
      <w:r>
        <w:t xml:space="preserve"> Kromě zákona o umělé inteligenci to zahrnuje zejména nařízení o politické reklamě a doporučení komise z roku 2023 o inkluzivních a odolných volbách. </w:t>
      </w:r>
    </w:p>
  </w:footnote>
  <w:footnote w:id="39">
    <w:p w14:paraId="043F6AFA" w14:textId="77777777" w:rsidR="00A01CF9" w:rsidRDefault="00676706">
      <w:pPr>
        <w:pStyle w:val="footnotedescription"/>
        <w:spacing w:line="248" w:lineRule="auto"/>
        <w:ind w:right="879"/>
      </w:pPr>
      <w:r>
        <w:rPr>
          <w:rStyle w:val="footnotemark"/>
        </w:rPr>
        <w:footnoteRef/>
      </w:r>
      <w:r>
        <w:t xml:space="preserve"> Široká škála jevů spojených s online platformami a vyhledávači zvyšuje riziko integrity voleb. Patří sem, ale nejsou omezeny na, šíření nelegálních nenávistných projevů online, hrozby spojené s FIMI a širší fenomén dezinformací, šíření (násilného) extremistického obsahu a obsahu zaměřeného na radikalizaci lidí, stejně jako šíření obsahu generovaného novými technologiemi, jako je generativní AI. </w:t>
      </w:r>
    </w:p>
  </w:footnote>
  <w:footnote w:id="40">
    <w:p w14:paraId="0FF798AB" w14:textId="77777777" w:rsidR="00A01CF9" w:rsidRDefault="00676706">
      <w:pPr>
        <w:pStyle w:val="footnotedescription"/>
        <w:ind w:right="872"/>
      </w:pPr>
      <w:r>
        <w:rPr>
          <w:rStyle w:val="footnotemark"/>
        </w:rPr>
        <w:footnoteRef/>
      </w:r>
      <w:r>
        <w:t xml:space="preserve"> Komunikace Komise pro pokyny pro poskytovatele VLOP a VLOSE o zmírnění systémových rizik pro volební procesy C/2024/3014. V rámci DSA, zejména na základě volebního nástrojového souboru DSA pro koordinátory digitálních služeb zveřejněného Evropskou radou pro digitální služby a Komisí v únoru 2025, se ukázalo, že jsou užitečné volební kulaté stoly a zátěžové testy organizované koordinátory digitálních služeb členských států při posilování výměny informací mezi zainteresovanými stranami o otázkách souvisejících s volbami.  posílit situační povědomí a otestovat připravenost platforem. </w:t>
      </w:r>
    </w:p>
  </w:footnote>
  <w:footnote w:id="41">
    <w:p w14:paraId="28A8932B" w14:textId="77777777" w:rsidR="00A01CF9" w:rsidRDefault="00676706">
      <w:pPr>
        <w:pStyle w:val="footnotedescription"/>
        <w:spacing w:line="259" w:lineRule="auto"/>
        <w:ind w:right="0"/>
        <w:jc w:val="left"/>
      </w:pPr>
      <w:r>
        <w:rPr>
          <w:rStyle w:val="footnotemark"/>
        </w:rPr>
        <w:footnoteRef/>
      </w:r>
      <w:r>
        <w:t xml:space="preserve"> Účastí na kulatých stolech se všemi zúčastněnými aktéry a organizací zátěžových testů. </w:t>
      </w:r>
    </w:p>
  </w:footnote>
  <w:footnote w:id="42">
    <w:p w14:paraId="66229131" w14:textId="77777777" w:rsidR="00A01CF9" w:rsidRDefault="00676706">
      <w:pPr>
        <w:pStyle w:val="footnotedescription"/>
        <w:spacing w:line="250" w:lineRule="auto"/>
        <w:ind w:right="186"/>
      </w:pPr>
      <w:r>
        <w:rPr>
          <w:rStyle w:val="footnotemark"/>
        </w:rPr>
        <w:footnoteRef/>
      </w:r>
      <w:r>
        <w:t xml:space="preserve"> Například vystavení občanů EU žijících v zahraničí FIMI a dezinformačním kampaním během volebních období. </w:t>
      </w:r>
    </w:p>
  </w:footnote>
  <w:footnote w:id="43">
    <w:p w14:paraId="5728E3F5" w14:textId="77777777" w:rsidR="00A01CF9" w:rsidRDefault="00676706">
      <w:pPr>
        <w:pStyle w:val="footnotedescription"/>
        <w:spacing w:line="306" w:lineRule="auto"/>
        <w:ind w:right="540"/>
      </w:pPr>
      <w:r>
        <w:rPr>
          <w:rStyle w:val="footnotemark"/>
        </w:rPr>
        <w:footnoteRef/>
      </w:r>
      <w:r>
        <w:t xml:space="preserve"> Spolupráce podle Kodexu se ukázala jako zvláště užitečná v kontextu krize, jako byla pandemie Covid a invaze Ruska na Ukrajinu, stejně jako v souvislosti s volbami. </w:t>
      </w:r>
    </w:p>
  </w:footnote>
  <w:footnote w:id="44">
    <w:p w14:paraId="56BE2211" w14:textId="77777777" w:rsidR="00A01CF9" w:rsidRDefault="00676706">
      <w:pPr>
        <w:pStyle w:val="footnotedescription"/>
        <w:spacing w:line="259" w:lineRule="auto"/>
        <w:ind w:right="0"/>
        <w:jc w:val="left"/>
      </w:pPr>
      <w:r>
        <w:rPr>
          <w:rStyle w:val="footnotemark"/>
        </w:rPr>
        <w:footnoteRef/>
      </w:r>
      <w:r>
        <w:t xml:space="preserve"> Například nařízení o politické reklamě, DSA, AI Act, EMFA atd. </w:t>
      </w:r>
    </w:p>
  </w:footnote>
  <w:footnote w:id="45">
    <w:p w14:paraId="572DCDE0" w14:textId="77777777" w:rsidR="00A01CF9" w:rsidRDefault="00676706">
      <w:pPr>
        <w:pStyle w:val="footnotedescription"/>
        <w:spacing w:line="241" w:lineRule="auto"/>
        <w:ind w:right="868"/>
      </w:pPr>
      <w:r>
        <w:rPr>
          <w:rStyle w:val="footnotemark"/>
        </w:rPr>
        <w:footnoteRef/>
      </w:r>
      <w:r>
        <w:t xml:space="preserve"> To bude zejména spoléhat na práci na podporu aplikace nařízení o politické reklamě, doporučení Komise (EU) 2023/2829 ze dne 12. prosince 2023 o inkluzivních a odolných volebních procesech v Unii a zlepšení evropského charakteru a efektivního průběhu voleb do Evropského parlamentu, navrhované směrnice o boji proti korupci,  Pravidla EU proti praní špinavých peněz a další relevantní pravidla EU (např. revize nařízení o evropských politických stranách a evropských politických nadacích, dohodnutá mezi spoluzákonodárci v červnu 2025, stanovuje zpřísněná pravidla zákazu nepřímého financování a transparentnosti dárců). </w:t>
      </w:r>
    </w:p>
  </w:footnote>
  <w:footnote w:id="46">
    <w:p w14:paraId="133FF334" w14:textId="77777777" w:rsidR="00A01CF9" w:rsidRDefault="00676706">
      <w:pPr>
        <w:pStyle w:val="footnotedescription"/>
        <w:spacing w:line="259" w:lineRule="auto"/>
        <w:ind w:right="0"/>
        <w:jc w:val="left"/>
      </w:pPr>
      <w:r>
        <w:rPr>
          <w:rStyle w:val="footnotemark"/>
        </w:rPr>
        <w:footnoteRef/>
      </w:r>
      <w:r>
        <w:t xml:space="preserve"> Včetně odborných znalostí získaných během pozorovacích misí voleb.  </w:t>
      </w:r>
    </w:p>
  </w:footnote>
  <w:footnote w:id="47">
    <w:p w14:paraId="1761C9CA" w14:textId="77777777" w:rsidR="00A01CF9" w:rsidRDefault="00676706">
      <w:pPr>
        <w:pStyle w:val="footnotedescription"/>
        <w:spacing w:line="251" w:lineRule="auto"/>
        <w:ind w:right="878"/>
      </w:pPr>
      <w:r>
        <w:rPr>
          <w:rStyle w:val="footnotemark"/>
        </w:rPr>
        <w:footnoteRef/>
      </w:r>
      <w:r>
        <w:t xml:space="preserve"> Hrozby vůči novinářům, mediálním profesionálům a politikům patří mezi obavy respondentů otevřené veřejné konzultace, kterou Komise vedla k přípravě Štítu demokracie ohledně rizik pro demokracii v EU. </w:t>
      </w:r>
    </w:p>
  </w:footnote>
  <w:footnote w:id="48">
    <w:p w14:paraId="1D871131" w14:textId="77777777" w:rsidR="00A01CF9" w:rsidRDefault="00676706">
      <w:pPr>
        <w:pStyle w:val="footnotedescription"/>
        <w:spacing w:line="250" w:lineRule="auto"/>
        <w:ind w:right="0"/>
        <w:jc w:val="left"/>
      </w:pPr>
      <w:r>
        <w:rPr>
          <w:rStyle w:val="footnotemark"/>
        </w:rPr>
        <w:footnoteRef/>
      </w:r>
      <w:r>
        <w:t xml:space="preserve"> </w:t>
      </w:r>
      <w:hyperlink r:id="rId121"/>
      <w:hyperlink r:id="rId122"/>
      <w:hyperlink r:id="rId123"/>
      <w:hyperlink r:id="rId124"/>
      <w:hyperlink r:id="rId125"/>
      <w:hyperlink r:id="rId126"/>
      <w:hyperlink r:id="rId127"/>
      <w:hyperlink r:id="rId128"/>
      <w:hyperlink r:id="rId129"/>
      <w:hyperlink r:id="rId130"/>
      <w:hyperlink r:id="rId131">
        <w:r>
          <w:rPr>
            <w:color w:val="467886"/>
            <w:u w:val="single" w:color="467886"/>
          </w:rPr>
          <w:t>https://eige.europa.eu/publications-zdroje/publikace/rámec pro boj</w:t>
        </w:r>
      </w:hyperlink>
      <w:hyperlink r:id="rId132">
        <w:r>
          <w:rPr>
            <w:color w:val="467886"/>
            <w:u w:val="single" w:color="467886"/>
          </w:rPr>
          <w:t xml:space="preserve"> proti</w:t>
        </w:r>
      </w:hyperlink>
      <w:hyperlink r:id="rId133"/>
      <w:hyperlink r:id="rId134"/>
      <w:hyperlink r:id="rId135"/>
      <w:hyperlink r:id="rId136">
        <w:r>
          <w:rPr>
            <w:color w:val="467886"/>
            <w:u w:val="single" w:color="467886"/>
          </w:rPr>
          <w:t xml:space="preserve"> </w:t>
        </w:r>
      </w:hyperlink>
      <w:hyperlink r:id="rId137">
        <w:proofErr w:type="spellStart"/>
        <w:r>
          <w:rPr>
            <w:color w:val="467886"/>
            <w:u w:val="single" w:color="467886"/>
          </w:rPr>
          <w:t>kybernásilí</w:t>
        </w:r>
        <w:proofErr w:type="spellEnd"/>
        <w:r>
          <w:rPr>
            <w:color w:val="467886"/>
            <w:u w:val="single" w:color="467886"/>
          </w:rPr>
          <w:t xml:space="preserve"> proti </w:t>
        </w:r>
      </w:hyperlink>
      <w:hyperlink r:id="rId138">
        <w:r>
          <w:rPr>
            <w:color w:val="467886"/>
            <w:u w:val="single" w:color="467886"/>
          </w:rPr>
          <w:t>ženám</w:t>
        </w:r>
      </w:hyperlink>
      <w:hyperlink r:id="rId139">
        <w:r>
          <w:rPr>
            <w:color w:val="467886"/>
            <w:u w:val="single" w:color="467886"/>
          </w:rPr>
          <w:t xml:space="preserve"> a dívkám</w:t>
        </w:r>
      </w:hyperlink>
      <w:hyperlink r:id="rId140">
        <w:r>
          <w:rPr>
            <w:color w:val="467886"/>
            <w:u w:val="single" w:color="467886"/>
          </w:rPr>
          <w:t xml:space="preserve">, </w:t>
        </w:r>
      </w:hyperlink>
      <w:hyperlink r:id="rId141">
        <w:r>
          <w:rPr>
            <w:color w:val="467886"/>
            <w:u w:val="single" w:color="467886"/>
          </w:rPr>
          <w:t>které se vyvíjejí</w:t>
        </w:r>
      </w:hyperlink>
      <w:hyperlink r:id="rId142">
        <w:r>
          <w:rPr>
            <w:color w:val="467886"/>
            <w:u w:val="single" w:color="467886"/>
          </w:rPr>
          <w:t xml:space="preserve"> v </w:t>
        </w:r>
      </w:hyperlink>
      <w:hyperlink r:id="rId143">
        <w:r>
          <w:rPr>
            <w:color w:val="467886"/>
            <w:u w:val="single" w:color="467886"/>
          </w:rPr>
          <w:t>rámci EU</w:t>
        </w:r>
      </w:hyperlink>
      <w:hyperlink r:id="rId144">
        <w:r>
          <w:t>.</w:t>
        </w:r>
      </w:hyperlink>
      <w:r>
        <w:t xml:space="preserve">  </w:t>
      </w:r>
    </w:p>
  </w:footnote>
  <w:footnote w:id="49">
    <w:p w14:paraId="61AB513A" w14:textId="77777777" w:rsidR="00A01CF9" w:rsidRDefault="00676706">
      <w:pPr>
        <w:pStyle w:val="footnotedescription"/>
        <w:spacing w:line="251" w:lineRule="auto"/>
        <w:ind w:right="0"/>
        <w:jc w:val="left"/>
      </w:pPr>
      <w:r>
        <w:rPr>
          <w:rStyle w:val="footnotemark"/>
        </w:rPr>
        <w:footnoteRef/>
      </w:r>
      <w:r>
        <w:t xml:space="preserve"> </w:t>
      </w:r>
      <w:hyperlink r:id="rId145"/>
      <w:hyperlink r:id="rId146"/>
      <w:hyperlink r:id="rId147">
        <w:r>
          <w:rPr>
            <w:color w:val="467886"/>
            <w:u w:val="single" w:color="467886"/>
          </w:rPr>
          <w:t xml:space="preserve"> </w:t>
        </w:r>
      </w:hyperlink>
      <w:hyperlink r:id="rId148">
        <w:r>
          <w:rPr>
            <w:color w:val="467886"/>
            <w:u w:val="single" w:color="467886"/>
          </w:rPr>
          <w:t>https://cdn.table.media/assets/wp-obsah</w:t>
        </w:r>
      </w:hyperlink>
      <w:hyperlink r:id="rId149">
        <w:r>
          <w:rPr>
            <w:color w:val="467886"/>
            <w:u w:val="single" w:color="467886"/>
          </w:rPr>
          <w:t>/uploads/2025/03/07145057/</w:t>
        </w:r>
      </w:hyperlink>
      <w:hyperlink r:id="rId150"/>
      <w:hyperlink r:id="rId151">
        <w:r>
          <w:rPr>
            <w:color w:val="467886"/>
            <w:u w:val="single" w:color="467886"/>
          </w:rPr>
          <w:t>Gender-Equality-Report-Chapeau</w:t>
        </w:r>
      </w:hyperlink>
      <w:hyperlink r:id="rId152"/>
      <w:hyperlink r:id="rId153"/>
      <w:hyperlink r:id="rId154"/>
      <w:hyperlink r:id="rId155">
        <w:r>
          <w:rPr>
            <w:color w:val="467886"/>
            <w:u w:val="single" w:color="467886"/>
          </w:rPr>
          <w:t xml:space="preserve"> Communication.pdf.</w:t>
        </w:r>
      </w:hyperlink>
      <w:hyperlink r:id="rId156"/>
      <w:r>
        <w:t xml:space="preserve">  </w:t>
      </w:r>
    </w:p>
  </w:footnote>
  <w:footnote w:id="50">
    <w:p w14:paraId="04580267" w14:textId="77777777" w:rsidR="00A01CF9" w:rsidRDefault="00676706">
      <w:pPr>
        <w:pStyle w:val="footnotedescription"/>
        <w:spacing w:line="251" w:lineRule="auto"/>
        <w:ind w:right="877"/>
      </w:pPr>
      <w:r>
        <w:rPr>
          <w:rStyle w:val="footnotemark"/>
        </w:rPr>
        <w:footnoteRef/>
      </w:r>
      <w:r>
        <w:t xml:space="preserve"> Mezi jiným to naváže na doporučení z roku 2023 týkající se inkluzivních a odolných volebních procesů, další relevantní pravidla a politiky EU (např. v oblasti práv obětí, násilí na ženách, rasismu a xenofobie a ochrany osobních údajů), stejně jako na probíhající mezinárodní iniciativy podporované EU </w:t>
      </w:r>
    </w:p>
  </w:footnote>
  <w:footnote w:id="51">
    <w:p w14:paraId="3F60E536" w14:textId="77777777" w:rsidR="00A01CF9" w:rsidRDefault="00676706">
      <w:pPr>
        <w:pStyle w:val="footnotedescription"/>
        <w:spacing w:line="247" w:lineRule="auto"/>
      </w:pPr>
      <w:r>
        <w:rPr>
          <w:rStyle w:val="footnotemark"/>
        </w:rPr>
        <w:footnoteRef/>
      </w:r>
      <w:r>
        <w:t xml:space="preserve"> Hlavní dezinformační narativy během volební kampaně směřovaly k polarizaci společnosti, podkopávání důvěry v demokracii a bránění evropské cestě země. Zaměřili se na tvrzení o politickém útlaku a korupci ze strany vlády, volebních podvodech, ztrátě suverenity a také na podněcování strachu z možných ozbrojených konfliktů (zpráva EDMO hub https://brodhub.eu/en/republic-of-moldova/report-the-observation-mission-of-the2025-parliamentary-elections-in-the-republic-of-moldova/ roku 2025 z parlamentních voleb v Moldavské republice – BROD).  </w:t>
      </w:r>
    </w:p>
  </w:footnote>
  <w:footnote w:id="52">
    <w:p w14:paraId="03462083" w14:textId="77777777" w:rsidR="00A01CF9" w:rsidRDefault="00676706">
      <w:pPr>
        <w:pStyle w:val="footnotedescription"/>
        <w:spacing w:line="249" w:lineRule="auto"/>
        <w:ind w:right="2507"/>
        <w:jc w:val="left"/>
      </w:pPr>
      <w:r>
        <w:rPr>
          <w:rStyle w:val="footnotemark"/>
        </w:rPr>
        <w:footnoteRef/>
      </w:r>
      <w:hyperlink r:id="rId157">
        <w:r>
          <w:t xml:space="preserve"> Viz zprávy od FACT (EDMO hub pokrývající MD): </w:t>
        </w:r>
      </w:hyperlink>
      <w:hyperlink r:id="rId158"/>
      <w:hyperlink r:id="rId159"/>
      <w:hyperlink r:id="rId160">
        <w:r>
          <w:t xml:space="preserve"> </w:t>
        </w:r>
      </w:hyperlink>
      <w:r>
        <w:t>https://fact-hub.eu/moldova/</w:t>
      </w:r>
      <w:hyperlink r:id="rId161">
        <w:r>
          <w:rPr>
            <w:color w:val="467886"/>
            <w:u w:val="single" w:color="467886"/>
          </w:rPr>
          <w:t xml:space="preserve"> </w:t>
        </w:r>
      </w:hyperlink>
      <w:hyperlink r:id="rId162">
        <w:r>
          <w:rPr>
            <w:color w:val="467886"/>
            <w:u w:val="single" w:color="467886"/>
          </w:rPr>
          <w:t xml:space="preserve">a BROD (EDMO hub pokrývající RO a BU): </w:t>
        </w:r>
      </w:hyperlink>
      <w:hyperlink r:id="rId163"/>
      <w:hyperlink r:id="rId164">
        <w:r>
          <w:rPr>
            <w:color w:val="467886"/>
            <w:u w:val="single" w:color="467886"/>
          </w:rPr>
          <w:t>https://brodhub.eu/en/republic-moldova</w:t>
        </w:r>
      </w:hyperlink>
      <w:hyperlink r:id="rId165"/>
      <w:hyperlink r:id="rId166">
        <w:r>
          <w:t>/.</w:t>
        </w:r>
      </w:hyperlink>
      <w:r>
        <w:t xml:space="preserve">  </w:t>
      </w:r>
    </w:p>
  </w:footnote>
  <w:footnote w:id="53">
    <w:p w14:paraId="3459F78A" w14:textId="77777777" w:rsidR="00A01CF9" w:rsidRDefault="00676706">
      <w:pPr>
        <w:pStyle w:val="footnotedescription"/>
        <w:spacing w:after="14" w:line="287" w:lineRule="auto"/>
        <w:ind w:right="0"/>
        <w:jc w:val="left"/>
      </w:pPr>
      <w:r>
        <w:rPr>
          <w:rStyle w:val="footnotemark"/>
        </w:rPr>
        <w:footnoteRef/>
      </w:r>
      <w:r>
        <w:t xml:space="preserve"> </w:t>
      </w:r>
      <w:hyperlink r:id="rId167"/>
      <w:hyperlink r:id="rId168"/>
      <w:hyperlink r:id="rId169"/>
      <w:hyperlink r:id="rId170"/>
      <w:hyperlink r:id="rId171"/>
      <w:hyperlink r:id="rId172">
        <w:r>
          <w:rPr>
            <w:color w:val="467886"/>
            <w:u w:val="single" w:color="467886"/>
          </w:rPr>
          <w:t xml:space="preserve"> https://digital-strategy.ec.europa.eu/en/news/new-evropsko-digitální-mediální-observatoř-hub-bojuje </w:t>
        </w:r>
      </w:hyperlink>
      <w:hyperlink r:id="rId173"/>
      <w:hyperlink r:id="rId174"/>
      <w:hyperlink r:id="rId175"/>
      <w:hyperlink r:id="rId176"/>
      <w:hyperlink r:id="rId177"/>
      <w:hyperlink r:id="rId178"/>
      <w:hyperlink r:id="rId179"/>
      <w:hyperlink r:id="rId180"/>
      <w:hyperlink r:id="rId181">
        <w:r>
          <w:rPr>
            <w:color w:val="467886"/>
            <w:u w:val="single" w:color="467886"/>
          </w:rPr>
          <w:t>proti</w:t>
        </w:r>
      </w:hyperlink>
      <w:hyperlink r:id="rId182"/>
      <w:hyperlink r:id="rId183">
        <w:r>
          <w:rPr>
            <w:color w:val="467886"/>
            <w:u w:val="single" w:color="467886"/>
          </w:rPr>
          <w:t xml:space="preserve"> dezinformacím-</w:t>
        </w:r>
        <w:proofErr w:type="spellStart"/>
        <w:r>
          <w:rPr>
            <w:color w:val="467886"/>
            <w:u w:val="single" w:color="467886"/>
          </w:rPr>
          <w:t>ukrajině</w:t>
        </w:r>
        <w:proofErr w:type="spellEnd"/>
        <w:r>
          <w:rPr>
            <w:color w:val="467886"/>
            <w:u w:val="single" w:color="467886"/>
          </w:rPr>
          <w:t xml:space="preserve"> </w:t>
        </w:r>
      </w:hyperlink>
      <w:hyperlink r:id="rId184"/>
      <w:hyperlink r:id="rId185"/>
      <w:hyperlink r:id="rId186"/>
      <w:hyperlink r:id="rId187"/>
      <w:hyperlink r:id="rId188">
        <w:r>
          <w:rPr>
            <w:color w:val="467886"/>
            <w:u w:val="single" w:color="467886"/>
          </w:rPr>
          <w:t xml:space="preserve">a </w:t>
        </w:r>
      </w:hyperlink>
      <w:hyperlink r:id="rId189">
        <w:r>
          <w:rPr>
            <w:color w:val="467886"/>
            <w:u w:val="single" w:color="467886"/>
          </w:rPr>
          <w:t>Moldavsku</w:t>
        </w:r>
      </w:hyperlink>
      <w:hyperlink r:id="rId190">
        <w:r>
          <w:t>.</w:t>
        </w:r>
      </w:hyperlink>
      <w:r>
        <w:t xml:space="preserve">  </w:t>
      </w:r>
    </w:p>
  </w:footnote>
  <w:footnote w:id="54">
    <w:p w14:paraId="7A7A3A94" w14:textId="77777777" w:rsidR="00A01CF9" w:rsidRDefault="00676706">
      <w:pPr>
        <w:pStyle w:val="footnotedescription"/>
        <w:spacing w:after="20" w:line="285" w:lineRule="auto"/>
        <w:ind w:right="868"/>
      </w:pPr>
      <w:r>
        <w:rPr>
          <w:rStyle w:val="footnotemark"/>
        </w:rPr>
        <w:footnoteRef/>
      </w:r>
      <w:hyperlink r:id="rId191"/>
      <w:hyperlink r:id="rId192">
        <w:r>
          <w:rPr>
            <w:color w:val="467886"/>
            <w:u w:val="single" w:color="467886"/>
          </w:rPr>
          <w:t xml:space="preserve"> Dne 11. června 2015, ve spolupráci s moldavským ministerstvem pro hospodářský rozvoj a digitalizaci, delegací Evropské unie v Moldavské republice a Evropskou partnerskou misí v Moldavsku, </w:t>
        </w:r>
      </w:hyperlink>
      <w:hyperlink r:id="rId193"/>
      <w:hyperlink r:id="rId194"/>
      <w:hyperlink r:id="rId195"/>
      <w:hyperlink r:id="rId196"/>
      <w:hyperlink r:id="rId197"/>
      <w:hyperlink r:id="rId198"/>
      <w:hyperlink r:id="rId199">
        <w:r>
          <w:rPr>
            <w:color w:val="467886"/>
            <w:u w:val="single" w:color="467886"/>
          </w:rPr>
          <w:t xml:space="preserve"> https://digital-strategy.ec.europa.eu/en/news/commission-služby-a-moldavské </w:t>
        </w:r>
      </w:hyperlink>
      <w:hyperlink r:id="rId200"/>
      <w:hyperlink r:id="rId201"/>
      <w:hyperlink r:id="rId202">
        <w:r>
          <w:rPr>
            <w:color w:val="467886"/>
            <w:u w:val="single" w:color="467886"/>
          </w:rPr>
          <w:t xml:space="preserve"> úřady-provádějí-</w:t>
        </w:r>
      </w:hyperlink>
      <w:hyperlink r:id="rId203"/>
      <w:hyperlink r:id="rId204"/>
      <w:hyperlink r:id="rId205"/>
      <w:hyperlink r:id="rId206"/>
      <w:hyperlink r:id="rId207"/>
      <w:hyperlink r:id="rId208"/>
      <w:hyperlink r:id="rId209">
        <w:r>
          <w:rPr>
            <w:color w:val="467886"/>
            <w:u w:val="single" w:color="467886"/>
          </w:rPr>
          <w:t xml:space="preserve"> test-potenciál-digitální-hybridní-hrozby</w:t>
        </w:r>
      </w:hyperlink>
      <w:hyperlink r:id="rId210"/>
      <w:hyperlink r:id="rId211"/>
      <w:hyperlink r:id="rId212"/>
      <w:hyperlink r:id="rId213"/>
      <w:hyperlink r:id="rId214">
        <w:r>
          <w:rPr>
            <w:color w:val="467886"/>
            <w:u w:val="single" w:color="467886"/>
          </w:rPr>
          <w:t>.</w:t>
        </w:r>
      </w:hyperlink>
      <w:hyperlink r:id="rId215"/>
      <w:hyperlink r:id="rId216"/>
      <w:r>
        <w:t xml:space="preserve">  </w:t>
      </w:r>
    </w:p>
  </w:footnote>
  <w:footnote w:id="55">
    <w:p w14:paraId="3E26419E" w14:textId="77777777" w:rsidR="00A01CF9" w:rsidRDefault="00676706">
      <w:pPr>
        <w:pStyle w:val="footnotedescription"/>
        <w:spacing w:line="259" w:lineRule="auto"/>
        <w:ind w:right="544"/>
      </w:pPr>
      <w:r>
        <w:rPr>
          <w:rStyle w:val="footnotemark"/>
        </w:rPr>
        <w:footnoteRef/>
      </w:r>
      <w:r>
        <w:t xml:space="preserve"> Navazujeme na úspěšnou iteraci dočasného mechanismu eskalace během moldavských voleb v roce 2024 a zkušenosti s Rychlou reakcí kodexu. </w:t>
      </w:r>
    </w:p>
  </w:footnote>
  <w:footnote w:id="56">
    <w:p w14:paraId="5CB01BFE" w14:textId="77777777" w:rsidR="00A01CF9" w:rsidRDefault="00676706">
      <w:pPr>
        <w:pStyle w:val="footnotedescription"/>
        <w:spacing w:line="242" w:lineRule="auto"/>
        <w:ind w:right="872"/>
      </w:pPr>
      <w:r>
        <w:rPr>
          <w:rStyle w:val="footnotemark"/>
        </w:rPr>
        <w:footnoteRef/>
      </w:r>
      <w:r>
        <w:t xml:space="preserve"> Respondenti otevřené veřejné konzultace vedené Komisí za účelem přípravy Evropského štítu demokracie označili za prioritu demokratické odolnosti s cílem zajistit pluralitu svobodných a nezávislých médií a bezpečné prostředí pro novináře. </w:t>
      </w:r>
    </w:p>
  </w:footnote>
  <w:footnote w:id="57">
    <w:p w14:paraId="6B2ED80E" w14:textId="77777777" w:rsidR="00A01CF9" w:rsidRDefault="00676706">
      <w:pPr>
        <w:pStyle w:val="footnotedescription"/>
        <w:spacing w:line="251" w:lineRule="auto"/>
        <w:ind w:right="876"/>
      </w:pPr>
      <w:r>
        <w:rPr>
          <w:rStyle w:val="footnotemark"/>
        </w:rPr>
        <w:footnoteRef/>
      </w:r>
      <w:r>
        <w:t xml:space="preserve"> Směrnice (EU) 2024/1069 Evropského parlamentu a Rady ze dne 11. dubna 2024 o ochraně osob, které se účastní veřejnosti, před zjevně neopodstatněnými nároky nebo zneužívajícími soudními řízeními, OJ L, 2024/1069, 16.4.2024. </w:t>
      </w:r>
    </w:p>
  </w:footnote>
  <w:footnote w:id="58">
    <w:p w14:paraId="7F2389CB" w14:textId="77777777" w:rsidR="00A01CF9" w:rsidRDefault="00676706">
      <w:pPr>
        <w:pStyle w:val="footnotedescription"/>
        <w:spacing w:line="245" w:lineRule="auto"/>
      </w:pPr>
      <w:r>
        <w:rPr>
          <w:rStyle w:val="footnotemark"/>
        </w:rPr>
        <w:footnoteRef/>
      </w:r>
      <w:r>
        <w:t xml:space="preserve"> Podle průzkumu Social Media Survey 2025 je pro mládež ve věku od 15 do 24 let nejpoužívanějším zdrojem obsahu o aktuálním dění na sociálních a politických tématech sociální sítě (65 %). Zdroj: https://europa.eu/eurobarometer/surveys/detail/3592. </w:t>
      </w:r>
    </w:p>
  </w:footnote>
  <w:footnote w:id="59">
    <w:p w14:paraId="116A2291" w14:textId="77777777" w:rsidR="00A01CF9" w:rsidRDefault="00676706">
      <w:pPr>
        <w:pStyle w:val="footnotedescription"/>
        <w:spacing w:line="241" w:lineRule="auto"/>
        <w:ind w:right="868"/>
      </w:pPr>
      <w:r>
        <w:rPr>
          <w:rStyle w:val="footnotemark"/>
        </w:rPr>
        <w:footnoteRef/>
      </w:r>
      <w:r>
        <w:t xml:space="preserve"> Evropský pohled mediálního průmyslu. Viz: </w:t>
      </w:r>
      <w:hyperlink r:id="rId217"/>
      <w:hyperlink r:id="rId218"/>
      <w:hyperlink r:id="rId219"/>
      <w:hyperlink r:id="rId220"/>
      <w:hyperlink r:id="rId221"/>
      <w:hyperlink r:id="rId222"/>
      <w:hyperlink r:id="rId223">
        <w:r>
          <w:rPr>
            <w:color w:val="467886"/>
            <w:u w:val="single" w:color="467886"/>
          </w:rPr>
          <w:t>https://digital-strategy.ec.europa.eu/en/library/2025-evropský</w:t>
        </w:r>
      </w:hyperlink>
      <w:hyperlink r:id="rId224"/>
      <w:hyperlink r:id="rId225">
        <w:r>
          <w:rPr>
            <w:color w:val="467886"/>
            <w:u w:val="single" w:color="467886"/>
          </w:rPr>
          <w:t xml:space="preserve"> </w:t>
        </w:r>
      </w:hyperlink>
      <w:hyperlink r:id="rId226">
        <w:r>
          <w:rPr>
            <w:color w:val="467886"/>
            <w:u w:val="single" w:color="467886"/>
          </w:rPr>
          <w:t xml:space="preserve">mediální </w:t>
        </w:r>
      </w:hyperlink>
      <w:hyperlink r:id="rId227">
        <w:r>
          <w:rPr>
            <w:color w:val="467886"/>
            <w:u w:val="single" w:color="467886"/>
          </w:rPr>
          <w:t>průmysl-výhled-report.</w:t>
        </w:r>
      </w:hyperlink>
      <w:hyperlink r:id="rId228"/>
      <w:hyperlink r:id="rId229"/>
      <w:hyperlink r:id="rId230"/>
      <w:r>
        <w:t xml:space="preserve"> Zpráva Reuters Institute Digital News Report 2024 ukazuje, že 57 % uživatelů TikToku a 53 % uživatelů Instagramu uvádí, že hlavním zdrojem zpráv jsou influenceři, což je před novináři a tištěnými médii (41 % a 34 %). </w:t>
      </w:r>
    </w:p>
  </w:footnote>
  <w:footnote w:id="60">
    <w:p w14:paraId="2FBCC4DB" w14:textId="77777777" w:rsidR="00A01CF9" w:rsidRDefault="00676706">
      <w:pPr>
        <w:pStyle w:val="footnotedescription"/>
        <w:spacing w:line="259" w:lineRule="auto"/>
        <w:ind w:right="0"/>
        <w:jc w:val="left"/>
      </w:pPr>
      <w:r>
        <w:rPr>
          <w:rStyle w:val="footnotemark"/>
        </w:rPr>
        <w:footnoteRef/>
      </w:r>
      <w:r>
        <w:t xml:space="preserve"> Vložte nejnovější statistiky tržního podílu Eurostatu. </w:t>
      </w:r>
    </w:p>
  </w:footnote>
  <w:footnote w:id="61">
    <w:p w14:paraId="77D8D787" w14:textId="77777777" w:rsidR="00A01CF9" w:rsidRDefault="00676706">
      <w:pPr>
        <w:pStyle w:val="footnotedescription"/>
        <w:spacing w:line="259" w:lineRule="auto"/>
        <w:ind w:right="0"/>
        <w:jc w:val="left"/>
      </w:pPr>
      <w:r>
        <w:rPr>
          <w:rStyle w:val="footnotemark"/>
        </w:rPr>
        <w:footnoteRef/>
      </w:r>
      <w:r>
        <w:t xml:space="preserve"> </w:t>
      </w:r>
      <w:hyperlink r:id="rId231"/>
      <w:hyperlink r:id="rId232"/>
      <w:hyperlink r:id="rId233"/>
      <w:hyperlink r:id="rId234">
        <w:r>
          <w:rPr>
            <w:color w:val="467886"/>
            <w:u w:val="single" w:color="467886"/>
          </w:rPr>
          <w:t>https://cmpf.eui.eu/local-média</w:t>
        </w:r>
      </w:hyperlink>
      <w:hyperlink r:id="rId235"/>
      <w:hyperlink r:id="rId236">
        <w:r>
          <w:rPr>
            <w:color w:val="467886"/>
            <w:u w:val="single" w:color="467886"/>
          </w:rPr>
          <w:t xml:space="preserve"> </w:t>
        </w:r>
      </w:hyperlink>
      <w:hyperlink r:id="rId237">
        <w:r>
          <w:rPr>
            <w:color w:val="467886"/>
            <w:u w:val="single" w:color="467886"/>
          </w:rPr>
          <w:t xml:space="preserve">pro </w:t>
        </w:r>
      </w:hyperlink>
      <w:hyperlink r:id="rId238">
        <w:r>
          <w:rPr>
            <w:color w:val="467886"/>
            <w:u w:val="single" w:color="467886"/>
          </w:rPr>
          <w:t>demokracii-výzkumné</w:t>
        </w:r>
      </w:hyperlink>
      <w:hyperlink r:id="rId239"/>
      <w:hyperlink r:id="rId240">
        <w:r>
          <w:rPr>
            <w:color w:val="467886"/>
            <w:u w:val="single" w:color="467886"/>
          </w:rPr>
          <w:t xml:space="preserve"> </w:t>
        </w:r>
      </w:hyperlink>
      <w:hyperlink r:id="rId241">
        <w:r>
          <w:rPr>
            <w:color w:val="467886"/>
            <w:u w:val="single" w:color="467886"/>
          </w:rPr>
          <w:t>výsledky/</w:t>
        </w:r>
      </w:hyperlink>
      <w:hyperlink r:id="rId242">
        <w:r>
          <w:t>.</w:t>
        </w:r>
      </w:hyperlink>
      <w:r>
        <w:t xml:space="preserve">  </w:t>
      </w:r>
    </w:p>
  </w:footnote>
  <w:footnote w:id="62">
    <w:p w14:paraId="54D14B4E" w14:textId="77777777" w:rsidR="00A01CF9" w:rsidRDefault="00676706">
      <w:pPr>
        <w:pStyle w:val="footnotedescription"/>
        <w:spacing w:line="248" w:lineRule="auto"/>
      </w:pPr>
      <w:r>
        <w:rPr>
          <w:rStyle w:val="footnotemark"/>
        </w:rPr>
        <w:footnoteRef/>
      </w:r>
      <w:r>
        <w:t xml:space="preserve"> Ve své zprávě o právním státě z roku 2025 Komise zjistila, že se stále více pozornosti věnuje bezpečnosti a ochraně novinářů navzdory pokračujícím hrozbám, přičemž členské státy zakládají nebo nadále provozují podpůrné struktury či posilují právní ochranu novinářů. </w:t>
      </w:r>
      <w:hyperlink r:id="rId243">
        <w:r>
          <w:rPr>
            <w:color w:val="467886"/>
            <w:u w:val="single" w:color="467886"/>
          </w:rPr>
          <w:t>https://commission.europa.eu/publications/2025</w:t>
        </w:r>
      </w:hyperlink>
      <w:hyperlink r:id="rId244"/>
      <w:hyperlink r:id="rId245"/>
      <w:hyperlink r:id="rId246">
        <w:r>
          <w:rPr>
            <w:color w:val="467886"/>
            <w:u w:val="single" w:color="467886"/>
          </w:rPr>
          <w:t xml:space="preserve"> </w:t>
        </w:r>
      </w:hyperlink>
      <w:hyperlink r:id="rId247">
        <w:r>
          <w:rPr>
            <w:color w:val="467886"/>
            <w:u w:val="single" w:color="467886"/>
          </w:rPr>
          <w:t>pravidlo-právo-zpráva-komunikace-a-země-</w:t>
        </w:r>
        <w:proofErr w:type="spellStart"/>
        <w:r>
          <w:rPr>
            <w:color w:val="467886"/>
            <w:u w:val="single" w:color="467886"/>
          </w:rPr>
          <w:t>chapters_en</w:t>
        </w:r>
        <w:proofErr w:type="spellEnd"/>
      </w:hyperlink>
      <w:hyperlink r:id="rId248"/>
      <w:hyperlink r:id="rId249"/>
      <w:hyperlink r:id="rId250"/>
      <w:hyperlink r:id="rId251"/>
      <w:hyperlink r:id="rId252"/>
      <w:hyperlink r:id="rId253"/>
      <w:hyperlink r:id="rId254"/>
      <w:hyperlink r:id="rId255"/>
      <w:hyperlink r:id="rId256"/>
      <w:hyperlink r:id="rId257"/>
      <w:hyperlink r:id="rId258">
        <w:r>
          <w:t xml:space="preserve"> </w:t>
        </w:r>
      </w:hyperlink>
      <w:r>
        <w:t xml:space="preserve"> </w:t>
      </w:r>
    </w:p>
  </w:footnote>
  <w:footnote w:id="63">
    <w:p w14:paraId="7C42D383" w14:textId="77777777" w:rsidR="00A01CF9" w:rsidRDefault="00676706">
      <w:pPr>
        <w:pStyle w:val="footnotedescription"/>
        <w:spacing w:line="251" w:lineRule="auto"/>
        <w:ind w:right="871"/>
      </w:pPr>
      <w:r>
        <w:rPr>
          <w:rStyle w:val="footnotemark"/>
        </w:rPr>
        <w:footnoteRef/>
      </w:r>
      <w:r>
        <w:t xml:space="preserve"> Pokyny k hodnocení horizontálních fúzí podle nařízení Rady o kontrole koncentrací mezi podniky, 2004/C 31/03 a Pokyny k hodnocení nehorizontálních fúzí podle nařízení Rady o kontrole koncentrací mezi podniky, 2008/C 265/07. </w:t>
      </w:r>
    </w:p>
  </w:footnote>
  <w:footnote w:id="64">
    <w:p w14:paraId="2AB9432D" w14:textId="77777777" w:rsidR="00A01CF9" w:rsidRDefault="00676706">
      <w:pPr>
        <w:pStyle w:val="footnotedescription"/>
        <w:spacing w:line="256" w:lineRule="auto"/>
        <w:ind w:right="534"/>
      </w:pPr>
      <w:r>
        <w:rPr>
          <w:rStyle w:val="footnotemark"/>
        </w:rPr>
        <w:footnoteRef/>
      </w:r>
      <w:r>
        <w:t xml:space="preserve"> Nařízení (EU) 2022/1925 Evropského parlamentu a Rady ze dne 14. září 2022 o sporných a spravedlivých trzích v digitálním sektoru, OJ L 265, 12.10.2022, s. 1–66. </w:t>
      </w:r>
    </w:p>
  </w:footnote>
  <w:footnote w:id="65">
    <w:p w14:paraId="2052CF1F" w14:textId="77777777" w:rsidR="00A01CF9" w:rsidRDefault="00676706">
      <w:pPr>
        <w:pStyle w:val="footnotedescription"/>
        <w:spacing w:line="247" w:lineRule="auto"/>
        <w:ind w:right="879"/>
      </w:pPr>
      <w:r>
        <w:rPr>
          <w:rStyle w:val="footnotemark"/>
        </w:rPr>
        <w:footnoteRef/>
      </w:r>
      <w:r>
        <w:t xml:space="preserve"> Směrnice (EU) 2018/1808 Evropského parlamentu a Rady ze dne 14. listopadu 2018 o změně směrnice 2010/13/EU o koordinaci určitých ustanovení zákonů, nařízení nebo správních opatření členských států týkajících se poskytování audiovizuálních mediálních služeb (směrnice o audiovizuálních mediálních službách) s ohledem na měnící se tržní realitu, </w:t>
      </w:r>
      <w:r>
        <w:rPr>
          <w:i/>
        </w:rPr>
        <w:t xml:space="preserve">OJ L 303,  28.11.2018, s. 69–92. </w:t>
      </w:r>
    </w:p>
  </w:footnote>
  <w:footnote w:id="66">
    <w:p w14:paraId="23E08D76" w14:textId="77777777" w:rsidR="00A01CF9" w:rsidRDefault="00676706">
      <w:pPr>
        <w:pStyle w:val="footnotedescription"/>
        <w:spacing w:line="253" w:lineRule="auto"/>
        <w:ind w:right="872"/>
      </w:pPr>
      <w:r>
        <w:rPr>
          <w:rStyle w:val="footnotemark"/>
        </w:rPr>
        <w:footnoteRef/>
      </w:r>
      <w:r>
        <w:t xml:space="preserve"> Při přezkumu pravidel pro audiovizuální média se Komise zaměří na způsoby, jak zajistit spravedlivější mediální ekosystém, kde jsou diváci – zejména mladší – dostatečně chráněni při konzumaci audiovizuálního obsahu online, včetně obsahu zpřístupněného influencery. </w:t>
      </w:r>
    </w:p>
  </w:footnote>
  <w:footnote w:id="67">
    <w:p w14:paraId="789FC05B" w14:textId="77777777" w:rsidR="00A01CF9" w:rsidRDefault="00676706">
      <w:pPr>
        <w:pStyle w:val="footnotedescription"/>
        <w:spacing w:line="251" w:lineRule="auto"/>
        <w:ind w:right="870"/>
      </w:pPr>
      <w:r>
        <w:rPr>
          <w:rStyle w:val="footnotemark"/>
        </w:rPr>
        <w:footnoteRef/>
      </w:r>
      <w:r>
        <w:t xml:space="preserve"> Evropská komise, Komunikace o aplikaci pravidel státní pomoci na veřejnoprávní vysílání, 2009/C 257/01, o které Komise zahájila veřejnou konzultaci v říjnu 2025 s cílem získat podněty od veřejných orgánů, podniků a občanů. </w:t>
      </w:r>
    </w:p>
  </w:footnote>
  <w:footnote w:id="68">
    <w:p w14:paraId="23A350C1" w14:textId="77777777" w:rsidR="00A01CF9" w:rsidRDefault="00676706">
      <w:pPr>
        <w:pStyle w:val="footnotedescription"/>
        <w:spacing w:line="249" w:lineRule="auto"/>
        <w:ind w:right="887"/>
      </w:pPr>
      <w:r>
        <w:rPr>
          <w:rStyle w:val="footnotemark"/>
        </w:rPr>
        <w:footnoteRef/>
      </w:r>
      <w:r>
        <w:t xml:space="preserve"> Směrnice (EU) 2019/790 Evropského parlamentu a Rady ze dne 17. dubna 2019 o autorských právech a souvisejících právech na digitálním jednotném trhu, OJ L 130, 17.5.2019, s. 92–125. </w:t>
      </w:r>
      <w:r>
        <w:rPr>
          <w:vertAlign w:val="superscript"/>
        </w:rPr>
        <w:t>75</w:t>
      </w:r>
      <w:r>
        <w:t xml:space="preserve"> Zejména navrhovaný program AgoraEU. </w:t>
      </w:r>
    </w:p>
  </w:footnote>
  <w:footnote w:id="69">
    <w:p w14:paraId="4B5DD2F4" w14:textId="77777777" w:rsidR="00A01CF9" w:rsidRDefault="00676706">
      <w:pPr>
        <w:pStyle w:val="footnotedescription"/>
        <w:spacing w:line="256" w:lineRule="auto"/>
        <w:ind w:right="874"/>
      </w:pPr>
      <w:r>
        <w:rPr>
          <w:rStyle w:val="footnotemark"/>
        </w:rPr>
        <w:footnoteRef/>
      </w:r>
      <w:r>
        <w:t xml:space="preserve"> Komise také podporuje nezávislou místní žurnalistiku a přispívá ke vzdělávání začínajících novinářů prostřednictvím opatření zaměřených na konkrétní témata, například v rámci politiky soudržnosti EU. Jeho lokálně orientovaná informační opatření a aktivity na budování kapacit pomáhají řešit tzv. "zpravodajské pouště". </w:t>
      </w:r>
    </w:p>
  </w:footnote>
  <w:footnote w:id="70">
    <w:p w14:paraId="6972C87C" w14:textId="77777777" w:rsidR="00A01CF9" w:rsidRDefault="00676706">
      <w:pPr>
        <w:pStyle w:val="footnotedescription"/>
        <w:spacing w:after="1" w:line="259" w:lineRule="auto"/>
        <w:ind w:right="0"/>
        <w:jc w:val="left"/>
      </w:pPr>
      <w:r>
        <w:rPr>
          <w:rStyle w:val="footnotemark"/>
        </w:rPr>
        <w:footnoteRef/>
      </w:r>
      <w:r>
        <w:t xml:space="preserve"> AI strategie COM(2025) 723 finální.  </w:t>
      </w:r>
    </w:p>
  </w:footnote>
  <w:footnote w:id="71">
    <w:p w14:paraId="738221D3" w14:textId="77777777" w:rsidR="00A01CF9" w:rsidRDefault="00676706">
      <w:pPr>
        <w:pStyle w:val="footnotedescription"/>
        <w:tabs>
          <w:tab w:val="center" w:pos="939"/>
          <w:tab w:val="center" w:pos="1658"/>
          <w:tab w:val="center" w:pos="2739"/>
          <w:tab w:val="center" w:pos="3630"/>
          <w:tab w:val="center" w:pos="4298"/>
          <w:tab w:val="center" w:pos="5091"/>
          <w:tab w:val="center" w:pos="5953"/>
          <w:tab w:val="center" w:pos="6695"/>
          <w:tab w:val="center" w:pos="7519"/>
          <w:tab w:val="center" w:pos="8321"/>
          <w:tab w:val="center" w:pos="9332"/>
        </w:tabs>
        <w:spacing w:line="259" w:lineRule="auto"/>
        <w:ind w:left="0" w:right="0"/>
        <w:jc w:val="left"/>
      </w:pPr>
      <w:r>
        <w:rPr>
          <w:rStyle w:val="footnotemark"/>
        </w:rPr>
        <w:footnoteRef/>
      </w:r>
      <w:r>
        <w:tab/>
        <w:t xml:space="preserve">Akce </w:t>
      </w:r>
      <w:r>
        <w:tab/>
        <w:t xml:space="preserve">Vedlejší role </w:t>
      </w:r>
      <w:r>
        <w:tab/>
        <w:t xml:space="preserve">the </w:t>
      </w:r>
      <w:r>
        <w:tab/>
        <w:t xml:space="preserve">Zprávy </w:t>
      </w:r>
      <w:r>
        <w:tab/>
        <w:t xml:space="preserve">Média </w:t>
      </w:r>
      <w:r>
        <w:tab/>
        <w:t xml:space="preserve">Sektory </w:t>
      </w:r>
      <w:r>
        <w:tab/>
        <w:t xml:space="preserve">jsou </w:t>
      </w:r>
      <w:r>
        <w:tab/>
        <w:t xml:space="preserve">Dostupné </w:t>
      </w:r>
      <w:r>
        <w:tab/>
        <w:t xml:space="preserve">Na AT: </w:t>
      </w:r>
      <w:r>
        <w:tab/>
        <w:t>https://digital-</w:t>
      </w:r>
    </w:p>
    <w:p w14:paraId="62588141" w14:textId="77777777" w:rsidR="00A01CF9" w:rsidRDefault="00676706">
      <w:pPr>
        <w:pStyle w:val="footnotedescription"/>
        <w:spacing w:after="39" w:line="240" w:lineRule="auto"/>
        <w:ind w:right="583"/>
      </w:pPr>
      <w:r>
        <w:t xml:space="preserve">strategy.ec.europa.eu/en/policies/news-initiative. Významné iniciativy spolupráce byly také zahájeny z iniciativy členských států. Novými příklady takových přeshraničních iniciativ jsou ARTE+ a </w:t>
      </w:r>
    </w:p>
    <w:p w14:paraId="78638023" w14:textId="77777777" w:rsidR="00A01CF9" w:rsidRDefault="00676706">
      <w:pPr>
        <w:pStyle w:val="footnotedescription"/>
        <w:spacing w:line="259" w:lineRule="auto"/>
        <w:ind w:right="0"/>
        <w:jc w:val="left"/>
      </w:pPr>
      <w:r>
        <w:t xml:space="preserve">projekt "informační štít" zahájený Deutsche Welle a France Médias Monde. </w:t>
      </w:r>
    </w:p>
  </w:footnote>
  <w:footnote w:id="72">
    <w:p w14:paraId="1C37C3A4" w14:textId="77777777" w:rsidR="00A01CF9" w:rsidRDefault="00676706">
      <w:pPr>
        <w:pStyle w:val="footnotedescription"/>
        <w:spacing w:line="244" w:lineRule="auto"/>
        <w:ind w:right="870"/>
      </w:pPr>
      <w:r>
        <w:rPr>
          <w:rStyle w:val="footnotemark"/>
        </w:rPr>
        <w:footnoteRef/>
      </w:r>
      <w:r>
        <w:t xml:space="preserve"> Podpora nezávislých a pluralitních médií, přístup k informacím a boj proti dezinformacím, stejně jako bezpečnost novinářů a mediálních pracovníků online i offline, jsou klíčovými prioritami v rámci akčního plánu EU pro lidská práva a demokracii, a zahrnují akce jako mechanismus obránců lidských práv EU: ProtectDefenders.eu a podporu EU pro Evropský fond pro demokracii (EED), který podporuje aktéry demokracie,  včetně nezávislých mediálních platforem a novinářů. </w:t>
      </w:r>
      <w:hyperlink r:id="rId259">
        <w:r>
          <w:rPr>
            <w:color w:val="467886"/>
            <w:u w:val="single" w:color="467886"/>
          </w:rPr>
          <w:t>https://democracyendowment.eu/</w:t>
        </w:r>
      </w:hyperlink>
      <w:hyperlink r:id="rId260">
        <w:r>
          <w:t>.</w:t>
        </w:r>
      </w:hyperlink>
      <w:r>
        <w:t xml:space="preserve">  </w:t>
      </w:r>
    </w:p>
  </w:footnote>
  <w:footnote w:id="73">
    <w:p w14:paraId="2259270C" w14:textId="77777777" w:rsidR="00A01CF9" w:rsidRDefault="00676706">
      <w:pPr>
        <w:pStyle w:val="footnotedescription"/>
        <w:spacing w:line="255" w:lineRule="auto"/>
        <w:ind w:right="0"/>
      </w:pPr>
      <w:r>
        <w:rPr>
          <w:rStyle w:val="footnotemark"/>
        </w:rPr>
        <w:footnoteRef/>
      </w:r>
      <w:r>
        <w:t xml:space="preserve"> Doporučení Komise (EU) 2021/1534 ze dne 16. září 2021 o zajištění ochrany, bezpečnosti a posílení postavení novinářů a dalších mediálních profesionálů v Evropské unii, C/2021/6650.  </w:t>
      </w:r>
    </w:p>
  </w:footnote>
  <w:footnote w:id="74">
    <w:p w14:paraId="513BC13D" w14:textId="77777777" w:rsidR="00A01CF9" w:rsidRDefault="00676706">
      <w:pPr>
        <w:pStyle w:val="footnotedescription"/>
        <w:spacing w:line="245" w:lineRule="auto"/>
        <w:ind w:right="871"/>
      </w:pPr>
      <w:r>
        <w:rPr>
          <w:rStyle w:val="footnotemark"/>
        </w:rPr>
        <w:footnoteRef/>
      </w:r>
      <w:r>
        <w:t xml:space="preserve"> Komise také obnoví mandát a složení expertní skupiny proti SLAPP, aby podporovala oběti a přezkoumala pravidla mezinárodního soukromého práva EU, aby posoudila možnou potřebu zahrnout aspekty relevantní pro SLAPP. </w:t>
      </w:r>
    </w:p>
  </w:footnote>
  <w:footnote w:id="75">
    <w:p w14:paraId="7C711EBE" w14:textId="77777777" w:rsidR="00A01CF9" w:rsidRDefault="00676706">
      <w:pPr>
        <w:pStyle w:val="footnotedescription"/>
        <w:spacing w:line="259" w:lineRule="auto"/>
        <w:ind w:right="0"/>
        <w:jc w:val="left"/>
      </w:pPr>
      <w:r>
        <w:rPr>
          <w:rStyle w:val="footnotemark"/>
        </w:rPr>
        <w:footnoteRef/>
      </w:r>
      <w:r>
        <w:t xml:space="preserve"> Například DSA, nařízení o politické reklamě nebo zákon o umělé inteligenci. </w:t>
      </w:r>
    </w:p>
  </w:footnote>
  <w:footnote w:id="76">
    <w:p w14:paraId="1AB55A35" w14:textId="77777777" w:rsidR="00A01CF9" w:rsidRDefault="00676706">
      <w:pPr>
        <w:pStyle w:val="footnotedescription"/>
        <w:spacing w:line="245" w:lineRule="auto"/>
        <w:ind w:right="345"/>
      </w:pPr>
      <w:r>
        <w:rPr>
          <w:rStyle w:val="footnotemark"/>
        </w:rPr>
        <w:footnoteRef/>
      </w:r>
      <w:r>
        <w:t xml:space="preserve"> Viz například projekty financované z programu Creative Europe, jako je Media Freedom Rapid Response. </w:t>
      </w:r>
    </w:p>
  </w:footnote>
  <w:footnote w:id="77">
    <w:p w14:paraId="3A526E68" w14:textId="77777777" w:rsidR="00A01CF9" w:rsidRDefault="00676706">
      <w:pPr>
        <w:pStyle w:val="footnotedescription"/>
        <w:spacing w:line="245" w:lineRule="auto"/>
        <w:ind w:right="869"/>
      </w:pPr>
      <w:r>
        <w:rPr>
          <w:rStyle w:val="footnotemark"/>
        </w:rPr>
        <w:footnoteRef/>
      </w:r>
      <w:r>
        <w:t xml:space="preserve"> Základní podpora EU nezávislým médiím, poskytovaná prostřednictvím Evropského fondu pro demokracii, dosáhla pouze v Rusku prostřednictvím sociálních sítí publikum nejméně 36 milionů lidí. Od roku 2022 zvýšily publika podporovaná EU své publikum alespoň o 15 až 20 %. </w:t>
      </w:r>
    </w:p>
  </w:footnote>
  <w:footnote w:id="78">
    <w:p w14:paraId="07626CBE" w14:textId="77777777" w:rsidR="00A01CF9" w:rsidRDefault="00676706">
      <w:pPr>
        <w:pStyle w:val="footnotedescription"/>
        <w:spacing w:line="247" w:lineRule="auto"/>
        <w:ind w:right="879"/>
      </w:pPr>
      <w:r>
        <w:rPr>
          <w:rStyle w:val="footnotemark"/>
        </w:rPr>
        <w:footnoteRef/>
      </w:r>
      <w:r>
        <w:t xml:space="preserve"> Evropská komise: Generální ředitelství pro vzdělávání, mládež, sport a kulturu, Pokyny pro učitele a pedagogy pro boj proti dezinformacím a podporu digitální gramotnosti prostřednictvím vzdělávání a školení, Úřad pro publikace Evropské unie, 2022, </w:t>
      </w:r>
      <w:hyperlink r:id="rId261">
        <w:r>
          <w:rPr>
            <w:color w:val="467886"/>
            <w:u w:val="single" w:color="467886"/>
          </w:rPr>
          <w:t>https://data.europa.eu/doi/10.2766/28248</w:t>
        </w:r>
      </w:hyperlink>
      <w:hyperlink r:id="rId262">
        <w:r>
          <w:t>.</w:t>
        </w:r>
      </w:hyperlink>
      <w:r>
        <w:t xml:space="preserve">  </w:t>
      </w:r>
    </w:p>
  </w:footnote>
  <w:footnote w:id="79">
    <w:p w14:paraId="65F26A25" w14:textId="77777777" w:rsidR="00A01CF9" w:rsidRDefault="00676706">
      <w:pPr>
        <w:pStyle w:val="footnotedescription"/>
        <w:spacing w:line="259" w:lineRule="auto"/>
        <w:ind w:right="0"/>
        <w:jc w:val="left"/>
      </w:pPr>
      <w:r>
        <w:rPr>
          <w:rStyle w:val="footnotemark"/>
        </w:rPr>
        <w:footnoteRef/>
      </w:r>
      <w:r>
        <w:t xml:space="preserve"> Včetně možného diferencovaného cílení chlapců a dívek. </w:t>
      </w:r>
    </w:p>
  </w:footnote>
  <w:footnote w:id="80">
    <w:p w14:paraId="1FDF0554" w14:textId="77777777" w:rsidR="00A01CF9" w:rsidRDefault="00676706">
      <w:pPr>
        <w:pStyle w:val="footnotedescription"/>
        <w:spacing w:line="246" w:lineRule="auto"/>
        <w:ind w:right="874"/>
      </w:pPr>
      <w:r>
        <w:rPr>
          <w:rStyle w:val="footnotemark"/>
        </w:rPr>
        <w:footnoteRef/>
      </w:r>
      <w:r>
        <w:t xml:space="preserve"> S ohledem mimo jiné na práva občanství EU, jak jsou vysvětlena v Průvodci občanství: </w:t>
      </w:r>
      <w:hyperlink r:id="rId263"/>
      <w:hyperlink r:id="rId264"/>
      <w:hyperlink r:id="rId265">
        <w:r>
          <w:rPr>
            <w:color w:val="467886"/>
            <w:u w:val="single" w:color="467886"/>
          </w:rPr>
          <w:t>https://commission.europa.eu/publications/guide-eu-citizenship_en</w:t>
        </w:r>
      </w:hyperlink>
      <w:hyperlink r:id="rId266"/>
      <w:hyperlink r:id="rId267">
        <w:r>
          <w:rPr>
            <w:color w:val="467886"/>
            <w:u w:val="single" w:color="467886"/>
          </w:rPr>
          <w:t xml:space="preserve"> </w:t>
        </w:r>
      </w:hyperlink>
      <w:hyperlink r:id="rId268">
        <w:r>
          <w:t xml:space="preserve"> </w:t>
        </w:r>
      </w:hyperlink>
      <w:r>
        <w:t xml:space="preserve">a připravovaném příručce EU pro občany o demokracii. </w:t>
      </w:r>
    </w:p>
  </w:footnote>
  <w:footnote w:id="81">
    <w:p w14:paraId="49DC32F8" w14:textId="77777777" w:rsidR="00A01CF9" w:rsidRDefault="00676706">
      <w:pPr>
        <w:pStyle w:val="footnotedescription"/>
        <w:spacing w:line="244" w:lineRule="auto"/>
        <w:ind w:right="868"/>
      </w:pPr>
      <w:r>
        <w:rPr>
          <w:rStyle w:val="footnotemark"/>
        </w:rPr>
        <w:footnoteRef/>
      </w:r>
      <w:r>
        <w:t xml:space="preserve"> Součástí jeho hodnocení a přezkumu budou také kroky ke zlepšení mechanismu AVMSD v oblasti mediální gramotnosti.  </w:t>
      </w:r>
      <w:r>
        <w:rPr>
          <w:vertAlign w:val="superscript"/>
        </w:rPr>
        <w:t>89</w:t>
      </w:r>
      <w:r>
        <w:t xml:space="preserve">,  které jsou zvláště vystaveny FIMI a dezinformacím díky své blízkosti k Rusku a Bělorusku.  </w:t>
      </w:r>
      <w:r>
        <w:rPr>
          <w:vertAlign w:val="superscript"/>
        </w:rPr>
        <w:t xml:space="preserve">90 </w:t>
      </w:r>
      <w:r>
        <w:t xml:space="preserve">Druhé by mohlo vycházet ze stávajících ukazatelů, jako je Index mediálního pluralismu, který obsahuje podindikátor úrovně mediální gramotnosti. </w:t>
      </w:r>
    </w:p>
  </w:footnote>
  <w:footnote w:id="82">
    <w:p w14:paraId="1F9C2A90" w14:textId="77777777" w:rsidR="00A01CF9" w:rsidRDefault="00676706">
      <w:pPr>
        <w:pStyle w:val="footnotedescription"/>
        <w:spacing w:after="2" w:line="242" w:lineRule="auto"/>
        <w:ind w:right="868"/>
      </w:pPr>
      <w:r>
        <w:rPr>
          <w:rStyle w:val="footnotemark"/>
        </w:rPr>
        <w:footnoteRef/>
      </w:r>
      <w:r>
        <w:t xml:space="preserve"> Strategie EU pro připravenost vyzývá k posílení práce na digitální a mediální gramotnosti, včetně v kontextu Evropského štítu demokracie a Cestovní mapy 2030 pro budoucnost digitálního vzdělávání a dovedností, aby se od raného věku zlepšilo kritické myšlení a budovala odolnost vůči dezinformacím a kybernetickým hrozbám. Několik členských států má národní programy k dosažení těchto cílů. Například LU přijala v roce 2021 národní akční plán pro digitální inkluzi a MT má strategii digitálního vzdělávání na období 2025–2030. </w:t>
      </w:r>
    </w:p>
  </w:footnote>
  <w:footnote w:id="83">
    <w:p w14:paraId="4519A151" w14:textId="77777777" w:rsidR="00A01CF9" w:rsidRDefault="00676706">
      <w:pPr>
        <w:pStyle w:val="footnotedescription"/>
        <w:spacing w:line="259" w:lineRule="auto"/>
        <w:ind w:right="0"/>
        <w:jc w:val="left"/>
      </w:pPr>
      <w:r>
        <w:rPr>
          <w:rStyle w:val="footnotemark"/>
        </w:rPr>
        <w:footnoteRef/>
      </w:r>
      <w:r>
        <w:t xml:space="preserve"> Viz: </w:t>
      </w:r>
      <w:hyperlink r:id="rId269"/>
      <w:hyperlink r:id="rId270"/>
      <w:hyperlink r:id="rId271"/>
      <w:hyperlink r:id="rId272"/>
      <w:hyperlink r:id="rId273"/>
      <w:hyperlink r:id="rId274">
        <w:r>
          <w:rPr>
            <w:color w:val="467886"/>
            <w:u w:val="single" w:color="467886"/>
          </w:rPr>
          <w:t>https://edmo.eu/areas-aktivit</w:t>
        </w:r>
      </w:hyperlink>
      <w:hyperlink r:id="rId275">
        <w:r>
          <w:rPr>
            <w:color w:val="467886"/>
            <w:u w:val="single" w:color="467886"/>
          </w:rPr>
          <w:t>/</w:t>
        </w:r>
      </w:hyperlink>
      <w:hyperlink r:id="rId276">
        <w:r>
          <w:rPr>
            <w:color w:val="467886"/>
            <w:u w:val="single" w:color="467886"/>
          </w:rPr>
          <w:t>mediální gramotnost/zvyšování</w:t>
        </w:r>
      </w:hyperlink>
      <w:hyperlink r:id="rId277">
        <w:r>
          <w:rPr>
            <w:color w:val="467886"/>
            <w:u w:val="single" w:color="467886"/>
          </w:rPr>
          <w:t xml:space="preserve"> standardů-</w:t>
        </w:r>
        <w:proofErr w:type="spellStart"/>
        <w:r>
          <w:rPr>
            <w:color w:val="467886"/>
            <w:u w:val="single" w:color="467886"/>
          </w:rPr>
          <w:t>edmo</w:t>
        </w:r>
        <w:proofErr w:type="spellEnd"/>
        <w:r>
          <w:rPr>
            <w:color w:val="467886"/>
            <w:u w:val="single" w:color="467886"/>
          </w:rPr>
          <w:t>-směrnice</w:t>
        </w:r>
      </w:hyperlink>
      <w:hyperlink r:id="rId278"/>
      <w:hyperlink r:id="rId279"/>
      <w:hyperlink r:id="rId280"/>
      <w:hyperlink r:id="rId281"/>
      <w:hyperlink r:id="rId282"/>
      <w:hyperlink r:id="rId283">
        <w:r>
          <w:rPr>
            <w:color w:val="467886"/>
            <w:u w:val="single" w:color="467886"/>
          </w:rPr>
          <w:t>/</w:t>
        </w:r>
      </w:hyperlink>
      <w:hyperlink r:id="rId284">
        <w:r>
          <w:t>.</w:t>
        </w:r>
      </w:hyperlink>
      <w:r>
        <w:t xml:space="preserve">  </w:t>
      </w:r>
    </w:p>
  </w:footnote>
  <w:footnote w:id="84">
    <w:p w14:paraId="034E7373" w14:textId="77777777" w:rsidR="00A01CF9" w:rsidRDefault="00676706">
      <w:pPr>
        <w:pStyle w:val="footnotedescription"/>
        <w:spacing w:after="1" w:line="262" w:lineRule="auto"/>
        <w:ind w:right="0"/>
      </w:pPr>
      <w:r>
        <w:rPr>
          <w:rStyle w:val="footnotemark"/>
        </w:rPr>
        <w:footnoteRef/>
      </w:r>
      <w:r>
        <w:t xml:space="preserve"> Zaměřuje se na práva podle zákona o digitálních službách, zákona o umělé inteligenci, směrnice o audiovizuálních mediálních službách, nařízení o politické reklamě, volebních práv EU a dalších relevantních rámců. </w:t>
      </w:r>
    </w:p>
  </w:footnote>
  <w:footnote w:id="85">
    <w:p w14:paraId="73AFC024" w14:textId="77777777" w:rsidR="00A01CF9" w:rsidRDefault="00676706">
      <w:pPr>
        <w:pStyle w:val="footnotedescription"/>
        <w:spacing w:line="246" w:lineRule="auto"/>
        <w:ind w:right="880"/>
      </w:pPr>
      <w:r>
        <w:rPr>
          <w:rStyle w:val="footnotemark"/>
        </w:rPr>
        <w:footnoteRef/>
      </w:r>
      <w:r>
        <w:t xml:space="preserve"> Patří sem mezigenerační občanské panely, občanská shromáždění, participativní rozpočtování, participativní plánování nebo nové digitální nástroje a platformy občanských technologií, které doplňují praktiky, jako jsou veřejné konzultace nebo průzkumy. </w:t>
      </w:r>
    </w:p>
  </w:footnote>
  <w:footnote w:id="86">
    <w:p w14:paraId="386B1C38" w14:textId="77777777" w:rsidR="00A01CF9" w:rsidRDefault="00676706">
      <w:pPr>
        <w:pStyle w:val="footnotedescription"/>
        <w:spacing w:line="262" w:lineRule="auto"/>
        <w:ind w:right="877"/>
      </w:pPr>
      <w:r>
        <w:rPr>
          <w:rStyle w:val="footnotemark"/>
        </w:rPr>
        <w:footnoteRef/>
      </w:r>
      <w:r>
        <w:t xml:space="preserve"> Strategie EU pro občanskou společnost navrhne opatření ke spolupráci s členskými státy na posílení zapojení organizací občanské společnosti, a to i v souladu s doporučením z roku 2023 ohledně těchto aktérů, zatímco akce v rámci Štítu demokracie se zaměřují na účast občanů. </w:t>
      </w:r>
    </w:p>
  </w:footnote>
  <w:footnote w:id="87">
    <w:p w14:paraId="0026538F" w14:textId="77777777" w:rsidR="00A01CF9" w:rsidRDefault="00676706">
      <w:pPr>
        <w:pStyle w:val="footnotedescription"/>
        <w:spacing w:line="261" w:lineRule="auto"/>
        <w:ind w:right="874"/>
      </w:pPr>
      <w:r>
        <w:rPr>
          <w:rStyle w:val="footnotemark"/>
        </w:rPr>
        <w:footnoteRef/>
      </w:r>
      <w:r>
        <w:t xml:space="preserve"> Toto centrum podporuje participativní a diskusní projekty na úrovni EU a zahrnuje kandidátské země a potenciální kandidáty, s různými zdroji, školeními, osobními akcemi, laboratořemi občanů a komunitou praxe s multidisciplinární odborností z celé EU. </w:t>
      </w:r>
    </w:p>
  </w:footnote>
  <w:footnote w:id="88">
    <w:p w14:paraId="596045CD" w14:textId="77777777" w:rsidR="00A01CF9" w:rsidRDefault="00676706">
      <w:pPr>
        <w:pStyle w:val="footnotedescription"/>
        <w:spacing w:line="245" w:lineRule="auto"/>
        <w:ind w:right="875"/>
      </w:pPr>
      <w:r>
        <w:rPr>
          <w:rStyle w:val="footnotemark"/>
        </w:rPr>
        <w:footnoteRef/>
      </w:r>
      <w:r>
        <w:t xml:space="preserve"> Občanské technologie lze definovat jako využití digitálních technologií k posílení demokracie tím, že umožňují veřejnosti být informována, podílet se na rozhodování a tvorbě politik a zvýšit schopnost reagovat a zodpovědnost vlád (viz OECD Public Governance Policy Papers č. 72 z roku 2025).  </w:t>
      </w:r>
    </w:p>
  </w:footnote>
  <w:footnote w:id="89">
    <w:p w14:paraId="5D62B3CC" w14:textId="77777777" w:rsidR="00A01CF9" w:rsidRDefault="00676706">
      <w:pPr>
        <w:pStyle w:val="footnotedescription"/>
        <w:spacing w:line="249" w:lineRule="auto"/>
        <w:ind w:right="869"/>
      </w:pPr>
      <w:r>
        <w:rPr>
          <w:rStyle w:val="footnotemark"/>
        </w:rPr>
        <w:footnoteRef/>
      </w:r>
      <w:r>
        <w:t xml:space="preserve"> Bude propojen s portálem Interoperable Europe, který byl zřízen nařízením 2024/903 a poskytuje přístup k řešením interoperability a open-source řešením používaným veřejnými správami v Evropě. Již zde najdete příklady open-source nástrojů pro občanskou participaci. </w:t>
      </w:r>
    </w:p>
  </w:footnote>
  <w:footnote w:id="90">
    <w:p w14:paraId="2E9877AC" w14:textId="77777777" w:rsidR="00A01CF9" w:rsidRDefault="00676706">
      <w:pPr>
        <w:pStyle w:val="footnotedescription"/>
        <w:spacing w:line="265" w:lineRule="auto"/>
        <w:ind w:right="584"/>
      </w:pPr>
      <w:r>
        <w:rPr>
          <w:rStyle w:val="footnotemark"/>
        </w:rPr>
        <w:footnoteRef/>
      </w:r>
      <w:r>
        <w:t xml:space="preserve"> Tím podporuje viditelnost nástrojů občanských technologií a sdílení odborných znalostí a odbornosti napříč ekosystémem občanských technologií a zvýší povědomí o tomto sektoru mezi národními a místními úřady. </w:t>
      </w:r>
    </w:p>
  </w:footnote>
  <w:footnote w:id="91">
    <w:p w14:paraId="2A33BDCE" w14:textId="77777777" w:rsidR="00A01CF9" w:rsidRDefault="00676706">
      <w:pPr>
        <w:pStyle w:val="footnotedescription"/>
        <w:spacing w:line="266" w:lineRule="auto"/>
        <w:ind w:right="156"/>
      </w:pPr>
      <w:r>
        <w:rPr>
          <w:rStyle w:val="footnotemark"/>
        </w:rPr>
        <w:footnoteRef/>
      </w:r>
      <w:r>
        <w:t xml:space="preserve"> Na základě evropského rámce interoperability bude vytvořen hodnotící model, který zhodnotí úroveň vyspělosti interoperability platforem občanských technologií a pomůže online platformám identifikovat oblasti ke zlepšení. </w:t>
      </w:r>
    </w:p>
  </w:footnote>
  <w:footnote w:id="92">
    <w:p w14:paraId="1E0543C8" w14:textId="77777777" w:rsidR="00A01CF9" w:rsidRDefault="00676706">
      <w:pPr>
        <w:pStyle w:val="footnotedescription"/>
        <w:spacing w:line="266" w:lineRule="auto"/>
        <w:ind w:right="540"/>
      </w:pPr>
      <w:r>
        <w:rPr>
          <w:rStyle w:val="footnotemark"/>
        </w:rPr>
        <w:footnoteRef/>
      </w:r>
      <w:r>
        <w:t xml:space="preserve"> Ambasadoři zapojení občanů, absolventi evropských panelů občanů, by mohli sdílet své zkušenosti a pomoci podporovat občanskou účast. </w:t>
      </w:r>
    </w:p>
  </w:footnote>
  <w:footnote w:id="93">
    <w:p w14:paraId="4B060F1F" w14:textId="77777777" w:rsidR="00A01CF9" w:rsidRDefault="00676706">
      <w:pPr>
        <w:pStyle w:val="footnotedescription"/>
        <w:spacing w:after="16" w:line="259" w:lineRule="auto"/>
        <w:ind w:right="0"/>
        <w:jc w:val="left"/>
      </w:pPr>
      <w:r>
        <w:rPr>
          <w:rStyle w:val="footnotemark"/>
        </w:rPr>
        <w:footnoteRef/>
      </w:r>
      <w:r>
        <w:t xml:space="preserve"> Což by mohlo být otevřeno konkrétním projektům v zemích kandidátů na EU a potenciálním kandidátům. </w:t>
      </w:r>
    </w:p>
  </w:footnote>
  <w:footnote w:id="94">
    <w:p w14:paraId="427EEC55" w14:textId="77777777" w:rsidR="00A01CF9" w:rsidRDefault="00676706">
      <w:pPr>
        <w:pStyle w:val="footnotedescription"/>
        <w:spacing w:line="266" w:lineRule="auto"/>
        <w:ind w:right="540"/>
      </w:pPr>
      <w:r>
        <w:rPr>
          <w:rStyle w:val="footnotemark"/>
        </w:rPr>
        <w:footnoteRef/>
      </w:r>
      <w:r>
        <w:t xml:space="preserve"> Ambasadoři zapojení občanů, absolventi evropských panelů občanů, by mohli sdílet své zkušenosti a pomoci podporovat občanskou účast. </w:t>
      </w:r>
    </w:p>
  </w:footnote>
  <w:footnote w:id="95">
    <w:p w14:paraId="1A3D4B14" w14:textId="77777777" w:rsidR="00A01CF9" w:rsidRDefault="00676706">
      <w:pPr>
        <w:pStyle w:val="footnotedescription"/>
        <w:spacing w:line="259" w:lineRule="auto"/>
        <w:ind w:right="0"/>
        <w:jc w:val="left"/>
      </w:pPr>
      <w:r>
        <w:rPr>
          <w:rStyle w:val="footnotemark"/>
        </w:rPr>
        <w:footnoteRef/>
      </w:r>
      <w:r>
        <w:t xml:space="preserve"> Podpořeno úvodním workshopem a studií o možnostech příspěvků podnikatelské komunity. </w:t>
      </w:r>
    </w:p>
  </w:footnote>
  <w:footnote w:id="96">
    <w:p w14:paraId="3C75FBB5" w14:textId="77777777" w:rsidR="00A01CF9" w:rsidRDefault="00676706">
      <w:pPr>
        <w:pStyle w:val="footnotedescription"/>
        <w:spacing w:line="259" w:lineRule="auto"/>
        <w:ind w:right="0"/>
        <w:jc w:val="left"/>
      </w:pPr>
      <w:r>
        <w:rPr>
          <w:rStyle w:val="footnotemark"/>
        </w:rPr>
        <w:footnoteRef/>
      </w:r>
      <w:r>
        <w:t xml:space="preserve"> Doporučení Rady ze dne 23. května 2024 o zlepšení bezpečnosti výzkumu, C/2024/3510.  </w:t>
      </w:r>
    </w:p>
  </w:footnote>
  <w:footnote w:id="97">
    <w:p w14:paraId="1546267F" w14:textId="77777777" w:rsidR="00A01CF9" w:rsidRDefault="00676706">
      <w:pPr>
        <w:pStyle w:val="footnotedescription"/>
        <w:spacing w:line="247" w:lineRule="auto"/>
        <w:ind w:right="873"/>
      </w:pPr>
      <w:r>
        <w:rPr>
          <w:rStyle w:val="footnotemark"/>
        </w:rPr>
        <w:footnoteRef/>
      </w:r>
      <w:r>
        <w:t xml:space="preserve"> Další program Horizon Europe navržený Komisí bude i nadále podporovat výzkum zaměřený na posílení demokracie a demokratických hodnot, podporou občanské angažovanosti, posilováním odolných, pluralitních společností a integritou informačního prostoru a mediálního prostředí a bojem proti dezinformacím. </w:t>
      </w:r>
      <w:r>
        <w:rPr>
          <w:vertAlign w:val="superscript"/>
        </w:rPr>
        <w:t>108</w:t>
      </w:r>
      <w:r>
        <w:t xml:space="preserve"> Další program Erasmus+ navržený Komisí by kladl zvláštní důraz na podporu občanského vzdělávání a občanské angažovanosti, hodnot EU, společenské odolnosti a mediální gramotnosti, s plným respektem k kompetenci členských států při definování škol a akademických osnov a organizaci jejich vzdělávacích struktur, včetně neformálních a neformálních vzdělávacích aktivit podporujících účast mládeže a učení mladých lidí o zapojení v demokracii. </w:t>
      </w:r>
    </w:p>
  </w:footnote>
  <w:footnote w:id="98">
    <w:p w14:paraId="3F3FA483" w14:textId="77777777" w:rsidR="00A01CF9" w:rsidRDefault="00676706">
      <w:pPr>
        <w:pStyle w:val="footnotedescription"/>
        <w:spacing w:line="266" w:lineRule="auto"/>
        <w:ind w:right="454"/>
      </w:pPr>
      <w:r>
        <w:rPr>
          <w:rStyle w:val="footnotemark"/>
        </w:rPr>
        <w:footnoteRef/>
      </w:r>
      <w:r>
        <w:t xml:space="preserve"> Navrhovaný Evropský fond konkurenceschopnosti by podpořil odvětví civilní bezpečnosti v oblastech, jako je boj proti hybridním hrozbám. </w:t>
      </w:r>
    </w:p>
  </w:footnote>
  <w:footnote w:id="99">
    <w:p w14:paraId="07970F48" w14:textId="77777777" w:rsidR="00A01CF9" w:rsidRDefault="00676706">
      <w:pPr>
        <w:pStyle w:val="footnotedescription"/>
        <w:spacing w:line="249" w:lineRule="auto"/>
        <w:ind w:right="869"/>
      </w:pPr>
      <w:r>
        <w:rPr>
          <w:rStyle w:val="footnotemark"/>
        </w:rPr>
        <w:footnoteRef/>
      </w:r>
      <w:r>
        <w:t xml:space="preserve"> V regionech rozšířeného a sousedského východu poskytne navrhovaný nástroj Globální Evropa nástroje k podpoře demokracie, dobré správy, právního státu a respektování lidských práv a základních svobod. Kromě toho bude Globální Evropa podporovat pokrok kandidátských zemí a potenciálních kandidátů směrem k normám EU v souladu s "základními principy" pro rozšíření. V tomto kontextu bude zvláštní pozornost věnována také posilování nezávislých médií a mediální gramotnosti, stejně jako posilování odolnosti vůči zahraniční manipulaci a zasahování do informací (FIMI) a hybridním hrozbám. </w:t>
      </w:r>
    </w:p>
  </w:footnote>
  <w:footnote w:id="100">
    <w:p w14:paraId="493200E4" w14:textId="77777777" w:rsidR="00A01CF9" w:rsidRDefault="00676706">
      <w:pPr>
        <w:pStyle w:val="footnotedescription"/>
        <w:spacing w:line="253" w:lineRule="auto"/>
        <w:ind w:right="870"/>
      </w:pPr>
      <w:r>
        <w:rPr>
          <w:rStyle w:val="footnotemark"/>
        </w:rPr>
        <w:footnoteRef/>
      </w:r>
      <w:r>
        <w:t xml:space="preserve"> Národní a regionální partnerské plány, realizované v souladu s principy víceúrovňové správy a partnerství, mohou podporovat schopnosti členských států v boji proti závažné a organizované kriminalitě, zejména spojené s hybridními hrozbami jako FIMI, a opatření, která posilují demokratické řízení například zlepšením transparentnosti, podporou občanského dialogu, podporou občanské společnosti a posilováním právního státu. </w:t>
      </w:r>
    </w:p>
  </w:footnote>
  <w:footnote w:id="101">
    <w:p w14:paraId="1E590C76" w14:textId="77777777" w:rsidR="00A01CF9" w:rsidRDefault="00676706">
      <w:pPr>
        <w:pStyle w:val="footnotedescription"/>
        <w:spacing w:line="266" w:lineRule="auto"/>
        <w:ind w:right="0"/>
      </w:pPr>
      <w:r>
        <w:rPr>
          <w:rStyle w:val="footnotemark"/>
        </w:rPr>
        <w:footnoteRef/>
      </w:r>
      <w:r>
        <w:t xml:space="preserve"> Evropská komunikace, komunikace o strategii EU na podporu, ochranu a posílení občanské společnosti, COM(2025) 790 finále.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E3E"/>
    <w:multiLevelType w:val="hybridMultilevel"/>
    <w:tmpl w:val="62BC65DC"/>
    <w:lvl w:ilvl="0" w:tplc="084460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659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DA669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A22D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1CE2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6E8B9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019C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18520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1CD8A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F3139"/>
    <w:multiLevelType w:val="hybridMultilevel"/>
    <w:tmpl w:val="0A8CE72A"/>
    <w:lvl w:ilvl="0" w:tplc="BE184F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74F09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E1424F2">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97086A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76E84AE">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8804E8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ABC864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724AD36">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146F37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EC5EA8"/>
    <w:multiLevelType w:val="hybridMultilevel"/>
    <w:tmpl w:val="18B43882"/>
    <w:lvl w:ilvl="0" w:tplc="290E73AE">
      <w:start w:val="1"/>
      <w:numFmt w:val="decimal"/>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04A72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337C93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2021A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98E91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BD09F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33C7E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0001A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8282CA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32D668E5"/>
    <w:multiLevelType w:val="hybridMultilevel"/>
    <w:tmpl w:val="EDD0FF16"/>
    <w:lvl w:ilvl="0" w:tplc="88A80E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01F1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229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AA166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8A69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EAC0A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3C98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240B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5CB77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54582D"/>
    <w:multiLevelType w:val="hybridMultilevel"/>
    <w:tmpl w:val="11C40FFC"/>
    <w:lvl w:ilvl="0" w:tplc="AC280F96">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74BD4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8872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1613B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2414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24B83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FE86E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96903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9EF9B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611119"/>
    <w:multiLevelType w:val="hybridMultilevel"/>
    <w:tmpl w:val="5322D4F2"/>
    <w:lvl w:ilvl="0" w:tplc="CFC8EC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22ED3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7A867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D699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BAF04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1C3F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60F7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090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6CE51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015C37"/>
    <w:multiLevelType w:val="hybridMultilevel"/>
    <w:tmpl w:val="CE8C62DA"/>
    <w:lvl w:ilvl="0" w:tplc="9F68F0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CC036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4C944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26244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4482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0A96A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4D26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68C14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12EFA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D47787"/>
    <w:multiLevelType w:val="hybridMultilevel"/>
    <w:tmpl w:val="7B1C80B6"/>
    <w:lvl w:ilvl="0" w:tplc="593CE7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360C6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AE07B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A01E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D4917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04B26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7E895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1E85F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06EAC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98909829">
    <w:abstractNumId w:val="2"/>
  </w:num>
  <w:num w:numId="2" w16cid:durableId="1539320355">
    <w:abstractNumId w:val="4"/>
  </w:num>
  <w:num w:numId="3" w16cid:durableId="557129630">
    <w:abstractNumId w:val="1"/>
  </w:num>
  <w:num w:numId="4" w16cid:durableId="584798684">
    <w:abstractNumId w:val="6"/>
  </w:num>
  <w:num w:numId="5" w16cid:durableId="2006125499">
    <w:abstractNumId w:val="7"/>
  </w:num>
  <w:num w:numId="6" w16cid:durableId="1119838546">
    <w:abstractNumId w:val="5"/>
  </w:num>
  <w:num w:numId="7" w16cid:durableId="898126214">
    <w:abstractNumId w:val="3"/>
  </w:num>
  <w:num w:numId="8" w16cid:durableId="59725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CF9"/>
    <w:rsid w:val="000D3247"/>
    <w:rsid w:val="005109A3"/>
    <w:rsid w:val="00676706"/>
    <w:rsid w:val="00A01CF9"/>
    <w:rsid w:val="00A55736"/>
    <w:rsid w:val="00A9713C"/>
    <w:rsid w:val="00D03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8007"/>
  <w15:docId w15:val="{6789B9B6-B9AB-43B3-9C1D-DA5FAE5F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3" w:line="271" w:lineRule="auto"/>
      <w:ind w:left="3186" w:hanging="1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outlineLvl w:val="0"/>
    </w:pPr>
    <w:rPr>
      <w:rFonts w:ascii="Arial" w:eastAsia="Arial" w:hAnsi="Arial" w:cs="Arial"/>
      <w:b/>
      <w:color w:val="000000"/>
      <w:sz w:val="48"/>
    </w:rPr>
  </w:style>
  <w:style w:type="paragraph" w:styleId="Nadpis2">
    <w:name w:val="heading 2"/>
    <w:next w:val="Normln"/>
    <w:link w:val="Nadpis2Char"/>
    <w:uiPriority w:val="9"/>
    <w:unhideWhenUsed/>
    <w:qFormat/>
    <w:pPr>
      <w:keepNext/>
      <w:keepLines/>
      <w:spacing w:after="92" w:line="267" w:lineRule="auto"/>
      <w:ind w:left="1244" w:hanging="10"/>
      <w:outlineLvl w:val="1"/>
    </w:pPr>
    <w:rPr>
      <w:rFonts w:ascii="Times New Roman" w:eastAsia="Times New Roman" w:hAnsi="Times New Roman" w:cs="Times New Roman"/>
      <w:b/>
      <w:color w:val="000000"/>
      <w:sz w:val="28"/>
    </w:rPr>
  </w:style>
  <w:style w:type="paragraph" w:styleId="Nadpis3">
    <w:name w:val="heading 3"/>
    <w:next w:val="Normln"/>
    <w:link w:val="Nadpis3Char"/>
    <w:uiPriority w:val="9"/>
    <w:unhideWhenUsed/>
    <w:qFormat/>
    <w:pPr>
      <w:keepNext/>
      <w:keepLines/>
      <w:spacing w:after="92" w:line="267" w:lineRule="auto"/>
      <w:ind w:left="1244" w:hanging="10"/>
      <w:outlineLvl w:val="2"/>
    </w:pPr>
    <w:rPr>
      <w:rFonts w:ascii="Times New Roman" w:eastAsia="Times New Roman" w:hAnsi="Times New Roman" w:cs="Times New Roman"/>
      <w:b/>
      <w:color w:val="000000"/>
      <w:sz w:val="28"/>
    </w:rPr>
  </w:style>
  <w:style w:type="paragraph" w:styleId="Nadpis4">
    <w:name w:val="heading 4"/>
    <w:next w:val="Normln"/>
    <w:link w:val="Nadpis4Char"/>
    <w:uiPriority w:val="9"/>
    <w:unhideWhenUsed/>
    <w:qFormat/>
    <w:pPr>
      <w:keepNext/>
      <w:keepLines/>
      <w:spacing w:after="140" w:line="259" w:lineRule="auto"/>
      <w:ind w:left="884" w:hanging="10"/>
      <w:outlineLvl w:val="3"/>
    </w:pPr>
    <w:rPr>
      <w:rFonts w:ascii="Times New Roman" w:eastAsia="Times New Roman" w:hAnsi="Times New Roman" w:cs="Times New Roman"/>
      <w:b/>
      <w:i/>
      <w:color w:val="000000"/>
    </w:rPr>
  </w:style>
  <w:style w:type="paragraph" w:styleId="Nadpis5">
    <w:name w:val="heading 5"/>
    <w:next w:val="Normln"/>
    <w:link w:val="Nadpis5Char"/>
    <w:uiPriority w:val="9"/>
    <w:unhideWhenUsed/>
    <w:qFormat/>
    <w:pPr>
      <w:keepNext/>
      <w:keepLines/>
      <w:spacing w:after="140" w:line="259" w:lineRule="auto"/>
      <w:ind w:left="884" w:hanging="10"/>
      <w:outlineLvl w:val="4"/>
    </w:pPr>
    <w:rPr>
      <w:rFonts w:ascii="Times New Roman" w:eastAsia="Times New Roman" w:hAnsi="Times New Roman" w:cs="Times New Roman"/>
      <w:b/>
      <w: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8"/>
    </w:rPr>
  </w:style>
  <w:style w:type="character" w:customStyle="1" w:styleId="Nadpis1Char">
    <w:name w:val="Nadpis 1 Char"/>
    <w:link w:val="Nadpis1"/>
    <w:rPr>
      <w:rFonts w:ascii="Arial" w:eastAsia="Arial" w:hAnsi="Arial" w:cs="Arial"/>
      <w:b/>
      <w:color w:val="000000"/>
      <w:sz w:val="48"/>
    </w:rPr>
  </w:style>
  <w:style w:type="paragraph" w:customStyle="1" w:styleId="footnotedescription">
    <w:name w:val="footnote description"/>
    <w:next w:val="Normln"/>
    <w:link w:val="footnotedescriptionChar"/>
    <w:hidden/>
    <w:pPr>
      <w:spacing w:after="0" w:line="252" w:lineRule="auto"/>
      <w:ind w:left="874" w:right="86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3Char">
    <w:name w:val="Nadpis 3 Char"/>
    <w:link w:val="Nadpis3"/>
    <w:rPr>
      <w:rFonts w:ascii="Times New Roman" w:eastAsia="Times New Roman" w:hAnsi="Times New Roman" w:cs="Times New Roman"/>
      <w:b/>
      <w:color w:val="000000"/>
      <w:sz w:val="28"/>
    </w:rPr>
  </w:style>
  <w:style w:type="character" w:customStyle="1" w:styleId="Nadpis4Char">
    <w:name w:val="Nadpis 4 Char"/>
    <w:link w:val="Nadpis4"/>
    <w:rPr>
      <w:rFonts w:ascii="Times New Roman" w:eastAsia="Times New Roman" w:hAnsi="Times New Roman" w:cs="Times New Roman"/>
      <w:b/>
      <w:i/>
      <w:color w:val="000000"/>
      <w:sz w:val="24"/>
    </w:rPr>
  </w:style>
  <w:style w:type="character" w:customStyle="1" w:styleId="Nadpis5Char">
    <w:name w:val="Nadpis 5 Char"/>
    <w:link w:val="Nadpis5"/>
    <w:rPr>
      <w:rFonts w:ascii="Times New Roman" w:eastAsia="Times New Roman" w:hAnsi="Times New Roman" w:cs="Times New Roman"/>
      <w:b/>
      <w:i/>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stupntext">
    <w:name w:val="Placeholder Text"/>
    <w:basedOn w:val="Standardnpsmoodstavce"/>
    <w:uiPriority w:val="99"/>
    <w:semiHidden/>
    <w:rsid w:val="00A971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ations.jrc.ec.europa.eu/repository/handle/JRC1427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lications.jrc.ec.europa.eu/repository/handle/JRC14277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digital-strategy.ec.europa.eu/en/news/new-cybersecurity-compendium-how-protect-integrity-elections-published" TargetMode="External"/><Relationship Id="rId21" Type="http://schemas.openxmlformats.org/officeDocument/2006/relationships/hyperlink" Target="https://www.eeas.europa.eu/eeas/information-integrity-and-countering-foreign-information-manipulation-interference-fimi_en" TargetMode="External"/><Relationship Id="rId63" Type="http://schemas.openxmlformats.org/officeDocument/2006/relationships/hyperlink" Target="https://digital-strategy.ec.europa.eu/en/funding/commission-launches-call-continuation-european-digital-media-observatory/" TargetMode="External"/><Relationship Id="rId159" Type="http://schemas.openxmlformats.org/officeDocument/2006/relationships/hyperlink" Target="https://fact-hub.eu/moldova/" TargetMode="External"/><Relationship Id="rId170" Type="http://schemas.openxmlformats.org/officeDocument/2006/relationships/hyperlink" Target="https://digital-strategy.ec.europa.eu/en/news/new-european-digital-media-observatory-hub-fights-disinformation-ukraine-and-moldova" TargetMode="External"/><Relationship Id="rId226" Type="http://schemas.openxmlformats.org/officeDocument/2006/relationships/hyperlink" Target="https://digital-strategy.ec.europa.eu/en/library/2025-european-media-industry-outlook-report" TargetMode="External"/><Relationship Id="rId268" Type="http://schemas.openxmlformats.org/officeDocument/2006/relationships/hyperlink" Target="https://commission.europa.eu/publications/guide-eu-citizenship_en" TargetMode="External"/><Relationship Id="rId32" Type="http://schemas.openxmlformats.org/officeDocument/2006/relationships/hyperlink" Target="https://www.eeas.europa.eu/eeas/information-integrity-and-countering-foreign-information-manipulation-interference-fimi_en" TargetMode="External"/><Relationship Id="rId74" Type="http://schemas.openxmlformats.org/officeDocument/2006/relationships/hyperlink" Target="https://digital-strategy.ec.europa.eu/en/funding/commission-launches-call-continuation-european-digital-media-observatory/" TargetMode="External"/><Relationship Id="rId128" Type="http://schemas.openxmlformats.org/officeDocument/2006/relationships/hyperlink" Target="https://eige.europa.eu/publications-resources/publications/combating-cyber-violence-against-women-and-girls-developing-eu-measurement-framework" TargetMode="External"/><Relationship Id="rId5" Type="http://schemas.openxmlformats.org/officeDocument/2006/relationships/hyperlink" Target="https://www.consilium.europa.eu/en/press/press-releases/2025/05/27/presidency-conclusions-on-strengthening-eu-democratic-resilience/" TargetMode="External"/><Relationship Id="rId181" Type="http://schemas.openxmlformats.org/officeDocument/2006/relationships/hyperlink" Target="https://digital-strategy.ec.europa.eu/en/news/new-european-digital-media-observatory-hub-fights-disinformation-ukraine-and-moldova" TargetMode="External"/><Relationship Id="rId237" Type="http://schemas.openxmlformats.org/officeDocument/2006/relationships/hyperlink" Target="https://cmpf.eui.eu/local-media-for-democracy-research-results/" TargetMode="External"/><Relationship Id="rId279" Type="http://schemas.openxmlformats.org/officeDocument/2006/relationships/hyperlink" Target="https://edmo.eu/areas-of-activities/media-literacy/raising-standards-the-edmo-guidelines/" TargetMode="External"/><Relationship Id="rId22" Type="http://schemas.openxmlformats.org/officeDocument/2006/relationships/hyperlink" Target="https://www.eeas.europa.eu/eeas/information-integrity-and-countering-foreign-information-manipulation-interference-fimi_en" TargetMode="External"/><Relationship Id="rId43" Type="http://schemas.openxmlformats.org/officeDocument/2006/relationships/hyperlink" Target="https://digital-strategy.ec.europa.eu/en/news/commission-launches-eu5-million-call-strengthen-european-fact-checking-network" TargetMode="External"/><Relationship Id="rId64" Type="http://schemas.openxmlformats.org/officeDocument/2006/relationships/hyperlink" Target="https://digital-strategy.ec.europa.eu/en/funding/commission-launches-call-continuation-european-digital-media-observatory/" TargetMode="External"/><Relationship Id="rId118" Type="http://schemas.openxmlformats.org/officeDocument/2006/relationships/hyperlink" Target="https://digital-strategy.ec.europa.eu/en/news/new-cybersecurity-compendium-how-protect-integrity-elections-published" TargetMode="External"/><Relationship Id="rId139" Type="http://schemas.openxmlformats.org/officeDocument/2006/relationships/hyperlink" Target="https://eige.europa.eu/publications-resources/publications/combating-cyber-violence-against-women-and-girls-developing-eu-measurement-framework" TargetMode="External"/><Relationship Id="rId85" Type="http://schemas.openxmlformats.org/officeDocument/2006/relationships/hyperlink" Target="https://www.eeas.europa.eu/eeas/information-integrity-and-countering-foreign-information-manipulation-interference-fimi_en" TargetMode="External"/><Relationship Id="rId150" Type="http://schemas.openxmlformats.org/officeDocument/2006/relationships/hyperlink" Target="https://cdn.table.media/assets/wp-content/uploads/2025/03/07145057/Gender-Equality-Report-Chapeau-Communication.pdf" TargetMode="External"/><Relationship Id="rId171" Type="http://schemas.openxmlformats.org/officeDocument/2006/relationships/hyperlink" Target="https://digital-strategy.ec.europa.eu/en/news/new-european-digital-media-observatory-hub-fights-disinformation-ukraine-and-moldova" TargetMode="External"/><Relationship Id="rId192" Type="http://schemas.openxmlformats.org/officeDocument/2006/relationships/hyperlink" Target="https://digital-strategy.ec.europa.eu/en/news/commission-services-and-moldovan-authorities-conduct-stress-test-potential-digital-hybrid-threats" TargetMode="External"/><Relationship Id="rId206" Type="http://schemas.openxmlformats.org/officeDocument/2006/relationships/hyperlink" Target="https://digital-strategy.ec.europa.eu/en/news/commission-services-and-moldovan-authorities-conduct-stress-test-potential-digital-hybrid-threats" TargetMode="External"/><Relationship Id="rId227" Type="http://schemas.openxmlformats.org/officeDocument/2006/relationships/hyperlink" Target="https://digital-strategy.ec.europa.eu/en/library/2025-european-media-industry-outlook-report" TargetMode="External"/><Relationship Id="rId248" Type="http://schemas.openxmlformats.org/officeDocument/2006/relationships/hyperlink" Target="https://commission.europa.eu/publications/2025-rule-law-report-communication-and-country-chapters_en" TargetMode="External"/><Relationship Id="rId269" Type="http://schemas.openxmlformats.org/officeDocument/2006/relationships/hyperlink" Target="https://edmo.eu/areas-of-activities/media-literacy/raising-standards-the-edmo-guidelines/" TargetMode="External"/><Relationship Id="rId12" Type="http://schemas.openxmlformats.org/officeDocument/2006/relationships/hyperlink" Target="https://www.consilium.europa.eu/en/press/press-releases/2025/05/27/presidency-conclusions-on-strengthening-eu-democratic-resilience/" TargetMode="External"/><Relationship Id="rId33" Type="http://schemas.openxmlformats.org/officeDocument/2006/relationships/hyperlink" Target="https://www.eeas.europa.eu/eeas/information-integrity-and-countering-foreign-information-manipulation-interference-fimi_en" TargetMode="External"/><Relationship Id="rId108" Type="http://schemas.openxmlformats.org/officeDocument/2006/relationships/hyperlink" Target="https://digital-strategy.ec.europa.eu/en/news/new-cybersecurity-compendium-how-protect-integrity-elections-published" TargetMode="External"/><Relationship Id="rId129" Type="http://schemas.openxmlformats.org/officeDocument/2006/relationships/hyperlink" Target="https://eige.europa.eu/publications-resources/publications/combating-cyber-violence-against-women-and-girls-developing-eu-measurement-framework" TargetMode="External"/><Relationship Id="rId280" Type="http://schemas.openxmlformats.org/officeDocument/2006/relationships/hyperlink" Target="https://edmo.eu/areas-of-activities/media-literacy/raising-standards-the-edmo-guidelines/" TargetMode="External"/><Relationship Id="rId54" Type="http://schemas.openxmlformats.org/officeDocument/2006/relationships/hyperlink" Target="https://digital-strategy.ec.europa.eu/en/news/commission-launches-eu5-million-call-strengthen-european-fact-checking-network" TargetMode="External"/><Relationship Id="rId75" Type="http://schemas.openxmlformats.org/officeDocument/2006/relationships/hyperlink" Target="https://digital-strategy.ec.europa.eu/en/funding/commission-launches-call-continuation-european-digital-media-observatory/" TargetMode="External"/><Relationship Id="rId96" Type="http://schemas.openxmlformats.org/officeDocument/2006/relationships/hyperlink" Target="https://www.eeas.europa.eu/eeas/information-integrity-and-countering-foreign-information-manipulation-interference-fimi_en" TargetMode="External"/><Relationship Id="rId140" Type="http://schemas.openxmlformats.org/officeDocument/2006/relationships/hyperlink" Target="https://eige.europa.eu/publications-resources/publications/combating-cyber-violence-against-women-and-girls-developing-eu-measurement-framework" TargetMode="External"/><Relationship Id="rId161" Type="http://schemas.openxmlformats.org/officeDocument/2006/relationships/hyperlink" Target="https://brodhub.eu/en/republic-of-moldova/" TargetMode="External"/><Relationship Id="rId182" Type="http://schemas.openxmlformats.org/officeDocument/2006/relationships/hyperlink" Target="https://digital-strategy.ec.europa.eu/en/news/new-european-digital-media-observatory-hub-fights-disinformation-ukraine-and-moldova" TargetMode="External"/><Relationship Id="rId217" Type="http://schemas.openxmlformats.org/officeDocument/2006/relationships/hyperlink" Target="https://digital-strategy.ec.europa.eu/en/library/2025-european-media-industry-outlook-report" TargetMode="External"/><Relationship Id="rId6" Type="http://schemas.openxmlformats.org/officeDocument/2006/relationships/hyperlink" Target="https://www.consilium.europa.eu/en/press/press-releases/2025/05/27/presidency-conclusions-on-strengthening-eu-democratic-resilience/" TargetMode="External"/><Relationship Id="rId238" Type="http://schemas.openxmlformats.org/officeDocument/2006/relationships/hyperlink" Target="https://cmpf.eui.eu/local-media-for-democracy-research-results/" TargetMode="External"/><Relationship Id="rId259" Type="http://schemas.openxmlformats.org/officeDocument/2006/relationships/hyperlink" Target="https://democracyendowment.eu/" TargetMode="External"/><Relationship Id="rId23" Type="http://schemas.openxmlformats.org/officeDocument/2006/relationships/hyperlink" Target="https://www.eeas.europa.eu/eeas/information-integrity-and-countering-foreign-information-manipulation-interference-fimi_en" TargetMode="External"/><Relationship Id="rId119" Type="http://schemas.openxmlformats.org/officeDocument/2006/relationships/hyperlink" Target="https://digital-strategy.ec.europa.eu/en/news/new-cybersecurity-compendium-how-protect-integrity-elections-published" TargetMode="External"/><Relationship Id="rId270" Type="http://schemas.openxmlformats.org/officeDocument/2006/relationships/hyperlink" Target="https://edmo.eu/areas-of-activities/media-literacy/raising-standards-the-edmo-guidelines/" TargetMode="External"/><Relationship Id="rId44" Type="http://schemas.openxmlformats.org/officeDocument/2006/relationships/hyperlink" Target="https://digital-strategy.ec.europa.eu/en/news/commission-launches-eu5-million-call-strengthen-european-fact-checking-network" TargetMode="External"/><Relationship Id="rId65" Type="http://schemas.openxmlformats.org/officeDocument/2006/relationships/hyperlink" Target="https://digital-strategy.ec.europa.eu/en/funding/commission-launches-call-continuation-european-digital-media-observatory/" TargetMode="External"/><Relationship Id="rId86" Type="http://schemas.openxmlformats.org/officeDocument/2006/relationships/hyperlink" Target="https://www.eeas.europa.eu/eeas/information-integrity-and-countering-foreign-information-manipulation-interference-fimi_en" TargetMode="External"/><Relationship Id="rId130" Type="http://schemas.openxmlformats.org/officeDocument/2006/relationships/hyperlink" Target="https://eige.europa.eu/publications-resources/publications/combating-cyber-violence-against-women-and-girls-developing-eu-measurement-framework" TargetMode="External"/><Relationship Id="rId151" Type="http://schemas.openxmlformats.org/officeDocument/2006/relationships/hyperlink" Target="https://cdn.table.media/assets/wp-content/uploads/2025/03/07145057/Gender-Equality-Report-Chapeau-Communication.pdf" TargetMode="External"/><Relationship Id="rId172" Type="http://schemas.openxmlformats.org/officeDocument/2006/relationships/hyperlink" Target="https://digital-strategy.ec.europa.eu/en/news/new-european-digital-media-observatory-hub-fights-disinformation-ukraine-and-moldova" TargetMode="External"/><Relationship Id="rId193" Type="http://schemas.openxmlformats.org/officeDocument/2006/relationships/hyperlink" Target="https://digital-strategy.ec.europa.eu/en/news/commission-services-and-moldovan-authorities-conduct-stress-test-potential-digital-hybrid-threats" TargetMode="External"/><Relationship Id="rId207" Type="http://schemas.openxmlformats.org/officeDocument/2006/relationships/hyperlink" Target="https://digital-strategy.ec.europa.eu/en/news/commission-services-and-moldovan-authorities-conduct-stress-test-potential-digital-hybrid-threats" TargetMode="External"/><Relationship Id="rId228" Type="http://schemas.openxmlformats.org/officeDocument/2006/relationships/hyperlink" Target="https://digital-strategy.ec.europa.eu/en/library/2025-european-media-industry-outlook-report" TargetMode="External"/><Relationship Id="rId249" Type="http://schemas.openxmlformats.org/officeDocument/2006/relationships/hyperlink" Target="https://commission.europa.eu/publications/2025-rule-law-report-communication-and-country-chapters_en" TargetMode="External"/><Relationship Id="rId13" Type="http://schemas.openxmlformats.org/officeDocument/2006/relationships/hyperlink" Target="https://www.consilium.europa.eu/en/press/press-releases/2025/05/27/presidency-conclusions-on-strengthening-eu-democratic-resilience/" TargetMode="External"/><Relationship Id="rId109" Type="http://schemas.openxmlformats.org/officeDocument/2006/relationships/hyperlink" Target="https://digital-strategy.ec.europa.eu/en/news/new-cybersecurity-compendium-how-protect-integrity-elections-published" TargetMode="External"/><Relationship Id="rId260" Type="http://schemas.openxmlformats.org/officeDocument/2006/relationships/hyperlink" Target="https://democracyendowment.eu/" TargetMode="External"/><Relationship Id="rId281" Type="http://schemas.openxmlformats.org/officeDocument/2006/relationships/hyperlink" Target="https://edmo.eu/areas-of-activities/media-literacy/raising-standards-the-edmo-guidelines/" TargetMode="External"/><Relationship Id="rId34" Type="http://schemas.openxmlformats.org/officeDocument/2006/relationships/hyperlink" Target="https://www.eeas.europa.eu/eeas/information-integrity-and-countering-foreign-information-manipulation-interference-fimi_en" TargetMode="External"/><Relationship Id="rId55" Type="http://schemas.openxmlformats.org/officeDocument/2006/relationships/hyperlink" Target="https://digital-strategy.ec.europa.eu/en/news/commission-launches-eu5-million-call-strengthen-european-fact-checking-network" TargetMode="External"/><Relationship Id="rId76" Type="http://schemas.openxmlformats.org/officeDocument/2006/relationships/hyperlink" Target="https://digital-strategy.ec.europa.eu/en/funding/commission-launches-call-continuation-european-digital-media-observatory/" TargetMode="External"/><Relationship Id="rId97" Type="http://schemas.openxmlformats.org/officeDocument/2006/relationships/hyperlink" Target="https://www.eeas.europa.eu/eeas/information-integrity-and-countering-foreign-information-manipulation-interference-fimi_en" TargetMode="External"/><Relationship Id="rId120" Type="http://schemas.openxmlformats.org/officeDocument/2006/relationships/hyperlink" Target="https://digital-strategy.ec.europa.eu/en/news/new-cybersecurity-compendium-how-protect-integrity-elections-published" TargetMode="External"/><Relationship Id="rId141" Type="http://schemas.openxmlformats.org/officeDocument/2006/relationships/hyperlink" Target="https://eige.europa.eu/publications-resources/publications/combating-cyber-violence-against-women-and-girls-developing-eu-measurement-framework" TargetMode="External"/><Relationship Id="rId7" Type="http://schemas.openxmlformats.org/officeDocument/2006/relationships/hyperlink" Target="https://www.consilium.europa.eu/en/press/press-releases/2025/05/27/presidency-conclusions-on-strengthening-eu-democratic-resilience/" TargetMode="External"/><Relationship Id="rId162" Type="http://schemas.openxmlformats.org/officeDocument/2006/relationships/hyperlink" Target="https://brodhub.eu/en/republic-of-moldova/" TargetMode="External"/><Relationship Id="rId183" Type="http://schemas.openxmlformats.org/officeDocument/2006/relationships/hyperlink" Target="https://digital-strategy.ec.europa.eu/en/news/new-european-digital-media-observatory-hub-fights-disinformation-ukraine-and-moldova" TargetMode="External"/><Relationship Id="rId218" Type="http://schemas.openxmlformats.org/officeDocument/2006/relationships/hyperlink" Target="https://digital-strategy.ec.europa.eu/en/library/2025-european-media-industry-outlook-report" TargetMode="External"/><Relationship Id="rId239" Type="http://schemas.openxmlformats.org/officeDocument/2006/relationships/hyperlink" Target="https://cmpf.eui.eu/local-media-for-democracy-research-results/" TargetMode="External"/><Relationship Id="rId250" Type="http://schemas.openxmlformats.org/officeDocument/2006/relationships/hyperlink" Target="https://commission.europa.eu/publications/2025-rule-law-report-communication-and-country-chapters_en" TargetMode="External"/><Relationship Id="rId271" Type="http://schemas.openxmlformats.org/officeDocument/2006/relationships/hyperlink" Target="https://edmo.eu/areas-of-activities/media-literacy/raising-standards-the-edmo-guidelines/" TargetMode="External"/><Relationship Id="rId24" Type="http://schemas.openxmlformats.org/officeDocument/2006/relationships/hyperlink" Target="https://www.eeas.europa.eu/eeas/information-integrity-and-countering-foreign-information-manipulation-interference-fimi_en" TargetMode="External"/><Relationship Id="rId45" Type="http://schemas.openxmlformats.org/officeDocument/2006/relationships/hyperlink" Target="https://digital-strategy.ec.europa.eu/en/news/commission-launches-eu5-million-call-strengthen-european-fact-checking-network" TargetMode="External"/><Relationship Id="rId66" Type="http://schemas.openxmlformats.org/officeDocument/2006/relationships/hyperlink" Target="https://digital-strategy.ec.europa.eu/en/funding/commission-launches-call-continuation-european-digital-media-observatory/" TargetMode="External"/><Relationship Id="rId87" Type="http://schemas.openxmlformats.org/officeDocument/2006/relationships/hyperlink" Target="https://www.eeas.europa.eu/eeas/information-integrity-and-countering-foreign-information-manipulation-interference-fimi_en" TargetMode="External"/><Relationship Id="rId110" Type="http://schemas.openxmlformats.org/officeDocument/2006/relationships/hyperlink" Target="https://digital-strategy.ec.europa.eu/en/news/new-cybersecurity-compendium-how-protect-integrity-elections-published" TargetMode="External"/><Relationship Id="rId131" Type="http://schemas.openxmlformats.org/officeDocument/2006/relationships/hyperlink" Target="https://eige.europa.eu/publications-resources/publications/combating-cyber-violence-against-women-and-girls-developing-eu-measurement-framework" TargetMode="External"/><Relationship Id="rId152" Type="http://schemas.openxmlformats.org/officeDocument/2006/relationships/hyperlink" Target="https://cdn.table.media/assets/wp-content/uploads/2025/03/07145057/Gender-Equality-Report-Chapeau-Communication.pdf" TargetMode="External"/><Relationship Id="rId173" Type="http://schemas.openxmlformats.org/officeDocument/2006/relationships/hyperlink" Target="https://digital-strategy.ec.europa.eu/en/news/new-european-digital-media-observatory-hub-fights-disinformation-ukraine-and-moldova" TargetMode="External"/><Relationship Id="rId194" Type="http://schemas.openxmlformats.org/officeDocument/2006/relationships/hyperlink" Target="https://digital-strategy.ec.europa.eu/en/news/commission-services-and-moldovan-authorities-conduct-stress-test-potential-digital-hybrid-threats" TargetMode="External"/><Relationship Id="rId208" Type="http://schemas.openxmlformats.org/officeDocument/2006/relationships/hyperlink" Target="https://digital-strategy.ec.europa.eu/en/news/commission-services-and-moldovan-authorities-conduct-stress-test-potential-digital-hybrid-threats" TargetMode="External"/><Relationship Id="rId229" Type="http://schemas.openxmlformats.org/officeDocument/2006/relationships/hyperlink" Target="https://digital-strategy.ec.europa.eu/en/library/2025-european-media-industry-outlook-report" TargetMode="External"/><Relationship Id="rId240" Type="http://schemas.openxmlformats.org/officeDocument/2006/relationships/hyperlink" Target="https://cmpf.eui.eu/local-media-for-democracy-research-results/" TargetMode="External"/><Relationship Id="rId261" Type="http://schemas.openxmlformats.org/officeDocument/2006/relationships/hyperlink" Target="https://data.europa.eu/doi/10.2766/28248" TargetMode="External"/><Relationship Id="rId14" Type="http://schemas.openxmlformats.org/officeDocument/2006/relationships/hyperlink" Target="https://www.consilium.europa.eu/en/press/press-releases/2025/05/27/presidency-conclusions-on-strengthening-eu-democratic-resilience/" TargetMode="External"/><Relationship Id="rId35" Type="http://schemas.openxmlformats.org/officeDocument/2006/relationships/hyperlink" Target="https://www.eeas.europa.eu/eeas/information-integrity-and-countering-foreign-information-manipulation-interference-fimi_en" TargetMode="External"/><Relationship Id="rId56" Type="http://schemas.openxmlformats.org/officeDocument/2006/relationships/hyperlink" Target="https://digital-strategy.ec.europa.eu/en/news/commission-launches-eu5-million-call-strengthen-european-fact-checking-network" TargetMode="External"/><Relationship Id="rId77" Type="http://schemas.openxmlformats.org/officeDocument/2006/relationships/hyperlink" Target="http://data.europa.eu/eli/reg/2024/900/oj" TargetMode="External"/><Relationship Id="rId100" Type="http://schemas.openxmlformats.org/officeDocument/2006/relationships/hyperlink" Target="https://www.sis.md/sites/default/files/comunicate/fisiere/Raport_SIS_Public_Interferenta_in_procesul_electoral.pdf" TargetMode="External"/><Relationship Id="rId282" Type="http://schemas.openxmlformats.org/officeDocument/2006/relationships/hyperlink" Target="https://edmo.eu/areas-of-activities/media-literacy/raising-standards-the-edmo-guidelines/" TargetMode="External"/><Relationship Id="rId8" Type="http://schemas.openxmlformats.org/officeDocument/2006/relationships/hyperlink" Target="https://www.consilium.europa.eu/en/press/press-releases/2025/05/27/presidency-conclusions-on-strengthening-eu-democratic-resilience/" TargetMode="External"/><Relationship Id="rId98" Type="http://schemas.openxmlformats.org/officeDocument/2006/relationships/hyperlink" Target="https://www.presidency.ro/files/userfiles/Documente%20CSAT/Document%20CSAT%20SIE.pdf" TargetMode="External"/><Relationship Id="rId121" Type="http://schemas.openxmlformats.org/officeDocument/2006/relationships/hyperlink" Target="https://eige.europa.eu/publications-resources/publications/combating-cyber-violence-against-women-and-girls-developing-eu-measurement-framework" TargetMode="External"/><Relationship Id="rId142" Type="http://schemas.openxmlformats.org/officeDocument/2006/relationships/hyperlink" Target="https://eige.europa.eu/publications-resources/publications/combating-cyber-violence-against-women-and-girls-developing-eu-measurement-framework" TargetMode="External"/><Relationship Id="rId163" Type="http://schemas.openxmlformats.org/officeDocument/2006/relationships/hyperlink" Target="https://brodhub.eu/en/republic-of-moldova/" TargetMode="External"/><Relationship Id="rId184" Type="http://schemas.openxmlformats.org/officeDocument/2006/relationships/hyperlink" Target="https://digital-strategy.ec.europa.eu/en/news/new-european-digital-media-observatory-hub-fights-disinformation-ukraine-and-moldova" TargetMode="External"/><Relationship Id="rId219" Type="http://schemas.openxmlformats.org/officeDocument/2006/relationships/hyperlink" Target="https://digital-strategy.ec.europa.eu/en/library/2025-european-media-industry-outlook-report" TargetMode="External"/><Relationship Id="rId230" Type="http://schemas.openxmlformats.org/officeDocument/2006/relationships/hyperlink" Target="https://digital-strategy.ec.europa.eu/en/library/2025-european-media-industry-outlook-report" TargetMode="External"/><Relationship Id="rId251" Type="http://schemas.openxmlformats.org/officeDocument/2006/relationships/hyperlink" Target="https://commission.europa.eu/publications/2025-rule-law-report-communication-and-country-chapters_en" TargetMode="External"/><Relationship Id="rId25" Type="http://schemas.openxmlformats.org/officeDocument/2006/relationships/hyperlink" Target="https://www.eeas.europa.eu/eeas/information-integrity-and-countering-foreign-information-manipulation-interference-fimi_en" TargetMode="External"/><Relationship Id="rId46" Type="http://schemas.openxmlformats.org/officeDocument/2006/relationships/hyperlink" Target="https://digital-strategy.ec.europa.eu/en/news/commission-launches-eu5-million-call-strengthen-european-fact-checking-network" TargetMode="External"/><Relationship Id="rId67" Type="http://schemas.openxmlformats.org/officeDocument/2006/relationships/hyperlink" Target="https://digital-strategy.ec.europa.eu/en/funding/commission-launches-call-continuation-european-digital-media-observatory/" TargetMode="External"/><Relationship Id="rId272" Type="http://schemas.openxmlformats.org/officeDocument/2006/relationships/hyperlink" Target="https://edmo.eu/areas-of-activities/media-literacy/raising-standards-the-edmo-guidelines/" TargetMode="External"/><Relationship Id="rId88" Type="http://schemas.openxmlformats.org/officeDocument/2006/relationships/hyperlink" Target="https://www.eeas.europa.eu/eeas/information-integrity-and-countering-foreign-information-manipulation-interference-fimi_en" TargetMode="External"/><Relationship Id="rId111" Type="http://schemas.openxmlformats.org/officeDocument/2006/relationships/hyperlink" Target="https://digital-strategy.ec.europa.eu/en/news/new-cybersecurity-compendium-how-protect-integrity-elections-published" TargetMode="External"/><Relationship Id="rId132" Type="http://schemas.openxmlformats.org/officeDocument/2006/relationships/hyperlink" Target="https://eige.europa.eu/publications-resources/publications/combating-cyber-violence-against-women-and-girls-developing-eu-measurement-framework" TargetMode="External"/><Relationship Id="rId153" Type="http://schemas.openxmlformats.org/officeDocument/2006/relationships/hyperlink" Target="https://cdn.table.media/assets/wp-content/uploads/2025/03/07145057/Gender-Equality-Report-Chapeau-Communication.pdf" TargetMode="External"/><Relationship Id="rId174" Type="http://schemas.openxmlformats.org/officeDocument/2006/relationships/hyperlink" Target="https://digital-strategy.ec.europa.eu/en/news/new-european-digital-media-observatory-hub-fights-disinformation-ukraine-and-moldova" TargetMode="External"/><Relationship Id="rId195" Type="http://schemas.openxmlformats.org/officeDocument/2006/relationships/hyperlink" Target="https://digital-strategy.ec.europa.eu/en/news/commission-services-and-moldovan-authorities-conduct-stress-test-potential-digital-hybrid-threats" TargetMode="External"/><Relationship Id="rId209" Type="http://schemas.openxmlformats.org/officeDocument/2006/relationships/hyperlink" Target="https://digital-strategy.ec.europa.eu/en/news/commission-services-and-moldovan-authorities-conduct-stress-test-potential-digital-hybrid-threats" TargetMode="External"/><Relationship Id="rId220" Type="http://schemas.openxmlformats.org/officeDocument/2006/relationships/hyperlink" Target="https://digital-strategy.ec.europa.eu/en/library/2025-european-media-industry-outlook-report" TargetMode="External"/><Relationship Id="rId241" Type="http://schemas.openxmlformats.org/officeDocument/2006/relationships/hyperlink" Target="https://cmpf.eui.eu/local-media-for-democracy-research-results/" TargetMode="External"/><Relationship Id="rId15" Type="http://schemas.openxmlformats.org/officeDocument/2006/relationships/hyperlink" Target="https://www.consilium.europa.eu/en/press/press-releases/2025/05/27/presidency-conclusions-on-strengthening-eu-democratic-resilience/" TargetMode="External"/><Relationship Id="rId36" Type="http://schemas.openxmlformats.org/officeDocument/2006/relationships/hyperlink" Target="https://digital-strategy.ec.europa.eu/en/news/commission-launches-eu5-million-call-strengthen-european-fact-checking-network" TargetMode="External"/><Relationship Id="rId57" Type="http://schemas.openxmlformats.org/officeDocument/2006/relationships/hyperlink" Target="https://digital-strategy.ec.europa.eu/en/news/commission-launches-eu5-million-call-strengthen-european-fact-checking-network" TargetMode="External"/><Relationship Id="rId262" Type="http://schemas.openxmlformats.org/officeDocument/2006/relationships/hyperlink" Target="https://data.europa.eu/doi/10.2766/28248" TargetMode="External"/><Relationship Id="rId283" Type="http://schemas.openxmlformats.org/officeDocument/2006/relationships/hyperlink" Target="https://edmo.eu/areas-of-activities/media-literacy/raising-standards-the-edmo-guidelines/" TargetMode="External"/><Relationship Id="rId78" Type="http://schemas.openxmlformats.org/officeDocument/2006/relationships/hyperlink" Target="http://data.europa.eu/eli/reg/2024/900/oj" TargetMode="External"/><Relationship Id="rId99" Type="http://schemas.openxmlformats.org/officeDocument/2006/relationships/hyperlink" Target="https://www.presidency.ro/files/userfiles/Documente%20CSAT/Document%20CSAT%20SIE.pdf" TargetMode="External"/><Relationship Id="rId101" Type="http://schemas.openxmlformats.org/officeDocument/2006/relationships/hyperlink" Target="https://www.sis.md/sites/default/files/comunicate/fisiere/Raport_SIS_Public_Interferenta_in_procesul_electoral.pdf" TargetMode="External"/><Relationship Id="rId122" Type="http://schemas.openxmlformats.org/officeDocument/2006/relationships/hyperlink" Target="https://eige.europa.eu/publications-resources/publications/combating-cyber-violence-against-women-and-girls-developing-eu-measurement-framework" TargetMode="External"/><Relationship Id="rId143" Type="http://schemas.openxmlformats.org/officeDocument/2006/relationships/hyperlink" Target="https://eige.europa.eu/publications-resources/publications/combating-cyber-violence-against-women-and-girls-developing-eu-measurement-framework" TargetMode="External"/><Relationship Id="rId164" Type="http://schemas.openxmlformats.org/officeDocument/2006/relationships/hyperlink" Target="https://brodhub.eu/en/republic-of-moldova/" TargetMode="External"/><Relationship Id="rId185" Type="http://schemas.openxmlformats.org/officeDocument/2006/relationships/hyperlink" Target="https://digital-strategy.ec.europa.eu/en/news/new-european-digital-media-observatory-hub-fights-disinformation-ukraine-and-moldova" TargetMode="External"/><Relationship Id="rId9" Type="http://schemas.openxmlformats.org/officeDocument/2006/relationships/hyperlink" Target="https://www.consilium.europa.eu/en/press/press-releases/2025/05/27/presidency-conclusions-on-strengthening-eu-democratic-resilience/" TargetMode="External"/><Relationship Id="rId210" Type="http://schemas.openxmlformats.org/officeDocument/2006/relationships/hyperlink" Target="https://digital-strategy.ec.europa.eu/en/news/commission-services-and-moldovan-authorities-conduct-stress-test-potential-digital-hybrid-threats" TargetMode="External"/><Relationship Id="rId26" Type="http://schemas.openxmlformats.org/officeDocument/2006/relationships/hyperlink" Target="https://www.eeas.europa.eu/eeas/information-integrity-and-countering-foreign-information-manipulation-interference-fimi_en" TargetMode="External"/><Relationship Id="rId231" Type="http://schemas.openxmlformats.org/officeDocument/2006/relationships/hyperlink" Target="https://cmpf.eui.eu/local-media-for-democracy-research-results/" TargetMode="External"/><Relationship Id="rId252" Type="http://schemas.openxmlformats.org/officeDocument/2006/relationships/hyperlink" Target="https://commission.europa.eu/publications/2025-rule-law-report-communication-and-country-chapters_en" TargetMode="External"/><Relationship Id="rId273" Type="http://schemas.openxmlformats.org/officeDocument/2006/relationships/hyperlink" Target="https://edmo.eu/areas-of-activities/media-literacy/raising-standards-the-edmo-guidelines/" TargetMode="External"/><Relationship Id="rId47" Type="http://schemas.openxmlformats.org/officeDocument/2006/relationships/hyperlink" Target="https://digital-strategy.ec.europa.eu/en/news/commission-launches-eu5-million-call-strengthen-european-fact-checking-network" TargetMode="External"/><Relationship Id="rId68" Type="http://schemas.openxmlformats.org/officeDocument/2006/relationships/hyperlink" Target="https://digital-strategy.ec.europa.eu/en/funding/commission-launches-call-continuation-european-digital-media-observatory/" TargetMode="External"/><Relationship Id="rId89" Type="http://schemas.openxmlformats.org/officeDocument/2006/relationships/hyperlink" Target="https://www.eeas.europa.eu/eeas/information-integrity-and-countering-foreign-information-manipulation-interference-fimi_en" TargetMode="External"/><Relationship Id="rId112" Type="http://schemas.openxmlformats.org/officeDocument/2006/relationships/hyperlink" Target="https://digital-strategy.ec.europa.eu/en/news/new-cybersecurity-compendium-how-protect-integrity-elections-published" TargetMode="External"/><Relationship Id="rId133" Type="http://schemas.openxmlformats.org/officeDocument/2006/relationships/hyperlink" Target="https://eige.europa.eu/publications-resources/publications/combating-cyber-violence-against-women-and-girls-developing-eu-measurement-framework" TargetMode="External"/><Relationship Id="rId154" Type="http://schemas.openxmlformats.org/officeDocument/2006/relationships/hyperlink" Target="https://cdn.table.media/assets/wp-content/uploads/2025/03/07145057/Gender-Equality-Report-Chapeau-Communication.pdf" TargetMode="External"/><Relationship Id="rId175" Type="http://schemas.openxmlformats.org/officeDocument/2006/relationships/hyperlink" Target="https://digital-strategy.ec.europa.eu/en/news/new-european-digital-media-observatory-hub-fights-disinformation-ukraine-and-moldova" TargetMode="External"/><Relationship Id="rId196" Type="http://schemas.openxmlformats.org/officeDocument/2006/relationships/hyperlink" Target="https://digital-strategy.ec.europa.eu/en/news/commission-services-and-moldovan-authorities-conduct-stress-test-potential-digital-hybrid-threats" TargetMode="External"/><Relationship Id="rId200" Type="http://schemas.openxmlformats.org/officeDocument/2006/relationships/hyperlink" Target="https://digital-strategy.ec.europa.eu/en/news/commission-services-and-moldovan-authorities-conduct-stress-test-potential-digital-hybrid-threats" TargetMode="External"/><Relationship Id="rId16" Type="http://schemas.openxmlformats.org/officeDocument/2006/relationships/hyperlink" Target="https://www.consilium.europa.eu/en/press/press-releases/2025/05/27/presidency-conclusions-on-strengthening-eu-democratic-resilience/" TargetMode="External"/><Relationship Id="rId221" Type="http://schemas.openxmlformats.org/officeDocument/2006/relationships/hyperlink" Target="https://digital-strategy.ec.europa.eu/en/library/2025-european-media-industry-outlook-report" TargetMode="External"/><Relationship Id="rId242" Type="http://schemas.openxmlformats.org/officeDocument/2006/relationships/hyperlink" Target="https://cmpf.eui.eu/local-media-for-democracy-research-results/" TargetMode="External"/><Relationship Id="rId263" Type="http://schemas.openxmlformats.org/officeDocument/2006/relationships/hyperlink" Target="https://commission.europa.eu/publications/guide-eu-citizenship_en" TargetMode="External"/><Relationship Id="rId284" Type="http://schemas.openxmlformats.org/officeDocument/2006/relationships/hyperlink" Target="https://edmo.eu/areas-of-activities/media-literacy/raising-standards-the-edmo-guidelines/" TargetMode="External"/><Relationship Id="rId37" Type="http://schemas.openxmlformats.org/officeDocument/2006/relationships/hyperlink" Target="https://digital-strategy.ec.europa.eu/en/news/commission-launches-eu5-million-call-strengthen-european-fact-checking-network" TargetMode="External"/><Relationship Id="rId58" Type="http://schemas.openxmlformats.org/officeDocument/2006/relationships/hyperlink" Target="https://digital-strategy.ec.europa.eu/en/funding/commission-launches-call-continuation-european-digital-media-observatory/" TargetMode="External"/><Relationship Id="rId79" Type="http://schemas.openxmlformats.org/officeDocument/2006/relationships/hyperlink" Target="http://data.europa.eu/eli/reg/2024/900/oj" TargetMode="External"/><Relationship Id="rId102" Type="http://schemas.openxmlformats.org/officeDocument/2006/relationships/hyperlink" Target="https://www.sis.md/sites/default/files/comunicate/fisiere/Raport_SIS_Public_Interferenta_in_procesul_electoral.pdf" TargetMode="External"/><Relationship Id="rId123" Type="http://schemas.openxmlformats.org/officeDocument/2006/relationships/hyperlink" Target="https://eige.europa.eu/publications-resources/publications/combating-cyber-violence-against-women-and-girls-developing-eu-measurement-framework" TargetMode="External"/><Relationship Id="rId144" Type="http://schemas.openxmlformats.org/officeDocument/2006/relationships/hyperlink" Target="https://eige.europa.eu/publications-resources/publications/combating-cyber-violence-against-women-and-girls-developing-eu-measurement-framework" TargetMode="External"/><Relationship Id="rId90" Type="http://schemas.openxmlformats.org/officeDocument/2006/relationships/hyperlink" Target="https://www.eeas.europa.eu/eeas/information-integrity-and-countering-foreign-information-manipulation-interference-fimi_en" TargetMode="External"/><Relationship Id="rId165" Type="http://schemas.openxmlformats.org/officeDocument/2006/relationships/hyperlink" Target="https://brodhub.eu/en/republic-of-moldova/" TargetMode="External"/><Relationship Id="rId186" Type="http://schemas.openxmlformats.org/officeDocument/2006/relationships/hyperlink" Target="https://digital-strategy.ec.europa.eu/en/news/new-european-digital-media-observatory-hub-fights-disinformation-ukraine-and-moldova" TargetMode="External"/><Relationship Id="rId211" Type="http://schemas.openxmlformats.org/officeDocument/2006/relationships/hyperlink" Target="https://digital-strategy.ec.europa.eu/en/news/commission-services-and-moldovan-authorities-conduct-stress-test-potential-digital-hybrid-threats" TargetMode="External"/><Relationship Id="rId232" Type="http://schemas.openxmlformats.org/officeDocument/2006/relationships/hyperlink" Target="https://cmpf.eui.eu/local-media-for-democracy-research-results/" TargetMode="External"/><Relationship Id="rId253" Type="http://schemas.openxmlformats.org/officeDocument/2006/relationships/hyperlink" Target="https://commission.europa.eu/publications/2025-rule-law-report-communication-and-country-chapters_en" TargetMode="External"/><Relationship Id="rId274" Type="http://schemas.openxmlformats.org/officeDocument/2006/relationships/hyperlink" Target="https://edmo.eu/areas-of-activities/media-literacy/raising-standards-the-edmo-guidelines/" TargetMode="External"/><Relationship Id="rId27" Type="http://schemas.openxmlformats.org/officeDocument/2006/relationships/hyperlink" Target="https://www.eeas.europa.eu/eeas/information-integrity-and-countering-foreign-information-manipulation-interference-fimi_en" TargetMode="External"/><Relationship Id="rId48" Type="http://schemas.openxmlformats.org/officeDocument/2006/relationships/hyperlink" Target="https://digital-strategy.ec.europa.eu/en/news/commission-launches-eu5-million-call-strengthen-european-fact-checking-network" TargetMode="External"/><Relationship Id="rId69" Type="http://schemas.openxmlformats.org/officeDocument/2006/relationships/hyperlink" Target="https://digital-strategy.ec.europa.eu/en/funding/commission-launches-call-continuation-european-digital-media-observatory/" TargetMode="External"/><Relationship Id="rId113" Type="http://schemas.openxmlformats.org/officeDocument/2006/relationships/hyperlink" Target="https://digital-strategy.ec.europa.eu/en/news/new-cybersecurity-compendium-how-protect-integrity-elections-published" TargetMode="External"/><Relationship Id="rId134" Type="http://schemas.openxmlformats.org/officeDocument/2006/relationships/hyperlink" Target="https://eige.europa.eu/publications-resources/publications/combating-cyber-violence-against-women-and-girls-developing-eu-measurement-framework" TargetMode="External"/><Relationship Id="rId80" Type="http://schemas.openxmlformats.org/officeDocument/2006/relationships/hyperlink" Target="https://www.eeas.europa.eu/eeas/information-integrity-and-countering-foreign-information-manipulation-interference-fimi_en" TargetMode="External"/><Relationship Id="rId155" Type="http://schemas.openxmlformats.org/officeDocument/2006/relationships/hyperlink" Target="https://cdn.table.media/assets/wp-content/uploads/2025/03/07145057/Gender-Equality-Report-Chapeau-Communication.pdf" TargetMode="External"/><Relationship Id="rId176" Type="http://schemas.openxmlformats.org/officeDocument/2006/relationships/hyperlink" Target="https://digital-strategy.ec.europa.eu/en/news/new-european-digital-media-observatory-hub-fights-disinformation-ukraine-and-moldova" TargetMode="External"/><Relationship Id="rId197" Type="http://schemas.openxmlformats.org/officeDocument/2006/relationships/hyperlink" Target="https://digital-strategy.ec.europa.eu/en/news/commission-services-and-moldovan-authorities-conduct-stress-test-potential-digital-hybrid-threats" TargetMode="External"/><Relationship Id="rId201" Type="http://schemas.openxmlformats.org/officeDocument/2006/relationships/hyperlink" Target="https://digital-strategy.ec.europa.eu/en/news/commission-services-and-moldovan-authorities-conduct-stress-test-potential-digital-hybrid-threats" TargetMode="External"/><Relationship Id="rId222" Type="http://schemas.openxmlformats.org/officeDocument/2006/relationships/hyperlink" Target="https://digital-strategy.ec.europa.eu/en/library/2025-european-media-industry-outlook-report" TargetMode="External"/><Relationship Id="rId243" Type="http://schemas.openxmlformats.org/officeDocument/2006/relationships/hyperlink" Target="https://commission.europa.eu/publications/2025-rule-law-report-communication-and-country-chapters_en" TargetMode="External"/><Relationship Id="rId264" Type="http://schemas.openxmlformats.org/officeDocument/2006/relationships/hyperlink" Target="https://commission.europa.eu/publications/guide-eu-citizenship_en" TargetMode="External"/><Relationship Id="rId17" Type="http://schemas.openxmlformats.org/officeDocument/2006/relationships/hyperlink" Target="https://www.eeas.europa.eu/eeas/information-integrity-and-countering-foreign-information-manipulation-interference-fimi_en" TargetMode="External"/><Relationship Id="rId38" Type="http://schemas.openxmlformats.org/officeDocument/2006/relationships/hyperlink" Target="https://digital-strategy.ec.europa.eu/en/news/commission-launches-eu5-million-call-strengthen-european-fact-checking-network" TargetMode="External"/><Relationship Id="rId59" Type="http://schemas.openxmlformats.org/officeDocument/2006/relationships/hyperlink" Target="https://digital-strategy.ec.europa.eu/en/funding/commission-launches-call-continuation-european-digital-media-observatory/" TargetMode="External"/><Relationship Id="rId103" Type="http://schemas.openxmlformats.org/officeDocument/2006/relationships/hyperlink" Target="https://digital-strategy.ec.europa.eu/en/news/new-cybersecurity-compendium-how-protect-integrity-elections-published" TargetMode="External"/><Relationship Id="rId124" Type="http://schemas.openxmlformats.org/officeDocument/2006/relationships/hyperlink" Target="https://eige.europa.eu/publications-resources/publications/combating-cyber-violence-against-women-and-girls-developing-eu-measurement-framework" TargetMode="External"/><Relationship Id="rId70" Type="http://schemas.openxmlformats.org/officeDocument/2006/relationships/hyperlink" Target="https://digital-strategy.ec.europa.eu/en/funding/commission-launches-call-continuation-european-digital-media-observatory/" TargetMode="External"/><Relationship Id="rId91" Type="http://schemas.openxmlformats.org/officeDocument/2006/relationships/hyperlink" Target="https://www.eeas.europa.eu/eeas/information-integrity-and-countering-foreign-information-manipulation-interference-fimi_en" TargetMode="External"/><Relationship Id="rId145" Type="http://schemas.openxmlformats.org/officeDocument/2006/relationships/hyperlink" Target="https://cdn.table.media/assets/wp-content/uploads/2025/03/07145057/Gender-Equality-Report-Chapeau-Communication.pdf" TargetMode="External"/><Relationship Id="rId166" Type="http://schemas.openxmlformats.org/officeDocument/2006/relationships/hyperlink" Target="https://brodhub.eu/en/republic-of-moldova/" TargetMode="External"/><Relationship Id="rId187" Type="http://schemas.openxmlformats.org/officeDocument/2006/relationships/hyperlink" Target="https://digital-strategy.ec.europa.eu/en/news/new-european-digital-media-observatory-hub-fights-disinformation-ukraine-and-moldova" TargetMode="External"/><Relationship Id="rId1" Type="http://schemas.openxmlformats.org/officeDocument/2006/relationships/hyperlink" Target="https://www.consilium.europa.eu/en/press/press-releases/2025/05/27/presidency-conclusions-on-strengthening-eu-democratic-resilience/" TargetMode="External"/><Relationship Id="rId212" Type="http://schemas.openxmlformats.org/officeDocument/2006/relationships/hyperlink" Target="https://digital-strategy.ec.europa.eu/en/news/commission-services-and-moldovan-authorities-conduct-stress-test-potential-digital-hybrid-threats" TargetMode="External"/><Relationship Id="rId233" Type="http://schemas.openxmlformats.org/officeDocument/2006/relationships/hyperlink" Target="https://cmpf.eui.eu/local-media-for-democracy-research-results/" TargetMode="External"/><Relationship Id="rId254" Type="http://schemas.openxmlformats.org/officeDocument/2006/relationships/hyperlink" Target="https://commission.europa.eu/publications/2025-rule-law-report-communication-and-country-chapters_en" TargetMode="External"/><Relationship Id="rId28" Type="http://schemas.openxmlformats.org/officeDocument/2006/relationships/hyperlink" Target="https://www.eeas.europa.eu/eeas/information-integrity-and-countering-foreign-information-manipulation-interference-fimi_en" TargetMode="External"/><Relationship Id="rId49" Type="http://schemas.openxmlformats.org/officeDocument/2006/relationships/hyperlink" Target="https://digital-strategy.ec.europa.eu/en/news/commission-launches-eu5-million-call-strengthen-european-fact-checking-network" TargetMode="External"/><Relationship Id="rId114" Type="http://schemas.openxmlformats.org/officeDocument/2006/relationships/hyperlink" Target="https://digital-strategy.ec.europa.eu/en/news/new-cybersecurity-compendium-how-protect-integrity-elections-published" TargetMode="External"/><Relationship Id="rId275" Type="http://schemas.openxmlformats.org/officeDocument/2006/relationships/hyperlink" Target="https://edmo.eu/areas-of-activities/media-literacy/raising-standards-the-edmo-guidelines/" TargetMode="External"/><Relationship Id="rId60" Type="http://schemas.openxmlformats.org/officeDocument/2006/relationships/hyperlink" Target="https://digital-strategy.ec.europa.eu/en/funding/commission-launches-call-continuation-european-digital-media-observatory/" TargetMode="External"/><Relationship Id="rId81" Type="http://schemas.openxmlformats.org/officeDocument/2006/relationships/hyperlink" Target="https://www.eeas.europa.eu/eeas/information-integrity-and-countering-foreign-information-manipulation-interference-fimi_en" TargetMode="External"/><Relationship Id="rId135" Type="http://schemas.openxmlformats.org/officeDocument/2006/relationships/hyperlink" Target="https://eige.europa.eu/publications-resources/publications/combating-cyber-violence-against-women-and-girls-developing-eu-measurement-framework" TargetMode="External"/><Relationship Id="rId156" Type="http://schemas.openxmlformats.org/officeDocument/2006/relationships/hyperlink" Target="https://cdn.table.media/assets/wp-content/uploads/2025/03/07145057/Gender-Equality-Report-Chapeau-Communication.pdf" TargetMode="External"/><Relationship Id="rId177" Type="http://schemas.openxmlformats.org/officeDocument/2006/relationships/hyperlink" Target="https://digital-strategy.ec.europa.eu/en/news/new-european-digital-media-observatory-hub-fights-disinformation-ukraine-and-moldova" TargetMode="External"/><Relationship Id="rId198" Type="http://schemas.openxmlformats.org/officeDocument/2006/relationships/hyperlink" Target="https://digital-strategy.ec.europa.eu/en/news/commission-services-and-moldovan-authorities-conduct-stress-test-potential-digital-hybrid-threats" TargetMode="External"/><Relationship Id="rId202" Type="http://schemas.openxmlformats.org/officeDocument/2006/relationships/hyperlink" Target="https://digital-strategy.ec.europa.eu/en/news/commission-services-and-moldovan-authorities-conduct-stress-test-potential-digital-hybrid-threats" TargetMode="External"/><Relationship Id="rId223" Type="http://schemas.openxmlformats.org/officeDocument/2006/relationships/hyperlink" Target="https://digital-strategy.ec.europa.eu/en/library/2025-european-media-industry-outlook-report" TargetMode="External"/><Relationship Id="rId244" Type="http://schemas.openxmlformats.org/officeDocument/2006/relationships/hyperlink" Target="https://commission.europa.eu/publications/2025-rule-law-report-communication-and-country-chapters_en" TargetMode="External"/><Relationship Id="rId18" Type="http://schemas.openxmlformats.org/officeDocument/2006/relationships/hyperlink" Target="https://www.eeas.europa.eu/eeas/information-integrity-and-countering-foreign-information-manipulation-interference-fimi_en" TargetMode="External"/><Relationship Id="rId39" Type="http://schemas.openxmlformats.org/officeDocument/2006/relationships/hyperlink" Target="https://digital-strategy.ec.europa.eu/en/news/commission-launches-eu5-million-call-strengthen-european-fact-checking-network" TargetMode="External"/><Relationship Id="rId265" Type="http://schemas.openxmlformats.org/officeDocument/2006/relationships/hyperlink" Target="https://commission.europa.eu/publications/guide-eu-citizenship_en" TargetMode="External"/><Relationship Id="rId50" Type="http://schemas.openxmlformats.org/officeDocument/2006/relationships/hyperlink" Target="https://digital-strategy.ec.europa.eu/en/news/commission-launches-eu5-million-call-strengthen-european-fact-checking-network" TargetMode="External"/><Relationship Id="rId104" Type="http://schemas.openxmlformats.org/officeDocument/2006/relationships/hyperlink" Target="https://digital-strategy.ec.europa.eu/en/news/new-cybersecurity-compendium-how-protect-integrity-elections-published" TargetMode="External"/><Relationship Id="rId125" Type="http://schemas.openxmlformats.org/officeDocument/2006/relationships/hyperlink" Target="https://eige.europa.eu/publications-resources/publications/combating-cyber-violence-against-women-and-girls-developing-eu-measurement-framework" TargetMode="External"/><Relationship Id="rId146" Type="http://schemas.openxmlformats.org/officeDocument/2006/relationships/hyperlink" Target="https://cdn.table.media/assets/wp-content/uploads/2025/03/07145057/Gender-Equality-Report-Chapeau-Communication.pdf" TargetMode="External"/><Relationship Id="rId167" Type="http://schemas.openxmlformats.org/officeDocument/2006/relationships/hyperlink" Target="https://digital-strategy.ec.europa.eu/en/news/new-european-digital-media-observatory-hub-fights-disinformation-ukraine-and-moldova" TargetMode="External"/><Relationship Id="rId188" Type="http://schemas.openxmlformats.org/officeDocument/2006/relationships/hyperlink" Target="https://digital-strategy.ec.europa.eu/en/news/new-european-digital-media-observatory-hub-fights-disinformation-ukraine-and-moldova" TargetMode="External"/><Relationship Id="rId71" Type="http://schemas.openxmlformats.org/officeDocument/2006/relationships/hyperlink" Target="https://digital-strategy.ec.europa.eu/en/funding/commission-launches-call-continuation-european-digital-media-observatory/" TargetMode="External"/><Relationship Id="rId92" Type="http://schemas.openxmlformats.org/officeDocument/2006/relationships/hyperlink" Target="https://www.eeas.europa.eu/eeas/information-integrity-and-countering-foreign-information-manipulation-interference-fimi_en" TargetMode="External"/><Relationship Id="rId213" Type="http://schemas.openxmlformats.org/officeDocument/2006/relationships/hyperlink" Target="https://digital-strategy.ec.europa.eu/en/news/commission-services-and-moldovan-authorities-conduct-stress-test-potential-digital-hybrid-threats" TargetMode="External"/><Relationship Id="rId234" Type="http://schemas.openxmlformats.org/officeDocument/2006/relationships/hyperlink" Target="https://cmpf.eui.eu/local-media-for-democracy-research-results/" TargetMode="External"/><Relationship Id="rId2" Type="http://schemas.openxmlformats.org/officeDocument/2006/relationships/hyperlink" Target="https://www.consilium.europa.eu/en/press/press-releases/2025/05/27/presidency-conclusions-on-strengthening-eu-democratic-resilience/" TargetMode="External"/><Relationship Id="rId29" Type="http://schemas.openxmlformats.org/officeDocument/2006/relationships/hyperlink" Target="https://www.eeas.europa.eu/eeas/information-integrity-and-countering-foreign-information-manipulation-interference-fimi_en" TargetMode="External"/><Relationship Id="rId255" Type="http://schemas.openxmlformats.org/officeDocument/2006/relationships/hyperlink" Target="https://commission.europa.eu/publications/2025-rule-law-report-communication-and-country-chapters_en" TargetMode="External"/><Relationship Id="rId276" Type="http://schemas.openxmlformats.org/officeDocument/2006/relationships/hyperlink" Target="https://edmo.eu/areas-of-activities/media-literacy/raising-standards-the-edmo-guidelines/" TargetMode="External"/><Relationship Id="rId40" Type="http://schemas.openxmlformats.org/officeDocument/2006/relationships/hyperlink" Target="https://digital-strategy.ec.europa.eu/en/news/commission-launches-eu5-million-call-strengthen-european-fact-checking-network" TargetMode="External"/><Relationship Id="rId115" Type="http://schemas.openxmlformats.org/officeDocument/2006/relationships/hyperlink" Target="https://digital-strategy.ec.europa.eu/en/news/new-cybersecurity-compendium-how-protect-integrity-elections-published" TargetMode="External"/><Relationship Id="rId136" Type="http://schemas.openxmlformats.org/officeDocument/2006/relationships/hyperlink" Target="https://eige.europa.eu/publications-resources/publications/combating-cyber-violence-against-women-and-girls-developing-eu-measurement-framework" TargetMode="External"/><Relationship Id="rId157" Type="http://schemas.openxmlformats.org/officeDocument/2006/relationships/hyperlink" Target="https://fact-hub.eu/moldova/" TargetMode="External"/><Relationship Id="rId178" Type="http://schemas.openxmlformats.org/officeDocument/2006/relationships/hyperlink" Target="https://digital-strategy.ec.europa.eu/en/news/new-european-digital-media-observatory-hub-fights-disinformation-ukraine-and-moldova" TargetMode="External"/><Relationship Id="rId61" Type="http://schemas.openxmlformats.org/officeDocument/2006/relationships/hyperlink" Target="https://digital-strategy.ec.europa.eu/en/funding/commission-launches-call-continuation-european-digital-media-observatory/" TargetMode="External"/><Relationship Id="rId82" Type="http://schemas.openxmlformats.org/officeDocument/2006/relationships/hyperlink" Target="https://www.eeas.europa.eu/eeas/information-integrity-and-countering-foreign-information-manipulation-interference-fimi_en" TargetMode="External"/><Relationship Id="rId199" Type="http://schemas.openxmlformats.org/officeDocument/2006/relationships/hyperlink" Target="https://digital-strategy.ec.europa.eu/en/news/commission-services-and-moldovan-authorities-conduct-stress-test-potential-digital-hybrid-threats" TargetMode="External"/><Relationship Id="rId203" Type="http://schemas.openxmlformats.org/officeDocument/2006/relationships/hyperlink" Target="https://digital-strategy.ec.europa.eu/en/news/commission-services-and-moldovan-authorities-conduct-stress-test-potential-digital-hybrid-threats" TargetMode="External"/><Relationship Id="rId19" Type="http://schemas.openxmlformats.org/officeDocument/2006/relationships/hyperlink" Target="https://www.eeas.europa.eu/eeas/information-integrity-and-countering-foreign-information-manipulation-interference-fimi_en" TargetMode="External"/><Relationship Id="rId224" Type="http://schemas.openxmlformats.org/officeDocument/2006/relationships/hyperlink" Target="https://digital-strategy.ec.europa.eu/en/library/2025-european-media-industry-outlook-report" TargetMode="External"/><Relationship Id="rId245" Type="http://schemas.openxmlformats.org/officeDocument/2006/relationships/hyperlink" Target="https://commission.europa.eu/publications/2025-rule-law-report-communication-and-country-chapters_en" TargetMode="External"/><Relationship Id="rId266" Type="http://schemas.openxmlformats.org/officeDocument/2006/relationships/hyperlink" Target="https://commission.europa.eu/publications/guide-eu-citizenship_en" TargetMode="External"/><Relationship Id="rId30" Type="http://schemas.openxmlformats.org/officeDocument/2006/relationships/hyperlink" Target="https://www.eeas.europa.eu/eeas/information-integrity-and-countering-foreign-information-manipulation-interference-fimi_en" TargetMode="External"/><Relationship Id="rId105" Type="http://schemas.openxmlformats.org/officeDocument/2006/relationships/hyperlink" Target="https://digital-strategy.ec.europa.eu/en/news/new-cybersecurity-compendium-how-protect-integrity-elections-published" TargetMode="External"/><Relationship Id="rId126" Type="http://schemas.openxmlformats.org/officeDocument/2006/relationships/hyperlink" Target="https://eige.europa.eu/publications-resources/publications/combating-cyber-violence-against-women-and-girls-developing-eu-measurement-framework" TargetMode="External"/><Relationship Id="rId147" Type="http://schemas.openxmlformats.org/officeDocument/2006/relationships/hyperlink" Target="https://cdn.table.media/assets/wp-content/uploads/2025/03/07145057/Gender-Equality-Report-Chapeau-Communication.pdf" TargetMode="External"/><Relationship Id="rId168" Type="http://schemas.openxmlformats.org/officeDocument/2006/relationships/hyperlink" Target="https://digital-strategy.ec.europa.eu/en/news/new-european-digital-media-observatory-hub-fights-disinformation-ukraine-and-moldova" TargetMode="External"/><Relationship Id="rId51" Type="http://schemas.openxmlformats.org/officeDocument/2006/relationships/hyperlink" Target="https://digital-strategy.ec.europa.eu/en/news/commission-launches-eu5-million-call-strengthen-european-fact-checking-network" TargetMode="External"/><Relationship Id="rId72" Type="http://schemas.openxmlformats.org/officeDocument/2006/relationships/hyperlink" Target="https://digital-strategy.ec.europa.eu/en/funding/commission-launches-call-continuation-european-digital-media-observatory/" TargetMode="External"/><Relationship Id="rId93" Type="http://schemas.openxmlformats.org/officeDocument/2006/relationships/hyperlink" Target="https://www.eeas.europa.eu/eeas/information-integrity-and-countering-foreign-information-manipulation-interference-fimi_en" TargetMode="External"/><Relationship Id="rId189" Type="http://schemas.openxmlformats.org/officeDocument/2006/relationships/hyperlink" Target="https://digital-strategy.ec.europa.eu/en/news/new-european-digital-media-observatory-hub-fights-disinformation-ukraine-and-moldova" TargetMode="External"/><Relationship Id="rId3" Type="http://schemas.openxmlformats.org/officeDocument/2006/relationships/hyperlink" Target="https://www.consilium.europa.eu/en/press/press-releases/2025/05/27/presidency-conclusions-on-strengthening-eu-democratic-resilience/" TargetMode="External"/><Relationship Id="rId214" Type="http://schemas.openxmlformats.org/officeDocument/2006/relationships/hyperlink" Target="https://digital-strategy.ec.europa.eu/en/news/commission-services-and-moldovan-authorities-conduct-stress-test-potential-digital-hybrid-threats" TargetMode="External"/><Relationship Id="rId235" Type="http://schemas.openxmlformats.org/officeDocument/2006/relationships/hyperlink" Target="https://cmpf.eui.eu/local-media-for-democracy-research-results/" TargetMode="External"/><Relationship Id="rId256" Type="http://schemas.openxmlformats.org/officeDocument/2006/relationships/hyperlink" Target="https://commission.europa.eu/publications/2025-rule-law-report-communication-and-country-chapters_en" TargetMode="External"/><Relationship Id="rId277" Type="http://schemas.openxmlformats.org/officeDocument/2006/relationships/hyperlink" Target="https://edmo.eu/areas-of-activities/media-literacy/raising-standards-the-edmo-guidelines/" TargetMode="External"/><Relationship Id="rId116" Type="http://schemas.openxmlformats.org/officeDocument/2006/relationships/hyperlink" Target="https://digital-strategy.ec.europa.eu/en/news/new-cybersecurity-compendium-how-protect-integrity-elections-published" TargetMode="External"/><Relationship Id="rId137" Type="http://schemas.openxmlformats.org/officeDocument/2006/relationships/hyperlink" Target="https://eige.europa.eu/publications-resources/publications/combating-cyber-violence-against-women-and-girls-developing-eu-measurement-framework" TargetMode="External"/><Relationship Id="rId158" Type="http://schemas.openxmlformats.org/officeDocument/2006/relationships/hyperlink" Target="https://fact-hub.eu/moldova/" TargetMode="External"/><Relationship Id="rId20" Type="http://schemas.openxmlformats.org/officeDocument/2006/relationships/hyperlink" Target="https://www.eeas.europa.eu/eeas/information-integrity-and-countering-foreign-information-manipulation-interference-fimi_en" TargetMode="External"/><Relationship Id="rId41" Type="http://schemas.openxmlformats.org/officeDocument/2006/relationships/hyperlink" Target="https://digital-strategy.ec.europa.eu/en/news/commission-launches-eu5-million-call-strengthen-european-fact-checking-network" TargetMode="External"/><Relationship Id="rId62" Type="http://schemas.openxmlformats.org/officeDocument/2006/relationships/hyperlink" Target="https://digital-strategy.ec.europa.eu/en/funding/commission-launches-call-continuation-european-digital-media-observatory/" TargetMode="External"/><Relationship Id="rId83" Type="http://schemas.openxmlformats.org/officeDocument/2006/relationships/hyperlink" Target="https://www.eeas.europa.eu/eeas/information-integrity-and-countering-foreign-information-manipulation-interference-fimi_en" TargetMode="External"/><Relationship Id="rId179" Type="http://schemas.openxmlformats.org/officeDocument/2006/relationships/hyperlink" Target="https://digital-strategy.ec.europa.eu/en/news/new-european-digital-media-observatory-hub-fights-disinformation-ukraine-and-moldova" TargetMode="External"/><Relationship Id="rId190" Type="http://schemas.openxmlformats.org/officeDocument/2006/relationships/hyperlink" Target="https://digital-strategy.ec.europa.eu/en/news/new-european-digital-media-observatory-hub-fights-disinformation-ukraine-and-moldova" TargetMode="External"/><Relationship Id="rId204" Type="http://schemas.openxmlformats.org/officeDocument/2006/relationships/hyperlink" Target="https://digital-strategy.ec.europa.eu/en/news/commission-services-and-moldovan-authorities-conduct-stress-test-potential-digital-hybrid-threats" TargetMode="External"/><Relationship Id="rId225" Type="http://schemas.openxmlformats.org/officeDocument/2006/relationships/hyperlink" Target="https://digital-strategy.ec.europa.eu/en/library/2025-european-media-industry-outlook-report" TargetMode="External"/><Relationship Id="rId246" Type="http://schemas.openxmlformats.org/officeDocument/2006/relationships/hyperlink" Target="https://commission.europa.eu/publications/2025-rule-law-report-communication-and-country-chapters_en" TargetMode="External"/><Relationship Id="rId267" Type="http://schemas.openxmlformats.org/officeDocument/2006/relationships/hyperlink" Target="https://commission.europa.eu/publications/guide-eu-citizenship_en" TargetMode="External"/><Relationship Id="rId106" Type="http://schemas.openxmlformats.org/officeDocument/2006/relationships/hyperlink" Target="https://digital-strategy.ec.europa.eu/en/news/new-cybersecurity-compendium-how-protect-integrity-elections-published" TargetMode="External"/><Relationship Id="rId127" Type="http://schemas.openxmlformats.org/officeDocument/2006/relationships/hyperlink" Target="https://eige.europa.eu/publications-resources/publications/combating-cyber-violence-against-women-and-girls-developing-eu-measurement-framework" TargetMode="External"/><Relationship Id="rId10" Type="http://schemas.openxmlformats.org/officeDocument/2006/relationships/hyperlink" Target="https://www.consilium.europa.eu/en/press/press-releases/2025/05/27/presidency-conclusions-on-strengthening-eu-democratic-resilience/" TargetMode="External"/><Relationship Id="rId31" Type="http://schemas.openxmlformats.org/officeDocument/2006/relationships/hyperlink" Target="https://www.eeas.europa.eu/eeas/information-integrity-and-countering-foreign-information-manipulation-interference-fimi_en" TargetMode="External"/><Relationship Id="rId52" Type="http://schemas.openxmlformats.org/officeDocument/2006/relationships/hyperlink" Target="https://digital-strategy.ec.europa.eu/en/news/commission-launches-eu5-million-call-strengthen-european-fact-checking-network" TargetMode="External"/><Relationship Id="rId73" Type="http://schemas.openxmlformats.org/officeDocument/2006/relationships/hyperlink" Target="https://digital-strategy.ec.europa.eu/en/funding/commission-launches-call-continuation-european-digital-media-observatory/" TargetMode="External"/><Relationship Id="rId94" Type="http://schemas.openxmlformats.org/officeDocument/2006/relationships/hyperlink" Target="https://www.eeas.europa.eu/eeas/information-integrity-and-countering-foreign-information-manipulation-interference-fimi_en" TargetMode="External"/><Relationship Id="rId148" Type="http://schemas.openxmlformats.org/officeDocument/2006/relationships/hyperlink" Target="https://cdn.table.media/assets/wp-content/uploads/2025/03/07145057/Gender-Equality-Report-Chapeau-Communication.pdf" TargetMode="External"/><Relationship Id="rId169" Type="http://schemas.openxmlformats.org/officeDocument/2006/relationships/hyperlink" Target="https://digital-strategy.ec.europa.eu/en/news/new-european-digital-media-observatory-hub-fights-disinformation-ukraine-and-moldova" TargetMode="External"/><Relationship Id="rId4" Type="http://schemas.openxmlformats.org/officeDocument/2006/relationships/hyperlink" Target="https://www.consilium.europa.eu/en/press/press-releases/2025/05/27/presidency-conclusions-on-strengthening-eu-democratic-resilience/" TargetMode="External"/><Relationship Id="rId180" Type="http://schemas.openxmlformats.org/officeDocument/2006/relationships/hyperlink" Target="https://digital-strategy.ec.europa.eu/en/news/new-european-digital-media-observatory-hub-fights-disinformation-ukraine-and-moldova" TargetMode="External"/><Relationship Id="rId215" Type="http://schemas.openxmlformats.org/officeDocument/2006/relationships/hyperlink" Target="https://digital-strategy.ec.europa.eu/en/news/commission-services-and-moldovan-authorities-conduct-stress-test-potential-digital-hybrid-threats" TargetMode="External"/><Relationship Id="rId236" Type="http://schemas.openxmlformats.org/officeDocument/2006/relationships/hyperlink" Target="https://cmpf.eui.eu/local-media-for-democracy-research-results/" TargetMode="External"/><Relationship Id="rId257" Type="http://schemas.openxmlformats.org/officeDocument/2006/relationships/hyperlink" Target="https://commission.europa.eu/publications/2025-rule-law-report-communication-and-country-chapters_en" TargetMode="External"/><Relationship Id="rId278" Type="http://schemas.openxmlformats.org/officeDocument/2006/relationships/hyperlink" Target="https://edmo.eu/areas-of-activities/media-literacy/raising-standards-the-edmo-guidelines/" TargetMode="External"/><Relationship Id="rId42" Type="http://schemas.openxmlformats.org/officeDocument/2006/relationships/hyperlink" Target="https://digital-strategy.ec.europa.eu/en/news/commission-launches-eu5-million-call-strengthen-european-fact-checking-network" TargetMode="External"/><Relationship Id="rId84" Type="http://schemas.openxmlformats.org/officeDocument/2006/relationships/hyperlink" Target="https://www.eeas.europa.eu/eeas/information-integrity-and-countering-foreign-information-manipulation-interference-fimi_en" TargetMode="External"/><Relationship Id="rId138" Type="http://schemas.openxmlformats.org/officeDocument/2006/relationships/hyperlink" Target="https://eige.europa.eu/publications-resources/publications/combating-cyber-violence-against-women-and-girls-developing-eu-measurement-framework" TargetMode="External"/><Relationship Id="rId191" Type="http://schemas.openxmlformats.org/officeDocument/2006/relationships/hyperlink" Target="https://digital-strategy.ec.europa.eu/en/news/commission-services-and-moldovan-authorities-conduct-stress-test-potential-digital-hybrid-threats" TargetMode="External"/><Relationship Id="rId205" Type="http://schemas.openxmlformats.org/officeDocument/2006/relationships/hyperlink" Target="https://digital-strategy.ec.europa.eu/en/news/commission-services-and-moldovan-authorities-conduct-stress-test-potential-digital-hybrid-threats" TargetMode="External"/><Relationship Id="rId247" Type="http://schemas.openxmlformats.org/officeDocument/2006/relationships/hyperlink" Target="https://commission.europa.eu/publications/2025-rule-law-report-communication-and-country-chapters_en" TargetMode="External"/><Relationship Id="rId107" Type="http://schemas.openxmlformats.org/officeDocument/2006/relationships/hyperlink" Target="https://digital-strategy.ec.europa.eu/en/news/new-cybersecurity-compendium-how-protect-integrity-elections-published" TargetMode="External"/><Relationship Id="rId11" Type="http://schemas.openxmlformats.org/officeDocument/2006/relationships/hyperlink" Target="https://www.consilium.europa.eu/en/press/press-releases/2025/05/27/presidency-conclusions-on-strengthening-eu-democratic-resilience/" TargetMode="External"/><Relationship Id="rId53" Type="http://schemas.openxmlformats.org/officeDocument/2006/relationships/hyperlink" Target="https://digital-strategy.ec.europa.eu/en/news/commission-launches-eu5-million-call-strengthen-european-fact-checking-network" TargetMode="External"/><Relationship Id="rId149" Type="http://schemas.openxmlformats.org/officeDocument/2006/relationships/hyperlink" Target="https://cdn.table.media/assets/wp-content/uploads/2025/03/07145057/Gender-Equality-Report-Chapeau-Communication.pdf" TargetMode="External"/><Relationship Id="rId95" Type="http://schemas.openxmlformats.org/officeDocument/2006/relationships/hyperlink" Target="https://www.eeas.europa.eu/eeas/information-integrity-and-countering-foreign-information-manipulation-interference-fimi_en" TargetMode="External"/><Relationship Id="rId160" Type="http://schemas.openxmlformats.org/officeDocument/2006/relationships/hyperlink" Target="https://fact-hub.eu/moldova/" TargetMode="External"/><Relationship Id="rId216" Type="http://schemas.openxmlformats.org/officeDocument/2006/relationships/hyperlink" Target="https://digital-strategy.ec.europa.eu/en/news/commission-services-and-moldovan-authorities-conduct-stress-test-potential-digital-hybrid-threats" TargetMode="External"/><Relationship Id="rId258"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10819</Words>
  <Characters>63834</Characters>
  <Application>Microsoft Office Word</Application>
  <DocSecurity>0</DocSecurity>
  <Lines>531</Lines>
  <Paragraphs>149</Paragraphs>
  <ScaleCrop>false</ScaleCrop>
  <Company/>
  <LinksUpToDate>false</LinksUpToDate>
  <CharactersWithSpaces>74504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Cejnar</dc:creator>
  <cp:keywords/>
  <cp:lastModifiedBy>Josef Cejnar</cp:lastModifiedBy>
  <cp:revision>2</cp:revision>
  <dcterms:created xsi:type="dcterms:W3CDTF">2026-01-08T08:11:00Z</dcterms:created>
  <dcterms:modified xsi:type="dcterms:W3CDTF">2026-01-08T08:13:00Z</dcterms:modified>
</cp:coreProperties>
</file>