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3655" w14:textId="77777777" w:rsidR="00BC5764" w:rsidRPr="00115B9A" w:rsidRDefault="00BC5764" w:rsidP="009B2E39">
      <w:pPr>
        <w:pStyle w:val="slovanseznam"/>
        <w:rPr>
          <w:rFonts w:cstheme="minorHAnsi"/>
        </w:rPr>
      </w:pPr>
      <w:r w:rsidRPr="00115B9A">
        <w:rPr>
          <w:rFonts w:cstheme="minorHAnsi"/>
        </w:rPr>
        <w:t>Výchozí situace</w:t>
      </w:r>
    </w:p>
    <w:p w14:paraId="1AD81FD1" w14:textId="77777777" w:rsidR="00245CA5" w:rsidRPr="00115B9A" w:rsidRDefault="000C70DC" w:rsidP="002011AA">
      <w:pPr>
        <w:pStyle w:val="slovanseznam2"/>
        <w:rPr>
          <w:rFonts w:cstheme="minorHAnsi"/>
        </w:rPr>
      </w:pPr>
      <w:r w:rsidRPr="00115B9A">
        <w:rPr>
          <w:rFonts w:cstheme="minorHAnsi"/>
        </w:rPr>
        <w:t>P</w:t>
      </w:r>
      <w:r w:rsidR="00245CA5" w:rsidRPr="00115B9A">
        <w:rPr>
          <w:rFonts w:cstheme="minorHAnsi"/>
        </w:rPr>
        <w:t>oslední jednání Tripartity</w:t>
      </w:r>
    </w:p>
    <w:p w14:paraId="70495819" w14:textId="77777777" w:rsidR="005219F3" w:rsidRPr="00115B9A" w:rsidRDefault="005219F3" w:rsidP="005219F3">
      <w:pPr>
        <w:rPr>
          <w:rFonts w:cstheme="minorHAnsi"/>
        </w:rPr>
      </w:pPr>
      <w:r w:rsidRPr="00115B9A">
        <w:rPr>
          <w:rFonts w:cstheme="minorHAnsi"/>
        </w:rPr>
        <w:t xml:space="preserve">Problematika dekarbonizace byla na Pracovním týmu Tripartity naposledy diskutována 1.10.2021. Kde byly prezentovány možnosti mezirezortní koordinace přístupu k problematice Zelené dohody pro Evropu (EGD </w:t>
      </w:r>
      <w:proofErr w:type="spellStart"/>
      <w:r w:rsidRPr="00115B9A">
        <w:rPr>
          <w:rFonts w:cstheme="minorHAnsi"/>
        </w:rPr>
        <w:t>European</w:t>
      </w:r>
      <w:proofErr w:type="spellEnd"/>
      <w:r w:rsidRPr="00115B9A">
        <w:rPr>
          <w:rFonts w:cstheme="minorHAnsi"/>
        </w:rPr>
        <w:t xml:space="preserve"> Green </w:t>
      </w:r>
      <w:proofErr w:type="spellStart"/>
      <w:r w:rsidRPr="00115B9A">
        <w:rPr>
          <w:rFonts w:cstheme="minorHAnsi"/>
        </w:rPr>
        <w:t>Deal</w:t>
      </w:r>
      <w:proofErr w:type="spellEnd"/>
      <w:r w:rsidRPr="00115B9A">
        <w:rPr>
          <w:rFonts w:cstheme="minorHAnsi"/>
        </w:rPr>
        <w:t xml:space="preserve">), informace o balíčku Fit </w:t>
      </w:r>
      <w:proofErr w:type="spellStart"/>
      <w:r w:rsidRPr="00115B9A">
        <w:rPr>
          <w:rFonts w:cstheme="minorHAnsi"/>
        </w:rPr>
        <w:t>for</w:t>
      </w:r>
      <w:proofErr w:type="spellEnd"/>
      <w:r w:rsidRPr="00115B9A">
        <w:rPr>
          <w:rFonts w:cstheme="minorHAnsi"/>
        </w:rPr>
        <w:t xml:space="preserve"> 55 a rámcové pozice k balíčku Fit </w:t>
      </w:r>
      <w:proofErr w:type="spellStart"/>
      <w:r w:rsidRPr="00115B9A">
        <w:rPr>
          <w:rFonts w:cstheme="minorHAnsi"/>
        </w:rPr>
        <w:t>for</w:t>
      </w:r>
      <w:proofErr w:type="spellEnd"/>
      <w:r w:rsidRPr="00115B9A">
        <w:rPr>
          <w:rFonts w:cstheme="minorHAnsi"/>
        </w:rPr>
        <w:t xml:space="preserve"> 55. Pracovní tým Tripartity doporučil obnovit poradu ekonomických ministrů, které by se účastnili i zástupci sociálních a hospodářských partnerů a doporučil vytvořit při Úřadu vlády ČR analytický tým k EGD. Na Tripartitě ale tato doporučení nebyla následně projednána.</w:t>
      </w:r>
    </w:p>
    <w:p w14:paraId="48C59DFF" w14:textId="77777777" w:rsidR="005219F3" w:rsidRPr="00115B9A" w:rsidRDefault="005219F3" w:rsidP="005219F3">
      <w:pPr>
        <w:rPr>
          <w:rFonts w:cstheme="minorHAnsi"/>
        </w:rPr>
      </w:pPr>
      <w:r w:rsidRPr="00115B9A">
        <w:rPr>
          <w:rFonts w:cstheme="minorHAnsi"/>
        </w:rPr>
        <w:t xml:space="preserve">Balíček opatření Fit </w:t>
      </w:r>
      <w:proofErr w:type="spellStart"/>
      <w:r w:rsidRPr="00115B9A">
        <w:rPr>
          <w:rFonts w:cstheme="minorHAnsi"/>
        </w:rPr>
        <w:t>for</w:t>
      </w:r>
      <w:proofErr w:type="spellEnd"/>
      <w:r w:rsidRPr="00115B9A">
        <w:rPr>
          <w:rFonts w:cstheme="minorHAnsi"/>
        </w:rPr>
        <w:t xml:space="preserve"> 55 představila EK dne 1</w:t>
      </w:r>
      <w:r w:rsidR="00CB39D2">
        <w:rPr>
          <w:rFonts w:cstheme="minorHAnsi"/>
        </w:rPr>
        <w:t>4</w:t>
      </w:r>
      <w:r w:rsidRPr="00115B9A">
        <w:rPr>
          <w:rFonts w:cstheme="minorHAnsi"/>
        </w:rPr>
        <w:t xml:space="preserve">.7.2021 v návaznosti na EGD schválenou 11.12.2019. Balíček navrhuje konkrétní legislativní a regulatorní opatření k dosažení cílů EGD. Následně byl 16.12.2021 uveřejněn tzv. plynárenský balíček a 31.12.2021 zaslala Evropská komise členským státům pro jejich první připomínky návrh k zařazení činností v rámci jaderné energie a zemního plynu do taxonomie udržitelných financí.  </w:t>
      </w:r>
    </w:p>
    <w:p w14:paraId="604B18E0" w14:textId="77777777" w:rsidR="005219F3" w:rsidRPr="00115B9A" w:rsidRDefault="005219F3" w:rsidP="005219F3">
      <w:pPr>
        <w:rPr>
          <w:rFonts w:cstheme="minorHAnsi"/>
        </w:rPr>
      </w:pPr>
      <w:r w:rsidRPr="00115B9A">
        <w:rPr>
          <w:rFonts w:cstheme="minorHAnsi"/>
        </w:rPr>
        <w:t>Tyto materiály jsou důležité pro vytvoření rámce, ve kterém budou jednotlivé oblasti národního hospodářství (průmysl, doprava, zemědělství, domácnosti, …) fungovat a definují časové milníky, kdy má být dosaženo jednotlivých specifikovaných cílů. Dokumenty budou mít zcela zásadní dopad na další vývoj hospodářství, konkurenceschopnost a podporované rozvojové oblasti.</w:t>
      </w:r>
    </w:p>
    <w:p w14:paraId="3C063007" w14:textId="77777777" w:rsidR="005219F3" w:rsidRPr="00115B9A" w:rsidRDefault="005219F3" w:rsidP="005219F3">
      <w:pPr>
        <w:rPr>
          <w:rFonts w:cstheme="minorHAnsi"/>
          <w:b/>
          <w:sz w:val="28"/>
        </w:rPr>
      </w:pPr>
      <w:r w:rsidRPr="00115B9A">
        <w:rPr>
          <w:rFonts w:cstheme="minorHAnsi"/>
        </w:rPr>
        <w:t xml:space="preserve">Je také nutné zdůraznit, že zatímco jednotlivé dokumenty v Balíčku Fit </w:t>
      </w:r>
      <w:proofErr w:type="spellStart"/>
      <w:r w:rsidRPr="00115B9A">
        <w:rPr>
          <w:rFonts w:cstheme="minorHAnsi"/>
        </w:rPr>
        <w:t>for</w:t>
      </w:r>
      <w:proofErr w:type="spellEnd"/>
      <w:r w:rsidRPr="00115B9A">
        <w:rPr>
          <w:rFonts w:cstheme="minorHAnsi"/>
        </w:rPr>
        <w:t xml:space="preserve"> 55 a v Plynárenském balíčku jsou v procesu připomínkování a jejich finální podoba se bude měnit, návrh zařazení jaderné energie a zemního plynu do Taxonomie je delegovaným aktem, který bude vydán EK. Je možné ho jen zrušit blokační majoritou ČS (20 zemí, které představují 65</w:t>
      </w:r>
      <w:r w:rsidR="00126D15">
        <w:rPr>
          <w:rFonts w:cstheme="minorHAnsi"/>
        </w:rPr>
        <w:t xml:space="preserve"> </w:t>
      </w:r>
      <w:r w:rsidRPr="00115B9A">
        <w:rPr>
          <w:rFonts w:cstheme="minorHAnsi"/>
        </w:rPr>
        <w:t>% obyvatelstva EU).</w:t>
      </w:r>
    </w:p>
    <w:p w14:paraId="546D5089" w14:textId="77777777" w:rsidR="00BC5764" w:rsidRPr="00115B9A" w:rsidRDefault="00BC5764" w:rsidP="005219F3">
      <w:pPr>
        <w:pStyle w:val="slovanseznam"/>
        <w:rPr>
          <w:rFonts w:cstheme="minorHAnsi"/>
        </w:rPr>
      </w:pPr>
      <w:r w:rsidRPr="00115B9A">
        <w:rPr>
          <w:rFonts w:cstheme="minorHAnsi"/>
        </w:rPr>
        <w:t>Taxonomie</w:t>
      </w:r>
      <w:r w:rsidR="008878BA" w:rsidRPr="00115B9A">
        <w:rPr>
          <w:rFonts w:cstheme="minorHAnsi"/>
        </w:rPr>
        <w:t xml:space="preserve"> – komplementární delegovaný akt (CDA)</w:t>
      </w:r>
    </w:p>
    <w:p w14:paraId="00B7895D" w14:textId="77777777" w:rsidR="004C01A2" w:rsidRPr="00115B9A" w:rsidRDefault="004C01A2" w:rsidP="00E46E8F">
      <w:pPr>
        <w:pStyle w:val="Odstavecseseznamem"/>
        <w:numPr>
          <w:ilvl w:val="0"/>
          <w:numId w:val="10"/>
        </w:numPr>
        <w:rPr>
          <w:rFonts w:cstheme="minorHAnsi"/>
        </w:rPr>
      </w:pPr>
      <w:r w:rsidRPr="00115B9A">
        <w:rPr>
          <w:rFonts w:cstheme="minorHAnsi"/>
        </w:rPr>
        <w:t>návrh CDA hodnotíme pozitivně, vnímáme ho jako citlivý kompromis</w:t>
      </w:r>
    </w:p>
    <w:p w14:paraId="1C1D765A" w14:textId="77777777" w:rsidR="004C01A2" w:rsidRPr="00115B9A" w:rsidRDefault="004C01A2" w:rsidP="00E46E8F">
      <w:pPr>
        <w:pStyle w:val="Odstavecseseznamem"/>
        <w:numPr>
          <w:ilvl w:val="0"/>
          <w:numId w:val="10"/>
        </w:numPr>
        <w:rPr>
          <w:rFonts w:cstheme="minorHAnsi"/>
        </w:rPr>
      </w:pPr>
      <w:r w:rsidRPr="00115B9A">
        <w:rPr>
          <w:rFonts w:cstheme="minorHAnsi"/>
        </w:rPr>
        <w:t xml:space="preserve">ČR je v EU aktivní lídrem (přebírá roli po FR, které má aktuálně předsednictví) </w:t>
      </w:r>
    </w:p>
    <w:p w14:paraId="31520BB3" w14:textId="77777777" w:rsidR="004C01A2" w:rsidRPr="00115B9A" w:rsidRDefault="004C01A2" w:rsidP="00E46E8F">
      <w:pPr>
        <w:pStyle w:val="Odstavecseseznamem"/>
        <w:numPr>
          <w:ilvl w:val="0"/>
          <w:numId w:val="10"/>
        </w:numPr>
        <w:rPr>
          <w:rFonts w:cstheme="minorHAnsi"/>
        </w:rPr>
      </w:pPr>
      <w:r w:rsidRPr="00115B9A">
        <w:rPr>
          <w:rFonts w:cstheme="minorHAnsi"/>
        </w:rPr>
        <w:t>navenek prezentujeme pouze klíčové oblasti, které by mohly být ve finální verzi upraveny: zejm. nepřijatelnou přechodnost jaderné energetiky a diskutabilní časový limit pro nové jaderné zdroje (2045) a prodloužení provozu stávajících zdrojů (2040), požadavek provozu trvalého úložiště vyhořelého jaderného odpadu již v r. 2050, postupné ozeleňování plynárenského sektoru a rychlá penetrace vodíku a biometanu.</w:t>
      </w:r>
    </w:p>
    <w:p w14:paraId="3397AF6D" w14:textId="77777777" w:rsidR="00E46E8F" w:rsidRPr="00115B9A" w:rsidRDefault="00E46E8F" w:rsidP="00DB72FA">
      <w:pPr>
        <w:rPr>
          <w:rFonts w:cstheme="minorHAnsi"/>
          <w:lang w:eastAsia="cs-CZ"/>
        </w:rPr>
      </w:pPr>
      <w:r w:rsidRPr="00115B9A">
        <w:rPr>
          <w:rFonts w:cstheme="minorHAnsi"/>
          <w:lang w:eastAsia="cs-CZ"/>
        </w:rPr>
        <w:t>Klasifikační systém pro udržitelné investice (neboli taxonomie) je součástí širší EU politiky financování udržitelnosti (</w:t>
      </w:r>
      <w:proofErr w:type="spellStart"/>
      <w:r w:rsidRPr="00115B9A">
        <w:rPr>
          <w:rFonts w:cstheme="minorHAnsi"/>
          <w:lang w:eastAsia="cs-CZ"/>
        </w:rPr>
        <w:t>sustainable</w:t>
      </w:r>
      <w:proofErr w:type="spellEnd"/>
      <w:r w:rsidRPr="00115B9A">
        <w:rPr>
          <w:rFonts w:cstheme="minorHAnsi"/>
          <w:lang w:eastAsia="cs-CZ"/>
        </w:rPr>
        <w:t xml:space="preserve"> finance), která se týká zejm. regulace finančního sektoru (např. taktéž z pohledu rizik vyplývajících ze změn klimatu a jejich dopadu na stabilitu finančního sektoru) a dále nefinančního sektoru (např. zveřejňování informací </w:t>
      </w:r>
      <w:r w:rsidR="003269D7" w:rsidRPr="00115B9A">
        <w:rPr>
          <w:rFonts w:cstheme="minorHAnsi"/>
          <w:lang w:eastAsia="cs-CZ"/>
        </w:rPr>
        <w:t>o dopadech</w:t>
      </w:r>
      <w:r w:rsidRPr="00115B9A">
        <w:rPr>
          <w:rFonts w:cstheme="minorHAnsi"/>
          <w:lang w:eastAsia="cs-CZ"/>
        </w:rPr>
        <w:t xml:space="preserve"> hospodářské činnosti</w:t>
      </w:r>
      <w:r w:rsidR="003269D7">
        <w:rPr>
          <w:rFonts w:cstheme="minorHAnsi"/>
          <w:lang w:eastAsia="cs-CZ"/>
        </w:rPr>
        <w:t xml:space="preserve"> na životní prostředí</w:t>
      </w:r>
      <w:r w:rsidRPr="00115B9A">
        <w:rPr>
          <w:rFonts w:cstheme="minorHAnsi"/>
          <w:lang w:eastAsia="cs-CZ"/>
        </w:rPr>
        <w:t>).</w:t>
      </w:r>
      <w:r w:rsidR="00DB72FA" w:rsidRPr="00115B9A">
        <w:rPr>
          <w:rFonts w:cstheme="minorHAnsi"/>
          <w:lang w:eastAsia="cs-CZ"/>
        </w:rPr>
        <w:t xml:space="preserve"> </w:t>
      </w:r>
      <w:r w:rsidRPr="00115B9A">
        <w:rPr>
          <w:rFonts w:cstheme="minorHAnsi"/>
          <w:bCs/>
          <w:lang w:eastAsia="cs-CZ"/>
        </w:rPr>
        <w:t>Kritéria taxonomie jsou postupně vydávána v delegovaných aktech:</w:t>
      </w:r>
    </w:p>
    <w:p w14:paraId="5D31BF2D" w14:textId="77777777" w:rsidR="00E46E8F" w:rsidRPr="00C752DE" w:rsidRDefault="00E46E8F" w:rsidP="00C752DE">
      <w:pPr>
        <w:pStyle w:val="Odstavecseseznamem"/>
        <w:numPr>
          <w:ilvl w:val="0"/>
          <w:numId w:val="21"/>
        </w:numPr>
        <w:rPr>
          <w:rFonts w:cstheme="minorHAnsi"/>
          <w:lang w:eastAsia="cs-CZ"/>
        </w:rPr>
      </w:pPr>
      <w:r w:rsidRPr="00C752DE">
        <w:rPr>
          <w:rFonts w:cstheme="minorHAnsi"/>
          <w:lang w:eastAsia="cs-CZ"/>
        </w:rPr>
        <w:t xml:space="preserve">Od 1. 1. 2022 nabyl účinnosti s konečnou platností tzv. první delegovaný akt (DA) pro ochranu klimatu (zahrnuje jak </w:t>
      </w:r>
      <w:proofErr w:type="spellStart"/>
      <w:r w:rsidRPr="00C752DE">
        <w:rPr>
          <w:rFonts w:cstheme="minorHAnsi"/>
          <w:lang w:eastAsia="cs-CZ"/>
        </w:rPr>
        <w:t>mitigaci</w:t>
      </w:r>
      <w:proofErr w:type="spellEnd"/>
      <w:r w:rsidRPr="00C752DE">
        <w:rPr>
          <w:rFonts w:cstheme="minorHAnsi"/>
          <w:lang w:eastAsia="cs-CZ"/>
        </w:rPr>
        <w:t>, tak adaptaci) - Neobsahuje jadernou energetiku a přechodné využití zemního plynu, dále neobsahuje sektory zemědělství. S ohledem na protahující se proces v oblasti energetiky se ČR i SK rozhodly hlasovat proti přijetí prvnímu DA, nicméně pro odmítnutí nebyl dostatek států.</w:t>
      </w:r>
    </w:p>
    <w:p w14:paraId="588009FC" w14:textId="77777777" w:rsidR="00E46E8F" w:rsidRPr="00CB2676" w:rsidRDefault="00E46E8F" w:rsidP="00CB2676">
      <w:pPr>
        <w:pStyle w:val="Odstavecseseznamem"/>
        <w:numPr>
          <w:ilvl w:val="0"/>
          <w:numId w:val="21"/>
        </w:numPr>
        <w:rPr>
          <w:rFonts w:cstheme="minorHAnsi"/>
          <w:lang w:eastAsia="cs-CZ"/>
        </w:rPr>
      </w:pPr>
      <w:r w:rsidRPr="00C752DE">
        <w:rPr>
          <w:rFonts w:cstheme="minorHAnsi"/>
          <w:lang w:eastAsia="cs-CZ"/>
        </w:rPr>
        <w:t xml:space="preserve">Dne 31. 12. 2021 byl členským státům zaslán návrh doplňujícího DA pro klima, který obsahuje podmínky, za kterých lze investovat do jaderné a plynové energetiky jako do zelených </w:t>
      </w:r>
      <w:r w:rsidR="00126D15" w:rsidRPr="00C752DE">
        <w:rPr>
          <w:rFonts w:cstheme="minorHAnsi"/>
          <w:lang w:eastAsia="cs-CZ"/>
        </w:rPr>
        <w:t>technologií – ČR</w:t>
      </w:r>
      <w:r w:rsidRPr="00C752DE">
        <w:rPr>
          <w:rFonts w:cstheme="minorHAnsi"/>
          <w:lang w:eastAsia="cs-CZ"/>
        </w:rPr>
        <w:t xml:space="preserve"> dlouhodobě usiluje se skupinou spřízněných států o zahrnutí jaderné energetiky a přechodného využití zemního plynu mezi zelené investice</w:t>
      </w:r>
      <w:r w:rsidRPr="003269D7">
        <w:rPr>
          <w:rFonts w:cstheme="minorHAnsi"/>
          <w:vertAlign w:val="superscript"/>
          <w:lang w:eastAsia="cs-CZ"/>
        </w:rPr>
        <w:t>.</w:t>
      </w:r>
      <w:r w:rsidRPr="003269D7">
        <w:rPr>
          <w:vertAlign w:val="superscript"/>
          <w:lang w:eastAsia="cs-CZ"/>
        </w:rPr>
        <w:footnoteReference w:id="1"/>
      </w:r>
      <w:r w:rsidR="003269D7" w:rsidRPr="003269D7">
        <w:rPr>
          <w:rFonts w:cstheme="minorHAnsi"/>
          <w:lang w:eastAsia="cs-CZ"/>
        </w:rPr>
        <w:t xml:space="preserve">. </w:t>
      </w:r>
      <w:r w:rsidRPr="00C752DE">
        <w:rPr>
          <w:rFonts w:cstheme="minorHAnsi"/>
          <w:lang w:eastAsia="cs-CZ"/>
        </w:rPr>
        <w:t>Návrh však reflektuje rozdílné názory členských států, a taktéž samotné nařízení o taxonomii, které vyžaduje ambiciózní přístup.</w:t>
      </w:r>
    </w:p>
    <w:p w14:paraId="430BE89B" w14:textId="77777777" w:rsidR="00E46E8F" w:rsidRPr="00CB2676" w:rsidRDefault="00E46E8F" w:rsidP="00CB2676">
      <w:pPr>
        <w:rPr>
          <w:rFonts w:cstheme="minorHAnsi"/>
          <w:lang w:eastAsia="cs-CZ"/>
        </w:rPr>
      </w:pPr>
      <w:r w:rsidRPr="004265AD">
        <w:rPr>
          <w:rFonts w:cstheme="minorHAnsi"/>
          <w:b/>
          <w:lang w:eastAsia="cs-CZ"/>
        </w:rPr>
        <w:t>Jaderná energetika:</w:t>
      </w:r>
      <w:r w:rsidRPr="004265AD">
        <w:rPr>
          <w:rFonts w:cstheme="minorHAnsi"/>
          <w:lang w:eastAsia="cs-CZ"/>
        </w:rPr>
        <w:t xml:space="preserve"> Udržitelné činnosti jsou za splnění kritérií projekty „</w:t>
      </w:r>
      <w:proofErr w:type="spellStart"/>
      <w:r w:rsidRPr="004265AD">
        <w:rPr>
          <w:rFonts w:cstheme="minorHAnsi"/>
          <w:lang w:eastAsia="cs-CZ"/>
        </w:rPr>
        <w:t>first</w:t>
      </w:r>
      <w:proofErr w:type="spellEnd"/>
      <w:r w:rsidRPr="004265AD">
        <w:rPr>
          <w:rFonts w:cstheme="minorHAnsi"/>
          <w:lang w:eastAsia="cs-CZ"/>
        </w:rPr>
        <w:t xml:space="preserve"> </w:t>
      </w:r>
      <w:proofErr w:type="spellStart"/>
      <w:r w:rsidRPr="004265AD">
        <w:rPr>
          <w:rFonts w:cstheme="minorHAnsi"/>
          <w:lang w:eastAsia="cs-CZ"/>
        </w:rPr>
        <w:t>of</w:t>
      </w:r>
      <w:proofErr w:type="spellEnd"/>
      <w:r w:rsidRPr="004265AD">
        <w:rPr>
          <w:rFonts w:cstheme="minorHAnsi"/>
          <w:lang w:eastAsia="cs-CZ"/>
        </w:rPr>
        <w:t xml:space="preserve"> a </w:t>
      </w:r>
      <w:proofErr w:type="spellStart"/>
      <w:r w:rsidRPr="004265AD">
        <w:rPr>
          <w:rFonts w:cstheme="minorHAnsi"/>
          <w:lang w:eastAsia="cs-CZ"/>
        </w:rPr>
        <w:t>kind</w:t>
      </w:r>
      <w:proofErr w:type="spellEnd"/>
      <w:r w:rsidRPr="004265AD">
        <w:rPr>
          <w:rFonts w:cstheme="minorHAnsi"/>
          <w:lang w:eastAsia="cs-CZ"/>
        </w:rPr>
        <w:t>“, nové zdroje s vydaným stavebním povolením do roku 2045 a dlouhodobý provoz autorizovaný do roku 2040 (NACE kód se ale týká výroby elektřiny, zde tak je rozpor ve výkladu)</w:t>
      </w:r>
      <w:r w:rsidR="00CB2676">
        <w:rPr>
          <w:rFonts w:cstheme="minorHAnsi"/>
          <w:lang w:eastAsia="cs-CZ"/>
        </w:rPr>
        <w:t>.</w:t>
      </w:r>
      <w:r w:rsidRPr="004265AD">
        <w:rPr>
          <w:rFonts w:cstheme="minorHAnsi"/>
          <w:lang w:eastAsia="cs-CZ"/>
        </w:rPr>
        <w:t xml:space="preserve"> </w:t>
      </w:r>
      <w:r w:rsidR="00CB2676">
        <w:rPr>
          <w:rFonts w:cstheme="minorHAnsi"/>
          <w:lang w:eastAsia="cs-CZ"/>
        </w:rPr>
        <w:t>Z</w:t>
      </w:r>
      <w:r w:rsidRPr="004265AD">
        <w:rPr>
          <w:rFonts w:cstheme="minorHAnsi"/>
          <w:lang w:eastAsia="cs-CZ"/>
        </w:rPr>
        <w:t xml:space="preserve">a problematická kritéria lze považovat požadavek na uvedení hlubinného úložiště do provozu k roku 2050 a užití </w:t>
      </w:r>
      <w:proofErr w:type="spellStart"/>
      <w:r w:rsidRPr="004265AD">
        <w:rPr>
          <w:rFonts w:cstheme="minorHAnsi"/>
          <w:lang w:eastAsia="cs-CZ"/>
        </w:rPr>
        <w:t>accident-tolerant</w:t>
      </w:r>
      <w:proofErr w:type="spellEnd"/>
      <w:r w:rsidRPr="004265AD">
        <w:rPr>
          <w:rFonts w:cstheme="minorHAnsi"/>
          <w:lang w:eastAsia="cs-CZ"/>
        </w:rPr>
        <w:t xml:space="preserve"> </w:t>
      </w:r>
      <w:proofErr w:type="spellStart"/>
      <w:r w:rsidRPr="004265AD">
        <w:rPr>
          <w:rFonts w:cstheme="minorHAnsi"/>
          <w:lang w:eastAsia="cs-CZ"/>
        </w:rPr>
        <w:t>fuel</w:t>
      </w:r>
      <w:proofErr w:type="spellEnd"/>
      <w:r w:rsidRPr="004265AD">
        <w:rPr>
          <w:rFonts w:cstheme="minorHAnsi"/>
          <w:lang w:eastAsia="cs-CZ"/>
        </w:rPr>
        <w:t xml:space="preserve"> jak na nových zdrojích, tak na existujících (dlouhodobý provoz). </w:t>
      </w:r>
    </w:p>
    <w:p w14:paraId="3AE756E7" w14:textId="77777777" w:rsidR="00E46E8F" w:rsidRPr="00115B9A" w:rsidRDefault="00E46E8F" w:rsidP="00E46E8F">
      <w:pPr>
        <w:spacing w:after="0" w:line="240" w:lineRule="auto"/>
        <w:rPr>
          <w:rFonts w:eastAsia="Times New Roman" w:cstheme="minorHAnsi"/>
          <w:b/>
          <w:bCs/>
          <w:color w:val="auto"/>
          <w:lang w:eastAsia="cs-CZ"/>
        </w:rPr>
      </w:pPr>
      <w:r w:rsidRPr="00115B9A">
        <w:rPr>
          <w:rFonts w:eastAsia="Times New Roman" w:cstheme="minorHAnsi"/>
          <w:b/>
          <w:bCs/>
          <w:color w:val="auto"/>
          <w:lang w:eastAsia="cs-CZ"/>
        </w:rPr>
        <w:t xml:space="preserve">Plynárenství: </w:t>
      </w:r>
      <w:r w:rsidRPr="00115B9A">
        <w:rPr>
          <w:rFonts w:eastAsia="Times New Roman" w:cstheme="minorHAnsi"/>
          <w:bCs/>
          <w:color w:val="auto"/>
          <w:lang w:eastAsia="cs-CZ"/>
        </w:rPr>
        <w:t>Jako zelené jsou zdroje, které buď:</w:t>
      </w:r>
    </w:p>
    <w:p w14:paraId="57FDB887" w14:textId="77777777" w:rsidR="00E46E8F" w:rsidRPr="004265AD" w:rsidRDefault="00E46E8F" w:rsidP="004265AD">
      <w:pPr>
        <w:pStyle w:val="Odstavecseseznamem"/>
        <w:numPr>
          <w:ilvl w:val="0"/>
          <w:numId w:val="22"/>
        </w:numPr>
        <w:rPr>
          <w:rFonts w:cstheme="minorHAnsi"/>
          <w:lang w:eastAsia="cs-CZ"/>
        </w:rPr>
      </w:pPr>
      <w:r w:rsidRPr="004265AD">
        <w:rPr>
          <w:rFonts w:cstheme="minorHAnsi"/>
          <w:lang w:eastAsia="cs-CZ"/>
        </w:rPr>
        <w:t xml:space="preserve">Mají </w:t>
      </w:r>
      <w:proofErr w:type="spellStart"/>
      <w:r w:rsidRPr="004265AD">
        <w:rPr>
          <w:rFonts w:cstheme="minorHAnsi"/>
          <w:lang w:eastAsia="cs-CZ"/>
        </w:rPr>
        <w:t>life-cycle</w:t>
      </w:r>
      <w:proofErr w:type="spellEnd"/>
      <w:r w:rsidRPr="004265AD">
        <w:rPr>
          <w:rFonts w:cstheme="minorHAnsi"/>
          <w:lang w:eastAsia="cs-CZ"/>
        </w:rPr>
        <w:t xml:space="preserve"> emise 100gCO</w:t>
      </w:r>
      <w:r w:rsidRPr="00CB2676">
        <w:rPr>
          <w:rFonts w:cstheme="minorHAnsi"/>
          <w:vertAlign w:val="subscript"/>
          <w:lang w:eastAsia="cs-CZ"/>
        </w:rPr>
        <w:t>2</w:t>
      </w:r>
      <w:r w:rsidRPr="004265AD">
        <w:rPr>
          <w:rFonts w:cstheme="minorHAnsi"/>
          <w:lang w:eastAsia="cs-CZ"/>
        </w:rPr>
        <w:t>/kWh</w:t>
      </w:r>
    </w:p>
    <w:p w14:paraId="3B9D005D" w14:textId="77777777" w:rsidR="00E46E8F" w:rsidRPr="004265AD" w:rsidRDefault="00E46E8F" w:rsidP="004265AD">
      <w:pPr>
        <w:pStyle w:val="Odstavecseseznamem"/>
        <w:numPr>
          <w:ilvl w:val="0"/>
          <w:numId w:val="22"/>
        </w:numPr>
        <w:rPr>
          <w:rFonts w:cstheme="minorHAnsi"/>
          <w:lang w:eastAsia="cs-CZ"/>
        </w:rPr>
      </w:pPr>
      <w:r w:rsidRPr="004265AD">
        <w:rPr>
          <w:rFonts w:cstheme="minorHAnsi"/>
          <w:lang w:eastAsia="cs-CZ"/>
        </w:rPr>
        <w:t>Nahrazují fosilní zdroje, kdy jsou tyto podmínky:</w:t>
      </w:r>
    </w:p>
    <w:p w14:paraId="1123CA27" w14:textId="77777777" w:rsidR="00E46E8F" w:rsidRPr="004265AD" w:rsidRDefault="00E46E8F" w:rsidP="004265AD">
      <w:pPr>
        <w:pStyle w:val="Odstavecseseznamem"/>
        <w:numPr>
          <w:ilvl w:val="1"/>
          <w:numId w:val="22"/>
        </w:numPr>
        <w:rPr>
          <w:rFonts w:cstheme="minorHAnsi"/>
          <w:lang w:eastAsia="cs-CZ"/>
        </w:rPr>
      </w:pPr>
      <w:r w:rsidRPr="004265AD">
        <w:rPr>
          <w:rFonts w:cstheme="minorHAnsi"/>
          <w:lang w:eastAsia="cs-CZ"/>
        </w:rPr>
        <w:t>Zařízení uvedené do provozu do konce 2030, pokud jejich přímé emise nepřesáhnou 270gCO</w:t>
      </w:r>
      <w:r w:rsidRPr="00CB2676">
        <w:rPr>
          <w:rFonts w:cstheme="minorHAnsi"/>
          <w:vertAlign w:val="subscript"/>
          <w:lang w:eastAsia="cs-CZ"/>
        </w:rPr>
        <w:t>2</w:t>
      </w:r>
      <w:r w:rsidRPr="004265AD">
        <w:rPr>
          <w:rFonts w:cstheme="minorHAnsi"/>
          <w:lang w:eastAsia="cs-CZ"/>
        </w:rPr>
        <w:t>/kWh nebo roční emise nepřesáhnou 550gCO</w:t>
      </w:r>
      <w:r w:rsidRPr="00CB2676">
        <w:rPr>
          <w:rFonts w:cstheme="minorHAnsi"/>
          <w:vertAlign w:val="subscript"/>
          <w:lang w:eastAsia="cs-CZ"/>
        </w:rPr>
        <w:t>2</w:t>
      </w:r>
      <w:r w:rsidRPr="004265AD">
        <w:rPr>
          <w:rFonts w:cstheme="minorHAnsi"/>
          <w:lang w:eastAsia="cs-CZ"/>
        </w:rPr>
        <w:t>/kW po dobu 20 let (</w:t>
      </w:r>
      <w:proofErr w:type="spellStart"/>
      <w:r w:rsidRPr="004265AD">
        <w:rPr>
          <w:rFonts w:cstheme="minorHAnsi"/>
          <w:lang w:eastAsia="cs-CZ"/>
        </w:rPr>
        <w:t>carbon</w:t>
      </w:r>
      <w:proofErr w:type="spellEnd"/>
      <w:r w:rsidRPr="004265AD">
        <w:rPr>
          <w:rFonts w:cstheme="minorHAnsi"/>
          <w:lang w:eastAsia="cs-CZ"/>
        </w:rPr>
        <w:t xml:space="preserve"> budget)</w:t>
      </w:r>
    </w:p>
    <w:p w14:paraId="250EEFE5" w14:textId="77777777" w:rsidR="00E46E8F" w:rsidRPr="004265AD" w:rsidRDefault="00E46E8F" w:rsidP="004265AD">
      <w:pPr>
        <w:pStyle w:val="Odstavecseseznamem"/>
        <w:numPr>
          <w:ilvl w:val="1"/>
          <w:numId w:val="22"/>
        </w:numPr>
        <w:rPr>
          <w:rFonts w:cstheme="minorHAnsi"/>
          <w:lang w:eastAsia="cs-CZ"/>
        </w:rPr>
      </w:pPr>
      <w:r w:rsidRPr="004265AD">
        <w:rPr>
          <w:rFonts w:cstheme="minorHAnsi"/>
          <w:lang w:eastAsia="cs-CZ"/>
        </w:rPr>
        <w:t>Zařízení musí nahrazovat fosilní zdroje (jak uhlí, tak plyn), u výroby elektřiny může mít o 15</w:t>
      </w:r>
      <w:r w:rsidR="00CB2676">
        <w:rPr>
          <w:rFonts w:cstheme="minorHAnsi"/>
          <w:lang w:eastAsia="cs-CZ"/>
        </w:rPr>
        <w:t> </w:t>
      </w:r>
      <w:r w:rsidRPr="004265AD">
        <w:rPr>
          <w:rFonts w:cstheme="minorHAnsi"/>
          <w:lang w:eastAsia="cs-CZ"/>
        </w:rPr>
        <w:t>% vyšší kapacitu, u kombinované výroby elektřiny a teply a vytápění pouze stejnou kapacitu.</w:t>
      </w:r>
    </w:p>
    <w:p w14:paraId="4915E0BC" w14:textId="77777777" w:rsidR="00E46E8F" w:rsidRPr="004265AD" w:rsidRDefault="00E46E8F" w:rsidP="004265AD">
      <w:pPr>
        <w:pStyle w:val="Odstavecseseznamem"/>
        <w:numPr>
          <w:ilvl w:val="1"/>
          <w:numId w:val="22"/>
        </w:numPr>
        <w:rPr>
          <w:rFonts w:cstheme="minorHAnsi"/>
          <w:lang w:eastAsia="cs-CZ"/>
        </w:rPr>
      </w:pPr>
      <w:r w:rsidRPr="004265AD">
        <w:rPr>
          <w:rFonts w:cstheme="minorHAnsi"/>
          <w:lang w:eastAsia="cs-CZ"/>
        </w:rPr>
        <w:t>Zařízení musí vést alespoň k úspoře emisí GHG o 55 % oproti nahrazovanému zdroji</w:t>
      </w:r>
    </w:p>
    <w:p w14:paraId="675B5D24" w14:textId="77777777" w:rsidR="00E46E8F" w:rsidRPr="004265AD" w:rsidRDefault="00E46E8F" w:rsidP="004265AD">
      <w:pPr>
        <w:pStyle w:val="Odstavecseseznamem"/>
        <w:numPr>
          <w:ilvl w:val="1"/>
          <w:numId w:val="22"/>
        </w:numPr>
        <w:rPr>
          <w:rFonts w:cstheme="minorHAnsi"/>
          <w:lang w:eastAsia="cs-CZ"/>
        </w:rPr>
      </w:pPr>
      <w:r w:rsidRPr="004265AD">
        <w:rPr>
          <w:rFonts w:cstheme="minorHAnsi"/>
          <w:lang w:eastAsia="cs-CZ"/>
        </w:rPr>
        <w:t>Zásadní podmínkou je, že zařízení musí do 1. ledna 2026 používat 30 % obnovitelného nebo nízkouhlíkového paliva, do 1. ledna 2030 pak 55 %, od roku 2035 pak plně dekarbonizováno.</w:t>
      </w:r>
    </w:p>
    <w:p w14:paraId="37112DE8" w14:textId="77777777" w:rsidR="00E46E8F" w:rsidRPr="00CB2676" w:rsidRDefault="00E46E8F" w:rsidP="00CB2676">
      <w:pPr>
        <w:pStyle w:val="Odstavecseseznamem"/>
        <w:numPr>
          <w:ilvl w:val="1"/>
          <w:numId w:val="22"/>
        </w:numPr>
        <w:rPr>
          <w:rFonts w:cstheme="minorHAnsi"/>
          <w:lang w:eastAsia="cs-CZ"/>
        </w:rPr>
      </w:pPr>
      <w:r w:rsidRPr="004265AD">
        <w:rPr>
          <w:rFonts w:cstheme="minorHAnsi"/>
          <w:lang w:eastAsia="cs-CZ"/>
        </w:rPr>
        <w:t>Podmínkou je, že stát se ve Vnitrostátním plánu pro energetiku a klima oficiálně zaváže k </w:t>
      </w:r>
      <w:proofErr w:type="spellStart"/>
      <w:r w:rsidRPr="004265AD">
        <w:rPr>
          <w:rFonts w:cstheme="minorHAnsi"/>
          <w:lang w:eastAsia="cs-CZ"/>
        </w:rPr>
        <w:t>phase-out</w:t>
      </w:r>
      <w:proofErr w:type="spellEnd"/>
      <w:r w:rsidRPr="004265AD">
        <w:rPr>
          <w:rFonts w:cstheme="minorHAnsi"/>
          <w:lang w:eastAsia="cs-CZ"/>
        </w:rPr>
        <w:t xml:space="preserve"> uhlí, termín však není určen.</w:t>
      </w:r>
    </w:p>
    <w:p w14:paraId="291AF27A" w14:textId="77777777" w:rsidR="00E46E8F" w:rsidRPr="00115B9A" w:rsidRDefault="00E46E8F" w:rsidP="00E46E8F">
      <w:pPr>
        <w:rPr>
          <w:rFonts w:cstheme="minorHAnsi"/>
          <w:i/>
        </w:rPr>
      </w:pPr>
      <w:r w:rsidRPr="00115B9A">
        <w:rPr>
          <w:rFonts w:cstheme="minorHAnsi"/>
          <w:b/>
        </w:rPr>
        <w:t>Předběžná pozice ČR</w:t>
      </w:r>
      <w:r w:rsidRPr="00115B9A">
        <w:rPr>
          <w:rFonts w:cstheme="minorHAnsi"/>
          <w:i/>
        </w:rPr>
        <w:t xml:space="preserve"> (bude precizována na základě jednání s Evropskou komisí dne 10. ledna 2022 a na základě následných bilaterálních jednáních</w:t>
      </w:r>
      <w:r w:rsidR="00CB2676">
        <w:rPr>
          <w:rFonts w:cstheme="minorHAnsi"/>
          <w:i/>
        </w:rPr>
        <w:t>:</w:t>
      </w:r>
      <w:r w:rsidRPr="00115B9A">
        <w:rPr>
          <w:rFonts w:cstheme="minorHAnsi"/>
          <w:i/>
        </w:rPr>
        <w:t xml:space="preserve"> </w:t>
      </w:r>
      <w:r w:rsidRPr="00115B9A">
        <w:rPr>
          <w:rFonts w:eastAsia="Times New Roman" w:cstheme="minorHAnsi"/>
          <w:bCs/>
          <w:color w:val="auto"/>
          <w:lang w:eastAsia="cs-CZ"/>
        </w:rPr>
        <w:t>ČR vítá, že Evropská komise dle svého předchozího příslibu předložila komplementární delegovaný akt, který zahrnuje jadernou energetiku a zemní plyn do systému taxonomie a stanovuje technická kritéria. Taxonomie by měla poskytnout pozitivní motivaci pro proces dekarbonizace a zohlednit i nepřímé dopady do konečných cen energií. Tento aspekt vnímáme v kontextu aktuálních vysokých cen a ohrožení obyvatel energetickou chudobou jako klíčový.</w:t>
      </w:r>
    </w:p>
    <w:p w14:paraId="09D4F9F5" w14:textId="77777777" w:rsidR="00E46E8F" w:rsidRPr="00115B9A" w:rsidRDefault="00E46E8F" w:rsidP="00E46E8F">
      <w:pPr>
        <w:spacing w:after="0" w:line="240" w:lineRule="auto"/>
        <w:rPr>
          <w:rFonts w:eastAsia="Times New Roman" w:cstheme="minorHAnsi"/>
          <w:bCs/>
          <w:color w:val="auto"/>
          <w:lang w:eastAsia="cs-CZ"/>
        </w:rPr>
      </w:pPr>
    </w:p>
    <w:p w14:paraId="4A85D1FE" w14:textId="77777777" w:rsidR="00E46E8F" w:rsidRPr="00115B9A" w:rsidRDefault="00E46E8F" w:rsidP="00E46E8F">
      <w:pPr>
        <w:rPr>
          <w:rFonts w:cstheme="minorHAnsi"/>
          <w:lang w:eastAsia="cs-CZ"/>
        </w:rPr>
      </w:pPr>
      <w:r w:rsidRPr="00115B9A">
        <w:rPr>
          <w:rFonts w:cstheme="minorHAnsi"/>
          <w:b/>
          <w:bCs/>
          <w:lang w:eastAsia="cs-CZ"/>
        </w:rPr>
        <w:t xml:space="preserve">Technická kritéria pro jadernou energetiku </w:t>
      </w:r>
      <w:r w:rsidRPr="00115B9A">
        <w:rPr>
          <w:rFonts w:cstheme="minorHAnsi"/>
          <w:lang w:eastAsia="cs-CZ"/>
        </w:rPr>
        <w:t xml:space="preserve">jsou v návrhu nastavena tak, aby všechny hospodářské činnosti spojené s jadernou energií disponovaly plánem s podrobnými kroky k </w:t>
      </w:r>
      <w:r w:rsidRPr="00115B9A">
        <w:rPr>
          <w:rFonts w:cstheme="minorHAnsi"/>
          <w:u w:val="single"/>
          <w:lang w:eastAsia="cs-CZ"/>
        </w:rPr>
        <w:t>uvedení do provozu do roku 2050 úložiště pro vysoce radioaktivní odpad</w:t>
      </w:r>
      <w:r w:rsidRPr="00115B9A">
        <w:rPr>
          <w:rFonts w:cstheme="minorHAnsi"/>
          <w:lang w:eastAsia="cs-CZ"/>
        </w:rPr>
        <w:t xml:space="preserve">. Termín provozu k roku 2050 nemá provozně ekonomické opodstatnění (termín 2065 dle stále platné Koncepce VJP a RAO je pravděpodobně nejbližší užitečný). ČR požaduje změnu požadavku provozu v roce 2050 na požadavek vydaného stavebního povolení v roce 2050 ekvivalentně k jiným požadavkům vázajícím se ke stavebním povolením v návrhu. </w:t>
      </w:r>
    </w:p>
    <w:p w14:paraId="0AD5DAA3" w14:textId="77777777" w:rsidR="00E46E8F" w:rsidRPr="00115B9A" w:rsidRDefault="00E46E8F" w:rsidP="00E46E8F">
      <w:pPr>
        <w:rPr>
          <w:rFonts w:cstheme="minorHAnsi"/>
          <w:u w:val="single"/>
          <w:lang w:eastAsia="cs-CZ"/>
        </w:rPr>
      </w:pPr>
      <w:r w:rsidRPr="00115B9A">
        <w:rPr>
          <w:rFonts w:cstheme="minorHAnsi"/>
          <w:lang w:eastAsia="cs-CZ"/>
        </w:rPr>
        <w:t xml:space="preserve">Jak na nových zdrojích, tak na existujících (dlouhodobý provoz) je vyžadováno </w:t>
      </w:r>
      <w:r w:rsidRPr="007A7BA6">
        <w:rPr>
          <w:rFonts w:cstheme="minorHAnsi"/>
          <w:lang w:eastAsia="cs-CZ"/>
        </w:rPr>
        <w:t xml:space="preserve">užití </w:t>
      </w:r>
      <w:proofErr w:type="spellStart"/>
      <w:r w:rsidRPr="007A7BA6">
        <w:rPr>
          <w:rFonts w:cstheme="minorHAnsi"/>
          <w:lang w:eastAsia="cs-CZ"/>
        </w:rPr>
        <w:t>accident-tolerant</w:t>
      </w:r>
      <w:proofErr w:type="spellEnd"/>
      <w:r w:rsidRPr="007A7BA6">
        <w:rPr>
          <w:rFonts w:cstheme="minorHAnsi"/>
          <w:lang w:eastAsia="cs-CZ"/>
        </w:rPr>
        <w:t xml:space="preserve"> </w:t>
      </w:r>
      <w:proofErr w:type="spellStart"/>
      <w:r w:rsidRPr="007A7BA6">
        <w:rPr>
          <w:rFonts w:cstheme="minorHAnsi"/>
          <w:lang w:eastAsia="cs-CZ"/>
        </w:rPr>
        <w:t>fuel</w:t>
      </w:r>
      <w:proofErr w:type="spellEnd"/>
      <w:r w:rsidRPr="007A7BA6">
        <w:rPr>
          <w:rFonts w:cstheme="minorHAnsi"/>
          <w:lang w:eastAsia="cs-CZ"/>
        </w:rPr>
        <w:t xml:space="preserve">, </w:t>
      </w:r>
      <w:r w:rsidRPr="00115B9A">
        <w:rPr>
          <w:rFonts w:cstheme="minorHAnsi"/>
          <w:lang w:eastAsia="cs-CZ"/>
        </w:rPr>
        <w:t xml:space="preserve">které je zatím komerčně nedostupným palivem a otázka jeho licencování je vzhledem k tomu, že nejsou zatím dostatečné zkušenosti, problematická. Z žádného předpisu nevyplývá jeho definice, ani jaké parametry by takové palivo mělo splňovat. Situaci na trhu si lze představit tak, že každý z dodavatelů něco vyvíjí. Obor v současnosti přechází k pojmu </w:t>
      </w:r>
      <w:proofErr w:type="spellStart"/>
      <w:r w:rsidRPr="00115B9A">
        <w:rPr>
          <w:rFonts w:cstheme="minorHAnsi"/>
          <w:lang w:eastAsia="cs-CZ"/>
        </w:rPr>
        <w:t>Advanced</w:t>
      </w:r>
      <w:proofErr w:type="spellEnd"/>
      <w:r w:rsidRPr="00115B9A">
        <w:rPr>
          <w:rFonts w:cstheme="minorHAnsi"/>
          <w:lang w:eastAsia="cs-CZ"/>
        </w:rPr>
        <w:t xml:space="preserve"> </w:t>
      </w:r>
      <w:proofErr w:type="spellStart"/>
      <w:r w:rsidRPr="00115B9A">
        <w:rPr>
          <w:rFonts w:cstheme="minorHAnsi"/>
          <w:lang w:eastAsia="cs-CZ"/>
        </w:rPr>
        <w:t>Nuclear</w:t>
      </w:r>
      <w:proofErr w:type="spellEnd"/>
      <w:r w:rsidRPr="00115B9A">
        <w:rPr>
          <w:rFonts w:cstheme="minorHAnsi"/>
          <w:lang w:eastAsia="cs-CZ"/>
        </w:rPr>
        <w:t xml:space="preserve"> </w:t>
      </w:r>
      <w:proofErr w:type="spellStart"/>
      <w:r w:rsidRPr="00115B9A">
        <w:rPr>
          <w:rFonts w:cstheme="minorHAnsi"/>
          <w:lang w:eastAsia="cs-CZ"/>
        </w:rPr>
        <w:t>Fuel</w:t>
      </w:r>
      <w:proofErr w:type="spellEnd"/>
      <w:r w:rsidRPr="00115B9A">
        <w:rPr>
          <w:rFonts w:cstheme="minorHAnsi"/>
          <w:lang w:eastAsia="cs-CZ"/>
        </w:rPr>
        <w:t xml:space="preserve">, který je obecnější. Stanovit v kritériích podmínku aplikace nelicencované technologie není možné akceptovat. V rámci prioritních připomínek ČR je rovněž odstranění </w:t>
      </w:r>
      <w:r w:rsidRPr="00115B9A">
        <w:rPr>
          <w:rFonts w:cstheme="minorHAnsi"/>
          <w:u w:val="single"/>
          <w:lang w:eastAsia="cs-CZ"/>
        </w:rPr>
        <w:t>notifikací investičních aktivit jdoucí nad rámec požadavků plynoucích ze smlouvy EURATOM, tj. poukazujeme i na scházející právní základ pro návrhy těchto kritérií.</w:t>
      </w:r>
    </w:p>
    <w:p w14:paraId="49315F21" w14:textId="77777777" w:rsidR="00E46E8F" w:rsidRPr="00115B9A" w:rsidRDefault="00E46E8F" w:rsidP="00E46E8F">
      <w:pPr>
        <w:rPr>
          <w:rFonts w:cstheme="minorHAnsi"/>
          <w:lang w:eastAsia="cs-CZ"/>
        </w:rPr>
      </w:pPr>
      <w:r w:rsidRPr="00115B9A">
        <w:rPr>
          <w:rFonts w:cstheme="minorHAnsi"/>
          <w:b/>
          <w:lang w:eastAsia="cs-CZ"/>
        </w:rPr>
        <w:t>Popis činnosti</w:t>
      </w:r>
      <w:r w:rsidRPr="00115B9A">
        <w:rPr>
          <w:rFonts w:cstheme="minorHAnsi"/>
          <w:lang w:eastAsia="cs-CZ"/>
        </w:rPr>
        <w:t xml:space="preserve"> u stávajících jaderných elektráren není v souladu s názvem činnosti a NACE kódy, existuje tak riziko, že nejasnost v popisu by vyloučila z této kategorie výrobu elektřiny ze stávajících zdrojů a pro účely reportingu by tak byla považovaná za neudržitelnou činnost. ČR požaduje změnu textu tak, aby výroba elektřiny ze stávajících zdrojů byla označena za udržitelnou v souladu s navrženým NACE kódem bez ohledu na modifikace a nutnost notifikace podle čl. 41 Euratom. Navrhuje také do popisu činnosti doplnit výrobu tepla. </w:t>
      </w:r>
    </w:p>
    <w:p w14:paraId="061B4C82" w14:textId="77777777" w:rsidR="00E46E8F" w:rsidRPr="00115B9A" w:rsidRDefault="00E46E8F" w:rsidP="00E46E8F">
      <w:pPr>
        <w:rPr>
          <w:rFonts w:cstheme="minorHAnsi"/>
          <w:lang w:eastAsia="cs-CZ"/>
        </w:rPr>
      </w:pPr>
      <w:r w:rsidRPr="00115B9A">
        <w:rPr>
          <w:rFonts w:cstheme="minorHAnsi"/>
          <w:b/>
          <w:bCs/>
          <w:lang w:eastAsia="cs-CZ"/>
        </w:rPr>
        <w:t>Technická kritéria pro zemní plyn</w:t>
      </w:r>
      <w:r w:rsidRPr="00115B9A">
        <w:rPr>
          <w:rFonts w:cstheme="minorHAnsi"/>
          <w:lang w:eastAsia="cs-CZ"/>
        </w:rPr>
        <w:t xml:space="preserve"> v řadě oblastí reflektují předchozí požadavky ČR (ať již prosazované samostatně či v koalici zemí). Kvitujeme především ústupek ve formě navržení kritérií pro zdroje se stavebním povolením do 31. prosince 2030, zohlednění emisního limitu 270</w:t>
      </w:r>
      <w:r w:rsidR="00DB72FA" w:rsidRPr="00115B9A">
        <w:rPr>
          <w:rFonts w:cstheme="minorHAnsi"/>
          <w:lang w:eastAsia="cs-CZ"/>
        </w:rPr>
        <w:t xml:space="preserve"> </w:t>
      </w:r>
      <w:r w:rsidRPr="00115B9A">
        <w:rPr>
          <w:rFonts w:cstheme="minorHAnsi"/>
          <w:lang w:eastAsia="cs-CZ"/>
        </w:rPr>
        <w:t>g</w:t>
      </w:r>
      <w:r w:rsidRPr="00115B9A">
        <w:rPr>
          <w:rFonts w:eastAsia="Calibri" w:cstheme="minorHAnsi"/>
          <w:b/>
          <w:bCs/>
          <w:lang w:eastAsia="cs-CZ"/>
        </w:rPr>
        <w:t xml:space="preserve"> </w:t>
      </w:r>
      <w:r w:rsidRPr="00115B9A">
        <w:rPr>
          <w:rFonts w:cstheme="minorHAnsi"/>
          <w:lang w:eastAsia="cs-CZ"/>
        </w:rPr>
        <w:t>CO</w:t>
      </w:r>
      <w:r w:rsidRPr="00D508D3">
        <w:rPr>
          <w:rFonts w:cstheme="minorHAnsi"/>
          <w:vertAlign w:val="subscript"/>
          <w:lang w:eastAsia="cs-CZ"/>
        </w:rPr>
        <w:t>2</w:t>
      </w:r>
      <w:r w:rsidRPr="00115B9A">
        <w:rPr>
          <w:rFonts w:cstheme="minorHAnsi"/>
          <w:lang w:eastAsia="cs-CZ"/>
        </w:rPr>
        <w:t xml:space="preserve">e/kWh   přímých emisí a variantní využití </w:t>
      </w:r>
      <w:proofErr w:type="spellStart"/>
      <w:r w:rsidRPr="00115B9A">
        <w:rPr>
          <w:rFonts w:cstheme="minorHAnsi"/>
          <w:lang w:eastAsia="cs-CZ"/>
        </w:rPr>
        <w:t>carbon</w:t>
      </w:r>
      <w:proofErr w:type="spellEnd"/>
      <w:r w:rsidRPr="00115B9A">
        <w:rPr>
          <w:rFonts w:cstheme="minorHAnsi"/>
          <w:lang w:eastAsia="cs-CZ"/>
        </w:rPr>
        <w:t xml:space="preserve"> budget pro technologie, které tento limit nesplní. Problematicky může pro některé státy působit provázanost kritérií s náhradou za uhelné kapacity. ČR tento aspekt akceptuje, jelikož zohledňuje místní specifika dekarbonizace. V tomto kontextu ovšem vnímáme jako problematické, že návrh kritérií směšuje úroveň členského státu (závazek na úrovni vlády odstoupit od uhelné energetiky, nutnost prokázat, že nově budovaná kapacita nemůže být nahrazena výrobou z obnovitelných zdrojů) a úroveň provozovatele zařízení. Jakoukoliv hospodářskou činnost nelze v systému taxonomie podmiňovat národními politickými závazky. Je také zjevné, že technická kritéria v navržené formě překračují původní záměr taxonomie a infiltrují politické aspekty klimaticko-energetické politiky EU.</w:t>
      </w:r>
    </w:p>
    <w:p w14:paraId="6052D0B2" w14:textId="77777777" w:rsidR="004C01A2" w:rsidRPr="00115B9A" w:rsidRDefault="00E46E8F" w:rsidP="004E72A4">
      <w:pPr>
        <w:rPr>
          <w:rFonts w:eastAsia="Calibri" w:cstheme="minorHAnsi"/>
          <w:iCs/>
          <w:lang w:eastAsia="cs-CZ"/>
        </w:rPr>
      </w:pPr>
      <w:r w:rsidRPr="00115B9A">
        <w:rPr>
          <w:rFonts w:cstheme="minorHAnsi"/>
          <w:iCs/>
          <w:lang w:eastAsia="cs-CZ"/>
        </w:rPr>
        <w:t>Za příliš ambiciózní považujeme kritérium požadující postupnou penetraci využití vodíku/biometanu (alespoň 30 % do roku 2026, 55 % do roku 2030 a úplný přechod do roku 2035). V</w:t>
      </w:r>
      <w:r w:rsidRPr="00115B9A">
        <w:rPr>
          <w:rFonts w:eastAsia="Calibri" w:cstheme="minorHAnsi"/>
          <w:iCs/>
          <w:lang w:eastAsia="cs-CZ"/>
        </w:rPr>
        <w:t xml:space="preserve"> současné době trh s (obnovitelným a nízkouhlíkovým) vodíkem obdobný trhu se zemním plynem ve své škále a likviditě prakticky neexistuje. V případě dostupnosti biometanu na trhu je situace v členských státech různá, a proto by podmínky v rámci DA taxonomie měly respektovat i aktuální rozvoj trhu s biometanem v dané členské zemi. Zároveň se v kontextu dojednávaných závazků v rámci Fit </w:t>
      </w:r>
      <w:proofErr w:type="spellStart"/>
      <w:r w:rsidRPr="00115B9A">
        <w:rPr>
          <w:rFonts w:eastAsia="Calibri" w:cstheme="minorHAnsi"/>
          <w:iCs/>
          <w:lang w:eastAsia="cs-CZ"/>
        </w:rPr>
        <w:t>for</w:t>
      </w:r>
      <w:proofErr w:type="spellEnd"/>
      <w:r w:rsidRPr="00115B9A">
        <w:rPr>
          <w:rFonts w:eastAsia="Calibri" w:cstheme="minorHAnsi"/>
          <w:iCs/>
          <w:lang w:eastAsia="cs-CZ"/>
        </w:rPr>
        <w:t xml:space="preserve"> 55 obáváme, že takto navržená podmínka v taxonomii vytvoří velký tlak na nerozvinutý trh s biometanem a ohrozí tak plnění sektorových cílů pro oblast dopravy a vytápění a chlazení, případně rovněž dostupnost vodíku pro dekarbonizaci průmyslu. ČR bude tedy prosazovat, aby kritérium postupného spalování nízkoemisních/obnovitelných plynů bylo navrženo v souladu s tržními podmínkami a komerční dostupností daných technologií a aby byla zajištěna pravidelná revize stanovených cílů.</w:t>
      </w:r>
    </w:p>
    <w:p w14:paraId="641D22B7" w14:textId="77777777" w:rsidR="00BC5764" w:rsidRPr="00115B9A" w:rsidRDefault="00BC5764" w:rsidP="009B2E39">
      <w:pPr>
        <w:pStyle w:val="slovanseznam"/>
        <w:rPr>
          <w:rFonts w:cstheme="minorHAnsi"/>
        </w:rPr>
      </w:pPr>
      <w:r w:rsidRPr="00115B9A">
        <w:rPr>
          <w:rFonts w:cstheme="minorHAnsi"/>
        </w:rPr>
        <w:t xml:space="preserve">Balíček Fit </w:t>
      </w:r>
      <w:proofErr w:type="spellStart"/>
      <w:r w:rsidRPr="00115B9A">
        <w:rPr>
          <w:rFonts w:cstheme="minorHAnsi"/>
        </w:rPr>
        <w:t>for</w:t>
      </w:r>
      <w:proofErr w:type="spellEnd"/>
      <w:r w:rsidRPr="00115B9A">
        <w:rPr>
          <w:rFonts w:cstheme="minorHAnsi"/>
        </w:rPr>
        <w:t xml:space="preserve"> 55</w:t>
      </w:r>
    </w:p>
    <w:p w14:paraId="4CC9AF74" w14:textId="77777777" w:rsidR="006D063B" w:rsidRPr="00115B9A" w:rsidRDefault="006D063B" w:rsidP="006D063B">
      <w:pPr>
        <w:rPr>
          <w:rFonts w:cstheme="minorHAnsi"/>
        </w:rPr>
      </w:pPr>
      <w:r w:rsidRPr="00115B9A">
        <w:rPr>
          <w:rFonts w:cstheme="minorHAnsi"/>
        </w:rPr>
        <w:t xml:space="preserve">Dne 14. července 2021 vydala Evropská komise balíček klimaticko-energetických legislativních návrhů „Fit </w:t>
      </w:r>
      <w:proofErr w:type="spellStart"/>
      <w:r w:rsidRPr="00115B9A">
        <w:rPr>
          <w:rFonts w:cstheme="minorHAnsi"/>
        </w:rPr>
        <w:t>for</w:t>
      </w:r>
      <w:proofErr w:type="spellEnd"/>
      <w:r w:rsidRPr="00115B9A">
        <w:rPr>
          <w:rFonts w:cstheme="minorHAnsi"/>
        </w:rPr>
        <w:t xml:space="preserve"> 55“. Ministerstvo průmyslu a obchodu přijalo gesci k 5 návrhům, a to konkrétně k:</w:t>
      </w:r>
    </w:p>
    <w:p w14:paraId="705CE156" w14:textId="77777777" w:rsidR="006D063B" w:rsidRPr="004265AD" w:rsidRDefault="006D063B" w:rsidP="004265AD">
      <w:pPr>
        <w:pStyle w:val="Odstavecseseznamem"/>
        <w:numPr>
          <w:ilvl w:val="0"/>
          <w:numId w:val="23"/>
        </w:numPr>
        <w:ind w:left="709" w:hanging="349"/>
        <w:rPr>
          <w:rFonts w:cstheme="minorHAnsi"/>
        </w:rPr>
      </w:pPr>
      <w:r w:rsidRPr="004265AD">
        <w:rPr>
          <w:rFonts w:cstheme="minorHAnsi"/>
        </w:rPr>
        <w:t>změně nařízení, kterým se stanoví emisní normy CO</w:t>
      </w:r>
      <w:r w:rsidRPr="00D508D3">
        <w:rPr>
          <w:rFonts w:cstheme="minorHAnsi"/>
          <w:vertAlign w:val="subscript"/>
        </w:rPr>
        <w:t>2</w:t>
      </w:r>
      <w:r w:rsidRPr="004265AD">
        <w:rPr>
          <w:rFonts w:cstheme="minorHAnsi"/>
        </w:rPr>
        <w:t xml:space="preserve"> pro osobní automobily a lehká užitková vozidla</w:t>
      </w:r>
      <w:r w:rsidR="00906C85">
        <w:rPr>
          <w:rFonts w:cstheme="minorHAnsi"/>
        </w:rPr>
        <w:t>;</w:t>
      </w:r>
    </w:p>
    <w:p w14:paraId="363D852C" w14:textId="77777777" w:rsidR="006D063B" w:rsidRPr="004265AD" w:rsidRDefault="006D063B" w:rsidP="004265AD">
      <w:pPr>
        <w:pStyle w:val="Odstavecseseznamem"/>
        <w:numPr>
          <w:ilvl w:val="0"/>
          <w:numId w:val="23"/>
        </w:numPr>
        <w:ind w:left="709" w:hanging="349"/>
        <w:rPr>
          <w:rFonts w:cstheme="minorHAnsi"/>
        </w:rPr>
      </w:pPr>
      <w:r w:rsidRPr="004265AD">
        <w:rPr>
          <w:rFonts w:cstheme="minorHAnsi"/>
        </w:rPr>
        <w:t>přepracovanému znění směrnice o energetické účinnosti</w:t>
      </w:r>
      <w:r w:rsidR="00F02CFB" w:rsidRPr="004265AD">
        <w:rPr>
          <w:rFonts w:cstheme="minorHAnsi"/>
        </w:rPr>
        <w:t xml:space="preserve"> (EED)</w:t>
      </w:r>
      <w:r w:rsidR="00906C85">
        <w:rPr>
          <w:rFonts w:cstheme="minorHAnsi"/>
        </w:rPr>
        <w:t>;</w:t>
      </w:r>
    </w:p>
    <w:p w14:paraId="712AB63C" w14:textId="77777777" w:rsidR="006D063B" w:rsidRPr="004265AD" w:rsidRDefault="006D063B" w:rsidP="004265AD">
      <w:pPr>
        <w:pStyle w:val="Odstavecseseznamem"/>
        <w:numPr>
          <w:ilvl w:val="0"/>
          <w:numId w:val="23"/>
        </w:numPr>
        <w:ind w:left="709" w:hanging="349"/>
        <w:rPr>
          <w:rFonts w:cstheme="minorHAnsi"/>
        </w:rPr>
      </w:pPr>
      <w:r w:rsidRPr="004265AD">
        <w:rPr>
          <w:rFonts w:cstheme="minorHAnsi"/>
        </w:rPr>
        <w:t>revizi směrnice o podpoře energie z obnovitelných zdrojů</w:t>
      </w:r>
      <w:r w:rsidR="00F02CFB" w:rsidRPr="004265AD">
        <w:rPr>
          <w:rFonts w:cstheme="minorHAnsi"/>
        </w:rPr>
        <w:t xml:space="preserve"> (REDII)</w:t>
      </w:r>
      <w:r w:rsidR="00906C85">
        <w:rPr>
          <w:rFonts w:cstheme="minorHAnsi"/>
        </w:rPr>
        <w:t>;</w:t>
      </w:r>
    </w:p>
    <w:p w14:paraId="0E9E000E" w14:textId="77777777" w:rsidR="006D063B" w:rsidRPr="004265AD" w:rsidRDefault="006D063B" w:rsidP="004265AD">
      <w:pPr>
        <w:pStyle w:val="Odstavecseseznamem"/>
        <w:numPr>
          <w:ilvl w:val="0"/>
          <w:numId w:val="23"/>
        </w:numPr>
        <w:ind w:left="709" w:hanging="349"/>
        <w:rPr>
          <w:rFonts w:cstheme="minorHAnsi"/>
        </w:rPr>
      </w:pPr>
      <w:r w:rsidRPr="004265AD">
        <w:rPr>
          <w:rFonts w:cstheme="minorHAnsi"/>
        </w:rPr>
        <w:t>návrhu nového nařízení o zřízení mechanismu pro uhlíkové vyrovnání na hranicích (CBAM)</w:t>
      </w:r>
      <w:r w:rsidR="00906C85">
        <w:rPr>
          <w:rFonts w:cstheme="minorHAnsi"/>
        </w:rPr>
        <w:t>;</w:t>
      </w:r>
    </w:p>
    <w:p w14:paraId="5E74CE0F" w14:textId="77777777" w:rsidR="006D063B" w:rsidRPr="004265AD" w:rsidRDefault="006D063B" w:rsidP="004265AD">
      <w:pPr>
        <w:pStyle w:val="Odstavecseseznamem"/>
        <w:numPr>
          <w:ilvl w:val="0"/>
          <w:numId w:val="23"/>
        </w:numPr>
        <w:ind w:left="709" w:hanging="349"/>
        <w:rPr>
          <w:rFonts w:cstheme="minorHAnsi"/>
        </w:rPr>
      </w:pPr>
      <w:r w:rsidRPr="004265AD">
        <w:rPr>
          <w:rFonts w:cstheme="minorHAnsi"/>
        </w:rPr>
        <w:t>novému návrhu nařízení k ustanovení Sociálního klimatického fondu</w:t>
      </w:r>
      <w:r w:rsidR="00906C85">
        <w:rPr>
          <w:rFonts w:cstheme="minorHAnsi"/>
        </w:rPr>
        <w:t xml:space="preserve"> (SKF).</w:t>
      </w:r>
    </w:p>
    <w:p w14:paraId="4211FF66" w14:textId="77777777" w:rsidR="006D063B" w:rsidRPr="004265AD" w:rsidRDefault="006D063B" w:rsidP="006D063B">
      <w:pPr>
        <w:rPr>
          <w:rFonts w:cstheme="minorHAnsi"/>
        </w:rPr>
      </w:pPr>
      <w:r w:rsidRPr="004265AD">
        <w:rPr>
          <w:rFonts w:cstheme="minorHAnsi"/>
        </w:rPr>
        <w:t>Rámcové pozice k výše uvedeným návrhům byly schváleny na úrovni VV-EU dne 13. října 2021.</w:t>
      </w:r>
    </w:p>
    <w:p w14:paraId="477FBFC0" w14:textId="77777777" w:rsidR="006D063B" w:rsidRPr="00115B9A" w:rsidRDefault="006D063B" w:rsidP="004E72A4">
      <w:pPr>
        <w:rPr>
          <w:rFonts w:cstheme="minorHAnsi"/>
        </w:rPr>
      </w:pPr>
      <w:r w:rsidRPr="00115B9A">
        <w:rPr>
          <w:rFonts w:cstheme="minorHAnsi"/>
        </w:rPr>
        <w:t xml:space="preserve">Dne 15. prosince Evropská komise zveřejnila druhou část legislativních návrhů, která balíček Fit </w:t>
      </w:r>
      <w:proofErr w:type="spellStart"/>
      <w:r w:rsidRPr="00115B9A">
        <w:rPr>
          <w:rFonts w:cstheme="minorHAnsi"/>
        </w:rPr>
        <w:t>for</w:t>
      </w:r>
      <w:proofErr w:type="spellEnd"/>
      <w:r w:rsidRPr="00115B9A">
        <w:rPr>
          <w:rFonts w:cstheme="minorHAnsi"/>
        </w:rPr>
        <w:t xml:space="preserve"> 55 doplňuje. Ministerstvo průmyslu a obchodu již přijalo gesci k 2 návrhům, a to konkrétně k:</w:t>
      </w:r>
    </w:p>
    <w:p w14:paraId="0AEBFE79" w14:textId="77777777" w:rsidR="006D063B" w:rsidRPr="004265AD" w:rsidRDefault="006D063B" w:rsidP="004265AD">
      <w:pPr>
        <w:pStyle w:val="Odstavecseseznamem"/>
        <w:numPr>
          <w:ilvl w:val="0"/>
          <w:numId w:val="23"/>
        </w:numPr>
        <w:rPr>
          <w:rFonts w:cstheme="minorHAnsi"/>
        </w:rPr>
      </w:pPr>
      <w:r w:rsidRPr="004265AD">
        <w:rPr>
          <w:rFonts w:cstheme="minorHAnsi"/>
        </w:rPr>
        <w:t>návrh přepracované směrnice o energetické náročnosti budov</w:t>
      </w:r>
      <w:r w:rsidR="00906C85">
        <w:rPr>
          <w:rFonts w:cstheme="minorHAnsi"/>
        </w:rPr>
        <w:t>;</w:t>
      </w:r>
    </w:p>
    <w:p w14:paraId="1A8E13A5" w14:textId="77777777" w:rsidR="006D063B" w:rsidRPr="004265AD" w:rsidRDefault="006D063B" w:rsidP="004265AD">
      <w:pPr>
        <w:pStyle w:val="Odstavecseseznamem"/>
        <w:numPr>
          <w:ilvl w:val="0"/>
          <w:numId w:val="23"/>
        </w:numPr>
        <w:rPr>
          <w:rFonts w:cstheme="minorHAnsi"/>
        </w:rPr>
      </w:pPr>
      <w:r w:rsidRPr="004265AD">
        <w:rPr>
          <w:rFonts w:cstheme="minorHAnsi"/>
        </w:rPr>
        <w:t>návrhu směrnice o společných pravidlech na vnitřním trhu se zemním plynem.</w:t>
      </w:r>
    </w:p>
    <w:p w14:paraId="57945072" w14:textId="77777777" w:rsidR="004265AD" w:rsidRDefault="004265AD" w:rsidP="004265AD">
      <w:pPr>
        <w:rPr>
          <w:rFonts w:cstheme="minorHAnsi"/>
        </w:rPr>
      </w:pPr>
      <w:r w:rsidRPr="004265AD">
        <w:rPr>
          <w:rFonts w:cstheme="minorHAnsi"/>
        </w:rPr>
        <w:t>Rámcové pozice k uvedeným návrhům se v současnosti připravují.</w:t>
      </w:r>
    </w:p>
    <w:p w14:paraId="6FDF0565" w14:textId="77777777" w:rsidR="00E52A50" w:rsidRPr="00C066F4" w:rsidRDefault="00E52A50" w:rsidP="004265AD">
      <w:pPr>
        <w:rPr>
          <w:rFonts w:cstheme="minorHAnsi"/>
        </w:rPr>
      </w:pPr>
      <w:r w:rsidRPr="00C066F4">
        <w:rPr>
          <w:rFonts w:cstheme="minorHAnsi"/>
        </w:rPr>
        <w:t xml:space="preserve">Součástí </w:t>
      </w:r>
      <w:r w:rsidR="00C066F4" w:rsidRPr="00C066F4">
        <w:rPr>
          <w:rFonts w:cstheme="minorHAnsi"/>
        </w:rPr>
        <w:t xml:space="preserve">balíčku Fit </w:t>
      </w:r>
      <w:proofErr w:type="spellStart"/>
      <w:r w:rsidR="00C066F4" w:rsidRPr="00C066F4">
        <w:rPr>
          <w:rFonts w:cstheme="minorHAnsi"/>
        </w:rPr>
        <w:t>for</w:t>
      </w:r>
      <w:proofErr w:type="spellEnd"/>
      <w:r w:rsidR="00C066F4" w:rsidRPr="00C066F4">
        <w:rPr>
          <w:rFonts w:cstheme="minorHAnsi"/>
        </w:rPr>
        <w:t xml:space="preserve"> 55 je ještě několik dalších návrhů, které buď nejsou relevantní pro ČR nebo jsou v gesci jiného ministerstva.</w:t>
      </w:r>
    </w:p>
    <w:p w14:paraId="59DEE7AE" w14:textId="77777777" w:rsidR="006D063B" w:rsidRPr="00115B9A" w:rsidRDefault="006D063B" w:rsidP="004E72A4">
      <w:pPr>
        <w:rPr>
          <w:rFonts w:cstheme="minorHAnsi"/>
        </w:rPr>
      </w:pPr>
      <w:bookmarkStart w:id="0" w:name="_Hlk92709984"/>
      <w:r w:rsidRPr="00CB2676">
        <w:rPr>
          <w:rFonts w:cstheme="minorHAnsi"/>
        </w:rPr>
        <w:t xml:space="preserve">Dne 22. listopadu 2021 slovinské předsednictví Rady EU (SI PRES) publikovalo obecnou zprávu o pokroku ke všem legislativním návrhům z balíčku „Fit </w:t>
      </w:r>
      <w:proofErr w:type="spellStart"/>
      <w:r w:rsidRPr="00CB2676">
        <w:rPr>
          <w:rFonts w:cstheme="minorHAnsi"/>
        </w:rPr>
        <w:t>for</w:t>
      </w:r>
      <w:proofErr w:type="spellEnd"/>
      <w:r w:rsidRPr="00CB2676">
        <w:rPr>
          <w:rFonts w:cstheme="minorHAnsi"/>
        </w:rPr>
        <w:t xml:space="preserve"> 55“.</w:t>
      </w:r>
      <w:r w:rsidRPr="00115B9A">
        <w:rPr>
          <w:rFonts w:cstheme="minorHAnsi"/>
        </w:rPr>
        <w:t xml:space="preserve"> Zpráva byla předložena příslušným formacím Rady EU spolu se samostatnými zprávami o pokroku zpracovanými ke každému návrhu. SI PRES konstatovalo, že vzhledem k množství, rozsahu a vzájemné provázanosti legislativních návrhů jsou práce převážně v raném stádiu. Nicméně z dokumentů vyplývá, že na technické úrovni bylo dosaženo dobrého pokroku ve všech oblastech, a to i přes různé tempo projednávání jednotlivých návrhů na úrovni Rady. Dle SI PRES nejvíce pokročila práce na některých návrzích v oblasti dopravy a značného pokroku bylo dosaženo také u návrhů v oblasti energetiky, zatímco u návrhů v působnosti Rady pro životní prostředí a Rady pro hospodářské a finanční záležitosti je třeba více času na vyjasnění různých aspektů návrhů.</w:t>
      </w:r>
      <w:bookmarkEnd w:id="0"/>
    </w:p>
    <w:p w14:paraId="576ADEF1" w14:textId="77777777" w:rsidR="006D063B" w:rsidRPr="00CB2676" w:rsidRDefault="006D063B" w:rsidP="006D063B">
      <w:pPr>
        <w:rPr>
          <w:rFonts w:cstheme="minorHAnsi"/>
          <w:b/>
        </w:rPr>
      </w:pPr>
      <w:r w:rsidRPr="00CB2676">
        <w:rPr>
          <w:rFonts w:cstheme="minorHAnsi"/>
          <w:b/>
        </w:rPr>
        <w:t>Podrobněji k jednotlivým návrhům:</w:t>
      </w:r>
    </w:p>
    <w:p w14:paraId="39F7B07F" w14:textId="77777777" w:rsidR="006D063B" w:rsidRPr="00115B9A" w:rsidRDefault="00F40C41" w:rsidP="006D063B">
      <w:pPr>
        <w:spacing w:before="120" w:after="120"/>
        <w:rPr>
          <w:rFonts w:cstheme="minorHAnsi"/>
        </w:rPr>
      </w:pPr>
      <w:r w:rsidRPr="00115B9A">
        <w:rPr>
          <w:rFonts w:cstheme="minorHAnsi"/>
          <w:b/>
        </w:rPr>
        <w:t>3.1</w:t>
      </w:r>
      <w:r w:rsidR="006D063B" w:rsidRPr="00115B9A">
        <w:rPr>
          <w:rFonts w:cstheme="minorHAnsi"/>
        </w:rPr>
        <w:t xml:space="preserve"> Evropská komise mj. navrhuje, aby v rámci podpory čisté mobility došlo ke </w:t>
      </w:r>
      <w:r w:rsidR="006D063B" w:rsidRPr="00115B9A">
        <w:rPr>
          <w:rFonts w:cstheme="minorHAnsi"/>
          <w:b/>
          <w:u w:val="single"/>
        </w:rPr>
        <w:t>snížení emisních limitů CO</w:t>
      </w:r>
      <w:r w:rsidR="006D063B" w:rsidRPr="00115B9A">
        <w:rPr>
          <w:rFonts w:cstheme="minorHAnsi"/>
          <w:b/>
          <w:u w:val="single"/>
          <w:vertAlign w:val="subscript"/>
        </w:rPr>
        <w:t>2</w:t>
      </w:r>
      <w:r w:rsidR="006D063B" w:rsidRPr="00115B9A">
        <w:rPr>
          <w:rFonts w:cstheme="minorHAnsi"/>
          <w:b/>
          <w:u w:val="single"/>
        </w:rPr>
        <w:t xml:space="preserve"> z nových osobních vozů a dodávek o 55 %, resp. 50 % oproti roku 2021</w:t>
      </w:r>
      <w:r w:rsidR="006D063B" w:rsidRPr="00115B9A">
        <w:rPr>
          <w:rFonts w:cstheme="minorHAnsi"/>
        </w:rPr>
        <w:t>. Pro rok 2035 je nyní navrženo 100</w:t>
      </w:r>
      <w:r w:rsidR="007A7BA6">
        <w:rPr>
          <w:rFonts w:cstheme="minorHAnsi"/>
        </w:rPr>
        <w:t> </w:t>
      </w:r>
      <w:r w:rsidR="006D063B" w:rsidRPr="00115B9A">
        <w:rPr>
          <w:rFonts w:cstheme="minorHAnsi"/>
        </w:rPr>
        <w:t xml:space="preserve">% snížení emisí oproti roku 2021, což fakticky bude znamenat pouze prodej bezemisních vozidel. </w:t>
      </w:r>
      <w:r w:rsidR="006D063B" w:rsidRPr="00115B9A">
        <w:rPr>
          <w:rFonts w:cstheme="minorHAnsi"/>
          <w:b/>
          <w:u w:val="single"/>
        </w:rPr>
        <w:t>ČR s navrhovaným snížením emisí zásadně nesouhlasí.</w:t>
      </w:r>
      <w:r w:rsidR="006D063B" w:rsidRPr="00115B9A">
        <w:rPr>
          <w:rFonts w:cstheme="minorHAnsi"/>
        </w:rPr>
        <w:t xml:space="preserve"> Prodej pouze elektromobilů v takto krátkém horizontu bude mít dopad na celkové prodeje nových vozidel, u kterých se dá očekávat pokles vzhledem k vyšším pořizovacím cenám, a naopak stárnutí současného vozového parku. V ČR s výrobou, provozem, opravami a prodejem vozidel se spalovacími motory souvisí přes 50 tisíc pracovních míst.  Prodej pouze elektromobilů v takto krátkém horizontu bude mít dopad na celkové prodeje nových vozidel, u kterého se dá očekávat pokles vzhledem k vyšším pořizovacím cenám, a naopak stárnutí současného vozového parku. </w:t>
      </w:r>
      <w:r w:rsidR="006D063B" w:rsidRPr="00115B9A">
        <w:rPr>
          <w:rFonts w:cstheme="minorHAnsi"/>
          <w:b/>
        </w:rPr>
        <w:t>ČR proto při projednávání tohoto návrhu vyjadřovala nesouhlas s novými přísnějšími limity CO</w:t>
      </w:r>
      <w:r w:rsidR="006D063B" w:rsidRPr="00115B9A">
        <w:rPr>
          <w:rFonts w:cstheme="minorHAnsi"/>
          <w:b/>
          <w:vertAlign w:val="subscript"/>
        </w:rPr>
        <w:t>2</w:t>
      </w:r>
      <w:r w:rsidR="006D063B" w:rsidRPr="00115B9A">
        <w:rPr>
          <w:rFonts w:cstheme="minorHAnsi"/>
          <w:b/>
        </w:rPr>
        <w:t xml:space="preserve"> u nových osobních a lehkých užitkových automobilů</w:t>
      </w:r>
      <w:r w:rsidR="006D063B" w:rsidRPr="00115B9A">
        <w:rPr>
          <w:rFonts w:cstheme="minorHAnsi"/>
        </w:rPr>
        <w:t xml:space="preserve"> a podpořila snížení maximálně na úrovni středního scénáře dle doprovodné studie EK, tzn. pro rok 2030 proti roku 2021 snížení pro osobní automobily na úrovni 50 % a 40 % u dodávek.</w:t>
      </w:r>
    </w:p>
    <w:p w14:paraId="6E3AD605" w14:textId="77777777" w:rsidR="006D063B" w:rsidRPr="00115B9A" w:rsidRDefault="006D063B" w:rsidP="004E72A4">
      <w:pPr>
        <w:rPr>
          <w:rFonts w:cstheme="minorHAnsi"/>
        </w:rPr>
      </w:pPr>
      <w:r w:rsidRPr="00115B9A">
        <w:rPr>
          <w:rFonts w:cstheme="minorHAnsi"/>
        </w:rPr>
        <w:t>V rámci dalších dílčích změn stávajícího předpisu o snižování emisí CO</w:t>
      </w:r>
      <w:r w:rsidRPr="00115B9A">
        <w:rPr>
          <w:rFonts w:cstheme="minorHAnsi"/>
          <w:vertAlign w:val="subscript"/>
        </w:rPr>
        <w:t>2</w:t>
      </w:r>
      <w:r w:rsidRPr="00115B9A">
        <w:rPr>
          <w:rFonts w:cstheme="minorHAnsi"/>
        </w:rPr>
        <w:t xml:space="preserve"> z automobilů budeme podporovat zachování zvýhodnění výrobců za vyšší zastoupení elektromobilů při registracích a zavedení bonifikace za využívání e</w:t>
      </w:r>
      <w:r w:rsidRPr="00115B9A">
        <w:rPr>
          <w:rFonts w:cstheme="minorHAnsi"/>
        </w:rPr>
        <w:noBreakHyphen/>
        <w:t>paliv, např. tzv. e</w:t>
      </w:r>
      <w:r w:rsidRPr="00115B9A">
        <w:rPr>
          <w:rFonts w:cstheme="minorHAnsi"/>
        </w:rPr>
        <w:noBreakHyphen/>
        <w:t>benzínu či e-nafty vyráběné z CO</w:t>
      </w:r>
      <w:r w:rsidRPr="00115B9A">
        <w:rPr>
          <w:rFonts w:cstheme="minorHAnsi"/>
          <w:vertAlign w:val="subscript"/>
        </w:rPr>
        <w:t>2</w:t>
      </w:r>
      <w:r w:rsidRPr="00115B9A">
        <w:rPr>
          <w:rFonts w:cstheme="minorHAnsi"/>
        </w:rPr>
        <w:t xml:space="preserve"> ze vzduchu.  </w:t>
      </w:r>
    </w:p>
    <w:p w14:paraId="62316E82" w14:textId="77777777" w:rsidR="006D063B" w:rsidRPr="00115B9A" w:rsidRDefault="006D063B" w:rsidP="004E72A4">
      <w:pPr>
        <w:rPr>
          <w:rFonts w:cstheme="minorHAnsi"/>
        </w:rPr>
      </w:pPr>
      <w:r w:rsidRPr="00115B9A">
        <w:rPr>
          <w:rFonts w:cstheme="minorHAnsi"/>
        </w:rPr>
        <w:t xml:space="preserve">Ve zprávě o pokroku předsednictví uvádí, že diskuse se soustředila převážně na úroveň ambicí na snižování emisí v případě OA i LUV. Nejproblematičtější částí návrhu je rychlost, s níž má být dosaženo cíle nulových emisí pro vozidla, a to v souvislosti s tím, zda návrh Evropské komise je v tomto ohledu vyvážený nebo bude zapotřebí více času pro dosažení tohoto cíle. Druhým identifikovaným problémem je rozdílné postavení členských států při přechodu na </w:t>
      </w:r>
      <w:proofErr w:type="spellStart"/>
      <w:r w:rsidRPr="00115B9A">
        <w:rPr>
          <w:rFonts w:cstheme="minorHAnsi"/>
        </w:rPr>
        <w:t>bezuhlíková</w:t>
      </w:r>
      <w:proofErr w:type="spellEnd"/>
      <w:r w:rsidRPr="00115B9A">
        <w:rPr>
          <w:rFonts w:cstheme="minorHAnsi"/>
        </w:rPr>
        <w:t xml:space="preserve"> nebo nízkouhlíková vozidla s ohledem na cenovou dostupnost, pomalé budování potřebné infrastruktury a čas, který potřebuje výrobní sektor pro přizpůsobení svých výrobních procesů. neméně důležitá je pak vzájemná provázanost s </w:t>
      </w:r>
      <w:proofErr w:type="spellStart"/>
      <w:r w:rsidRPr="00115B9A">
        <w:rPr>
          <w:rFonts w:cstheme="minorHAnsi"/>
        </w:rPr>
        <w:t>s</w:t>
      </w:r>
      <w:proofErr w:type="spellEnd"/>
      <w:r w:rsidRPr="00115B9A">
        <w:rPr>
          <w:rFonts w:cstheme="minorHAnsi"/>
        </w:rPr>
        <w:t xml:space="preserve"> ostatními návrhy balíčku „Fit </w:t>
      </w:r>
      <w:proofErr w:type="spellStart"/>
      <w:r w:rsidRPr="00115B9A">
        <w:rPr>
          <w:rFonts w:cstheme="minorHAnsi"/>
        </w:rPr>
        <w:t>for</w:t>
      </w:r>
      <w:proofErr w:type="spellEnd"/>
      <w:r w:rsidRPr="00115B9A">
        <w:rPr>
          <w:rFonts w:cstheme="minorHAnsi"/>
        </w:rPr>
        <w:t xml:space="preserve"> 55“.</w:t>
      </w:r>
    </w:p>
    <w:p w14:paraId="1D695243" w14:textId="77777777" w:rsidR="006D063B" w:rsidRPr="00115B9A" w:rsidRDefault="00F40C41" w:rsidP="006D063B">
      <w:pPr>
        <w:spacing w:before="120" w:after="120"/>
        <w:rPr>
          <w:rFonts w:cstheme="minorHAnsi"/>
        </w:rPr>
      </w:pPr>
      <w:r w:rsidRPr="00115B9A">
        <w:rPr>
          <w:rFonts w:cstheme="minorHAnsi"/>
          <w:b/>
        </w:rPr>
        <w:t>3.2</w:t>
      </w:r>
      <w:r w:rsidR="006D063B" w:rsidRPr="00115B9A">
        <w:rPr>
          <w:rFonts w:cstheme="minorHAnsi"/>
          <w:b/>
        </w:rPr>
        <w:t xml:space="preserve"> </w:t>
      </w:r>
      <w:r w:rsidR="006D063B" w:rsidRPr="00115B9A">
        <w:rPr>
          <w:rFonts w:cstheme="minorHAnsi"/>
          <w:b/>
          <w:u w:val="single"/>
        </w:rPr>
        <w:t>Návrh revize směrnice o energetické účinnosti</w:t>
      </w:r>
      <w:r w:rsidR="00115B9A" w:rsidRPr="00115B9A">
        <w:rPr>
          <w:rFonts w:cstheme="minorHAnsi"/>
          <w:b/>
          <w:u w:val="single"/>
        </w:rPr>
        <w:t xml:space="preserve"> (EED)</w:t>
      </w:r>
      <w:r w:rsidR="006D063B" w:rsidRPr="00115B9A">
        <w:rPr>
          <w:rFonts w:cstheme="minorHAnsi"/>
          <w:b/>
        </w:rPr>
        <w:t xml:space="preserve"> považujeme za jeden z pilířů klimaticko-energetické politiky</w:t>
      </w:r>
      <w:r w:rsidR="006D063B" w:rsidRPr="00115B9A">
        <w:rPr>
          <w:rFonts w:cstheme="minorHAnsi"/>
        </w:rPr>
        <w:t xml:space="preserve"> a </w:t>
      </w:r>
      <w:r w:rsidR="006D063B" w:rsidRPr="00115B9A">
        <w:rPr>
          <w:rFonts w:cstheme="minorHAnsi"/>
          <w:b/>
        </w:rPr>
        <w:t xml:space="preserve">obecně vítáme přepracované znění směrnice, </w:t>
      </w:r>
      <w:r w:rsidR="006D063B" w:rsidRPr="00115B9A">
        <w:rPr>
          <w:rFonts w:cstheme="minorHAnsi"/>
        </w:rPr>
        <w:t xml:space="preserve">včetně navrhovaného vyjasnění a zjednodušení řady ustanovení. </w:t>
      </w:r>
      <w:r w:rsidR="006D063B" w:rsidRPr="00115B9A">
        <w:rPr>
          <w:rFonts w:cstheme="minorHAnsi"/>
          <w:b/>
        </w:rPr>
        <w:t>Nicméně se jedná o ambiciózní návrh, který by stejně jako revidovaný návrh nařízení k redukci CO</w:t>
      </w:r>
      <w:r w:rsidR="006D063B" w:rsidRPr="00115B9A">
        <w:rPr>
          <w:rFonts w:cstheme="minorHAnsi"/>
          <w:b/>
          <w:vertAlign w:val="subscript"/>
        </w:rPr>
        <w:t>2</w:t>
      </w:r>
      <w:r w:rsidR="006D063B" w:rsidRPr="00115B9A">
        <w:rPr>
          <w:rFonts w:cstheme="minorHAnsi"/>
          <w:b/>
        </w:rPr>
        <w:t xml:space="preserve"> z automobilů měl při navyšování cílů a závazků respektovat nákladovou efektivitu a technickou a praktickou proveditelnost.</w:t>
      </w:r>
      <w:r w:rsidR="006D063B" w:rsidRPr="00115B9A">
        <w:rPr>
          <w:rFonts w:cstheme="minorHAnsi"/>
        </w:rPr>
        <w:t xml:space="preserve"> Navíc se jedná o poměrně časnou revizi původní směrnice z roku 2018. </w:t>
      </w:r>
    </w:p>
    <w:p w14:paraId="6C85906E" w14:textId="77777777" w:rsidR="006D063B" w:rsidRPr="00115B9A" w:rsidRDefault="006D063B" w:rsidP="006D063B">
      <w:pPr>
        <w:spacing w:before="120" w:after="120"/>
        <w:rPr>
          <w:rFonts w:cstheme="minorHAnsi"/>
        </w:rPr>
      </w:pPr>
      <w:r w:rsidRPr="00115B9A">
        <w:rPr>
          <w:rFonts w:cstheme="minorHAnsi"/>
          <w:b/>
        </w:rPr>
        <w:t xml:space="preserve">V kontextu tohoto návrhu ČR bude od Evropské komise vyžadovat jasné a na datech podložené zdůvodnění výběru cílů a závazků v procentuální výši a prokázání jejich opodstatnění pro splnění unijního cíle </w:t>
      </w:r>
      <w:r w:rsidRPr="00115B9A">
        <w:rPr>
          <w:rFonts w:cstheme="minorHAnsi"/>
        </w:rPr>
        <w:t xml:space="preserve">snížení emisí ve výši 55 % do roku 2030. Ve vztahu k plnění národního příspěvku, který má zajistit splnění EU cíle v oblasti zvyšování energetické účinnosti </w:t>
      </w:r>
      <w:r w:rsidRPr="00115B9A">
        <w:rPr>
          <w:rFonts w:cstheme="minorHAnsi"/>
          <w:b/>
        </w:rPr>
        <w:t>ČR vidí zásadní problém ve snižující se míře flexibility v oblasti implementace politik a opatření a zvýšené míře stanovování nových povinností a nástrojů na EU úrovni, které omezují možnosti členských států brát ohledy na národní specifika</w:t>
      </w:r>
      <w:r w:rsidRPr="00115B9A">
        <w:rPr>
          <w:rFonts w:cstheme="minorHAnsi"/>
        </w:rPr>
        <w:t xml:space="preserve">. </w:t>
      </w:r>
      <w:r w:rsidRPr="00115B9A">
        <w:rPr>
          <w:rFonts w:cstheme="minorHAnsi"/>
          <w:b/>
        </w:rPr>
        <w:t xml:space="preserve">I přesto ČR vnímá pozitivně zvýšený důraz na veřejný sektor, ve kterém je výrazný potenciál pro snižování energetické náročnosti fondu budov </w:t>
      </w:r>
      <w:r w:rsidRPr="00115B9A">
        <w:rPr>
          <w:rFonts w:cstheme="minorHAnsi"/>
        </w:rPr>
        <w:t>a také spatřujeme řadu pozitivních změn ve vztahu k energetickým službám.</w:t>
      </w:r>
    </w:p>
    <w:p w14:paraId="5B02BFB9" w14:textId="77777777" w:rsidR="006D063B" w:rsidRDefault="006D063B" w:rsidP="006D063B">
      <w:pPr>
        <w:spacing w:before="120" w:after="120"/>
        <w:rPr>
          <w:rFonts w:cstheme="minorHAnsi"/>
        </w:rPr>
      </w:pPr>
      <w:r w:rsidRPr="00115B9A">
        <w:rPr>
          <w:rFonts w:cstheme="minorHAnsi"/>
        </w:rPr>
        <w:t xml:space="preserve">Nicméně v rámci projednávání </w:t>
      </w:r>
      <w:r w:rsidRPr="00115B9A">
        <w:rPr>
          <w:rFonts w:cstheme="minorHAnsi"/>
          <w:b/>
        </w:rPr>
        <w:t>ČR upozorňuje na významné dopady návrhu na soukromé a veřejné rozpočty</w:t>
      </w:r>
      <w:r w:rsidRPr="00115B9A">
        <w:rPr>
          <w:rFonts w:cstheme="minorHAnsi"/>
        </w:rPr>
        <w:t xml:space="preserve"> a rizika zvýšené administrativní náročnosti pro veřejný i soukromý sektor </w:t>
      </w:r>
      <w:r w:rsidRPr="00115B9A">
        <w:rPr>
          <w:rFonts w:cstheme="minorHAnsi"/>
          <w:b/>
        </w:rPr>
        <w:t>a stejně jako u dalších návrhů bude prosazovat dostatečně dlouhou transpoziční lhůtu na implementaci příslušných úprav směrnice</w:t>
      </w:r>
      <w:r w:rsidRPr="00115B9A">
        <w:rPr>
          <w:rFonts w:cstheme="minorHAnsi"/>
        </w:rPr>
        <w:t xml:space="preserve">, minimálně alespoň 24 měsíců od vstupu v platnost. ČR rovněž podporuje zachování koherence v rámci samotného návrhu směrnice a rovněž s ostatními legislativními návrhy v rámci balíčku Fit </w:t>
      </w:r>
      <w:proofErr w:type="spellStart"/>
      <w:r w:rsidRPr="00115B9A">
        <w:rPr>
          <w:rFonts w:cstheme="minorHAnsi"/>
        </w:rPr>
        <w:t>for</w:t>
      </w:r>
      <w:proofErr w:type="spellEnd"/>
      <w:r w:rsidRPr="00115B9A">
        <w:rPr>
          <w:rFonts w:cstheme="minorHAnsi"/>
        </w:rPr>
        <w:t xml:space="preserve"> 55, převážně pak s rozšířením EU ETS na sektor budov.</w:t>
      </w:r>
    </w:p>
    <w:p w14:paraId="13820E7A" w14:textId="77777777" w:rsidR="00906C85" w:rsidRDefault="00906C85" w:rsidP="00906C85">
      <w:r>
        <w:t>Veřejná sféra by podle návrhu měla jít v zavádění energeticky úsporných řešení příkladem. Proto přepracovaná směrnice nově zavádí cíl na redukci</w:t>
      </w:r>
      <w:r w:rsidRPr="007019DA">
        <w:t xml:space="preserve"> celkov</w:t>
      </w:r>
      <w:r>
        <w:t>é</w:t>
      </w:r>
      <w:r w:rsidRPr="007019DA">
        <w:t xml:space="preserve"> konečn</w:t>
      </w:r>
      <w:r>
        <w:t>é</w:t>
      </w:r>
      <w:r w:rsidRPr="007019DA">
        <w:t xml:space="preserve"> spotřeb</w:t>
      </w:r>
      <w:r>
        <w:t>y</w:t>
      </w:r>
      <w:r w:rsidRPr="007019DA">
        <w:t xml:space="preserve"> všech veřejných subjektů</w:t>
      </w:r>
      <w:r>
        <w:t xml:space="preserve">. Návrh dále rozšiřuje povinnost každoročně renovovat nejméně 3 % celkové podlahové plochy budov, a to v budovách ve svém vlastnictví na všech úrovních veřejné správy. Dále návrh adresuje způsob zadávání veřejných zakázek. </w:t>
      </w:r>
      <w:r w:rsidRPr="007019DA">
        <w:t xml:space="preserve">Návrh </w:t>
      </w:r>
      <w:r>
        <w:t xml:space="preserve">také </w:t>
      </w:r>
      <w:r w:rsidRPr="007019DA">
        <w:t>upravuje přístup k stanovení EU cíle a výpočtu národních příspěvků v oblasti energetické účinnosti.</w:t>
      </w:r>
      <w:r w:rsidR="00DB3A00">
        <w:t xml:space="preserve"> </w:t>
      </w:r>
      <w:r>
        <w:t xml:space="preserve">Upravuje se výše závazku povinných úspor. </w:t>
      </w:r>
      <w:r w:rsidRPr="002D5AB8">
        <w:t>Komise nově zavádí povinnost kumulovaných úspor rovnající se každoročním úsporám ve výši 1,5 % konečné roční spotřeby energie od 1. ledna 2024 až do 31. prosince 2030 oproti původnímu závazku na úrovni 0,8 %</w:t>
      </w:r>
      <w:r>
        <w:t xml:space="preserve">. </w:t>
      </w:r>
    </w:p>
    <w:p w14:paraId="7F7211DE" w14:textId="77777777" w:rsidR="00906C85" w:rsidRDefault="00906C85" w:rsidP="00906C85">
      <w:r>
        <w:t>Důležitou součástí návrhu je právní ukotvení uplatňování zásady „energetická účinnost v první řadě“, tedy zajištění její praktické implementace a systematického posuzování možných řešení energetické účinnosti v politických a investičních rozhodnutích.</w:t>
      </w:r>
    </w:p>
    <w:p w14:paraId="562470A7" w14:textId="77777777" w:rsidR="00906C85" w:rsidRDefault="00906C85" w:rsidP="00906C85">
      <w:r>
        <w:t>Návrh se dále zabývá otázkami jako je energetická chudoba, posílení postavení a ochrany spotřebitele, investice do zvyšování energetické účinnosti (konkrétně řešení současných překážek investic). Zavádí nový požadavek pro ČS, aby přijaly opatření k provádění zlepšení energetické účinnosti u osob postižených energetickou chudobou nebo ohrožených energetickou chudobou, zranitelných zákazníků, případně lidí žijících v sociálním bydlení.</w:t>
      </w:r>
      <w:r w:rsidRPr="00256579">
        <w:t xml:space="preserve"> </w:t>
      </w:r>
    </w:p>
    <w:p w14:paraId="4F028C03" w14:textId="77777777" w:rsidR="00906C85" w:rsidRDefault="00906C85" w:rsidP="00906C85">
      <w:r>
        <w:t>V rámci stanovení nového rámce pro vytápění a chlazení jsou kladeny požadavky podněcující využívání odpadního tepla a obnovitelných zdrojů. Návrh také zpřísňuje definici „účinných“ systémů, aby se postupně transformovaly na systémy na bázi OZE.</w:t>
      </w:r>
    </w:p>
    <w:p w14:paraId="2FC224A9" w14:textId="77777777" w:rsidR="00906C85" w:rsidRDefault="006D063B" w:rsidP="00906C85">
      <w:r w:rsidRPr="00115B9A">
        <w:rPr>
          <w:rFonts w:cstheme="minorHAnsi"/>
        </w:rPr>
        <w:t xml:space="preserve">Zpráva o pokroku potvrzuje, že v obecné rovině jsou energeticky účinná opatření členskými státy podporována a že jejich role je v postupné dekarbonizaci ekonomiky EU a následném docílení uhlíkové neutrality klíčová. </w:t>
      </w:r>
      <w:r w:rsidRPr="00115B9A">
        <w:rPr>
          <w:rFonts w:cstheme="minorHAnsi"/>
          <w:b/>
        </w:rPr>
        <w:t xml:space="preserve">Mnoho členských států nicméně vyjadřuje pochybnosti zejména ve vztahu k administrativním překážkám, nedostatečném zohlednění nákladové efektivity nebo obecně nadměrné ambicióznosti cílů. </w:t>
      </w:r>
      <w:r w:rsidRPr="00115B9A">
        <w:rPr>
          <w:rFonts w:cstheme="minorHAnsi"/>
        </w:rPr>
        <w:t>Poslední ze zmíněných sporných bodů lze vztáhnout například k článku 4, kde vyjádřilo mnoho delegací potřebu vytvořit nový vzorec pro výpočet příspěvků ČS do rozpočtu EU zohledňující vnitrostátní specifika a potenciál v oblasti úspory energie. Pokud jde o zmíněné povinné úspory energie (čl. 8), jejich navýšení o 1,5 % do roku 2030 pro všechny ČS se zdá delegacím být příliš ambiciózním. V této souvislosti členské státy žádají vyjasnění vztahu mezi úsporami stanovenými v rámci EU ETS a EED. Princip „energetická účinnost v první řadě“ je v obecné rovině ČS široce podporován. Co z jejich strany vyvolává pochybnosti, je míra regulačních zásahů, nejednoznačnost opatření a administrativní zátěž související s monitorováním a podáváním zpráv. V této souvislosti členské státy poukazují na nutnost flexibility a zohlednění nákladové efektivnosti.</w:t>
      </w:r>
      <w:r w:rsidR="00906C85">
        <w:rPr>
          <w:rFonts w:cstheme="minorHAnsi"/>
        </w:rPr>
        <w:t xml:space="preserve"> </w:t>
      </w:r>
      <w:r w:rsidR="00906C85">
        <w:t>ČR upozorňuje na významné dopady návrhu na soukromé a veřejné rozpočty a rizika zvýšené administrativní náročnosti pro veřejný i soukromý sektor. Zároveň je nutno upozornit, že je třeba členským státům poskytnout dostatečnou transpoziční lhůtu na implementaci příslušných úprav směrnice. ČR se domnívá, že by taková lhůta měla být alespoň 24 měsíců od vstupu v platnost.</w:t>
      </w:r>
    </w:p>
    <w:p w14:paraId="46052B81" w14:textId="77777777" w:rsidR="00115B9A" w:rsidRPr="00115B9A" w:rsidRDefault="00F40C41" w:rsidP="006D063B">
      <w:pPr>
        <w:spacing w:before="120" w:after="120"/>
        <w:rPr>
          <w:rFonts w:cstheme="minorHAnsi"/>
          <w:b/>
          <w:bCs/>
          <w:u w:val="single"/>
        </w:rPr>
      </w:pPr>
      <w:r w:rsidRPr="00115B9A">
        <w:rPr>
          <w:rFonts w:cstheme="minorHAnsi"/>
          <w:b/>
          <w:bCs/>
        </w:rPr>
        <w:t>3.3</w:t>
      </w:r>
      <w:r w:rsidR="006D063B" w:rsidRPr="00115B9A">
        <w:rPr>
          <w:rFonts w:cstheme="minorHAnsi"/>
          <w:b/>
          <w:bCs/>
        </w:rPr>
        <w:t xml:space="preserve"> </w:t>
      </w:r>
      <w:r w:rsidR="00115B9A" w:rsidRPr="00115B9A">
        <w:rPr>
          <w:rFonts w:cstheme="minorHAnsi"/>
          <w:b/>
          <w:bCs/>
          <w:u w:val="single"/>
        </w:rPr>
        <w:t>N</w:t>
      </w:r>
      <w:r w:rsidR="006D063B" w:rsidRPr="00115B9A">
        <w:rPr>
          <w:rFonts w:cstheme="minorHAnsi"/>
          <w:b/>
          <w:bCs/>
          <w:u w:val="single"/>
        </w:rPr>
        <w:t xml:space="preserve">ávrh </w:t>
      </w:r>
      <w:r w:rsidR="006D063B" w:rsidRPr="00115B9A">
        <w:rPr>
          <w:rFonts w:cstheme="minorHAnsi"/>
          <w:b/>
          <w:u w:val="single"/>
        </w:rPr>
        <w:t>revize směrnice o podpoře energie z obnovitelných zdrojů</w:t>
      </w:r>
      <w:r w:rsidR="00115B9A" w:rsidRPr="00115B9A">
        <w:rPr>
          <w:rFonts w:cstheme="minorHAnsi"/>
          <w:b/>
          <w:u w:val="single"/>
        </w:rPr>
        <w:t xml:space="preserve"> (REDII)</w:t>
      </w:r>
    </w:p>
    <w:p w14:paraId="4F62D1F9" w14:textId="77777777" w:rsidR="00115B9A" w:rsidRPr="00115B9A" w:rsidRDefault="00115B9A" w:rsidP="00115B9A">
      <w:pPr>
        <w:rPr>
          <w:rFonts w:cstheme="minorHAnsi"/>
        </w:rPr>
      </w:pPr>
      <w:r w:rsidRPr="00115B9A">
        <w:rPr>
          <w:rFonts w:cstheme="minorHAnsi"/>
        </w:rPr>
        <w:t>Navrhovaná směrnice zvyšuje cíl na úrovni EU v oblasti energie z obnovitelných zdrojů nejméně na 40 % a zavádí nová odvětvová opatření nebo posiluje stávající opatření s cílem zvýšit podíl energie z obnovitelných zdrojů v oblasti vytápění a chlazení, dopravy, průmyslu, budov a výroby elektřiny a usnadnit nákladově efektivní zavádění obnovitelných zdrojů energie a dosažení celkového cíle. Navrhovaná směrnice rovněž posiluje stávající kritéria udržitelnosti pro lesní biomasu a zavádí řadu řešení v souladu s evropskými strategiemi týkajícími se integrace energetického systému a vodíku, které byly zveřejněny v roce 2020.</w:t>
      </w:r>
    </w:p>
    <w:p w14:paraId="1D1E1CB1" w14:textId="77777777" w:rsidR="00115B9A" w:rsidRPr="00115B9A" w:rsidRDefault="00115B9A" w:rsidP="00115B9A">
      <w:pPr>
        <w:rPr>
          <w:rFonts w:cstheme="minorHAnsi"/>
        </w:rPr>
      </w:pPr>
      <w:r w:rsidRPr="00115B9A">
        <w:rPr>
          <w:rFonts w:cstheme="minorHAnsi"/>
        </w:rPr>
        <w:t>Celkově se zdá, že členské státy podporují zvýšení ambicí celkového cíle EU v oblasti obnovitelných zdrojů. Delegace však zdůrazňují, že je důležité, aby členské státy mohly flexibilně uplatňovat nákladově nejefektivnější opatření, aby byly v souladu se stávajícími právními předpisy a aby byly dodržovány zásady subsidiarity a technologické neutrality. V této souvislosti bude třeba věnovat zvláštní pozornost několika otázkám:</w:t>
      </w:r>
    </w:p>
    <w:p w14:paraId="273F86F9" w14:textId="77777777" w:rsidR="00115B9A" w:rsidRPr="00115B9A" w:rsidRDefault="00115B9A" w:rsidP="00115B9A">
      <w:pPr>
        <w:pStyle w:val="Odstavecseseznamem"/>
        <w:numPr>
          <w:ilvl w:val="0"/>
          <w:numId w:val="19"/>
        </w:numPr>
        <w:rPr>
          <w:rFonts w:cstheme="minorHAnsi"/>
        </w:rPr>
      </w:pPr>
      <w:r w:rsidRPr="00115B9A">
        <w:rPr>
          <w:rFonts w:cstheme="minorHAnsi"/>
        </w:rPr>
        <w:t xml:space="preserve">Více odvětvových cílů: revize RED II zavádí nové odvětvové cíle a podcíle a povinnosti, pokud jde o průmysl, budovy, vytápění a chlazení a dopravu nebo se odvětvové cíle dále zvyšují (např. cíle pro pokročilá biopaliva a bioplyn v odvětví dopravy nebo cíle v odvětví vytápění a chlazení). Tyto dílčí cíle, jejich případná závaznost nebo jejich další zvyšování včetně akcentu na využívání vodíku v průmyslu, jejich důsledky pro vnitrostátní skladbu zdrojů energie (a využívání plynu/jaderné energie), jakož i jejich vzájemné interakce, představují pro tato jednání hlavní problém. </w:t>
      </w:r>
    </w:p>
    <w:p w14:paraId="4B29BBAC" w14:textId="77777777" w:rsidR="00115B9A" w:rsidRPr="00115B9A" w:rsidRDefault="00115B9A" w:rsidP="00115B9A">
      <w:pPr>
        <w:pStyle w:val="Odstavecseseznamem"/>
        <w:numPr>
          <w:ilvl w:val="0"/>
          <w:numId w:val="19"/>
        </w:numPr>
        <w:rPr>
          <w:rFonts w:cstheme="minorHAnsi"/>
        </w:rPr>
      </w:pPr>
      <w:r w:rsidRPr="00115B9A">
        <w:rPr>
          <w:rFonts w:cstheme="minorHAnsi"/>
        </w:rPr>
        <w:t xml:space="preserve">Provázanost: Revize RED II probíhá souběžně s jednáními o dalších iniciativách balíčku "Fit </w:t>
      </w:r>
      <w:proofErr w:type="spellStart"/>
      <w:r w:rsidRPr="00115B9A">
        <w:rPr>
          <w:rFonts w:cstheme="minorHAnsi"/>
        </w:rPr>
        <w:t>for</w:t>
      </w:r>
      <w:proofErr w:type="spellEnd"/>
      <w:r w:rsidRPr="00115B9A">
        <w:rPr>
          <w:rFonts w:cstheme="minorHAnsi"/>
        </w:rPr>
        <w:t xml:space="preserve"> 55", které sledují podobné cíle nebo cíle pro stejná odvětví. Předsednictví proto musí zajistit celkovou provázanost v rámci balíčku "Fit </w:t>
      </w:r>
      <w:proofErr w:type="spellStart"/>
      <w:r w:rsidRPr="00115B9A">
        <w:rPr>
          <w:rFonts w:cstheme="minorHAnsi"/>
        </w:rPr>
        <w:t>for</w:t>
      </w:r>
      <w:proofErr w:type="spellEnd"/>
      <w:r w:rsidRPr="00115B9A">
        <w:rPr>
          <w:rFonts w:cstheme="minorHAnsi"/>
        </w:rPr>
        <w:t xml:space="preserve"> 55", v případě RED II zejména s návrhy týkajícími se energetické účinnosti (EED a EPBD), plynárenským balíčkem (včetně aspektů, jako je integrace odvětví a vodík) a dalších iniciativ v oblasti dopravy (rozšíření ETS, iniciativy v oblasti leteckých a námořních paliv, nařízení o infrastruktuře pro alternativní paliva).</w:t>
      </w:r>
    </w:p>
    <w:p w14:paraId="1B119EB0" w14:textId="77777777" w:rsidR="00115B9A" w:rsidRPr="00115B9A" w:rsidRDefault="00115B9A" w:rsidP="00115B9A">
      <w:pPr>
        <w:spacing w:before="120" w:after="120"/>
        <w:rPr>
          <w:rFonts w:cstheme="minorHAnsi"/>
          <w:b/>
          <w:bCs/>
        </w:rPr>
      </w:pPr>
      <w:r w:rsidRPr="00115B9A">
        <w:rPr>
          <w:rFonts w:cstheme="minorHAnsi"/>
        </w:rPr>
        <w:t xml:space="preserve">Pokud jde o strukturu podcílů pro OZE, ČR odmítá navrhované podcíle. Návrh na zavedení indikativního cíle pro OZE v budovách ve výši 49 % ČR odmítá, a dále vidí problém v metodologii stanovení cíle a sběru statistických dat o využití OZE v budovách. K ozelenění průmyslu ČR upozornila, že do cílů v oblasti vodíku by měl být započítáván také veškerý nízkoemisní vodík. U chlazení a vytápění ČR preferuje zachování indikativního cíle. V případě cílů v sektoru dopravy ČR podpořila započítávání všech obnovitelných paliv nebiologického původu a elektřiny vyrobených z nízkoemisních zdrojů. </w:t>
      </w:r>
      <w:r w:rsidRPr="00115B9A">
        <w:rPr>
          <w:rFonts w:cstheme="minorHAnsi"/>
          <w:b/>
          <w:bCs/>
        </w:rPr>
        <w:t xml:space="preserve">ČR rovněž věří, že jak v případě návrhu revize směrnice o energetické účinnosti, tak v případě návrhu revize směrnice o podpoře energie z obnovitelných zdrojů je zásadní provázat je se závazky a cíli, které jsou stanoveny v ostatních legislativních návrzích v rámci balíčku Fit </w:t>
      </w:r>
      <w:proofErr w:type="spellStart"/>
      <w:r w:rsidRPr="00115B9A">
        <w:rPr>
          <w:rFonts w:cstheme="minorHAnsi"/>
          <w:b/>
          <w:bCs/>
        </w:rPr>
        <w:t>for</w:t>
      </w:r>
      <w:proofErr w:type="spellEnd"/>
      <w:r w:rsidRPr="00115B9A">
        <w:rPr>
          <w:rFonts w:cstheme="minorHAnsi"/>
          <w:b/>
          <w:bCs/>
        </w:rPr>
        <w:t xml:space="preserve"> 55.</w:t>
      </w:r>
    </w:p>
    <w:p w14:paraId="0E017A51" w14:textId="77777777" w:rsidR="00115B9A" w:rsidRPr="00115B9A" w:rsidRDefault="00115B9A" w:rsidP="00115B9A">
      <w:pPr>
        <w:spacing w:before="120" w:after="120"/>
        <w:rPr>
          <w:rFonts w:cstheme="minorHAnsi"/>
          <w:bCs/>
        </w:rPr>
      </w:pPr>
      <w:bookmarkStart w:id="1" w:name="_Hlk92459166"/>
      <w:r w:rsidRPr="00115B9A">
        <w:rPr>
          <w:rFonts w:cstheme="minorHAnsi"/>
        </w:rPr>
        <w:t xml:space="preserve">SI PRES projednalo návrh směrnice článek po článku a připravilo pro FR PRES zprávu o pokroku a první revizi návrhu. </w:t>
      </w:r>
      <w:r w:rsidRPr="00115B9A">
        <w:rPr>
          <w:rFonts w:cstheme="minorHAnsi"/>
          <w:bCs/>
        </w:rPr>
        <w:t xml:space="preserve">Zpráva o pokroku uvádí, že členské státy podporují záměr návrhu i jeho ambici, nicméně zdůrazňují důležitost flexibility v otázce zavádění nákladově efektivních řešení, koherence se stávajícím právním rámcem a respektování zásady subsidiarity a principu technologické neutrality. </w:t>
      </w:r>
      <w:r w:rsidRPr="00115B9A">
        <w:rPr>
          <w:rFonts w:cstheme="minorHAnsi"/>
        </w:rPr>
        <w:t xml:space="preserve">Je však nutné zdůraznit, že předložený návrh doznal pouze kosmetických změn a nedošlo k posunu v zásadních otázkách. </w:t>
      </w:r>
      <w:bookmarkEnd w:id="1"/>
      <w:r w:rsidRPr="00115B9A">
        <w:rPr>
          <w:rFonts w:cstheme="minorHAnsi"/>
        </w:rPr>
        <w:t>Revize RED II představuje jednu z hlavních priorit FR PRES. Francouzské předsednictví bude cílit na dosažení obecného přístupu Rady do konce června 2022. I pro ČR je revize RED II jednou z hlavních priorit. CZ PRES by následně chtělo zahájit trialogy, dosáhnout dohody s EP a vyjednávání revize RED II úspěšně uzavřít.</w:t>
      </w:r>
    </w:p>
    <w:p w14:paraId="69BE27A0" w14:textId="77777777" w:rsidR="006D063B" w:rsidRPr="002703B2" w:rsidRDefault="00F40C41" w:rsidP="006D063B">
      <w:pPr>
        <w:spacing w:before="120" w:after="120"/>
        <w:rPr>
          <w:rFonts w:cstheme="minorHAnsi"/>
          <w:b/>
          <w:bCs/>
        </w:rPr>
      </w:pPr>
      <w:r w:rsidRPr="00115B9A">
        <w:rPr>
          <w:rFonts w:cstheme="minorHAnsi"/>
          <w:b/>
          <w:bCs/>
        </w:rPr>
        <w:t>3.4</w:t>
      </w:r>
      <w:r w:rsidR="006D063B" w:rsidRPr="00115B9A">
        <w:rPr>
          <w:rFonts w:cstheme="minorHAnsi"/>
          <w:bCs/>
        </w:rPr>
        <w:t xml:space="preserve"> U </w:t>
      </w:r>
      <w:r w:rsidR="006D063B" w:rsidRPr="00115B9A">
        <w:rPr>
          <w:rFonts w:cstheme="minorHAnsi"/>
          <w:b/>
          <w:bCs/>
          <w:u w:val="single"/>
        </w:rPr>
        <w:t>návrhu nařízení o mechanismu uhlíkového vyrovnání na hranicích (CBAM)</w:t>
      </w:r>
      <w:r w:rsidR="006D063B" w:rsidRPr="00115B9A">
        <w:rPr>
          <w:rFonts w:cstheme="minorHAnsi"/>
          <w:b/>
          <w:bCs/>
        </w:rPr>
        <w:t xml:space="preserve"> </w:t>
      </w:r>
      <w:r w:rsidR="006D063B" w:rsidRPr="00115B9A">
        <w:rPr>
          <w:rFonts w:cstheme="minorHAnsi"/>
          <w:bCs/>
        </w:rPr>
        <w:t xml:space="preserve">ČR především prosazuje </w:t>
      </w:r>
      <w:r w:rsidR="002703B2">
        <w:rPr>
          <w:rFonts w:cstheme="minorHAnsi"/>
          <w:bCs/>
        </w:rPr>
        <w:t xml:space="preserve"> tři</w:t>
      </w:r>
      <w:r w:rsidR="006D063B" w:rsidRPr="00115B9A">
        <w:rPr>
          <w:rFonts w:cstheme="minorHAnsi"/>
          <w:bCs/>
        </w:rPr>
        <w:t xml:space="preserve"> věci, a to</w:t>
      </w:r>
      <w:r w:rsidR="002703B2">
        <w:rPr>
          <w:rFonts w:cstheme="minorHAnsi"/>
          <w:bCs/>
        </w:rPr>
        <w:t>: 1)</w:t>
      </w:r>
      <w:r w:rsidR="006D063B" w:rsidRPr="00115B9A">
        <w:rPr>
          <w:rFonts w:cstheme="minorHAnsi"/>
          <w:bCs/>
        </w:rPr>
        <w:t xml:space="preserve"> </w:t>
      </w:r>
      <w:r w:rsidR="006D063B" w:rsidRPr="00115B9A">
        <w:rPr>
          <w:rFonts w:cstheme="minorHAnsi"/>
          <w:b/>
          <w:bCs/>
        </w:rPr>
        <w:t xml:space="preserve">provázanost tohoto návrhu s návrhem revize nařízení EU ETS tak, aby ke snižování bezplatné alokace emisních povolenek docházelo až po skončení 4. obchodovacího období </w:t>
      </w:r>
      <w:r w:rsidR="006D063B" w:rsidRPr="00115B9A">
        <w:rPr>
          <w:rFonts w:cstheme="minorHAnsi"/>
          <w:bCs/>
        </w:rPr>
        <w:t xml:space="preserve">(to začalo v roce 2021 a bude trvat až do roku 2030), čímž by provozovatelé emisně náročných zařízení z řad dotčených odvětví měli dostatečný prostor pro dlouhodobé plánování transformace a byla zachována konkurenceschopnost unijního průmyslu, </w:t>
      </w:r>
      <w:r w:rsidR="006D063B" w:rsidRPr="00115B9A">
        <w:rPr>
          <w:rFonts w:cstheme="minorHAnsi"/>
          <w:b/>
          <w:bCs/>
        </w:rPr>
        <w:t xml:space="preserve"> </w:t>
      </w:r>
      <w:r w:rsidR="002703B2">
        <w:rPr>
          <w:rFonts w:cstheme="minorHAnsi"/>
          <w:b/>
          <w:bCs/>
        </w:rPr>
        <w:t xml:space="preserve">2) </w:t>
      </w:r>
      <w:r w:rsidR="006D063B" w:rsidRPr="00115B9A">
        <w:rPr>
          <w:rFonts w:cstheme="minorHAnsi"/>
          <w:b/>
          <w:bCs/>
        </w:rPr>
        <w:t>dále aby CBAM nebyl vnímán jako protekcionistický nástroj, ale naopak plně respektoval mezinárodní právo a závazky EU a WTO. V nařízení mj. také postrádáme mechanismus „vratky“ CBAM exportérům, kteří prodávají výrobky ve třetích zemích a musí konkurovat firmám, jež nečelí srovnatelným nákladům na ochranu klimatu</w:t>
      </w:r>
      <w:r w:rsidR="002703B2">
        <w:rPr>
          <w:rFonts w:cstheme="minorHAnsi"/>
          <w:b/>
          <w:bCs/>
        </w:rPr>
        <w:t xml:space="preserve"> a konečně 3) aby byl </w:t>
      </w:r>
      <w:r w:rsidR="002703B2" w:rsidRPr="002703B2">
        <w:rPr>
          <w:b/>
        </w:rPr>
        <w:t xml:space="preserve">vytvořen centralizovaný systém řízený jednou evropskou autoritou než systém </w:t>
      </w:r>
      <w:bookmarkStart w:id="2" w:name="_Hlk89868425"/>
      <w:r w:rsidR="002703B2" w:rsidRPr="002703B2">
        <w:rPr>
          <w:b/>
        </w:rPr>
        <w:t>decentralizovaný s 27 vnitrostátními registry deklarantů</w:t>
      </w:r>
      <w:bookmarkEnd w:id="2"/>
      <w:r w:rsidR="002703B2">
        <w:rPr>
          <w:b/>
        </w:rPr>
        <w:t>.</w:t>
      </w:r>
    </w:p>
    <w:p w14:paraId="3F0319CA" w14:textId="77777777" w:rsidR="006D063B" w:rsidRPr="00115B9A" w:rsidRDefault="006D063B" w:rsidP="006D063B">
      <w:pPr>
        <w:spacing w:before="120" w:after="120"/>
        <w:rPr>
          <w:rFonts w:cstheme="minorHAnsi"/>
          <w:bCs/>
        </w:rPr>
      </w:pPr>
      <w:r w:rsidRPr="00115B9A">
        <w:rPr>
          <w:rFonts w:cstheme="minorHAnsi"/>
          <w:bCs/>
        </w:rPr>
        <w:t xml:space="preserve">SI PRES ve zprávě o pokroku konstatuje, že jednání k návrhu nařízení v rámci ad hoc pracovní skupiny k CBAM byla zaměřena na detailní prezentaci návrhu Komise a související dopadovou studii, během SI PRES se podařilo dokončit první čtení návrhu. Členské státy se v rámci diskuse shodly na důležitosti CBAM v kontextu mezinárodního obchodu, konkurenceschopnosti unijního průmyslu a dopadu na hospodářství. Další diskuse by se měla zaměřit na fungování CBAM v praxi, a to včetně administrativy spjaté s tímto mechanismem. </w:t>
      </w:r>
    </w:p>
    <w:p w14:paraId="75012D1A" w14:textId="77777777" w:rsidR="006D063B" w:rsidRDefault="006D063B" w:rsidP="006D063B">
      <w:pPr>
        <w:spacing w:before="120" w:after="120"/>
        <w:rPr>
          <w:rFonts w:cstheme="minorHAnsi"/>
          <w:b/>
          <w:bCs/>
        </w:rPr>
      </w:pPr>
      <w:r w:rsidRPr="00115B9A">
        <w:rPr>
          <w:rFonts w:cstheme="minorHAnsi"/>
          <w:bCs/>
        </w:rPr>
        <w:t>Dne 22. prosince 2021 Evropská komise zveřejnila legislativní návrh na revizi rozhodnutí o vlastních zdrojích (</w:t>
      </w:r>
      <w:r w:rsidRPr="00115B9A">
        <w:rPr>
          <w:rFonts w:cstheme="minorHAnsi"/>
          <w:bCs/>
          <w:i/>
        </w:rPr>
        <w:t>pozn.: návrh je v gesci MF a rámcovou pozici v současnosti připravuje</w:t>
      </w:r>
      <w:r w:rsidRPr="00115B9A">
        <w:rPr>
          <w:rFonts w:cstheme="minorHAnsi"/>
          <w:bCs/>
        </w:rPr>
        <w:t xml:space="preserve">) a revizi nařízení k Víceletému finančnímu rámci 2021-2027. </w:t>
      </w:r>
      <w:r w:rsidRPr="00115B9A">
        <w:rPr>
          <w:rFonts w:cstheme="minorHAnsi"/>
          <w:b/>
          <w:bCs/>
        </w:rPr>
        <w:t>V případě CBAM má být část příjmů z prodeje certifikátů CBAM převedena do rozpočtu EU jako vlastní zdroj ve formě národního příspěvku.</w:t>
      </w:r>
    </w:p>
    <w:p w14:paraId="492C2CAA" w14:textId="77777777" w:rsidR="00642843" w:rsidRPr="00115B9A" w:rsidRDefault="00642843" w:rsidP="006D063B">
      <w:pPr>
        <w:spacing w:before="120" w:after="120"/>
        <w:rPr>
          <w:rFonts w:cstheme="minorHAnsi"/>
          <w:bCs/>
        </w:rPr>
      </w:pPr>
      <w:r>
        <w:rPr>
          <w:rFonts w:cstheme="minorHAnsi"/>
          <w:bCs/>
        </w:rPr>
        <w:t xml:space="preserve">Na základě vývoje jednání považujeme za úspěch, že zdrženlivý postoj ČR a dalších členských států k systému 27 národních orgánů se aktuálně projevil v předloženém upraveném textu, který navrhuje centralizaci administrace na úrovni EU.  </w:t>
      </w:r>
    </w:p>
    <w:p w14:paraId="3EBA5717" w14:textId="77777777" w:rsidR="006D063B" w:rsidRPr="00115B9A" w:rsidRDefault="00F40C41" w:rsidP="006D063B">
      <w:pPr>
        <w:spacing w:before="120" w:after="120"/>
        <w:rPr>
          <w:rFonts w:cstheme="minorHAnsi"/>
          <w:bCs/>
        </w:rPr>
      </w:pPr>
      <w:r w:rsidRPr="00115B9A">
        <w:rPr>
          <w:rFonts w:cstheme="minorHAnsi"/>
          <w:b/>
          <w:bCs/>
        </w:rPr>
        <w:t>3.5</w:t>
      </w:r>
      <w:r w:rsidR="006D063B" w:rsidRPr="00115B9A">
        <w:rPr>
          <w:rFonts w:cstheme="minorHAnsi"/>
          <w:b/>
          <w:bCs/>
        </w:rPr>
        <w:t xml:space="preserve"> </w:t>
      </w:r>
      <w:r w:rsidR="006D063B" w:rsidRPr="00115B9A">
        <w:rPr>
          <w:rFonts w:cstheme="minorHAnsi"/>
          <w:bCs/>
        </w:rPr>
        <w:t xml:space="preserve">Při projednávání </w:t>
      </w:r>
      <w:r w:rsidR="006D063B" w:rsidRPr="00115B9A">
        <w:rPr>
          <w:rFonts w:cstheme="minorHAnsi"/>
          <w:b/>
          <w:bCs/>
          <w:u w:val="single"/>
        </w:rPr>
        <w:t>návrhu o zřízení Sociálního klimatického fondu</w:t>
      </w:r>
      <w:r w:rsidR="00906C85">
        <w:rPr>
          <w:rFonts w:cstheme="minorHAnsi"/>
          <w:b/>
          <w:bCs/>
          <w:u w:val="single"/>
        </w:rPr>
        <w:t xml:space="preserve"> (SKF)</w:t>
      </w:r>
      <w:r w:rsidR="006D063B" w:rsidRPr="00115B9A">
        <w:rPr>
          <w:rFonts w:cstheme="minorHAnsi"/>
          <w:bCs/>
        </w:rPr>
        <w:t xml:space="preserve"> bude ČR </w:t>
      </w:r>
      <w:r w:rsidR="006D063B" w:rsidRPr="00115B9A">
        <w:rPr>
          <w:rFonts w:cstheme="minorHAnsi"/>
          <w:b/>
          <w:bCs/>
        </w:rPr>
        <w:t xml:space="preserve">usilovat o zjednodušení zpracování a obsahu sociálně klimatického plánu a o minimalizaci pravomocí Evropské komise při přípravě a schvalování zmíněného plánu. </w:t>
      </w:r>
      <w:r w:rsidR="006D063B" w:rsidRPr="00115B9A">
        <w:rPr>
          <w:rFonts w:cstheme="minorHAnsi"/>
          <w:bCs/>
        </w:rPr>
        <w:t xml:space="preserve">Důvodem je fakt, že členské státy mají spolufinancovat projekty a investice uvedené v plánech alespoň z poloviny. </w:t>
      </w:r>
      <w:r w:rsidR="006D063B" w:rsidRPr="00115B9A">
        <w:rPr>
          <w:rFonts w:cstheme="minorHAnsi"/>
          <w:b/>
          <w:bCs/>
        </w:rPr>
        <w:t>S touto mírou spolufinancování ČR nesouhlasí a bude usilovat o nižší podíl spolufinancování ze strany členských států kvůli</w:t>
      </w:r>
      <w:r w:rsidR="006D063B" w:rsidRPr="00115B9A">
        <w:rPr>
          <w:rFonts w:cstheme="minorHAnsi"/>
          <w:bCs/>
        </w:rPr>
        <w:t xml:space="preserve"> očekávané větší rozpočtové úspornosti. </w:t>
      </w:r>
      <w:r w:rsidR="006D063B" w:rsidRPr="00115B9A">
        <w:rPr>
          <w:rFonts w:cstheme="minorHAnsi"/>
          <w:b/>
          <w:bCs/>
        </w:rPr>
        <w:t>ČR souhlasí s maximální možnou výší finanční alokace, nicméně bude požadovat vyjasnění alokační metodiky společně se statistickými daty k jednotlivým ukazatelům</w:t>
      </w:r>
      <w:r w:rsidR="006D063B" w:rsidRPr="00115B9A">
        <w:rPr>
          <w:rFonts w:cstheme="minorHAnsi"/>
          <w:bCs/>
        </w:rPr>
        <w:t xml:space="preserve"> a zdůvodnění relevantnosti konkrétních parametrů pro dosažení cíle snižování emisí v dotčených sektorech. </w:t>
      </w:r>
    </w:p>
    <w:p w14:paraId="0DABE553" w14:textId="77777777" w:rsidR="006D063B" w:rsidRPr="00115B9A" w:rsidRDefault="006D063B" w:rsidP="006D063B">
      <w:pPr>
        <w:spacing w:before="120" w:after="120"/>
        <w:rPr>
          <w:rFonts w:cstheme="minorHAnsi"/>
          <w:b/>
        </w:rPr>
      </w:pPr>
      <w:r w:rsidRPr="00115B9A">
        <w:rPr>
          <w:rFonts w:cstheme="minorHAnsi"/>
          <w:bCs/>
        </w:rPr>
        <w:t xml:space="preserve">ČR také preferuje, aby byly v </w:t>
      </w:r>
      <w:r w:rsidRPr="00115B9A">
        <w:rPr>
          <w:rFonts w:cstheme="minorHAnsi"/>
          <w:b/>
          <w:bCs/>
        </w:rPr>
        <w:t>maximální míře zachovány stávající stropy VFR 2021-2027,</w:t>
      </w:r>
      <w:r w:rsidRPr="00115B9A">
        <w:rPr>
          <w:rFonts w:cstheme="minorHAnsi"/>
          <w:bCs/>
        </w:rPr>
        <w:t xml:space="preserve"> tj. aby prostředky byly nalezeny v jejich rámci a případné navýšení VFR tak bylo omezeno na nezbytné minimum. </w:t>
      </w:r>
      <w:r w:rsidRPr="00115B9A">
        <w:rPr>
          <w:rFonts w:cstheme="minorHAnsi"/>
          <w:b/>
          <w:bCs/>
        </w:rPr>
        <w:t>ČR bude požadovat ujištění, že veškerá opatření budou prováděna mimo režim veřejné podpory.</w:t>
      </w:r>
    </w:p>
    <w:p w14:paraId="16895E12" w14:textId="77777777" w:rsidR="006D063B" w:rsidRPr="00115B9A" w:rsidRDefault="006D063B" w:rsidP="006D063B">
      <w:pPr>
        <w:rPr>
          <w:rFonts w:cstheme="minorHAnsi"/>
          <w:b/>
          <w:u w:val="single"/>
        </w:rPr>
      </w:pPr>
      <w:r w:rsidRPr="00115B9A">
        <w:rPr>
          <w:rFonts w:cstheme="minorHAnsi"/>
        </w:rPr>
        <w:t xml:space="preserve">Dle zprávy o pokroku z pera SI PRES členské státy vyjádřily obavy a požadavky na upřesnění jak z hlediska absence samostatné dopadové studie, právního základu, propojení s legislativními návrhy k novým vlastním zdrojům, které Evropská komise zveřejnila dne 22. prosince 2021, tak z hlediska finančních a rozpočtových otázek, zejména k objemu SKF, alokační metodologii nebo zdrojům financování. prozatím na úrovni rady proběhla jen obecná výměna názorů, substantivní projednávání návrhu (článek po článku) mělo být zahájeno během FR PRES. </w:t>
      </w:r>
    </w:p>
    <w:p w14:paraId="2EEAA5DE" w14:textId="77777777" w:rsidR="004265AD" w:rsidRPr="004265AD" w:rsidRDefault="006D063B" w:rsidP="006D063B">
      <w:pPr>
        <w:spacing w:before="120" w:after="120"/>
        <w:rPr>
          <w:rFonts w:cstheme="minorHAnsi"/>
        </w:rPr>
      </w:pPr>
      <w:r w:rsidRPr="004265AD">
        <w:rPr>
          <w:rFonts w:cstheme="minorHAnsi"/>
        </w:rPr>
        <w:t xml:space="preserve">Dne 15. prosince 2021 Evropská komise vydala druhou část legislativních návrhů „Fit </w:t>
      </w:r>
      <w:proofErr w:type="spellStart"/>
      <w:r w:rsidRPr="004265AD">
        <w:rPr>
          <w:rFonts w:cstheme="minorHAnsi"/>
        </w:rPr>
        <w:t>for</w:t>
      </w:r>
      <w:proofErr w:type="spellEnd"/>
      <w:r w:rsidRPr="004265AD">
        <w:rPr>
          <w:rFonts w:cstheme="minorHAnsi"/>
        </w:rPr>
        <w:t xml:space="preserve"> 55</w:t>
      </w:r>
      <w:r w:rsidR="00A133D6" w:rsidRPr="004265AD">
        <w:rPr>
          <w:rFonts w:cstheme="minorHAnsi"/>
        </w:rPr>
        <w:t>“, v</w:t>
      </w:r>
      <w:r w:rsidRPr="004265AD">
        <w:rPr>
          <w:rFonts w:cstheme="minorHAnsi"/>
        </w:rPr>
        <w:t xml:space="preserve"> jejichž </w:t>
      </w:r>
      <w:r w:rsidR="00A133D6" w:rsidRPr="004265AD">
        <w:rPr>
          <w:rFonts w:cstheme="minorHAnsi"/>
        </w:rPr>
        <w:t>rámci do</w:t>
      </w:r>
      <w:r w:rsidRPr="004265AD">
        <w:rPr>
          <w:rFonts w:cstheme="minorHAnsi"/>
        </w:rPr>
        <w:t xml:space="preserve"> působnosti MPO spadají dva</w:t>
      </w:r>
      <w:bookmarkStart w:id="3" w:name="_Hlk92712192"/>
      <w:r w:rsidR="001900BD">
        <w:rPr>
          <w:rFonts w:cstheme="minorHAnsi"/>
        </w:rPr>
        <w:t xml:space="preserve">: </w:t>
      </w:r>
      <w:r w:rsidRPr="004265AD">
        <w:rPr>
          <w:rFonts w:cstheme="minorHAnsi"/>
        </w:rPr>
        <w:t>návrh přepracované směrnice o energetické náročnosti budov</w:t>
      </w:r>
      <w:bookmarkEnd w:id="3"/>
      <w:r w:rsidRPr="004265AD">
        <w:rPr>
          <w:rFonts w:cstheme="minorHAnsi"/>
        </w:rPr>
        <w:t xml:space="preserve"> a část tzv. „plynárenského balíčku“. </w:t>
      </w:r>
    </w:p>
    <w:p w14:paraId="7AE9FA81" w14:textId="77777777" w:rsidR="006D063B" w:rsidRPr="00115B9A" w:rsidRDefault="004265AD" w:rsidP="006D063B">
      <w:pPr>
        <w:spacing w:before="120" w:after="120"/>
        <w:rPr>
          <w:rFonts w:cstheme="minorHAnsi"/>
        </w:rPr>
      </w:pPr>
      <w:r w:rsidRPr="004265AD">
        <w:rPr>
          <w:rFonts w:cstheme="minorHAnsi"/>
          <w:b/>
        </w:rPr>
        <w:t>3.6.</w:t>
      </w:r>
      <w:r>
        <w:rPr>
          <w:rFonts w:cstheme="minorHAnsi"/>
        </w:rPr>
        <w:t xml:space="preserve"> </w:t>
      </w:r>
      <w:r w:rsidR="006D063B" w:rsidRPr="00115B9A">
        <w:rPr>
          <w:rFonts w:cstheme="minorHAnsi"/>
        </w:rPr>
        <w:t xml:space="preserve">V případě </w:t>
      </w:r>
      <w:r w:rsidR="006D063B" w:rsidRPr="00115B9A">
        <w:rPr>
          <w:rFonts w:cstheme="minorHAnsi"/>
          <w:b/>
        </w:rPr>
        <w:t>návrhu přepracované směrnice o energetické náročnosti budov</w:t>
      </w:r>
      <w:r w:rsidR="006D063B" w:rsidRPr="00115B9A">
        <w:rPr>
          <w:rFonts w:cstheme="minorHAnsi"/>
        </w:rPr>
        <w:t>, bude nutné hledat cesty, jak efektivně hájit princip technologické neutrality a umožnit využití veškerých dostupných nástrojů dekarbonizace, a to včetně bioplynu, biomasy a vodíku. Návrh totiž mj. představuje ambiciózní termín „</w:t>
      </w:r>
      <w:proofErr w:type="spellStart"/>
      <w:r w:rsidR="006D063B" w:rsidRPr="00115B9A">
        <w:rPr>
          <w:rFonts w:cstheme="minorHAnsi"/>
        </w:rPr>
        <w:t>zero-emission</w:t>
      </w:r>
      <w:proofErr w:type="spellEnd"/>
      <w:r w:rsidR="006D063B" w:rsidRPr="00115B9A">
        <w:rPr>
          <w:rFonts w:cstheme="minorHAnsi"/>
        </w:rPr>
        <w:t xml:space="preserve"> </w:t>
      </w:r>
      <w:proofErr w:type="spellStart"/>
      <w:r w:rsidR="006D063B" w:rsidRPr="00115B9A">
        <w:rPr>
          <w:rFonts w:cstheme="minorHAnsi"/>
        </w:rPr>
        <w:t>building</w:t>
      </w:r>
      <w:proofErr w:type="spellEnd"/>
      <w:r w:rsidR="006D063B" w:rsidRPr="00115B9A">
        <w:rPr>
          <w:rFonts w:cstheme="minorHAnsi"/>
        </w:rPr>
        <w:t>“, který stanoví, že pro dosažení nejvyššího energetického standardu nebude stačit přiblížit se téměř nulové spotřebě energií, jak tomu bylo dle doposud používaného termínu „</w:t>
      </w:r>
      <w:proofErr w:type="spellStart"/>
      <w:r w:rsidR="006D063B" w:rsidRPr="00115B9A">
        <w:rPr>
          <w:rFonts w:cstheme="minorHAnsi"/>
        </w:rPr>
        <w:t>nearly</w:t>
      </w:r>
      <w:proofErr w:type="spellEnd"/>
      <w:r w:rsidR="006D063B" w:rsidRPr="00115B9A">
        <w:rPr>
          <w:rFonts w:cstheme="minorHAnsi"/>
        </w:rPr>
        <w:t xml:space="preserve"> </w:t>
      </w:r>
      <w:proofErr w:type="spellStart"/>
      <w:r w:rsidR="006D063B" w:rsidRPr="00115B9A">
        <w:rPr>
          <w:rFonts w:cstheme="minorHAnsi"/>
        </w:rPr>
        <w:t>zero</w:t>
      </w:r>
      <w:proofErr w:type="spellEnd"/>
      <w:r w:rsidR="006D063B" w:rsidRPr="00115B9A">
        <w:rPr>
          <w:rFonts w:cstheme="minorHAnsi"/>
        </w:rPr>
        <w:t xml:space="preserve"> </w:t>
      </w:r>
      <w:proofErr w:type="spellStart"/>
      <w:r w:rsidR="006D063B" w:rsidRPr="00115B9A">
        <w:rPr>
          <w:rFonts w:cstheme="minorHAnsi"/>
        </w:rPr>
        <w:t>energy</w:t>
      </w:r>
      <w:proofErr w:type="spellEnd"/>
      <w:r w:rsidR="006D063B" w:rsidRPr="00115B9A">
        <w:rPr>
          <w:rFonts w:cstheme="minorHAnsi"/>
        </w:rPr>
        <w:t xml:space="preserve"> </w:t>
      </w:r>
      <w:proofErr w:type="spellStart"/>
      <w:r w:rsidR="006D063B" w:rsidRPr="00115B9A">
        <w:rPr>
          <w:rFonts w:cstheme="minorHAnsi"/>
        </w:rPr>
        <w:t>building</w:t>
      </w:r>
      <w:proofErr w:type="spellEnd"/>
      <w:r w:rsidR="006D063B" w:rsidRPr="00115B9A">
        <w:rPr>
          <w:rFonts w:cstheme="minorHAnsi"/>
        </w:rPr>
        <w:t xml:space="preserve">“, ale bude nutné snížit objem produkovaných emisí na nulu. Dle neformálních informací se FR PRES pokusí detailně projednat návrh (tedy článek po článku) a připravit první kompromisní návrh. Dle pokroku by CZ PRES by tedy mohlo přijmout obecný přístup a legislativní návrh poté předat SE PRES k finálnímu dojednání v trialozích. </w:t>
      </w:r>
    </w:p>
    <w:p w14:paraId="7D3C244A" w14:textId="77777777" w:rsidR="006D063B" w:rsidRPr="00115B9A" w:rsidRDefault="00F40C41" w:rsidP="006D063B">
      <w:pPr>
        <w:spacing w:before="120" w:after="120"/>
        <w:rPr>
          <w:rFonts w:cstheme="minorHAnsi"/>
          <w:b/>
          <w:u w:val="single"/>
        </w:rPr>
      </w:pPr>
      <w:r w:rsidRPr="00115B9A">
        <w:rPr>
          <w:rFonts w:cstheme="minorHAnsi"/>
          <w:b/>
        </w:rPr>
        <w:t>3.7</w:t>
      </w:r>
      <w:r w:rsidRPr="00115B9A">
        <w:rPr>
          <w:rFonts w:cstheme="minorHAnsi"/>
        </w:rPr>
        <w:t xml:space="preserve"> </w:t>
      </w:r>
      <w:r w:rsidR="006D063B" w:rsidRPr="00115B9A">
        <w:rPr>
          <w:rFonts w:cstheme="minorHAnsi"/>
        </w:rPr>
        <w:t>V případě „</w:t>
      </w:r>
      <w:r w:rsidR="006D063B" w:rsidRPr="00115B9A">
        <w:rPr>
          <w:rFonts w:cstheme="minorHAnsi"/>
          <w:b/>
        </w:rPr>
        <w:t>plynárenského balíčku</w:t>
      </w:r>
      <w:r w:rsidR="006D063B" w:rsidRPr="00115B9A">
        <w:rPr>
          <w:rFonts w:cstheme="minorHAnsi"/>
        </w:rPr>
        <w:t xml:space="preserve">“, který zahrnuje tři legislativní návrhy, </w:t>
      </w:r>
      <w:r w:rsidR="006D063B" w:rsidRPr="004265AD">
        <w:rPr>
          <w:rFonts w:cstheme="minorHAnsi"/>
        </w:rPr>
        <w:t>přijalo MPO gesci k</w:t>
      </w:r>
      <w:r w:rsidR="00A133D6" w:rsidRPr="004265AD">
        <w:rPr>
          <w:rFonts w:cstheme="minorHAnsi"/>
        </w:rPr>
        <w:t>e</w:t>
      </w:r>
      <w:r w:rsidR="006D063B" w:rsidRPr="004265AD">
        <w:rPr>
          <w:rFonts w:cstheme="minorHAnsi"/>
        </w:rPr>
        <w:t xml:space="preserve"> dvěma </w:t>
      </w:r>
      <w:r w:rsidR="00A133D6" w:rsidRPr="004265AD">
        <w:rPr>
          <w:rFonts w:cstheme="minorHAnsi"/>
        </w:rPr>
        <w:t xml:space="preserve">návrhům </w:t>
      </w:r>
      <w:r w:rsidR="00A133D6" w:rsidRPr="00115B9A">
        <w:rPr>
          <w:rFonts w:cstheme="minorHAnsi"/>
        </w:rPr>
        <w:t>– návrhu</w:t>
      </w:r>
      <w:r w:rsidR="006D063B" w:rsidRPr="00115B9A">
        <w:rPr>
          <w:rFonts w:cstheme="minorHAnsi"/>
        </w:rPr>
        <w:t xml:space="preserve"> </w:t>
      </w:r>
      <w:r w:rsidR="006D063B" w:rsidRPr="004265AD">
        <w:rPr>
          <w:rFonts w:cstheme="minorHAnsi"/>
          <w:b/>
        </w:rPr>
        <w:t>nařízení o vnitřním trhu s obnovitelnými plyny, zemním plynem a vodíkem</w:t>
      </w:r>
      <w:r w:rsidR="006D063B" w:rsidRPr="00115B9A">
        <w:rPr>
          <w:rFonts w:cstheme="minorHAnsi"/>
        </w:rPr>
        <w:t xml:space="preserve"> a návrhu s</w:t>
      </w:r>
      <w:r w:rsidR="006D063B" w:rsidRPr="004265AD">
        <w:rPr>
          <w:rFonts w:cstheme="minorHAnsi"/>
          <w:b/>
        </w:rPr>
        <w:t>měrnice o společných pravidlech na vnitřním trhu se zemním plynem.</w:t>
      </w:r>
      <w:r w:rsidR="006D063B" w:rsidRPr="00115B9A">
        <w:rPr>
          <w:rFonts w:cstheme="minorHAnsi"/>
        </w:rPr>
        <w:t xml:space="preserve"> </w:t>
      </w:r>
      <w:r w:rsidR="006D063B" w:rsidRPr="00115B9A">
        <w:rPr>
          <w:rFonts w:cstheme="minorHAnsi"/>
          <w:u w:val="single"/>
        </w:rPr>
        <w:t>U třetího legislativního návrhu nařízení o snižování emisí metanu v energetice v současné době probíhá gesční spor mezi MPO a MŽP</w:t>
      </w:r>
      <w:r w:rsidR="006D063B" w:rsidRPr="00115B9A">
        <w:rPr>
          <w:rFonts w:cstheme="minorHAnsi"/>
        </w:rPr>
        <w:t xml:space="preserve">. </w:t>
      </w:r>
      <w:r w:rsidR="006D063B" w:rsidRPr="004265AD">
        <w:rPr>
          <w:rFonts w:cstheme="minorHAnsi"/>
        </w:rPr>
        <w:t>Návrhy „plynárenského balíčku“ vytvářejí podmínky pro přechod z využívání fosilního zemního plynu na obnovitelné a nízkouhlíkové plyny, zejména biometan a vodík, a zajišťují vyšší odolnost celé plynárenské soustavy.</w:t>
      </w:r>
      <w:r w:rsidR="006D063B" w:rsidRPr="00115B9A">
        <w:rPr>
          <w:rFonts w:cstheme="minorHAnsi"/>
        </w:rPr>
        <w:t xml:space="preserve"> Jedním z hlavních cílů je zřídit trh s vodíkem, vytvořit vhodné prostředí pro investice a umožnit rozvoj specializované infrastruktury, včetně obchodu se třetími zeměmi. V případě</w:t>
      </w:r>
      <w:r w:rsidR="006D063B" w:rsidRPr="00115B9A">
        <w:rPr>
          <w:rFonts w:cstheme="minorHAnsi"/>
          <w:b/>
        </w:rPr>
        <w:t xml:space="preserve"> návrhu nařízení o vnitřním trhu s obnovitelnými plyny, zemním plynem a vodíkem</w:t>
      </w:r>
      <w:r w:rsidR="006D063B" w:rsidRPr="00115B9A">
        <w:rPr>
          <w:rFonts w:cstheme="minorHAnsi"/>
        </w:rPr>
        <w:t xml:space="preserve"> se jeho rizika vztahují především k možné snaze o výrazné vychýlení regulatorního rámce v neprospěch fosilního plynu a současně k příliš ambicióznímu rámci podporujícímu pouze obnovitelné a nikoli nízkoemisní plyny. To by znamenalo omezení investic jak do zemního plynu, tak do nízkoemisních plynů jako například vodíku vyráběného z jaderné elektřiny. Dle neformálních informací FR PRES nepočítá s detailním projednáváním návrhu, primárně se patrně zaměří na prezentaci dopadové studie a obecnou diskusi</w:t>
      </w:r>
      <w:r w:rsidR="006D063B" w:rsidRPr="00115B9A">
        <w:rPr>
          <w:rFonts w:cstheme="minorHAnsi"/>
          <w:b/>
        </w:rPr>
        <w:t xml:space="preserve">. </w:t>
      </w:r>
      <w:r w:rsidR="006D063B" w:rsidRPr="00115B9A">
        <w:rPr>
          <w:rFonts w:cstheme="minorHAnsi"/>
        </w:rPr>
        <w:t xml:space="preserve">V případě </w:t>
      </w:r>
      <w:r w:rsidR="006D063B" w:rsidRPr="00115B9A">
        <w:rPr>
          <w:rFonts w:cstheme="minorHAnsi"/>
          <w:b/>
        </w:rPr>
        <w:t>návrhu směrnice o trhu se zemním plynem</w:t>
      </w:r>
      <w:r w:rsidR="006D063B" w:rsidRPr="00115B9A">
        <w:rPr>
          <w:rFonts w:cstheme="minorHAnsi"/>
        </w:rPr>
        <w:t xml:space="preserve"> může být z pohledu ČR problematická snaha EK vytvořit zcela oddělený trh pro vodík založený na odlišných principech než stávající trh se zemním plynem. ČR preferuje přístup na bázi evoluce plynárenského sektoru k jeho většímu „ozelenění“ a integraci alternativních plynů včetně vodíku dle stávajícího funkčního modelu trhu. </w:t>
      </w:r>
      <w:r w:rsidR="006D063B" w:rsidRPr="00115B9A">
        <w:rPr>
          <w:rFonts w:cstheme="minorHAnsi"/>
          <w:b/>
          <w:u w:val="single"/>
        </w:rPr>
        <w:t>Rámcové pozice k výše uvedeným legislativním návrhům se v současné době připravují.</w:t>
      </w:r>
    </w:p>
    <w:p w14:paraId="07492DC9" w14:textId="77777777" w:rsidR="005800B6" w:rsidRPr="00115B9A" w:rsidRDefault="005800B6" w:rsidP="005800B6">
      <w:pPr>
        <w:rPr>
          <w:rFonts w:cstheme="minorHAnsi"/>
          <w:u w:val="single"/>
        </w:rPr>
      </w:pPr>
      <w:r w:rsidRPr="00115B9A">
        <w:rPr>
          <w:rFonts w:cstheme="minorHAnsi"/>
          <w:b/>
          <w:u w:val="single"/>
        </w:rPr>
        <w:t>Stav projednání vládou a v Parlamentu ČR:</w:t>
      </w:r>
      <w:r w:rsidR="00FD135F" w:rsidRPr="00115B9A">
        <w:rPr>
          <w:rFonts w:cstheme="minorHAnsi"/>
          <w:u w:val="single"/>
        </w:rPr>
        <w:t xml:space="preserve"> </w:t>
      </w:r>
      <w:r w:rsidRPr="00115B9A">
        <w:rPr>
          <w:rFonts w:cstheme="minorHAnsi"/>
        </w:rPr>
        <w:t xml:space="preserve">Rámcová pozice </w:t>
      </w:r>
      <w:r w:rsidR="00FD135F" w:rsidRPr="00115B9A">
        <w:rPr>
          <w:rFonts w:cstheme="minorHAnsi"/>
        </w:rPr>
        <w:t xml:space="preserve">k balíčku Fit </w:t>
      </w:r>
      <w:proofErr w:type="spellStart"/>
      <w:r w:rsidR="00FD135F" w:rsidRPr="00115B9A">
        <w:rPr>
          <w:rFonts w:cstheme="minorHAnsi"/>
        </w:rPr>
        <w:t>for</w:t>
      </w:r>
      <w:proofErr w:type="spellEnd"/>
      <w:r w:rsidR="00FD135F" w:rsidRPr="00115B9A">
        <w:rPr>
          <w:rFonts w:cstheme="minorHAnsi"/>
        </w:rPr>
        <w:t xml:space="preserve"> 55 </w:t>
      </w:r>
      <w:r w:rsidRPr="00115B9A">
        <w:rPr>
          <w:rFonts w:cstheme="minorHAnsi"/>
        </w:rPr>
        <w:t>byla schválena Výborem pro EU na vládní úrovni 13.10.2021</w:t>
      </w:r>
      <w:r w:rsidR="00FD135F" w:rsidRPr="00115B9A">
        <w:rPr>
          <w:rFonts w:cstheme="minorHAnsi"/>
        </w:rPr>
        <w:t>,</w:t>
      </w:r>
      <w:r w:rsidRPr="00115B9A">
        <w:rPr>
          <w:rFonts w:cstheme="minorHAnsi"/>
        </w:rPr>
        <w:t xml:space="preserve"> byla projednána příslušnými podvýbory a výbory Senátu</w:t>
      </w:r>
      <w:r w:rsidR="00FD135F" w:rsidRPr="00115B9A">
        <w:rPr>
          <w:rFonts w:cstheme="minorHAnsi"/>
        </w:rPr>
        <w:t xml:space="preserve"> a dne 5.11.2021</w:t>
      </w:r>
      <w:r w:rsidRPr="00115B9A">
        <w:rPr>
          <w:rFonts w:cstheme="minorHAnsi"/>
        </w:rPr>
        <w:t xml:space="preserve"> byla projednána na plenárním jednání Senátu.  Poslanecká sněmovna od projednání upustila (v souvislosti s volbami).</w:t>
      </w:r>
    </w:p>
    <w:p w14:paraId="1D6E3816" w14:textId="77777777" w:rsidR="00FD135F" w:rsidRPr="00115B9A" w:rsidRDefault="00FD135F" w:rsidP="00FD135F">
      <w:pPr>
        <w:pStyle w:val="slovanseznam"/>
        <w:rPr>
          <w:rFonts w:cstheme="minorHAnsi"/>
        </w:rPr>
      </w:pPr>
      <w:r w:rsidRPr="00115B9A">
        <w:rPr>
          <w:rFonts w:cstheme="minorHAnsi"/>
        </w:rPr>
        <w:t>Dopadová studie dekarbonizace</w:t>
      </w:r>
    </w:p>
    <w:p w14:paraId="286A6315" w14:textId="77777777" w:rsidR="00FD135F" w:rsidRPr="00115B9A" w:rsidRDefault="00FD135F" w:rsidP="00FD135F">
      <w:pPr>
        <w:rPr>
          <w:rFonts w:cstheme="minorHAnsi"/>
        </w:rPr>
      </w:pPr>
      <w:r w:rsidRPr="00115B9A">
        <w:rPr>
          <w:rFonts w:cstheme="minorHAnsi"/>
        </w:rPr>
        <w:t>K posouzení dopadů a k definici příslušných opatření k zajištění cílů EGD probíhají na MPO 3 vzájemně se doplňující aktivity:</w:t>
      </w:r>
    </w:p>
    <w:p w14:paraId="1467F439" w14:textId="77777777" w:rsidR="00FD135F" w:rsidRPr="00115B9A" w:rsidRDefault="00FD135F" w:rsidP="001900BD">
      <w:pPr>
        <w:pStyle w:val="Odstavecseseznamem"/>
        <w:numPr>
          <w:ilvl w:val="0"/>
          <w:numId w:val="25"/>
        </w:numPr>
        <w:rPr>
          <w:rFonts w:cstheme="minorHAnsi"/>
        </w:rPr>
      </w:pPr>
      <w:r w:rsidRPr="00115B9A">
        <w:rPr>
          <w:rFonts w:cstheme="minorHAnsi"/>
        </w:rPr>
        <w:t>prezentace „Studie dekarbonizace ekonomiky v ČR“</w:t>
      </w:r>
      <w:r w:rsidR="001900BD">
        <w:rPr>
          <w:rFonts w:cstheme="minorHAnsi"/>
        </w:rPr>
        <w:t>;</w:t>
      </w:r>
    </w:p>
    <w:p w14:paraId="7310EF24" w14:textId="77777777" w:rsidR="00FD135F" w:rsidRPr="00115B9A" w:rsidRDefault="00FD135F" w:rsidP="001900BD">
      <w:pPr>
        <w:pStyle w:val="Odstavecseseznamem"/>
        <w:numPr>
          <w:ilvl w:val="0"/>
          <w:numId w:val="25"/>
        </w:numPr>
        <w:rPr>
          <w:rFonts w:cstheme="minorHAnsi"/>
        </w:rPr>
      </w:pPr>
      <w:r w:rsidRPr="00115B9A">
        <w:rPr>
          <w:rFonts w:cstheme="minorHAnsi"/>
        </w:rPr>
        <w:t xml:space="preserve">příprava „Studie dopadů balíčku Fit </w:t>
      </w:r>
      <w:proofErr w:type="spellStart"/>
      <w:r w:rsidRPr="00115B9A">
        <w:rPr>
          <w:rFonts w:cstheme="minorHAnsi"/>
        </w:rPr>
        <w:t>for</w:t>
      </w:r>
      <w:proofErr w:type="spellEnd"/>
      <w:r w:rsidRPr="00115B9A">
        <w:rPr>
          <w:rFonts w:cstheme="minorHAnsi"/>
        </w:rPr>
        <w:t xml:space="preserve"> 55 na hospodářství ČR“;</w:t>
      </w:r>
    </w:p>
    <w:p w14:paraId="6BB3405F" w14:textId="77777777" w:rsidR="00FD135F" w:rsidRPr="00115B9A" w:rsidRDefault="00FD135F" w:rsidP="001900BD">
      <w:pPr>
        <w:pStyle w:val="Odstavecseseznamem"/>
        <w:numPr>
          <w:ilvl w:val="0"/>
          <w:numId w:val="25"/>
        </w:numPr>
        <w:rPr>
          <w:rFonts w:cstheme="minorHAnsi"/>
        </w:rPr>
      </w:pPr>
      <w:r w:rsidRPr="00115B9A">
        <w:rPr>
          <w:rFonts w:cstheme="minorHAnsi"/>
        </w:rPr>
        <w:t>příprava „Doporučení, jak dosáhnout uhlíkové neutrality a vytvořit vhodný regulační rámec“ v rámci TSI (</w:t>
      </w:r>
      <w:proofErr w:type="spellStart"/>
      <w:r w:rsidRPr="00115B9A">
        <w:rPr>
          <w:rFonts w:cstheme="minorHAnsi"/>
        </w:rPr>
        <w:t>Technical</w:t>
      </w:r>
      <w:proofErr w:type="spellEnd"/>
      <w:r w:rsidRPr="00115B9A">
        <w:rPr>
          <w:rFonts w:cstheme="minorHAnsi"/>
        </w:rPr>
        <w:t xml:space="preserve"> Suport Instrument) EK</w:t>
      </w:r>
      <w:r w:rsidR="001900BD">
        <w:rPr>
          <w:rFonts w:cstheme="minorHAnsi"/>
        </w:rPr>
        <w:t>;</w:t>
      </w:r>
    </w:p>
    <w:p w14:paraId="56B965EF" w14:textId="77777777" w:rsidR="00FD135F" w:rsidRPr="00115B9A" w:rsidRDefault="00FD135F" w:rsidP="001900BD">
      <w:pPr>
        <w:pStyle w:val="Odstavecseseznamem"/>
        <w:numPr>
          <w:ilvl w:val="0"/>
          <w:numId w:val="25"/>
        </w:numPr>
        <w:rPr>
          <w:rFonts w:cstheme="minorHAnsi"/>
        </w:rPr>
      </w:pPr>
      <w:proofErr w:type="spellStart"/>
      <w:r w:rsidRPr="00115B9A">
        <w:rPr>
          <w:rFonts w:cstheme="minorHAnsi"/>
        </w:rPr>
        <w:t>RegSim</w:t>
      </w:r>
      <w:proofErr w:type="spellEnd"/>
      <w:r w:rsidRPr="00115B9A">
        <w:rPr>
          <w:rFonts w:cstheme="minorHAnsi"/>
        </w:rPr>
        <w:t>, spolupráce s MŽP a Centrem pro otázky životního prostředí k modelování dopadů různých strategií na tvorbu emisí v oblasti skleníkových plynů v oblasti energetiky, dopravy a průmyslu</w:t>
      </w:r>
      <w:r w:rsidR="001900BD">
        <w:rPr>
          <w:rFonts w:cstheme="minorHAnsi"/>
        </w:rPr>
        <w:t>.</w:t>
      </w:r>
    </w:p>
    <w:p w14:paraId="2188718B" w14:textId="77777777" w:rsidR="00FD135F" w:rsidRPr="00115B9A" w:rsidRDefault="001900BD" w:rsidP="00FD135F">
      <w:pPr>
        <w:rPr>
          <w:rFonts w:cstheme="minorHAnsi"/>
        </w:rPr>
      </w:pPr>
      <w:r w:rsidRPr="001900BD">
        <w:rPr>
          <w:rFonts w:cstheme="minorHAnsi"/>
          <w:b/>
        </w:rPr>
        <w:t>4.1</w:t>
      </w:r>
      <w:r>
        <w:rPr>
          <w:rFonts w:cstheme="minorHAnsi"/>
        </w:rPr>
        <w:t xml:space="preserve"> </w:t>
      </w:r>
      <w:r w:rsidR="00FD135F" w:rsidRPr="00115B9A">
        <w:rPr>
          <w:rFonts w:cstheme="minorHAnsi"/>
        </w:rPr>
        <w:t>Na základě požadavků Tripartity byla na MPO připravena „</w:t>
      </w:r>
      <w:r w:rsidR="00FD135F" w:rsidRPr="001900BD">
        <w:rPr>
          <w:rFonts w:cstheme="minorHAnsi"/>
          <w:b/>
        </w:rPr>
        <w:t>Studie dekarbonizace ekonomiky ČR</w:t>
      </w:r>
      <w:r w:rsidR="00FD135F" w:rsidRPr="00115B9A">
        <w:rPr>
          <w:rFonts w:cstheme="minorHAnsi"/>
        </w:rPr>
        <w:t>“, která byla dne 12.2.2021 podrobně diskutována na Pracovním týmu Tripartity a některé závěry byly následně prezentovány na jednání Tripartity dne 22.2.2021. Pro jednotlivé segmenty (hutnictví, výroba cementu, výroba vápna, výroba papíru a celulózy, výroba cihel a keramika a chemický průmysl) byly ve spolupráci s příslušnými oborovými svazy analyzovány možnosti snižování emisí skleníkových plynů. Celkové náklady pro snížení emisí do roku 2050 ve výše uvedených segmentech byly vyčísleny na 150–175 mld. Kč. Byly definovány některé další závěry, zejména:</w:t>
      </w:r>
    </w:p>
    <w:p w14:paraId="0A78B4AC" w14:textId="77777777" w:rsidR="00FD135F" w:rsidRPr="00115B9A" w:rsidRDefault="00FD135F" w:rsidP="00FD135F">
      <w:pPr>
        <w:pStyle w:val="Odstavecseseznamem"/>
        <w:numPr>
          <w:ilvl w:val="0"/>
          <w:numId w:val="16"/>
        </w:numPr>
        <w:rPr>
          <w:rFonts w:cstheme="minorHAnsi"/>
        </w:rPr>
      </w:pPr>
      <w:r w:rsidRPr="00115B9A">
        <w:rPr>
          <w:rFonts w:cstheme="minorHAnsi"/>
        </w:rPr>
        <w:t xml:space="preserve">spotřeba elektrické energie, na rozdíl od původních předpokladů v SEK, nebude klesat ale stoupat, </w:t>
      </w:r>
    </w:p>
    <w:p w14:paraId="53B7CF6C" w14:textId="77777777" w:rsidR="00FD135F" w:rsidRPr="00115B9A" w:rsidRDefault="00FD135F" w:rsidP="00FD135F">
      <w:pPr>
        <w:pStyle w:val="Odstavecseseznamem"/>
        <w:numPr>
          <w:ilvl w:val="0"/>
          <w:numId w:val="16"/>
        </w:numPr>
        <w:rPr>
          <w:rFonts w:cstheme="minorHAnsi"/>
        </w:rPr>
      </w:pPr>
      <w:r w:rsidRPr="00115B9A">
        <w:rPr>
          <w:rFonts w:cstheme="minorHAnsi"/>
        </w:rPr>
        <w:t>udržení hutní výroby na Ostravsku bude vyžadovat výstavbu nízko-emisního zdroje elektrické energie s výkonem 25-30 TWh/rok,</w:t>
      </w:r>
    </w:p>
    <w:p w14:paraId="4D9D5121" w14:textId="77777777" w:rsidR="00FD135F" w:rsidRPr="00115B9A" w:rsidRDefault="00FD135F" w:rsidP="00FD135F">
      <w:pPr>
        <w:pStyle w:val="Odstavecseseznamem"/>
        <w:numPr>
          <w:ilvl w:val="0"/>
          <w:numId w:val="16"/>
        </w:numPr>
        <w:rPr>
          <w:rFonts w:cstheme="minorHAnsi"/>
        </w:rPr>
      </w:pPr>
      <w:r w:rsidRPr="00115B9A">
        <w:rPr>
          <w:rFonts w:cstheme="minorHAnsi"/>
        </w:rPr>
        <w:t>jednotlivé podniky počítají s velkými zdroji obnovitelné elektrické energie, biomasy a bioplynu.</w:t>
      </w:r>
    </w:p>
    <w:p w14:paraId="273E323C" w14:textId="77777777" w:rsidR="00FD135F" w:rsidRPr="00115B9A" w:rsidRDefault="001900BD" w:rsidP="00FD135F">
      <w:pPr>
        <w:rPr>
          <w:rFonts w:cstheme="minorHAnsi"/>
        </w:rPr>
      </w:pPr>
      <w:r w:rsidRPr="001900BD">
        <w:rPr>
          <w:rFonts w:cstheme="minorHAnsi"/>
          <w:b/>
        </w:rPr>
        <w:t>4.2</w:t>
      </w:r>
      <w:r>
        <w:rPr>
          <w:rFonts w:cstheme="minorHAnsi"/>
        </w:rPr>
        <w:t xml:space="preserve"> </w:t>
      </w:r>
      <w:r w:rsidR="00FD135F" w:rsidRPr="00115B9A">
        <w:rPr>
          <w:rFonts w:cstheme="minorHAnsi"/>
        </w:rPr>
        <w:t>Podle zákona o zadávání veřejných zakázek byla vypsána výzva na přípravu „</w:t>
      </w:r>
      <w:r w:rsidR="00FD135F" w:rsidRPr="001900BD">
        <w:rPr>
          <w:rFonts w:cstheme="minorHAnsi"/>
          <w:b/>
        </w:rPr>
        <w:t xml:space="preserve">Studie dopadů balíčku Fit </w:t>
      </w:r>
      <w:proofErr w:type="spellStart"/>
      <w:r w:rsidR="00FD135F" w:rsidRPr="001900BD">
        <w:rPr>
          <w:rFonts w:cstheme="minorHAnsi"/>
          <w:b/>
        </w:rPr>
        <w:t>for</w:t>
      </w:r>
      <w:proofErr w:type="spellEnd"/>
      <w:r w:rsidR="00FD135F" w:rsidRPr="001900BD">
        <w:rPr>
          <w:rFonts w:cstheme="minorHAnsi"/>
          <w:b/>
        </w:rPr>
        <w:t xml:space="preserve"> 55 na hospodářství ČR“</w:t>
      </w:r>
      <w:r w:rsidR="00FD135F" w:rsidRPr="00115B9A">
        <w:rPr>
          <w:rFonts w:cstheme="minorHAnsi"/>
        </w:rPr>
        <w:t xml:space="preserve">. Termín pro podání nabídek byl 31.12.2021. V současné době probíhá jednání o smlouvě s vítězným uchazečem. Celá studie je rozdělena do dvou etap. V první etapě zhotovitel provede rešerši existujících zdrojů dat, analýz a relevantních simulačních modelů. Výsledkem 1. etapy bude Situační zpráva, ve které zhotovitel zhodnotí dopady balíčku Fit </w:t>
      </w:r>
      <w:proofErr w:type="spellStart"/>
      <w:r w:rsidR="00FD135F" w:rsidRPr="00115B9A">
        <w:rPr>
          <w:rFonts w:cstheme="minorHAnsi"/>
        </w:rPr>
        <w:t>for</w:t>
      </w:r>
      <w:proofErr w:type="spellEnd"/>
      <w:r w:rsidR="00FD135F" w:rsidRPr="00115B9A">
        <w:rPr>
          <w:rFonts w:cstheme="minorHAnsi"/>
        </w:rPr>
        <w:t xml:space="preserve"> 55 do jednotlivých odvětví a společně s MPO vybere ta odvětví, kde dopad bude největší, Cílem této etapy je provést rešerše dokumentů a definovat oblasti, které budou dále rozpracovány. Ve 2. etapě budou na základě simulačních modelů a nákladových křivek odhadnuty výdaje k dosažení cílů pro jednotlivá odvětví národního hospodářství. Půjde hlavně o odhady investičních nákladů, dopadů do zaměstnanosti a konkurenceschopnosti daných odvětví. Výsledky studie budou dostupné do 4 měsíců po podpisu smlouvy ve formě závěrečné zprávy.</w:t>
      </w:r>
    </w:p>
    <w:p w14:paraId="1819FA12" w14:textId="77777777" w:rsidR="00FD135F" w:rsidRPr="00115B9A" w:rsidRDefault="001900BD" w:rsidP="00FD135F">
      <w:pPr>
        <w:rPr>
          <w:rFonts w:cstheme="minorHAnsi"/>
        </w:rPr>
      </w:pPr>
      <w:r w:rsidRPr="001900BD">
        <w:rPr>
          <w:rFonts w:cstheme="minorHAnsi"/>
          <w:b/>
        </w:rPr>
        <w:t xml:space="preserve">4.3 </w:t>
      </w:r>
      <w:r>
        <w:rPr>
          <w:rFonts w:cstheme="minorHAnsi"/>
          <w:b/>
        </w:rPr>
        <w:t>„</w:t>
      </w:r>
      <w:r w:rsidRPr="001900BD">
        <w:rPr>
          <w:rFonts w:cstheme="minorHAnsi"/>
          <w:b/>
        </w:rPr>
        <w:t>Doporučení, jak dosáhnout uhlíkové neutrality a vytvořit vhodný regulační rámec“</w:t>
      </w:r>
      <w:r>
        <w:rPr>
          <w:rFonts w:cstheme="minorHAnsi"/>
          <w:b/>
        </w:rPr>
        <w:t xml:space="preserve">. </w:t>
      </w:r>
      <w:r w:rsidR="00FD135F" w:rsidRPr="001900BD">
        <w:rPr>
          <w:rFonts w:cstheme="minorHAnsi"/>
        </w:rPr>
        <w:t xml:space="preserve">„Studie dopadů balíčku Fit </w:t>
      </w:r>
      <w:proofErr w:type="spellStart"/>
      <w:r w:rsidR="00FD135F" w:rsidRPr="001900BD">
        <w:rPr>
          <w:rFonts w:cstheme="minorHAnsi"/>
        </w:rPr>
        <w:t>for</w:t>
      </w:r>
      <w:proofErr w:type="spellEnd"/>
      <w:r w:rsidR="00FD135F" w:rsidRPr="001900BD">
        <w:rPr>
          <w:rFonts w:cstheme="minorHAnsi"/>
        </w:rPr>
        <w:t xml:space="preserve"> 55 na hospodářství“</w:t>
      </w:r>
      <w:r w:rsidR="00FD135F" w:rsidRPr="00115B9A">
        <w:rPr>
          <w:rFonts w:cstheme="minorHAnsi"/>
        </w:rPr>
        <w:t xml:space="preserve"> bude pojednávat hlavně o simulaci dopadů při různých vstupních podmínkách</w:t>
      </w:r>
      <w:r>
        <w:rPr>
          <w:rFonts w:cstheme="minorHAnsi"/>
        </w:rPr>
        <w:t xml:space="preserve"> na tu musí navazovat doporučení s uvedením konkrétních kroků. Proto</w:t>
      </w:r>
      <w:r w:rsidR="00FD135F" w:rsidRPr="00115B9A">
        <w:rPr>
          <w:rFonts w:cstheme="minorHAnsi"/>
        </w:rPr>
        <w:t xml:space="preserve"> MPO podalo i žádost o tzv. </w:t>
      </w:r>
      <w:proofErr w:type="spellStart"/>
      <w:r w:rsidR="00FD135F" w:rsidRPr="00115B9A">
        <w:rPr>
          <w:rFonts w:cstheme="minorHAnsi"/>
        </w:rPr>
        <w:t>Technical</w:t>
      </w:r>
      <w:proofErr w:type="spellEnd"/>
      <w:r w:rsidR="00FD135F" w:rsidRPr="00115B9A">
        <w:rPr>
          <w:rFonts w:cstheme="minorHAnsi"/>
        </w:rPr>
        <w:t xml:space="preserve"> Support Instrument, v jehož rámci EK vybere a zaplatí konzultační firmu k poskytnutí požadované odborné pomoci. Takto vybraná organizace bude posuzovat a doporučovat konkrétní technická opatření k dosažení cílů EGD. Tato žádost byla vyhodnocena a předběžně schválena. Finální rozhodnutí očekáváme koncem prvního čtvrtletí. Požadovaný rozsah podpory je kolem €500 000,-. Opatření budou pokrývat oblasti: výroba energie; automotive a výroba dalších dopravních prostředků; doprava; chemický průmysl; hutnictví; výroba stavebních materiálů; potravinářský průmysl; stavebnictví, domácnosti; zemědělství a lesnictví. Výsledkem bude vyhodnocení jednotlivých technických opatření k dosažení cílů EGD.</w:t>
      </w:r>
    </w:p>
    <w:p w14:paraId="379B48F3" w14:textId="77777777" w:rsidR="00FD135F" w:rsidRPr="00115B9A" w:rsidRDefault="00247E0C" w:rsidP="00FD135F">
      <w:pPr>
        <w:rPr>
          <w:rFonts w:cstheme="minorHAnsi"/>
        </w:rPr>
      </w:pPr>
      <w:r w:rsidRPr="00247E0C">
        <w:rPr>
          <w:rFonts w:cstheme="minorHAnsi"/>
          <w:b/>
        </w:rPr>
        <w:t>4.</w:t>
      </w:r>
      <w:r w:rsidR="00534A11">
        <w:rPr>
          <w:rFonts w:cstheme="minorHAnsi"/>
          <w:b/>
        </w:rPr>
        <w:t>4</w:t>
      </w:r>
      <w:r>
        <w:rPr>
          <w:rFonts w:cstheme="minorHAnsi"/>
        </w:rPr>
        <w:t xml:space="preserve"> </w:t>
      </w:r>
      <w:r w:rsidR="00FD135F" w:rsidRPr="00115B9A">
        <w:rPr>
          <w:rFonts w:cstheme="minorHAnsi"/>
        </w:rPr>
        <w:t xml:space="preserve">MPO dlouhodobě spolupracuje s MŽP a s Centrem pro otázky životního prostředí UK na přípravě různých </w:t>
      </w:r>
      <w:r w:rsidR="00FD135F" w:rsidRPr="00247E0C">
        <w:rPr>
          <w:rFonts w:cstheme="minorHAnsi"/>
          <w:b/>
        </w:rPr>
        <w:t>modelů pro simulaci a predikci vývoje v oblasti energetiky, dopravy a průmyslu.</w:t>
      </w:r>
      <w:r w:rsidR="00FD135F" w:rsidRPr="00115B9A">
        <w:rPr>
          <w:rFonts w:cstheme="minorHAnsi"/>
        </w:rPr>
        <w:t xml:space="preserve"> V rámci běžícího projektu bude Centrum prezentovat své výsledky na jaře 2022. T</w:t>
      </w:r>
      <w:r>
        <w:rPr>
          <w:rFonts w:cstheme="minorHAnsi"/>
        </w:rPr>
        <w:t>ento projekt</w:t>
      </w:r>
      <w:r w:rsidR="00FD135F" w:rsidRPr="00115B9A">
        <w:rPr>
          <w:rFonts w:cstheme="minorHAnsi"/>
        </w:rPr>
        <w:t xml:space="preserve"> se bude doplňovat s výsledky „Studie dopadů balíčku Fit </w:t>
      </w:r>
      <w:proofErr w:type="spellStart"/>
      <w:r w:rsidR="00FD135F" w:rsidRPr="00115B9A">
        <w:rPr>
          <w:rFonts w:cstheme="minorHAnsi"/>
        </w:rPr>
        <w:t>for</w:t>
      </w:r>
      <w:proofErr w:type="spellEnd"/>
      <w:r w:rsidR="00FD135F" w:rsidRPr="00115B9A">
        <w:rPr>
          <w:rFonts w:cstheme="minorHAnsi"/>
        </w:rPr>
        <w:t xml:space="preserve"> 55 na hospodářství ČR“. Vliv stávající podoby balíčku Fit </w:t>
      </w:r>
      <w:proofErr w:type="spellStart"/>
      <w:r w:rsidR="00FD135F" w:rsidRPr="00115B9A">
        <w:rPr>
          <w:rFonts w:cstheme="minorHAnsi"/>
        </w:rPr>
        <w:t>for</w:t>
      </w:r>
      <w:proofErr w:type="spellEnd"/>
      <w:r w:rsidR="00FD135F" w:rsidRPr="00115B9A">
        <w:rPr>
          <w:rFonts w:cstheme="minorHAnsi"/>
        </w:rPr>
        <w:t xml:space="preserve"> 55 bude zahrnut do simulačních modelů podle následujícího harmonogramu: </w:t>
      </w:r>
    </w:p>
    <w:p w14:paraId="5B4A65E5" w14:textId="77777777" w:rsidR="00FD135F" w:rsidRPr="00115B9A" w:rsidRDefault="00FD135F" w:rsidP="00FD135F">
      <w:pPr>
        <w:pStyle w:val="Odstavecseseznamem"/>
        <w:numPr>
          <w:ilvl w:val="0"/>
          <w:numId w:val="18"/>
        </w:numPr>
        <w:rPr>
          <w:rFonts w:cstheme="minorHAnsi"/>
        </w:rPr>
      </w:pPr>
      <w:r w:rsidRPr="00115B9A">
        <w:rPr>
          <w:rFonts w:cstheme="minorHAnsi"/>
        </w:rPr>
        <w:t>EU ETS, CBMA (15.3.2021)</w:t>
      </w:r>
    </w:p>
    <w:p w14:paraId="5033F74E" w14:textId="77777777" w:rsidR="00FD135F" w:rsidRPr="00115B9A" w:rsidRDefault="00FD135F" w:rsidP="00FD135F">
      <w:pPr>
        <w:pStyle w:val="Odstavecseseznamem"/>
        <w:numPr>
          <w:ilvl w:val="0"/>
          <w:numId w:val="18"/>
        </w:numPr>
        <w:rPr>
          <w:rFonts w:cstheme="minorHAnsi"/>
        </w:rPr>
      </w:pPr>
      <w:r w:rsidRPr="00115B9A">
        <w:rPr>
          <w:rFonts w:cstheme="minorHAnsi"/>
        </w:rPr>
        <w:t xml:space="preserve">ETS2, </w:t>
      </w:r>
      <w:proofErr w:type="spellStart"/>
      <w:r w:rsidRPr="00115B9A">
        <w:rPr>
          <w:rFonts w:cstheme="minorHAnsi"/>
        </w:rPr>
        <w:t>Social</w:t>
      </w:r>
      <w:proofErr w:type="spellEnd"/>
      <w:r w:rsidRPr="00115B9A">
        <w:rPr>
          <w:rFonts w:cstheme="minorHAnsi"/>
        </w:rPr>
        <w:t xml:space="preserve"> </w:t>
      </w:r>
      <w:proofErr w:type="spellStart"/>
      <w:r w:rsidRPr="00115B9A">
        <w:rPr>
          <w:rFonts w:cstheme="minorHAnsi"/>
        </w:rPr>
        <w:t>Climate</w:t>
      </w:r>
      <w:proofErr w:type="spellEnd"/>
      <w:r w:rsidRPr="00115B9A">
        <w:rPr>
          <w:rFonts w:cstheme="minorHAnsi"/>
        </w:rPr>
        <w:t xml:space="preserve"> </w:t>
      </w:r>
      <w:proofErr w:type="spellStart"/>
      <w:r w:rsidRPr="00115B9A">
        <w:rPr>
          <w:rFonts w:cstheme="minorHAnsi"/>
        </w:rPr>
        <w:t>Fund</w:t>
      </w:r>
      <w:proofErr w:type="spellEnd"/>
      <w:r w:rsidRPr="00115B9A">
        <w:rPr>
          <w:rFonts w:cstheme="minorHAnsi"/>
        </w:rPr>
        <w:t>, ESR</w:t>
      </w:r>
      <w:r w:rsidR="00EE0772" w:rsidRPr="00115B9A">
        <w:rPr>
          <w:rFonts w:cstheme="minorHAnsi"/>
        </w:rPr>
        <w:t xml:space="preserve"> (15. 4. 2021)</w:t>
      </w:r>
    </w:p>
    <w:p w14:paraId="74A34180" w14:textId="77777777" w:rsidR="00EE0772" w:rsidRPr="00115B9A" w:rsidRDefault="00EE0772" w:rsidP="00FD135F">
      <w:pPr>
        <w:pStyle w:val="Odstavecseseznamem"/>
        <w:numPr>
          <w:ilvl w:val="0"/>
          <w:numId w:val="18"/>
        </w:numPr>
        <w:rPr>
          <w:rFonts w:cstheme="minorHAnsi"/>
        </w:rPr>
      </w:pPr>
      <w:r w:rsidRPr="00115B9A">
        <w:rPr>
          <w:rFonts w:cstheme="minorHAnsi"/>
        </w:rPr>
        <w:t>EED, RED3, emise vozidel. AFIR (15.6.2021)</w:t>
      </w:r>
    </w:p>
    <w:p w14:paraId="3614C75B" w14:textId="77777777" w:rsidR="00102FEE" w:rsidRPr="00115B9A" w:rsidRDefault="00FD135F" w:rsidP="00FD135F">
      <w:pPr>
        <w:pStyle w:val="slovanseznam"/>
        <w:rPr>
          <w:rFonts w:cstheme="minorHAnsi"/>
        </w:rPr>
      </w:pPr>
      <w:r w:rsidRPr="00115B9A">
        <w:rPr>
          <w:rFonts w:cstheme="minorHAnsi"/>
        </w:rPr>
        <w:t xml:space="preserve"> </w:t>
      </w:r>
      <w:r w:rsidR="00102FEE" w:rsidRPr="00115B9A">
        <w:rPr>
          <w:rFonts w:cstheme="minorHAnsi"/>
        </w:rPr>
        <w:t>Závěr</w:t>
      </w:r>
    </w:p>
    <w:p w14:paraId="5630D1A3" w14:textId="77777777" w:rsidR="00236474" w:rsidRPr="00115B9A" w:rsidRDefault="00236474" w:rsidP="005219F3">
      <w:pPr>
        <w:rPr>
          <w:rFonts w:cstheme="minorHAnsi"/>
        </w:rPr>
      </w:pPr>
      <w:r w:rsidRPr="00115B9A">
        <w:rPr>
          <w:rFonts w:cstheme="minorHAnsi"/>
        </w:rPr>
        <w:t>EK vydala velmi silné signály o svém dalším směřování v oblasti snižování emisí skleníkových plynů a ČR se připojila k závazku evropské uhlíkové neutrality v roce 2050. J</w:t>
      </w:r>
      <w:r w:rsidRPr="00115B9A">
        <w:rPr>
          <w:rFonts w:cstheme="minorHAnsi"/>
          <w:b/>
        </w:rPr>
        <w:t xml:space="preserve">e proto nezbytně nutné se soustředit na to, jak tyto cíle </w:t>
      </w:r>
      <w:r w:rsidR="00FD135F" w:rsidRPr="00115B9A">
        <w:rPr>
          <w:rFonts w:cstheme="minorHAnsi"/>
          <w:b/>
        </w:rPr>
        <w:t xml:space="preserve">na úrovni EU </w:t>
      </w:r>
      <w:r w:rsidR="00247E0C">
        <w:rPr>
          <w:rFonts w:cstheme="minorHAnsi"/>
          <w:b/>
        </w:rPr>
        <w:t>s</w:t>
      </w:r>
      <w:r w:rsidRPr="00115B9A">
        <w:rPr>
          <w:rFonts w:cstheme="minorHAnsi"/>
          <w:b/>
        </w:rPr>
        <w:t xml:space="preserve">plnit. </w:t>
      </w:r>
      <w:r w:rsidRPr="00115B9A">
        <w:rPr>
          <w:rFonts w:cstheme="minorHAnsi"/>
        </w:rPr>
        <w:t>Při plnění těchto cílů je nutné zachovat technologickou neutralitu a flexibilitu při volbě vhodných nástrojů.</w:t>
      </w:r>
      <w:r w:rsidR="00FD135F" w:rsidRPr="00115B9A">
        <w:rPr>
          <w:rFonts w:cstheme="minorHAnsi"/>
        </w:rPr>
        <w:t xml:space="preserve"> Je také nutné zdůraznit, že jednotlivé dokumenty z balíčku Fit </w:t>
      </w:r>
      <w:proofErr w:type="spellStart"/>
      <w:r w:rsidR="00FD135F" w:rsidRPr="00115B9A">
        <w:rPr>
          <w:rFonts w:cstheme="minorHAnsi"/>
        </w:rPr>
        <w:t>for</w:t>
      </w:r>
      <w:proofErr w:type="spellEnd"/>
      <w:r w:rsidR="00FD135F" w:rsidRPr="00115B9A">
        <w:rPr>
          <w:rFonts w:cstheme="minorHAnsi"/>
        </w:rPr>
        <w:t xml:space="preserve"> 55 a Plynárenském balíčku jsou v procesu připomínkování a jejich finální podoba se bude měnit na základě jednání Rady EU, Evropského parlamentu a Evropské komise. Kromě toho je také třeba ctít relevantní usnesení Parlamentu ČR (v případě většiny či všech návrhů z balíčku Fit </w:t>
      </w:r>
      <w:proofErr w:type="spellStart"/>
      <w:r w:rsidR="00FD135F" w:rsidRPr="00115B9A">
        <w:rPr>
          <w:rFonts w:cstheme="minorHAnsi"/>
        </w:rPr>
        <w:t>for</w:t>
      </w:r>
      <w:proofErr w:type="spellEnd"/>
      <w:r w:rsidR="00FD135F" w:rsidRPr="00115B9A">
        <w:rPr>
          <w:rFonts w:cstheme="minorHAnsi"/>
        </w:rPr>
        <w:t xml:space="preserve"> 55 jde o usnesení Senátu, který k některým přijal odůvodněná stanoviska).</w:t>
      </w:r>
    </w:p>
    <w:p w14:paraId="29E7436A" w14:textId="77777777" w:rsidR="00BC5764" w:rsidRPr="00115B9A" w:rsidRDefault="005219F3" w:rsidP="005219F3">
      <w:pPr>
        <w:rPr>
          <w:rFonts w:cstheme="minorHAnsi"/>
        </w:rPr>
      </w:pPr>
      <w:r w:rsidRPr="00115B9A">
        <w:rPr>
          <w:rFonts w:cstheme="minorHAnsi"/>
        </w:rPr>
        <w:t xml:space="preserve">Nebude možné zachovat českou energetiku a průmysl v současné struktuře. Bude nutné přijmout celou řadu opatření k optimalizaci struktury zdrojů </w:t>
      </w:r>
      <w:r w:rsidR="00247E0C">
        <w:rPr>
          <w:rFonts w:cstheme="minorHAnsi"/>
        </w:rPr>
        <w:t>a</w:t>
      </w:r>
      <w:r w:rsidRPr="00115B9A">
        <w:rPr>
          <w:rFonts w:cstheme="minorHAnsi"/>
        </w:rPr>
        <w:t xml:space="preserve"> energetické spotřeby.   Budeme muset posílit rozvoj obnovitelných zdrojů, ale i možnosti, jak ukládat energii z těchto zdrojů.  Rozvoj výroby</w:t>
      </w:r>
      <w:r w:rsidR="00A07301" w:rsidRPr="00115B9A">
        <w:rPr>
          <w:rFonts w:cstheme="minorHAnsi"/>
        </w:rPr>
        <w:t>, dovozu</w:t>
      </w:r>
      <w:r w:rsidRPr="00115B9A">
        <w:rPr>
          <w:rFonts w:cstheme="minorHAnsi"/>
        </w:rPr>
        <w:t xml:space="preserve"> a energetického využití vodíku, a zejména další rozvoj jaderné energetiky včetně SMR bude nutné maximálně urychlit tak, aby s těmito zdroji bylo možno počítat jako s podstatným základem plánovaného energetického mixu a to jak pro výrobu elektřiny tak i tepla.  </w:t>
      </w:r>
    </w:p>
    <w:sectPr w:rsidR="00BC5764" w:rsidRPr="00115B9A" w:rsidSect="00CC5E40">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7A78" w14:textId="77777777" w:rsidR="00DD5B24" w:rsidRDefault="00DD5B24" w:rsidP="009B2E39">
      <w:r>
        <w:separator/>
      </w:r>
    </w:p>
  </w:endnote>
  <w:endnote w:type="continuationSeparator" w:id="0">
    <w:p w14:paraId="3452514A" w14:textId="77777777" w:rsidR="00DD5B24" w:rsidRDefault="00DD5B24" w:rsidP="009B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380483"/>
      <w:docPartObj>
        <w:docPartGallery w:val="Page Numbers (Bottom of Page)"/>
        <w:docPartUnique/>
      </w:docPartObj>
    </w:sdtPr>
    <w:sdtEndPr/>
    <w:sdtContent>
      <w:p w14:paraId="0707CCFA" w14:textId="77777777" w:rsidR="00614801" w:rsidRDefault="00614801">
        <w:pPr>
          <w:pStyle w:val="Zpat"/>
          <w:jc w:val="center"/>
        </w:pPr>
        <w:r>
          <w:fldChar w:fldCharType="begin"/>
        </w:r>
        <w:r>
          <w:instrText>PAGE   \* MERGEFORMAT</w:instrText>
        </w:r>
        <w:r>
          <w:fldChar w:fldCharType="separate"/>
        </w:r>
        <w:r>
          <w:t>2</w:t>
        </w:r>
        <w:r>
          <w:fldChar w:fldCharType="end"/>
        </w:r>
      </w:p>
    </w:sdtContent>
  </w:sdt>
  <w:p w14:paraId="514F34D6" w14:textId="77777777" w:rsidR="00677FE0" w:rsidRDefault="00677FE0" w:rsidP="009B2E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185A" w14:textId="77777777" w:rsidR="00DD5B24" w:rsidRDefault="00DD5B24" w:rsidP="009B2E39">
      <w:r>
        <w:separator/>
      </w:r>
    </w:p>
  </w:footnote>
  <w:footnote w:type="continuationSeparator" w:id="0">
    <w:p w14:paraId="43ABA663" w14:textId="77777777" w:rsidR="00DD5B24" w:rsidRDefault="00DD5B24" w:rsidP="009B2E39">
      <w:r>
        <w:continuationSeparator/>
      </w:r>
    </w:p>
  </w:footnote>
  <w:footnote w:id="1">
    <w:p w14:paraId="5BD3FBD7" w14:textId="77777777" w:rsidR="00E46E8F" w:rsidRPr="00D8217F" w:rsidRDefault="00E46E8F" w:rsidP="00E46E8F">
      <w:pPr>
        <w:pStyle w:val="Textpoznpodarou"/>
        <w:rPr>
          <w:rFonts w:ascii="Calibri" w:hAnsi="Calibri" w:cs="Calibri"/>
        </w:rPr>
      </w:pPr>
      <w:r w:rsidRPr="00D8217F">
        <w:rPr>
          <w:rStyle w:val="Znakapoznpodarou"/>
          <w:rFonts w:ascii="Calibri" w:eastAsia="Malgun Gothic" w:hAnsi="Calibri" w:cs="Calibri"/>
        </w:rPr>
        <w:footnoteRef/>
      </w:r>
      <w:r w:rsidRPr="00D8217F">
        <w:rPr>
          <w:rFonts w:ascii="Calibri" w:hAnsi="Calibri" w:cs="Calibri"/>
        </w:rPr>
        <w:t xml:space="preserve"> Podpora zahrnutí plynu: PL, HU, SK, RO, BG, EL, HR, MT, CY, LT, CZ; Proti plynu: AT, DK, ES, LV, SE, NL, FI, LU, IE, PT; Pro jadernou energetiku: CZ, FR, PL, RO, FI, SI, BG, HU; Protijaderné státy: DE, AT, LU, DK, ES, 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36F"/>
    <w:multiLevelType w:val="hybridMultilevel"/>
    <w:tmpl w:val="DC32061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02680D"/>
    <w:multiLevelType w:val="multilevel"/>
    <w:tmpl w:val="E8BAE50A"/>
    <w:numStyleLink w:val="VariantaA-odrky"/>
  </w:abstractNum>
  <w:abstractNum w:abstractNumId="2"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3" w15:restartNumberingAfterBreak="0">
    <w:nsid w:val="130316F8"/>
    <w:multiLevelType w:val="multilevel"/>
    <w:tmpl w:val="3320A8B2"/>
    <w:numStyleLink w:val="VariantaB-odrky"/>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1C0064AC"/>
    <w:multiLevelType w:val="hybridMultilevel"/>
    <w:tmpl w:val="7FB00E58"/>
    <w:lvl w:ilvl="0" w:tplc="8732F9B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1F0701"/>
    <w:multiLevelType w:val="hybridMultilevel"/>
    <w:tmpl w:val="A84E41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A5EA2"/>
    <w:multiLevelType w:val="multilevel"/>
    <w:tmpl w:val="E8BAE50A"/>
    <w:numStyleLink w:val="VariantaA-odrky"/>
  </w:abstractNum>
  <w:abstractNum w:abstractNumId="9" w15:restartNumberingAfterBreak="0">
    <w:nsid w:val="291A1274"/>
    <w:multiLevelType w:val="hybridMultilevel"/>
    <w:tmpl w:val="BE5C6E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B71A74"/>
    <w:multiLevelType w:val="hybridMultilevel"/>
    <w:tmpl w:val="0DFCD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1E07A6"/>
    <w:multiLevelType w:val="hybridMultilevel"/>
    <w:tmpl w:val="192886B6"/>
    <w:lvl w:ilvl="0" w:tplc="8732F9B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825D6F"/>
    <w:multiLevelType w:val="hybridMultilevel"/>
    <w:tmpl w:val="62446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312AFC"/>
    <w:multiLevelType w:val="hybridMultilevel"/>
    <w:tmpl w:val="90A0C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16" w15:restartNumberingAfterBreak="0">
    <w:nsid w:val="5AF35F43"/>
    <w:multiLevelType w:val="multilevel"/>
    <w:tmpl w:val="0D8ABE32"/>
    <w:numStyleLink w:val="VariantaB-sla"/>
  </w:abstractNum>
  <w:abstractNum w:abstractNumId="17" w15:restartNumberingAfterBreak="0">
    <w:nsid w:val="5BC73A75"/>
    <w:multiLevelType w:val="hybridMultilevel"/>
    <w:tmpl w:val="64E05092"/>
    <w:lvl w:ilvl="0" w:tplc="8732F9B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16791F"/>
    <w:multiLevelType w:val="hybridMultilevel"/>
    <w:tmpl w:val="70D06C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7740896"/>
    <w:multiLevelType w:val="hybridMultilevel"/>
    <w:tmpl w:val="40DA6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7F2113"/>
    <w:multiLevelType w:val="hybridMultilevel"/>
    <w:tmpl w:val="26F86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F56CF2"/>
    <w:multiLevelType w:val="hybridMultilevel"/>
    <w:tmpl w:val="A35203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DC52FC6"/>
    <w:multiLevelType w:val="hybridMultilevel"/>
    <w:tmpl w:val="19F2B2CC"/>
    <w:lvl w:ilvl="0" w:tplc="8732F9B6">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1C573A"/>
    <w:multiLevelType w:val="hybridMultilevel"/>
    <w:tmpl w:val="1D8257CE"/>
    <w:lvl w:ilvl="0" w:tplc="DED64A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3"/>
  </w:num>
  <w:num w:numId="4">
    <w:abstractNumId w:val="2"/>
  </w:num>
  <w:num w:numId="5">
    <w:abstractNumId w:val="16"/>
  </w:num>
  <w:num w:numId="6">
    <w:abstractNumId w:val="8"/>
  </w:num>
  <w:num w:numId="7">
    <w:abstractNumId w:val="5"/>
  </w:num>
  <w:num w:numId="8">
    <w:abstractNumId w:val="3"/>
  </w:num>
  <w:num w:numId="9">
    <w:abstractNumId w:val="7"/>
  </w:num>
  <w:num w:numId="10">
    <w:abstractNumId w:val="10"/>
  </w:num>
  <w:num w:numId="11">
    <w:abstractNumId w:val="18"/>
  </w:num>
  <w:num w:numId="12">
    <w:abstractNumId w:val="2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19"/>
  </w:num>
  <w:num w:numId="17">
    <w:abstractNumId w:val="0"/>
  </w:num>
  <w:num w:numId="18">
    <w:abstractNumId w:val="12"/>
  </w:num>
  <w:num w:numId="19">
    <w:abstractNumId w:val="20"/>
  </w:num>
  <w:num w:numId="20">
    <w:abstractNumId w:val="6"/>
  </w:num>
  <w:num w:numId="21">
    <w:abstractNumId w:val="14"/>
  </w:num>
  <w:num w:numId="22">
    <w:abstractNumId w:val="9"/>
  </w:num>
  <w:num w:numId="23">
    <w:abstractNumId w:val="17"/>
  </w:num>
  <w:num w:numId="24">
    <w:abstractNumId w:val="11"/>
  </w:num>
  <w:num w:numId="2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moveDateAndTime/>
  <w:proofState w:spelling="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AC"/>
    <w:rsid w:val="000118B6"/>
    <w:rsid w:val="00015306"/>
    <w:rsid w:val="0002674B"/>
    <w:rsid w:val="0004162E"/>
    <w:rsid w:val="0004786B"/>
    <w:rsid w:val="00063405"/>
    <w:rsid w:val="00072900"/>
    <w:rsid w:val="000809B9"/>
    <w:rsid w:val="00090B40"/>
    <w:rsid w:val="00095A0A"/>
    <w:rsid w:val="000B1B3D"/>
    <w:rsid w:val="000C4CAF"/>
    <w:rsid w:val="000C70DC"/>
    <w:rsid w:val="00102FEE"/>
    <w:rsid w:val="00115B9A"/>
    <w:rsid w:val="00116867"/>
    <w:rsid w:val="00121485"/>
    <w:rsid w:val="001268B0"/>
    <w:rsid w:val="00126D15"/>
    <w:rsid w:val="00176FD6"/>
    <w:rsid w:val="0018051B"/>
    <w:rsid w:val="001900BD"/>
    <w:rsid w:val="001B1E4A"/>
    <w:rsid w:val="001D27C0"/>
    <w:rsid w:val="001E74C3"/>
    <w:rsid w:val="001F6937"/>
    <w:rsid w:val="002011AA"/>
    <w:rsid w:val="00220DE3"/>
    <w:rsid w:val="00236474"/>
    <w:rsid w:val="002445CC"/>
    <w:rsid w:val="00245CA5"/>
    <w:rsid w:val="00247E0C"/>
    <w:rsid w:val="0025290D"/>
    <w:rsid w:val="00260372"/>
    <w:rsid w:val="00262DAF"/>
    <w:rsid w:val="002652AE"/>
    <w:rsid w:val="002703B2"/>
    <w:rsid w:val="00285AED"/>
    <w:rsid w:val="00287D40"/>
    <w:rsid w:val="002E2442"/>
    <w:rsid w:val="002F0E8C"/>
    <w:rsid w:val="00310FA0"/>
    <w:rsid w:val="00320481"/>
    <w:rsid w:val="003250CB"/>
    <w:rsid w:val="003269D7"/>
    <w:rsid w:val="00363201"/>
    <w:rsid w:val="0039063C"/>
    <w:rsid w:val="003A46A8"/>
    <w:rsid w:val="003A51AA"/>
    <w:rsid w:val="003B565A"/>
    <w:rsid w:val="003D00A1"/>
    <w:rsid w:val="00404C65"/>
    <w:rsid w:val="0041427F"/>
    <w:rsid w:val="004265AD"/>
    <w:rsid w:val="004509E5"/>
    <w:rsid w:val="0045788C"/>
    <w:rsid w:val="00474836"/>
    <w:rsid w:val="00483EB4"/>
    <w:rsid w:val="00486FB9"/>
    <w:rsid w:val="004C01A2"/>
    <w:rsid w:val="004C212A"/>
    <w:rsid w:val="004E72A4"/>
    <w:rsid w:val="004F769D"/>
    <w:rsid w:val="00500232"/>
    <w:rsid w:val="00504668"/>
    <w:rsid w:val="005219F3"/>
    <w:rsid w:val="00534A11"/>
    <w:rsid w:val="005455E1"/>
    <w:rsid w:val="005502BD"/>
    <w:rsid w:val="00556787"/>
    <w:rsid w:val="005800B6"/>
    <w:rsid w:val="00582276"/>
    <w:rsid w:val="005B1357"/>
    <w:rsid w:val="005C2560"/>
    <w:rsid w:val="005F7585"/>
    <w:rsid w:val="00605759"/>
    <w:rsid w:val="00614801"/>
    <w:rsid w:val="00642843"/>
    <w:rsid w:val="00647F62"/>
    <w:rsid w:val="00650C6C"/>
    <w:rsid w:val="00652FE6"/>
    <w:rsid w:val="00667898"/>
    <w:rsid w:val="00675E60"/>
    <w:rsid w:val="00677FE0"/>
    <w:rsid w:val="006D04EF"/>
    <w:rsid w:val="006D063B"/>
    <w:rsid w:val="006E2FB0"/>
    <w:rsid w:val="007102D2"/>
    <w:rsid w:val="00713948"/>
    <w:rsid w:val="0072068A"/>
    <w:rsid w:val="00753A27"/>
    <w:rsid w:val="0079342A"/>
    <w:rsid w:val="007A7BA6"/>
    <w:rsid w:val="007B4949"/>
    <w:rsid w:val="007F0BC6"/>
    <w:rsid w:val="007F4584"/>
    <w:rsid w:val="008114A2"/>
    <w:rsid w:val="00831374"/>
    <w:rsid w:val="0085652B"/>
    <w:rsid w:val="00857580"/>
    <w:rsid w:val="00865238"/>
    <w:rsid w:val="008667BF"/>
    <w:rsid w:val="008878BA"/>
    <w:rsid w:val="00895645"/>
    <w:rsid w:val="008A7851"/>
    <w:rsid w:val="008B16EC"/>
    <w:rsid w:val="008B634F"/>
    <w:rsid w:val="008C3782"/>
    <w:rsid w:val="008D4A32"/>
    <w:rsid w:val="008D593A"/>
    <w:rsid w:val="008E7760"/>
    <w:rsid w:val="00906C85"/>
    <w:rsid w:val="00922001"/>
    <w:rsid w:val="00922C17"/>
    <w:rsid w:val="00942DDD"/>
    <w:rsid w:val="009516A8"/>
    <w:rsid w:val="0097705C"/>
    <w:rsid w:val="009B2E39"/>
    <w:rsid w:val="009F393D"/>
    <w:rsid w:val="009F7F46"/>
    <w:rsid w:val="00A000BF"/>
    <w:rsid w:val="00A0587E"/>
    <w:rsid w:val="00A07301"/>
    <w:rsid w:val="00A133D6"/>
    <w:rsid w:val="00A146A3"/>
    <w:rsid w:val="00A275BC"/>
    <w:rsid w:val="00A450C6"/>
    <w:rsid w:val="00A464B4"/>
    <w:rsid w:val="00A63D6B"/>
    <w:rsid w:val="00A72AF3"/>
    <w:rsid w:val="00A84B52"/>
    <w:rsid w:val="00A8660F"/>
    <w:rsid w:val="00A92C1F"/>
    <w:rsid w:val="00A95C48"/>
    <w:rsid w:val="00AA7056"/>
    <w:rsid w:val="00AB09B2"/>
    <w:rsid w:val="00AB31C6"/>
    <w:rsid w:val="00AB523B"/>
    <w:rsid w:val="00AD4EC7"/>
    <w:rsid w:val="00AD7E40"/>
    <w:rsid w:val="00AD7F2D"/>
    <w:rsid w:val="00B070A5"/>
    <w:rsid w:val="00B1477A"/>
    <w:rsid w:val="00B20993"/>
    <w:rsid w:val="00B42E96"/>
    <w:rsid w:val="00B50EE6"/>
    <w:rsid w:val="00B52185"/>
    <w:rsid w:val="00B621BC"/>
    <w:rsid w:val="00B952B0"/>
    <w:rsid w:val="00B9753A"/>
    <w:rsid w:val="00BB479C"/>
    <w:rsid w:val="00BC4720"/>
    <w:rsid w:val="00BC5764"/>
    <w:rsid w:val="00BD75A2"/>
    <w:rsid w:val="00BF5110"/>
    <w:rsid w:val="00C066F4"/>
    <w:rsid w:val="00C2017A"/>
    <w:rsid w:val="00C2026B"/>
    <w:rsid w:val="00C20470"/>
    <w:rsid w:val="00C23ED8"/>
    <w:rsid w:val="00C34B2F"/>
    <w:rsid w:val="00C4641B"/>
    <w:rsid w:val="00C6690E"/>
    <w:rsid w:val="00C703C5"/>
    <w:rsid w:val="00C752DE"/>
    <w:rsid w:val="00C77248"/>
    <w:rsid w:val="00C805F2"/>
    <w:rsid w:val="00C96EFE"/>
    <w:rsid w:val="00CB2676"/>
    <w:rsid w:val="00CB39D2"/>
    <w:rsid w:val="00CB6499"/>
    <w:rsid w:val="00CC5E40"/>
    <w:rsid w:val="00D1569F"/>
    <w:rsid w:val="00D20B1E"/>
    <w:rsid w:val="00D22462"/>
    <w:rsid w:val="00D230AC"/>
    <w:rsid w:val="00D30403"/>
    <w:rsid w:val="00D32489"/>
    <w:rsid w:val="00D3349E"/>
    <w:rsid w:val="00D508D3"/>
    <w:rsid w:val="00D73CB8"/>
    <w:rsid w:val="00D912A5"/>
    <w:rsid w:val="00DA7591"/>
    <w:rsid w:val="00DB3A00"/>
    <w:rsid w:val="00DB72FA"/>
    <w:rsid w:val="00DD5B24"/>
    <w:rsid w:val="00E32798"/>
    <w:rsid w:val="00E32D37"/>
    <w:rsid w:val="00E33CC8"/>
    <w:rsid w:val="00E46E8F"/>
    <w:rsid w:val="00E51C91"/>
    <w:rsid w:val="00E52A50"/>
    <w:rsid w:val="00E667C1"/>
    <w:rsid w:val="00EC3F88"/>
    <w:rsid w:val="00EC710F"/>
    <w:rsid w:val="00ED36D8"/>
    <w:rsid w:val="00ED66D5"/>
    <w:rsid w:val="00EE0772"/>
    <w:rsid w:val="00EE6BD7"/>
    <w:rsid w:val="00F02CFB"/>
    <w:rsid w:val="00F0689D"/>
    <w:rsid w:val="00F40371"/>
    <w:rsid w:val="00F40C41"/>
    <w:rsid w:val="00F551AC"/>
    <w:rsid w:val="00F768E9"/>
    <w:rsid w:val="00FB01B5"/>
    <w:rsid w:val="00FD1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C1C2"/>
  <w15:chartTrackingRefBased/>
  <w15:docId w15:val="{DB741C0C-FC9B-4253-AC52-93FEB027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E39"/>
    <w:pPr>
      <w:spacing w:after="160" w:line="293" w:lineRule="auto"/>
      <w:jc w:val="both"/>
    </w:pPr>
    <w:rPr>
      <w:color w:val="000000" w:themeColor="text1"/>
    </w:rPr>
  </w:style>
  <w:style w:type="paragraph" w:styleId="Nadpis1">
    <w:name w:val="heading 1"/>
    <w:basedOn w:val="Normln"/>
    <w:next w:val="Normln"/>
    <w:link w:val="Nadpis1Char"/>
    <w:uiPriority w:val="7"/>
    <w:qFormat/>
    <w:rsid w:val="00831374"/>
    <w:pPr>
      <w:keepNext/>
      <w:keepLines/>
      <w:spacing w:before="16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after="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0C70DC"/>
    <w:pPr>
      <w:numPr>
        <w:numId w:val="7"/>
      </w:numPr>
      <w:spacing w:after="0"/>
    </w:pPr>
    <w:rPr>
      <w:b/>
      <w:sz w:val="28"/>
    </w:rPr>
  </w:style>
  <w:style w:type="paragraph" w:styleId="slovanseznam2">
    <w:name w:val="List Number 2"/>
    <w:aliases w:val="Číslovaný seznam A 2"/>
    <w:basedOn w:val="Normln"/>
    <w:uiPriority w:val="15"/>
    <w:qFormat/>
    <w:rsid w:val="002011AA"/>
    <w:pPr>
      <w:numPr>
        <w:ilvl w:val="1"/>
        <w:numId w:val="7"/>
      </w:numPr>
      <w:spacing w:after="0"/>
      <w:ind w:left="567" w:hanging="567"/>
      <w:contextualSpacing/>
    </w:pPr>
    <w:rPr>
      <w:b/>
    </w:r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keepNext/>
      <w:keepLines/>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after="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after="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paragraph" w:styleId="Bezmezer">
    <w:name w:val="No Spacing"/>
    <w:uiPriority w:val="1"/>
    <w:qFormat/>
    <w:rsid w:val="000C70DC"/>
    <w:pPr>
      <w:spacing w:after="0" w:line="240" w:lineRule="auto"/>
    </w:pPr>
    <w:rPr>
      <w:color w:val="000000" w:themeColor="text1"/>
    </w:rPr>
  </w:style>
  <w:style w:type="paragraph" w:customStyle="1" w:styleId="Default">
    <w:name w:val="Default"/>
    <w:rsid w:val="00AB09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jlqj4b">
    <w:name w:val="jlqj4b"/>
    <w:basedOn w:val="Standardnpsmoodstavce"/>
    <w:rsid w:val="00AB09B2"/>
  </w:style>
  <w:style w:type="paragraph" w:styleId="Textpoznpodarou">
    <w:name w:val="footnote text"/>
    <w:basedOn w:val="Normln"/>
    <w:link w:val="TextpoznpodarouChar"/>
    <w:uiPriority w:val="99"/>
    <w:rsid w:val="00E46E8F"/>
    <w:pPr>
      <w:spacing w:after="0" w:line="240" w:lineRule="auto"/>
      <w:jc w:val="left"/>
    </w:pPr>
    <w:rPr>
      <w:rFonts w:ascii="Times New Roman" w:eastAsia="Times New Roman" w:hAnsi="Times New Roman" w:cs="Times New Roman"/>
      <w:color w:val="auto"/>
      <w:sz w:val="20"/>
      <w:szCs w:val="20"/>
      <w:lang w:eastAsia="cs-CZ"/>
    </w:rPr>
  </w:style>
  <w:style w:type="character" w:customStyle="1" w:styleId="TextpoznpodarouChar">
    <w:name w:val="Text pozn. pod čarou Char"/>
    <w:basedOn w:val="Standardnpsmoodstavce"/>
    <w:link w:val="Textpoznpodarou"/>
    <w:uiPriority w:val="99"/>
    <w:rsid w:val="00E46E8F"/>
    <w:rPr>
      <w:rFonts w:ascii="Times New Roman" w:eastAsia="Times New Roman" w:hAnsi="Times New Roman" w:cs="Times New Roman"/>
      <w:sz w:val="20"/>
      <w:szCs w:val="20"/>
      <w:lang w:eastAsia="cs-CZ"/>
    </w:rPr>
  </w:style>
  <w:style w:type="character" w:styleId="Znakapoznpodarou">
    <w:name w:val="footnote reference"/>
    <w:aliases w:val="EN Footnote Reference"/>
    <w:uiPriority w:val="99"/>
    <w:rsid w:val="00E46E8F"/>
    <w:rPr>
      <w:vertAlign w:val="superscript"/>
    </w:rPr>
  </w:style>
  <w:style w:type="paragraph" w:styleId="Textbubliny">
    <w:name w:val="Balloon Text"/>
    <w:basedOn w:val="Normln"/>
    <w:link w:val="TextbublinyChar"/>
    <w:uiPriority w:val="99"/>
    <w:semiHidden/>
    <w:unhideWhenUsed/>
    <w:rsid w:val="00675E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5E60"/>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9B96-5924-4CAF-A856-5D1651ACE63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5192</Words>
  <Characters>30634</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Mervart Petr</dc:creator>
  <cp:keywords/>
  <dc:description/>
  <cp:lastModifiedBy>Bohumir Dufek</cp:lastModifiedBy>
  <cp:revision>2</cp:revision>
  <cp:lastPrinted>2022-01-11T14:00:00Z</cp:lastPrinted>
  <dcterms:created xsi:type="dcterms:W3CDTF">2022-01-18T13:13:00Z</dcterms:created>
  <dcterms:modified xsi:type="dcterms:W3CDTF">2022-01-18T13:13:00Z</dcterms:modified>
</cp:coreProperties>
</file>