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C2EF8" w14:textId="77777777" w:rsidR="002B266D" w:rsidRDefault="002B266D">
      <w:pPr>
        <w:rPr>
          <w:rFonts w:ascii="Times New Roman" w:hAnsi="Times New Roman" w:cs="Times New Roman"/>
        </w:rPr>
      </w:pPr>
    </w:p>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5179A24A"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3F1D8D">
        <w:rPr>
          <w:rFonts w:ascii="Times New Roman" w:hAnsi="Times New Roman" w:cs="Times New Roman"/>
          <w:b/>
          <w:sz w:val="56"/>
          <w:szCs w:val="56"/>
        </w:rPr>
        <w:t>5</w:t>
      </w:r>
      <w:r w:rsidR="00C162AC">
        <w:rPr>
          <w:rFonts w:ascii="Times New Roman" w:hAnsi="Times New Roman" w:cs="Times New Roman"/>
          <w:b/>
          <w:sz w:val="56"/>
          <w:szCs w:val="56"/>
        </w:rPr>
        <w:t>/202</w:t>
      </w:r>
      <w:r w:rsidR="00657929">
        <w:rPr>
          <w:rFonts w:ascii="Times New Roman" w:hAnsi="Times New Roman" w:cs="Times New Roman"/>
          <w:b/>
          <w:sz w:val="56"/>
          <w:szCs w:val="56"/>
        </w:rPr>
        <w:t>3</w:t>
      </w:r>
    </w:p>
    <w:p w14:paraId="0CA87C82" w14:textId="7026A4DD" w:rsidR="00474251" w:rsidRDefault="00474251" w:rsidP="003F1441">
      <w:pPr>
        <w:spacing w:after="0"/>
        <w:jc w:val="both"/>
        <w:rPr>
          <w:rFonts w:ascii="Times New Roman" w:hAnsi="Times New Roman" w:cs="Times New Roman"/>
          <w:b/>
          <w:sz w:val="28"/>
          <w:szCs w:val="28"/>
        </w:rPr>
      </w:pP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5DF30A67" w:rsidR="000760C2" w:rsidRDefault="003F1D8D"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Přehled opatření tzv. ozdravného balíčku schváleného vládou ČR </w:t>
      </w:r>
    </w:p>
    <w:p w14:paraId="321C76B5" w14:textId="5FE16315" w:rsidR="00D43F55" w:rsidRDefault="003F1D8D" w:rsidP="008D7BED">
      <w:pPr>
        <w:spacing w:after="0"/>
        <w:jc w:val="both"/>
        <w:rPr>
          <w:rFonts w:ascii="Times New Roman" w:hAnsi="Times New Roman" w:cs="Times New Roman"/>
          <w:sz w:val="28"/>
          <w:szCs w:val="28"/>
        </w:rPr>
      </w:pPr>
      <w:r>
        <w:rPr>
          <w:rFonts w:ascii="Times New Roman" w:hAnsi="Times New Roman" w:cs="Times New Roman"/>
          <w:sz w:val="28"/>
          <w:szCs w:val="28"/>
        </w:rPr>
        <w:t>Přehled hlavních chystaných změn v důchodech</w:t>
      </w:r>
    </w:p>
    <w:p w14:paraId="2814E7AA" w14:textId="7663B1AF" w:rsidR="008D7BED" w:rsidRDefault="003F1D8D" w:rsidP="008D7BED">
      <w:pPr>
        <w:spacing w:after="0"/>
        <w:jc w:val="both"/>
        <w:rPr>
          <w:rFonts w:ascii="Times New Roman" w:hAnsi="Times New Roman" w:cs="Times New Roman"/>
          <w:sz w:val="28"/>
          <w:szCs w:val="28"/>
        </w:rPr>
      </w:pPr>
      <w:r>
        <w:rPr>
          <w:rFonts w:ascii="Times New Roman" w:hAnsi="Times New Roman" w:cs="Times New Roman"/>
          <w:sz w:val="28"/>
          <w:szCs w:val="28"/>
        </w:rPr>
        <w:t>Sporné navyšování cen energií některými dodavateli a možnosti obrany</w:t>
      </w:r>
    </w:p>
    <w:p w14:paraId="44E4F84D" w14:textId="405739C8"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w:t>
      </w:r>
      <w:r w:rsidR="004864EF">
        <w:rPr>
          <w:rFonts w:ascii="Times New Roman" w:hAnsi="Times New Roman" w:cs="Times New Roman"/>
          <w:sz w:val="28"/>
          <w:szCs w:val="28"/>
        </w:rPr>
        <w:t>en v </w:t>
      </w:r>
      <w:r w:rsidR="003F1D8D">
        <w:rPr>
          <w:rFonts w:ascii="Times New Roman" w:hAnsi="Times New Roman" w:cs="Times New Roman"/>
          <w:sz w:val="28"/>
          <w:szCs w:val="28"/>
        </w:rPr>
        <w:t>dubnu</w:t>
      </w:r>
      <w:r w:rsidR="004864EF">
        <w:rPr>
          <w:rFonts w:ascii="Times New Roman" w:hAnsi="Times New Roman" w:cs="Times New Roman"/>
          <w:sz w:val="28"/>
          <w:szCs w:val="28"/>
        </w:rPr>
        <w:t xml:space="preserve"> 2023</w:t>
      </w:r>
    </w:p>
    <w:p w14:paraId="1F166855" w14:textId="6B75866F" w:rsidR="000760C2" w:rsidRDefault="000760C2"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76D9896C" w14:textId="7D85A55C" w:rsidR="00B20CD7" w:rsidRDefault="00B20CD7" w:rsidP="00661396">
      <w:pPr>
        <w:rPr>
          <w:rFonts w:ascii="Times New Roman" w:hAnsi="Times New Roman" w:cs="Times New Roman"/>
          <w:sz w:val="28"/>
          <w:szCs w:val="28"/>
        </w:rPr>
      </w:pPr>
    </w:p>
    <w:p w14:paraId="0B25C438" w14:textId="42E54D51" w:rsidR="00B2472D" w:rsidRDefault="00B2472D" w:rsidP="00661396">
      <w:pPr>
        <w:rPr>
          <w:rFonts w:ascii="Times New Roman" w:hAnsi="Times New Roman" w:cs="Times New Roman"/>
          <w:sz w:val="28"/>
          <w:szCs w:val="28"/>
        </w:rPr>
      </w:pPr>
    </w:p>
    <w:p w14:paraId="71D4065F" w14:textId="77777777" w:rsidR="00B2472D" w:rsidRDefault="00B2472D" w:rsidP="00661396">
      <w:pPr>
        <w:rPr>
          <w:rFonts w:ascii="Times New Roman" w:hAnsi="Times New Roman" w:cs="Times New Roman"/>
          <w:sz w:val="28"/>
          <w:szCs w:val="28"/>
        </w:rPr>
      </w:pPr>
    </w:p>
    <w:p w14:paraId="53A4C087" w14:textId="77777777" w:rsidR="00A7742A" w:rsidRPr="00D9156B" w:rsidRDefault="00A7742A"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07000467" w14:textId="622669B5"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E6E24D4" w14:textId="1A23ECFE"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2678550A" w14:textId="77777777" w:rsidR="00FB5271" w:rsidRDefault="00FB5271" w:rsidP="00B80268">
      <w:pPr>
        <w:tabs>
          <w:tab w:val="left" w:pos="1134"/>
          <w:tab w:val="right" w:leader="dot" w:pos="7938"/>
        </w:tabs>
        <w:spacing w:after="0" w:line="240" w:lineRule="auto"/>
        <w:jc w:val="both"/>
        <w:rPr>
          <w:rFonts w:ascii="Times New Roman" w:hAnsi="Times New Roman" w:cs="Times New Roman"/>
          <w:b/>
          <w:sz w:val="28"/>
          <w:szCs w:val="28"/>
        </w:rPr>
      </w:pPr>
    </w:p>
    <w:p w14:paraId="104729B6" w14:textId="3A974D93" w:rsidR="00657929" w:rsidRDefault="00B80268" w:rsidP="0065792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632677F9" w14:textId="52B7695A" w:rsidR="004864EF" w:rsidRDefault="00020958" w:rsidP="004864E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657929">
        <w:rPr>
          <w:rFonts w:ascii="Times New Roman" w:hAnsi="Times New Roman" w:cs="Times New Roman"/>
          <w:b/>
          <w:sz w:val="28"/>
          <w:szCs w:val="28"/>
        </w:rPr>
        <w:t xml:space="preserve"> </w:t>
      </w:r>
    </w:p>
    <w:p w14:paraId="57BF08FF" w14:textId="77777777" w:rsidR="003F1D8D" w:rsidRDefault="004864EF" w:rsidP="003F1D8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F1D8D">
        <w:rPr>
          <w:rFonts w:ascii="Times New Roman" w:hAnsi="Times New Roman" w:cs="Times New Roman"/>
          <w:b/>
          <w:sz w:val="28"/>
          <w:szCs w:val="28"/>
        </w:rPr>
        <w:t>Přehled opatření tzv. ozdravného balíčku</w:t>
      </w:r>
    </w:p>
    <w:p w14:paraId="68E3DE19" w14:textId="08FF069A" w:rsidR="00B80268" w:rsidRDefault="00A20832" w:rsidP="003F1D8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7623B0">
        <w:rPr>
          <w:rFonts w:ascii="Times New Roman" w:hAnsi="Times New Roman" w:cs="Times New Roman"/>
          <w:b/>
          <w:sz w:val="28"/>
          <w:szCs w:val="28"/>
        </w:rPr>
        <w:tab/>
      </w:r>
      <w:r w:rsidR="003F1D8D">
        <w:rPr>
          <w:rFonts w:ascii="Times New Roman" w:hAnsi="Times New Roman" w:cs="Times New Roman"/>
          <w:b/>
          <w:sz w:val="28"/>
          <w:szCs w:val="28"/>
        </w:rPr>
        <w:t xml:space="preserve"> schváleného vládou ČR</w:t>
      </w:r>
      <w:r w:rsidR="003F1D8D">
        <w:rPr>
          <w:rFonts w:ascii="Times New Roman" w:hAnsi="Times New Roman" w:cs="Times New Roman"/>
          <w:b/>
          <w:sz w:val="28"/>
          <w:szCs w:val="28"/>
        </w:rPr>
        <w:tab/>
      </w:r>
      <w:r w:rsidR="007623B0">
        <w:rPr>
          <w:rFonts w:ascii="Times New Roman" w:hAnsi="Times New Roman" w:cs="Times New Roman"/>
          <w:b/>
          <w:sz w:val="28"/>
          <w:szCs w:val="28"/>
        </w:rPr>
        <w:t>st</w:t>
      </w:r>
      <w:r w:rsidR="009E4246">
        <w:rPr>
          <w:rFonts w:ascii="Times New Roman" w:hAnsi="Times New Roman" w:cs="Times New Roman"/>
          <w:b/>
          <w:sz w:val="28"/>
          <w:szCs w:val="28"/>
        </w:rPr>
        <w:t>r. 3</w:t>
      </w:r>
      <w:r w:rsidR="00474251">
        <w:rPr>
          <w:rFonts w:ascii="Times New Roman" w:hAnsi="Times New Roman" w:cs="Times New Roman"/>
          <w:b/>
          <w:sz w:val="28"/>
          <w:szCs w:val="28"/>
        </w:rPr>
        <w:t xml:space="preserve"> </w:t>
      </w:r>
    </w:p>
    <w:p w14:paraId="1026AE58" w14:textId="14D7E89C" w:rsidR="007623B0" w:rsidRDefault="00B80268" w:rsidP="004864E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F1D8D">
        <w:rPr>
          <w:rFonts w:ascii="Times New Roman" w:hAnsi="Times New Roman" w:cs="Times New Roman"/>
          <w:b/>
          <w:sz w:val="28"/>
          <w:szCs w:val="28"/>
        </w:rPr>
        <w:t>Přehled hlavních chystaných změn v důchodech</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3F1D8D">
        <w:rPr>
          <w:rFonts w:ascii="Times New Roman" w:hAnsi="Times New Roman" w:cs="Times New Roman"/>
          <w:b/>
          <w:sz w:val="28"/>
          <w:szCs w:val="28"/>
        </w:rPr>
        <w:t>16</w:t>
      </w:r>
    </w:p>
    <w:p w14:paraId="189AA69D" w14:textId="0D9E2F4C" w:rsidR="00A20832" w:rsidRDefault="00BC07AA" w:rsidP="003F1D8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5F0A64">
        <w:rPr>
          <w:rFonts w:ascii="Times New Roman" w:hAnsi="Times New Roman" w:cs="Times New Roman"/>
          <w:b/>
          <w:sz w:val="28"/>
          <w:szCs w:val="28"/>
        </w:rPr>
        <w:t xml:space="preserve"> </w:t>
      </w:r>
      <w:r w:rsidR="003F1D8D">
        <w:rPr>
          <w:rFonts w:ascii="Times New Roman" w:hAnsi="Times New Roman" w:cs="Times New Roman"/>
          <w:b/>
          <w:sz w:val="28"/>
          <w:szCs w:val="28"/>
        </w:rPr>
        <w:t>Vývoj spotřebitelských cen v dubnu 2023</w:t>
      </w:r>
      <w:r w:rsidR="003F1D8D">
        <w:rPr>
          <w:rFonts w:ascii="Times New Roman" w:hAnsi="Times New Roman" w:cs="Times New Roman"/>
          <w:b/>
          <w:sz w:val="28"/>
          <w:szCs w:val="28"/>
        </w:rPr>
        <w:tab/>
        <w:t>str. 22</w:t>
      </w:r>
    </w:p>
    <w:p w14:paraId="32FC8890" w14:textId="77777777" w:rsidR="00FB5271" w:rsidRDefault="00A20832" w:rsidP="00FB527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F1D8D">
        <w:rPr>
          <w:rFonts w:ascii="Times New Roman" w:hAnsi="Times New Roman" w:cs="Times New Roman"/>
          <w:b/>
          <w:sz w:val="28"/>
          <w:szCs w:val="28"/>
        </w:rPr>
        <w:t>Sporné navyšování cen energií některými</w:t>
      </w:r>
    </w:p>
    <w:p w14:paraId="0A3C9D6F" w14:textId="083CEA6A" w:rsidR="00A20832" w:rsidRDefault="00FB5271" w:rsidP="00FB5271">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dodavateli a možnosti obrany</w:t>
      </w:r>
      <w:r>
        <w:rPr>
          <w:rFonts w:ascii="Times New Roman" w:hAnsi="Times New Roman" w:cs="Times New Roman"/>
          <w:b/>
          <w:sz w:val="28"/>
          <w:szCs w:val="28"/>
        </w:rPr>
        <w:tab/>
        <w:t>str. 27</w:t>
      </w:r>
      <w:r w:rsidR="003F1D8D">
        <w:rPr>
          <w:rFonts w:ascii="Times New Roman" w:hAnsi="Times New Roman" w:cs="Times New Roman"/>
          <w:b/>
          <w:sz w:val="28"/>
          <w:szCs w:val="28"/>
        </w:rPr>
        <w:t xml:space="preserve"> </w:t>
      </w:r>
      <w:r w:rsidR="00A20832">
        <w:rPr>
          <w:rFonts w:ascii="Times New Roman" w:hAnsi="Times New Roman" w:cs="Times New Roman"/>
          <w:b/>
          <w:sz w:val="28"/>
          <w:szCs w:val="28"/>
        </w:rPr>
        <w:t xml:space="preserve"> </w:t>
      </w:r>
    </w:p>
    <w:p w14:paraId="399A135D" w14:textId="7DE52FF6" w:rsidR="005F0A64" w:rsidRDefault="00A20832"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B5271">
        <w:rPr>
          <w:rFonts w:ascii="Times New Roman" w:hAnsi="Times New Roman" w:cs="Times New Roman"/>
          <w:b/>
          <w:sz w:val="28"/>
          <w:szCs w:val="28"/>
        </w:rPr>
        <w:t>Otazníky kolem zvýšení minimální mzdy</w:t>
      </w:r>
      <w:r w:rsidR="00CA37AE">
        <w:rPr>
          <w:rFonts w:ascii="Times New Roman" w:hAnsi="Times New Roman" w:cs="Times New Roman"/>
          <w:b/>
          <w:sz w:val="28"/>
          <w:szCs w:val="28"/>
        </w:rPr>
        <w:tab/>
        <w:t xml:space="preserve"> str. </w:t>
      </w:r>
      <w:r w:rsidR="00FB5271">
        <w:rPr>
          <w:rFonts w:ascii="Times New Roman" w:hAnsi="Times New Roman" w:cs="Times New Roman"/>
          <w:b/>
          <w:sz w:val="28"/>
          <w:szCs w:val="28"/>
        </w:rPr>
        <w:t>31</w:t>
      </w:r>
    </w:p>
    <w:p w14:paraId="0ADC9A57" w14:textId="0BC201BF" w:rsidR="004864EF" w:rsidRDefault="00B2472D" w:rsidP="00A2083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039B5AE6" w14:textId="2689A4A0" w:rsidR="00B20CD7" w:rsidRDefault="004864EF" w:rsidP="004864E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1D402FD7" w14:textId="65E7827B" w:rsidR="006C6563" w:rsidRDefault="00B20CD7" w:rsidP="00B247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E36E8B">
        <w:rPr>
          <w:rFonts w:ascii="Times New Roman" w:hAnsi="Times New Roman" w:cs="Times New Roman"/>
          <w:b/>
          <w:sz w:val="28"/>
          <w:szCs w:val="28"/>
        </w:rPr>
        <w:t xml:space="preserve"> </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27AE849"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0D606BB7" w14:textId="77777777" w:rsidR="00FB5271" w:rsidRDefault="00FB5271" w:rsidP="0028286D">
      <w:pPr>
        <w:tabs>
          <w:tab w:val="left" w:pos="1134"/>
          <w:tab w:val="right" w:leader="dot" w:pos="7938"/>
        </w:tabs>
        <w:spacing w:after="0" w:line="240" w:lineRule="auto"/>
        <w:jc w:val="both"/>
        <w:rPr>
          <w:rFonts w:ascii="Times New Roman" w:hAnsi="Times New Roman" w:cs="Times New Roman"/>
          <w:b/>
          <w:sz w:val="28"/>
          <w:szCs w:val="28"/>
        </w:rPr>
      </w:pPr>
    </w:p>
    <w:p w14:paraId="4D22A76D" w14:textId="77777777" w:rsidR="00FB5271" w:rsidRDefault="00FB5271" w:rsidP="00FB527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PŘEHLED OPATŘENÍ tzv. OZDRAVNÉHO BALÍČKU</w:t>
      </w:r>
    </w:p>
    <w:p w14:paraId="457DE6BA" w14:textId="77777777" w:rsidR="00FB5271" w:rsidRDefault="00FB5271" w:rsidP="00FB5271">
      <w:pPr>
        <w:spacing w:after="0" w:line="240" w:lineRule="auto"/>
        <w:jc w:val="center"/>
        <w:rPr>
          <w:rFonts w:ascii="Times New Roman" w:hAnsi="Times New Roman"/>
          <w:b/>
          <w:bCs/>
          <w:sz w:val="28"/>
          <w:szCs w:val="28"/>
        </w:rPr>
      </w:pPr>
      <w:r>
        <w:rPr>
          <w:rFonts w:ascii="Times New Roman" w:hAnsi="Times New Roman"/>
          <w:b/>
          <w:bCs/>
          <w:sz w:val="28"/>
          <w:szCs w:val="28"/>
        </w:rPr>
        <w:t>SCHVÁLENÉHO VLÁDOU ČR</w:t>
      </w:r>
    </w:p>
    <w:p w14:paraId="0A093727" w14:textId="77777777" w:rsidR="00FB5271" w:rsidRDefault="00FB5271" w:rsidP="00FB5271">
      <w:pPr>
        <w:spacing w:after="0" w:line="240" w:lineRule="auto"/>
        <w:jc w:val="center"/>
        <w:rPr>
          <w:rFonts w:ascii="Times New Roman" w:hAnsi="Times New Roman"/>
          <w:b/>
          <w:bCs/>
          <w:sz w:val="28"/>
          <w:szCs w:val="28"/>
        </w:rPr>
      </w:pPr>
    </w:p>
    <w:p w14:paraId="1E9594E2" w14:textId="77777777" w:rsidR="00FB5271" w:rsidRDefault="00FB5271" w:rsidP="00FB5271">
      <w:pPr>
        <w:spacing w:after="0" w:line="240" w:lineRule="auto"/>
        <w:jc w:val="center"/>
        <w:rPr>
          <w:rFonts w:ascii="Times New Roman" w:hAnsi="Times New Roman"/>
          <w:sz w:val="28"/>
          <w:szCs w:val="28"/>
        </w:rPr>
      </w:pPr>
    </w:p>
    <w:p w14:paraId="6B7D610A"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Snížení národních dotací</w:t>
      </w:r>
    </w:p>
    <w:p w14:paraId="4400ACA7" w14:textId="77777777" w:rsidR="00FB5271" w:rsidRDefault="00FB5271" w:rsidP="00FB5271">
      <w:pPr>
        <w:spacing w:after="0" w:line="240" w:lineRule="auto"/>
        <w:jc w:val="both"/>
        <w:rPr>
          <w:rFonts w:ascii="Times New Roman" w:hAnsi="Times New Roman"/>
          <w:b/>
          <w:bCs/>
          <w:sz w:val="28"/>
          <w:szCs w:val="28"/>
        </w:rPr>
      </w:pPr>
    </w:p>
    <w:p w14:paraId="68EC4B6C"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 xml:space="preserve">Snížení národních dotačních titulů průřezově na většině ministerstev pro rok 2024 a 2025 v celkové výši 54,4 mil. Kč. </w:t>
      </w:r>
    </w:p>
    <w:p w14:paraId="4C165662" w14:textId="77777777" w:rsidR="00FB5271" w:rsidRDefault="00FB5271" w:rsidP="00FB5271">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Průmysl a obchod:  20 mld Kč</w:t>
      </w:r>
    </w:p>
    <w:p w14:paraId="0FFCD9E0" w14:textId="77777777" w:rsidR="00FB5271" w:rsidRDefault="00FB5271" w:rsidP="00FB5271">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Zemědělství:  10,2 mld Kč</w:t>
      </w:r>
    </w:p>
    <w:p w14:paraId="723F2BE8" w14:textId="77777777" w:rsidR="00FB5271" w:rsidRDefault="00FB5271" w:rsidP="00FB5271">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Doprava:  6 mld Kč</w:t>
      </w:r>
    </w:p>
    <w:p w14:paraId="7C8452B2" w14:textId="77777777" w:rsidR="00FB5271" w:rsidRDefault="00FB5271" w:rsidP="00FB5271">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Místní rozvoj:  2,8 mld Kč</w:t>
      </w:r>
    </w:p>
    <w:p w14:paraId="7B657AC2" w14:textId="77777777" w:rsidR="00FB5271" w:rsidRDefault="00FB5271" w:rsidP="00FB5271">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Školství:  2 mld. Kč</w:t>
      </w:r>
    </w:p>
    <w:p w14:paraId="7F236DAB" w14:textId="77777777" w:rsidR="00FB5271" w:rsidRDefault="00FB5271" w:rsidP="00FB5271">
      <w:pPr>
        <w:pStyle w:val="Odstavecseseznamem"/>
        <w:numPr>
          <w:ilvl w:val="0"/>
          <w:numId w:val="1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Ostatní dotace:  13,4 mld. Kč</w:t>
      </w:r>
    </w:p>
    <w:p w14:paraId="0D332971" w14:textId="77777777" w:rsidR="00FB5271" w:rsidRDefault="00FB5271" w:rsidP="00FB5271">
      <w:pPr>
        <w:spacing w:after="0" w:line="240" w:lineRule="auto"/>
        <w:jc w:val="both"/>
        <w:rPr>
          <w:rFonts w:ascii="Times New Roman" w:hAnsi="Times New Roman"/>
          <w:sz w:val="28"/>
          <w:szCs w:val="28"/>
        </w:rPr>
      </w:pPr>
    </w:p>
    <w:p w14:paraId="7EC99250" w14:textId="77777777" w:rsidR="00FB5271" w:rsidRDefault="00FB5271" w:rsidP="00FB5271">
      <w:pPr>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 xml:space="preserve">Současná situace je nesystémová a nepřehledná. Vytratil se původní záměr dotací snižovat regionální či jiné nerovnosti (sociální, zdravotní, vzdělávací aj.). Postupně se z národních dotačních titulů stal byznys, který pokřivuje tržní prostředí, zejména v prospěch velkých firem. Počet národních dotačních titulů navíc neúměrně roste a s tím narůst i nákladná administrativa na jejich poskytování, což dlouhodobě potvrzují výroční zprávy Nejvyššího kontrolního úřadu. Klesá také efektivnost využívání národních dotací, které v mnoha případech udržují při životě projekty, které nejsou životaschopné a nemají reálný ekonomický smysl.   </w:t>
      </w:r>
    </w:p>
    <w:p w14:paraId="15FF0518" w14:textId="77777777" w:rsidR="00FB5271" w:rsidRDefault="00FB5271" w:rsidP="00FB5271">
      <w:pPr>
        <w:spacing w:after="0" w:line="240" w:lineRule="auto"/>
        <w:jc w:val="both"/>
        <w:rPr>
          <w:rFonts w:ascii="Times New Roman" w:hAnsi="Times New Roman"/>
          <w:sz w:val="28"/>
          <w:szCs w:val="28"/>
        </w:rPr>
      </w:pPr>
    </w:p>
    <w:p w14:paraId="73733146" w14:textId="77777777" w:rsidR="00FB5271" w:rsidRDefault="00FB5271" w:rsidP="00FB5271">
      <w:pPr>
        <w:spacing w:after="0" w:line="240" w:lineRule="auto"/>
        <w:jc w:val="both"/>
        <w:rPr>
          <w:rFonts w:ascii="Times New Roman" w:hAnsi="Times New Roman"/>
          <w:sz w:val="28"/>
          <w:szCs w:val="28"/>
        </w:rPr>
      </w:pPr>
    </w:p>
    <w:p w14:paraId="2536362E"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Snížení provozních výdajů o 5 % na každém rezortu</w:t>
      </w:r>
    </w:p>
    <w:p w14:paraId="2BC93DFB" w14:textId="77777777" w:rsidR="00FB5271" w:rsidRDefault="00FB5271" w:rsidP="00FB5271">
      <w:pPr>
        <w:spacing w:after="0" w:line="240" w:lineRule="auto"/>
        <w:jc w:val="both"/>
        <w:rPr>
          <w:rFonts w:ascii="Times New Roman" w:hAnsi="Times New Roman"/>
          <w:b/>
          <w:bCs/>
          <w:sz w:val="28"/>
          <w:szCs w:val="28"/>
        </w:rPr>
      </w:pPr>
    </w:p>
    <w:p w14:paraId="625B93A8"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Snížení provozních výdajů o 5 % na každém rezortu.</w:t>
      </w:r>
    </w:p>
    <w:p w14:paraId="6E3C8D30" w14:textId="77777777" w:rsidR="00FB5271" w:rsidRDefault="00FB5271" w:rsidP="00FB5271">
      <w:pPr>
        <w:spacing w:after="0" w:line="240" w:lineRule="auto"/>
        <w:jc w:val="both"/>
        <w:rPr>
          <w:rFonts w:ascii="Times New Roman" w:hAnsi="Times New Roman"/>
          <w:sz w:val="28"/>
          <w:szCs w:val="28"/>
        </w:rPr>
      </w:pPr>
    </w:p>
    <w:p w14:paraId="24015FA1" w14:textId="77777777" w:rsidR="00FB5271" w:rsidRDefault="00FB5271" w:rsidP="00FB5271">
      <w:pPr>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V souladu se strategií konsolidovat veřejné finance vláda sníží výdaje na provoz jednotlivých ministerstev a centrálních vládních institucí, čímž se demonstruje závazek začínat „sami u sebe“.</w:t>
      </w:r>
      <w:r>
        <w:rPr>
          <w:rFonts w:ascii="Times New Roman" w:hAnsi="Times New Roman"/>
          <w:b/>
          <w:bCs/>
          <w:sz w:val="28"/>
          <w:szCs w:val="28"/>
        </w:rPr>
        <w:t xml:space="preserve"> </w:t>
      </w:r>
    </w:p>
    <w:p w14:paraId="63BE5A42" w14:textId="77777777" w:rsidR="00FB5271" w:rsidRDefault="00FB5271" w:rsidP="00FB5271">
      <w:pPr>
        <w:spacing w:after="0" w:line="240" w:lineRule="auto"/>
        <w:jc w:val="both"/>
        <w:rPr>
          <w:rFonts w:ascii="Times New Roman" w:hAnsi="Times New Roman"/>
          <w:b/>
          <w:bCs/>
          <w:sz w:val="28"/>
          <w:szCs w:val="28"/>
        </w:rPr>
      </w:pPr>
    </w:p>
    <w:p w14:paraId="18998DB7" w14:textId="77777777" w:rsidR="00FB5271" w:rsidRDefault="00FB5271" w:rsidP="00FB5271">
      <w:pPr>
        <w:spacing w:after="0" w:line="240" w:lineRule="auto"/>
        <w:jc w:val="both"/>
        <w:rPr>
          <w:rFonts w:ascii="Times New Roman" w:hAnsi="Times New Roman"/>
          <w:b/>
          <w:bCs/>
          <w:sz w:val="28"/>
          <w:szCs w:val="28"/>
        </w:rPr>
      </w:pPr>
    </w:p>
    <w:p w14:paraId="55DE62FF"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Snížení objemu platů ve státní sféře</w:t>
      </w:r>
    </w:p>
    <w:p w14:paraId="4F88AF58" w14:textId="77777777" w:rsidR="00FB5271" w:rsidRDefault="00FB5271" w:rsidP="00FB5271">
      <w:pPr>
        <w:spacing w:after="0" w:line="240" w:lineRule="auto"/>
        <w:jc w:val="both"/>
        <w:rPr>
          <w:rFonts w:ascii="Times New Roman" w:hAnsi="Times New Roman"/>
          <w:b/>
          <w:bCs/>
          <w:sz w:val="28"/>
          <w:szCs w:val="28"/>
        </w:rPr>
      </w:pPr>
    </w:p>
    <w:p w14:paraId="49BBB396"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 xml:space="preserve">Snížení objemu finančních prostředků na platy ve státní správě o 2 % v návaznosti na snižování agend státu, včetně organizačních složek státu a příspěvkových organizacích. </w:t>
      </w:r>
    </w:p>
    <w:p w14:paraId="40E55B8E" w14:textId="77777777" w:rsidR="00FB5271" w:rsidRDefault="00FB5271" w:rsidP="00FB5271">
      <w:pPr>
        <w:spacing w:after="0" w:line="240" w:lineRule="auto"/>
        <w:jc w:val="both"/>
        <w:rPr>
          <w:rFonts w:ascii="Times New Roman" w:hAnsi="Times New Roman"/>
          <w:sz w:val="28"/>
          <w:szCs w:val="28"/>
        </w:rPr>
      </w:pPr>
    </w:p>
    <w:p w14:paraId="36954149" w14:textId="4C4C4318" w:rsidR="00FB5271" w:rsidRPr="00FB5271" w:rsidRDefault="00FB5271" w:rsidP="00FB5271">
      <w:pPr>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Platy státních zaměstnanců představují stále se zvyšující pravidelný výdaj státního rozpočtu, pro rok 2024 se jeho celkový objem předpokládá zhruba ve výši 250 mld. Kč.</w:t>
      </w:r>
    </w:p>
    <w:p w14:paraId="04559834"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Změny v oblasti FKSP</w:t>
      </w:r>
    </w:p>
    <w:p w14:paraId="62BCB76A" w14:textId="77777777" w:rsidR="00FB5271" w:rsidRDefault="00FB5271" w:rsidP="00FB5271">
      <w:pPr>
        <w:spacing w:after="0" w:line="240" w:lineRule="auto"/>
        <w:jc w:val="both"/>
        <w:rPr>
          <w:rFonts w:ascii="Times New Roman" w:hAnsi="Times New Roman"/>
          <w:b/>
          <w:bCs/>
          <w:sz w:val="28"/>
          <w:szCs w:val="28"/>
        </w:rPr>
      </w:pPr>
    </w:p>
    <w:p w14:paraId="7CD54402"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 xml:space="preserve">Snížení prostředků na Fond kulturních a sociálních potřeb (FKSP) o polovinu z 2 % na 1 %. Nově bude objem peněz na FKSP tvořen z objemu nákladů zúčtovaných na platy/mzdy. Polovina této částky by měla být určena na přispívání zaměstnavatele na produkty spoření na stáří.  </w:t>
      </w:r>
    </w:p>
    <w:p w14:paraId="1C9EED26" w14:textId="77777777" w:rsidR="00FB5271" w:rsidRDefault="00FB5271" w:rsidP="00FB5271">
      <w:pPr>
        <w:spacing w:after="0" w:line="240" w:lineRule="auto"/>
        <w:jc w:val="both"/>
        <w:rPr>
          <w:rFonts w:ascii="Times New Roman" w:hAnsi="Times New Roman"/>
          <w:sz w:val="28"/>
          <w:szCs w:val="28"/>
        </w:rPr>
      </w:pPr>
    </w:p>
    <w:p w14:paraId="17FC9E5A" w14:textId="77777777" w:rsidR="00FB5271" w:rsidRDefault="00FB5271" w:rsidP="00FB5271">
      <w:pPr>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V současné době je objem prostředků na FKSP stanoven ve výši 2 % z objemu prostředků na platy, což pro rok 2023 jen v regulovaných organizačních složkách státu a příspěvkových organizacích činí 5,2 mld, Kč. Pravidla pro využití FKSP jsou nejasně a složitě upravena ve vyhlášce o fondu kulturních a sociálních potřeb, která bude zrušena.</w:t>
      </w:r>
    </w:p>
    <w:p w14:paraId="5153AA7A" w14:textId="77777777" w:rsidR="00FB5271" w:rsidRDefault="00FB5271" w:rsidP="00FB5271">
      <w:pPr>
        <w:spacing w:after="0" w:line="240" w:lineRule="auto"/>
        <w:jc w:val="both"/>
        <w:rPr>
          <w:rFonts w:ascii="Times New Roman" w:hAnsi="Times New Roman"/>
          <w:sz w:val="28"/>
          <w:szCs w:val="28"/>
        </w:rPr>
      </w:pPr>
    </w:p>
    <w:p w14:paraId="11BFE49D" w14:textId="77777777" w:rsidR="00FB5271" w:rsidRDefault="00FB5271" w:rsidP="00FB5271">
      <w:pPr>
        <w:spacing w:after="0" w:line="240" w:lineRule="auto"/>
        <w:jc w:val="both"/>
        <w:rPr>
          <w:rFonts w:ascii="Times New Roman" w:hAnsi="Times New Roman"/>
          <w:sz w:val="28"/>
          <w:szCs w:val="28"/>
        </w:rPr>
      </w:pPr>
    </w:p>
    <w:p w14:paraId="09B209CB"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Zrušení územních pracovišť Finanční správy</w:t>
      </w:r>
    </w:p>
    <w:p w14:paraId="0E2E716A" w14:textId="77777777" w:rsidR="00FB5271" w:rsidRDefault="00FB5271" w:rsidP="00FB5271">
      <w:pPr>
        <w:spacing w:after="0" w:line="240" w:lineRule="auto"/>
        <w:jc w:val="both"/>
        <w:rPr>
          <w:rFonts w:ascii="Times New Roman" w:hAnsi="Times New Roman"/>
          <w:b/>
          <w:bCs/>
          <w:sz w:val="28"/>
          <w:szCs w:val="28"/>
        </w:rPr>
      </w:pPr>
    </w:p>
    <w:p w14:paraId="26C1999F"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Zrušení 77 územních pracovišť finančních úřadů.</w:t>
      </w:r>
    </w:p>
    <w:p w14:paraId="6C2F1F62" w14:textId="77777777" w:rsidR="00FB5271" w:rsidRDefault="00FB5271" w:rsidP="00FB5271">
      <w:pPr>
        <w:spacing w:after="0" w:line="240" w:lineRule="auto"/>
        <w:jc w:val="both"/>
        <w:rPr>
          <w:rFonts w:ascii="Times New Roman" w:hAnsi="Times New Roman"/>
          <w:sz w:val="28"/>
          <w:szCs w:val="28"/>
        </w:rPr>
      </w:pPr>
    </w:p>
    <w:p w14:paraId="68BB212D" w14:textId="1A2795BA" w:rsidR="00FB5271" w:rsidRDefault="00FB5271" w:rsidP="00FB5271">
      <w:pPr>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Vláda zruší zejména pobočky finančních úřadů, které dle výsledků provedené analýzy MF a GFŘ byly veřejností využívány jen velmi omezeně nebo zajišťovaly minimální rozsah služeb pro občany, např. služby podatelny. Přijaté kroky umožní efektivnější řízení a optimalizaci vykonávaných agend.</w:t>
      </w:r>
    </w:p>
    <w:p w14:paraId="6CBB7621" w14:textId="77777777" w:rsidR="00FB5271" w:rsidRDefault="00FB5271" w:rsidP="00FB5271">
      <w:pPr>
        <w:spacing w:after="0" w:line="240" w:lineRule="auto"/>
        <w:jc w:val="both"/>
      </w:pPr>
    </w:p>
    <w:p w14:paraId="6A73B24E" w14:textId="77777777" w:rsidR="00FB5271" w:rsidRPr="00FB5271" w:rsidRDefault="00FB5271" w:rsidP="00FB5271">
      <w:pPr>
        <w:spacing w:after="0" w:line="240" w:lineRule="auto"/>
        <w:jc w:val="both"/>
      </w:pPr>
    </w:p>
    <w:p w14:paraId="6DF4994E" w14:textId="77777777" w:rsidR="00FB5271" w:rsidRDefault="00FB5271" w:rsidP="00FB5271">
      <w:pPr>
        <w:spacing w:after="0" w:line="240" w:lineRule="auto"/>
        <w:jc w:val="both"/>
        <w:rPr>
          <w:rFonts w:ascii="Times New Roman" w:hAnsi="Times New Roman"/>
          <w:sz w:val="28"/>
          <w:szCs w:val="28"/>
        </w:rPr>
      </w:pPr>
    </w:p>
    <w:p w14:paraId="5BAA3CFF"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Náhrada platu při dočasné pracovní neschopnosti (karanténě) a její úhrada nově z limitu prostředků na platy</w:t>
      </w:r>
    </w:p>
    <w:p w14:paraId="2CF2DFA0" w14:textId="77777777" w:rsidR="00FB5271" w:rsidRDefault="00FB5271" w:rsidP="00FB5271">
      <w:pPr>
        <w:spacing w:after="0" w:line="240" w:lineRule="auto"/>
        <w:jc w:val="both"/>
        <w:rPr>
          <w:rFonts w:ascii="Times New Roman" w:hAnsi="Times New Roman"/>
          <w:b/>
          <w:bCs/>
          <w:sz w:val="28"/>
          <w:szCs w:val="28"/>
        </w:rPr>
      </w:pPr>
    </w:p>
    <w:p w14:paraId="7C79C08F"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Zjednodušení procesu náhrady platu při dočasné pracovní neschopnosti. Nastaví se úhrada výdajů z limitu objemu prostředků na platy namísto současné praxe, kdy jsou tyto náhrady platu vypláceny z výdajového limitu mimo platovou oblast.</w:t>
      </w:r>
    </w:p>
    <w:p w14:paraId="65DD1A12" w14:textId="77777777" w:rsidR="00FB5271" w:rsidRDefault="00FB5271" w:rsidP="00FB5271">
      <w:pPr>
        <w:spacing w:after="0" w:line="240" w:lineRule="auto"/>
        <w:jc w:val="both"/>
        <w:rPr>
          <w:rFonts w:ascii="Times New Roman" w:hAnsi="Times New Roman"/>
          <w:sz w:val="28"/>
          <w:szCs w:val="28"/>
        </w:rPr>
      </w:pPr>
    </w:p>
    <w:p w14:paraId="6E3E0292" w14:textId="77777777" w:rsidR="00FB5271" w:rsidRDefault="00FB5271" w:rsidP="00FB5271">
      <w:pPr>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V současnosti jsou náhrady platu při dočasné pracovní neschopnosti (karanténě) vypláceny z výdajových limitů stanovených mimo platovou oblast, přestože jiné náhrady platu (náhrady za dovolenou, při překážkách v práci atd.) jsou hrazeny z platového limitu.</w:t>
      </w:r>
    </w:p>
    <w:p w14:paraId="5BF599AB" w14:textId="77777777" w:rsidR="00FB5271" w:rsidRDefault="00FB5271" w:rsidP="00FB5271">
      <w:pPr>
        <w:spacing w:after="0" w:line="240" w:lineRule="auto"/>
        <w:jc w:val="both"/>
        <w:rPr>
          <w:rFonts w:ascii="Times New Roman" w:hAnsi="Times New Roman"/>
          <w:sz w:val="28"/>
          <w:szCs w:val="28"/>
        </w:rPr>
      </w:pPr>
    </w:p>
    <w:p w14:paraId="78150E0F" w14:textId="77777777" w:rsidR="00FB5271" w:rsidRDefault="00FB5271" w:rsidP="00FB5271">
      <w:pPr>
        <w:spacing w:after="0" w:line="240" w:lineRule="auto"/>
        <w:jc w:val="both"/>
        <w:rPr>
          <w:rFonts w:ascii="Times New Roman" w:hAnsi="Times New Roman"/>
          <w:sz w:val="28"/>
          <w:szCs w:val="28"/>
        </w:rPr>
      </w:pPr>
    </w:p>
    <w:p w14:paraId="15A10AA1" w14:textId="77777777" w:rsidR="00FB5271" w:rsidRDefault="00FB5271" w:rsidP="00FB5271">
      <w:pPr>
        <w:spacing w:after="0" w:line="240" w:lineRule="auto"/>
        <w:jc w:val="both"/>
        <w:rPr>
          <w:rFonts w:ascii="Times New Roman" w:hAnsi="Times New Roman"/>
          <w:sz w:val="28"/>
          <w:szCs w:val="28"/>
        </w:rPr>
      </w:pPr>
    </w:p>
    <w:p w14:paraId="46FEDC26" w14:textId="77777777" w:rsidR="00FB5271" w:rsidRDefault="00FB5271" w:rsidP="00FB5271">
      <w:pPr>
        <w:spacing w:after="0" w:line="240" w:lineRule="auto"/>
        <w:jc w:val="both"/>
        <w:rPr>
          <w:rFonts w:ascii="Times New Roman" w:hAnsi="Times New Roman"/>
          <w:sz w:val="28"/>
          <w:szCs w:val="28"/>
        </w:rPr>
      </w:pPr>
    </w:p>
    <w:p w14:paraId="3D161A96" w14:textId="77777777" w:rsidR="00FB5271" w:rsidRDefault="00FB5271" w:rsidP="00FB5271">
      <w:pPr>
        <w:spacing w:after="0" w:line="240" w:lineRule="auto"/>
        <w:jc w:val="both"/>
        <w:rPr>
          <w:rFonts w:ascii="Times New Roman" w:hAnsi="Times New Roman"/>
          <w:sz w:val="28"/>
          <w:szCs w:val="28"/>
        </w:rPr>
      </w:pPr>
    </w:p>
    <w:p w14:paraId="62F09CAE" w14:textId="77777777" w:rsidR="00FB5271" w:rsidRDefault="00FB5271" w:rsidP="00FB5271">
      <w:pPr>
        <w:spacing w:after="0" w:line="240" w:lineRule="auto"/>
        <w:jc w:val="both"/>
        <w:rPr>
          <w:rFonts w:ascii="Times New Roman" w:hAnsi="Times New Roman"/>
          <w:sz w:val="28"/>
          <w:szCs w:val="28"/>
        </w:rPr>
      </w:pPr>
    </w:p>
    <w:p w14:paraId="7604330E" w14:textId="77777777" w:rsidR="00FB5271" w:rsidRDefault="00FB5271" w:rsidP="00FB5271">
      <w:pPr>
        <w:spacing w:after="0" w:line="240" w:lineRule="auto"/>
        <w:jc w:val="both"/>
        <w:rPr>
          <w:rFonts w:ascii="Times New Roman" w:hAnsi="Times New Roman"/>
          <w:sz w:val="28"/>
          <w:szCs w:val="28"/>
        </w:rPr>
      </w:pPr>
    </w:p>
    <w:p w14:paraId="5AC94697"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Změna podmínek vyplácení podpory v nezaměstnanosti</w:t>
      </w:r>
    </w:p>
    <w:p w14:paraId="76A5F37B" w14:textId="77777777" w:rsidR="00FB5271" w:rsidRDefault="00FB5271" w:rsidP="00FB5271">
      <w:pPr>
        <w:spacing w:after="0" w:line="240" w:lineRule="auto"/>
        <w:jc w:val="both"/>
        <w:rPr>
          <w:rFonts w:ascii="Times New Roman" w:hAnsi="Times New Roman"/>
          <w:b/>
          <w:bCs/>
          <w:sz w:val="28"/>
          <w:szCs w:val="28"/>
        </w:rPr>
      </w:pPr>
    </w:p>
    <w:p w14:paraId="577AB3B6"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Zpřísnění podmínek pro přiznání nároku podpory v nezaměstnanosti v případě opakované evidence nezaměstnanosti, a to prodloužením doby důchodového pojištění nezbytného pro přiznání nároku na podporu v nezaměstnanosti.</w:t>
      </w:r>
    </w:p>
    <w:p w14:paraId="194D3B0A" w14:textId="77777777" w:rsidR="00FB5271" w:rsidRDefault="00FB5271" w:rsidP="00FB5271">
      <w:pPr>
        <w:spacing w:after="0" w:line="240" w:lineRule="auto"/>
        <w:jc w:val="both"/>
        <w:rPr>
          <w:rFonts w:ascii="Times New Roman" w:hAnsi="Times New Roman"/>
          <w:sz w:val="28"/>
          <w:szCs w:val="28"/>
        </w:rPr>
      </w:pPr>
    </w:p>
    <w:p w14:paraId="42DEB404" w14:textId="77777777" w:rsidR="00FB5271" w:rsidRDefault="00FB5271" w:rsidP="00FB5271">
      <w:pPr>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Z důvodu setrvale minimální dlouhodobé nezaměstnanosti v ČR není únosný způsob robustní podpory v nezaměstnanosti ve stávající podobě.</w:t>
      </w:r>
    </w:p>
    <w:p w14:paraId="74ACDEEF" w14:textId="77777777" w:rsidR="00FB5271" w:rsidRDefault="00FB5271" w:rsidP="00FB5271">
      <w:pPr>
        <w:spacing w:after="0" w:line="240" w:lineRule="auto"/>
        <w:jc w:val="both"/>
        <w:rPr>
          <w:rFonts w:ascii="Times New Roman" w:hAnsi="Times New Roman"/>
          <w:sz w:val="28"/>
          <w:szCs w:val="28"/>
        </w:rPr>
      </w:pPr>
    </w:p>
    <w:p w14:paraId="26F15CBB" w14:textId="77777777" w:rsidR="00FB5271" w:rsidRDefault="00FB5271" w:rsidP="00FB5271">
      <w:pPr>
        <w:spacing w:after="0" w:line="240" w:lineRule="auto"/>
        <w:jc w:val="both"/>
        <w:rPr>
          <w:rFonts w:ascii="Times New Roman" w:hAnsi="Times New Roman"/>
          <w:sz w:val="28"/>
          <w:szCs w:val="28"/>
        </w:rPr>
      </w:pPr>
    </w:p>
    <w:p w14:paraId="147F269C"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Snížení státní podpory stavebního spoření u stávajících a nových smluv</w:t>
      </w:r>
    </w:p>
    <w:p w14:paraId="6CF8FCBF" w14:textId="77777777" w:rsidR="00FB5271" w:rsidRDefault="00FB5271" w:rsidP="00FB5271">
      <w:pPr>
        <w:spacing w:after="0" w:line="240" w:lineRule="auto"/>
        <w:jc w:val="both"/>
        <w:rPr>
          <w:rFonts w:ascii="Times New Roman" w:hAnsi="Times New Roman"/>
          <w:b/>
          <w:bCs/>
          <w:sz w:val="28"/>
          <w:szCs w:val="28"/>
        </w:rPr>
      </w:pPr>
    </w:p>
    <w:p w14:paraId="27050F91"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snížení státní podpory stavebního spoření na max. 1 000 Kč/rok pro nové i stávající smlouvy.</w:t>
      </w:r>
    </w:p>
    <w:p w14:paraId="083301F9" w14:textId="77777777" w:rsidR="00FB5271" w:rsidRDefault="00FB5271" w:rsidP="00FB5271">
      <w:pPr>
        <w:spacing w:after="0" w:line="240" w:lineRule="auto"/>
        <w:jc w:val="both"/>
        <w:rPr>
          <w:rFonts w:ascii="Times New Roman" w:hAnsi="Times New Roman"/>
          <w:sz w:val="28"/>
          <w:szCs w:val="28"/>
        </w:rPr>
      </w:pPr>
    </w:p>
    <w:p w14:paraId="27DF6E32" w14:textId="77777777" w:rsidR="00FB5271" w:rsidRDefault="00FB5271" w:rsidP="00FB5271">
      <w:pPr>
        <w:spacing w:after="0" w:line="240" w:lineRule="auto"/>
        <w:jc w:val="both"/>
      </w:pPr>
      <w:r>
        <w:rPr>
          <w:rFonts w:ascii="Times New Roman" w:hAnsi="Times New Roman"/>
          <w:b/>
          <w:bCs/>
          <w:sz w:val="28"/>
          <w:szCs w:val="28"/>
        </w:rPr>
        <w:t xml:space="preserve">Zdůvodnění: </w:t>
      </w:r>
      <w:r>
        <w:rPr>
          <w:rFonts w:ascii="Times New Roman" w:hAnsi="Times New Roman"/>
          <w:sz w:val="28"/>
          <w:szCs w:val="28"/>
        </w:rPr>
        <w:t>Stavební spoření vzniklo v 90. letech minulého století v době, kdy ještě nefungoval hypoteční trh a byl to způsob, jak si mohli lidé spořit na bydlení. V posledních letech nicméně ztratilo svou původní funkci. Lidé navíc naspořené peníze používají zpravidla k jiným účelům než pro účely vlastního bydlení. Nově budou moci poskytovat produkt stavebního spoření také přímo banky a úvěry ze stavebního spoření se budou poskytovat zejména na realizaci energeticky úsporných opatření pro domácnosti.</w:t>
      </w:r>
    </w:p>
    <w:p w14:paraId="41934B9B" w14:textId="77777777" w:rsidR="00FB5271" w:rsidRDefault="00FB5271" w:rsidP="00FB5271">
      <w:pPr>
        <w:spacing w:after="0" w:line="240" w:lineRule="auto"/>
        <w:jc w:val="both"/>
        <w:rPr>
          <w:rFonts w:ascii="Times New Roman" w:hAnsi="Times New Roman"/>
          <w:sz w:val="28"/>
          <w:szCs w:val="28"/>
        </w:rPr>
      </w:pPr>
    </w:p>
    <w:p w14:paraId="4AC8522C" w14:textId="77777777" w:rsidR="00FB5271" w:rsidRDefault="00FB5271" w:rsidP="00FB5271">
      <w:pPr>
        <w:spacing w:after="0" w:line="240" w:lineRule="auto"/>
        <w:jc w:val="both"/>
        <w:rPr>
          <w:rFonts w:ascii="Times New Roman" w:hAnsi="Times New Roman"/>
          <w:sz w:val="28"/>
          <w:szCs w:val="28"/>
        </w:rPr>
      </w:pPr>
    </w:p>
    <w:p w14:paraId="02054C29"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Ostatní úspory výdajů</w:t>
      </w:r>
    </w:p>
    <w:p w14:paraId="20478322" w14:textId="77777777" w:rsidR="00FB5271" w:rsidRDefault="00FB5271" w:rsidP="00FB5271">
      <w:pPr>
        <w:spacing w:after="0" w:line="240" w:lineRule="auto"/>
        <w:jc w:val="both"/>
        <w:rPr>
          <w:rFonts w:ascii="Times New Roman" w:hAnsi="Times New Roman"/>
          <w:b/>
          <w:bCs/>
          <w:sz w:val="28"/>
          <w:szCs w:val="28"/>
        </w:rPr>
      </w:pPr>
    </w:p>
    <w:p w14:paraId="727E78B5" w14:textId="77777777" w:rsidR="00FB5271" w:rsidRDefault="00FB5271" w:rsidP="00FB5271">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sz w:val="28"/>
          <w:szCs w:val="28"/>
        </w:rPr>
        <w:t xml:space="preserve">Úprava národního financování projektů EU: </w:t>
      </w:r>
      <w:r>
        <w:rPr>
          <w:rFonts w:ascii="Times New Roman" w:hAnsi="Times New Roman"/>
          <w:sz w:val="28"/>
          <w:szCs w:val="28"/>
        </w:rPr>
        <w:t>Snížení podílu spolufinancování z fondů EU zvýšením spoluúčasti konečných příjemců dotace.</w:t>
      </w:r>
    </w:p>
    <w:p w14:paraId="78E9A1ED" w14:textId="77777777" w:rsidR="00FB5271" w:rsidRDefault="00FB5271" w:rsidP="00FB5271">
      <w:pPr>
        <w:spacing w:after="0" w:line="240" w:lineRule="auto"/>
        <w:jc w:val="both"/>
        <w:rPr>
          <w:rFonts w:ascii="Times New Roman" w:hAnsi="Times New Roman"/>
          <w:b/>
          <w:bCs/>
          <w:sz w:val="28"/>
          <w:szCs w:val="28"/>
        </w:rPr>
      </w:pPr>
    </w:p>
    <w:p w14:paraId="35F5E9C6" w14:textId="77777777" w:rsidR="00FB5271" w:rsidRDefault="00FB5271" w:rsidP="00FB5271">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sz w:val="28"/>
          <w:szCs w:val="28"/>
        </w:rPr>
        <w:t xml:space="preserve">Zrušení kolkových známek </w:t>
      </w:r>
      <w:r>
        <w:rPr>
          <w:rFonts w:ascii="Times New Roman" w:hAnsi="Times New Roman"/>
          <w:sz w:val="28"/>
          <w:szCs w:val="28"/>
        </w:rPr>
        <w:t>jako platebního prostředku s přechodným obdobím, kdy bude ještě možné stávající kolky používat. S nárůstem elektronických plateb kartou a bezhotovostních převodů se jejich potřeba významně snížila, v minulosti navíc byla v souvislosti s jejich používáním indikována řada podvodů.</w:t>
      </w:r>
    </w:p>
    <w:p w14:paraId="36162154" w14:textId="77777777" w:rsidR="00FB5271" w:rsidRDefault="00FB5271" w:rsidP="00FB5271">
      <w:pPr>
        <w:pStyle w:val="Odstavecseseznamem"/>
        <w:rPr>
          <w:rFonts w:ascii="Times New Roman" w:hAnsi="Times New Roman"/>
          <w:b/>
          <w:bCs/>
          <w:sz w:val="28"/>
          <w:szCs w:val="28"/>
        </w:rPr>
      </w:pPr>
    </w:p>
    <w:p w14:paraId="0A096989" w14:textId="77777777" w:rsidR="00FB5271" w:rsidRDefault="00FB5271" w:rsidP="00FB5271">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sz w:val="28"/>
          <w:szCs w:val="28"/>
        </w:rPr>
        <w:t xml:space="preserve">Elektronizace příkazových bloků: </w:t>
      </w:r>
      <w:r>
        <w:rPr>
          <w:rFonts w:ascii="Times New Roman" w:hAnsi="Times New Roman"/>
          <w:sz w:val="28"/>
          <w:szCs w:val="28"/>
        </w:rPr>
        <w:t>Vláda provede od ledna 2025 elektronizaci pokutových bloků, které zjednoduší, zrychlí a zprůhlední procesy sankcionování. V současné době se využívají pro tzv. „blokové pokuty“ papírové tiskopisy, což představuje zbytnou administrativní zátěž.</w:t>
      </w:r>
    </w:p>
    <w:p w14:paraId="26227454" w14:textId="77777777" w:rsidR="00FB5271" w:rsidRDefault="00FB5271" w:rsidP="00FB5271">
      <w:pPr>
        <w:pStyle w:val="Odstavecseseznamem"/>
        <w:rPr>
          <w:rFonts w:ascii="Times New Roman" w:hAnsi="Times New Roman"/>
          <w:b/>
          <w:bCs/>
          <w:sz w:val="28"/>
          <w:szCs w:val="28"/>
        </w:rPr>
      </w:pPr>
    </w:p>
    <w:p w14:paraId="12D57FE7" w14:textId="77777777" w:rsidR="00FB5271" w:rsidRDefault="00FB5271" w:rsidP="00FB5271">
      <w:pPr>
        <w:pStyle w:val="Odstavecseseznamem"/>
        <w:numPr>
          <w:ilvl w:val="0"/>
          <w:numId w:val="17"/>
        </w:numPr>
        <w:suppressAutoHyphens/>
        <w:autoSpaceDN w:val="0"/>
        <w:spacing w:after="0" w:line="240" w:lineRule="auto"/>
        <w:contextualSpacing w:val="0"/>
        <w:jc w:val="both"/>
        <w:textAlignment w:val="baseline"/>
      </w:pPr>
      <w:r>
        <w:rPr>
          <w:rFonts w:ascii="Times New Roman" w:hAnsi="Times New Roman"/>
          <w:b/>
          <w:bCs/>
          <w:sz w:val="28"/>
          <w:szCs w:val="28"/>
        </w:rPr>
        <w:lastRenderedPageBreak/>
        <w:t xml:space="preserve">Integrace vymáhání pohledávek: </w:t>
      </w:r>
      <w:r>
        <w:rPr>
          <w:rFonts w:ascii="Times New Roman" w:hAnsi="Times New Roman"/>
          <w:sz w:val="28"/>
          <w:szCs w:val="28"/>
        </w:rPr>
        <w:t>Převzetí tzv. justičních pohledávek Celní správou, která již dnes spravuje pohledávky řady institucí. Agregace správy na jednom místě kromě úspor administrativních výdajů zvyšuje efektivitu vymáhání a je rovněž přívětivější ve vztahu k dlužníkovi, který má jen jednoho věřitele.</w:t>
      </w:r>
    </w:p>
    <w:p w14:paraId="23987C0A" w14:textId="77777777" w:rsidR="00FB5271" w:rsidRDefault="00FB5271" w:rsidP="00FB5271">
      <w:pPr>
        <w:pStyle w:val="Odstavecseseznamem"/>
        <w:rPr>
          <w:rFonts w:ascii="Times New Roman" w:hAnsi="Times New Roman"/>
          <w:b/>
          <w:bCs/>
          <w:sz w:val="28"/>
          <w:szCs w:val="28"/>
        </w:rPr>
      </w:pPr>
    </w:p>
    <w:p w14:paraId="2BDB4B2C"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Zvýšení ceny dálniční známky a její pravidelná valorizace</w:t>
      </w:r>
    </w:p>
    <w:p w14:paraId="16DFB206" w14:textId="77777777" w:rsidR="00FB5271" w:rsidRDefault="00FB5271" w:rsidP="00FB5271">
      <w:pPr>
        <w:spacing w:after="0" w:line="240" w:lineRule="auto"/>
        <w:jc w:val="both"/>
        <w:rPr>
          <w:rFonts w:ascii="Times New Roman" w:hAnsi="Times New Roman"/>
          <w:b/>
          <w:bCs/>
          <w:sz w:val="28"/>
          <w:szCs w:val="28"/>
        </w:rPr>
      </w:pPr>
    </w:p>
    <w:p w14:paraId="1EBD5E42"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Zvýšení ceny dálniční známky o 800 Kč z 1 500 na 2 300 Kč/rok. Zavedení nového pravidelného valorizačního schématu, které bude reflektovat výši inflace.</w:t>
      </w:r>
    </w:p>
    <w:p w14:paraId="61D5C7CA" w14:textId="77777777" w:rsidR="00FB5271" w:rsidRDefault="00FB5271" w:rsidP="00FB5271">
      <w:pPr>
        <w:spacing w:after="0" w:line="240" w:lineRule="auto"/>
        <w:jc w:val="both"/>
        <w:rPr>
          <w:rFonts w:ascii="Times New Roman" w:hAnsi="Times New Roman"/>
          <w:sz w:val="28"/>
          <w:szCs w:val="28"/>
        </w:rPr>
      </w:pPr>
    </w:p>
    <w:p w14:paraId="615E8AF7" w14:textId="738C3A2B" w:rsidR="00FB5271" w:rsidRDefault="00FB5271" w:rsidP="00FB5271">
      <w:pPr>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Současná cena dálniční známky je platná již od roku 2012 a v důsledku vývoje cenové úrovně se propadla její reálná hodnota, jelikož jsou sazby dálničních známek nastaveny fixní částkou a vlivem růstu cenové hladiny jejich výše postupem času reálně klesá, je nutné jejich cenu pravidelně valorizovat. Ke zvýšení ceny dálniční známky bude docházet při kumulativní valorizaci, která umožní zvýšení ceny dálniční známky vždy v řádu celých stokorun.</w:t>
      </w:r>
    </w:p>
    <w:p w14:paraId="030605DE" w14:textId="77777777" w:rsidR="00FB5271" w:rsidRDefault="00FB5271" w:rsidP="00FB5271">
      <w:pPr>
        <w:spacing w:after="0" w:line="240" w:lineRule="auto"/>
        <w:jc w:val="both"/>
        <w:rPr>
          <w:rFonts w:ascii="Times New Roman" w:hAnsi="Times New Roman"/>
          <w:sz w:val="28"/>
          <w:szCs w:val="28"/>
        </w:rPr>
      </w:pPr>
    </w:p>
    <w:p w14:paraId="191BCADA" w14:textId="77777777" w:rsidR="00FB5271" w:rsidRDefault="00FB5271" w:rsidP="00FB5271">
      <w:pPr>
        <w:spacing w:after="0" w:line="240" w:lineRule="auto"/>
        <w:jc w:val="both"/>
        <w:rPr>
          <w:rFonts w:ascii="Times New Roman" w:hAnsi="Times New Roman"/>
          <w:sz w:val="28"/>
          <w:szCs w:val="28"/>
        </w:rPr>
      </w:pPr>
    </w:p>
    <w:p w14:paraId="5A41BF53"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Zvýšení daně z příjmů právnických osob</w:t>
      </w:r>
    </w:p>
    <w:p w14:paraId="2755B17D" w14:textId="77777777" w:rsidR="00FB5271" w:rsidRDefault="00FB5271" w:rsidP="00FB5271">
      <w:pPr>
        <w:spacing w:after="0" w:line="240" w:lineRule="auto"/>
        <w:jc w:val="both"/>
        <w:rPr>
          <w:rFonts w:ascii="Times New Roman" w:hAnsi="Times New Roman"/>
          <w:b/>
          <w:bCs/>
          <w:sz w:val="28"/>
          <w:szCs w:val="28"/>
        </w:rPr>
      </w:pPr>
    </w:p>
    <w:p w14:paraId="1D86D630" w14:textId="77777777" w:rsidR="00FB5271" w:rsidRDefault="00FB5271" w:rsidP="00FB5271">
      <w:pPr>
        <w:spacing w:after="0" w:line="240" w:lineRule="auto"/>
        <w:jc w:val="both"/>
      </w:pPr>
      <w:r>
        <w:rPr>
          <w:rFonts w:ascii="Times New Roman" w:hAnsi="Times New Roman"/>
          <w:sz w:val="28"/>
          <w:szCs w:val="28"/>
        </w:rPr>
        <w:t xml:space="preserve">Vláda navrhuje </w:t>
      </w:r>
      <w:r>
        <w:rPr>
          <w:rFonts w:ascii="Times New Roman" w:hAnsi="Times New Roman"/>
          <w:b/>
          <w:bCs/>
          <w:sz w:val="28"/>
          <w:szCs w:val="28"/>
        </w:rPr>
        <w:t xml:space="preserve">zvýšení daně z příjmů právnických osob z 19 % na 21 %. </w:t>
      </w:r>
      <w:r>
        <w:rPr>
          <w:rFonts w:ascii="Times New Roman" w:hAnsi="Times New Roman"/>
          <w:sz w:val="28"/>
          <w:szCs w:val="28"/>
        </w:rPr>
        <w:t>Současná sazba daně ve výši 19 % patří v srovnání s EU mezi nižší sazby a zvýšením na 21 % se přiblížíme k evropskému průměru. Navýšení sazby daně o 2 procentní body bude podle úpravy rozpočtového určení daní 100% příjmem státního rozpočtu.</w:t>
      </w:r>
    </w:p>
    <w:p w14:paraId="58D3B7BE" w14:textId="77777777" w:rsidR="00FB5271" w:rsidRDefault="00FB5271" w:rsidP="00FB5271">
      <w:pPr>
        <w:spacing w:after="0" w:line="240" w:lineRule="auto"/>
        <w:jc w:val="both"/>
        <w:rPr>
          <w:rFonts w:ascii="Times New Roman" w:hAnsi="Times New Roman"/>
          <w:sz w:val="28"/>
          <w:szCs w:val="28"/>
        </w:rPr>
      </w:pPr>
    </w:p>
    <w:p w14:paraId="4D3CD8BA" w14:textId="77777777" w:rsidR="00FB5271" w:rsidRDefault="00FB5271" w:rsidP="00FB5271">
      <w:pPr>
        <w:spacing w:after="0" w:line="240" w:lineRule="auto"/>
        <w:jc w:val="both"/>
        <w:rPr>
          <w:rFonts w:ascii="Times New Roman" w:hAnsi="Times New Roman"/>
          <w:sz w:val="28"/>
          <w:szCs w:val="28"/>
        </w:rPr>
      </w:pPr>
    </w:p>
    <w:p w14:paraId="32533635" w14:textId="77777777" w:rsidR="00FB5271" w:rsidRDefault="00FB5271" w:rsidP="00FB5271">
      <w:pPr>
        <w:spacing w:after="0" w:line="240" w:lineRule="auto"/>
        <w:jc w:val="both"/>
        <w:rPr>
          <w:rFonts w:ascii="Times New Roman" w:hAnsi="Times New Roman"/>
          <w:b/>
          <w:bCs/>
          <w:sz w:val="28"/>
          <w:szCs w:val="28"/>
        </w:rPr>
      </w:pPr>
      <w:r>
        <w:rPr>
          <w:rFonts w:ascii="Times New Roman" w:hAnsi="Times New Roman"/>
          <w:b/>
          <w:bCs/>
          <w:sz w:val="28"/>
          <w:szCs w:val="28"/>
        </w:rPr>
        <w:t>Zvýšení sazby nemocenského pojištění pro zaměstnance</w:t>
      </w:r>
    </w:p>
    <w:p w14:paraId="3D53528A" w14:textId="77777777" w:rsidR="00FB5271" w:rsidRDefault="00FB5271" w:rsidP="00FB5271">
      <w:pPr>
        <w:spacing w:after="0" w:line="240" w:lineRule="auto"/>
        <w:jc w:val="both"/>
        <w:rPr>
          <w:rFonts w:ascii="Times New Roman" w:hAnsi="Times New Roman"/>
          <w:b/>
          <w:bCs/>
          <w:sz w:val="28"/>
          <w:szCs w:val="28"/>
        </w:rPr>
      </w:pPr>
    </w:p>
    <w:p w14:paraId="40925651" w14:textId="77777777" w:rsidR="00FB5271" w:rsidRDefault="00FB5271" w:rsidP="00FB5271">
      <w:pPr>
        <w:spacing w:after="0" w:line="240" w:lineRule="auto"/>
        <w:jc w:val="both"/>
      </w:pPr>
      <w:r>
        <w:rPr>
          <w:rFonts w:ascii="Times New Roman" w:hAnsi="Times New Roman"/>
          <w:b/>
          <w:bCs/>
          <w:sz w:val="28"/>
          <w:szCs w:val="28"/>
        </w:rPr>
        <w:t xml:space="preserve">Návrh: </w:t>
      </w:r>
      <w:r>
        <w:rPr>
          <w:rFonts w:ascii="Times New Roman" w:hAnsi="Times New Roman"/>
          <w:sz w:val="28"/>
          <w:szCs w:val="28"/>
        </w:rPr>
        <w:t>Znovuzavedení nemocenského pojištění zaměstnanců ve snížené výši 0,6 %.</w:t>
      </w:r>
    </w:p>
    <w:p w14:paraId="490647A1" w14:textId="77777777" w:rsidR="00FB5271" w:rsidRDefault="00FB5271" w:rsidP="00FB5271">
      <w:pPr>
        <w:spacing w:after="0" w:line="240" w:lineRule="auto"/>
        <w:jc w:val="both"/>
        <w:rPr>
          <w:rFonts w:ascii="Times New Roman" w:hAnsi="Times New Roman"/>
          <w:sz w:val="28"/>
          <w:szCs w:val="28"/>
        </w:rPr>
      </w:pPr>
    </w:p>
    <w:p w14:paraId="10F6BC0A" w14:textId="77777777" w:rsidR="00FB5271" w:rsidRDefault="00FB5271" w:rsidP="00FB5271">
      <w:pPr>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Snížení sazby nemocenského pojištění pro zaměstnance v roce 2009 bylo nesystémovým krokem, který tehdy kritizovali i sociální partneři a vedlo k nerovnováze systému nemocenského pojištění. Sazba nemocenského pojištění placená zaměstnavateli se v roce 2019 snížila z 2,3 % vyměřovacího základu na 2,1 % jako kompenzace za zrušení karenční doby. Díky tomuto kroku a zavedení dalších dávek nemocenského pojištění (např. zavedení a poté prodloužení otcovské či zavedení pečovatelské dovolené) vykazuje od roku 2019 účet nemocenského pojištění záporné saldo, v loňském roce zhruba -8 mld. Kč. Zavedením tohoto opatření se očekává vyrovnání bilance účtu.</w:t>
      </w:r>
    </w:p>
    <w:p w14:paraId="64988939" w14:textId="77777777" w:rsidR="00FB5271" w:rsidRDefault="00FB5271" w:rsidP="00FB5271">
      <w:pPr>
        <w:spacing w:after="0" w:line="240" w:lineRule="auto"/>
        <w:jc w:val="both"/>
        <w:rPr>
          <w:rFonts w:ascii="Times New Roman" w:hAnsi="Times New Roman"/>
          <w:sz w:val="28"/>
          <w:szCs w:val="28"/>
        </w:rPr>
      </w:pPr>
    </w:p>
    <w:p w14:paraId="4AD53562" w14:textId="77777777" w:rsidR="00FB5271" w:rsidRDefault="00FB5271" w:rsidP="00FB5271">
      <w:pPr>
        <w:spacing w:after="0" w:line="240" w:lineRule="auto"/>
        <w:jc w:val="both"/>
        <w:rPr>
          <w:rFonts w:ascii="Times New Roman" w:hAnsi="Times New Roman"/>
          <w:sz w:val="28"/>
          <w:szCs w:val="28"/>
        </w:rPr>
      </w:pPr>
    </w:p>
    <w:p w14:paraId="706DDD18" w14:textId="77777777" w:rsidR="00FB5271" w:rsidRDefault="00FB5271" w:rsidP="00FB5271">
      <w:pPr>
        <w:tabs>
          <w:tab w:val="left" w:pos="1701"/>
          <w:tab w:val="left" w:pos="3402"/>
          <w:tab w:val="left" w:pos="5103"/>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lastRenderedPageBreak/>
        <w:t>Sazby</w:t>
      </w:r>
    </w:p>
    <w:p w14:paraId="41C7E285"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nemocenského</w:t>
      </w:r>
      <w:r>
        <w:rPr>
          <w:rFonts w:ascii="Times New Roman" w:hAnsi="Times New Roman"/>
          <w:b/>
          <w:bCs/>
          <w:sz w:val="24"/>
          <w:szCs w:val="24"/>
        </w:rPr>
        <w:tab/>
        <w:t>do 2008</w:t>
      </w:r>
      <w:r>
        <w:rPr>
          <w:rFonts w:ascii="Times New Roman" w:hAnsi="Times New Roman"/>
          <w:b/>
          <w:bCs/>
          <w:sz w:val="24"/>
          <w:szCs w:val="24"/>
        </w:rPr>
        <w:tab/>
        <w:t>2009 -</w:t>
      </w:r>
      <w:r>
        <w:rPr>
          <w:rFonts w:ascii="Times New Roman" w:hAnsi="Times New Roman"/>
          <w:b/>
          <w:bCs/>
          <w:sz w:val="24"/>
          <w:szCs w:val="24"/>
        </w:rPr>
        <w:tab/>
        <w:t>od 1.7.2019</w:t>
      </w:r>
      <w:r>
        <w:rPr>
          <w:rFonts w:ascii="Times New Roman" w:hAnsi="Times New Roman"/>
          <w:b/>
          <w:bCs/>
          <w:sz w:val="24"/>
          <w:szCs w:val="24"/>
        </w:rPr>
        <w:tab/>
        <w:t>od 2024</w:t>
      </w:r>
    </w:p>
    <w:p w14:paraId="2C49EB73"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pojištění (v %)</w:t>
      </w:r>
      <w:r>
        <w:rPr>
          <w:rFonts w:ascii="Times New Roman" w:hAnsi="Times New Roman"/>
          <w:b/>
          <w:bCs/>
          <w:sz w:val="24"/>
          <w:szCs w:val="24"/>
        </w:rPr>
        <w:tab/>
      </w:r>
      <w:r>
        <w:rPr>
          <w:rFonts w:ascii="Times New Roman" w:hAnsi="Times New Roman"/>
          <w:b/>
          <w:bCs/>
          <w:sz w:val="24"/>
          <w:szCs w:val="24"/>
        </w:rPr>
        <w:tab/>
        <w:t>30.6.2019</w:t>
      </w:r>
    </w:p>
    <w:p w14:paraId="2ADA5A2B"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4"/>
          <w:szCs w:val="24"/>
        </w:rPr>
      </w:pPr>
    </w:p>
    <w:p w14:paraId="15C1F0BA"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4"/>
          <w:szCs w:val="24"/>
        </w:rPr>
        <w:t>Zaměstnavatel</w:t>
      </w:r>
      <w:r>
        <w:rPr>
          <w:rFonts w:ascii="Times New Roman" w:hAnsi="Times New Roman"/>
          <w:b/>
          <w:bCs/>
          <w:sz w:val="24"/>
          <w:szCs w:val="24"/>
        </w:rPr>
        <w:tab/>
      </w:r>
      <w:r>
        <w:rPr>
          <w:rFonts w:ascii="Times New Roman" w:hAnsi="Times New Roman"/>
          <w:sz w:val="24"/>
          <w:szCs w:val="24"/>
        </w:rPr>
        <w:t xml:space="preserve">   3,3</w:t>
      </w:r>
      <w:r>
        <w:rPr>
          <w:rFonts w:ascii="Times New Roman" w:hAnsi="Times New Roman"/>
          <w:sz w:val="24"/>
          <w:szCs w:val="24"/>
        </w:rPr>
        <w:tab/>
        <w:t xml:space="preserve">   2,3</w:t>
      </w:r>
      <w:r>
        <w:rPr>
          <w:rFonts w:ascii="Times New Roman" w:hAnsi="Times New Roman"/>
          <w:sz w:val="24"/>
          <w:szCs w:val="24"/>
        </w:rPr>
        <w:tab/>
        <w:t xml:space="preserve">     2,1</w:t>
      </w:r>
      <w:r>
        <w:rPr>
          <w:rFonts w:ascii="Times New Roman" w:hAnsi="Times New Roman"/>
          <w:sz w:val="24"/>
          <w:szCs w:val="24"/>
        </w:rPr>
        <w:tab/>
        <w:t xml:space="preserve">    2,1</w:t>
      </w:r>
    </w:p>
    <w:p w14:paraId="4C3CBF86"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4"/>
          <w:szCs w:val="24"/>
        </w:rPr>
      </w:pPr>
    </w:p>
    <w:p w14:paraId="518C5B1C"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4"/>
          <w:szCs w:val="24"/>
        </w:rPr>
        <w:t>Zaměstnanec</w:t>
      </w:r>
      <w:r>
        <w:rPr>
          <w:rFonts w:ascii="Times New Roman" w:hAnsi="Times New Roman"/>
          <w:b/>
          <w:bCs/>
          <w:sz w:val="24"/>
          <w:szCs w:val="24"/>
        </w:rPr>
        <w:tab/>
        <w:t xml:space="preserve">   </w:t>
      </w:r>
      <w:r>
        <w:rPr>
          <w:rFonts w:ascii="Times New Roman" w:hAnsi="Times New Roman"/>
          <w:sz w:val="24"/>
          <w:szCs w:val="24"/>
        </w:rPr>
        <w:t>1,1</w:t>
      </w:r>
      <w:r>
        <w:rPr>
          <w:rFonts w:ascii="Times New Roman" w:hAnsi="Times New Roman"/>
          <w:sz w:val="24"/>
          <w:szCs w:val="24"/>
        </w:rPr>
        <w:tab/>
        <w:t xml:space="preserve">   0</w:t>
      </w:r>
      <w:r>
        <w:rPr>
          <w:rFonts w:ascii="Times New Roman" w:hAnsi="Times New Roman"/>
          <w:sz w:val="24"/>
          <w:szCs w:val="24"/>
        </w:rPr>
        <w:tab/>
        <w:t xml:space="preserve">    0</w:t>
      </w:r>
      <w:r>
        <w:rPr>
          <w:rFonts w:ascii="Times New Roman" w:hAnsi="Times New Roman"/>
          <w:sz w:val="24"/>
          <w:szCs w:val="24"/>
        </w:rPr>
        <w:tab/>
        <w:t xml:space="preserve">    0,6</w:t>
      </w:r>
    </w:p>
    <w:p w14:paraId="10901C70"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4"/>
          <w:szCs w:val="24"/>
        </w:rPr>
      </w:pPr>
    </w:p>
    <w:p w14:paraId="039FB14F"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4"/>
          <w:szCs w:val="24"/>
        </w:rPr>
      </w:pPr>
    </w:p>
    <w:p w14:paraId="2061D527"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4"/>
          <w:szCs w:val="24"/>
        </w:rPr>
        <w:t xml:space="preserve">Modelový příklad: </w:t>
      </w:r>
      <w:r>
        <w:rPr>
          <w:rFonts w:ascii="Times New Roman" w:hAnsi="Times New Roman"/>
          <w:sz w:val="24"/>
          <w:szCs w:val="24"/>
        </w:rPr>
        <w:t>Průměrná hrubá mzda za rok 2022 dle ČSÚ činí 40 353 Kč měsíčně, dopady na čistý příjem takového zaměstnance jsou 242 Kč měsíčně (0,6 %).</w:t>
      </w:r>
    </w:p>
    <w:p w14:paraId="643B0E82"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4"/>
          <w:szCs w:val="24"/>
        </w:rPr>
      </w:pPr>
    </w:p>
    <w:p w14:paraId="48A88D28"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4"/>
          <w:szCs w:val="24"/>
        </w:rPr>
      </w:pPr>
    </w:p>
    <w:p w14:paraId="5602D49C"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4"/>
          <w:szCs w:val="24"/>
        </w:rPr>
      </w:pPr>
    </w:p>
    <w:p w14:paraId="053C2202"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Zvýšení daně z nemovitých věcí a zavedení pravidelné valorizace</w:t>
      </w:r>
    </w:p>
    <w:p w14:paraId="6EF15E78"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3CC22731"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Návrh: </w:t>
      </w:r>
      <w:r>
        <w:rPr>
          <w:rFonts w:ascii="Times New Roman" w:hAnsi="Times New Roman"/>
          <w:sz w:val="28"/>
          <w:szCs w:val="28"/>
        </w:rPr>
        <w:t>Zvýšení sazeb daně z nemovitých věcí až na dvojnásobek plně ve prospěch státního rozpočtu. Zavedení automatické valorizace daňové povinnosti podle inflace.</w:t>
      </w:r>
    </w:p>
    <w:p w14:paraId="7F66578B"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14395A0C"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V souladu s doporučeními z NERV vláda navrhuje zavést sazbě daně tzv státní koeficient ve výši 1, jehož inkaso bude 100% příjmem státu Do současnosti přitom bylo nastavení daně pro státní rozpočet ztrátové, neboť její správa, kterou vykonávají finanční úřady, stojí 1,2 mld. Kč ročně, zatímco inkaso bylo 100% příjmem obcí. Obecní rozpočty zavedení státního koeficientu rozpočtově nijak nepoškodí a bude jim nadále náležet dosavadní inkaso daně.</w:t>
      </w:r>
    </w:p>
    <w:p w14:paraId="77403D39"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76799CC1"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r>
        <w:rPr>
          <w:rFonts w:ascii="Times New Roman" w:hAnsi="Times New Roman"/>
          <w:sz w:val="28"/>
          <w:szCs w:val="28"/>
        </w:rPr>
        <w:t>Od roku 2025 dále vláda navrhuje zavést podle růstu inflace automatický valorizační mechanismus daně tzv. inflačním koeficientem. Tímto krokem se má předejít situaci, kdy uvalovaná daň v průběhu času reálně klesá (většina sazeb daně nevzrostla od roku 2010).</w:t>
      </w:r>
    </w:p>
    <w:p w14:paraId="327F8B6E"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6214C36A"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r>
        <w:rPr>
          <w:rFonts w:ascii="Times New Roman" w:hAnsi="Times New Roman"/>
          <w:b/>
          <w:bCs/>
          <w:sz w:val="28"/>
          <w:szCs w:val="28"/>
        </w:rPr>
        <w:t xml:space="preserve">Modelový příklad: </w:t>
      </w:r>
      <w:r>
        <w:rPr>
          <w:rFonts w:ascii="Times New Roman" w:hAnsi="Times New Roman"/>
          <w:sz w:val="28"/>
          <w:szCs w:val="28"/>
        </w:rPr>
        <w:t>V praxi to znamená, že uplatňuje</w:t>
      </w:r>
      <w:r>
        <w:rPr>
          <w:rFonts w:ascii="Times New Roman" w:hAnsi="Times New Roman"/>
          <w:b/>
          <w:bCs/>
          <w:sz w:val="28"/>
          <w:szCs w:val="28"/>
        </w:rPr>
        <w:t>-</w:t>
      </w:r>
      <w:r>
        <w:rPr>
          <w:rFonts w:ascii="Times New Roman" w:hAnsi="Times New Roman"/>
          <w:sz w:val="28"/>
          <w:szCs w:val="28"/>
        </w:rPr>
        <w:t>li obec místní koeficient ve výši 3, inkasuje trojnásobek základní sazby a zavedením státního koeficientu vzroste celková daň o třetinu. Ve většině případů, kdy obec uplatňuje pouze základní sazbu daně, tak dojde zavedením státního koeficientu ke zdvojnásobení daně, což zpravidla bude znamenat zvýšený výdaj majitele řádově ve stokorunách ročně. Například za průměrný sedmdesátimetrový byt v Praze 1 dnes majitel zaplatí cca 1 700 Kč ročně, nově bude platit cca 2 500 Kč. Za podobně velký byt v Brně zaplatí dnes majitel zhruba 600 Kč, nově to bude asi 1 200 Kč. V Ostravě a v Plzni se daň liší podle městské části. V obou městech může dosahovat až 770 Kč s tím, že nově to bude zhruba1 450 Kč.</w:t>
      </w:r>
    </w:p>
    <w:p w14:paraId="21B923B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5A076BBC"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0F13DCD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6D290461" w14:textId="77777777" w:rsidR="00FB5271" w:rsidRDefault="00FB5271" w:rsidP="00FB5271">
      <w:pPr>
        <w:tabs>
          <w:tab w:val="left" w:pos="2268"/>
          <w:tab w:val="left" w:pos="3969"/>
          <w:tab w:val="left" w:pos="5670"/>
          <w:tab w:val="left" w:pos="7371"/>
        </w:tabs>
        <w:spacing w:after="0" w:line="240" w:lineRule="auto"/>
        <w:jc w:val="both"/>
      </w:pPr>
    </w:p>
    <w:p w14:paraId="5199AC26"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lastRenderedPageBreak/>
        <w:t xml:space="preserve">Mezinárodní srovnání: </w:t>
      </w:r>
      <w:r>
        <w:rPr>
          <w:rFonts w:ascii="Times New Roman" w:hAnsi="Times New Roman"/>
          <w:sz w:val="28"/>
          <w:szCs w:val="28"/>
        </w:rPr>
        <w:t xml:space="preserve">Daňové zatížení segmentu nemovitostí v ČR je dlouhodobě bagatelní, což dále zvýraznilo zrušení daně z nabytí nemovitých věcí v roce 2020. Podíl výnosu běžné daně z nemovitých věcí v ČR na celkovém daňovém výnosu za rok 2020 dosahoval podílu ve výši 0,6 %, což nás řadilo na 24. místo ze zemí EU. </w:t>
      </w:r>
    </w:p>
    <w:p w14:paraId="0F6E0433"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0AA3DC91"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4B515774"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Zrušení a snížení daňových výjimek</w:t>
      </w:r>
    </w:p>
    <w:p w14:paraId="0A94E080"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0C753C6F"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Omezení výjimek na dani z příjmů právnických osob</w:t>
      </w:r>
    </w:p>
    <w:p w14:paraId="089C2F11"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6AC65040" w14:textId="77777777" w:rsidR="00FB5271" w:rsidRDefault="00FB5271" w:rsidP="00FB5271">
      <w:pPr>
        <w:pStyle w:val="Odstavecseseznamem"/>
        <w:numPr>
          <w:ilvl w:val="0"/>
          <w:numId w:val="18"/>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Vláda navrhuje omezující daňovou uznatelnost při nákupu osobních automobilů pro podnikatelské účely na první 2 miliony Kč z ceny vozu. Hlavním důvodem jsou časté situace, kdy si podnikatelé pořizují luxusní vozy k soukromému užívání, čímž se vytrácí původní záměr daňového zvýhodnění nákupu automobilů tzv. „na firmu“. Například v roce 2020 bylo 96 ze 101 nové registrovaných Ferrari v ČR registrováno na firmu. Fakticky se jedná o částečný návrat před rok 2007, kdy platilo v zákoně o dani z příjmů pro odpisování automobilů omezení ve výši 1,5 mil. Kč.</w:t>
      </w:r>
    </w:p>
    <w:p w14:paraId="5501A67A"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3B5C80A5"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66C00A1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Zrušení či snížení úlev na dani z příjmů fyzických osob</w:t>
      </w:r>
    </w:p>
    <w:p w14:paraId="7050E202"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69FB6102" w14:textId="77777777" w:rsidR="00FB5271" w:rsidRDefault="00FB5271" w:rsidP="00FB5271">
      <w:pPr>
        <w:pStyle w:val="Odstavecseseznamem"/>
        <w:numPr>
          <w:ilvl w:val="0"/>
          <w:numId w:val="18"/>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S ohledem na negativní efekty daňové výjimky vláda navrhuje parametrické </w:t>
      </w:r>
      <w:r>
        <w:rPr>
          <w:rFonts w:ascii="Times New Roman" w:hAnsi="Times New Roman"/>
          <w:b/>
          <w:bCs/>
          <w:sz w:val="28"/>
          <w:szCs w:val="28"/>
        </w:rPr>
        <w:t>snížení slevy na dani na manželku</w:t>
      </w:r>
      <w:r>
        <w:rPr>
          <w:rFonts w:ascii="Times New Roman" w:hAnsi="Times New Roman"/>
          <w:sz w:val="28"/>
          <w:szCs w:val="28"/>
        </w:rPr>
        <w:t>, která se nově omezí výhradně na manžela/manželku pečující o dítě pouze do 3 let věku. Hlavním důvodem omezení je, že stávající nastavení výjimky odrazuje poplatníky od vstupu na trh práce a započetí významnější výdělečné činnosti, protože při překročení limitní hranice příjmů nárok na slevu zaniká.</w:t>
      </w:r>
    </w:p>
    <w:p w14:paraId="6BC57459" w14:textId="77777777" w:rsidR="00FB5271" w:rsidRDefault="00FB5271" w:rsidP="00FB5271">
      <w:pPr>
        <w:tabs>
          <w:tab w:val="left" w:pos="2268"/>
          <w:tab w:val="left" w:pos="3969"/>
          <w:tab w:val="left" w:pos="5670"/>
          <w:tab w:val="left" w:pos="7371"/>
        </w:tabs>
        <w:spacing w:after="0" w:line="240" w:lineRule="auto"/>
        <w:ind w:left="360"/>
        <w:jc w:val="both"/>
        <w:rPr>
          <w:rFonts w:ascii="Times New Roman" w:hAnsi="Times New Roman"/>
          <w:b/>
          <w:bCs/>
          <w:sz w:val="28"/>
          <w:szCs w:val="28"/>
        </w:rPr>
      </w:pPr>
    </w:p>
    <w:p w14:paraId="110D6662" w14:textId="77777777" w:rsidR="00FB5271" w:rsidRDefault="00FB5271" w:rsidP="00FB5271">
      <w:pPr>
        <w:pStyle w:val="Odstavecseseznamem"/>
        <w:numPr>
          <w:ilvl w:val="0"/>
          <w:numId w:val="18"/>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S ohledem na neplnění účelu daňové výjimky vláda navrhuje </w:t>
      </w:r>
      <w:r>
        <w:rPr>
          <w:rFonts w:ascii="Times New Roman" w:hAnsi="Times New Roman"/>
          <w:b/>
          <w:bCs/>
          <w:sz w:val="28"/>
          <w:szCs w:val="28"/>
        </w:rPr>
        <w:t>zrušení tzv. školkovného</w:t>
      </w:r>
      <w:r>
        <w:rPr>
          <w:rFonts w:ascii="Times New Roman" w:hAnsi="Times New Roman"/>
          <w:sz w:val="28"/>
          <w:szCs w:val="28"/>
        </w:rPr>
        <w:t xml:space="preserve"> neboli slevy na dani za umístění dítěte do předškolního zařízení. Hlavním důvodem je, že benefit zpravidla uplatňují středně a vysokopříjmové skupiny obyvatel s dostatečně vysokým základem daně, zatímco ti nízkopříjmoví např. samoživitelé pracující na částečné úvazky, po uplatnění ostatních slev tuto podporu zpravidla pro nízký základ daně nevyužijí. Při sazbě DPFO 15 % odpovídá částka základní slevy na dani na poplatníka, tj. 30 840,- Kč ročně, základu daně ve výši 205 600 Kč. Přepočtem na měsíc jde o příjem na úrovni minimální mzdy. Pro tyto nízkopříjmové skupiny poplatníků tedy školkovné žádnou výhodou není, protože si ho vzhledem k nízké dani nemohou uplatnit. Školkovné je proto dobrým příkladem toho, že daňové nástroje nejsou vždy nejvhodnějším nástrojem realizace sociální politiky. Vláda počítá s tím, že současně dojde ke zvýšení kapacity předškolních zařízení.  </w:t>
      </w:r>
    </w:p>
    <w:p w14:paraId="4A1D6E61" w14:textId="77777777" w:rsidR="00FB5271" w:rsidRDefault="00FB5271" w:rsidP="00FB5271">
      <w:pPr>
        <w:pStyle w:val="Odstavecseseznamem"/>
        <w:rPr>
          <w:rFonts w:ascii="Times New Roman" w:hAnsi="Times New Roman"/>
          <w:sz w:val="28"/>
          <w:szCs w:val="28"/>
        </w:rPr>
      </w:pPr>
    </w:p>
    <w:p w14:paraId="66206297" w14:textId="77777777" w:rsidR="00FB5271" w:rsidRDefault="00FB5271" w:rsidP="00FB5271">
      <w:pPr>
        <w:pStyle w:val="Odstavecseseznamem"/>
        <w:numPr>
          <w:ilvl w:val="0"/>
          <w:numId w:val="18"/>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S ohledem na negativní efekty daňové výjimky vláda navrhuje </w:t>
      </w:r>
      <w:r>
        <w:rPr>
          <w:rFonts w:ascii="Times New Roman" w:hAnsi="Times New Roman"/>
          <w:b/>
          <w:bCs/>
          <w:sz w:val="28"/>
          <w:szCs w:val="28"/>
        </w:rPr>
        <w:t xml:space="preserve">zrušit slevu na dani na studenta. </w:t>
      </w:r>
      <w:r>
        <w:rPr>
          <w:rFonts w:ascii="Times New Roman" w:hAnsi="Times New Roman"/>
          <w:sz w:val="28"/>
          <w:szCs w:val="28"/>
        </w:rPr>
        <w:t xml:space="preserve">Hlavním důvodem je nízká efektivita vůči klasickým studentům, kterým by v principu postačovala standardní sleva na poplatníka, která plně eliminuje zdanění u výdělku 205 600 Kč ročně což odpovídá průměrnému měsíčnímu přivýdělku ve výši cca 17 100 Kč. Tj. dodatečnou slevu na studenta využijí jen ti studenti, kteří vydělávají částky větší, naopak slabě finančně saturovaní studenti tuto slevu nevyužijí vůbec. Do okruhu uživatelů pak budou patřit mimo jiné i osoby, které mají status studenta jen formálně (tj. sice jsou k studiu zapsaní, ale vzdělávací zařízení již nenavštěvují). </w:t>
      </w:r>
    </w:p>
    <w:p w14:paraId="03733584" w14:textId="77777777" w:rsidR="00FB5271" w:rsidRDefault="00FB5271" w:rsidP="00FB5271">
      <w:pPr>
        <w:pStyle w:val="Odstavecseseznamem"/>
        <w:rPr>
          <w:rFonts w:ascii="Times New Roman" w:hAnsi="Times New Roman"/>
          <w:sz w:val="28"/>
          <w:szCs w:val="28"/>
        </w:rPr>
      </w:pPr>
    </w:p>
    <w:p w14:paraId="75D8C9B0" w14:textId="77777777" w:rsidR="00FB5271" w:rsidRDefault="00FB5271" w:rsidP="00FB5271">
      <w:pPr>
        <w:pStyle w:val="Odstavecseseznamem"/>
        <w:numPr>
          <w:ilvl w:val="0"/>
          <w:numId w:val="18"/>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Vláda navrhuje </w:t>
      </w:r>
      <w:r>
        <w:rPr>
          <w:rFonts w:ascii="Times New Roman" w:hAnsi="Times New Roman"/>
          <w:b/>
          <w:bCs/>
          <w:sz w:val="28"/>
          <w:szCs w:val="28"/>
        </w:rPr>
        <w:t>zrušení osvobození nepeněžních benefitů zaměstnancům</w:t>
      </w:r>
      <w:r>
        <w:rPr>
          <w:rFonts w:ascii="Times New Roman" w:hAnsi="Times New Roman"/>
          <w:sz w:val="28"/>
          <w:szCs w:val="28"/>
        </w:rPr>
        <w:t>, neboť jde o selektivní daňovou výjimku, kterou efektivněji uplatňují větší zaměstnavatelé. U malých firem či živnostníků s malým počtem zaměstnanců není totiž efektivní administrovat tyto daňové benefity tak, aby byly využity naplno. Některá nepeněžní plnění jsou navíc dnes osvobozena od daně do limitu 20 000 Kč/rok, zatímco jiná (např. sportovní a kulturní akce) jsou „bez limitu“ osvobozena, tj. je vytvořen prostor pro poskytování nepeněžních plnění vysoké hodnoty, které pochopitelně nečerpají průměrně placení zaměstnanci.</w:t>
      </w:r>
    </w:p>
    <w:p w14:paraId="18BE62BF" w14:textId="77777777" w:rsidR="00FB5271" w:rsidRDefault="00FB5271" w:rsidP="00FB5271">
      <w:pPr>
        <w:pStyle w:val="Odstavecseseznamem"/>
        <w:rPr>
          <w:rFonts w:ascii="Times New Roman" w:hAnsi="Times New Roman"/>
          <w:sz w:val="28"/>
          <w:szCs w:val="28"/>
        </w:rPr>
      </w:pPr>
    </w:p>
    <w:p w14:paraId="5ADEEBF6" w14:textId="77777777" w:rsidR="00FB5271" w:rsidRDefault="00FB5271" w:rsidP="00FB5271">
      <w:pPr>
        <w:pStyle w:val="Odstavecseseznamem"/>
        <w:numPr>
          <w:ilvl w:val="0"/>
          <w:numId w:val="18"/>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S ohledem na neplnění účelu daňové výjimky vláda navrhuje </w:t>
      </w:r>
      <w:r>
        <w:rPr>
          <w:rFonts w:ascii="Times New Roman" w:hAnsi="Times New Roman"/>
          <w:b/>
          <w:bCs/>
          <w:sz w:val="28"/>
          <w:szCs w:val="28"/>
        </w:rPr>
        <w:t xml:space="preserve">zrušení osvobození nadlimitních stravenek. </w:t>
      </w:r>
      <w:r>
        <w:rPr>
          <w:rFonts w:ascii="Times New Roman" w:hAnsi="Times New Roman"/>
          <w:sz w:val="28"/>
          <w:szCs w:val="28"/>
        </w:rPr>
        <w:t xml:space="preserve">Ty dnes na rozdíl od </w:t>
      </w:r>
      <w:proofErr w:type="spellStart"/>
      <w:r>
        <w:rPr>
          <w:rFonts w:ascii="Times New Roman" w:hAnsi="Times New Roman"/>
          <w:sz w:val="28"/>
          <w:szCs w:val="28"/>
        </w:rPr>
        <w:t>stravenkového</w:t>
      </w:r>
      <w:proofErr w:type="spellEnd"/>
      <w:r>
        <w:rPr>
          <w:rFonts w:ascii="Times New Roman" w:hAnsi="Times New Roman"/>
          <w:sz w:val="28"/>
          <w:szCs w:val="28"/>
        </w:rPr>
        <w:t xml:space="preserve">  paušálu mohou být poskytovány bez limitu, čímž mohou tyto stravovací benefity činit řádově i tisíce korun denně (tzv. manažerské stravenky). V souvislosti s tím dojde i k úpravě stravovacího paušálu tak, aby ho mohly adekvátně čerpat i osoby na delších pracovních směnách.</w:t>
      </w:r>
    </w:p>
    <w:p w14:paraId="350F2D83" w14:textId="77777777" w:rsidR="00FB5271" w:rsidRDefault="00FB5271" w:rsidP="00FB5271">
      <w:pPr>
        <w:pStyle w:val="Odstavecseseznamem"/>
        <w:rPr>
          <w:rFonts w:ascii="Times New Roman" w:hAnsi="Times New Roman"/>
          <w:sz w:val="28"/>
          <w:szCs w:val="28"/>
        </w:rPr>
      </w:pPr>
    </w:p>
    <w:p w14:paraId="2251B8B5" w14:textId="77777777" w:rsidR="00FB5271" w:rsidRDefault="00FB5271" w:rsidP="00FB5271">
      <w:pPr>
        <w:pStyle w:val="Odstavecseseznamem"/>
        <w:numPr>
          <w:ilvl w:val="0"/>
          <w:numId w:val="18"/>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V souladu s principy ochrany veřejného zdraví a bojem se závislostmi vláda navrhuje </w:t>
      </w:r>
      <w:r>
        <w:rPr>
          <w:rFonts w:ascii="Times New Roman" w:hAnsi="Times New Roman"/>
          <w:b/>
          <w:bCs/>
          <w:sz w:val="28"/>
          <w:szCs w:val="28"/>
        </w:rPr>
        <w:t xml:space="preserve">snížit limit pro osvobození příjmů z tombol a hazardních her, </w:t>
      </w:r>
      <w:r>
        <w:rPr>
          <w:rFonts w:ascii="Times New Roman" w:hAnsi="Times New Roman"/>
          <w:sz w:val="28"/>
          <w:szCs w:val="28"/>
        </w:rPr>
        <w:t>a to ze stávajícího 1 mil. Kč na 50 000 Kč. Úplné zrušení tohoto osvobození by již nebylo produktivní, neboť by znamenalo výraznou dodatečnou administrativní zátěž pro stát, kdy by každý hráč musel podávat daňové přiznání a v něm dokládat nejen své příjmy, ale i výdaje (tj. každé „zatočení“ v automatu).</w:t>
      </w:r>
    </w:p>
    <w:p w14:paraId="3427C17C" w14:textId="77777777" w:rsidR="00FB5271" w:rsidRDefault="00FB5271" w:rsidP="00FB5271">
      <w:pPr>
        <w:pStyle w:val="Odstavecseseznamem"/>
        <w:rPr>
          <w:rFonts w:ascii="Times New Roman" w:hAnsi="Times New Roman"/>
          <w:sz w:val="28"/>
          <w:szCs w:val="28"/>
        </w:rPr>
      </w:pPr>
    </w:p>
    <w:p w14:paraId="743681B1" w14:textId="77777777" w:rsidR="00FB5271" w:rsidRDefault="00FB5271" w:rsidP="00FB5271">
      <w:pPr>
        <w:pStyle w:val="Odstavecseseznamem"/>
        <w:numPr>
          <w:ilvl w:val="0"/>
          <w:numId w:val="18"/>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Vláda navrhuje </w:t>
      </w:r>
      <w:r>
        <w:rPr>
          <w:rFonts w:ascii="Times New Roman" w:hAnsi="Times New Roman"/>
          <w:b/>
          <w:bCs/>
          <w:sz w:val="28"/>
          <w:szCs w:val="28"/>
        </w:rPr>
        <w:t xml:space="preserve">zrušení odpočtu za členské příspěvky odborům, </w:t>
      </w:r>
      <w:r>
        <w:rPr>
          <w:rFonts w:ascii="Times New Roman" w:hAnsi="Times New Roman"/>
          <w:sz w:val="28"/>
          <w:szCs w:val="28"/>
        </w:rPr>
        <w:t>jde o vysoce selektivní výjimku. Mnozí lidé jsou členy různých neziskových organizací – např. výchova a vzdělávání mládeže, sport apod. a žádný odpočet od základu daně uplatnit nemohou. Je tedy obtížné zdůvodnit, proč právě jen tento jeden neziskový subjekt má právo na toto zvýhodnění.</w:t>
      </w:r>
    </w:p>
    <w:p w14:paraId="6A1A66B9" w14:textId="77777777" w:rsidR="00FB5271" w:rsidRDefault="00FB5271" w:rsidP="00FB5271">
      <w:pPr>
        <w:pStyle w:val="Odstavecseseznamem"/>
        <w:rPr>
          <w:rFonts w:ascii="Times New Roman" w:hAnsi="Times New Roman"/>
          <w:sz w:val="28"/>
          <w:szCs w:val="28"/>
        </w:rPr>
      </w:pPr>
    </w:p>
    <w:p w14:paraId="11E3B821"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681B7332"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Další změny v daňových výjimkách bez významného dopadu na státní rozpočet</w:t>
      </w:r>
    </w:p>
    <w:p w14:paraId="001F41A0"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4A253F49" w14:textId="77777777" w:rsidR="00FB5271" w:rsidRDefault="00FB5271" w:rsidP="00FB5271">
      <w:pPr>
        <w:pStyle w:val="Odstavecseseznamem"/>
        <w:numPr>
          <w:ilvl w:val="0"/>
          <w:numId w:val="19"/>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Zrušení osvobození náhrady za vyvlastnění, které bude nově ve stejném daňovém režimu jako prodej majetku.</w:t>
      </w:r>
    </w:p>
    <w:p w14:paraId="11F9BB26" w14:textId="77777777" w:rsidR="00FB5271" w:rsidRDefault="00FB5271" w:rsidP="00FB5271">
      <w:pPr>
        <w:tabs>
          <w:tab w:val="left" w:pos="2268"/>
          <w:tab w:val="left" w:pos="3969"/>
          <w:tab w:val="left" w:pos="5670"/>
          <w:tab w:val="left" w:pos="7371"/>
        </w:tabs>
        <w:spacing w:after="0" w:line="240" w:lineRule="auto"/>
        <w:ind w:left="360"/>
        <w:jc w:val="both"/>
        <w:rPr>
          <w:rFonts w:ascii="Times New Roman" w:hAnsi="Times New Roman"/>
          <w:b/>
          <w:bCs/>
          <w:sz w:val="28"/>
          <w:szCs w:val="28"/>
        </w:rPr>
      </w:pPr>
    </w:p>
    <w:p w14:paraId="348D6AAF" w14:textId="77777777" w:rsidR="00FB5271" w:rsidRDefault="00FB5271" w:rsidP="00FB5271">
      <w:pPr>
        <w:pStyle w:val="Odstavecseseznamem"/>
        <w:numPr>
          <w:ilvl w:val="0"/>
          <w:numId w:val="19"/>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Zrušení zvláštního daňového režimu pro plat prezidenta republiky, který bude nově standardně daněn jako příjem zaměstnance. Renta bude navázána na vývoj platu ústavních činitelů.</w:t>
      </w:r>
    </w:p>
    <w:p w14:paraId="30429929" w14:textId="77777777" w:rsidR="00FB5271" w:rsidRDefault="00FB5271" w:rsidP="00FB5271">
      <w:pPr>
        <w:pStyle w:val="Odstavecseseznamem"/>
        <w:rPr>
          <w:rFonts w:ascii="Times New Roman" w:hAnsi="Times New Roman"/>
          <w:b/>
          <w:bCs/>
          <w:sz w:val="28"/>
          <w:szCs w:val="28"/>
        </w:rPr>
      </w:pPr>
    </w:p>
    <w:p w14:paraId="05FA8EB8" w14:textId="77777777" w:rsidR="00FB5271" w:rsidRDefault="00FB5271" w:rsidP="00FB5271">
      <w:pPr>
        <w:pStyle w:val="Odstavecseseznamem"/>
        <w:numPr>
          <w:ilvl w:val="0"/>
          <w:numId w:val="19"/>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Zrušení daňové uznatelnosti tichého vína jako daru do 500 Kč na reprezentaci.</w:t>
      </w:r>
    </w:p>
    <w:p w14:paraId="7841CDA1" w14:textId="77777777" w:rsidR="00FB5271" w:rsidRDefault="00FB5271" w:rsidP="00FB5271">
      <w:pPr>
        <w:pStyle w:val="Odstavecseseznamem"/>
        <w:rPr>
          <w:rFonts w:ascii="Times New Roman" w:hAnsi="Times New Roman"/>
          <w:b/>
          <w:bCs/>
          <w:sz w:val="28"/>
          <w:szCs w:val="28"/>
        </w:rPr>
      </w:pPr>
    </w:p>
    <w:p w14:paraId="0F7AA0D0" w14:textId="77777777" w:rsidR="00FB5271" w:rsidRDefault="00FB5271" w:rsidP="00FB5271">
      <w:pPr>
        <w:pStyle w:val="Odstavecseseznamem"/>
        <w:numPr>
          <w:ilvl w:val="0"/>
          <w:numId w:val="19"/>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Zrušení odpočtu úhrad za zkoušky ověřující výsledky dalšího vzdělávání.</w:t>
      </w:r>
    </w:p>
    <w:p w14:paraId="6E7800D6" w14:textId="77777777" w:rsidR="00FB5271" w:rsidRDefault="00FB5271" w:rsidP="00FB5271">
      <w:pPr>
        <w:pStyle w:val="Odstavecseseznamem"/>
        <w:rPr>
          <w:rFonts w:ascii="Times New Roman" w:hAnsi="Times New Roman"/>
          <w:b/>
          <w:bCs/>
          <w:sz w:val="28"/>
          <w:szCs w:val="28"/>
        </w:rPr>
      </w:pPr>
    </w:p>
    <w:p w14:paraId="0CC4F134" w14:textId="77777777" w:rsidR="00FB5271" w:rsidRDefault="00FB5271" w:rsidP="00FB5271">
      <w:pPr>
        <w:pStyle w:val="Odstavecseseznamem"/>
        <w:numPr>
          <w:ilvl w:val="0"/>
          <w:numId w:val="19"/>
        </w:numPr>
        <w:tabs>
          <w:tab w:val="left" w:pos="2268"/>
          <w:tab w:val="left" w:pos="3969"/>
          <w:tab w:val="left" w:pos="5670"/>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Zrušení osvobození mzdového vyrovnání v hornictví a odstupného horníkům.</w:t>
      </w:r>
    </w:p>
    <w:p w14:paraId="7A661B3F" w14:textId="77777777" w:rsidR="00FB5271" w:rsidRDefault="00FB5271" w:rsidP="00FB5271">
      <w:pPr>
        <w:pStyle w:val="Odstavecseseznamem"/>
        <w:rPr>
          <w:rFonts w:ascii="Times New Roman" w:hAnsi="Times New Roman"/>
          <w:sz w:val="28"/>
          <w:szCs w:val="28"/>
        </w:rPr>
      </w:pPr>
    </w:p>
    <w:p w14:paraId="3A304B67" w14:textId="77777777" w:rsidR="00FB5271" w:rsidRDefault="00FB5271" w:rsidP="00FB5271">
      <w:pPr>
        <w:pStyle w:val="Odstavecseseznamem"/>
        <w:numPr>
          <w:ilvl w:val="0"/>
          <w:numId w:val="19"/>
        </w:numPr>
        <w:tabs>
          <w:tab w:val="left" w:pos="2268"/>
          <w:tab w:val="left" w:pos="3969"/>
          <w:tab w:val="left" w:pos="5670"/>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Sjednocení selektivních výjimek do obecného neúčelového limitu do 50 tisíc Kč ročně.</w:t>
      </w:r>
    </w:p>
    <w:p w14:paraId="69C990A6" w14:textId="77777777" w:rsidR="00FB5271" w:rsidRDefault="00FB5271" w:rsidP="00FB5271">
      <w:pPr>
        <w:pStyle w:val="Odstavecseseznamem"/>
        <w:rPr>
          <w:rFonts w:ascii="Times New Roman" w:hAnsi="Times New Roman"/>
          <w:sz w:val="28"/>
          <w:szCs w:val="28"/>
        </w:rPr>
      </w:pPr>
    </w:p>
    <w:p w14:paraId="74BF0F29"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60B59672"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Zrušení či snížení výjimek u spotřebních daní z minerálních olejů</w:t>
      </w:r>
    </w:p>
    <w:p w14:paraId="31598BA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535033C7" w14:textId="77777777" w:rsidR="00FB5271" w:rsidRDefault="00FB5271" w:rsidP="00FB5271">
      <w:pPr>
        <w:pStyle w:val="Odstavecseseznamem"/>
        <w:numPr>
          <w:ilvl w:val="0"/>
          <w:numId w:val="20"/>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S ohledem na snížení cen nafty pro řidiče schválila vláda rychlejší </w:t>
      </w:r>
      <w:r>
        <w:rPr>
          <w:rFonts w:ascii="Times New Roman" w:hAnsi="Times New Roman"/>
          <w:b/>
          <w:bCs/>
          <w:sz w:val="28"/>
          <w:szCs w:val="28"/>
        </w:rPr>
        <w:t xml:space="preserve">návrat spotřební daně z motorové nafty </w:t>
      </w:r>
      <w:r>
        <w:rPr>
          <w:rFonts w:ascii="Times New Roman" w:hAnsi="Times New Roman"/>
          <w:sz w:val="28"/>
          <w:szCs w:val="28"/>
        </w:rPr>
        <w:t>zpět na původní úroveň před invazí Ruska na Ukrajinu dříve než k 1. 1. 2024, a to konkrétně od prvního dne měsíce po účinnosti novely. Snížení daně o 1,50 Kč/l na minimum dané evropskou směrnicí bylo v minulém roce dočasně přijato s cílem zmírnit dopady vysokých cen pohonných hmot a přispět k zajištění konkurenceschopnosti českých autodopravců.</w:t>
      </w:r>
    </w:p>
    <w:p w14:paraId="46DF4185" w14:textId="77777777" w:rsidR="00FB5271" w:rsidRDefault="00FB5271" w:rsidP="00FB5271">
      <w:pPr>
        <w:pStyle w:val="Odstavecseseznamem"/>
        <w:tabs>
          <w:tab w:val="left" w:pos="2268"/>
          <w:tab w:val="left" w:pos="3969"/>
          <w:tab w:val="left" w:pos="5670"/>
          <w:tab w:val="left" w:pos="7371"/>
        </w:tabs>
        <w:spacing w:after="0" w:line="240" w:lineRule="auto"/>
        <w:jc w:val="both"/>
        <w:rPr>
          <w:rFonts w:ascii="Times New Roman" w:hAnsi="Times New Roman"/>
          <w:sz w:val="28"/>
          <w:szCs w:val="28"/>
        </w:rPr>
      </w:pPr>
    </w:p>
    <w:p w14:paraId="7DE15830" w14:textId="77777777" w:rsidR="00FB5271" w:rsidRDefault="00FB5271" w:rsidP="00FB5271">
      <w:pPr>
        <w:pStyle w:val="Odstavecseseznamem"/>
        <w:numPr>
          <w:ilvl w:val="0"/>
          <w:numId w:val="20"/>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Vláda navrhuje </w:t>
      </w:r>
      <w:r>
        <w:rPr>
          <w:rFonts w:ascii="Times New Roman" w:hAnsi="Times New Roman"/>
          <w:b/>
          <w:bCs/>
          <w:sz w:val="28"/>
          <w:szCs w:val="28"/>
        </w:rPr>
        <w:t xml:space="preserve">zrušit osvobození leteckých pohonných hmot </w:t>
      </w:r>
      <w:r>
        <w:rPr>
          <w:rFonts w:ascii="Times New Roman" w:hAnsi="Times New Roman"/>
          <w:sz w:val="28"/>
          <w:szCs w:val="28"/>
        </w:rPr>
        <w:t xml:space="preserve">(letecký benzín, </w:t>
      </w:r>
      <w:proofErr w:type="spellStart"/>
      <w:r>
        <w:rPr>
          <w:rFonts w:ascii="Times New Roman" w:hAnsi="Times New Roman"/>
          <w:sz w:val="28"/>
          <w:szCs w:val="28"/>
        </w:rPr>
        <w:t>kerosen</w:t>
      </w:r>
      <w:proofErr w:type="spellEnd"/>
      <w:r>
        <w:rPr>
          <w:rFonts w:ascii="Times New Roman" w:hAnsi="Times New Roman"/>
          <w:sz w:val="28"/>
          <w:szCs w:val="28"/>
        </w:rPr>
        <w:t>) od spotřební daně u vnitrostátních letů. Stávající směrnice EU obsahuje povinné osvobození tryskového paliva v rámci mezinárodní přepravy a přepravy uvnitř EU. Aktuálně probíhá revize této směrnice na úrovni EU.</w:t>
      </w:r>
    </w:p>
    <w:p w14:paraId="49013794" w14:textId="77777777" w:rsidR="00FB5271" w:rsidRDefault="00FB5271" w:rsidP="00FB5271">
      <w:pPr>
        <w:pStyle w:val="Odstavecseseznamem"/>
        <w:rPr>
          <w:rFonts w:ascii="Times New Roman" w:hAnsi="Times New Roman"/>
          <w:b/>
          <w:bCs/>
          <w:sz w:val="28"/>
          <w:szCs w:val="28"/>
        </w:rPr>
      </w:pPr>
    </w:p>
    <w:p w14:paraId="4EBDF245" w14:textId="77777777" w:rsidR="00FB5271" w:rsidRDefault="00FB5271" w:rsidP="00FB5271">
      <w:pPr>
        <w:pStyle w:val="Odstavecseseznamem"/>
        <w:numPr>
          <w:ilvl w:val="0"/>
          <w:numId w:val="20"/>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 xml:space="preserve">Vláda navrhuje stanovit </w:t>
      </w:r>
      <w:r>
        <w:rPr>
          <w:rFonts w:ascii="Times New Roman" w:hAnsi="Times New Roman"/>
          <w:b/>
          <w:bCs/>
          <w:sz w:val="28"/>
          <w:szCs w:val="28"/>
        </w:rPr>
        <w:t>vratky za tzv. zelenou naftu podle normativů</w:t>
      </w:r>
      <w:r>
        <w:rPr>
          <w:rFonts w:ascii="Times New Roman" w:hAnsi="Times New Roman"/>
          <w:sz w:val="28"/>
          <w:szCs w:val="28"/>
        </w:rPr>
        <w:t>, čímž odpadne podnikatelům povinnost vést evidence skutečné spotřeby minerálních olejů a dojde tak k výraznému snížení administrativy na straně podnikatelů i státu. Zelenou naftou se zde rozumí nárok zemědělců na vrácení části spotřební daně z minerálních olejů spotřebovaných pro zemědělskou prvovýrobu (vyjma rybníkářství).</w:t>
      </w:r>
    </w:p>
    <w:p w14:paraId="6804222C" w14:textId="77777777" w:rsidR="00FB5271" w:rsidRDefault="00FB5271" w:rsidP="00FB5271">
      <w:pPr>
        <w:pStyle w:val="Odstavecseseznamem"/>
        <w:rPr>
          <w:rFonts w:ascii="Times New Roman" w:hAnsi="Times New Roman"/>
          <w:b/>
          <w:bCs/>
          <w:sz w:val="28"/>
          <w:szCs w:val="28"/>
        </w:rPr>
      </w:pPr>
    </w:p>
    <w:p w14:paraId="019FDB6A" w14:textId="77777777" w:rsidR="00FB5271" w:rsidRDefault="00FB5271" w:rsidP="00FB5271">
      <w:pPr>
        <w:pStyle w:val="Odstavecseseznamem"/>
        <w:numPr>
          <w:ilvl w:val="0"/>
          <w:numId w:val="20"/>
        </w:numPr>
        <w:tabs>
          <w:tab w:val="left" w:pos="2268"/>
          <w:tab w:val="left" w:pos="3969"/>
          <w:tab w:val="left" w:pos="5670"/>
          <w:tab w:val="left" w:pos="7371"/>
        </w:tabs>
        <w:suppressAutoHyphens/>
        <w:autoSpaceDN w:val="0"/>
        <w:spacing w:after="0" w:line="240" w:lineRule="auto"/>
        <w:contextualSpacing w:val="0"/>
        <w:jc w:val="both"/>
        <w:textAlignment w:val="baseline"/>
      </w:pPr>
      <w:r>
        <w:rPr>
          <w:rFonts w:ascii="Times New Roman" w:hAnsi="Times New Roman"/>
          <w:sz w:val="28"/>
          <w:szCs w:val="28"/>
        </w:rPr>
        <w:t>Vláda navrhuje zrušit vratku spotřební daně z minerálních olejů spotřebovaných v mineralogických a metalurgických procesech.</w:t>
      </w:r>
    </w:p>
    <w:p w14:paraId="6CB1146C" w14:textId="77777777" w:rsidR="00FB5271" w:rsidRDefault="00FB5271" w:rsidP="00FB5271">
      <w:pPr>
        <w:pStyle w:val="Odstavecseseznamem"/>
        <w:rPr>
          <w:rFonts w:ascii="Times New Roman" w:hAnsi="Times New Roman"/>
          <w:b/>
          <w:bCs/>
          <w:sz w:val="28"/>
          <w:szCs w:val="28"/>
        </w:rPr>
      </w:pPr>
    </w:p>
    <w:p w14:paraId="606965C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46734483"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Zrušení výjimek u energetických daní</w:t>
      </w:r>
    </w:p>
    <w:p w14:paraId="4F1823AA"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6C1D14EF" w14:textId="77777777" w:rsidR="00FB5271" w:rsidRDefault="00FB5271" w:rsidP="00FB5271">
      <w:pPr>
        <w:pStyle w:val="Odstavecseseznamem"/>
        <w:numPr>
          <w:ilvl w:val="0"/>
          <w:numId w:val="21"/>
        </w:numPr>
        <w:tabs>
          <w:tab w:val="left" w:pos="2268"/>
          <w:tab w:val="left" w:pos="3969"/>
          <w:tab w:val="left" w:pos="5670"/>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Vláda navrhuje zrušit osvobození metalurgických a mineralogických procesů od daně ze zemního plynu a některých dalších plynů, daně  z pevných paliv a daně z elektřiny.</w:t>
      </w:r>
    </w:p>
    <w:p w14:paraId="32B90F68"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0090E8EB"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52443492"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Úprava odvodové zátěže OSVČ</w:t>
      </w:r>
    </w:p>
    <w:p w14:paraId="1DA19D88"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5C253D33"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Návrh: </w:t>
      </w:r>
      <w:r>
        <w:rPr>
          <w:rFonts w:ascii="Times New Roman" w:hAnsi="Times New Roman"/>
          <w:sz w:val="28"/>
          <w:szCs w:val="28"/>
        </w:rPr>
        <w:t>Zvýšení odvodové zátěže OSVČ.</w:t>
      </w:r>
    </w:p>
    <w:p w14:paraId="1BA9C2B8"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5A9FC39D"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V souladu s doporučeními z NERV a radou dalších ekonomických expertů vláda navrhuje zvýšení odvodů OSVČ. Konkrétně se navrhuje zvýšit v letech 2024-2026 minimální vyměřovací základ pojistného na sociální pojištění OSVČ z 25 % na 40 % průměrné mzdy, tj. o 5 procentních bodů ročně, a tím přiblížit minimální vyměřovací základ na úroveň minimální mzdy. Zároveň se navrhuje, aby OSVČ platily pojistné nejméně z 55 % namísto současných 50 % základu daně. Zdaněny jsou obě skupiny (zaměstnanci i OSVČ) stejně sazbou daně 15 % pro základ daně do 36násobku průměrné mzdy a 23 % pro část základu daně přesahujícího 36násobek průměrné mzdy. U zaměstnanců je základem daně tzv. hrubá mzda, u OSVČ je pak základem daně rozdíl mezi příjmy a výdaji.</w:t>
      </w:r>
    </w:p>
    <w:p w14:paraId="3E2055C5"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79874A71"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0046F049"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563FD61F"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Zvýšení daně z tabákových výrobků a zahřívaného tabáku a zavedení daně z alternativních výrobků</w:t>
      </w:r>
    </w:p>
    <w:p w14:paraId="6A0653E0"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0FCCB8CE"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Návrh: </w:t>
      </w:r>
      <w:r>
        <w:rPr>
          <w:rFonts w:ascii="Times New Roman" w:hAnsi="Times New Roman"/>
          <w:sz w:val="28"/>
          <w:szCs w:val="28"/>
        </w:rPr>
        <w:t xml:space="preserve">Pravidelné zvýšení spotřební daně z cigaret, tabáku na kouření, doutníků a </w:t>
      </w:r>
      <w:proofErr w:type="spellStart"/>
      <w:r>
        <w:rPr>
          <w:rFonts w:ascii="Times New Roman" w:hAnsi="Times New Roman"/>
          <w:sz w:val="28"/>
          <w:szCs w:val="28"/>
        </w:rPr>
        <w:t>cigarillos</w:t>
      </w:r>
      <w:proofErr w:type="spellEnd"/>
      <w:r>
        <w:rPr>
          <w:rFonts w:ascii="Times New Roman" w:hAnsi="Times New Roman"/>
          <w:sz w:val="28"/>
          <w:szCs w:val="28"/>
        </w:rPr>
        <w:t xml:space="preserve"> o + 10 % v roce 2024 a o + 5 % v každém roce 2025-2027. Pravidelné zvýšení daně u zahřívaného tabáku o 15 % v každém roce 2024-2027. Zavedení nové spotřební daně z nikotinových sáčků a náplní do e-cigaret.</w:t>
      </w:r>
    </w:p>
    <w:p w14:paraId="3BDA770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2AAEC979" w14:textId="77777777" w:rsidR="008B4829" w:rsidRDefault="008B4829"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1024C841" w14:textId="77777777" w:rsidR="008B4829" w:rsidRDefault="008B4829"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55244667" w14:textId="77777777" w:rsidR="008B4829" w:rsidRDefault="008B4829"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055E8DFE" w14:textId="77777777" w:rsidR="008B4829" w:rsidRDefault="008B4829"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3F0D15F9" w14:textId="77777777" w:rsidR="008B4829" w:rsidRDefault="008B4829"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4715FAC0"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lastRenderedPageBreak/>
        <w:t xml:space="preserve">Odůvodnění: </w:t>
      </w:r>
      <w:r>
        <w:rPr>
          <w:rFonts w:ascii="Times New Roman" w:hAnsi="Times New Roman"/>
          <w:sz w:val="28"/>
          <w:szCs w:val="28"/>
        </w:rPr>
        <w:t>V souladu s principy ochrany veřejného zdraví, bojem se závislostmi a doporučeními z NERV vláda navrhuje pokračovat v postupném 4letém zvyšování spotřební daně na tyto výrobky po roce 2023, kdy končí nastavený tříletý harmonogram růstu sazeb. Rychlejší růst sazeb u zahřívaného tabáku sleduje vývoj v okolních zemích a odborníky doporučované přiblížení zdanění zahřívaného tabáku k cigaretám. Aktuálně představuje daňové zatížení náplně zahřívaného tabáku zhruba 21 % daně z kusu cigaret, v roce 2024 by měl být tento poměr na úrovni 29 %. Mechanismus nové spotřební daně z nikotinových sáčků a náplní do e-cigaret vychází z pracovní verze novely evropské tabákové směrnice, která zavede regulaci těchto produktů obsahujících nikotin včetně EU minimálních sazeb. Zdanění tabáku do vodních dýmek se navrhuje upravit tak, aby podstatná část nákupu ke spotřebě v ČR nebyla realizována v zahraničí (čistě z důvodu vysoké daně).</w:t>
      </w:r>
    </w:p>
    <w:p w14:paraId="3141671A"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351D11A2"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Mezinárodní srovnání: </w:t>
      </w:r>
      <w:r>
        <w:rPr>
          <w:rFonts w:ascii="Times New Roman" w:hAnsi="Times New Roman"/>
          <w:sz w:val="28"/>
          <w:szCs w:val="28"/>
        </w:rPr>
        <w:t>Nejvyšší minimální sazba spotřební daně z cigaret je v Německu (177 EUR/1 000 ks), dále v Rakousku (158 EUR), v České republice (144 EUR), na Slovensku (132 EUR) a na posledním místě v Polsku (107 EUR). Polsko uplatňuje v letech 2023-2026 víceletý plán navyšování sazeb ze všech tabákových výrobků v výši 10 % ročně. K mírnému navyšování v posledním roce přistoupily všechny okolní země s výjimkou Rakouska.</w:t>
      </w:r>
    </w:p>
    <w:p w14:paraId="373A4EBE"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4245C070" w14:textId="77777777" w:rsidR="008B4829" w:rsidRDefault="008B4829"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52EB8F29"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31E00451"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Zvýšení daně z hazardních her a změna rozpočtového určení daně z hazardních her</w:t>
      </w:r>
    </w:p>
    <w:p w14:paraId="7A126AE5"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2F9BBA5E"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Návrh: </w:t>
      </w:r>
      <w:r>
        <w:rPr>
          <w:rFonts w:ascii="Times New Roman" w:hAnsi="Times New Roman"/>
          <w:sz w:val="28"/>
          <w:szCs w:val="28"/>
        </w:rPr>
        <w:t>Zvýšení druhé sazby daně z hazardních her z 23 % na 30 %.</w:t>
      </w:r>
    </w:p>
    <w:p w14:paraId="044986A3"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13BED091"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 xml:space="preserve">V souladu s principy ochrany veřejného zdraví a bojem se závislostmi vláda navrhuje druhou sazbu 23 % uplatňovanou aktuálně u živých her (např. kostky, karty, ruleta), binga, kusových sázek (sázky na výsledek, live sázky), totalizátorových her (dostihy), tombol a turnajů malého rozsahu (poker) zvýšit na 30 %. Vláda současně navrhuje ponechat základní sazbu 35 % uplatňovanou aktuálně u loterií a technických her ve stávající výši. U technických her jsou důvodem rizika plynoucí z překročení vrcholu tzv. </w:t>
      </w:r>
      <w:proofErr w:type="spellStart"/>
      <w:r>
        <w:rPr>
          <w:rFonts w:ascii="Times New Roman" w:hAnsi="Times New Roman"/>
          <w:sz w:val="28"/>
          <w:szCs w:val="28"/>
        </w:rPr>
        <w:t>Lafferovy</w:t>
      </w:r>
      <w:proofErr w:type="spellEnd"/>
      <w:r>
        <w:rPr>
          <w:rFonts w:ascii="Times New Roman" w:hAnsi="Times New Roman"/>
          <w:sz w:val="28"/>
          <w:szCs w:val="28"/>
        </w:rPr>
        <w:t xml:space="preserve"> křivky, kdy další navýšení daně už kvůli rozšíření šedé ekonomiky negeneruje dodatečný přínos pro státní rozpočet. Návrh dále řeší zásadní </w:t>
      </w:r>
      <w:proofErr w:type="spellStart"/>
      <w:r>
        <w:rPr>
          <w:rFonts w:ascii="Times New Roman" w:hAnsi="Times New Roman"/>
          <w:sz w:val="28"/>
          <w:szCs w:val="28"/>
        </w:rPr>
        <w:t>neproporcionalitu</w:t>
      </w:r>
      <w:proofErr w:type="spellEnd"/>
      <w:r>
        <w:rPr>
          <w:rFonts w:ascii="Times New Roman" w:hAnsi="Times New Roman"/>
          <w:sz w:val="28"/>
          <w:szCs w:val="28"/>
        </w:rPr>
        <w:t xml:space="preserve">, kdy výnos daně z technických her (jak </w:t>
      </w:r>
      <w:proofErr w:type="spellStart"/>
      <w:r>
        <w:rPr>
          <w:rFonts w:ascii="Times New Roman" w:hAnsi="Times New Roman"/>
          <w:sz w:val="28"/>
          <w:szCs w:val="28"/>
        </w:rPr>
        <w:t>land-based</w:t>
      </w:r>
      <w:proofErr w:type="spellEnd"/>
      <w:r>
        <w:rPr>
          <w:rFonts w:ascii="Times New Roman" w:hAnsi="Times New Roman"/>
          <w:sz w:val="28"/>
          <w:szCs w:val="28"/>
        </w:rPr>
        <w:t xml:space="preserve">, tak na internetu), doposud plyne na úkor ostatních obcí pouze vybrané skupině obcí, které na svém území mají povolené technické hry, což je zejména u technické hry na internetu bezdůvodné. Dopady hraní na internetu u všech typů her totiž v principu nejsou vázány na místo, kde má hazardní společnost provozovnu/sídlo. Z tohoto důvodu vláda navrhuje změnu rozpočtového určení daní tak, že výnos ze všech online hazardních her bude nově 100% příjmem státního </w:t>
      </w:r>
      <w:r>
        <w:rPr>
          <w:rFonts w:ascii="Times New Roman" w:hAnsi="Times New Roman"/>
          <w:sz w:val="28"/>
          <w:szCs w:val="28"/>
        </w:rPr>
        <w:lastRenderedPageBreak/>
        <w:t xml:space="preserve">rozpočtu a současně výnos ze všech </w:t>
      </w:r>
      <w:proofErr w:type="spellStart"/>
      <w:r>
        <w:rPr>
          <w:rFonts w:ascii="Times New Roman" w:hAnsi="Times New Roman"/>
          <w:sz w:val="28"/>
          <w:szCs w:val="28"/>
        </w:rPr>
        <w:t>land-based</w:t>
      </w:r>
      <w:proofErr w:type="spellEnd"/>
      <w:r>
        <w:rPr>
          <w:rFonts w:ascii="Times New Roman" w:hAnsi="Times New Roman"/>
          <w:sz w:val="28"/>
          <w:szCs w:val="28"/>
        </w:rPr>
        <w:t xml:space="preserve"> hazardních  her bude nově 65% příjmem obcí a 35% příjmem státního rozpočtu.</w:t>
      </w:r>
    </w:p>
    <w:p w14:paraId="1A540ABE"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252CDA1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22F32107" w14:textId="77777777" w:rsidR="008B4829" w:rsidRDefault="008B4829"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44B86220"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Posun prahu 23% daně z příjmu fyzických osob ze čtyřnásobku na trojnásobek průměrné mzdy</w:t>
      </w:r>
    </w:p>
    <w:p w14:paraId="70994C6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4415D387"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Návrh: </w:t>
      </w:r>
      <w:r>
        <w:rPr>
          <w:rFonts w:ascii="Times New Roman" w:hAnsi="Times New Roman"/>
          <w:sz w:val="28"/>
          <w:szCs w:val="28"/>
        </w:rPr>
        <w:t>Pásmo příjmů, v rámci kterého se platí 23% sazba daně, bude namísto 4-násobku průměrné mzdy začínat na 3-násobku průměrné mzdy.</w:t>
      </w:r>
    </w:p>
    <w:p w14:paraId="1460CB78"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606A83DF"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Rozšiřuje se tím množina vysokopříjmových, kteří platí 23% sazbu daně z příjmů. Jde o solidární krok, aby se i vysokopříjmoví zaměstnanci více podíleli na konsolidaci veřejných financí.</w:t>
      </w:r>
    </w:p>
    <w:p w14:paraId="7151F493"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7020A130"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Modelový příklad: </w:t>
      </w:r>
      <w:r>
        <w:rPr>
          <w:rFonts w:ascii="Times New Roman" w:hAnsi="Times New Roman"/>
          <w:sz w:val="28"/>
          <w:szCs w:val="28"/>
        </w:rPr>
        <w:t>V současnosti zaměstnanec platí 23% daň z příjmů, které přesahují částku 161 300 Kč. Do této sumy platí 15% daň. Nově bude tato částka zhruba ve výši 121 000 Kč (uvedené částky jsou aktuální pro rok 2023 a pravidelně se valorizují v návaznosti na růst průměrné mzdy.</w:t>
      </w:r>
    </w:p>
    <w:p w14:paraId="2ED49CF5"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2D9639D9"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0A4F692A" w14:textId="77777777" w:rsidR="008B4829" w:rsidRDefault="008B4829"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77360150"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roofErr w:type="spellStart"/>
      <w:r>
        <w:rPr>
          <w:rFonts w:ascii="Times New Roman" w:hAnsi="Times New Roman"/>
          <w:b/>
          <w:bCs/>
          <w:sz w:val="28"/>
          <w:szCs w:val="28"/>
        </w:rPr>
        <w:t>Zastropování</w:t>
      </w:r>
      <w:proofErr w:type="spellEnd"/>
      <w:r>
        <w:rPr>
          <w:rFonts w:ascii="Times New Roman" w:hAnsi="Times New Roman"/>
          <w:b/>
          <w:bCs/>
          <w:sz w:val="28"/>
          <w:szCs w:val="28"/>
        </w:rPr>
        <w:t xml:space="preserve"> úlev z odvodů pro dohody o provedení práce</w:t>
      </w:r>
    </w:p>
    <w:p w14:paraId="6DDD3ED7"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5BC0A3C8"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Návrh: </w:t>
      </w:r>
      <w:r>
        <w:rPr>
          <w:rFonts w:ascii="Times New Roman" w:hAnsi="Times New Roman"/>
          <w:sz w:val="28"/>
          <w:szCs w:val="28"/>
        </w:rPr>
        <w:t>Nově se stanoví dva limity pro vznik účasti na pojištění zaměstnance, který pracuje na základě DPP (a tím i limity pro placení pojistného na sociální zabezpečení):</w:t>
      </w:r>
    </w:p>
    <w:p w14:paraId="08581C3B"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373FBE7A" w14:textId="77777777" w:rsidR="00FB5271" w:rsidRDefault="00FB5271" w:rsidP="00FB5271">
      <w:pPr>
        <w:pStyle w:val="Odstavecseseznamem"/>
        <w:numPr>
          <w:ilvl w:val="0"/>
          <w:numId w:val="22"/>
        </w:numPr>
        <w:tabs>
          <w:tab w:val="left" w:pos="2268"/>
          <w:tab w:val="left" w:pos="3969"/>
          <w:tab w:val="left" w:pos="5670"/>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první limit bude stanoven pro DPP u jednoho zaměstnavatele, a to ve výši 25 % průměrné mzdy a</w:t>
      </w:r>
    </w:p>
    <w:p w14:paraId="237B2D42"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4783F5C6" w14:textId="77777777" w:rsidR="00FB5271" w:rsidRDefault="00FB5271" w:rsidP="00FB5271">
      <w:pPr>
        <w:pStyle w:val="Odstavecseseznamem"/>
        <w:numPr>
          <w:ilvl w:val="0"/>
          <w:numId w:val="22"/>
        </w:numPr>
        <w:tabs>
          <w:tab w:val="left" w:pos="2268"/>
          <w:tab w:val="left" w:pos="3969"/>
          <w:tab w:val="left" w:pos="5670"/>
          <w:tab w:val="left" w:pos="7371"/>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druhý limit (vyšší) bude stanoven pro vznik účasti na pojištění při souběhu více DPP u více zaměstnavatelů, a to ve výši 40 % průměrné mzdy.</w:t>
      </w:r>
    </w:p>
    <w:p w14:paraId="2C787AA2" w14:textId="77777777" w:rsidR="00FB5271" w:rsidRDefault="00FB5271" w:rsidP="00FB5271">
      <w:pPr>
        <w:pStyle w:val="Odstavecseseznamem"/>
        <w:rPr>
          <w:rFonts w:ascii="Times New Roman" w:hAnsi="Times New Roman"/>
          <w:sz w:val="28"/>
          <w:szCs w:val="28"/>
        </w:rPr>
      </w:pPr>
    </w:p>
    <w:p w14:paraId="25055A31"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r>
        <w:rPr>
          <w:rFonts w:ascii="Times New Roman" w:hAnsi="Times New Roman"/>
          <w:sz w:val="28"/>
          <w:szCs w:val="28"/>
        </w:rPr>
        <w:t>Pokud zaměstnanec překročí jeden či druhý limit, bude již odvedeno také pojistné. Abys opatření mohlo být kontrolováno, bude zavedena evidence všech DPP a příjmů z těchto dohod.</w:t>
      </w:r>
    </w:p>
    <w:p w14:paraId="5961CC43"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Vláda chce vyřešit současnou nepříznivou situaci, kdy jsou dohody o provedení práce namísto příležitostného zaměstnání jediným a častým zdrojem příjmu některých zaměstnanců. Dané osoby nejsou díky tomu důchodově pojištěné, tj. po skončení práceschopnosti nemají buď vůbec nárok na starobní důchod, anebo jen velmi malý, což se odráží v čerpání dávek státní sociální podpory.</w:t>
      </w:r>
    </w:p>
    <w:p w14:paraId="17E6049A"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6E4B4EC0"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Příčinou této situace je především výjimka v oblasti sociálního a zdravotního pojistného, kdy se z DPP do 10 000 Kč u jednoho zaměstnavatele neplatí pojistné. Tímto způsobem však lze být nyní zaměstnán u více zaměstnavatelů najednou a dochází tak ke kumulaci dohod. Následně tak takový zaměstnanec neplatí pojistné odvody i z poměrně velkých měsíčních příjmů. </w:t>
      </w:r>
    </w:p>
    <w:p w14:paraId="5A190E8A"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0E4FA877"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20FE9907"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Zvýšení daně z lihu</w:t>
      </w:r>
    </w:p>
    <w:p w14:paraId="62415312"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7F1CB5D9"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Návrh: </w:t>
      </w:r>
      <w:r>
        <w:rPr>
          <w:rFonts w:ascii="Times New Roman" w:hAnsi="Times New Roman"/>
          <w:sz w:val="28"/>
          <w:szCs w:val="28"/>
        </w:rPr>
        <w:t>Zvýšení spotřební daně z lihu o + 10 % v roce 2024 a o + 5 % v každém roce 2025-2027.</w:t>
      </w:r>
    </w:p>
    <w:p w14:paraId="0B793DA5"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453EA780"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V souladu s principy ochrany veřejného zdraví, bojem se závislostmi a doporučeními z NERV vláda navrhuje nastavit čtyřletý harmonogram růstu sazeb spotřební daně z lihu po vzoru navrženého zdanění u tabákových výrobků. Čtyřletý harmonogram zvyšování sazeb přinese transparentní plán pro obě odvětví a svým přesahem přes volební stávající období této vlády nebude ovlivněn volebním cyklem. Na základě trvalé výjimky dojednané v EU se bude nadále uplatňovat poloviční sazba u produktů z pěstitelského pálení pro vlastní spotřebu.</w:t>
      </w:r>
    </w:p>
    <w:p w14:paraId="0FACBB0F"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7090F4F4"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Mezinárodní srovnání: </w:t>
      </w:r>
      <w:r>
        <w:rPr>
          <w:rFonts w:ascii="Times New Roman" w:hAnsi="Times New Roman"/>
          <w:sz w:val="28"/>
          <w:szCs w:val="28"/>
        </w:rPr>
        <w:t>Ve srovnání s okolními zeměmi má ČR aktuálně nižší zdanění lihu než Polsko a Slovensko a jsme tak na úrovni Německa.</w:t>
      </w:r>
    </w:p>
    <w:p w14:paraId="041231E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4911F92F"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519160BB"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Zvýšení poplatků za dobývání nerostů</w:t>
      </w:r>
    </w:p>
    <w:p w14:paraId="5138CBE9"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0AF38BA8"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sz w:val="28"/>
          <w:szCs w:val="28"/>
        </w:rPr>
        <w:t xml:space="preserve">V souladu s programovým prohlášením vláda navrhuje </w:t>
      </w:r>
      <w:r>
        <w:rPr>
          <w:rFonts w:ascii="Times New Roman" w:hAnsi="Times New Roman"/>
          <w:b/>
          <w:bCs/>
          <w:sz w:val="28"/>
          <w:szCs w:val="28"/>
        </w:rPr>
        <w:t xml:space="preserve">navýšení úhrady za dobývání nerostů. </w:t>
      </w:r>
      <w:r>
        <w:rPr>
          <w:rFonts w:ascii="Times New Roman" w:hAnsi="Times New Roman"/>
          <w:sz w:val="28"/>
          <w:szCs w:val="28"/>
        </w:rPr>
        <w:t>Dosavadní systém stanovení výše úhrad z vytěženého množství a sazby dle typu nerostu zůstává zachován, upravuje se pouze výše podílu sazby k referenční ceně u uhlí o 3 %, u stavebních surovin o 2 % a u silikátových a ostatních surovin o 1 %.</w:t>
      </w:r>
    </w:p>
    <w:p w14:paraId="3C414F9F"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30986B51"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6259D31F"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2B053E28"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Omezení osvobození při prodeji cenných papírů a podílů v obchodních společnostech</w:t>
      </w:r>
    </w:p>
    <w:p w14:paraId="032E3B9C"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1FB17031"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Návrh: </w:t>
      </w:r>
      <w:r>
        <w:rPr>
          <w:rFonts w:ascii="Times New Roman" w:hAnsi="Times New Roman"/>
          <w:sz w:val="28"/>
          <w:szCs w:val="28"/>
        </w:rPr>
        <w:t>Ponechává se současné osvobození příjmů z prodeje cenných papírů od zdanění z příjmů fyzických osob do výše 100 000 Kč za zdaňovací období a zároveň se nově ohraničuje osvobození příjmu z prodeje cenného papíru/podílu ve společnosti při splnění časového testu 3 roky, resp. 5 let mezi nabytím a prodejem na 40 000 000 Kč na poplatníka jako dostatečný limit pro prodeje podílů ve start-upech a rodinných firmách.</w:t>
      </w:r>
      <w:r>
        <w:rPr>
          <w:rFonts w:ascii="Times New Roman" w:hAnsi="Times New Roman"/>
          <w:b/>
          <w:bCs/>
          <w:sz w:val="28"/>
          <w:szCs w:val="28"/>
        </w:rPr>
        <w:t xml:space="preserve"> </w:t>
      </w:r>
    </w:p>
    <w:p w14:paraId="7529DB32"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61CB0460"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Původní záměr snížit administrativu malým akcionářům se vytratil, nyní je možné skrze tento nástroj účinně optimalizovat daňovou zátěž fyzických osob.</w:t>
      </w:r>
    </w:p>
    <w:p w14:paraId="4473B06A"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2543AEAC"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3090BFFF"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r>
        <w:rPr>
          <w:rFonts w:ascii="Times New Roman" w:hAnsi="Times New Roman"/>
          <w:b/>
          <w:bCs/>
          <w:sz w:val="28"/>
          <w:szCs w:val="28"/>
        </w:rPr>
        <w:t>Redukce sazeb DPH a snížení daně</w:t>
      </w:r>
    </w:p>
    <w:p w14:paraId="3C22665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0EBDD7A1"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Návrh: </w:t>
      </w:r>
      <w:r>
        <w:rPr>
          <w:rFonts w:ascii="Times New Roman" w:hAnsi="Times New Roman"/>
          <w:sz w:val="28"/>
          <w:szCs w:val="28"/>
        </w:rPr>
        <w:t>Redukce počtu sazeb DPH na základní 21 % a sníženou 12 %. Přesunutí vybraného zboží a služeb ze snížené do základní sazby DPH.</w:t>
      </w:r>
    </w:p>
    <w:p w14:paraId="2405E6CD"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sz w:val="28"/>
          <w:szCs w:val="28"/>
        </w:rPr>
      </w:pPr>
    </w:p>
    <w:p w14:paraId="1173F981"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b/>
          <w:bCs/>
          <w:sz w:val="28"/>
          <w:szCs w:val="28"/>
        </w:rPr>
        <w:t xml:space="preserve">Odůvodnění: </w:t>
      </w:r>
      <w:r>
        <w:rPr>
          <w:rFonts w:ascii="Times New Roman" w:hAnsi="Times New Roman"/>
          <w:sz w:val="28"/>
          <w:szCs w:val="28"/>
        </w:rPr>
        <w:t>V souladu s doporučeními z NERV a řadou dalších ekonomických expertů vláda navrhuje zjednodušit systém DPH sjednocením dvou snížených sazeb (15 % a 10 %) do jedné společné ve výši 12 %. Opatření povede k vyšší efektivnosti a transparentnosti systému DPH, omezení příležitosti k daňové optimalizaci a v neposlední řadě k odstranění absurdit jako v případě aplikace tří různých sazeb DPH u točeného piva. Sjednocením snížených sazeb DPH ve výši 12 % vláda současně snižuje DPH (a tím i inkaso státního rozpočtu) u řady aktuálně citlivého zboží a služeb, jako např. u potravin bez nápojů, vybraných léků či farmaceutických výrobků, stavebních prací, dětských autosedaček nebo pohřebních služeb. Speciální položkou jsou knihy, které vláda navrhuje DPH vůbec nezatěžovat a aplikovat nulovou sazbu. Naopak položky bez prokazatelného sociálního či zdravotního významu, které byly zařazeny do snížené sazby minulou vládou v reakci na skutečnosti, které již pominuly (covidová krize, povinnost EET), navrhuje vláda přesunout do základní sazby DPH, Konkrétně se jedná o kadeřnické a holičské služby, točené pivo, služby autorů a umělců, sběr, přeprava a skládkování komunálního odpadu, oprav obuvi, kožených výrobků a kol, úklidové práce, palivové dřevo, noviny. Ostatní položky z některé ze dvou snížených sazeb zůstávají ve sjednocené snížené sazbě 12 %. Ze základní do snížené sazby DPH se přesouvá pouze příležitostná hromadná autobusová doprava osob. Rozpočtově negativní souhrnný dopad všech navržených úprav systému DPH vytváří současně protiinflační stimul.</w:t>
      </w:r>
    </w:p>
    <w:p w14:paraId="293771BA" w14:textId="77777777" w:rsidR="00FB5271" w:rsidRDefault="00FB5271" w:rsidP="00FB5271">
      <w:pPr>
        <w:tabs>
          <w:tab w:val="left" w:pos="2268"/>
          <w:tab w:val="left" w:pos="3969"/>
          <w:tab w:val="left" w:pos="5670"/>
          <w:tab w:val="left" w:pos="7371"/>
        </w:tabs>
        <w:spacing w:after="0" w:line="240" w:lineRule="auto"/>
        <w:jc w:val="both"/>
        <w:rPr>
          <w:rFonts w:ascii="Times New Roman" w:hAnsi="Times New Roman"/>
          <w:b/>
          <w:bCs/>
          <w:sz w:val="28"/>
          <w:szCs w:val="28"/>
        </w:rPr>
      </w:pPr>
    </w:p>
    <w:p w14:paraId="4F12B852" w14:textId="77777777" w:rsidR="00FB5271" w:rsidRDefault="00FB5271" w:rsidP="00FB5271">
      <w:pPr>
        <w:tabs>
          <w:tab w:val="left" w:pos="2268"/>
          <w:tab w:val="left" w:pos="3969"/>
          <w:tab w:val="left" w:pos="5670"/>
          <w:tab w:val="left" w:pos="7371"/>
        </w:tabs>
        <w:spacing w:after="0" w:line="240" w:lineRule="auto"/>
        <w:jc w:val="both"/>
      </w:pPr>
      <w:r>
        <w:rPr>
          <w:rFonts w:ascii="Times New Roman" w:hAnsi="Times New Roman"/>
          <w:sz w:val="28"/>
          <w:szCs w:val="28"/>
        </w:rPr>
        <w:t>Zdroj: Příloha tiskové zprávy k Ozdravnému balíčku 2024/2025</w:t>
      </w:r>
    </w:p>
    <w:p w14:paraId="71CFB1A6" w14:textId="77777777" w:rsidR="00FB5271" w:rsidRDefault="00FB5271" w:rsidP="0028286D">
      <w:pPr>
        <w:tabs>
          <w:tab w:val="left" w:pos="1134"/>
          <w:tab w:val="right" w:leader="dot" w:pos="7938"/>
        </w:tabs>
        <w:spacing w:after="0" w:line="240" w:lineRule="auto"/>
        <w:jc w:val="both"/>
        <w:rPr>
          <w:rFonts w:ascii="Times New Roman" w:hAnsi="Times New Roman" w:cs="Times New Roman"/>
          <w:b/>
          <w:sz w:val="28"/>
          <w:szCs w:val="28"/>
        </w:rPr>
      </w:pPr>
    </w:p>
    <w:p w14:paraId="3CB7604A" w14:textId="6E056491"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5FF00AD5" w14:textId="77777777" w:rsidR="00B2472D" w:rsidRDefault="00B2472D" w:rsidP="0028286D">
      <w:pPr>
        <w:tabs>
          <w:tab w:val="left" w:pos="1134"/>
          <w:tab w:val="right" w:leader="dot" w:pos="7938"/>
        </w:tabs>
        <w:spacing w:after="0" w:line="240" w:lineRule="auto"/>
        <w:jc w:val="both"/>
        <w:rPr>
          <w:rFonts w:ascii="Times New Roman" w:hAnsi="Times New Roman" w:cs="Times New Roman"/>
          <w:b/>
          <w:sz w:val="28"/>
          <w:szCs w:val="28"/>
        </w:rPr>
      </w:pPr>
    </w:p>
    <w:p w14:paraId="2D3E476D" w14:textId="4946E3BC"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504BCFDE" w14:textId="77777777" w:rsidR="008B4829" w:rsidRDefault="008B4829" w:rsidP="0028286D">
      <w:pPr>
        <w:tabs>
          <w:tab w:val="left" w:pos="1134"/>
          <w:tab w:val="right" w:leader="dot" w:pos="7938"/>
        </w:tabs>
        <w:spacing w:after="0" w:line="240" w:lineRule="auto"/>
        <w:jc w:val="both"/>
        <w:rPr>
          <w:rFonts w:ascii="Times New Roman" w:hAnsi="Times New Roman" w:cs="Times New Roman"/>
          <w:b/>
          <w:sz w:val="28"/>
          <w:szCs w:val="28"/>
        </w:rPr>
      </w:pPr>
    </w:p>
    <w:p w14:paraId="4995A419" w14:textId="77777777" w:rsidR="008B4829" w:rsidRDefault="008B4829" w:rsidP="0028286D">
      <w:pPr>
        <w:tabs>
          <w:tab w:val="left" w:pos="1134"/>
          <w:tab w:val="right" w:leader="dot" w:pos="7938"/>
        </w:tabs>
        <w:spacing w:after="0" w:line="240" w:lineRule="auto"/>
        <w:jc w:val="both"/>
        <w:rPr>
          <w:rFonts w:ascii="Times New Roman" w:hAnsi="Times New Roman" w:cs="Times New Roman"/>
          <w:b/>
          <w:sz w:val="28"/>
          <w:szCs w:val="28"/>
        </w:rPr>
      </w:pPr>
    </w:p>
    <w:p w14:paraId="01C6BD84" w14:textId="77777777" w:rsidR="008B4829" w:rsidRDefault="008B4829" w:rsidP="0028286D">
      <w:pPr>
        <w:tabs>
          <w:tab w:val="left" w:pos="1134"/>
          <w:tab w:val="right" w:leader="dot" w:pos="7938"/>
        </w:tabs>
        <w:spacing w:after="0" w:line="240" w:lineRule="auto"/>
        <w:jc w:val="both"/>
        <w:rPr>
          <w:rFonts w:ascii="Times New Roman" w:hAnsi="Times New Roman" w:cs="Times New Roman"/>
          <w:b/>
          <w:sz w:val="28"/>
          <w:szCs w:val="28"/>
        </w:rPr>
      </w:pPr>
    </w:p>
    <w:p w14:paraId="69E79FD3" w14:textId="77777777" w:rsidR="008B4829" w:rsidRDefault="008B4829" w:rsidP="0028286D">
      <w:pPr>
        <w:tabs>
          <w:tab w:val="left" w:pos="1134"/>
          <w:tab w:val="right" w:leader="dot" w:pos="7938"/>
        </w:tabs>
        <w:spacing w:after="0" w:line="240" w:lineRule="auto"/>
        <w:jc w:val="both"/>
        <w:rPr>
          <w:rFonts w:ascii="Times New Roman" w:hAnsi="Times New Roman" w:cs="Times New Roman"/>
          <w:b/>
          <w:sz w:val="28"/>
          <w:szCs w:val="28"/>
        </w:rPr>
      </w:pPr>
    </w:p>
    <w:p w14:paraId="5CD1BCE2" w14:textId="77777777" w:rsidR="008B4829" w:rsidRDefault="008B4829" w:rsidP="0028286D">
      <w:pPr>
        <w:tabs>
          <w:tab w:val="left" w:pos="1134"/>
          <w:tab w:val="right" w:leader="dot" w:pos="7938"/>
        </w:tabs>
        <w:spacing w:after="0" w:line="240" w:lineRule="auto"/>
        <w:jc w:val="both"/>
        <w:rPr>
          <w:rFonts w:ascii="Times New Roman" w:hAnsi="Times New Roman" w:cs="Times New Roman"/>
          <w:b/>
          <w:sz w:val="28"/>
          <w:szCs w:val="28"/>
        </w:rPr>
      </w:pPr>
    </w:p>
    <w:p w14:paraId="22A4BDED" w14:textId="77777777" w:rsidR="008B4829" w:rsidRDefault="008B4829" w:rsidP="008B482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PŘEHLED HLAVNÍCH CHYSTANÝCH ZMĚN V DŮCHODECH</w:t>
      </w:r>
    </w:p>
    <w:p w14:paraId="2516E200" w14:textId="77777777" w:rsidR="008B4829" w:rsidRDefault="008B4829" w:rsidP="008B4829">
      <w:pPr>
        <w:spacing w:after="0" w:line="240" w:lineRule="auto"/>
        <w:jc w:val="center"/>
        <w:rPr>
          <w:rFonts w:ascii="Times New Roman" w:hAnsi="Times New Roman"/>
          <w:b/>
          <w:bCs/>
          <w:sz w:val="28"/>
          <w:szCs w:val="28"/>
        </w:rPr>
      </w:pPr>
    </w:p>
    <w:p w14:paraId="79E8D69D" w14:textId="77777777" w:rsidR="008B4829" w:rsidRDefault="008B4829" w:rsidP="008B4829">
      <w:pPr>
        <w:spacing w:after="0" w:line="240" w:lineRule="auto"/>
        <w:jc w:val="center"/>
        <w:rPr>
          <w:rFonts w:ascii="Times New Roman" w:hAnsi="Times New Roman"/>
          <w:b/>
          <w:bCs/>
          <w:sz w:val="28"/>
          <w:szCs w:val="28"/>
        </w:rPr>
      </w:pPr>
    </w:p>
    <w:p w14:paraId="747E4336" w14:textId="77777777" w:rsidR="008B4829" w:rsidRDefault="008B4829" w:rsidP="008B4829">
      <w:pPr>
        <w:spacing w:after="0" w:line="240" w:lineRule="auto"/>
        <w:jc w:val="center"/>
        <w:rPr>
          <w:rFonts w:ascii="Times New Roman" w:hAnsi="Times New Roman"/>
          <w:b/>
          <w:bCs/>
          <w:sz w:val="28"/>
          <w:szCs w:val="28"/>
        </w:rPr>
      </w:pPr>
    </w:p>
    <w:p w14:paraId="2AE56A53"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Vláda na tiskové konferenci k prezentaci úsporného balíčku představila také balíček změn v důchodech. Chystané změny v důchodech se dotknou lidí, kteří již v penzi jsou i těch, kteří do ní teprve půjdou.</w:t>
      </w:r>
    </w:p>
    <w:p w14:paraId="3E2CC7CC" w14:textId="77777777" w:rsidR="008B4829" w:rsidRDefault="008B4829" w:rsidP="008B4829">
      <w:pPr>
        <w:spacing w:after="0" w:line="240" w:lineRule="auto"/>
        <w:jc w:val="both"/>
        <w:rPr>
          <w:rFonts w:ascii="Times New Roman" w:hAnsi="Times New Roman"/>
          <w:sz w:val="28"/>
          <w:szCs w:val="28"/>
        </w:rPr>
      </w:pPr>
    </w:p>
    <w:p w14:paraId="56F9A830" w14:textId="77777777" w:rsidR="008B4829" w:rsidRDefault="008B4829" w:rsidP="008B4829">
      <w:pPr>
        <w:spacing w:after="0" w:line="240" w:lineRule="auto"/>
        <w:jc w:val="both"/>
        <w:rPr>
          <w:rFonts w:ascii="Times New Roman" w:hAnsi="Times New Roman"/>
          <w:b/>
          <w:bCs/>
          <w:sz w:val="28"/>
          <w:szCs w:val="28"/>
        </w:rPr>
      </w:pPr>
    </w:p>
    <w:p w14:paraId="42B6136D"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Úprava pravidelné valorizace</w:t>
      </w:r>
    </w:p>
    <w:p w14:paraId="5E141C34" w14:textId="77777777" w:rsidR="008B4829" w:rsidRDefault="008B4829" w:rsidP="008B4829">
      <w:pPr>
        <w:spacing w:after="0" w:line="240" w:lineRule="auto"/>
        <w:jc w:val="both"/>
        <w:rPr>
          <w:rFonts w:ascii="Times New Roman" w:hAnsi="Times New Roman"/>
          <w:b/>
          <w:bCs/>
          <w:sz w:val="28"/>
          <w:szCs w:val="28"/>
        </w:rPr>
      </w:pPr>
    </w:p>
    <w:p w14:paraId="448AEE67" w14:textId="77777777" w:rsidR="008B4829" w:rsidRDefault="008B4829" w:rsidP="008B4829">
      <w:pPr>
        <w:spacing w:after="0" w:line="240" w:lineRule="auto"/>
        <w:jc w:val="both"/>
      </w:pPr>
      <w:r>
        <w:rPr>
          <w:rFonts w:ascii="Times New Roman" w:hAnsi="Times New Roman"/>
          <w:b/>
          <w:bCs/>
          <w:sz w:val="28"/>
          <w:szCs w:val="28"/>
        </w:rPr>
        <w:t xml:space="preserve">     </w:t>
      </w:r>
      <w:r>
        <w:rPr>
          <w:rFonts w:ascii="Times New Roman" w:hAnsi="Times New Roman"/>
          <w:sz w:val="28"/>
          <w:szCs w:val="28"/>
        </w:rPr>
        <w:t>Vláda plánuje vrátit se k valorizačnímu vzorci, který platil před rokem 2018. Zatímco nyní pravidelná valorizace navyšuje důchody o inflaci a polovinu růstu reálných mezd, nově má platit, že se budou na začátku roku penze zvyšovat o inflaci a 1/3 růstu reálných mezd.</w:t>
      </w:r>
    </w:p>
    <w:p w14:paraId="20E8B465" w14:textId="77777777" w:rsidR="008B4829" w:rsidRDefault="008B4829" w:rsidP="008B4829">
      <w:pPr>
        <w:spacing w:after="0" w:line="240" w:lineRule="auto"/>
        <w:jc w:val="both"/>
        <w:rPr>
          <w:rFonts w:ascii="Times New Roman" w:hAnsi="Times New Roman"/>
          <w:sz w:val="28"/>
          <w:szCs w:val="28"/>
        </w:rPr>
      </w:pPr>
    </w:p>
    <w:p w14:paraId="1A5D4B67"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Změní se i pravidla pro mimořádnou valorizaci. Ta ty se měla v budoucnu vyplácet jako dočasný mimořádný příspěvek.</w:t>
      </w:r>
    </w:p>
    <w:p w14:paraId="0822778D" w14:textId="77777777" w:rsidR="008B4829" w:rsidRDefault="008B4829" w:rsidP="008B4829">
      <w:pPr>
        <w:spacing w:after="0" w:line="240" w:lineRule="auto"/>
        <w:jc w:val="both"/>
        <w:rPr>
          <w:rFonts w:ascii="Times New Roman" w:hAnsi="Times New Roman"/>
          <w:sz w:val="28"/>
          <w:szCs w:val="28"/>
        </w:rPr>
      </w:pPr>
    </w:p>
    <w:p w14:paraId="2D511A7D" w14:textId="77777777" w:rsidR="008B4829" w:rsidRDefault="008B4829" w:rsidP="008B4829">
      <w:pPr>
        <w:spacing w:after="0" w:line="240" w:lineRule="auto"/>
        <w:jc w:val="both"/>
        <w:rPr>
          <w:rFonts w:ascii="Times New Roman" w:hAnsi="Times New Roman"/>
          <w:sz w:val="28"/>
          <w:szCs w:val="28"/>
        </w:rPr>
      </w:pPr>
    </w:p>
    <w:p w14:paraId="1B720514"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Větší krácení důchodu za předčasnost</w:t>
      </w:r>
    </w:p>
    <w:p w14:paraId="003997AD" w14:textId="77777777" w:rsidR="008B4829" w:rsidRDefault="008B4829" w:rsidP="008B4829">
      <w:pPr>
        <w:spacing w:after="0" w:line="240" w:lineRule="auto"/>
        <w:jc w:val="both"/>
        <w:rPr>
          <w:rFonts w:ascii="Times New Roman" w:hAnsi="Times New Roman"/>
          <w:b/>
          <w:bCs/>
          <w:sz w:val="28"/>
          <w:szCs w:val="28"/>
        </w:rPr>
      </w:pPr>
    </w:p>
    <w:p w14:paraId="3C7C7F4C"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Přísnější přístup vláda plánuje v oblasti předčasných penzí. V současnosti je možné odejít do předčasné penze v určitých případech i pět let před dosažením důchodového věku. Nově do předčasného důchodu budou moci odejít jen ti, kteří dosáhnou věku o 3 roky nižšího, než je standardní věk odchodu do důchodu. Zároveň budou muset mít nastřádanou dobu pojištění alespoň v délce 40 let.</w:t>
      </w:r>
    </w:p>
    <w:p w14:paraId="0F2C49FA" w14:textId="77777777" w:rsidR="008B4829" w:rsidRDefault="008B4829" w:rsidP="008B4829">
      <w:pPr>
        <w:spacing w:after="0" w:line="240" w:lineRule="auto"/>
        <w:jc w:val="both"/>
        <w:rPr>
          <w:rFonts w:ascii="Times New Roman" w:hAnsi="Times New Roman"/>
          <w:sz w:val="28"/>
          <w:szCs w:val="28"/>
        </w:rPr>
      </w:pPr>
    </w:p>
    <w:p w14:paraId="311EA2A2"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Dále se zvýší i koeficient krácení penze za předčasnost. Nově má platit, že se procentní výměra pokrátí o 1,5 % bez ohledu na míru předčasnosti (tedy od 1. do 720. dne).</w:t>
      </w:r>
    </w:p>
    <w:p w14:paraId="7F51FE22" w14:textId="77777777" w:rsidR="008B4829" w:rsidRDefault="008B4829" w:rsidP="008B4829">
      <w:pPr>
        <w:spacing w:after="0" w:line="240" w:lineRule="auto"/>
        <w:jc w:val="both"/>
        <w:rPr>
          <w:rFonts w:ascii="Times New Roman" w:hAnsi="Times New Roman"/>
          <w:sz w:val="28"/>
          <w:szCs w:val="28"/>
        </w:rPr>
      </w:pPr>
    </w:p>
    <w:p w14:paraId="078F6407"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Zároveň bude v období od přiznání předčasného důchodu do doby dosažení důchodového věku omezena i valorizace procentní výměry důchodu.</w:t>
      </w:r>
    </w:p>
    <w:p w14:paraId="22FD15D2" w14:textId="77777777" w:rsidR="008B4829" w:rsidRDefault="008B4829" w:rsidP="008B4829">
      <w:pPr>
        <w:spacing w:after="0" w:line="240" w:lineRule="auto"/>
        <w:jc w:val="both"/>
        <w:rPr>
          <w:rFonts w:ascii="Times New Roman" w:hAnsi="Times New Roman"/>
          <w:sz w:val="28"/>
          <w:szCs w:val="28"/>
        </w:rPr>
      </w:pPr>
    </w:p>
    <w:p w14:paraId="623AD262"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Zaměstnanci, především ti těžce manuálně pracující, kteří odpracovali 45 let, budou mít možnost odejít do předčasného důchodu za výhodnějších podmínek, uvedl ministr práce a sociálních věcí Marian Jurečka a dodal, že lidé, kteří prokazatelně vykonávají náročnou profesi, kde není možné eliminovat možná rizika speciálními pomůckami, budou mít možnost odejít do důchodu dříve.</w:t>
      </w:r>
    </w:p>
    <w:p w14:paraId="05A5E32E" w14:textId="77777777" w:rsidR="008B4829" w:rsidRDefault="008B4829" w:rsidP="008B4829">
      <w:pPr>
        <w:spacing w:after="0" w:line="240" w:lineRule="auto"/>
        <w:jc w:val="both"/>
        <w:rPr>
          <w:rFonts w:ascii="Times New Roman" w:hAnsi="Times New Roman"/>
          <w:sz w:val="28"/>
          <w:szCs w:val="28"/>
        </w:rPr>
      </w:pPr>
    </w:p>
    <w:p w14:paraId="48090C90"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Při předčasném odchodu do důchodu se trvale snižuje výše důchodu. Dnes se za každých 90 dnů předčasnosti důchod sníží přibližně o 300 Kč. Při odchodu o 2 roky </w:t>
      </w:r>
      <w:r>
        <w:rPr>
          <w:rFonts w:ascii="Times New Roman" w:hAnsi="Times New Roman"/>
          <w:sz w:val="28"/>
          <w:szCs w:val="28"/>
        </w:rPr>
        <w:lastRenderedPageBreak/>
        <w:t>dříve jde podle ministra práce a sociálních věcí asi o 1420 Kč. Nově bude po odpracování 45 let při odchodu do předčasného důchodu toto krácení jen poloviční (/tedy přibližně o 710 Kč).</w:t>
      </w:r>
    </w:p>
    <w:p w14:paraId="1E33DAA3" w14:textId="77777777" w:rsidR="008B4829" w:rsidRDefault="008B4829" w:rsidP="008B4829">
      <w:pPr>
        <w:spacing w:after="0" w:line="240" w:lineRule="auto"/>
        <w:jc w:val="both"/>
        <w:rPr>
          <w:rFonts w:ascii="Times New Roman" w:hAnsi="Times New Roman"/>
          <w:sz w:val="28"/>
          <w:szCs w:val="28"/>
        </w:rPr>
      </w:pPr>
    </w:p>
    <w:p w14:paraId="46576F63" w14:textId="77777777" w:rsidR="008B4829" w:rsidRDefault="008B4829" w:rsidP="008B4829">
      <w:pPr>
        <w:spacing w:after="0" w:line="240" w:lineRule="auto"/>
        <w:jc w:val="both"/>
        <w:rPr>
          <w:rFonts w:ascii="Times New Roman" w:hAnsi="Times New Roman"/>
          <w:sz w:val="28"/>
          <w:szCs w:val="28"/>
        </w:rPr>
      </w:pPr>
    </w:p>
    <w:p w14:paraId="23591071"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Více osob pod nálepkou náročné profese</w:t>
      </w:r>
    </w:p>
    <w:p w14:paraId="2AD892F9" w14:textId="77777777" w:rsidR="008B4829" w:rsidRDefault="008B4829" w:rsidP="008B4829">
      <w:pPr>
        <w:spacing w:after="0" w:line="240" w:lineRule="auto"/>
        <w:jc w:val="both"/>
        <w:rPr>
          <w:rFonts w:ascii="Times New Roman" w:hAnsi="Times New Roman"/>
          <w:b/>
          <w:bCs/>
          <w:sz w:val="28"/>
          <w:szCs w:val="28"/>
        </w:rPr>
      </w:pPr>
    </w:p>
    <w:p w14:paraId="518B1EB7"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Mezi náročné profese řadíme např. práce s vysoce nebezpečnými látkami, práce v extrémním horku či velkém hluku nebo práce v nadměrně prašném prostředí.</w:t>
      </w:r>
    </w:p>
    <w:p w14:paraId="61263E86" w14:textId="77777777" w:rsidR="008B4829" w:rsidRDefault="008B4829" w:rsidP="008B4829">
      <w:pPr>
        <w:spacing w:after="0" w:line="240" w:lineRule="auto"/>
        <w:jc w:val="both"/>
        <w:rPr>
          <w:rFonts w:ascii="Times New Roman" w:hAnsi="Times New Roman"/>
          <w:sz w:val="28"/>
          <w:szCs w:val="28"/>
        </w:rPr>
      </w:pPr>
    </w:p>
    <w:p w14:paraId="1339980A"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Opatření, které navazuje na dříve přijaté změny týkající se zdravotnických záchranářů, sníží důchodový věk za dobu odpracovanou v náročné profesi u osob ze 3. a 4. kategorie podle zákona o ochraně veřejného zdraví vystavených na pracovišti vybraným rizikům, která nelze eliminovat ochrannými pomůckami. U těchto profesí také bude zvýšena sazba pojistného důchodového pojištění o 5 % a také v období od sníženého důchodového věku do doby standardního důchodového věku nebude zvyšován důchod za výkon výdělečné činnosti.</w:t>
      </w:r>
    </w:p>
    <w:p w14:paraId="238A66B1" w14:textId="77777777" w:rsidR="008B4829" w:rsidRDefault="008B4829" w:rsidP="008B4829">
      <w:pPr>
        <w:spacing w:after="0" w:line="240" w:lineRule="auto"/>
        <w:jc w:val="both"/>
        <w:rPr>
          <w:rFonts w:ascii="Times New Roman" w:hAnsi="Times New Roman"/>
          <w:sz w:val="28"/>
          <w:szCs w:val="28"/>
        </w:rPr>
      </w:pPr>
    </w:p>
    <w:p w14:paraId="0F924A7A" w14:textId="77777777" w:rsidR="008B4829" w:rsidRDefault="008B4829" w:rsidP="008B4829">
      <w:pPr>
        <w:spacing w:after="0" w:line="240" w:lineRule="auto"/>
        <w:jc w:val="both"/>
        <w:rPr>
          <w:rFonts w:ascii="Times New Roman" w:hAnsi="Times New Roman"/>
          <w:sz w:val="28"/>
          <w:szCs w:val="28"/>
        </w:rPr>
      </w:pPr>
    </w:p>
    <w:p w14:paraId="7A3FEA4E"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Postupné zvyšování věku odchodu do důchodu</w:t>
      </w:r>
    </w:p>
    <w:p w14:paraId="010CB730" w14:textId="77777777" w:rsidR="008B4829" w:rsidRDefault="008B4829" w:rsidP="008B4829">
      <w:pPr>
        <w:spacing w:after="0" w:line="240" w:lineRule="auto"/>
        <w:jc w:val="both"/>
        <w:rPr>
          <w:rFonts w:ascii="Times New Roman" w:hAnsi="Times New Roman"/>
          <w:b/>
          <w:bCs/>
          <w:sz w:val="28"/>
          <w:szCs w:val="28"/>
        </w:rPr>
      </w:pPr>
    </w:p>
    <w:p w14:paraId="5FDC61DC"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Úprava důchodového věku nad současných 65 let se od roku 2031 dotkne osob narozených po roce 1965. Hranice věku pro odchod do penze se má nově navázat na věk dožití. Pokud z dat Českého statistického úřadu vyplyne, že se doba dožití prodloužila, upraví se i důchodový věk tak, abychom (/teoreticky) mohli strávit v důchodu podle ministra Jurečky aspoň 21 let (Ministerstvo práce a sociálních věcí na webu uvádí 21,5).</w:t>
      </w:r>
    </w:p>
    <w:p w14:paraId="24A32252" w14:textId="77777777" w:rsidR="008B4829" w:rsidRDefault="008B4829" w:rsidP="008B4829">
      <w:pPr>
        <w:spacing w:after="0" w:line="240" w:lineRule="auto"/>
        <w:jc w:val="both"/>
        <w:rPr>
          <w:rFonts w:ascii="Times New Roman" w:hAnsi="Times New Roman"/>
          <w:sz w:val="28"/>
          <w:szCs w:val="28"/>
        </w:rPr>
      </w:pPr>
    </w:p>
    <w:p w14:paraId="21686A39" w14:textId="77777777" w:rsidR="008B4829" w:rsidRDefault="008B4829" w:rsidP="008B4829">
      <w:pPr>
        <w:spacing w:after="0" w:line="240" w:lineRule="auto"/>
        <w:jc w:val="both"/>
        <w:rPr>
          <w:rFonts w:ascii="Times New Roman" w:hAnsi="Times New Roman"/>
          <w:sz w:val="28"/>
          <w:szCs w:val="28"/>
        </w:rPr>
      </w:pPr>
    </w:p>
    <w:p w14:paraId="3DBFDCA8"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Změny ve výpočtu nových penzí</w:t>
      </w:r>
    </w:p>
    <w:p w14:paraId="0480EB9B" w14:textId="77777777" w:rsidR="008B4829" w:rsidRDefault="008B4829" w:rsidP="008B4829">
      <w:pPr>
        <w:spacing w:after="0" w:line="240" w:lineRule="auto"/>
        <w:jc w:val="both"/>
        <w:rPr>
          <w:rFonts w:ascii="Times New Roman" w:hAnsi="Times New Roman"/>
          <w:b/>
          <w:bCs/>
          <w:sz w:val="28"/>
          <w:szCs w:val="28"/>
        </w:rPr>
      </w:pPr>
    </w:p>
    <w:p w14:paraId="60DB533A" w14:textId="77777777" w:rsidR="008B4829" w:rsidRDefault="008B4829" w:rsidP="008B4829">
      <w:pPr>
        <w:spacing w:after="0" w:line="240" w:lineRule="auto"/>
        <w:jc w:val="both"/>
      </w:pPr>
      <w:r>
        <w:rPr>
          <w:rFonts w:ascii="Times New Roman" w:hAnsi="Times New Roman"/>
          <w:b/>
          <w:bCs/>
          <w:sz w:val="28"/>
          <w:szCs w:val="28"/>
        </w:rPr>
        <w:t xml:space="preserve">     </w:t>
      </w:r>
      <w:r>
        <w:rPr>
          <w:rFonts w:ascii="Times New Roman" w:hAnsi="Times New Roman"/>
          <w:sz w:val="28"/>
          <w:szCs w:val="28"/>
        </w:rPr>
        <w:t>Aby průměrné nové důchody nerostly rychleji než průměrná mzda, budou postupně v průběhu let 2026-2035 upraveny parametry výpočtu nových důchodů, aby došlo ke zpomalení jejich meziročního nárůstu. Úprava parametrů má spočívat:</w:t>
      </w:r>
    </w:p>
    <w:p w14:paraId="5914C191" w14:textId="77777777" w:rsidR="008B4829" w:rsidRDefault="008B4829" w:rsidP="008B4829">
      <w:pPr>
        <w:spacing w:after="0" w:line="240" w:lineRule="auto"/>
        <w:jc w:val="both"/>
        <w:rPr>
          <w:rFonts w:ascii="Times New Roman" w:hAnsi="Times New Roman"/>
          <w:sz w:val="28"/>
          <w:szCs w:val="28"/>
        </w:rPr>
      </w:pPr>
    </w:p>
    <w:p w14:paraId="0C52CE4A" w14:textId="77777777" w:rsidR="008B4829" w:rsidRDefault="008B4829" w:rsidP="008B4829">
      <w:pPr>
        <w:pStyle w:val="Odstavecseseznamem"/>
        <w:numPr>
          <w:ilvl w:val="0"/>
          <w:numId w:val="2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postupném snižování zápočtu příjmů do první redukční hranice (44 % průměrné mzdy) do výpočtového základu. Zápočet 100 % těchto příjmů se o několik procent sníží,</w:t>
      </w:r>
    </w:p>
    <w:p w14:paraId="5FC0B4F6" w14:textId="77777777" w:rsidR="008B4829" w:rsidRDefault="008B4829" w:rsidP="008B4829">
      <w:pPr>
        <w:pStyle w:val="Odstavecseseznamem"/>
        <w:numPr>
          <w:ilvl w:val="0"/>
          <w:numId w:val="2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postupném snižování procenta zápočtu výpočtového základu. Současný zápočet 1,5 % za každý rok pojištění se sníží o několik setin procenta.</w:t>
      </w:r>
    </w:p>
    <w:p w14:paraId="7EEB3787" w14:textId="77777777" w:rsidR="008B4829" w:rsidRDefault="008B4829" w:rsidP="008B4829">
      <w:pPr>
        <w:spacing w:after="0" w:line="240" w:lineRule="auto"/>
        <w:jc w:val="both"/>
        <w:rPr>
          <w:rFonts w:ascii="Times New Roman" w:hAnsi="Times New Roman"/>
          <w:sz w:val="28"/>
          <w:szCs w:val="28"/>
        </w:rPr>
      </w:pPr>
    </w:p>
    <w:p w14:paraId="5AB5EB6D" w14:textId="77777777" w:rsidR="008B4829" w:rsidRDefault="008B4829" w:rsidP="008B4829">
      <w:pPr>
        <w:spacing w:after="0" w:line="240" w:lineRule="auto"/>
        <w:jc w:val="both"/>
        <w:rPr>
          <w:rFonts w:ascii="Times New Roman" w:hAnsi="Times New Roman"/>
          <w:sz w:val="28"/>
          <w:szCs w:val="28"/>
        </w:rPr>
      </w:pPr>
    </w:p>
    <w:p w14:paraId="20BE210B"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Bude se jednat o zpomalení růstu nových důchodů o 150 až 200 Kč ročně. Ministr Jurečka na vládní tiskové konferenci uvedl, že zatímco podle současných parametrů by důchody v příštích deseti letech vzrostly zhruba o 12 tis. Kč, v důsledku těchto úprav vzrostou zhruba o 10 tis. Kč.</w:t>
      </w:r>
    </w:p>
    <w:p w14:paraId="39066529" w14:textId="77777777" w:rsidR="008B4829" w:rsidRDefault="008B4829" w:rsidP="008B4829">
      <w:pPr>
        <w:spacing w:after="0" w:line="240" w:lineRule="auto"/>
        <w:jc w:val="both"/>
        <w:rPr>
          <w:rFonts w:ascii="Times New Roman" w:hAnsi="Times New Roman"/>
          <w:sz w:val="28"/>
          <w:szCs w:val="28"/>
        </w:rPr>
      </w:pPr>
    </w:p>
    <w:p w14:paraId="45639848" w14:textId="77777777" w:rsidR="008B4829" w:rsidRDefault="008B4829" w:rsidP="008B4829">
      <w:pPr>
        <w:spacing w:after="0" w:line="240" w:lineRule="auto"/>
        <w:jc w:val="both"/>
        <w:rPr>
          <w:rFonts w:ascii="Times New Roman" w:hAnsi="Times New Roman"/>
          <w:sz w:val="28"/>
          <w:szCs w:val="28"/>
        </w:rPr>
      </w:pPr>
    </w:p>
    <w:p w14:paraId="18D5D973"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Rodičovský vyměřovací základ</w:t>
      </w:r>
    </w:p>
    <w:p w14:paraId="5F03DBB4" w14:textId="77777777" w:rsidR="008B4829" w:rsidRDefault="008B4829" w:rsidP="008B4829">
      <w:pPr>
        <w:spacing w:after="0" w:line="240" w:lineRule="auto"/>
        <w:jc w:val="both"/>
        <w:rPr>
          <w:rFonts w:ascii="Times New Roman" w:hAnsi="Times New Roman"/>
          <w:b/>
          <w:bCs/>
          <w:sz w:val="28"/>
          <w:szCs w:val="28"/>
        </w:rPr>
      </w:pPr>
    </w:p>
    <w:p w14:paraId="32107ACF"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Pro výpočet důchodu za dobu, kdy rodič pečuje o malé dítě (maximálně ale do 4 let) se dnes používá individuální průměrný výdělek za dobu jeho pracovní aktivity. Nově by se místo toho vycházelo z aktuální průměrné mzdy v ČR v daném roce, což by mělo pomoci hlavně matkám s nižšími příjmy. Při zavedení tohoto opatření by se mohlo průměrné zvýšení důchodu pečujících pohybovat v několik stovkách korun měsíčně, odhaduje ministr.</w:t>
      </w:r>
    </w:p>
    <w:p w14:paraId="3D4418B0" w14:textId="77777777" w:rsidR="008B4829" w:rsidRDefault="008B4829" w:rsidP="008B4829">
      <w:pPr>
        <w:spacing w:after="0" w:line="240" w:lineRule="auto"/>
        <w:jc w:val="both"/>
        <w:rPr>
          <w:rFonts w:ascii="Times New Roman" w:hAnsi="Times New Roman"/>
          <w:sz w:val="28"/>
          <w:szCs w:val="28"/>
        </w:rPr>
      </w:pPr>
    </w:p>
    <w:p w14:paraId="7873E855"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Pokud byste nastoupili do práce dříve, než dítě dosáhne 4 let, odvody z výdělku by se počítaly navíc. Opatření má tedy zároveň motivovat pečujícího pracovat už při péči o malé dítě. Podle ministra by ale zároveň měla zůstat i možnost zvolit st současný výpočet, který je výhodnější pro pečující rodiče s vysokými příjmy. Opatření by se kromě pečujících o dítě do 4 let týkalo také osob, které pečují o své nemohoucí blízké.</w:t>
      </w:r>
    </w:p>
    <w:p w14:paraId="11A50143" w14:textId="77777777" w:rsidR="008B4829" w:rsidRDefault="008B4829" w:rsidP="008B4829">
      <w:pPr>
        <w:spacing w:after="0" w:line="240" w:lineRule="auto"/>
        <w:jc w:val="both"/>
        <w:rPr>
          <w:rFonts w:ascii="Times New Roman" w:hAnsi="Times New Roman"/>
          <w:sz w:val="28"/>
          <w:szCs w:val="28"/>
        </w:rPr>
      </w:pPr>
    </w:p>
    <w:p w14:paraId="022E2EE7"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Fiktivní vyměřovací základ je jednoznačně pozitivní opatření pro rodiče dětí a pečující osoby, kteří jsou ve výměře starobního důchodu „trestáni“ za to, že se místo kariéry věnovali výchově dětí do 4 let nebo pečovali o osobu blízkou. Změnou metodiky bude jejich vyměřovací základ za tuto dobu vyšší, a proto se výpadek v jejich kariéře nebude tolik odrážet ve výši důchodu, okomentovala jedno z opatření ekonomka Danuše Nerudová, která tuto uměnu prosazovala už jako šéfka bývalé Důchodové komise.</w:t>
      </w:r>
    </w:p>
    <w:p w14:paraId="40C9F2F0" w14:textId="77777777" w:rsidR="008B4829" w:rsidRDefault="008B4829" w:rsidP="008B4829">
      <w:pPr>
        <w:spacing w:after="0" w:line="240" w:lineRule="auto"/>
        <w:jc w:val="both"/>
        <w:rPr>
          <w:rFonts w:ascii="Times New Roman" w:hAnsi="Times New Roman"/>
          <w:sz w:val="28"/>
          <w:szCs w:val="28"/>
        </w:rPr>
      </w:pPr>
    </w:p>
    <w:p w14:paraId="1E79C2AD"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Stát také plánuje větší podporu třetího pilíře důchodového systému prostřednictvím změn v daňové podpoře a změn u státních příspěvků.</w:t>
      </w:r>
    </w:p>
    <w:p w14:paraId="402E1707" w14:textId="77777777" w:rsidR="008B4829" w:rsidRDefault="008B4829" w:rsidP="008B4829">
      <w:pPr>
        <w:spacing w:after="0" w:line="240" w:lineRule="auto"/>
        <w:jc w:val="both"/>
        <w:rPr>
          <w:rFonts w:ascii="Times New Roman" w:hAnsi="Times New Roman"/>
          <w:sz w:val="28"/>
          <w:szCs w:val="28"/>
        </w:rPr>
      </w:pPr>
    </w:p>
    <w:p w14:paraId="43363984" w14:textId="77777777" w:rsidR="008B4829" w:rsidRDefault="008B4829" w:rsidP="008B4829">
      <w:pPr>
        <w:spacing w:after="0" w:line="240" w:lineRule="auto"/>
        <w:jc w:val="both"/>
        <w:rPr>
          <w:rFonts w:ascii="Times New Roman" w:hAnsi="Times New Roman"/>
          <w:sz w:val="28"/>
          <w:szCs w:val="28"/>
        </w:rPr>
      </w:pPr>
    </w:p>
    <w:p w14:paraId="12494BDB" w14:textId="77777777" w:rsidR="008B4829" w:rsidRDefault="008B4829" w:rsidP="008B4829">
      <w:pPr>
        <w:spacing w:after="0" w:line="240" w:lineRule="auto"/>
        <w:jc w:val="both"/>
        <w:rPr>
          <w:rFonts w:ascii="Times New Roman" w:hAnsi="Times New Roman"/>
          <w:sz w:val="28"/>
          <w:szCs w:val="28"/>
        </w:rPr>
      </w:pPr>
    </w:p>
    <w:p w14:paraId="20EFCE4D"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Sdílení důchodových nároků mezi manželi</w:t>
      </w:r>
    </w:p>
    <w:p w14:paraId="2ACA2D3A" w14:textId="77777777" w:rsidR="008B4829" w:rsidRDefault="008B4829" w:rsidP="008B4829">
      <w:pPr>
        <w:spacing w:after="0" w:line="240" w:lineRule="auto"/>
        <w:jc w:val="both"/>
        <w:rPr>
          <w:rFonts w:ascii="Times New Roman" w:hAnsi="Times New Roman"/>
          <w:b/>
          <w:bCs/>
          <w:sz w:val="28"/>
          <w:szCs w:val="28"/>
        </w:rPr>
      </w:pPr>
    </w:p>
    <w:p w14:paraId="2935C7F6" w14:textId="77777777" w:rsidR="008B4829" w:rsidRDefault="008B4829" w:rsidP="008B4829">
      <w:pPr>
        <w:spacing w:after="0" w:line="240" w:lineRule="auto"/>
        <w:jc w:val="both"/>
      </w:pPr>
      <w:r>
        <w:rPr>
          <w:rFonts w:ascii="Times New Roman" w:hAnsi="Times New Roman"/>
          <w:b/>
          <w:bCs/>
          <w:sz w:val="28"/>
          <w:szCs w:val="28"/>
        </w:rPr>
        <w:t xml:space="preserve">     </w:t>
      </w:r>
      <w:r>
        <w:rPr>
          <w:rFonts w:ascii="Times New Roman" w:hAnsi="Times New Roman"/>
          <w:sz w:val="28"/>
          <w:szCs w:val="28"/>
        </w:rPr>
        <w:t>Manželé by měli získat možnost se dohodnout, že jejich odvody sociálního pojištění budou za dobu trvání manželství započítané společně. V takovém případě by jim byl zpravidla vyměřen stejný, nebo velmi podobný důchod. Opatření by bylo dobrovolné, o rozpočítání by bylo možné žádat i zpětně při odchodu do penze.</w:t>
      </w:r>
    </w:p>
    <w:p w14:paraId="0F45038F" w14:textId="77777777" w:rsidR="008B4829" w:rsidRDefault="008B4829" w:rsidP="008B4829">
      <w:pPr>
        <w:spacing w:after="0" w:line="240" w:lineRule="auto"/>
        <w:jc w:val="both"/>
        <w:rPr>
          <w:rFonts w:ascii="Times New Roman" w:hAnsi="Times New Roman"/>
          <w:sz w:val="28"/>
          <w:szCs w:val="28"/>
        </w:rPr>
      </w:pPr>
    </w:p>
    <w:p w14:paraId="25F4F123" w14:textId="77777777" w:rsidR="008B4829" w:rsidRDefault="008B4829" w:rsidP="008B4829">
      <w:pPr>
        <w:spacing w:after="0" w:line="240" w:lineRule="auto"/>
        <w:jc w:val="both"/>
        <w:rPr>
          <w:rFonts w:ascii="Times New Roman" w:hAnsi="Times New Roman"/>
          <w:sz w:val="28"/>
          <w:szCs w:val="28"/>
        </w:rPr>
      </w:pPr>
    </w:p>
    <w:p w14:paraId="65A63A99"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Prodloužení nároku na vdovský/vdovecký důchod</w:t>
      </w:r>
    </w:p>
    <w:p w14:paraId="3522DB85" w14:textId="77777777" w:rsidR="008B4829" w:rsidRDefault="008B4829" w:rsidP="008B4829">
      <w:pPr>
        <w:spacing w:after="0" w:line="240" w:lineRule="auto"/>
        <w:jc w:val="both"/>
        <w:rPr>
          <w:rFonts w:ascii="Times New Roman" w:hAnsi="Times New Roman"/>
          <w:b/>
          <w:bCs/>
          <w:sz w:val="28"/>
          <w:szCs w:val="28"/>
        </w:rPr>
      </w:pPr>
    </w:p>
    <w:p w14:paraId="154C524A"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Vdovský/vdovecký důchod se nyní vyplácí standardně po dobu jednoho roku od smrti manžela/manželky. Po uplynutí této doby pokračuje výplata, jen pokud:</w:t>
      </w:r>
    </w:p>
    <w:p w14:paraId="2BFD939C" w14:textId="77777777" w:rsidR="008B4829" w:rsidRDefault="008B4829" w:rsidP="008B4829">
      <w:pPr>
        <w:spacing w:after="0" w:line="240" w:lineRule="auto"/>
        <w:jc w:val="both"/>
        <w:rPr>
          <w:rFonts w:ascii="Times New Roman" w:hAnsi="Times New Roman"/>
          <w:sz w:val="28"/>
          <w:szCs w:val="28"/>
        </w:rPr>
      </w:pPr>
    </w:p>
    <w:p w14:paraId="3A14A063" w14:textId="77777777" w:rsidR="008B4829" w:rsidRDefault="008B4829" w:rsidP="008B4829">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pozůstalá osoba se stará o nezaopatřené dítě nebo pečuje o dítě, příp. o svého rodiče nebo o rodiče zemřelého manžela/</w:t>
      </w:r>
      <w:proofErr w:type="spellStart"/>
      <w:r>
        <w:rPr>
          <w:rFonts w:ascii="Times New Roman" w:hAnsi="Times New Roman"/>
          <w:sz w:val="28"/>
          <w:szCs w:val="28"/>
        </w:rPr>
        <w:t>ky</w:t>
      </w:r>
      <w:proofErr w:type="spellEnd"/>
      <w:r>
        <w:rPr>
          <w:rFonts w:ascii="Times New Roman" w:hAnsi="Times New Roman"/>
          <w:sz w:val="28"/>
          <w:szCs w:val="28"/>
        </w:rPr>
        <w:t xml:space="preserve"> (tchána, tchyni), kteří jsou závislí na jeho/její pomoci ve stupni II, III, nebo IV,</w:t>
      </w:r>
    </w:p>
    <w:p w14:paraId="4459D234" w14:textId="77777777" w:rsidR="008B4829" w:rsidRDefault="008B4829" w:rsidP="008B4829">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je sám/sama v invalidním důchodu ve III. stupni,</w:t>
      </w:r>
    </w:p>
    <w:p w14:paraId="44E1DF5F" w14:textId="77777777" w:rsidR="008B4829" w:rsidRDefault="008B4829" w:rsidP="008B4829">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dosáhl/a důchodového věku.</w:t>
      </w:r>
    </w:p>
    <w:p w14:paraId="2843081E" w14:textId="77777777" w:rsidR="008B4829" w:rsidRDefault="008B4829" w:rsidP="008B4829">
      <w:pPr>
        <w:spacing w:after="0" w:line="240" w:lineRule="auto"/>
        <w:jc w:val="both"/>
        <w:rPr>
          <w:rFonts w:ascii="Times New Roman" w:hAnsi="Times New Roman"/>
          <w:sz w:val="28"/>
          <w:szCs w:val="28"/>
        </w:rPr>
      </w:pPr>
    </w:p>
    <w:p w14:paraId="2E9B411D"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V případě, že nyní vdovec či vdova po roce ztratí na tento pozůstalostní důchod nárok, může dojít k jeho obnovení v případě, že výše uvedené podmínky nastanou do dvou let od zániku na tuto penzi. Nově se má toto období pro obnovení nároku prodloužit na 5 let po skončení předchozí výplaty. Změna se týká lidí, kteří pobírají tento pozůstalostní důchod už během pracovní kariéry. Ti, kteří ho pobírají v seniorském věku souběžně se starobním důchodem, totiž o nic nepřijdou.</w:t>
      </w:r>
    </w:p>
    <w:p w14:paraId="151DC3B0" w14:textId="77777777" w:rsidR="008B4829" w:rsidRDefault="008B4829" w:rsidP="008B4829">
      <w:pPr>
        <w:spacing w:after="0" w:line="240" w:lineRule="auto"/>
        <w:jc w:val="both"/>
        <w:rPr>
          <w:rFonts w:ascii="Times New Roman" w:hAnsi="Times New Roman"/>
          <w:sz w:val="28"/>
          <w:szCs w:val="28"/>
        </w:rPr>
      </w:pPr>
    </w:p>
    <w:p w14:paraId="31E8FBB9" w14:textId="77777777" w:rsidR="008B4829" w:rsidRDefault="008B4829" w:rsidP="008B4829">
      <w:pPr>
        <w:spacing w:after="0" w:line="240" w:lineRule="auto"/>
        <w:jc w:val="both"/>
        <w:rPr>
          <w:rFonts w:ascii="Times New Roman" w:hAnsi="Times New Roman"/>
          <w:sz w:val="28"/>
          <w:szCs w:val="28"/>
        </w:rPr>
      </w:pPr>
    </w:p>
    <w:p w14:paraId="520DB84E"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Navýšení odvodů na důchodové pojištění pro OSVČ</w:t>
      </w:r>
    </w:p>
    <w:p w14:paraId="736468D7" w14:textId="77777777" w:rsidR="008B4829" w:rsidRDefault="008B4829" w:rsidP="008B4829">
      <w:pPr>
        <w:spacing w:after="0" w:line="240" w:lineRule="auto"/>
        <w:jc w:val="both"/>
        <w:rPr>
          <w:rFonts w:ascii="Times New Roman" w:hAnsi="Times New Roman"/>
          <w:b/>
          <w:bCs/>
          <w:sz w:val="28"/>
          <w:szCs w:val="28"/>
        </w:rPr>
      </w:pPr>
    </w:p>
    <w:p w14:paraId="6E16FE82"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Ministr Jurečka uvedl, že 60 % OSVČ platí na důchodové pojištění jen minimální zálohy (tedy zálohy odvozené z minimálního vyměřovacího základu). Protože si ministr práce a sociálních věcí dělá starosti o budoucí výši důchodu takových osob, plánuje postupně během tří let navýšit tento minimální vyměřovací základ na úroveň 40 % průměrné mzdy, tedy zhruba na úroveň minimální mzdy (nyní 17 300 Kč).</w:t>
      </w:r>
    </w:p>
    <w:p w14:paraId="032EAB8E" w14:textId="77777777" w:rsidR="008B4829" w:rsidRDefault="008B4829" w:rsidP="008B4829">
      <w:pPr>
        <w:spacing w:after="0" w:line="240" w:lineRule="auto"/>
        <w:jc w:val="both"/>
        <w:rPr>
          <w:rFonts w:ascii="Times New Roman" w:hAnsi="Times New Roman"/>
          <w:sz w:val="28"/>
          <w:szCs w:val="28"/>
        </w:rPr>
      </w:pPr>
    </w:p>
    <w:p w14:paraId="30781079"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Při současných číslech by vzrostla minimální záloha ze současných 2944 Kč na úroveň kolem 5 tis. Kč. Opatření, které má odvody k této úrovni navyšovat postupně každý rok asi o 600 Kč, dopadne nejtvrději na OSVČ s nízkými příjmy, kterým velmi výrazně vzroste měsíční záloha na důchodové pojištění.</w:t>
      </w:r>
    </w:p>
    <w:p w14:paraId="091CBA0B" w14:textId="77777777" w:rsidR="008B4829" w:rsidRDefault="008B4829" w:rsidP="008B4829">
      <w:pPr>
        <w:spacing w:after="0" w:line="240" w:lineRule="auto"/>
        <w:jc w:val="both"/>
        <w:rPr>
          <w:rFonts w:ascii="Times New Roman" w:hAnsi="Times New Roman"/>
          <w:sz w:val="28"/>
          <w:szCs w:val="28"/>
        </w:rPr>
      </w:pPr>
    </w:p>
    <w:p w14:paraId="2E19F870"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Ministr dále navrhl, aby OSVČ platily pojistné nejméně z 55 % základu daně namísto současných 50 %. Toto je nakonec odlehčená verze původní myšlenky, kdy chtěl Jurečka stanovit podíl ze základu daně na 70 %. Ministr tak paradoxně zmírnil opatření, které by dolehlo jen na OSVČ s vyššími příjmy, zatímco změnu, která výrazněji ubere z peněženek podnikatelům s nižšími příjmy, ponechal v celé své tvrdosti.</w:t>
      </w:r>
    </w:p>
    <w:p w14:paraId="355C9C42" w14:textId="77777777" w:rsidR="008B4829" w:rsidRDefault="008B4829" w:rsidP="008B4829">
      <w:pPr>
        <w:spacing w:after="0" w:line="240" w:lineRule="auto"/>
        <w:jc w:val="both"/>
        <w:rPr>
          <w:rFonts w:ascii="Times New Roman" w:hAnsi="Times New Roman"/>
          <w:sz w:val="28"/>
          <w:szCs w:val="28"/>
        </w:rPr>
      </w:pPr>
    </w:p>
    <w:p w14:paraId="1066A293"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Proti navrhované změně se vymezila Asociace malých a středních podniků a živnostníků ČR. Navrhované změny naruší křehkou rovnováhu mezi odvodovou </w:t>
      </w:r>
    </w:p>
    <w:p w14:paraId="23A58141" w14:textId="77777777" w:rsidR="008B4829" w:rsidRDefault="008B4829" w:rsidP="008B4829">
      <w:pPr>
        <w:spacing w:after="0" w:line="240" w:lineRule="auto"/>
        <w:jc w:val="both"/>
        <w:rPr>
          <w:rFonts w:ascii="Times New Roman" w:hAnsi="Times New Roman"/>
          <w:sz w:val="28"/>
          <w:szCs w:val="28"/>
        </w:rPr>
      </w:pPr>
    </w:p>
    <w:p w14:paraId="3CE352F7" w14:textId="1F5C7042"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lastRenderedPageBreak/>
        <w:t>stránkou věci na jedné misce vah a břemenem spojeným s podnikáním na druhé. Oni totiž podnikatelé (OSVČ) na penězích, které jim stát nesebere, „nesedí“. A už vůbec je nevyvádějí pomocí dividend a dalších nástrojů do zahraničí, jak se stalo v určitých sektorech běžné. Živnostník bude utrácet doma, a pomůže tak vlastní ekonomice, uvedli zástupci Asociace a připomněli, že OSVĆ na rozdíl od zaměstnance nemá nárok například na stravenky, daňovou uznatelnost odvodů nebo proplácení dnů dovolené apod.</w:t>
      </w:r>
    </w:p>
    <w:p w14:paraId="77F2900A" w14:textId="77777777" w:rsidR="008B4829" w:rsidRDefault="008B4829" w:rsidP="008B4829">
      <w:pPr>
        <w:spacing w:after="0" w:line="240" w:lineRule="auto"/>
        <w:jc w:val="both"/>
        <w:rPr>
          <w:rFonts w:ascii="Times New Roman" w:hAnsi="Times New Roman"/>
          <w:sz w:val="28"/>
          <w:szCs w:val="28"/>
        </w:rPr>
      </w:pPr>
    </w:p>
    <w:p w14:paraId="2F8CC652" w14:textId="77777777" w:rsidR="008B4829" w:rsidRDefault="008B4829" w:rsidP="008B4829">
      <w:pPr>
        <w:spacing w:after="0" w:line="240" w:lineRule="auto"/>
        <w:jc w:val="both"/>
        <w:rPr>
          <w:rFonts w:ascii="Times New Roman" w:hAnsi="Times New Roman"/>
          <w:sz w:val="28"/>
          <w:szCs w:val="28"/>
        </w:rPr>
      </w:pPr>
    </w:p>
    <w:p w14:paraId="46A106D7"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Omezení kumulace dohod o provedení práce</w:t>
      </w:r>
    </w:p>
    <w:p w14:paraId="2A9031C9" w14:textId="77777777" w:rsidR="008B4829" w:rsidRDefault="008B4829" w:rsidP="008B4829">
      <w:pPr>
        <w:spacing w:after="0" w:line="240" w:lineRule="auto"/>
        <w:jc w:val="both"/>
        <w:rPr>
          <w:rFonts w:ascii="Times New Roman" w:hAnsi="Times New Roman"/>
          <w:b/>
          <w:bCs/>
          <w:sz w:val="28"/>
          <w:szCs w:val="28"/>
        </w:rPr>
      </w:pPr>
    </w:p>
    <w:p w14:paraId="78D2B106"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Dále chce ministr práce a sociálních věcí bojovat proti kumulaci dohod o provedení práce (DPP). Dohody o provedení práce mají poskytovat zaměstnancům doplňkový příjem, jejich počet a objem mzdových prostředků z DPP však rychle roste a již jsou využívány některými skupinami obyvatel jako hlavní zdroj příjmu. Státu tak uchází vysoké objemy pojistného a někteří pracovníci na dohody pak nezískávají potřebnou pojištěnou dobu pro nárok na důchod.</w:t>
      </w:r>
    </w:p>
    <w:p w14:paraId="45DE3E8C" w14:textId="77777777" w:rsidR="008B4829" w:rsidRDefault="008B4829" w:rsidP="008B4829">
      <w:pPr>
        <w:spacing w:after="0" w:line="240" w:lineRule="auto"/>
        <w:jc w:val="both"/>
        <w:rPr>
          <w:rFonts w:ascii="Times New Roman" w:hAnsi="Times New Roman"/>
          <w:sz w:val="28"/>
          <w:szCs w:val="28"/>
        </w:rPr>
      </w:pPr>
    </w:p>
    <w:p w14:paraId="7A125500"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Limit měsíčního příjmu, kdy z této dohody není nutné platit pojištění, zůstane u jednoho zaměstnavatele zachován. Nově se ale bude na výdělek z DPP pohlížet jako na jeden celek, nehledě na to, že pochází z dohod od více zaměstnavatelů.</w:t>
      </w:r>
    </w:p>
    <w:p w14:paraId="2C53E088" w14:textId="77777777" w:rsidR="008B4829" w:rsidRDefault="008B4829" w:rsidP="008B4829">
      <w:pPr>
        <w:spacing w:after="0" w:line="240" w:lineRule="auto"/>
        <w:jc w:val="both"/>
        <w:rPr>
          <w:rFonts w:ascii="Times New Roman" w:hAnsi="Times New Roman"/>
          <w:sz w:val="28"/>
          <w:szCs w:val="28"/>
        </w:rPr>
      </w:pPr>
    </w:p>
    <w:p w14:paraId="28D97AE1"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Bude zaveden druhý kumulativní limit příjmu zaměstnance ze všech DPP (od více zaměstnavatelů) a při jeho překročení se bude z celého příjmu platit odvod pojištění, dodal ministr.</w:t>
      </w:r>
    </w:p>
    <w:p w14:paraId="3A4BC96E" w14:textId="77777777" w:rsidR="008B4829" w:rsidRDefault="008B4829" w:rsidP="008B4829">
      <w:pPr>
        <w:spacing w:after="0" w:line="240" w:lineRule="auto"/>
        <w:jc w:val="both"/>
        <w:rPr>
          <w:rFonts w:ascii="Times New Roman" w:hAnsi="Times New Roman"/>
          <w:sz w:val="28"/>
          <w:szCs w:val="28"/>
        </w:rPr>
      </w:pPr>
    </w:p>
    <w:p w14:paraId="087B4393"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Zaměstnavatelé tak budou muset hlásit České správě sociálního zabezpečení všechny zaměstnance pracující na DPP, aby úřad mohl vyhodnocovat souběhy dohod u více zaměstnavatelů a identifikovat případy, kdy nejsou dohody využívány jen k doplňkovému příjmu.</w:t>
      </w:r>
    </w:p>
    <w:p w14:paraId="7BDC243B" w14:textId="77777777" w:rsidR="008B4829" w:rsidRDefault="008B4829" w:rsidP="008B4829">
      <w:pPr>
        <w:spacing w:after="0" w:line="240" w:lineRule="auto"/>
        <w:jc w:val="both"/>
        <w:rPr>
          <w:rFonts w:ascii="Times New Roman" w:hAnsi="Times New Roman"/>
          <w:sz w:val="28"/>
          <w:szCs w:val="28"/>
        </w:rPr>
      </w:pPr>
    </w:p>
    <w:p w14:paraId="4766F6BA" w14:textId="77777777" w:rsidR="008B4829" w:rsidRDefault="008B4829" w:rsidP="008B4829">
      <w:pPr>
        <w:spacing w:after="0" w:line="240" w:lineRule="auto"/>
        <w:jc w:val="both"/>
        <w:rPr>
          <w:rFonts w:ascii="Times New Roman" w:hAnsi="Times New Roman"/>
          <w:sz w:val="28"/>
          <w:szCs w:val="28"/>
        </w:rPr>
      </w:pPr>
    </w:p>
    <w:p w14:paraId="54140AD2"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Vyšší garantovaný důchod</w:t>
      </w:r>
    </w:p>
    <w:p w14:paraId="1FEFFE8C" w14:textId="77777777" w:rsidR="008B4829" w:rsidRDefault="008B4829" w:rsidP="008B4829">
      <w:pPr>
        <w:spacing w:after="0" w:line="240" w:lineRule="auto"/>
        <w:jc w:val="both"/>
        <w:rPr>
          <w:rFonts w:ascii="Times New Roman" w:hAnsi="Times New Roman"/>
          <w:b/>
          <w:bCs/>
          <w:sz w:val="28"/>
          <w:szCs w:val="28"/>
        </w:rPr>
      </w:pPr>
    </w:p>
    <w:p w14:paraId="5504F5AF"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Každý, kdo získá dobu pojištění v délce 35 let a dosáhne důchodového věku, má nárok na minimální výši důchodu. Základní výměra ve výši 10 % průměrné mzdy zůstane zachována. Zároveň bude ale zvýšena minimální procentní výměra ze 770 Kč na 10 % průměrné mzdy. Nově by tedy letošní minimální důchod měl vyjít na 8080 Kč. Podle současných pravidel přitom činí 4810 Kč.</w:t>
      </w:r>
    </w:p>
    <w:p w14:paraId="3A521696" w14:textId="77777777" w:rsidR="008B4829" w:rsidRDefault="008B4829" w:rsidP="008B4829">
      <w:pPr>
        <w:spacing w:after="0" w:line="240" w:lineRule="auto"/>
        <w:jc w:val="both"/>
        <w:rPr>
          <w:rFonts w:ascii="Times New Roman" w:hAnsi="Times New Roman"/>
          <w:sz w:val="28"/>
          <w:szCs w:val="28"/>
        </w:rPr>
      </w:pPr>
    </w:p>
    <w:p w14:paraId="3E8A7613" w14:textId="77777777" w:rsidR="008B4829" w:rsidRDefault="008B4829" w:rsidP="008B4829">
      <w:pPr>
        <w:spacing w:after="0" w:line="240" w:lineRule="auto"/>
        <w:jc w:val="both"/>
        <w:rPr>
          <w:rFonts w:ascii="Times New Roman" w:hAnsi="Times New Roman"/>
          <w:sz w:val="28"/>
          <w:szCs w:val="28"/>
        </w:rPr>
      </w:pPr>
    </w:p>
    <w:p w14:paraId="7A39546D"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Opatření podle ministra práce a sociálních věcí cílí na podporu důchodců s nejnižšími penzemi, kteří většinu života pracovali nebo pečovali o někoho jiného, ale měli velmi nízké příjmy.</w:t>
      </w:r>
    </w:p>
    <w:p w14:paraId="0468D4EF" w14:textId="77777777" w:rsidR="008B4829" w:rsidRDefault="008B4829" w:rsidP="008B4829">
      <w:pPr>
        <w:spacing w:after="0" w:line="240" w:lineRule="auto"/>
        <w:jc w:val="both"/>
        <w:rPr>
          <w:rFonts w:ascii="Times New Roman" w:hAnsi="Times New Roman"/>
          <w:sz w:val="28"/>
          <w:szCs w:val="28"/>
        </w:rPr>
      </w:pPr>
    </w:p>
    <w:p w14:paraId="44BD87B3"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360BC4AE"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Státní příspěvek u penzijního spoření pouze v rámci renty</w:t>
      </w:r>
    </w:p>
    <w:p w14:paraId="7C851B34" w14:textId="77777777" w:rsidR="008B4829" w:rsidRDefault="008B4829" w:rsidP="008B4829">
      <w:pPr>
        <w:spacing w:after="0" w:line="240" w:lineRule="auto"/>
        <w:jc w:val="both"/>
        <w:rPr>
          <w:rFonts w:ascii="Times New Roman" w:hAnsi="Times New Roman"/>
          <w:b/>
          <w:bCs/>
          <w:sz w:val="28"/>
          <w:szCs w:val="28"/>
        </w:rPr>
      </w:pPr>
    </w:p>
    <w:p w14:paraId="19718B7C"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Podle ministra práce a sociálních věcí Mariana Jurečky totiž střadatelé zneužívají státní podporu tím, že celou částku většinou vyberou najednou a peníze včetně státní podpory použijí například na dovolenou.</w:t>
      </w:r>
    </w:p>
    <w:p w14:paraId="3400D59C" w14:textId="77777777" w:rsidR="008B4829" w:rsidRDefault="008B4829" w:rsidP="008B4829">
      <w:pPr>
        <w:spacing w:after="0" w:line="240" w:lineRule="auto"/>
        <w:jc w:val="both"/>
        <w:rPr>
          <w:rFonts w:ascii="Times New Roman" w:hAnsi="Times New Roman"/>
          <w:sz w:val="28"/>
          <w:szCs w:val="28"/>
        </w:rPr>
      </w:pPr>
    </w:p>
    <w:p w14:paraId="1F0F990A" w14:textId="77777777" w:rsidR="008B4829" w:rsidRDefault="008B4829" w:rsidP="008B4829">
      <w:pPr>
        <w:spacing w:after="0" w:line="240" w:lineRule="auto"/>
        <w:jc w:val="both"/>
      </w:pPr>
      <w:r>
        <w:rPr>
          <w:rFonts w:ascii="Times New Roman" w:hAnsi="Times New Roman"/>
          <w:sz w:val="28"/>
          <w:szCs w:val="28"/>
        </w:rPr>
        <w:t xml:space="preserve">     Ministr chce proto změnit podmínky penzijního spoření v tom smyslu, že státní podpora bude dostupná pouze těm, kteří si peníze budou vybírat formou renty v průběhu 10 let, nebo budou investovat naspořené peníze do bydlení. </w:t>
      </w:r>
      <w:r>
        <w:rPr>
          <w:rFonts w:ascii="Times New Roman" w:hAnsi="Times New Roman"/>
          <w:i/>
          <w:iCs/>
          <w:sz w:val="28"/>
          <w:szCs w:val="28"/>
        </w:rPr>
        <w:t xml:space="preserve">„Chci, aby tam byla garance, že státní příspěvek bude, když si rentu člověk bude vybírat postupně. Budu dbát na to, aby se to ve druhém čtení takto upravilo“, </w:t>
      </w:r>
      <w:r>
        <w:rPr>
          <w:rFonts w:ascii="Times New Roman" w:hAnsi="Times New Roman"/>
          <w:sz w:val="28"/>
          <w:szCs w:val="28"/>
        </w:rPr>
        <w:t>upřesnil ministr.</w:t>
      </w:r>
    </w:p>
    <w:p w14:paraId="346EE688" w14:textId="77777777" w:rsidR="008B4829" w:rsidRDefault="008B4829" w:rsidP="008B4829">
      <w:pPr>
        <w:spacing w:after="0" w:line="240" w:lineRule="auto"/>
        <w:jc w:val="both"/>
        <w:rPr>
          <w:rFonts w:ascii="Times New Roman" w:hAnsi="Times New Roman"/>
          <w:sz w:val="28"/>
          <w:szCs w:val="28"/>
        </w:rPr>
      </w:pPr>
    </w:p>
    <w:p w14:paraId="1D8EB757"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A jak hodnotí nový návrh samotné penzijní společnosti? Podpořit čerpání rentou oproti jednorázovému výběru je podle nich smysluplné. Stát vkládá do penzijního spoření své peníze, a proto má právo říct, jak bude s jeho příspěvky nakládáno.</w:t>
      </w:r>
    </w:p>
    <w:p w14:paraId="071C4679" w14:textId="77777777" w:rsidR="008B4829" w:rsidRDefault="008B4829" w:rsidP="008B4829">
      <w:pPr>
        <w:spacing w:after="0" w:line="240" w:lineRule="auto"/>
        <w:jc w:val="both"/>
        <w:rPr>
          <w:rFonts w:ascii="Times New Roman" w:hAnsi="Times New Roman"/>
          <w:sz w:val="28"/>
          <w:szCs w:val="28"/>
        </w:rPr>
      </w:pPr>
    </w:p>
    <w:p w14:paraId="62C83678"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Již nyní stát jednorázové výběry naspořené penzijní částky znevýhodňuje vyšším zdaněním. Potenciálně dále zpřísnit podmínky, za nichž mohou klienti naspořenou penzi jednorázově vybrat, považují za možná smysluplnější, než paušálně zakázat jednorázový výběr jako takový. Mohou totiž existovat situace, kdy je pro finanční zdraví klienta výhodnější vybrat naspořenou částku jednorázově a část z ní například dále investovat. Zároveň by bylo dobré, aby podmínky pro jednorázový výběr u státem podporovaných penzijních produktů byly vždy stejné, řekl Aleš Poklop, předseda představenstva Penzijní společnosti České spořitelny.</w:t>
      </w:r>
    </w:p>
    <w:p w14:paraId="35DE815F" w14:textId="77777777" w:rsidR="008B4829" w:rsidRDefault="008B4829" w:rsidP="008B4829">
      <w:pPr>
        <w:spacing w:after="0" w:line="240" w:lineRule="auto"/>
        <w:jc w:val="both"/>
        <w:rPr>
          <w:rFonts w:ascii="Times New Roman" w:hAnsi="Times New Roman"/>
          <w:sz w:val="28"/>
          <w:szCs w:val="28"/>
        </w:rPr>
      </w:pPr>
    </w:p>
    <w:p w14:paraId="3415E2F1"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Zdroj:  Měšec.cz, Podnikatel.cz</w:t>
      </w:r>
    </w:p>
    <w:p w14:paraId="46B011B0" w14:textId="77777777" w:rsidR="008B4829" w:rsidRDefault="008B4829" w:rsidP="008B4829">
      <w:pPr>
        <w:spacing w:after="0" w:line="240" w:lineRule="auto"/>
        <w:jc w:val="both"/>
        <w:rPr>
          <w:rFonts w:ascii="Times New Roman" w:hAnsi="Times New Roman"/>
          <w:sz w:val="28"/>
          <w:szCs w:val="28"/>
        </w:rPr>
      </w:pPr>
    </w:p>
    <w:p w14:paraId="6BA37A7B" w14:textId="77777777" w:rsidR="008B4829" w:rsidRDefault="008B4829" w:rsidP="008B4829">
      <w:pPr>
        <w:spacing w:after="0" w:line="240" w:lineRule="auto"/>
        <w:jc w:val="both"/>
        <w:rPr>
          <w:rFonts w:ascii="Times New Roman" w:hAnsi="Times New Roman"/>
          <w:sz w:val="28"/>
          <w:szCs w:val="28"/>
        </w:rPr>
      </w:pPr>
    </w:p>
    <w:p w14:paraId="799EAFF3" w14:textId="77777777" w:rsidR="008B4829" w:rsidRDefault="008B4829" w:rsidP="008B4829">
      <w:pPr>
        <w:spacing w:after="0" w:line="240" w:lineRule="auto"/>
        <w:jc w:val="both"/>
        <w:rPr>
          <w:rFonts w:ascii="Times New Roman" w:hAnsi="Times New Roman"/>
          <w:sz w:val="28"/>
          <w:szCs w:val="28"/>
        </w:rPr>
      </w:pPr>
    </w:p>
    <w:p w14:paraId="57D0F370" w14:textId="77777777" w:rsidR="008B4829" w:rsidRDefault="008B4829" w:rsidP="008B4829">
      <w:pPr>
        <w:spacing w:after="0" w:line="240" w:lineRule="auto"/>
        <w:jc w:val="both"/>
        <w:rPr>
          <w:rFonts w:ascii="Times New Roman" w:hAnsi="Times New Roman"/>
          <w:b/>
          <w:bCs/>
          <w:sz w:val="28"/>
          <w:szCs w:val="28"/>
        </w:rPr>
      </w:pPr>
    </w:p>
    <w:p w14:paraId="22FAF0BD" w14:textId="77777777" w:rsidR="008B4829" w:rsidRDefault="008B4829" w:rsidP="008B4829">
      <w:pPr>
        <w:spacing w:after="0" w:line="240" w:lineRule="auto"/>
        <w:jc w:val="both"/>
        <w:rPr>
          <w:rFonts w:ascii="Times New Roman" w:hAnsi="Times New Roman"/>
          <w:b/>
          <w:bCs/>
          <w:sz w:val="28"/>
          <w:szCs w:val="28"/>
        </w:rPr>
      </w:pPr>
    </w:p>
    <w:p w14:paraId="5E329EEC" w14:textId="77777777" w:rsidR="008B4829" w:rsidRDefault="008B4829" w:rsidP="008B4829">
      <w:pPr>
        <w:spacing w:after="0" w:line="240" w:lineRule="auto"/>
        <w:jc w:val="both"/>
        <w:rPr>
          <w:rFonts w:ascii="Times New Roman" w:hAnsi="Times New Roman"/>
          <w:b/>
          <w:bCs/>
          <w:sz w:val="28"/>
          <w:szCs w:val="28"/>
        </w:rPr>
      </w:pPr>
    </w:p>
    <w:p w14:paraId="5D739CB3" w14:textId="77777777" w:rsidR="008B4829" w:rsidRDefault="008B4829" w:rsidP="008B4829">
      <w:pPr>
        <w:spacing w:after="0" w:line="240" w:lineRule="auto"/>
        <w:jc w:val="both"/>
        <w:rPr>
          <w:rFonts w:ascii="Times New Roman" w:hAnsi="Times New Roman"/>
          <w:b/>
          <w:bCs/>
          <w:sz w:val="28"/>
          <w:szCs w:val="28"/>
        </w:rPr>
      </w:pPr>
    </w:p>
    <w:p w14:paraId="79BDB211" w14:textId="77777777" w:rsidR="008B4829" w:rsidRDefault="008B4829" w:rsidP="008B4829">
      <w:pPr>
        <w:spacing w:after="0" w:line="240" w:lineRule="auto"/>
        <w:jc w:val="both"/>
        <w:rPr>
          <w:rFonts w:ascii="Times New Roman" w:hAnsi="Times New Roman"/>
          <w:b/>
          <w:bCs/>
          <w:sz w:val="28"/>
          <w:szCs w:val="28"/>
        </w:rPr>
      </w:pPr>
    </w:p>
    <w:p w14:paraId="2F7C520F" w14:textId="77777777" w:rsidR="008B4829" w:rsidRDefault="008B4829" w:rsidP="008B4829">
      <w:pPr>
        <w:spacing w:after="0" w:line="240" w:lineRule="auto"/>
        <w:jc w:val="both"/>
        <w:rPr>
          <w:rFonts w:ascii="Times New Roman" w:hAnsi="Times New Roman"/>
          <w:b/>
          <w:bCs/>
          <w:sz w:val="28"/>
          <w:szCs w:val="28"/>
        </w:rPr>
      </w:pPr>
    </w:p>
    <w:p w14:paraId="68658E1C" w14:textId="77777777" w:rsidR="008B4829" w:rsidRDefault="008B4829" w:rsidP="008B4829">
      <w:pPr>
        <w:spacing w:after="0" w:line="240" w:lineRule="auto"/>
        <w:jc w:val="both"/>
        <w:rPr>
          <w:rFonts w:ascii="Times New Roman" w:hAnsi="Times New Roman"/>
          <w:b/>
          <w:bCs/>
          <w:sz w:val="28"/>
          <w:szCs w:val="28"/>
        </w:rPr>
      </w:pPr>
    </w:p>
    <w:p w14:paraId="5F64B30C" w14:textId="77777777" w:rsidR="008B4829" w:rsidRDefault="008B4829" w:rsidP="008B4829">
      <w:pPr>
        <w:spacing w:after="0" w:line="240" w:lineRule="auto"/>
        <w:jc w:val="both"/>
        <w:rPr>
          <w:rFonts w:ascii="Times New Roman" w:hAnsi="Times New Roman"/>
          <w:b/>
          <w:bCs/>
          <w:sz w:val="28"/>
          <w:szCs w:val="28"/>
        </w:rPr>
      </w:pPr>
    </w:p>
    <w:p w14:paraId="1013AE40" w14:textId="77777777" w:rsidR="008B4829" w:rsidRDefault="008B4829" w:rsidP="008B482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V DUBNU 2023</w:t>
      </w:r>
    </w:p>
    <w:p w14:paraId="5E1098A0" w14:textId="77777777" w:rsidR="008B4829" w:rsidRDefault="008B4829" w:rsidP="008B4829">
      <w:pPr>
        <w:spacing w:after="0" w:line="240" w:lineRule="auto"/>
        <w:jc w:val="center"/>
        <w:rPr>
          <w:rFonts w:ascii="Times New Roman" w:hAnsi="Times New Roman"/>
          <w:b/>
          <w:bCs/>
          <w:sz w:val="28"/>
          <w:szCs w:val="28"/>
        </w:rPr>
      </w:pPr>
    </w:p>
    <w:p w14:paraId="3DBC27FD" w14:textId="77777777" w:rsidR="008B4829" w:rsidRDefault="008B4829" w:rsidP="008B4829">
      <w:pPr>
        <w:spacing w:after="0" w:line="240" w:lineRule="auto"/>
        <w:jc w:val="center"/>
        <w:rPr>
          <w:rFonts w:ascii="Times New Roman" w:hAnsi="Times New Roman"/>
          <w:b/>
          <w:bCs/>
          <w:sz w:val="28"/>
          <w:szCs w:val="28"/>
        </w:rPr>
      </w:pPr>
    </w:p>
    <w:p w14:paraId="7656E408" w14:textId="77777777" w:rsidR="008B4829" w:rsidRDefault="008B4829" w:rsidP="008B4829">
      <w:pPr>
        <w:spacing w:after="0" w:line="240" w:lineRule="auto"/>
        <w:jc w:val="center"/>
        <w:rPr>
          <w:rFonts w:ascii="Times New Roman" w:hAnsi="Times New Roman"/>
          <w:b/>
          <w:bCs/>
          <w:sz w:val="28"/>
          <w:szCs w:val="28"/>
        </w:rPr>
      </w:pPr>
    </w:p>
    <w:p w14:paraId="7E76FFE9"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Spotřebitelské ceny meziměsíčně klesly o 0,2 %. Tento vývoj byl ovlivněn zejména nižšími cenami v oddíle potraviny a nealkoholické nápoje. Meziročně vzrostly spotřebitelské ceny v dubnu o 12,7 %, což bylo o 2,3 procentního bodu méně než v březnu.</w:t>
      </w:r>
    </w:p>
    <w:p w14:paraId="36449B56" w14:textId="77777777" w:rsidR="008B4829" w:rsidRDefault="008B4829" w:rsidP="008B4829">
      <w:pPr>
        <w:spacing w:after="0" w:line="240" w:lineRule="auto"/>
        <w:jc w:val="both"/>
        <w:rPr>
          <w:rFonts w:ascii="Times New Roman" w:hAnsi="Times New Roman"/>
          <w:b/>
          <w:bCs/>
          <w:sz w:val="28"/>
          <w:szCs w:val="28"/>
        </w:rPr>
      </w:pPr>
    </w:p>
    <w:p w14:paraId="0107F84E" w14:textId="77777777" w:rsidR="008B4829" w:rsidRDefault="008B4829" w:rsidP="008B4829">
      <w:pPr>
        <w:spacing w:after="0" w:line="240" w:lineRule="auto"/>
        <w:jc w:val="both"/>
        <w:rPr>
          <w:rFonts w:ascii="Times New Roman" w:hAnsi="Times New Roman"/>
          <w:b/>
          <w:bCs/>
          <w:sz w:val="28"/>
          <w:szCs w:val="28"/>
        </w:rPr>
      </w:pPr>
    </w:p>
    <w:p w14:paraId="29CD7572"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4A1F573A" w14:textId="77777777" w:rsidR="008B4829" w:rsidRDefault="008B4829" w:rsidP="008B4829">
      <w:pPr>
        <w:spacing w:after="0" w:line="240" w:lineRule="auto"/>
        <w:jc w:val="both"/>
        <w:rPr>
          <w:rFonts w:ascii="Times New Roman" w:hAnsi="Times New Roman"/>
          <w:b/>
          <w:bCs/>
          <w:sz w:val="28"/>
          <w:szCs w:val="28"/>
        </w:rPr>
      </w:pPr>
    </w:p>
    <w:p w14:paraId="2F6235FC"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Meziměsíčně klesly spotřebitelské ceny v dubnu o 0,2 %. V oddíle potraviny a nealkoholické nápoje byly nižší zejména ceny zeleniny o 5,0 %, vajec o 12,9 %, polotučného trvanlivého mléka o 12,3 %, nealkoholických nápojů o 2,3 %, olejů a tuků o 2,6 %, drůbeže o 1,5 %, uzenin o 0,9 % a cukru o 4,0 %. V oddíle rekreace a kultura klesly ceny dovolených s komplexními službami o 5,9 %. Pokles cen v oddíle alkoholické nápoje, tabák byl ovlivněn nižšími cenami lihovin o 3,0 % a vína o 3,1 %.</w:t>
      </w:r>
    </w:p>
    <w:p w14:paraId="65BDC189" w14:textId="77777777" w:rsidR="008B4829" w:rsidRDefault="008B4829" w:rsidP="008B4829">
      <w:pPr>
        <w:spacing w:after="0" w:line="240" w:lineRule="auto"/>
        <w:jc w:val="both"/>
        <w:rPr>
          <w:rFonts w:ascii="Times New Roman" w:hAnsi="Times New Roman"/>
          <w:sz w:val="28"/>
          <w:szCs w:val="28"/>
        </w:rPr>
      </w:pPr>
    </w:p>
    <w:p w14:paraId="3BB69F6D"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Na meziměsíční zvyšování celkové úrovně spotřebitelských cen působil v dubnu především růst cen v oddíle bytové vybavení, zařízení domácnosti, kde se zvýšily zejména ceny zboží a služeb pro běžnou údržbu domácnosti o 3,7 %. V oddíle stravování a ubytování vzrostly ceny stravovacích služeb o 0,7 % a ubytovacích služeb o 2,2 %. Z potravin byly vyšší zejména ceny brambor o 12,5 % a vepřového masa o 1,9 %.</w:t>
      </w:r>
    </w:p>
    <w:p w14:paraId="680EFFB2" w14:textId="77777777" w:rsidR="008B4829" w:rsidRDefault="008B4829" w:rsidP="008B4829">
      <w:pPr>
        <w:spacing w:after="0" w:line="240" w:lineRule="auto"/>
        <w:jc w:val="both"/>
        <w:rPr>
          <w:rFonts w:ascii="Times New Roman" w:hAnsi="Times New Roman"/>
          <w:sz w:val="28"/>
          <w:szCs w:val="28"/>
        </w:rPr>
      </w:pPr>
    </w:p>
    <w:p w14:paraId="22744D79"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klesly o 0,3 %, zatímco ceny služeb o 0,1 % vzrostly.</w:t>
      </w:r>
    </w:p>
    <w:p w14:paraId="62CCCD75" w14:textId="77777777" w:rsidR="008B4829" w:rsidRDefault="008B4829" w:rsidP="008B4829">
      <w:pPr>
        <w:spacing w:after="0" w:line="240" w:lineRule="auto"/>
        <w:jc w:val="both"/>
        <w:rPr>
          <w:rFonts w:ascii="Times New Roman" w:hAnsi="Times New Roman"/>
          <w:sz w:val="28"/>
          <w:szCs w:val="28"/>
        </w:rPr>
      </w:pPr>
    </w:p>
    <w:p w14:paraId="65F2EBAD" w14:textId="77777777" w:rsidR="008B4829" w:rsidRDefault="008B4829" w:rsidP="008B4829">
      <w:pPr>
        <w:spacing w:after="0" w:line="240" w:lineRule="auto"/>
        <w:jc w:val="both"/>
        <w:rPr>
          <w:rFonts w:ascii="Times New Roman" w:hAnsi="Times New Roman"/>
          <w:sz w:val="28"/>
          <w:szCs w:val="28"/>
        </w:rPr>
      </w:pPr>
    </w:p>
    <w:p w14:paraId="33483473"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7410E921" w14:textId="77777777" w:rsidR="008B4829" w:rsidRDefault="008B4829" w:rsidP="008B4829">
      <w:pPr>
        <w:spacing w:after="0" w:line="240" w:lineRule="auto"/>
        <w:jc w:val="both"/>
        <w:rPr>
          <w:rFonts w:ascii="Times New Roman" w:hAnsi="Times New Roman"/>
          <w:b/>
          <w:bCs/>
          <w:sz w:val="28"/>
          <w:szCs w:val="28"/>
        </w:rPr>
      </w:pPr>
    </w:p>
    <w:p w14:paraId="47CC9086"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dubnu o 12,7 %, což bylo o 2,3 procentního bodu méně než v březnu. Toto zpomalení meziročního cenového růstu bylo ovlivněno zejména cenami v oddíle potraviny a nealkoholické nápoje a v oddíle bydlení. V potravinách zmírnila svůj cenový růst většina položek spotřebního koše. Ceny mouky byly v dubu vyšší o 6,3 % (v březnu o 32,6 %), masa o 12,7 % (v březnu o 22,7 %), polotučného trvanlivého mléka o 10,2 % (v březnu o 45,2 %), vajec o 41,2 % (v březnu o 75,5 %), olejů a tuků o 10,5 % (v březnu o 16,1 %), zeleniny o 18,3 % (v březnu o 29,9 %) a cukru o 60,9 % (v březnu o 97,6 %). V oddíle bydlení v dubnu zpomalily svůj meziroční růst ceny elektřiny na 24,8 % (v březnu 29,6 %), zemního plynu na 53,1 % (v březnu 60,0 %) a tepla a teplé vody na 40,9 % (v březnu 44,6 %).</w:t>
      </w:r>
    </w:p>
    <w:p w14:paraId="0DD13023"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Na meziroční růst cenové hladiny měly v dubnu největší vliv ceny v oddíle bydlení, kde kromě nákladů vlastnického bydlení vzrostly ceny nájemného z bytu o 6,9 %, výrobků a služeb pro běžnou údržbu bytu o 14,2 %, vodného o 16,3 %, stočného o 30,3 % a tuhých paliv o 47,6 %. Další v pořadí vlivu byly ceny v oddíle potraviny a nealkoholické nápoje (nárůst o 17,3 %). V oddíle rekreace a kultura vzrostly ceny dovolených s komplexními službami o 20,0 %. V oddíle stravování a ubytování se zvýšily ceny stravovacích služeb o 17,6 % a ceny ubytovacích služeb o 17,4 %. Na meziroční snižování cenové hladiny působily v dubnu ceny v oddíle doprava zejména vlivem cen pohonných hmot, které byly meziročně nižší o 16,7 %.</w:t>
      </w:r>
    </w:p>
    <w:p w14:paraId="2D305ED2" w14:textId="77777777" w:rsidR="008B4829" w:rsidRDefault="008B4829" w:rsidP="008B4829">
      <w:pPr>
        <w:spacing w:after="0" w:line="240" w:lineRule="auto"/>
        <w:jc w:val="both"/>
        <w:rPr>
          <w:rFonts w:ascii="Times New Roman" w:hAnsi="Times New Roman"/>
          <w:sz w:val="28"/>
          <w:szCs w:val="28"/>
        </w:rPr>
      </w:pPr>
    </w:p>
    <w:p w14:paraId="33B2694B"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se zvýšily o 4,9 % (v březnu o 6,8 %) zejména v důsledku růstu cen stavebních prací a stavebních materiálů. Úhrnný index spotřebitelských cen bez započtení nákladů vlastnického bydlení byl 113,8 %.</w:t>
      </w:r>
    </w:p>
    <w:p w14:paraId="5E7E3544" w14:textId="77777777" w:rsidR="008B4829" w:rsidRDefault="008B4829" w:rsidP="008B4829">
      <w:pPr>
        <w:spacing w:after="0" w:line="240" w:lineRule="auto"/>
        <w:jc w:val="both"/>
        <w:rPr>
          <w:rFonts w:ascii="Times New Roman" w:hAnsi="Times New Roman"/>
          <w:sz w:val="28"/>
          <w:szCs w:val="28"/>
        </w:rPr>
      </w:pPr>
    </w:p>
    <w:p w14:paraId="2ACE556F"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14,5 % a ceny služeb o 10,1 %.</w:t>
      </w:r>
    </w:p>
    <w:p w14:paraId="48B05419" w14:textId="77777777" w:rsidR="008B4829" w:rsidRDefault="008B4829" w:rsidP="008B4829">
      <w:pPr>
        <w:spacing w:after="0" w:line="240" w:lineRule="auto"/>
        <w:jc w:val="both"/>
        <w:rPr>
          <w:rFonts w:ascii="Times New Roman" w:hAnsi="Times New Roman"/>
          <w:sz w:val="28"/>
          <w:szCs w:val="28"/>
        </w:rPr>
      </w:pPr>
    </w:p>
    <w:p w14:paraId="2F971594"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proti průměru předchozích 12 měsíců byla v dubnu 16,2 % (v březnu 16,4 %).</w:t>
      </w:r>
    </w:p>
    <w:p w14:paraId="5223A814" w14:textId="77777777" w:rsidR="008B4829" w:rsidRDefault="008B4829" w:rsidP="008B4829">
      <w:pPr>
        <w:spacing w:after="0" w:line="240" w:lineRule="auto"/>
        <w:jc w:val="both"/>
        <w:rPr>
          <w:rFonts w:ascii="Times New Roman" w:hAnsi="Times New Roman"/>
          <w:sz w:val="28"/>
          <w:szCs w:val="28"/>
        </w:rPr>
      </w:pPr>
    </w:p>
    <w:p w14:paraId="3CF3F4E3"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Hladina bazického indexu spotřebitelských cen k základnímu období průměr roku 2015 v dubnu byla 147,2 % (v březnu 147,5 %).</w:t>
      </w:r>
    </w:p>
    <w:p w14:paraId="76067856" w14:textId="77777777" w:rsidR="008B4829" w:rsidRDefault="008B4829" w:rsidP="008B4829">
      <w:pPr>
        <w:spacing w:after="0" w:line="240" w:lineRule="auto"/>
        <w:jc w:val="both"/>
        <w:rPr>
          <w:rFonts w:ascii="Times New Roman" w:hAnsi="Times New Roman"/>
          <w:sz w:val="28"/>
          <w:szCs w:val="28"/>
        </w:rPr>
      </w:pPr>
    </w:p>
    <w:p w14:paraId="71436D35" w14:textId="77777777" w:rsidR="008B4829" w:rsidRDefault="008B4829" w:rsidP="008B4829">
      <w:pPr>
        <w:spacing w:after="0" w:line="240" w:lineRule="auto"/>
        <w:jc w:val="both"/>
        <w:rPr>
          <w:rFonts w:ascii="Times New Roman" w:hAnsi="Times New Roman"/>
          <w:sz w:val="28"/>
          <w:szCs w:val="28"/>
        </w:rPr>
      </w:pPr>
    </w:p>
    <w:p w14:paraId="42C16EBC"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11C1EC1B" w14:textId="77777777" w:rsidR="008B4829" w:rsidRDefault="008B4829" w:rsidP="008B4829">
      <w:pPr>
        <w:spacing w:after="0" w:line="240" w:lineRule="auto"/>
        <w:jc w:val="both"/>
        <w:rPr>
          <w:rFonts w:ascii="Times New Roman" w:hAnsi="Times New Roman"/>
          <w:b/>
          <w:bCs/>
          <w:sz w:val="28"/>
          <w:szCs w:val="28"/>
        </w:rPr>
      </w:pPr>
    </w:p>
    <w:p w14:paraId="578B7810" w14:textId="77777777" w:rsidR="008B4829" w:rsidRDefault="008B4829" w:rsidP="008B4829">
      <w:pPr>
        <w:spacing w:after="0" w:line="240" w:lineRule="auto"/>
        <w:jc w:val="both"/>
      </w:pPr>
      <w:r>
        <w:rPr>
          <w:rFonts w:ascii="Times New Roman" w:hAnsi="Times New Roman"/>
          <w:sz w:val="28"/>
          <w:szCs w:val="28"/>
        </w:rPr>
        <w:t xml:space="preserve">Podle předběžných výpočtů klesl </w:t>
      </w:r>
      <w:r>
        <w:rPr>
          <w:rFonts w:ascii="Times New Roman" w:hAnsi="Times New Roman"/>
          <w:b/>
          <w:bCs/>
          <w:sz w:val="28"/>
          <w:szCs w:val="28"/>
        </w:rPr>
        <w:t xml:space="preserve">v dubnu HICP v Česku meziměsíčně o 0,1 % a meziročně vzrostl o 14,3 % </w:t>
      </w:r>
      <w:r>
        <w:rPr>
          <w:rFonts w:ascii="Times New Roman" w:hAnsi="Times New Roman"/>
          <w:sz w:val="28"/>
          <w:szCs w:val="28"/>
        </w:rPr>
        <w:t>(v březnu o 16,5 %).</w:t>
      </w:r>
      <w:r>
        <w:rPr>
          <w:rFonts w:ascii="Times New Roman" w:hAnsi="Times New Roman"/>
          <w:b/>
          <w:bCs/>
          <w:sz w:val="28"/>
          <w:szCs w:val="28"/>
        </w:rPr>
        <w:t xml:space="preserve"> </w:t>
      </w:r>
      <w:r>
        <w:rPr>
          <w:rFonts w:ascii="Times New Roman" w:hAnsi="Times New Roman"/>
          <w:sz w:val="28"/>
          <w:szCs w:val="28"/>
        </w:rPr>
        <w:t xml:space="preserve">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meziroční změna HICP v dubnu 2023 za Eurozónu 7,0 %</w:t>
      </w:r>
      <w:r>
        <w:rPr>
          <w:rFonts w:ascii="Times New Roman" w:hAnsi="Times New Roman"/>
          <w:sz w:val="28"/>
          <w:szCs w:val="28"/>
        </w:rPr>
        <w:t xml:space="preserve"> (v březnu 6,9 %), na Slovensku 14,0 % a v Německu 7,6 %. Nejvyšší byla v dubnu v Lotyšsku (15,0 %).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březnu 8,3 %, </w:t>
      </w:r>
      <w:r>
        <w:rPr>
          <w:rFonts w:ascii="Times New Roman" w:hAnsi="Times New Roman"/>
          <w:sz w:val="28"/>
          <w:szCs w:val="28"/>
        </w:rPr>
        <w:t xml:space="preserve">což bylo o 1,6 procentního bodu méně než v únoru. Nejvíce ceny v březnu meziročně vzrostly v Maďarsku (o 25,5 %) a nejméně v Lucembursku (o 2,9 %). </w:t>
      </w:r>
    </w:p>
    <w:p w14:paraId="1C89D6C1" w14:textId="77777777" w:rsidR="008B4829" w:rsidRDefault="008B4829" w:rsidP="008B4829">
      <w:pPr>
        <w:spacing w:after="0" w:line="240" w:lineRule="auto"/>
        <w:jc w:val="both"/>
        <w:rPr>
          <w:rFonts w:ascii="Times New Roman" w:hAnsi="Times New Roman"/>
          <w:sz w:val="28"/>
          <w:szCs w:val="28"/>
        </w:rPr>
      </w:pPr>
    </w:p>
    <w:p w14:paraId="6F0074E4" w14:textId="77777777" w:rsidR="008B4829" w:rsidRDefault="008B4829" w:rsidP="008B4829">
      <w:pPr>
        <w:spacing w:after="0" w:line="240" w:lineRule="auto"/>
        <w:jc w:val="both"/>
        <w:rPr>
          <w:rFonts w:ascii="Times New Roman" w:hAnsi="Times New Roman"/>
          <w:sz w:val="28"/>
          <w:szCs w:val="28"/>
        </w:rPr>
      </w:pPr>
    </w:p>
    <w:p w14:paraId="7F91334E"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006A2782" w14:textId="77777777" w:rsidR="008B4829" w:rsidRDefault="008B4829" w:rsidP="008B4829">
      <w:pPr>
        <w:spacing w:after="0" w:line="240" w:lineRule="auto"/>
        <w:jc w:val="both"/>
        <w:rPr>
          <w:rFonts w:ascii="Times New Roman" w:hAnsi="Times New Roman"/>
          <w:sz w:val="28"/>
          <w:szCs w:val="28"/>
        </w:rPr>
      </w:pPr>
    </w:p>
    <w:p w14:paraId="037A568F" w14:textId="77777777" w:rsidR="008B4829" w:rsidRDefault="008B4829" w:rsidP="008B4829">
      <w:pPr>
        <w:spacing w:after="0" w:line="240" w:lineRule="auto"/>
        <w:jc w:val="both"/>
        <w:rPr>
          <w:rFonts w:ascii="Times New Roman" w:hAnsi="Times New Roman"/>
          <w:sz w:val="28"/>
          <w:szCs w:val="28"/>
        </w:rPr>
      </w:pPr>
    </w:p>
    <w:p w14:paraId="07576580" w14:textId="77777777" w:rsidR="008B4829" w:rsidRDefault="008B4829" w:rsidP="008B4829">
      <w:pPr>
        <w:spacing w:after="0" w:line="240" w:lineRule="auto"/>
        <w:jc w:val="both"/>
        <w:rPr>
          <w:rFonts w:ascii="Times New Roman" w:hAnsi="Times New Roman"/>
          <w:sz w:val="28"/>
          <w:szCs w:val="28"/>
        </w:rPr>
      </w:pPr>
    </w:p>
    <w:p w14:paraId="02949A16" w14:textId="77777777" w:rsidR="008B4829" w:rsidRDefault="008B4829" w:rsidP="008B4829">
      <w:pPr>
        <w:spacing w:after="0" w:line="240" w:lineRule="auto"/>
        <w:jc w:val="both"/>
        <w:rPr>
          <w:rFonts w:ascii="Times New Roman" w:hAnsi="Times New Roman"/>
          <w:sz w:val="28"/>
          <w:szCs w:val="28"/>
        </w:rPr>
      </w:pPr>
    </w:p>
    <w:p w14:paraId="73B1288C" w14:textId="77777777" w:rsidR="008B4829" w:rsidRDefault="008B4829" w:rsidP="008B4829">
      <w:pPr>
        <w:spacing w:after="0" w:line="240" w:lineRule="auto"/>
        <w:jc w:val="both"/>
        <w:rPr>
          <w:rFonts w:ascii="Times New Roman" w:hAnsi="Times New Roman"/>
          <w:sz w:val="28"/>
          <w:szCs w:val="28"/>
        </w:rPr>
      </w:pPr>
    </w:p>
    <w:p w14:paraId="3EDD8B4B" w14:textId="77777777" w:rsidR="008B4829" w:rsidRDefault="008B4829" w:rsidP="008B4829">
      <w:pPr>
        <w:spacing w:after="0" w:line="240" w:lineRule="auto"/>
        <w:jc w:val="both"/>
        <w:rPr>
          <w:rFonts w:ascii="Times New Roman" w:hAnsi="Times New Roman"/>
          <w:sz w:val="28"/>
          <w:szCs w:val="28"/>
        </w:rPr>
      </w:pPr>
    </w:p>
    <w:p w14:paraId="543581C3" w14:textId="77777777" w:rsidR="008B4829" w:rsidRDefault="008B4829" w:rsidP="008B4829">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23BFE6C4" w14:textId="77777777" w:rsidR="008B4829" w:rsidRDefault="008B4829" w:rsidP="008B4829">
      <w:pPr>
        <w:spacing w:after="0" w:line="240" w:lineRule="auto"/>
        <w:jc w:val="both"/>
        <w:rPr>
          <w:rFonts w:ascii="Times New Roman" w:hAnsi="Times New Roman"/>
          <w:b/>
          <w:bCs/>
          <w:sz w:val="24"/>
          <w:szCs w:val="24"/>
        </w:rPr>
      </w:pPr>
    </w:p>
    <w:p w14:paraId="1404A747" w14:textId="77777777" w:rsidR="008B4829" w:rsidRDefault="008B4829" w:rsidP="008B4829">
      <w:pPr>
        <w:spacing w:after="0" w:line="240" w:lineRule="auto"/>
        <w:jc w:val="both"/>
        <w:rPr>
          <w:rFonts w:ascii="Times New Roman" w:hAnsi="Times New Roman"/>
          <w:b/>
          <w:bCs/>
          <w:sz w:val="24"/>
          <w:szCs w:val="24"/>
        </w:rPr>
      </w:pPr>
    </w:p>
    <w:p w14:paraId="1191F981" w14:textId="77777777" w:rsidR="008B4829" w:rsidRDefault="008B4829" w:rsidP="008B4829">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281D91DF"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r>
      <w:r>
        <w:rPr>
          <w:rFonts w:ascii="Times New Roman" w:hAnsi="Times New Roman"/>
          <w:b/>
          <w:bCs/>
          <w:sz w:val="24"/>
          <w:szCs w:val="24"/>
        </w:rPr>
        <w:tab/>
        <w:t>inflace</w:t>
      </w:r>
    </w:p>
    <w:p w14:paraId="1171E0D8"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02/23</w:t>
      </w:r>
      <w:r>
        <w:rPr>
          <w:rFonts w:ascii="Times New Roman" w:hAnsi="Times New Roman"/>
          <w:b/>
          <w:bCs/>
          <w:sz w:val="24"/>
          <w:szCs w:val="24"/>
        </w:rPr>
        <w:tab/>
        <w:t>03/23</w:t>
      </w:r>
      <w:r>
        <w:rPr>
          <w:rFonts w:ascii="Times New Roman" w:hAnsi="Times New Roman"/>
          <w:b/>
          <w:bCs/>
          <w:sz w:val="24"/>
          <w:szCs w:val="24"/>
        </w:rPr>
        <w:tab/>
        <w:t>04/23</w:t>
      </w:r>
    </w:p>
    <w:p w14:paraId="58CB8739"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130F7DDC"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45C26D4"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6E4A7EE9"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 xml:space="preserve">  99,8</w:t>
      </w:r>
      <w:r>
        <w:rPr>
          <w:rFonts w:ascii="Times New Roman" w:hAnsi="Times New Roman"/>
          <w:b/>
          <w:bCs/>
          <w:sz w:val="24"/>
          <w:szCs w:val="24"/>
        </w:rPr>
        <w:tab/>
        <w:t>116,7</w:t>
      </w:r>
      <w:r>
        <w:rPr>
          <w:rFonts w:ascii="Times New Roman" w:hAnsi="Times New Roman"/>
          <w:b/>
          <w:bCs/>
          <w:sz w:val="24"/>
          <w:szCs w:val="24"/>
        </w:rPr>
        <w:tab/>
        <w:t>115,0</w:t>
      </w:r>
      <w:r>
        <w:rPr>
          <w:rFonts w:ascii="Times New Roman" w:hAnsi="Times New Roman"/>
          <w:b/>
          <w:bCs/>
          <w:sz w:val="24"/>
          <w:szCs w:val="24"/>
        </w:rPr>
        <w:tab/>
        <w:t>112,7</w:t>
      </w:r>
      <w:r>
        <w:rPr>
          <w:rFonts w:ascii="Times New Roman" w:hAnsi="Times New Roman"/>
          <w:b/>
          <w:bCs/>
          <w:sz w:val="24"/>
          <w:szCs w:val="24"/>
        </w:rPr>
        <w:tab/>
        <w:t>116,2</w:t>
      </w:r>
    </w:p>
    <w:p w14:paraId="3AF3A010"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2F50638D"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 xml:space="preserve">  98,4</w:t>
      </w:r>
      <w:r>
        <w:rPr>
          <w:rFonts w:ascii="Times New Roman" w:hAnsi="Times New Roman"/>
          <w:sz w:val="24"/>
          <w:szCs w:val="24"/>
        </w:rPr>
        <w:tab/>
        <w:t>123,9</w:t>
      </w:r>
      <w:r>
        <w:rPr>
          <w:rFonts w:ascii="Times New Roman" w:hAnsi="Times New Roman"/>
          <w:sz w:val="24"/>
          <w:szCs w:val="24"/>
        </w:rPr>
        <w:tab/>
        <w:t>123,5</w:t>
      </w:r>
      <w:r>
        <w:rPr>
          <w:rFonts w:ascii="Times New Roman" w:hAnsi="Times New Roman"/>
          <w:sz w:val="24"/>
          <w:szCs w:val="24"/>
        </w:rPr>
        <w:tab/>
        <w:t>117,3</w:t>
      </w:r>
      <w:r>
        <w:rPr>
          <w:rFonts w:ascii="Times New Roman" w:hAnsi="Times New Roman"/>
          <w:sz w:val="24"/>
          <w:szCs w:val="24"/>
        </w:rPr>
        <w:tab/>
        <w:t>121,8</w:t>
      </w:r>
    </w:p>
    <w:p w14:paraId="3A07D49E"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t xml:space="preserve">  </w:t>
      </w:r>
      <w:r>
        <w:rPr>
          <w:rFonts w:ascii="Times New Roman" w:hAnsi="Times New Roman"/>
          <w:sz w:val="24"/>
          <w:szCs w:val="24"/>
        </w:rPr>
        <w:t>99,1</w:t>
      </w:r>
      <w:r>
        <w:rPr>
          <w:rFonts w:ascii="Times New Roman" w:hAnsi="Times New Roman"/>
          <w:sz w:val="24"/>
          <w:szCs w:val="24"/>
        </w:rPr>
        <w:tab/>
        <w:t>107,3</w:t>
      </w:r>
      <w:r>
        <w:rPr>
          <w:rFonts w:ascii="Times New Roman" w:hAnsi="Times New Roman"/>
          <w:sz w:val="24"/>
          <w:szCs w:val="24"/>
        </w:rPr>
        <w:tab/>
        <w:t>106,4</w:t>
      </w:r>
      <w:r>
        <w:rPr>
          <w:rFonts w:ascii="Times New Roman" w:hAnsi="Times New Roman"/>
          <w:sz w:val="24"/>
          <w:szCs w:val="24"/>
        </w:rPr>
        <w:tab/>
        <w:t>106,7</w:t>
      </w:r>
      <w:r>
        <w:rPr>
          <w:rFonts w:ascii="Times New Roman" w:hAnsi="Times New Roman"/>
          <w:sz w:val="24"/>
          <w:szCs w:val="24"/>
        </w:rPr>
        <w:tab/>
        <w:t>106,4</w:t>
      </w:r>
    </w:p>
    <w:p w14:paraId="5974744F"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101,1</w:t>
      </w:r>
      <w:r>
        <w:rPr>
          <w:rFonts w:ascii="Times New Roman" w:hAnsi="Times New Roman"/>
          <w:sz w:val="24"/>
          <w:szCs w:val="24"/>
        </w:rPr>
        <w:tab/>
        <w:t>115,3</w:t>
      </w:r>
      <w:r>
        <w:rPr>
          <w:rFonts w:ascii="Times New Roman" w:hAnsi="Times New Roman"/>
          <w:sz w:val="24"/>
          <w:szCs w:val="24"/>
        </w:rPr>
        <w:tab/>
        <w:t>114,3</w:t>
      </w:r>
      <w:r>
        <w:rPr>
          <w:rFonts w:ascii="Times New Roman" w:hAnsi="Times New Roman"/>
          <w:sz w:val="24"/>
          <w:szCs w:val="24"/>
        </w:rPr>
        <w:tab/>
        <w:t>113,1</w:t>
      </w:r>
      <w:r>
        <w:rPr>
          <w:rFonts w:ascii="Times New Roman" w:hAnsi="Times New Roman"/>
          <w:sz w:val="24"/>
          <w:szCs w:val="24"/>
        </w:rPr>
        <w:tab/>
        <w:t>117,5</w:t>
      </w:r>
    </w:p>
    <w:p w14:paraId="639EDC67"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607A5639"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122,2</w:t>
      </w:r>
      <w:r>
        <w:rPr>
          <w:rFonts w:ascii="Times New Roman" w:hAnsi="Times New Roman"/>
          <w:sz w:val="24"/>
          <w:szCs w:val="24"/>
        </w:rPr>
        <w:tab/>
        <w:t>120,1</w:t>
      </w:r>
      <w:r>
        <w:rPr>
          <w:rFonts w:ascii="Times New Roman" w:hAnsi="Times New Roman"/>
          <w:sz w:val="24"/>
          <w:szCs w:val="24"/>
        </w:rPr>
        <w:tab/>
        <w:t>117,6</w:t>
      </w:r>
      <w:r>
        <w:rPr>
          <w:rFonts w:ascii="Times New Roman" w:hAnsi="Times New Roman"/>
          <w:sz w:val="24"/>
          <w:szCs w:val="24"/>
        </w:rPr>
        <w:tab/>
        <w:t>120,3</w:t>
      </w:r>
    </w:p>
    <w:p w14:paraId="504ABDBF"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101,1</w:t>
      </w:r>
      <w:r>
        <w:rPr>
          <w:rFonts w:ascii="Times New Roman" w:hAnsi="Times New Roman"/>
          <w:sz w:val="24"/>
          <w:szCs w:val="24"/>
        </w:rPr>
        <w:tab/>
        <w:t>113,2</w:t>
      </w:r>
      <w:r>
        <w:rPr>
          <w:rFonts w:ascii="Times New Roman" w:hAnsi="Times New Roman"/>
          <w:sz w:val="24"/>
          <w:szCs w:val="24"/>
        </w:rPr>
        <w:tab/>
        <w:t>111,9</w:t>
      </w:r>
      <w:r>
        <w:rPr>
          <w:rFonts w:ascii="Times New Roman" w:hAnsi="Times New Roman"/>
          <w:sz w:val="24"/>
          <w:szCs w:val="24"/>
        </w:rPr>
        <w:tab/>
        <w:t>112,0</w:t>
      </w:r>
      <w:r>
        <w:rPr>
          <w:rFonts w:ascii="Times New Roman" w:hAnsi="Times New Roman"/>
          <w:sz w:val="24"/>
          <w:szCs w:val="24"/>
        </w:rPr>
        <w:tab/>
        <w:t>112,9</w:t>
      </w:r>
    </w:p>
    <w:p w14:paraId="5E5E1796"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101,0</w:t>
      </w:r>
      <w:r>
        <w:rPr>
          <w:rFonts w:ascii="Times New Roman" w:hAnsi="Times New Roman"/>
          <w:sz w:val="24"/>
          <w:szCs w:val="24"/>
        </w:rPr>
        <w:tab/>
        <w:t>109,5</w:t>
      </w:r>
      <w:r>
        <w:rPr>
          <w:rFonts w:ascii="Times New Roman" w:hAnsi="Times New Roman"/>
          <w:sz w:val="24"/>
          <w:szCs w:val="24"/>
        </w:rPr>
        <w:tab/>
        <w:t>108,4</w:t>
      </w:r>
      <w:r>
        <w:rPr>
          <w:rFonts w:ascii="Times New Roman" w:hAnsi="Times New Roman"/>
          <w:sz w:val="24"/>
          <w:szCs w:val="24"/>
        </w:rPr>
        <w:tab/>
        <w:t>108,9</w:t>
      </w:r>
      <w:r>
        <w:rPr>
          <w:rFonts w:ascii="Times New Roman" w:hAnsi="Times New Roman"/>
          <w:sz w:val="24"/>
          <w:szCs w:val="24"/>
        </w:rPr>
        <w:tab/>
        <w:t>109,3</w:t>
      </w:r>
    </w:p>
    <w:p w14:paraId="5ABBAF1B"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99,8</w:t>
      </w:r>
      <w:r>
        <w:rPr>
          <w:rFonts w:ascii="Times New Roman" w:hAnsi="Times New Roman"/>
          <w:sz w:val="24"/>
          <w:szCs w:val="24"/>
        </w:rPr>
        <w:tab/>
        <w:t>106,9</w:t>
      </w:r>
      <w:r>
        <w:rPr>
          <w:rFonts w:ascii="Times New Roman" w:hAnsi="Times New Roman"/>
          <w:sz w:val="24"/>
          <w:szCs w:val="24"/>
        </w:rPr>
        <w:tab/>
        <w:t xml:space="preserve">  99,4</w:t>
      </w:r>
      <w:r>
        <w:rPr>
          <w:rFonts w:ascii="Times New Roman" w:hAnsi="Times New Roman"/>
          <w:sz w:val="24"/>
          <w:szCs w:val="24"/>
        </w:rPr>
        <w:tab/>
        <w:t xml:space="preserve">  98,3</w:t>
      </w:r>
      <w:r>
        <w:rPr>
          <w:rFonts w:ascii="Times New Roman" w:hAnsi="Times New Roman"/>
          <w:sz w:val="24"/>
          <w:szCs w:val="24"/>
        </w:rPr>
        <w:tab/>
        <w:t>112,6</w:t>
      </w:r>
    </w:p>
    <w:p w14:paraId="6D3981F0"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102,4</w:t>
      </w:r>
      <w:r>
        <w:rPr>
          <w:rFonts w:ascii="Times New Roman" w:hAnsi="Times New Roman"/>
          <w:sz w:val="24"/>
          <w:szCs w:val="24"/>
        </w:rPr>
        <w:tab/>
        <w:t>102,9</w:t>
      </w:r>
      <w:r>
        <w:rPr>
          <w:rFonts w:ascii="Times New Roman" w:hAnsi="Times New Roman"/>
          <w:sz w:val="24"/>
          <w:szCs w:val="24"/>
        </w:rPr>
        <w:tab/>
        <w:t>103,8</w:t>
      </w:r>
      <w:r>
        <w:rPr>
          <w:rFonts w:ascii="Times New Roman" w:hAnsi="Times New Roman"/>
          <w:sz w:val="24"/>
          <w:szCs w:val="24"/>
        </w:rPr>
        <w:tab/>
        <w:t>101,8</w:t>
      </w:r>
    </w:p>
    <w:p w14:paraId="523AB9F0"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 xml:space="preserve">  98,8</w:t>
      </w:r>
      <w:r>
        <w:rPr>
          <w:rFonts w:ascii="Times New Roman" w:hAnsi="Times New Roman"/>
          <w:sz w:val="24"/>
          <w:szCs w:val="24"/>
        </w:rPr>
        <w:tab/>
        <w:t>114,1</w:t>
      </w:r>
      <w:r>
        <w:rPr>
          <w:rFonts w:ascii="Times New Roman" w:hAnsi="Times New Roman"/>
          <w:sz w:val="24"/>
          <w:szCs w:val="24"/>
        </w:rPr>
        <w:tab/>
        <w:t>114,4</w:t>
      </w:r>
      <w:r>
        <w:rPr>
          <w:rFonts w:ascii="Times New Roman" w:hAnsi="Times New Roman"/>
          <w:sz w:val="24"/>
          <w:szCs w:val="24"/>
        </w:rPr>
        <w:tab/>
        <w:t>112,9</w:t>
      </w:r>
      <w:r>
        <w:rPr>
          <w:rFonts w:ascii="Times New Roman" w:hAnsi="Times New Roman"/>
          <w:sz w:val="24"/>
          <w:szCs w:val="24"/>
        </w:rPr>
        <w:tab/>
        <w:t>113,0</w:t>
      </w:r>
    </w:p>
    <w:p w14:paraId="31FC1FCE"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107,4</w:t>
      </w:r>
      <w:r>
        <w:rPr>
          <w:rFonts w:ascii="Times New Roman" w:hAnsi="Times New Roman"/>
          <w:sz w:val="24"/>
          <w:szCs w:val="24"/>
        </w:rPr>
        <w:tab/>
        <w:t>107,2</w:t>
      </w:r>
      <w:r>
        <w:rPr>
          <w:rFonts w:ascii="Times New Roman" w:hAnsi="Times New Roman"/>
          <w:sz w:val="24"/>
          <w:szCs w:val="24"/>
        </w:rPr>
        <w:tab/>
        <w:t>107,2</w:t>
      </w:r>
      <w:r>
        <w:rPr>
          <w:rFonts w:ascii="Times New Roman" w:hAnsi="Times New Roman"/>
          <w:sz w:val="24"/>
          <w:szCs w:val="24"/>
        </w:rPr>
        <w:tab/>
        <w:t>105,6</w:t>
      </w:r>
    </w:p>
    <w:p w14:paraId="305CDFBA"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100,8</w:t>
      </w:r>
      <w:r>
        <w:rPr>
          <w:rFonts w:ascii="Times New Roman" w:hAnsi="Times New Roman"/>
          <w:sz w:val="24"/>
          <w:szCs w:val="24"/>
        </w:rPr>
        <w:tab/>
        <w:t>122,8</w:t>
      </w:r>
      <w:r>
        <w:rPr>
          <w:rFonts w:ascii="Times New Roman" w:hAnsi="Times New Roman"/>
          <w:sz w:val="24"/>
          <w:szCs w:val="24"/>
        </w:rPr>
        <w:tab/>
        <w:t>121,2</w:t>
      </w:r>
      <w:r>
        <w:rPr>
          <w:rFonts w:ascii="Times New Roman" w:hAnsi="Times New Roman"/>
          <w:sz w:val="24"/>
          <w:szCs w:val="24"/>
        </w:rPr>
        <w:tab/>
        <w:t>117,8</w:t>
      </w:r>
      <w:r>
        <w:rPr>
          <w:rFonts w:ascii="Times New Roman" w:hAnsi="Times New Roman"/>
          <w:sz w:val="24"/>
          <w:szCs w:val="24"/>
        </w:rPr>
        <w:tab/>
        <w:t>123,2</w:t>
      </w:r>
    </w:p>
    <w:p w14:paraId="75FFBDC1" w14:textId="77777777" w:rsidR="008B4829" w:rsidRDefault="008B4829" w:rsidP="008B4829">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113,6</w:t>
      </w:r>
      <w:r>
        <w:rPr>
          <w:rFonts w:ascii="Times New Roman" w:hAnsi="Times New Roman"/>
          <w:sz w:val="24"/>
          <w:szCs w:val="24"/>
        </w:rPr>
        <w:tab/>
        <w:t>113,4</w:t>
      </w:r>
      <w:r>
        <w:rPr>
          <w:rFonts w:ascii="Times New Roman" w:hAnsi="Times New Roman"/>
          <w:sz w:val="24"/>
          <w:szCs w:val="24"/>
        </w:rPr>
        <w:tab/>
        <w:t>112,3</w:t>
      </w:r>
      <w:r>
        <w:rPr>
          <w:rFonts w:ascii="Times New Roman" w:hAnsi="Times New Roman"/>
          <w:sz w:val="24"/>
          <w:szCs w:val="24"/>
        </w:rPr>
        <w:tab/>
        <w:t>112,1</w:t>
      </w:r>
    </w:p>
    <w:p w14:paraId="6F1F977C"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A037259"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1469560"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BDD63EE"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74F9C6C"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430918F"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64CE8E0"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F8EAF9F"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FF41CDB"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304034F"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BFFAA04"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A2A3DC3"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3190384F"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4CCF9B5"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Inflace v dubnu opět poklesla, nyní je „jen“ 12,7 %. Na jásot je však ještě brzy.</w:t>
      </w:r>
    </w:p>
    <w:p w14:paraId="4694416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409E3CE0"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11922E27" w14:textId="77777777" w:rsidR="008B4829" w:rsidRDefault="008B4829" w:rsidP="008B4829">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Inflace v dubnu 2023 zpomalila o něco více, než se čekalo. Zatímco březnová inflace byla na 15 %, o měsíc později se snížila na </w:t>
      </w:r>
      <w:r>
        <w:rPr>
          <w:rFonts w:ascii="Times New Roman" w:hAnsi="Times New Roman"/>
          <w:b/>
          <w:bCs/>
          <w:sz w:val="28"/>
          <w:szCs w:val="28"/>
        </w:rPr>
        <w:t xml:space="preserve">12,7 </w:t>
      </w:r>
      <w:r>
        <w:rPr>
          <w:rFonts w:ascii="Times New Roman" w:hAnsi="Times New Roman"/>
          <w:sz w:val="28"/>
          <w:szCs w:val="28"/>
        </w:rPr>
        <w:t>%. Česká národní banka původně očekávala dubnovou výši inflace 13,2 %.</w:t>
      </w:r>
    </w:p>
    <w:p w14:paraId="30013A4D"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A26754A"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06E5F2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Hlavní příčinou meziměsíčního poklesu cen a snížení meziroční inflace nad očekávání jsou klesající ceny potravin. Ty se meziměsíčně snížily o 1,6 %, což je první pokles od října roku 2021. To vzhledem k vysoké váze této položky ve spotřebním koši znamenalo pokles meziměsíční inflace o 0,25 procentního bodu.</w:t>
      </w:r>
    </w:p>
    <w:p w14:paraId="5544B7F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851D765"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Přitom tradiční sezónní pokles potravin v dubnu bývá podstatně mírnější kolem 0,4 %. Meziroční dynamika pak poklesla i vzhledem k vysoké srovnávací základně o to výrazněji, a to z březnových 24 % na 17,5 %, to znamená, že samotné potraviny ukously v dubnu oproti březnu z meziroční inflace jeden procentní bod, říká hlavní ekonom České bankovní asociace (ČBA) Jakub Seidler. Dodává však, že položka potravin je však často velmi rozkolísaná a jeden meziměsíční pokles je tak potřeba brát s rezervou.</w:t>
      </w:r>
    </w:p>
    <w:p w14:paraId="06C109AC"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69CC601"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Globální ceny potravin však v posledních měsících meziročně klesají o 20 %, ačkoli stále zůstávají o zhruba třetinu vyšší než před začátkem růstu cen v roce 2021/22. I přes dnešní mírně protiinflační překvapení nadále předpokládáme, že celoroční inflace se bude letos pohybovat kolem 11 %, uzavírá Seidler.</w:t>
      </w:r>
    </w:p>
    <w:p w14:paraId="3764E8E2"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546FBBF"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Pokles cen také hlásí další odvětví: rekreace a kultura (-1,2 % ), alkoholické nápoje a tabák (-0,9 %) a také doprava (-0,2 %). Ceny naopak nejsvižněji rostly v oddílech odívání a obuv (1,1 %), bytového vybavení (1,1 %) a zdraví (1,0 %).</w:t>
      </w:r>
    </w:p>
    <w:p w14:paraId="7F349976"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FF0443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Aktuální překvapení směrem dolů doporučujeme nepřeceňovat. I nadále platí, že jednociferné meziroční inflace bychom se měli dočkat v průběhu léta, pravděpodobným měsícem se nyní jeví červenec. V závěru roku by se pak inflace mohla nacházet poblíž 8 % a za celý letošní rok v průměru dosáhnout necelých 11 %, říká hlavní ekonom společnosti </w:t>
      </w:r>
      <w:proofErr w:type="spellStart"/>
      <w:r>
        <w:rPr>
          <w:rFonts w:ascii="Times New Roman" w:hAnsi="Times New Roman"/>
          <w:sz w:val="28"/>
          <w:szCs w:val="28"/>
        </w:rPr>
        <w:t>Cyrrus</w:t>
      </w:r>
      <w:proofErr w:type="spellEnd"/>
      <w:r>
        <w:rPr>
          <w:rFonts w:ascii="Times New Roman" w:hAnsi="Times New Roman"/>
          <w:sz w:val="28"/>
          <w:szCs w:val="28"/>
        </w:rPr>
        <w:t xml:space="preserve"> Vít Hradil. Inflace by zřejmě mohla klesat ještě rychleji, protože nákladové podmínky se v České republice zlepšují.</w:t>
      </w:r>
    </w:p>
    <w:p w14:paraId="5F75F807"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BB8FCA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Pozitivně se vyvíjí cena zemního plynu v Evropě (je dokonce o cca 6,3 % levnější než loni), prudce poklesly námořní tarify a příznivý obrat signalizují i některé ceny výrobců. Když k tomu připočteme tlak slabé poptávky, kterou každý měsíc potvrzují čísla z maloobchodu, cesta k nižší inflaci je vydlážděná. Jde jen o to, jak rychle po ní prodejci půjdou, uvádí hlavní ekonom banky </w:t>
      </w:r>
      <w:proofErr w:type="spellStart"/>
      <w:r>
        <w:rPr>
          <w:rFonts w:ascii="Times New Roman" w:hAnsi="Times New Roman"/>
          <w:sz w:val="28"/>
          <w:szCs w:val="28"/>
        </w:rPr>
        <w:t>Creditas</w:t>
      </w:r>
      <w:proofErr w:type="spellEnd"/>
      <w:r>
        <w:rPr>
          <w:rFonts w:ascii="Times New Roman" w:hAnsi="Times New Roman"/>
          <w:sz w:val="28"/>
          <w:szCs w:val="28"/>
        </w:rPr>
        <w:t xml:space="preserve"> Petr Dufek.</w:t>
      </w:r>
    </w:p>
    <w:p w14:paraId="12C1AA40"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AAD1E56"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Podle odhadů ekonomů už Česká národní banka úrokové sazby dále nezvýší, ale zároveň a spíše z opatrnosti pozdrží jejich pokles. Základní </w:t>
      </w:r>
      <w:proofErr w:type="spellStart"/>
      <w:r>
        <w:rPr>
          <w:rFonts w:ascii="Times New Roman" w:hAnsi="Times New Roman"/>
          <w:sz w:val="28"/>
          <w:szCs w:val="28"/>
        </w:rPr>
        <w:t>repo</w:t>
      </w:r>
      <w:proofErr w:type="spellEnd"/>
      <w:r>
        <w:rPr>
          <w:rFonts w:ascii="Times New Roman" w:hAnsi="Times New Roman"/>
          <w:sz w:val="28"/>
          <w:szCs w:val="28"/>
        </w:rPr>
        <w:t xml:space="preserve"> sazba by tak mohla v závěru roku činit 6,50 %.</w:t>
      </w:r>
    </w:p>
    <w:p w14:paraId="4E718EDA"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5821137"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Česká koruna na zveřejněná data reagovala oslabením o čtyři haléře na hodnotu EUR/CZK 23,49, což pravděpodobně odráží pokles tržních sázek na možný růst českých úrokových sazeb.  </w:t>
      </w:r>
    </w:p>
    <w:p w14:paraId="19DB6AE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1A03C57"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B37A015"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005349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2BFABCB"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98C1717"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781E75D"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7B45C74"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C72032B"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E822915"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04E8327"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3A35CD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8DD05C8"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0BB205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2D20CD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0E4A2B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568906C"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32A78CA"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4AAB96F"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E2548B6"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43CF12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64C9D28"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F8FE828"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5D3AD0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8D6D2E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BB0AC6D"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73FDD92"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9175C04"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07EBDE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B0FAB3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1F24F24"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03EE814"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0200F3F"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56E2666"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17BCD2C"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8048FC0" w14:textId="77777777" w:rsidR="008B4829" w:rsidRDefault="008B4829" w:rsidP="008B482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SPORNÉ NAVYŠOVÁNÍ CEN ENERGIÍ NÉKTERÝCH DODAVETELŮ</w:t>
      </w:r>
    </w:p>
    <w:p w14:paraId="020B6B8E" w14:textId="77777777" w:rsidR="008B4829" w:rsidRDefault="008B4829" w:rsidP="008B4829">
      <w:pPr>
        <w:spacing w:after="0" w:line="240" w:lineRule="auto"/>
        <w:jc w:val="center"/>
        <w:rPr>
          <w:rFonts w:ascii="Times New Roman" w:hAnsi="Times New Roman"/>
          <w:b/>
          <w:bCs/>
          <w:sz w:val="28"/>
          <w:szCs w:val="28"/>
        </w:rPr>
      </w:pPr>
      <w:r>
        <w:rPr>
          <w:rFonts w:ascii="Times New Roman" w:hAnsi="Times New Roman"/>
          <w:b/>
          <w:bCs/>
          <w:sz w:val="28"/>
          <w:szCs w:val="28"/>
        </w:rPr>
        <w:t>A MOŹNOSTI OBRANY</w:t>
      </w:r>
    </w:p>
    <w:p w14:paraId="0B29DFE9" w14:textId="77777777" w:rsidR="008B4829" w:rsidRDefault="008B4829" w:rsidP="008B4829">
      <w:pPr>
        <w:spacing w:after="0" w:line="240" w:lineRule="auto"/>
        <w:jc w:val="center"/>
        <w:rPr>
          <w:rFonts w:ascii="Times New Roman" w:hAnsi="Times New Roman"/>
          <w:b/>
          <w:bCs/>
          <w:sz w:val="28"/>
          <w:szCs w:val="28"/>
        </w:rPr>
      </w:pPr>
    </w:p>
    <w:p w14:paraId="607F9F66" w14:textId="77777777" w:rsidR="008B4829" w:rsidRDefault="008B4829" w:rsidP="008B4829">
      <w:pPr>
        <w:spacing w:after="0" w:line="240" w:lineRule="auto"/>
        <w:jc w:val="center"/>
        <w:rPr>
          <w:rFonts w:ascii="Times New Roman" w:hAnsi="Times New Roman"/>
          <w:b/>
          <w:bCs/>
          <w:sz w:val="28"/>
          <w:szCs w:val="28"/>
        </w:rPr>
      </w:pPr>
    </w:p>
    <w:p w14:paraId="1B12EDE7" w14:textId="77777777" w:rsidR="008B4829" w:rsidRDefault="008B4829" w:rsidP="008B4829">
      <w:pPr>
        <w:spacing w:after="0" w:line="240" w:lineRule="auto"/>
        <w:jc w:val="center"/>
        <w:rPr>
          <w:rFonts w:ascii="Times New Roman" w:hAnsi="Times New Roman"/>
          <w:b/>
          <w:bCs/>
          <w:sz w:val="28"/>
          <w:szCs w:val="28"/>
        </w:rPr>
      </w:pPr>
    </w:p>
    <w:p w14:paraId="403D8A04"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V posledních letech došlo k výraznému nárůstu velkoobchodních cen plynu a elektrické energie, který započal již v roce 2021 v souvislosti s pandemií COVID-19 a zvyšující se poptávkou a kulminoval v roce 2022 po invazi Ruska na Ukrajinu. Je tedy pochopitelné, že v důsledku navýšení velkoobchodních cen měli tendenci ceny zvyšovat i jednotliví dodavatelé. V naší praxi jsme se však setkali s případy, kdy se dodavatelé o zvýšení ceny pokoušeli taktéž v případech, kdy jim toto právo na zvýšení ceny nenáleželo, s tím, že poté, co jsme navýšení rozporovali, došlo k vrácení neoprávněně účtovaného rozdílu.</w:t>
      </w:r>
    </w:p>
    <w:p w14:paraId="13E47FCA" w14:textId="77777777" w:rsidR="008B4829" w:rsidRDefault="008B4829" w:rsidP="008B4829">
      <w:pPr>
        <w:spacing w:after="0" w:line="240" w:lineRule="auto"/>
        <w:jc w:val="both"/>
        <w:rPr>
          <w:rFonts w:ascii="Times New Roman" w:hAnsi="Times New Roman"/>
          <w:b/>
          <w:bCs/>
          <w:sz w:val="28"/>
          <w:szCs w:val="28"/>
        </w:rPr>
      </w:pPr>
    </w:p>
    <w:p w14:paraId="40073509" w14:textId="77777777" w:rsidR="008B4829" w:rsidRDefault="008B4829" w:rsidP="008B4829">
      <w:pPr>
        <w:spacing w:after="0" w:line="240" w:lineRule="auto"/>
        <w:jc w:val="both"/>
        <w:rPr>
          <w:rFonts w:ascii="Times New Roman" w:hAnsi="Times New Roman"/>
          <w:b/>
          <w:bCs/>
          <w:sz w:val="28"/>
          <w:szCs w:val="28"/>
        </w:rPr>
      </w:pPr>
    </w:p>
    <w:p w14:paraId="6F8A6D23" w14:textId="77777777" w:rsidR="008B4829" w:rsidRDefault="008B4829" w:rsidP="008B4829">
      <w:pPr>
        <w:spacing w:after="0" w:line="240" w:lineRule="auto"/>
        <w:jc w:val="both"/>
      </w:pPr>
      <w:r>
        <w:rPr>
          <w:rFonts w:ascii="Times New Roman" w:hAnsi="Times New Roman"/>
          <w:sz w:val="28"/>
          <w:szCs w:val="28"/>
        </w:rPr>
        <w:t xml:space="preserve">     Podmínky navýšení ceny elektřiny jsou stanoveny v § 118 zákona č. 458/2000 Sb., o podmínkách podnikání a o výkonu státní správy v energetických odvětvích a o změně některých zákonů (energetický zákon), kdy dle odst. 2 platí, </w:t>
      </w:r>
      <w:r>
        <w:rPr>
          <w:rFonts w:ascii="Times New Roman" w:hAnsi="Times New Roman"/>
          <w:b/>
          <w:bCs/>
          <w:sz w:val="28"/>
          <w:szCs w:val="28"/>
        </w:rPr>
        <w:t xml:space="preserve">že </w:t>
      </w:r>
      <w:r>
        <w:rPr>
          <w:rFonts w:ascii="Times New Roman" w:hAnsi="Times New Roman"/>
          <w:b/>
          <w:bCs/>
          <w:i/>
          <w:iCs/>
          <w:sz w:val="28"/>
          <w:szCs w:val="28"/>
        </w:rPr>
        <w:t xml:space="preserve">„zvýšení ceny za dodávku elektřiny nebo plynu nebo změnu jiných smluvních podmínek dodávek elektřiny nebo plynu je držitel licence povinen prokazatelně a adresně oznámit spotřebiteli a podnikající fyzické osobě uvedené v odstavci 1 nejpozději třicátý den přede dnem její účinnosti způsobem uvedeným ve smlouvě o dodávce elektřiny nebo plynu nebo smlouvě o sdružených službách dodávky elektřiny nebo plynu. Součástí oznámení je poučení o právu druhé smluví strany odmítnout změny a vypovědět závazek ze smlouvy bez postihu podle odstavce 4“. </w:t>
      </w:r>
      <w:r>
        <w:rPr>
          <w:rFonts w:ascii="Times New Roman" w:hAnsi="Times New Roman"/>
          <w:sz w:val="28"/>
          <w:szCs w:val="28"/>
        </w:rPr>
        <w:t xml:space="preserve">Dle § 11 odst. 3 energetického zákona pak platí, že </w:t>
      </w:r>
      <w:r>
        <w:rPr>
          <w:rFonts w:ascii="Times New Roman" w:hAnsi="Times New Roman"/>
          <w:i/>
          <w:iCs/>
          <w:sz w:val="28"/>
          <w:szCs w:val="28"/>
        </w:rPr>
        <w:t>„nebude-li změna oznámena podle odstavce 2, nevyvolá právní účinky.“</w:t>
      </w:r>
    </w:p>
    <w:p w14:paraId="2C89D3DF" w14:textId="77777777" w:rsidR="008B4829" w:rsidRDefault="008B4829" w:rsidP="008B4829">
      <w:pPr>
        <w:spacing w:after="0" w:line="240" w:lineRule="auto"/>
        <w:jc w:val="both"/>
        <w:rPr>
          <w:rFonts w:ascii="Times New Roman" w:hAnsi="Times New Roman"/>
          <w:i/>
          <w:iCs/>
          <w:sz w:val="28"/>
          <w:szCs w:val="28"/>
        </w:rPr>
      </w:pPr>
    </w:p>
    <w:p w14:paraId="3E91EB1A" w14:textId="77777777" w:rsidR="008B4829" w:rsidRDefault="008B4829" w:rsidP="008B4829">
      <w:pPr>
        <w:spacing w:after="0" w:line="240" w:lineRule="auto"/>
        <w:jc w:val="both"/>
      </w:pPr>
      <w:r>
        <w:rPr>
          <w:rFonts w:ascii="Times New Roman" w:hAnsi="Times New Roman"/>
          <w:i/>
          <w:iCs/>
          <w:sz w:val="28"/>
          <w:szCs w:val="28"/>
        </w:rPr>
        <w:t xml:space="preserve">     </w:t>
      </w:r>
      <w:r>
        <w:rPr>
          <w:rFonts w:ascii="Times New Roman" w:hAnsi="Times New Roman"/>
          <w:sz w:val="28"/>
          <w:szCs w:val="28"/>
        </w:rPr>
        <w:t xml:space="preserve">Toto ustanovení však nelze chápat tak, že by zakládalo právo dodavatele na jednostranné zvýšení ceny energií, jedná se pouze o mantinely sloužící k ochraně zákazníků, pokud dodavateli právo na zvýšení ceny svědčí. </w:t>
      </w:r>
      <w:r>
        <w:rPr>
          <w:rFonts w:ascii="Times New Roman" w:hAnsi="Times New Roman"/>
          <w:b/>
          <w:bCs/>
          <w:sz w:val="28"/>
          <w:szCs w:val="28"/>
        </w:rPr>
        <w:t>Aby dodavatel mohl provést jednostranné zvýšení ceny elektřiny nebo plynu, musí být toto jeho právo sjednáno ve smluvní dokumentaci mezi dodavatelem a zákazníkem – obvykle ve všeobecných obchodních podmínkách, jimiž se daný smluvní vztah řídí.</w:t>
      </w:r>
    </w:p>
    <w:p w14:paraId="7EF51D28" w14:textId="77777777" w:rsidR="008B4829" w:rsidRDefault="008B4829" w:rsidP="008B4829">
      <w:pPr>
        <w:spacing w:after="0" w:line="240" w:lineRule="auto"/>
        <w:jc w:val="both"/>
        <w:rPr>
          <w:rFonts w:ascii="Times New Roman" w:hAnsi="Times New Roman"/>
          <w:b/>
          <w:bCs/>
          <w:sz w:val="28"/>
          <w:szCs w:val="28"/>
        </w:rPr>
      </w:pPr>
    </w:p>
    <w:p w14:paraId="1C6C8A22" w14:textId="77777777" w:rsidR="008B4829" w:rsidRDefault="008B4829" w:rsidP="008B4829">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Změna ceny bude zpravidla prováděna prostřednictvím změny ceníku, který je svou povahou obchodními podmínkami, kdy možnost jeho změny se bude řídit taktéž § 1752 odst. 1 a 2 občanského zákoníku, dle kterého: </w:t>
      </w:r>
      <w:r>
        <w:rPr>
          <w:rFonts w:ascii="Times New Roman" w:hAnsi="Times New Roman"/>
          <w:i/>
          <w:iCs/>
          <w:sz w:val="28"/>
          <w:szCs w:val="28"/>
        </w:rPr>
        <w:t xml:space="preserve">„vyplývá-li z povahy závazku již při jednání o uzavření smlouvy rozumná potřeba jejích pozdější změny, lze si ujednat, že strana může obchodní podmínky v přiměřeném rozsahu změnit“, </w:t>
      </w:r>
      <w:r>
        <w:rPr>
          <w:rFonts w:ascii="Times New Roman" w:hAnsi="Times New Roman"/>
          <w:sz w:val="28"/>
          <w:szCs w:val="28"/>
        </w:rPr>
        <w:t xml:space="preserve">přičemž nebyl by sjednán </w:t>
      </w:r>
      <w:r>
        <w:rPr>
          <w:rFonts w:ascii="Times New Roman" w:hAnsi="Times New Roman"/>
          <w:i/>
          <w:iCs/>
          <w:sz w:val="28"/>
          <w:szCs w:val="28"/>
        </w:rPr>
        <w:t xml:space="preserve">„rozsah změn  obchodních podmínek, nepřihlíží se ke změnám vyvolaným takovou změnou okolností, kterou již při uzavření smlouvy </w:t>
      </w:r>
      <w:r>
        <w:rPr>
          <w:rFonts w:ascii="Times New Roman" w:hAnsi="Times New Roman"/>
          <w:i/>
          <w:iCs/>
          <w:sz w:val="28"/>
          <w:szCs w:val="28"/>
        </w:rPr>
        <w:lastRenderedPageBreak/>
        <w:t xml:space="preserve">strana odkazující na obchodní podmínky musela předpokládat, ani ke změnám vyvolaným změnou jejich osobních nebo majetkových poměrů“. </w:t>
      </w:r>
      <w:r>
        <w:rPr>
          <w:rFonts w:ascii="Times New Roman" w:hAnsi="Times New Roman"/>
          <w:sz w:val="28"/>
          <w:szCs w:val="28"/>
        </w:rPr>
        <w:t xml:space="preserve">Rozsah možných změn tedy může být sjednán, přičemž v takovém případě lze změnu provést pouze ze sjednaného důvodu a ve sjednaném rozsahu, který zároveň musí být přiměřený. Pokud rozsah změn nebyl sjednán, nelze změnu odůvodnit důvody předvídatelnými již při podpisu smlouvy či důvody stojícími na straně dodavatele, který chce jednostranně podmínky změnit. </w:t>
      </w:r>
    </w:p>
    <w:p w14:paraId="0AFC04E9" w14:textId="77777777" w:rsidR="008B4829" w:rsidRDefault="008B4829" w:rsidP="008B4829">
      <w:pPr>
        <w:spacing w:after="0" w:line="240" w:lineRule="auto"/>
        <w:jc w:val="both"/>
        <w:rPr>
          <w:rFonts w:ascii="Times New Roman" w:hAnsi="Times New Roman"/>
          <w:sz w:val="28"/>
          <w:szCs w:val="28"/>
        </w:rPr>
      </w:pPr>
    </w:p>
    <w:p w14:paraId="015507DC"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Současně dle komentářové literatury k § 11a energetického zákona je třeba posuzovat platnost ujednání o možnosti jednostranné změny obsahu smlouvy v konkrétním případě, a to zejména z hlediska dobrých mravů podle § 580 občanského zákoníku, dále zda bylo zvýšení provedeno v přiměřeném a mravném rozsahu, či zda se strana nepokouší závazek změnit či vymezit zneužívajícím způsobem.</w:t>
      </w:r>
    </w:p>
    <w:p w14:paraId="361B32A7" w14:textId="77777777" w:rsidR="008B4829" w:rsidRDefault="008B4829" w:rsidP="008B4829">
      <w:pPr>
        <w:spacing w:after="0" w:line="240" w:lineRule="auto"/>
        <w:jc w:val="both"/>
        <w:rPr>
          <w:rFonts w:ascii="Times New Roman" w:hAnsi="Times New Roman"/>
          <w:sz w:val="28"/>
          <w:szCs w:val="28"/>
        </w:rPr>
      </w:pPr>
    </w:p>
    <w:p w14:paraId="4C72FF32" w14:textId="77777777" w:rsidR="008B4829" w:rsidRDefault="008B4829" w:rsidP="008B4829">
      <w:pPr>
        <w:spacing w:after="0" w:line="240" w:lineRule="auto"/>
        <w:jc w:val="both"/>
      </w:pPr>
      <w:r>
        <w:rPr>
          <w:rFonts w:ascii="Times New Roman" w:hAnsi="Times New Roman"/>
          <w:sz w:val="28"/>
          <w:szCs w:val="28"/>
        </w:rPr>
        <w:t xml:space="preserve">     Ve smluvních vztazích se spotřebiteli dokonce Energetický regulační úřad klade vyšší požadavky na ujednání o změně obchodních podmínek (ceníku), když nepostačuje pouhé ujednání o tom, že dodavateli svědčí právo na jednostranné zvýšení ceny. </w:t>
      </w:r>
      <w:r>
        <w:rPr>
          <w:rFonts w:ascii="Times New Roman" w:hAnsi="Times New Roman"/>
          <w:b/>
          <w:bCs/>
          <w:sz w:val="28"/>
          <w:szCs w:val="28"/>
        </w:rPr>
        <w:t>Možnost jednostranně změnit ceník musí být omezena na odůvodněné případy, přičemž musí být jasně stanoveno, za jakých podmínek může k jednostrannému zvýšení ceny ze strany dodavatele dojít</w:t>
      </w:r>
      <w:r>
        <w:rPr>
          <w:rFonts w:ascii="Times New Roman" w:hAnsi="Times New Roman"/>
          <w:sz w:val="28"/>
          <w:szCs w:val="28"/>
        </w:rPr>
        <w:t>. Tento důvod musí být objektivní, vážný a konkrétní. Absence těchto náležitostí způsobuje nicotnost ujednání o možnosti jednostranné změny smluvních podmínek – zvýšení ceny (viz stanovisko Energetického regulačního úřadu ze dne 26. 4. 2018, č. 3/2018).</w:t>
      </w:r>
    </w:p>
    <w:p w14:paraId="72B4EDE3" w14:textId="77777777" w:rsidR="008B4829" w:rsidRDefault="008B4829" w:rsidP="008B4829">
      <w:pPr>
        <w:spacing w:after="0" w:line="240" w:lineRule="auto"/>
        <w:jc w:val="both"/>
        <w:rPr>
          <w:rFonts w:ascii="Times New Roman" w:hAnsi="Times New Roman"/>
          <w:sz w:val="28"/>
          <w:szCs w:val="28"/>
        </w:rPr>
      </w:pPr>
    </w:p>
    <w:p w14:paraId="22171DAB" w14:textId="77777777" w:rsidR="008B4829" w:rsidRDefault="008B4829" w:rsidP="008B4829">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Jednostranné zvýšení ceny elektřiny nebo plynu je tedy možné pouze pokud ujednání ve smlouvě či obchodních podmínkách dodavateli tento postup umožňuje, přičemž v případě spotřebitelů je třeba, aby byly podmínky pro zvýšení podrobněji specifikovány. </w:t>
      </w:r>
      <w:r>
        <w:rPr>
          <w:rFonts w:ascii="Times New Roman" w:hAnsi="Times New Roman"/>
          <w:sz w:val="28"/>
          <w:szCs w:val="28"/>
        </w:rPr>
        <w:t>Uplatní se také korektiv dobrých mravů, a to jak co se týče možnosti samotného zvýšení, tak co se týče výše, o kterou je cena dodávek energií zvyšována. Nezáleží přitom na tom, zda je smlouva o dodávkách energie uzavřena na dobu určitou či neurčitou.</w:t>
      </w:r>
    </w:p>
    <w:p w14:paraId="6BD9FADE" w14:textId="77777777" w:rsidR="008B4829" w:rsidRDefault="008B4829" w:rsidP="008B4829">
      <w:pPr>
        <w:spacing w:after="0" w:line="240" w:lineRule="auto"/>
        <w:jc w:val="both"/>
        <w:rPr>
          <w:rFonts w:ascii="Times New Roman" w:hAnsi="Times New Roman"/>
          <w:sz w:val="28"/>
          <w:szCs w:val="28"/>
        </w:rPr>
      </w:pPr>
    </w:p>
    <w:p w14:paraId="2479F702"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Pokud se však dodavatel přímo ve smlouvě o dodávkách elektřiny nebo plynu zaváže, že po určitou dobu bude cena dané komodity fixována, nemůže přistoupit k jednostrannému zvýšení, ani pokud by to obchodní podmínky umožňovaly.</w:t>
      </w:r>
    </w:p>
    <w:p w14:paraId="7605D1FA" w14:textId="77777777" w:rsidR="008B4829" w:rsidRDefault="008B4829" w:rsidP="008B4829">
      <w:pPr>
        <w:spacing w:after="0" w:line="240" w:lineRule="auto"/>
        <w:jc w:val="both"/>
        <w:rPr>
          <w:rFonts w:ascii="Times New Roman" w:hAnsi="Times New Roman"/>
          <w:sz w:val="28"/>
          <w:szCs w:val="28"/>
        </w:rPr>
      </w:pPr>
    </w:p>
    <w:p w14:paraId="5855643F"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Stejně tak by tomu bylo, pokud by ve smlouvě o dodávkách bylo například nezřídka používané ustanovení o garanci nižší ceny, než je cena dominantního dodavatele v regionu. Odchylná ujednání ve smlouvě mají před zněním obchodních podmínek přednost v souladu s § 1751 odst. 1 občanského zákoníku.</w:t>
      </w:r>
    </w:p>
    <w:p w14:paraId="5EF3AB9D" w14:textId="77777777" w:rsidR="008B4829" w:rsidRDefault="008B4829" w:rsidP="008B4829">
      <w:pPr>
        <w:spacing w:after="0" w:line="240" w:lineRule="auto"/>
        <w:jc w:val="both"/>
        <w:rPr>
          <w:rFonts w:ascii="Times New Roman" w:hAnsi="Times New Roman"/>
          <w:sz w:val="28"/>
          <w:szCs w:val="28"/>
        </w:rPr>
      </w:pPr>
    </w:p>
    <w:p w14:paraId="450B8100"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Jako příklad můžeme uvést aktuální právní věc, kterou se advokátní kancelář JUDr. Tomáše Vymazala v Olomouci zabývala, kdy její klient odebíral elektrickou energii od společnosti LAMA </w:t>
      </w:r>
      <w:proofErr w:type="spellStart"/>
      <w:r>
        <w:rPr>
          <w:rFonts w:ascii="Times New Roman" w:hAnsi="Times New Roman"/>
          <w:sz w:val="28"/>
          <w:szCs w:val="28"/>
        </w:rPr>
        <w:t>energy</w:t>
      </w:r>
      <w:proofErr w:type="spellEnd"/>
      <w:r>
        <w:rPr>
          <w:rFonts w:ascii="Times New Roman" w:hAnsi="Times New Roman"/>
          <w:sz w:val="28"/>
          <w:szCs w:val="28"/>
        </w:rPr>
        <w:t>, a.s. a byla mu cena elektřiny zvýšena v druhé polovině roku 2022 téměř dvojnásobně. Toto zvýšení však nemělo oporu v obchodních podmínkách, navíc přímo ve smlouvě o dodávkách byla sjednána garance ceny elektřiny tak, že nepřevýší cenu dominantního dodavatele. Při mimosoudním jednání dodavatel uznal chybný postup a podařilo se nám dosáhnout opravy faktur vystavených po zvýšení ceny, což pro klienta znamenalo úsporu několika desítek tisíc korun. Taktéž obchodní podmínky dalších alternativních dodavatelů neumožňovaly jednostranné zvýšení cen, jedná se například o obchodní podmínky společnosti MND Energie a.s., NWT a.s., Hanácká plynárenská s.r.o., Dobrá Energie s.r.o., či Jihlavské plynárny s.r.o. a dalších.</w:t>
      </w:r>
    </w:p>
    <w:p w14:paraId="6560A41B" w14:textId="77777777" w:rsidR="008B4829" w:rsidRDefault="008B4829" w:rsidP="008B4829">
      <w:pPr>
        <w:spacing w:after="0" w:line="240" w:lineRule="auto"/>
        <w:jc w:val="both"/>
        <w:rPr>
          <w:rFonts w:ascii="Times New Roman" w:hAnsi="Times New Roman"/>
          <w:sz w:val="28"/>
          <w:szCs w:val="28"/>
        </w:rPr>
      </w:pPr>
    </w:p>
    <w:p w14:paraId="4784881C"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Pro úplnost je třeba dodat, že výše uvedené podmínky zvyšování ceny se týkají pouze neregulované (obchodní) části ceny, kterou určuje dodavatel. Z povahy věci se nemůže týkat regulované části ceny, kterou stanovuje Energetický  regulační úřad a je pro všechny dodavatele závazná.</w:t>
      </w:r>
    </w:p>
    <w:p w14:paraId="42666E04" w14:textId="77777777" w:rsidR="008B4829" w:rsidRDefault="008B4829" w:rsidP="008B4829">
      <w:pPr>
        <w:spacing w:after="0" w:line="240" w:lineRule="auto"/>
        <w:jc w:val="both"/>
        <w:rPr>
          <w:rFonts w:ascii="Times New Roman" w:hAnsi="Times New Roman"/>
          <w:sz w:val="28"/>
          <w:szCs w:val="28"/>
        </w:rPr>
      </w:pPr>
    </w:p>
    <w:p w14:paraId="6E97731B"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Od 1. 1. 2023 je neregulovaná část ceny elektřiny </w:t>
      </w:r>
      <w:proofErr w:type="spellStart"/>
      <w:r>
        <w:rPr>
          <w:rFonts w:ascii="Times New Roman" w:hAnsi="Times New Roman"/>
          <w:sz w:val="28"/>
          <w:szCs w:val="28"/>
        </w:rPr>
        <w:t>zastropována</w:t>
      </w:r>
      <w:proofErr w:type="spellEnd"/>
      <w:r>
        <w:rPr>
          <w:rFonts w:ascii="Times New Roman" w:hAnsi="Times New Roman"/>
          <w:sz w:val="28"/>
          <w:szCs w:val="28"/>
        </w:rPr>
        <w:t xml:space="preserve"> nařízením vlády č. 298/2022 Sb., o stanovení cen elektřiny a plynu v mimořádné tržní situaci a o stanovení s tím souvisejícího nejvyššího přípustného rozsahu majetkového prospěchu zákazníka, kdy cena za dodávky elektřiny může činit maximálně 5 000,- Kč/</w:t>
      </w:r>
      <w:proofErr w:type="spellStart"/>
      <w:r>
        <w:rPr>
          <w:rFonts w:ascii="Times New Roman" w:hAnsi="Times New Roman"/>
          <w:sz w:val="28"/>
          <w:szCs w:val="28"/>
        </w:rPr>
        <w:t>MWh</w:t>
      </w:r>
      <w:proofErr w:type="spellEnd"/>
      <w:r>
        <w:rPr>
          <w:rFonts w:ascii="Times New Roman" w:hAnsi="Times New Roman"/>
          <w:sz w:val="28"/>
          <w:szCs w:val="28"/>
        </w:rPr>
        <w:t xml:space="preserve"> bez DPH a cena za dodávky plynu maximálně 2 500,- Kč/</w:t>
      </w:r>
      <w:proofErr w:type="spellStart"/>
      <w:r>
        <w:rPr>
          <w:rFonts w:ascii="Times New Roman" w:hAnsi="Times New Roman"/>
          <w:sz w:val="28"/>
          <w:szCs w:val="28"/>
        </w:rPr>
        <w:t>MWh</w:t>
      </w:r>
      <w:proofErr w:type="spellEnd"/>
      <w:r>
        <w:rPr>
          <w:rFonts w:ascii="Times New Roman" w:hAnsi="Times New Roman"/>
          <w:sz w:val="28"/>
          <w:szCs w:val="28"/>
        </w:rPr>
        <w:t xml:space="preserve"> bez DPH. V současné době však lze stále v některých případech napadat neoprávněné zvýšení ceny dodávek energií které bylo provedeno před tímto datem. Navíc pokud cena elektřiny nebo plynu před zvýšením nedosahovala této výše a dodavatel neměl právo cenu zvýšit, je možné se domáhat dodržení původně sjednané ceny, která může být nižší než cena </w:t>
      </w:r>
      <w:proofErr w:type="spellStart"/>
      <w:r>
        <w:rPr>
          <w:rFonts w:ascii="Times New Roman" w:hAnsi="Times New Roman"/>
          <w:sz w:val="28"/>
          <w:szCs w:val="28"/>
        </w:rPr>
        <w:t>zastropovaná</w:t>
      </w:r>
      <w:proofErr w:type="spellEnd"/>
      <w:r>
        <w:rPr>
          <w:rFonts w:ascii="Times New Roman" w:hAnsi="Times New Roman"/>
          <w:sz w:val="28"/>
          <w:szCs w:val="28"/>
        </w:rPr>
        <w:t xml:space="preserve">. </w:t>
      </w:r>
    </w:p>
    <w:p w14:paraId="4327C2FA" w14:textId="77777777" w:rsidR="008B4829" w:rsidRDefault="008B4829" w:rsidP="008B4829">
      <w:pPr>
        <w:spacing w:after="0" w:line="240" w:lineRule="auto"/>
        <w:jc w:val="both"/>
        <w:rPr>
          <w:rFonts w:ascii="Times New Roman" w:hAnsi="Times New Roman"/>
          <w:sz w:val="28"/>
          <w:szCs w:val="28"/>
        </w:rPr>
      </w:pPr>
    </w:p>
    <w:p w14:paraId="676FC783" w14:textId="77777777" w:rsidR="008B4829" w:rsidRDefault="008B4829" w:rsidP="008B4829">
      <w:pPr>
        <w:spacing w:after="0" w:line="240" w:lineRule="auto"/>
        <w:jc w:val="both"/>
        <w:rPr>
          <w:rFonts w:ascii="Times New Roman" w:hAnsi="Times New Roman"/>
          <w:sz w:val="28"/>
          <w:szCs w:val="28"/>
        </w:rPr>
      </w:pPr>
    </w:p>
    <w:p w14:paraId="4645CC7F"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Z á v ě r :</w:t>
      </w:r>
    </w:p>
    <w:p w14:paraId="7EC31127" w14:textId="77777777" w:rsidR="008B4829" w:rsidRDefault="008B4829" w:rsidP="008B4829">
      <w:pPr>
        <w:spacing w:after="0" w:line="240" w:lineRule="auto"/>
        <w:jc w:val="both"/>
        <w:rPr>
          <w:rFonts w:ascii="Times New Roman" w:hAnsi="Times New Roman"/>
          <w:sz w:val="28"/>
          <w:szCs w:val="28"/>
        </w:rPr>
      </w:pPr>
    </w:p>
    <w:p w14:paraId="1C761063"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Zvýšení ceny neregulované části dodávek elektřiny a plynu je možné pouze za splnění několika podmínek, a to:</w:t>
      </w:r>
    </w:p>
    <w:p w14:paraId="785F6C52" w14:textId="77777777" w:rsidR="008B4829" w:rsidRDefault="008B4829" w:rsidP="008B4829">
      <w:pPr>
        <w:spacing w:after="0" w:line="240" w:lineRule="auto"/>
        <w:jc w:val="both"/>
        <w:rPr>
          <w:rFonts w:ascii="Times New Roman" w:hAnsi="Times New Roman"/>
          <w:sz w:val="28"/>
          <w:szCs w:val="28"/>
        </w:rPr>
      </w:pPr>
    </w:p>
    <w:p w14:paraId="7FCB7521" w14:textId="77777777" w:rsidR="008B4829" w:rsidRDefault="008B4829" w:rsidP="008B4829">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Možnost zvýšení ceny musí být ujednána ve smluvní dokumentaci, obvykle v obchodních podmínkách.</w:t>
      </w:r>
    </w:p>
    <w:p w14:paraId="3B597032" w14:textId="77777777" w:rsidR="008B4829" w:rsidRDefault="008B4829" w:rsidP="008B4829">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Ve smlouvě nesmí být sjednána fixace ceny nebo garance určité výše ceny.</w:t>
      </w:r>
    </w:p>
    <w:p w14:paraId="7131F5B8" w14:textId="77777777" w:rsidR="008B4829" w:rsidRDefault="008B4829" w:rsidP="008B4829">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Ujednání o zvýšení, jakožto i samotný úkon zvýšení musí být proveden v přiměřeném rozsahu a v souladu s dobrými mravy.</w:t>
      </w:r>
    </w:p>
    <w:p w14:paraId="24AC7F98" w14:textId="77777777" w:rsidR="008B4829" w:rsidRDefault="008B4829" w:rsidP="008B4829">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U spotřebitelů a podnikajících fyzických osob musí být zvýšení provedeno v souladu s podmínkami dle § 11a energetického zákona.</w:t>
      </w:r>
    </w:p>
    <w:p w14:paraId="08A7A57E" w14:textId="77777777" w:rsidR="008B4829" w:rsidRDefault="008B4829" w:rsidP="008B4829">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V případě spotřebitelů musí být již v samotných obchodních podmínkách jasně stanoven objektivní, vážný a konkrétní důvod, pro který může k jednostrannému zvýšení ceny ze strany dodavatele dojít.</w:t>
      </w:r>
    </w:p>
    <w:p w14:paraId="228479E3" w14:textId="77777777" w:rsidR="008B4829" w:rsidRDefault="008B4829" w:rsidP="008B4829">
      <w:pPr>
        <w:spacing w:after="0" w:line="240" w:lineRule="auto"/>
        <w:jc w:val="both"/>
        <w:rPr>
          <w:rFonts w:ascii="Times New Roman" w:hAnsi="Times New Roman"/>
          <w:sz w:val="28"/>
          <w:szCs w:val="28"/>
        </w:rPr>
      </w:pPr>
    </w:p>
    <w:p w14:paraId="4F44CC43"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Jestliže kterákoli z výše uvedených podmínek nebyla splněna, zvýšení ceny je neoprávněné a lze se domáhat vrácení přeplatku.</w:t>
      </w:r>
    </w:p>
    <w:p w14:paraId="1D5CF52B" w14:textId="77777777" w:rsidR="008B4829" w:rsidRDefault="008B4829" w:rsidP="008B4829">
      <w:pPr>
        <w:spacing w:after="0" w:line="240" w:lineRule="auto"/>
        <w:jc w:val="both"/>
        <w:rPr>
          <w:rFonts w:ascii="Times New Roman" w:hAnsi="Times New Roman"/>
          <w:sz w:val="28"/>
          <w:szCs w:val="28"/>
        </w:rPr>
      </w:pPr>
    </w:p>
    <w:p w14:paraId="12362966"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Zdroj: epravo.cz</w:t>
      </w:r>
    </w:p>
    <w:p w14:paraId="42DED910" w14:textId="77777777" w:rsidR="008B4829" w:rsidRDefault="008B4829" w:rsidP="008B4829">
      <w:pPr>
        <w:spacing w:after="0" w:line="240" w:lineRule="auto"/>
        <w:jc w:val="both"/>
        <w:rPr>
          <w:rFonts w:ascii="Times New Roman" w:hAnsi="Times New Roman"/>
          <w:sz w:val="28"/>
          <w:szCs w:val="28"/>
        </w:rPr>
      </w:pPr>
    </w:p>
    <w:p w14:paraId="7A3A1EB0" w14:textId="77777777" w:rsidR="008B4829" w:rsidRDefault="008B4829" w:rsidP="008B4829">
      <w:pPr>
        <w:spacing w:after="0" w:line="240" w:lineRule="auto"/>
        <w:jc w:val="both"/>
        <w:rPr>
          <w:rFonts w:ascii="Times New Roman" w:hAnsi="Times New Roman"/>
          <w:sz w:val="28"/>
          <w:szCs w:val="28"/>
        </w:rPr>
      </w:pPr>
    </w:p>
    <w:p w14:paraId="22B84B03" w14:textId="77777777" w:rsidR="008B4829" w:rsidRDefault="008B4829" w:rsidP="008B4829">
      <w:pPr>
        <w:spacing w:after="0" w:line="240" w:lineRule="auto"/>
        <w:jc w:val="both"/>
        <w:rPr>
          <w:rFonts w:ascii="Times New Roman" w:hAnsi="Times New Roman"/>
          <w:sz w:val="28"/>
          <w:szCs w:val="28"/>
        </w:rPr>
      </w:pPr>
    </w:p>
    <w:p w14:paraId="13227C59" w14:textId="77777777" w:rsidR="008B4829" w:rsidRDefault="008B4829" w:rsidP="008B4829">
      <w:pPr>
        <w:spacing w:after="0" w:line="240" w:lineRule="auto"/>
        <w:jc w:val="both"/>
      </w:pPr>
      <w:r>
        <w:rPr>
          <w:rFonts w:ascii="Times New Roman" w:hAnsi="Times New Roman"/>
          <w:sz w:val="28"/>
          <w:szCs w:val="28"/>
        </w:rPr>
        <w:t xml:space="preserve">  </w:t>
      </w:r>
    </w:p>
    <w:p w14:paraId="391660BD"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0C2B3BD"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AAAFB46"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AA50FC0"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65BADFA"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D6F75B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E87CD48"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4DFBE32"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945771F"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76E125B"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C844DD8"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2564EFA"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521E200"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9A8DFAA"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E92DB30"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BE79402"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1FD5351"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EFC92F6"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6500C7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CFD05F8"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07E6526"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D24DC36"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C1B896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B290955"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17602FB"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9CD4BC7"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88393AF"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67A14B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2E47BB0C"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680D6981"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12E1EB9"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630DE9E"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771B7AF" w14:textId="77777777" w:rsidR="008B4829" w:rsidRDefault="008B4829" w:rsidP="008B482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OTAZNÍKY KOLEM ZVÝŠENÍ MINIMÁLNÍ MZDY</w:t>
      </w:r>
    </w:p>
    <w:p w14:paraId="30A05D7D" w14:textId="77777777" w:rsidR="008B4829" w:rsidRDefault="008B4829" w:rsidP="008B4829">
      <w:pPr>
        <w:spacing w:after="0" w:line="240" w:lineRule="auto"/>
        <w:jc w:val="center"/>
        <w:rPr>
          <w:rFonts w:ascii="Times New Roman" w:hAnsi="Times New Roman"/>
          <w:b/>
          <w:bCs/>
          <w:sz w:val="28"/>
          <w:szCs w:val="28"/>
        </w:rPr>
      </w:pPr>
    </w:p>
    <w:p w14:paraId="132F3EA2" w14:textId="77777777" w:rsidR="008B4829" w:rsidRDefault="008B4829" w:rsidP="008B4829">
      <w:pPr>
        <w:spacing w:after="0" w:line="240" w:lineRule="auto"/>
        <w:jc w:val="center"/>
        <w:rPr>
          <w:rFonts w:ascii="Times New Roman" w:hAnsi="Times New Roman"/>
          <w:b/>
          <w:bCs/>
          <w:sz w:val="28"/>
          <w:szCs w:val="28"/>
        </w:rPr>
      </w:pPr>
    </w:p>
    <w:p w14:paraId="16828580" w14:textId="77777777" w:rsidR="008B4829" w:rsidRDefault="008B4829" w:rsidP="008B4829">
      <w:pPr>
        <w:spacing w:after="0" w:line="240" w:lineRule="auto"/>
        <w:jc w:val="center"/>
        <w:rPr>
          <w:rFonts w:ascii="Times New Roman" w:hAnsi="Times New Roman"/>
          <w:b/>
          <w:bCs/>
          <w:sz w:val="28"/>
          <w:szCs w:val="28"/>
        </w:rPr>
      </w:pPr>
    </w:p>
    <w:p w14:paraId="28483F44" w14:textId="77777777" w:rsidR="008B4829" w:rsidRDefault="008B4829" w:rsidP="008B4829">
      <w:pPr>
        <w:spacing w:after="0" w:line="240" w:lineRule="auto"/>
        <w:jc w:val="both"/>
        <w:rPr>
          <w:rFonts w:ascii="Times New Roman" w:hAnsi="Times New Roman"/>
          <w:b/>
          <w:bCs/>
          <w:sz w:val="28"/>
          <w:szCs w:val="28"/>
        </w:rPr>
      </w:pPr>
      <w:r>
        <w:rPr>
          <w:rFonts w:ascii="Times New Roman" w:hAnsi="Times New Roman"/>
          <w:b/>
          <w:bCs/>
          <w:sz w:val="28"/>
          <w:szCs w:val="28"/>
        </w:rPr>
        <w:t>Zvýší se? Nezvýší? Názory na růst minimální mzdy se rozcházejí.</w:t>
      </w:r>
    </w:p>
    <w:p w14:paraId="76AFDD48" w14:textId="77777777" w:rsidR="008B4829" w:rsidRDefault="008B4829" w:rsidP="008B4829">
      <w:pPr>
        <w:spacing w:after="0" w:line="240" w:lineRule="auto"/>
        <w:jc w:val="both"/>
        <w:rPr>
          <w:rFonts w:ascii="Times New Roman" w:hAnsi="Times New Roman"/>
          <w:b/>
          <w:bCs/>
          <w:sz w:val="28"/>
          <w:szCs w:val="28"/>
        </w:rPr>
      </w:pPr>
    </w:p>
    <w:p w14:paraId="53C8FB3B" w14:textId="77777777" w:rsidR="008B4829" w:rsidRDefault="008B4829" w:rsidP="008B4829">
      <w:pPr>
        <w:spacing w:after="0" w:line="240" w:lineRule="auto"/>
        <w:jc w:val="both"/>
        <w:rPr>
          <w:rFonts w:ascii="Times New Roman" w:hAnsi="Times New Roman"/>
          <w:b/>
          <w:bCs/>
          <w:sz w:val="28"/>
          <w:szCs w:val="28"/>
        </w:rPr>
      </w:pPr>
    </w:p>
    <w:p w14:paraId="605AEBCF"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Vicepremiér a ministr práce a sociálních věcí Marian Jurečka nevidí pro letošek prostor pro růst minimální mzdy. Vláda by na její zvýšení přistoupila, pokud by se na něm dohodli odbory a zaměstnavatelé. Odboráři požadují navýšení minimální mzdy o 1 000 korun od července a od ledna o dalších 1 200 korun na celkem 19 500 korun. Zaměstnavatelé jsou proti.</w:t>
      </w:r>
    </w:p>
    <w:p w14:paraId="1B155B30" w14:textId="77777777" w:rsidR="008B4829" w:rsidRDefault="008B4829" w:rsidP="008B4829">
      <w:pPr>
        <w:spacing w:after="0" w:line="240" w:lineRule="auto"/>
        <w:jc w:val="both"/>
        <w:rPr>
          <w:rFonts w:ascii="Times New Roman" w:hAnsi="Times New Roman"/>
          <w:sz w:val="28"/>
          <w:szCs w:val="28"/>
        </w:rPr>
      </w:pPr>
    </w:p>
    <w:p w14:paraId="1D580500" w14:textId="77777777" w:rsidR="008B4829" w:rsidRDefault="008B4829" w:rsidP="008B4829">
      <w:pPr>
        <w:spacing w:after="0" w:line="240" w:lineRule="auto"/>
        <w:jc w:val="both"/>
      </w:pPr>
      <w:r>
        <w:rPr>
          <w:rFonts w:ascii="Times New Roman" w:hAnsi="Times New Roman"/>
          <w:sz w:val="28"/>
          <w:szCs w:val="28"/>
        </w:rPr>
        <w:t xml:space="preserve">     Minimální mzda se v Česku zvedala naposledy od letošního ledna o 1 100 korun na 17 300 korun. Podle odborů je částka nízká a víc se vyplácí na Slovensku i v Polsku. Podle Hospodářské komory by přidání zvedlo tlak na růst ostatních mezd, navýšení by posílilo inflaci. </w:t>
      </w:r>
      <w:r>
        <w:rPr>
          <w:rFonts w:ascii="Times New Roman" w:hAnsi="Times New Roman"/>
          <w:i/>
          <w:iCs/>
          <w:sz w:val="28"/>
          <w:szCs w:val="28"/>
        </w:rPr>
        <w:t xml:space="preserve">„O dalším zvýšení minimální mzdy nebudeme s odbory vést žádnou debatu,“ </w:t>
      </w:r>
      <w:r>
        <w:rPr>
          <w:rFonts w:ascii="Times New Roman" w:hAnsi="Times New Roman"/>
          <w:sz w:val="28"/>
          <w:szCs w:val="28"/>
        </w:rPr>
        <w:t xml:space="preserve">sdělil mluvčí Hospodářské komory Miroslav </w:t>
      </w:r>
      <w:proofErr w:type="spellStart"/>
      <w:r>
        <w:rPr>
          <w:rFonts w:ascii="Times New Roman" w:hAnsi="Times New Roman"/>
          <w:sz w:val="28"/>
          <w:szCs w:val="28"/>
        </w:rPr>
        <w:t>Diro</w:t>
      </w:r>
      <w:proofErr w:type="spellEnd"/>
      <w:r>
        <w:rPr>
          <w:rFonts w:ascii="Times New Roman" w:hAnsi="Times New Roman"/>
          <w:sz w:val="28"/>
          <w:szCs w:val="28"/>
        </w:rPr>
        <w:t>.</w:t>
      </w:r>
    </w:p>
    <w:p w14:paraId="54C48C31" w14:textId="77777777" w:rsidR="008B4829" w:rsidRDefault="008B4829" w:rsidP="008B4829">
      <w:pPr>
        <w:spacing w:after="0" w:line="240" w:lineRule="auto"/>
        <w:jc w:val="both"/>
        <w:rPr>
          <w:rFonts w:ascii="Times New Roman" w:hAnsi="Times New Roman"/>
          <w:sz w:val="28"/>
          <w:szCs w:val="28"/>
        </w:rPr>
      </w:pPr>
    </w:p>
    <w:p w14:paraId="134320AD" w14:textId="77777777" w:rsidR="008B4829" w:rsidRDefault="008B4829" w:rsidP="008B4829">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„Nevidíme důvod v tuto chvíli otevírat debatu o zvyšování minimální mzdy,“ </w:t>
      </w:r>
      <w:r>
        <w:rPr>
          <w:rFonts w:ascii="Times New Roman" w:hAnsi="Times New Roman"/>
          <w:sz w:val="28"/>
          <w:szCs w:val="28"/>
        </w:rPr>
        <w:t xml:space="preserve">uvedla ředitelka sekce zaměstnavatelské Svazu průmyslu a dopravy ČR Dagmar </w:t>
      </w:r>
      <w:proofErr w:type="spellStart"/>
      <w:r>
        <w:rPr>
          <w:rFonts w:ascii="Times New Roman" w:hAnsi="Times New Roman"/>
          <w:sz w:val="28"/>
          <w:szCs w:val="28"/>
        </w:rPr>
        <w:t>Kužvartová</w:t>
      </w:r>
      <w:proofErr w:type="spellEnd"/>
      <w:r>
        <w:rPr>
          <w:rFonts w:ascii="Times New Roman" w:hAnsi="Times New Roman"/>
          <w:sz w:val="28"/>
          <w:szCs w:val="28"/>
        </w:rPr>
        <w:t>. Posledních mnoho let podle ní rostly mzdy rychlejším tempem než inflace, tedy zaměstnancům reálná mzda rostla. V situaci krátkodobé a mimořádné inflace není vhodné neúměrně zvyšovat mzdy výrazně nad výkonnost ekonomiky.</w:t>
      </w:r>
    </w:p>
    <w:p w14:paraId="11493D68" w14:textId="77777777" w:rsidR="008B4829" w:rsidRDefault="008B4829" w:rsidP="008B4829">
      <w:pPr>
        <w:spacing w:after="0" w:line="240" w:lineRule="auto"/>
        <w:jc w:val="both"/>
        <w:rPr>
          <w:rFonts w:ascii="Times New Roman" w:hAnsi="Times New Roman"/>
          <w:sz w:val="28"/>
          <w:szCs w:val="28"/>
        </w:rPr>
      </w:pPr>
    </w:p>
    <w:p w14:paraId="41C566DE" w14:textId="77777777" w:rsidR="008B4829" w:rsidRDefault="008B4829" w:rsidP="008B4829">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Přiměřené minimální mzdy upravuje evropská směrnice, </w:t>
      </w:r>
      <w:r>
        <w:rPr>
          <w:rFonts w:ascii="Times New Roman" w:hAnsi="Times New Roman"/>
          <w:sz w:val="28"/>
          <w:szCs w:val="28"/>
        </w:rPr>
        <w:t xml:space="preserve">kterou EU přijala loni. Doporučuje jako vodítko pro stanovení částky 60 procent mediánu hrubé mzdy či 50 procent průměrné hrubé mzdy. Podle údajů Českého statistického úřadu činila loni </w:t>
      </w:r>
      <w:r>
        <w:rPr>
          <w:rFonts w:ascii="Times New Roman" w:hAnsi="Times New Roman"/>
          <w:b/>
          <w:bCs/>
          <w:sz w:val="28"/>
          <w:szCs w:val="28"/>
        </w:rPr>
        <w:t xml:space="preserve">průměrná mzda 40 353 korun. Medián se v posledním loňském čtvrtletí dostal na 37 463 korun. </w:t>
      </w:r>
      <w:r>
        <w:rPr>
          <w:rFonts w:ascii="Times New Roman" w:hAnsi="Times New Roman"/>
          <w:sz w:val="28"/>
          <w:szCs w:val="28"/>
        </w:rPr>
        <w:t>Podle doporučeného podílu by tak minimální výdělek činil 20 200 či 22 500 korun Členské státy mají na uvedení předpisu do praxe dva roky.</w:t>
      </w:r>
      <w:r>
        <w:rPr>
          <w:rFonts w:ascii="Times New Roman" w:hAnsi="Times New Roman"/>
          <w:i/>
          <w:iCs/>
          <w:sz w:val="28"/>
          <w:szCs w:val="28"/>
        </w:rPr>
        <w:t xml:space="preserve"> </w:t>
      </w:r>
    </w:p>
    <w:p w14:paraId="4D08334E" w14:textId="77777777" w:rsidR="008B4829" w:rsidRDefault="008B4829" w:rsidP="008B4829">
      <w:pPr>
        <w:spacing w:after="0" w:line="240" w:lineRule="auto"/>
        <w:jc w:val="both"/>
        <w:rPr>
          <w:rFonts w:ascii="Times New Roman" w:hAnsi="Times New Roman"/>
          <w:i/>
          <w:iCs/>
          <w:sz w:val="28"/>
          <w:szCs w:val="28"/>
        </w:rPr>
      </w:pPr>
    </w:p>
    <w:p w14:paraId="4EA51D50" w14:textId="77777777" w:rsidR="008B4829" w:rsidRDefault="008B4829" w:rsidP="008B4829">
      <w:pPr>
        <w:spacing w:after="0" w:line="240" w:lineRule="auto"/>
        <w:jc w:val="both"/>
      </w:pPr>
      <w:r>
        <w:rPr>
          <w:rFonts w:ascii="Times New Roman" w:hAnsi="Times New Roman"/>
          <w:sz w:val="28"/>
          <w:szCs w:val="28"/>
        </w:rPr>
        <w:t xml:space="preserve">     Podle Jurečky zatím dohoda na vzorci není. Není jasné, zda česká minimální mzda bude vycházet z mediánu či z průměrného výdělku. Stanovit se také musí z jakého období se částka pro výpočet vezme. Může to být pro daný rok předloňská mzda, loňská za tři čtvrtletí nebo předpokládaná. </w:t>
      </w:r>
      <w:r>
        <w:rPr>
          <w:rFonts w:ascii="Times New Roman" w:hAnsi="Times New Roman"/>
          <w:i/>
          <w:iCs/>
          <w:sz w:val="28"/>
          <w:szCs w:val="28"/>
        </w:rPr>
        <w:t xml:space="preserve">„Jednání začala. Neodcházíme, že bychom měli jasnou dohodu. Je tady vůle najít nějakou shodu, aby minimální mzda mohla předvídatelně, ale zároveň důstojně růst,“ </w:t>
      </w:r>
      <w:r>
        <w:rPr>
          <w:rFonts w:ascii="Times New Roman" w:hAnsi="Times New Roman"/>
          <w:sz w:val="28"/>
          <w:szCs w:val="28"/>
        </w:rPr>
        <w:t>uvedl Jurečka.</w:t>
      </w:r>
    </w:p>
    <w:p w14:paraId="2F626812" w14:textId="77777777" w:rsidR="008B4829" w:rsidRDefault="008B4829" w:rsidP="008B4829">
      <w:pPr>
        <w:spacing w:after="0" w:line="240" w:lineRule="auto"/>
        <w:jc w:val="both"/>
        <w:rPr>
          <w:rFonts w:ascii="Times New Roman" w:hAnsi="Times New Roman"/>
          <w:sz w:val="28"/>
          <w:szCs w:val="28"/>
        </w:rPr>
      </w:pPr>
    </w:p>
    <w:p w14:paraId="6D3F447E" w14:textId="77777777" w:rsidR="008B4829" w:rsidRDefault="008B4829" w:rsidP="008B4829">
      <w:pPr>
        <w:spacing w:after="0" w:line="240" w:lineRule="auto"/>
        <w:jc w:val="both"/>
        <w:rPr>
          <w:rFonts w:ascii="Times New Roman" w:hAnsi="Times New Roman"/>
          <w:sz w:val="28"/>
          <w:szCs w:val="28"/>
        </w:rPr>
      </w:pPr>
      <w:r>
        <w:rPr>
          <w:rFonts w:ascii="Times New Roman" w:hAnsi="Times New Roman"/>
          <w:sz w:val="28"/>
          <w:szCs w:val="28"/>
        </w:rPr>
        <w:t xml:space="preserve">     Podle plánu by se minimální mzda měla na stanovenou hranici dostat v příštích letech postupně. Ministr Jurečka uvedl, že by byl rád, aby od ledna byla minimální mzda „součástí konceptu postupného navyšování“.</w:t>
      </w:r>
    </w:p>
    <w:p w14:paraId="2F337A54" w14:textId="77777777" w:rsidR="008B4829" w:rsidRDefault="008B4829" w:rsidP="008B4829">
      <w:pPr>
        <w:spacing w:after="0" w:line="240" w:lineRule="auto"/>
        <w:jc w:val="both"/>
        <w:rPr>
          <w:rFonts w:ascii="Times New Roman" w:hAnsi="Times New Roman"/>
          <w:sz w:val="28"/>
          <w:szCs w:val="28"/>
        </w:rPr>
      </w:pPr>
    </w:p>
    <w:p w14:paraId="64E8B95C" w14:textId="77777777" w:rsidR="008B4829" w:rsidRDefault="008B4829" w:rsidP="008B4829">
      <w:pPr>
        <w:spacing w:after="0" w:line="240" w:lineRule="auto"/>
        <w:jc w:val="both"/>
      </w:pPr>
      <w:r>
        <w:rPr>
          <w:rFonts w:ascii="Times New Roman" w:hAnsi="Times New Roman"/>
          <w:sz w:val="28"/>
          <w:szCs w:val="28"/>
        </w:rPr>
        <w:lastRenderedPageBreak/>
        <w:t xml:space="preserve">     </w:t>
      </w:r>
      <w:r>
        <w:rPr>
          <w:rFonts w:ascii="Times New Roman" w:hAnsi="Times New Roman"/>
          <w:b/>
          <w:bCs/>
          <w:sz w:val="28"/>
          <w:szCs w:val="28"/>
        </w:rPr>
        <w:t xml:space="preserve">Na minimální mzdu se váže zaručená mzda. </w:t>
      </w:r>
      <w:r>
        <w:rPr>
          <w:rFonts w:ascii="Times New Roman" w:hAnsi="Times New Roman"/>
          <w:sz w:val="28"/>
          <w:szCs w:val="28"/>
        </w:rPr>
        <w:t>Vyplácí se v osmi stupních podle odbornosti, náročnosti a odpovědnosti práce. Pohybuje se mezi nejnižším výdělkem a jeho dvojnásobkem. Pro letošek vláda upravila jen nejvyšší a nejnižší částku, šest stupňů mezi nimi nezvedla. Podle Jurečky není shoda zatím ani na tom, zda by měla zaručená mzda do budoucna zůstat. Ministr uvedl, že buď se zruší a upraví ji vyšší kolektivní smlouvy, minimální mzda by pak rostla výrazněji. Druhou cestou je ponechání zaručených výdělků s nižším růstem minimální mzdy, uvedl Jurečka.</w:t>
      </w:r>
    </w:p>
    <w:p w14:paraId="4F1BFE40" w14:textId="77777777" w:rsidR="008B4829" w:rsidRDefault="008B4829" w:rsidP="008B4829">
      <w:pPr>
        <w:spacing w:after="0" w:line="240" w:lineRule="auto"/>
        <w:jc w:val="both"/>
        <w:rPr>
          <w:rFonts w:ascii="Times New Roman" w:hAnsi="Times New Roman"/>
          <w:sz w:val="28"/>
          <w:szCs w:val="28"/>
        </w:rPr>
      </w:pPr>
    </w:p>
    <w:p w14:paraId="7FF5B271" w14:textId="77777777" w:rsidR="008B4829" w:rsidRDefault="008B4829" w:rsidP="008B4829">
      <w:pPr>
        <w:spacing w:after="0" w:line="240" w:lineRule="auto"/>
        <w:jc w:val="both"/>
      </w:pPr>
      <w:r>
        <w:rPr>
          <w:rFonts w:ascii="Times New Roman" w:hAnsi="Times New Roman"/>
          <w:sz w:val="28"/>
          <w:szCs w:val="28"/>
        </w:rPr>
        <w:t xml:space="preserve">     Zaměstnavatelé by odpojení zaručených mezd od minimální mzdy uvítali. Odbory jsou proti. Podle odborářů je podstatné, z jakých částí se bude podíl mediánu či průměrné mzdy počítat. </w:t>
      </w:r>
      <w:r>
        <w:rPr>
          <w:rFonts w:ascii="Times New Roman" w:hAnsi="Times New Roman"/>
          <w:i/>
          <w:iCs/>
          <w:sz w:val="28"/>
          <w:szCs w:val="28"/>
        </w:rPr>
        <w:t xml:space="preserve">Pokud to budete vypočítávat z průměrné mzdy dva roky zpátky, tak to samozřejmě není pro nás akceptovatelné, protože už se nejedná o 50 procent průměrné mzdy“, </w:t>
      </w:r>
      <w:r>
        <w:rPr>
          <w:rFonts w:ascii="Times New Roman" w:hAnsi="Times New Roman"/>
          <w:sz w:val="28"/>
          <w:szCs w:val="28"/>
        </w:rPr>
        <w:t xml:space="preserve">uvedl předseda Českomoravské konfederace odborových svazů Josef </w:t>
      </w:r>
      <w:proofErr w:type="spellStart"/>
      <w:r>
        <w:rPr>
          <w:rFonts w:ascii="Times New Roman" w:hAnsi="Times New Roman"/>
          <w:sz w:val="28"/>
          <w:szCs w:val="28"/>
        </w:rPr>
        <w:t>Středula</w:t>
      </w:r>
      <w:proofErr w:type="spellEnd"/>
      <w:r>
        <w:rPr>
          <w:rFonts w:ascii="Times New Roman" w:hAnsi="Times New Roman"/>
          <w:sz w:val="28"/>
          <w:szCs w:val="28"/>
        </w:rPr>
        <w:t>. Podle něj se debatovalo o možnosti vycházet například z červencové predikce pro další rok. „</w:t>
      </w:r>
      <w:r>
        <w:rPr>
          <w:rFonts w:ascii="Times New Roman" w:hAnsi="Times New Roman"/>
          <w:i/>
          <w:iCs/>
          <w:sz w:val="28"/>
          <w:szCs w:val="28"/>
        </w:rPr>
        <w:t xml:space="preserve">Myslíme si, že predikce je dobré vodítko,“ </w:t>
      </w:r>
      <w:r>
        <w:rPr>
          <w:rFonts w:ascii="Times New Roman" w:hAnsi="Times New Roman"/>
          <w:sz w:val="28"/>
          <w:szCs w:val="28"/>
        </w:rPr>
        <w:t>uvedl.</w:t>
      </w:r>
    </w:p>
    <w:p w14:paraId="0FCB870C" w14:textId="77777777" w:rsidR="008B4829" w:rsidRDefault="008B4829" w:rsidP="008B4829">
      <w:pPr>
        <w:spacing w:after="0" w:line="240" w:lineRule="auto"/>
        <w:jc w:val="both"/>
        <w:rPr>
          <w:rFonts w:ascii="Times New Roman" w:hAnsi="Times New Roman"/>
          <w:sz w:val="28"/>
          <w:szCs w:val="28"/>
        </w:rPr>
      </w:pPr>
    </w:p>
    <w:p w14:paraId="0E08A3B7" w14:textId="77777777" w:rsidR="008B4829" w:rsidRDefault="008B4829" w:rsidP="008B4829">
      <w:pPr>
        <w:spacing w:after="0" w:line="240" w:lineRule="auto"/>
        <w:jc w:val="both"/>
      </w:pPr>
      <w:r>
        <w:rPr>
          <w:rFonts w:ascii="Times New Roman" w:hAnsi="Times New Roman"/>
          <w:sz w:val="28"/>
          <w:szCs w:val="28"/>
        </w:rPr>
        <w:t>Zdroj: práce a mzda profi</w:t>
      </w:r>
    </w:p>
    <w:p w14:paraId="71006480"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E2E7F43" w14:textId="77777777" w:rsidR="008B4829" w:rsidRDefault="008B4829" w:rsidP="008B4829">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78D4F21F" w14:textId="77777777" w:rsidR="008B4829" w:rsidRDefault="008B4829" w:rsidP="008B4829">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p>
    <w:p w14:paraId="1C5985BA" w14:textId="77777777" w:rsidR="008B4829" w:rsidRDefault="008B4829" w:rsidP="008B4829">
      <w:pPr>
        <w:spacing w:after="0" w:line="240" w:lineRule="auto"/>
        <w:jc w:val="both"/>
        <w:rPr>
          <w:rFonts w:ascii="Times New Roman" w:hAnsi="Times New Roman"/>
          <w:sz w:val="28"/>
          <w:szCs w:val="28"/>
        </w:rPr>
      </w:pPr>
    </w:p>
    <w:p w14:paraId="316BEACA" w14:textId="77777777" w:rsidR="008B4829" w:rsidRDefault="008B4829" w:rsidP="008B4829">
      <w:pPr>
        <w:spacing w:after="0" w:line="240" w:lineRule="auto"/>
        <w:jc w:val="both"/>
        <w:rPr>
          <w:rFonts w:ascii="Times New Roman" w:hAnsi="Times New Roman"/>
          <w:sz w:val="28"/>
          <w:szCs w:val="28"/>
        </w:rPr>
      </w:pPr>
    </w:p>
    <w:p w14:paraId="141B2665" w14:textId="77777777" w:rsidR="008B4829" w:rsidRDefault="008B4829" w:rsidP="008B4829">
      <w:pPr>
        <w:spacing w:after="0" w:line="240" w:lineRule="auto"/>
        <w:jc w:val="both"/>
        <w:rPr>
          <w:rFonts w:ascii="Times New Roman" w:hAnsi="Times New Roman"/>
          <w:sz w:val="28"/>
          <w:szCs w:val="28"/>
        </w:rPr>
      </w:pPr>
    </w:p>
    <w:p w14:paraId="709CB074" w14:textId="77777777" w:rsidR="008B4829" w:rsidRDefault="008B4829" w:rsidP="008B4829">
      <w:pPr>
        <w:spacing w:after="0" w:line="240" w:lineRule="auto"/>
        <w:jc w:val="both"/>
        <w:rPr>
          <w:rFonts w:ascii="Times New Roman" w:hAnsi="Times New Roman"/>
          <w:sz w:val="28"/>
          <w:szCs w:val="28"/>
        </w:rPr>
      </w:pPr>
    </w:p>
    <w:p w14:paraId="462A4215" w14:textId="77777777" w:rsidR="008B4829" w:rsidRDefault="008B4829" w:rsidP="008B4829">
      <w:pPr>
        <w:spacing w:after="0" w:line="240" w:lineRule="auto"/>
        <w:jc w:val="both"/>
        <w:rPr>
          <w:rFonts w:ascii="Times New Roman" w:hAnsi="Times New Roman"/>
          <w:sz w:val="28"/>
          <w:szCs w:val="28"/>
        </w:rPr>
      </w:pPr>
    </w:p>
    <w:p w14:paraId="5E3607DA" w14:textId="77777777" w:rsidR="008B4829" w:rsidRDefault="008B4829" w:rsidP="008B4829">
      <w:pPr>
        <w:spacing w:after="0" w:line="240" w:lineRule="auto"/>
        <w:jc w:val="both"/>
        <w:rPr>
          <w:rFonts w:ascii="Times New Roman" w:hAnsi="Times New Roman"/>
          <w:sz w:val="28"/>
          <w:szCs w:val="28"/>
        </w:rPr>
      </w:pPr>
    </w:p>
    <w:p w14:paraId="59D8296F" w14:textId="77777777" w:rsidR="008B4829" w:rsidRDefault="008B4829" w:rsidP="008B4829">
      <w:pPr>
        <w:spacing w:after="0" w:line="240" w:lineRule="auto"/>
        <w:jc w:val="both"/>
        <w:rPr>
          <w:rFonts w:ascii="Times New Roman" w:hAnsi="Times New Roman"/>
          <w:sz w:val="28"/>
          <w:szCs w:val="28"/>
        </w:rPr>
      </w:pPr>
    </w:p>
    <w:p w14:paraId="6B2AA231" w14:textId="77777777" w:rsidR="008B4829" w:rsidRDefault="008B4829" w:rsidP="008B4829">
      <w:pPr>
        <w:spacing w:after="0" w:line="240" w:lineRule="auto"/>
        <w:jc w:val="both"/>
        <w:rPr>
          <w:rFonts w:ascii="Times New Roman" w:hAnsi="Times New Roman"/>
          <w:b/>
          <w:bCs/>
          <w:sz w:val="28"/>
          <w:szCs w:val="28"/>
        </w:rPr>
      </w:pPr>
    </w:p>
    <w:p w14:paraId="0617FAC4" w14:textId="77777777" w:rsidR="008B4829" w:rsidRDefault="008B4829" w:rsidP="008B4829">
      <w:pPr>
        <w:spacing w:after="0" w:line="240" w:lineRule="auto"/>
        <w:jc w:val="both"/>
        <w:rPr>
          <w:rFonts w:ascii="Times New Roman" w:hAnsi="Times New Roman"/>
          <w:b/>
          <w:bCs/>
          <w:sz w:val="28"/>
          <w:szCs w:val="28"/>
        </w:rPr>
      </w:pPr>
    </w:p>
    <w:p w14:paraId="60FBD3F8" w14:textId="77777777" w:rsidR="008B4829" w:rsidRDefault="008B4829" w:rsidP="008B4829">
      <w:pPr>
        <w:spacing w:after="0" w:line="240" w:lineRule="auto"/>
        <w:jc w:val="both"/>
        <w:rPr>
          <w:rFonts w:ascii="Times New Roman" w:hAnsi="Times New Roman"/>
          <w:sz w:val="28"/>
          <w:szCs w:val="28"/>
        </w:rPr>
      </w:pPr>
    </w:p>
    <w:p w14:paraId="37FFB5B9" w14:textId="77777777" w:rsidR="008B4829" w:rsidRDefault="008B4829" w:rsidP="008B4829">
      <w:pPr>
        <w:spacing w:after="0" w:line="240" w:lineRule="auto"/>
        <w:jc w:val="both"/>
        <w:rPr>
          <w:rFonts w:ascii="Times New Roman" w:hAnsi="Times New Roman"/>
          <w:sz w:val="28"/>
          <w:szCs w:val="28"/>
        </w:rPr>
      </w:pPr>
    </w:p>
    <w:p w14:paraId="67EB51DF" w14:textId="77777777" w:rsidR="008B4829" w:rsidRDefault="008B4829" w:rsidP="008B4829">
      <w:pPr>
        <w:spacing w:after="0" w:line="240" w:lineRule="auto"/>
        <w:jc w:val="both"/>
        <w:rPr>
          <w:rFonts w:ascii="Times New Roman" w:hAnsi="Times New Roman"/>
          <w:sz w:val="28"/>
          <w:szCs w:val="28"/>
        </w:rPr>
      </w:pPr>
    </w:p>
    <w:p w14:paraId="68EE2DA6" w14:textId="77777777" w:rsidR="008B4829" w:rsidRDefault="008B4829" w:rsidP="0028286D">
      <w:pPr>
        <w:tabs>
          <w:tab w:val="left" w:pos="1134"/>
          <w:tab w:val="right" w:leader="dot" w:pos="7938"/>
        </w:tabs>
        <w:spacing w:after="0" w:line="240" w:lineRule="auto"/>
        <w:jc w:val="both"/>
        <w:rPr>
          <w:rFonts w:ascii="Times New Roman" w:hAnsi="Times New Roman" w:cs="Times New Roman"/>
          <w:b/>
          <w:sz w:val="28"/>
          <w:szCs w:val="28"/>
        </w:rPr>
      </w:pPr>
    </w:p>
    <w:p w14:paraId="06E6E3A4" w14:textId="77777777" w:rsidR="004B3A94" w:rsidRDefault="004B3A94" w:rsidP="004B3A9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sectPr w:rsidR="004B3A94" w:rsidSect="00160B94">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E8FCD" w14:textId="77777777" w:rsidR="006D4E00" w:rsidRDefault="006D4E00" w:rsidP="00A77E6D">
      <w:pPr>
        <w:spacing w:after="0" w:line="240" w:lineRule="auto"/>
      </w:pPr>
      <w:r>
        <w:separator/>
      </w:r>
    </w:p>
  </w:endnote>
  <w:endnote w:type="continuationSeparator" w:id="0">
    <w:p w14:paraId="353D3BAB" w14:textId="77777777" w:rsidR="006D4E00" w:rsidRDefault="006D4E00"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DFC90" w14:textId="77777777" w:rsidR="006D4E00" w:rsidRDefault="006D4E00" w:rsidP="00A77E6D">
      <w:pPr>
        <w:spacing w:after="0" w:line="240" w:lineRule="auto"/>
      </w:pPr>
      <w:r>
        <w:separator/>
      </w:r>
    </w:p>
  </w:footnote>
  <w:footnote w:type="continuationSeparator" w:id="0">
    <w:p w14:paraId="648728D8" w14:textId="77777777" w:rsidR="006D4E00" w:rsidRDefault="006D4E00"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40CA"/>
    <w:multiLevelType w:val="multilevel"/>
    <w:tmpl w:val="6E1241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3C7657"/>
    <w:multiLevelType w:val="multilevel"/>
    <w:tmpl w:val="7BEEFF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CEA2913"/>
    <w:multiLevelType w:val="multilevel"/>
    <w:tmpl w:val="E28210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F06008C"/>
    <w:multiLevelType w:val="multilevel"/>
    <w:tmpl w:val="74C62E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9C37208"/>
    <w:multiLevelType w:val="multilevel"/>
    <w:tmpl w:val="B540D9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AFB56FB"/>
    <w:multiLevelType w:val="multilevel"/>
    <w:tmpl w:val="5AE6A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216722"/>
    <w:multiLevelType w:val="multilevel"/>
    <w:tmpl w:val="9F2855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69978B8"/>
    <w:multiLevelType w:val="multilevel"/>
    <w:tmpl w:val="100E60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C253FD3"/>
    <w:multiLevelType w:val="multilevel"/>
    <w:tmpl w:val="9B709D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2F949A6"/>
    <w:multiLevelType w:val="multilevel"/>
    <w:tmpl w:val="5A5CE2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8D21FCE"/>
    <w:multiLevelType w:val="multilevel"/>
    <w:tmpl w:val="CBBEBE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B673001"/>
    <w:multiLevelType w:val="multilevel"/>
    <w:tmpl w:val="C76E64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C694E7B"/>
    <w:multiLevelType w:val="multilevel"/>
    <w:tmpl w:val="173C99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F611F8F"/>
    <w:multiLevelType w:val="multilevel"/>
    <w:tmpl w:val="E5B4E7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03A35CC"/>
    <w:multiLevelType w:val="multilevel"/>
    <w:tmpl w:val="2B50E0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DB613B"/>
    <w:multiLevelType w:val="multilevel"/>
    <w:tmpl w:val="B664C4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1425215"/>
    <w:multiLevelType w:val="multilevel"/>
    <w:tmpl w:val="5A6400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4C190DAA"/>
    <w:multiLevelType w:val="multilevel"/>
    <w:tmpl w:val="E31891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D6B55A8"/>
    <w:multiLevelType w:val="multilevel"/>
    <w:tmpl w:val="AC48C7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39D051D"/>
    <w:multiLevelType w:val="multilevel"/>
    <w:tmpl w:val="8F6830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3E2B37"/>
    <w:multiLevelType w:val="multilevel"/>
    <w:tmpl w:val="22020E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BEA3995"/>
    <w:multiLevelType w:val="multilevel"/>
    <w:tmpl w:val="A42A841C"/>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22" w15:restartNumberingAfterBreak="0">
    <w:nsid w:val="7258744F"/>
    <w:multiLevelType w:val="multilevel"/>
    <w:tmpl w:val="7986AB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3294029"/>
    <w:multiLevelType w:val="multilevel"/>
    <w:tmpl w:val="4DE84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ED868F9"/>
    <w:multiLevelType w:val="multilevel"/>
    <w:tmpl w:val="B1A6BD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6643361">
    <w:abstractNumId w:val="7"/>
  </w:num>
  <w:num w:numId="2" w16cid:durableId="1990093671">
    <w:abstractNumId w:val="0"/>
  </w:num>
  <w:num w:numId="3" w16cid:durableId="788473842">
    <w:abstractNumId w:val="19"/>
  </w:num>
  <w:num w:numId="4" w16cid:durableId="1818716939">
    <w:abstractNumId w:val="23"/>
  </w:num>
  <w:num w:numId="5" w16cid:durableId="1958483916">
    <w:abstractNumId w:val="20"/>
  </w:num>
  <w:num w:numId="6" w16cid:durableId="899098332">
    <w:abstractNumId w:val="9"/>
  </w:num>
  <w:num w:numId="7" w16cid:durableId="1390156222">
    <w:abstractNumId w:val="6"/>
  </w:num>
  <w:num w:numId="8" w16cid:durableId="1279147353">
    <w:abstractNumId w:val="21"/>
  </w:num>
  <w:num w:numId="9" w16cid:durableId="1113088551">
    <w:abstractNumId w:val="3"/>
  </w:num>
  <w:num w:numId="10" w16cid:durableId="1264266207">
    <w:abstractNumId w:val="17"/>
  </w:num>
  <w:num w:numId="11" w16cid:durableId="1270578788">
    <w:abstractNumId w:val="14"/>
  </w:num>
  <w:num w:numId="12" w16cid:durableId="184445837">
    <w:abstractNumId w:val="10"/>
  </w:num>
  <w:num w:numId="13" w16cid:durableId="1297947427">
    <w:abstractNumId w:val="4"/>
  </w:num>
  <w:num w:numId="14" w16cid:durableId="1074820006">
    <w:abstractNumId w:val="5"/>
  </w:num>
  <w:num w:numId="15" w16cid:durableId="1272588609">
    <w:abstractNumId w:val="2"/>
  </w:num>
  <w:num w:numId="16" w16cid:durableId="287199447">
    <w:abstractNumId w:val="22"/>
  </w:num>
  <w:num w:numId="17" w16cid:durableId="60442680">
    <w:abstractNumId w:val="11"/>
  </w:num>
  <w:num w:numId="18" w16cid:durableId="1076441377">
    <w:abstractNumId w:val="13"/>
  </w:num>
  <w:num w:numId="19" w16cid:durableId="1890068126">
    <w:abstractNumId w:val="15"/>
  </w:num>
  <w:num w:numId="20" w16cid:durableId="863325464">
    <w:abstractNumId w:val="18"/>
  </w:num>
  <w:num w:numId="21" w16cid:durableId="1599021899">
    <w:abstractNumId w:val="1"/>
  </w:num>
  <w:num w:numId="22" w16cid:durableId="798109142">
    <w:abstractNumId w:val="12"/>
  </w:num>
  <w:num w:numId="23" w16cid:durableId="1809198314">
    <w:abstractNumId w:val="16"/>
  </w:num>
  <w:num w:numId="24" w16cid:durableId="1333680886">
    <w:abstractNumId w:val="24"/>
  </w:num>
  <w:num w:numId="25" w16cid:durableId="93736603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20958"/>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00B99"/>
    <w:rsid w:val="00113A6A"/>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76DF9"/>
    <w:rsid w:val="0028286D"/>
    <w:rsid w:val="00285721"/>
    <w:rsid w:val="002A16D2"/>
    <w:rsid w:val="002A35C0"/>
    <w:rsid w:val="002B266D"/>
    <w:rsid w:val="002B7C79"/>
    <w:rsid w:val="002C54DD"/>
    <w:rsid w:val="002C63A3"/>
    <w:rsid w:val="002C7D25"/>
    <w:rsid w:val="002F35B5"/>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B2496"/>
    <w:rsid w:val="003B3F8A"/>
    <w:rsid w:val="003D7869"/>
    <w:rsid w:val="003E3A6B"/>
    <w:rsid w:val="003F1441"/>
    <w:rsid w:val="003F1D8D"/>
    <w:rsid w:val="00404011"/>
    <w:rsid w:val="00404C7D"/>
    <w:rsid w:val="004131C3"/>
    <w:rsid w:val="00425721"/>
    <w:rsid w:val="00425737"/>
    <w:rsid w:val="00426404"/>
    <w:rsid w:val="00434DE2"/>
    <w:rsid w:val="0044348E"/>
    <w:rsid w:val="004618D8"/>
    <w:rsid w:val="00473174"/>
    <w:rsid w:val="00474251"/>
    <w:rsid w:val="00480243"/>
    <w:rsid w:val="004864EF"/>
    <w:rsid w:val="00490C36"/>
    <w:rsid w:val="004935BF"/>
    <w:rsid w:val="004A479B"/>
    <w:rsid w:val="004A6554"/>
    <w:rsid w:val="004B1FEC"/>
    <w:rsid w:val="004B3A94"/>
    <w:rsid w:val="004B4F97"/>
    <w:rsid w:val="004E4410"/>
    <w:rsid w:val="004E4E35"/>
    <w:rsid w:val="004F35E2"/>
    <w:rsid w:val="004F44F6"/>
    <w:rsid w:val="004F6231"/>
    <w:rsid w:val="00501E6E"/>
    <w:rsid w:val="00510ECC"/>
    <w:rsid w:val="005139AB"/>
    <w:rsid w:val="005160F8"/>
    <w:rsid w:val="005233EB"/>
    <w:rsid w:val="00524D5C"/>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324B"/>
    <w:rsid w:val="005B5F1E"/>
    <w:rsid w:val="005D2181"/>
    <w:rsid w:val="005D36E9"/>
    <w:rsid w:val="005D496D"/>
    <w:rsid w:val="005F0A64"/>
    <w:rsid w:val="005F362F"/>
    <w:rsid w:val="005F5191"/>
    <w:rsid w:val="00614673"/>
    <w:rsid w:val="0062749A"/>
    <w:rsid w:val="00627D36"/>
    <w:rsid w:val="00633713"/>
    <w:rsid w:val="00657929"/>
    <w:rsid w:val="00661396"/>
    <w:rsid w:val="006702FC"/>
    <w:rsid w:val="00690345"/>
    <w:rsid w:val="006C43B2"/>
    <w:rsid w:val="006C6563"/>
    <w:rsid w:val="006D4047"/>
    <w:rsid w:val="006D4E00"/>
    <w:rsid w:val="006D5654"/>
    <w:rsid w:val="006D67BD"/>
    <w:rsid w:val="006E1136"/>
    <w:rsid w:val="006F3155"/>
    <w:rsid w:val="00700C5D"/>
    <w:rsid w:val="00702B94"/>
    <w:rsid w:val="00710AA6"/>
    <w:rsid w:val="00720AAA"/>
    <w:rsid w:val="0072779A"/>
    <w:rsid w:val="00736AF1"/>
    <w:rsid w:val="00746E96"/>
    <w:rsid w:val="007623B0"/>
    <w:rsid w:val="00762634"/>
    <w:rsid w:val="00762D75"/>
    <w:rsid w:val="00766ED4"/>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2B6F"/>
    <w:rsid w:val="00836325"/>
    <w:rsid w:val="00855D53"/>
    <w:rsid w:val="00885BCA"/>
    <w:rsid w:val="00886857"/>
    <w:rsid w:val="008A2A17"/>
    <w:rsid w:val="008A367D"/>
    <w:rsid w:val="008A6310"/>
    <w:rsid w:val="008B240B"/>
    <w:rsid w:val="008B4829"/>
    <w:rsid w:val="008B4D73"/>
    <w:rsid w:val="008C558F"/>
    <w:rsid w:val="008C5C5D"/>
    <w:rsid w:val="008C6B3E"/>
    <w:rsid w:val="008D7BED"/>
    <w:rsid w:val="008F7F9F"/>
    <w:rsid w:val="00913054"/>
    <w:rsid w:val="009205C8"/>
    <w:rsid w:val="00923EE4"/>
    <w:rsid w:val="00930F23"/>
    <w:rsid w:val="00942EB9"/>
    <w:rsid w:val="0095354A"/>
    <w:rsid w:val="00975D08"/>
    <w:rsid w:val="009811B1"/>
    <w:rsid w:val="0098424E"/>
    <w:rsid w:val="00985E75"/>
    <w:rsid w:val="009B6E68"/>
    <w:rsid w:val="009C6AC0"/>
    <w:rsid w:val="009D0099"/>
    <w:rsid w:val="009D5B28"/>
    <w:rsid w:val="009D71D6"/>
    <w:rsid w:val="009D74F3"/>
    <w:rsid w:val="009E4246"/>
    <w:rsid w:val="009E436B"/>
    <w:rsid w:val="009E4642"/>
    <w:rsid w:val="009E4A04"/>
    <w:rsid w:val="00A07FC7"/>
    <w:rsid w:val="00A14C25"/>
    <w:rsid w:val="00A20832"/>
    <w:rsid w:val="00A2092D"/>
    <w:rsid w:val="00A26FD2"/>
    <w:rsid w:val="00A32617"/>
    <w:rsid w:val="00A34658"/>
    <w:rsid w:val="00A54568"/>
    <w:rsid w:val="00A56E4C"/>
    <w:rsid w:val="00A57B59"/>
    <w:rsid w:val="00A61C12"/>
    <w:rsid w:val="00A651EE"/>
    <w:rsid w:val="00A67194"/>
    <w:rsid w:val="00A74EAA"/>
    <w:rsid w:val="00A7742A"/>
    <w:rsid w:val="00A77E6D"/>
    <w:rsid w:val="00A8716E"/>
    <w:rsid w:val="00A954FC"/>
    <w:rsid w:val="00A962D7"/>
    <w:rsid w:val="00AA4EDB"/>
    <w:rsid w:val="00AB2A93"/>
    <w:rsid w:val="00AC442A"/>
    <w:rsid w:val="00AD69D3"/>
    <w:rsid w:val="00AD7AB7"/>
    <w:rsid w:val="00AE103A"/>
    <w:rsid w:val="00AE2A3B"/>
    <w:rsid w:val="00AF5680"/>
    <w:rsid w:val="00B20A61"/>
    <w:rsid w:val="00B20CD7"/>
    <w:rsid w:val="00B2472D"/>
    <w:rsid w:val="00B32A95"/>
    <w:rsid w:val="00B33337"/>
    <w:rsid w:val="00B52E50"/>
    <w:rsid w:val="00B547A6"/>
    <w:rsid w:val="00B7265B"/>
    <w:rsid w:val="00B76F3F"/>
    <w:rsid w:val="00B80268"/>
    <w:rsid w:val="00B8144D"/>
    <w:rsid w:val="00B84A7B"/>
    <w:rsid w:val="00B86B78"/>
    <w:rsid w:val="00B9596D"/>
    <w:rsid w:val="00B96A2B"/>
    <w:rsid w:val="00BB43AA"/>
    <w:rsid w:val="00BB7331"/>
    <w:rsid w:val="00BC07AA"/>
    <w:rsid w:val="00BD50D2"/>
    <w:rsid w:val="00BD5243"/>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849B8"/>
    <w:rsid w:val="00C86FE9"/>
    <w:rsid w:val="00CA37AE"/>
    <w:rsid w:val="00CA392F"/>
    <w:rsid w:val="00CA6CDE"/>
    <w:rsid w:val="00CA7E77"/>
    <w:rsid w:val="00CB5A66"/>
    <w:rsid w:val="00CC7BFC"/>
    <w:rsid w:val="00CD28E3"/>
    <w:rsid w:val="00CE2C65"/>
    <w:rsid w:val="00CE4164"/>
    <w:rsid w:val="00CE7913"/>
    <w:rsid w:val="00CE7CC2"/>
    <w:rsid w:val="00CF1E12"/>
    <w:rsid w:val="00CF6A9C"/>
    <w:rsid w:val="00CF7468"/>
    <w:rsid w:val="00D06E8D"/>
    <w:rsid w:val="00D112E0"/>
    <w:rsid w:val="00D13669"/>
    <w:rsid w:val="00D14E41"/>
    <w:rsid w:val="00D15E0B"/>
    <w:rsid w:val="00D16FCB"/>
    <w:rsid w:val="00D2197A"/>
    <w:rsid w:val="00D30D2C"/>
    <w:rsid w:val="00D43F55"/>
    <w:rsid w:val="00D626EF"/>
    <w:rsid w:val="00D6359F"/>
    <w:rsid w:val="00D6371B"/>
    <w:rsid w:val="00D637B6"/>
    <w:rsid w:val="00D737FC"/>
    <w:rsid w:val="00D76AEA"/>
    <w:rsid w:val="00D77051"/>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526B"/>
    <w:rsid w:val="00E36E8B"/>
    <w:rsid w:val="00E40A79"/>
    <w:rsid w:val="00E64062"/>
    <w:rsid w:val="00E70CB6"/>
    <w:rsid w:val="00E71B5A"/>
    <w:rsid w:val="00E73E23"/>
    <w:rsid w:val="00E80EA0"/>
    <w:rsid w:val="00E84674"/>
    <w:rsid w:val="00E93F52"/>
    <w:rsid w:val="00E974B5"/>
    <w:rsid w:val="00EB55F5"/>
    <w:rsid w:val="00EB6C8E"/>
    <w:rsid w:val="00EC4F3E"/>
    <w:rsid w:val="00ED0A0A"/>
    <w:rsid w:val="00ED70A6"/>
    <w:rsid w:val="00EE047D"/>
    <w:rsid w:val="00F027A3"/>
    <w:rsid w:val="00F10015"/>
    <w:rsid w:val="00F24CAE"/>
    <w:rsid w:val="00F364CE"/>
    <w:rsid w:val="00F55061"/>
    <w:rsid w:val="00F55A4F"/>
    <w:rsid w:val="00F561D8"/>
    <w:rsid w:val="00F77A0B"/>
    <w:rsid w:val="00FB0ACE"/>
    <w:rsid w:val="00FB3CBC"/>
    <w:rsid w:val="00FB4DFB"/>
    <w:rsid w:val="00FB5271"/>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8534</Words>
  <Characters>50356</Characters>
  <Application>Microsoft Office Word</Application>
  <DocSecurity>0</DocSecurity>
  <Lines>419</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2023-06-05T07:22:00Z</dcterms:created>
  <dcterms:modified xsi:type="dcterms:W3CDTF">2023-06-05T07:22:00Z</dcterms:modified>
</cp:coreProperties>
</file>