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181D2" w14:textId="065419EE" w:rsidR="007222B6" w:rsidRPr="007222B6" w:rsidRDefault="007222B6" w:rsidP="007222B6">
      <w:pPr>
        <w:pStyle w:val="Nzev"/>
        <w:jc w:val="center"/>
      </w:pPr>
      <w:bookmarkStart w:id="0" w:name="_Hlk169249916"/>
      <w:r w:rsidRPr="007222B6">
        <w:t>Zpráva o</w:t>
      </w:r>
      <w:r w:rsidR="00F47C4E">
        <w:t> </w:t>
      </w:r>
      <w:r w:rsidRPr="007222B6">
        <w:t>plnění Exportní strategie ČR 2023–2033</w:t>
      </w:r>
    </w:p>
    <w:p w14:paraId="3A4451FA" w14:textId="76C88406" w:rsidR="007222B6" w:rsidRPr="007222B6" w:rsidRDefault="007222B6" w:rsidP="007222B6">
      <w:pPr>
        <w:pStyle w:val="Nzev"/>
        <w:jc w:val="center"/>
      </w:pPr>
      <w:r w:rsidRPr="007222B6">
        <w:t>za rok 202</w:t>
      </w:r>
      <w:r w:rsidR="00160858">
        <w:t>4</w:t>
      </w:r>
    </w:p>
    <w:bookmarkEnd w:id="0"/>
    <w:p w14:paraId="6A29A93E" w14:textId="61191984" w:rsidR="008A4043" w:rsidRDefault="008A4043" w:rsidP="00E5017C">
      <w:pPr>
        <w:pStyle w:val="Nadpisobsahu"/>
        <w:spacing w:after="60" w:line="240" w:lineRule="auto"/>
        <w:jc w:val="center"/>
      </w:pPr>
      <w:r>
        <w:t>Exekutivní shrnutí</w:t>
      </w:r>
    </w:p>
    <w:p w14:paraId="5C15C352" w14:textId="7E642ADC" w:rsidR="00EE1207" w:rsidRDefault="00EE1207" w:rsidP="004B51D3">
      <w:pPr>
        <w:spacing w:after="60" w:line="240" w:lineRule="auto"/>
        <w:jc w:val="both"/>
      </w:pPr>
      <w:bookmarkStart w:id="1" w:name="_Hlk198711933"/>
      <w:r>
        <w:t xml:space="preserve">Rok 2024 </w:t>
      </w:r>
      <w:r w:rsidR="006A61C3">
        <w:t xml:space="preserve">postavil před </w:t>
      </w:r>
      <w:r>
        <w:t>česk</w:t>
      </w:r>
      <w:r w:rsidR="006A61C3">
        <w:t xml:space="preserve">é exportéry </w:t>
      </w:r>
      <w:r>
        <w:t>řadu výzev spojených s</w:t>
      </w:r>
      <w:r w:rsidR="00F47C4E">
        <w:t> </w:t>
      </w:r>
      <w:r>
        <w:t>rostoucí fragmentací světového obchodu, slábnoucí globální poptávkou, zvýšeným geopolitickým napětím v</w:t>
      </w:r>
      <w:r w:rsidR="00F47C4E">
        <w:t> </w:t>
      </w:r>
      <w:r>
        <w:t>Evropě, na Blízkém východě i</w:t>
      </w:r>
      <w:r w:rsidR="00F47C4E">
        <w:t> </w:t>
      </w:r>
      <w:r>
        <w:t>ve východní Asii a</w:t>
      </w:r>
      <w:r w:rsidR="00F47C4E">
        <w:t> </w:t>
      </w:r>
      <w:r>
        <w:t>přetrvávajícími vysokými náklady na energie, suroviny a</w:t>
      </w:r>
      <w:r w:rsidR="00F47C4E">
        <w:t> </w:t>
      </w:r>
      <w:r>
        <w:t>dopravu, které byly dále zhoršeny narušením klíčových logistických tras. Významn</w:t>
      </w:r>
      <w:r w:rsidR="006A61C3">
        <w:t>ým faktorem</w:t>
      </w:r>
      <w:r>
        <w:t xml:space="preserve"> byl i</w:t>
      </w:r>
      <w:r w:rsidR="00F47C4E">
        <w:t> </w:t>
      </w:r>
      <w:r>
        <w:t>rychlý nástup nových technologií</w:t>
      </w:r>
      <w:r w:rsidR="006A61C3">
        <w:t xml:space="preserve"> a</w:t>
      </w:r>
      <w:r w:rsidR="00F47C4E">
        <w:t> </w:t>
      </w:r>
      <w:r w:rsidR="006A61C3">
        <w:t>s tím spojený tlak na inovace a</w:t>
      </w:r>
      <w:r w:rsidR="00F47C4E">
        <w:t> </w:t>
      </w:r>
      <w:r w:rsidR="006A61C3">
        <w:t xml:space="preserve">adaptaci </w:t>
      </w:r>
      <w:r>
        <w:t>firemních modelů. V</w:t>
      </w:r>
      <w:r w:rsidR="00F47C4E">
        <w:t> </w:t>
      </w:r>
      <w:r>
        <w:t>tomto složitém kontextu WTO ve své aktuální prognóze výrazně zhoršila výhled světového obchodu pro rok 2025. Podle její revidované predikce by mělo dojít k</w:t>
      </w:r>
      <w:r w:rsidR="00F47C4E">
        <w:t> </w:t>
      </w:r>
      <w:r>
        <w:t>poklesu objemu světového obchodu o</w:t>
      </w:r>
      <w:r w:rsidR="00F47C4E">
        <w:t> </w:t>
      </w:r>
      <w:r>
        <w:t>0,2 %</w:t>
      </w:r>
      <w:r w:rsidR="00C46916">
        <w:t>.</w:t>
      </w:r>
    </w:p>
    <w:p w14:paraId="37164D34" w14:textId="32F4FB97" w:rsidR="00EE1207" w:rsidRDefault="00EE1207" w:rsidP="00EE1207">
      <w:pPr>
        <w:spacing w:after="60" w:line="240" w:lineRule="auto"/>
        <w:jc w:val="both"/>
      </w:pPr>
      <w:r>
        <w:t>Navzdory těmto obtížím si český zahraniční obchod v</w:t>
      </w:r>
      <w:r w:rsidR="00F47C4E">
        <w:t> </w:t>
      </w:r>
      <w:r>
        <w:t>roce 2024 vedl velmi dobře. Podle předběžných údajů ČSÚ činil celkový vývoz 4,65 bil. Kč, což představuje meziroční nárůst o</w:t>
      </w:r>
      <w:r w:rsidR="00F47C4E">
        <w:t> </w:t>
      </w:r>
      <w:r>
        <w:t>4,67 %</w:t>
      </w:r>
      <w:r w:rsidR="002329C8">
        <w:t>, přičemž o</w:t>
      </w:r>
      <w:r>
        <w:t>bchodní bilance skončila přebytkem 227,1 mld. Kč (v roce 2023 činil přebytek 122,5 mld. Kč).</w:t>
      </w:r>
      <w:r w:rsidR="002329C8">
        <w:t xml:space="preserve"> Čistý export tak rostl rychleji než inflace a</w:t>
      </w:r>
      <w:r w:rsidR="00F47C4E">
        <w:t> </w:t>
      </w:r>
      <w:r w:rsidR="00582354">
        <w:t xml:space="preserve">pozitivně </w:t>
      </w:r>
      <w:r w:rsidR="002329C8">
        <w:t>př</w:t>
      </w:r>
      <w:r w:rsidR="00582354">
        <w:t>i</w:t>
      </w:r>
      <w:r w:rsidR="002329C8">
        <w:t>spě</w:t>
      </w:r>
      <w:r w:rsidR="00582354">
        <w:t>l</w:t>
      </w:r>
      <w:r w:rsidR="002329C8">
        <w:t xml:space="preserve"> 0,6 %</w:t>
      </w:r>
      <w:r w:rsidR="00582354">
        <w:t xml:space="preserve"> k</w:t>
      </w:r>
      <w:r w:rsidR="00F47C4E">
        <w:t> </w:t>
      </w:r>
      <w:r w:rsidR="00582354">
        <w:t>růstu HDP</w:t>
      </w:r>
      <w:r w:rsidR="002329C8">
        <w:t>.</w:t>
      </w:r>
      <w:r>
        <w:t xml:space="preserve"> Pozitivní je také výrazný nárůst vývozu mimo země EU27 (mj. do USA</w:t>
      </w:r>
      <w:r w:rsidR="009306E1">
        <w:t xml:space="preserve"> či</w:t>
      </w:r>
      <w:r>
        <w:t xml:space="preserve"> </w:t>
      </w:r>
      <w:r w:rsidR="000C7A7B">
        <w:t>Velké Británie</w:t>
      </w:r>
      <w:r>
        <w:t>), jehož podíl dosáhl 22,0 % oproti 19,8 % v</w:t>
      </w:r>
      <w:r w:rsidR="00F47C4E">
        <w:t> </w:t>
      </w:r>
      <w:r>
        <w:t xml:space="preserve">roce 2023. </w:t>
      </w:r>
      <w:r w:rsidR="006A61C3">
        <w:t>Dobrou zprávou je i</w:t>
      </w:r>
      <w:r w:rsidR="00F47C4E">
        <w:t> </w:t>
      </w:r>
      <w:r w:rsidR="006A61C3">
        <w:t>v</w:t>
      </w:r>
      <w:r>
        <w:t xml:space="preserve">ýrazný meziroční nárůst </w:t>
      </w:r>
      <w:r w:rsidR="006A61C3">
        <w:t>vývozu</w:t>
      </w:r>
      <w:r>
        <w:t xml:space="preserve"> zboží s</w:t>
      </w:r>
      <w:r w:rsidR="00F47C4E">
        <w:t> </w:t>
      </w:r>
      <w:r>
        <w:t>typicky vysokou přidanou hodnotou, jako</w:t>
      </w:r>
      <w:r w:rsidR="00C46916">
        <w:t xml:space="preserve"> jsou</w:t>
      </w:r>
      <w:r>
        <w:t xml:space="preserve"> </w:t>
      </w:r>
      <w:r w:rsidR="009306E1">
        <w:t>o</w:t>
      </w:r>
      <w:r w:rsidR="009306E1" w:rsidRPr="00DC490A">
        <w:rPr>
          <w:rFonts w:cstheme="minorHAnsi"/>
        </w:rPr>
        <w:t>dborné, vědecké a</w:t>
      </w:r>
      <w:r w:rsidR="00F47C4E">
        <w:rPr>
          <w:rFonts w:cstheme="minorHAnsi"/>
        </w:rPr>
        <w:t> </w:t>
      </w:r>
      <w:r w:rsidR="009306E1" w:rsidRPr="00DC490A">
        <w:rPr>
          <w:rFonts w:cstheme="minorHAnsi"/>
        </w:rPr>
        <w:t>řídící přístroje a</w:t>
      </w:r>
      <w:r w:rsidR="00F47C4E">
        <w:rPr>
          <w:rFonts w:cstheme="minorHAnsi"/>
        </w:rPr>
        <w:t> </w:t>
      </w:r>
      <w:r w:rsidR="009306E1" w:rsidRPr="00DC490A">
        <w:rPr>
          <w:rFonts w:cstheme="minorHAnsi"/>
        </w:rPr>
        <w:t>zařízení</w:t>
      </w:r>
      <w:r w:rsidR="00250753">
        <w:rPr>
          <w:rFonts w:cstheme="minorHAnsi"/>
        </w:rPr>
        <w:t xml:space="preserve"> o</w:t>
      </w:r>
      <w:r w:rsidR="00F47C4E">
        <w:rPr>
          <w:rFonts w:cstheme="minorHAnsi"/>
        </w:rPr>
        <w:t> </w:t>
      </w:r>
      <w:r w:rsidR="00250753" w:rsidRPr="00DC490A">
        <w:rPr>
          <w:rFonts w:cstheme="minorHAnsi"/>
        </w:rPr>
        <w:t>16 mld. Kč</w:t>
      </w:r>
      <w:r w:rsidR="00250753">
        <w:rPr>
          <w:rFonts w:cstheme="minorHAnsi"/>
        </w:rPr>
        <w:t xml:space="preserve">, což představuje </w:t>
      </w:r>
      <w:r w:rsidR="00250753" w:rsidRPr="00DC490A">
        <w:rPr>
          <w:rFonts w:cstheme="minorHAnsi"/>
        </w:rPr>
        <w:t>15,1</w:t>
      </w:r>
      <w:r w:rsidR="00250753">
        <w:rPr>
          <w:rFonts w:cstheme="minorHAnsi"/>
        </w:rPr>
        <w:t xml:space="preserve"> </w:t>
      </w:r>
      <w:r w:rsidR="00250753" w:rsidRPr="00DC490A">
        <w:rPr>
          <w:rFonts w:cstheme="minorHAnsi"/>
        </w:rPr>
        <w:t>%</w:t>
      </w:r>
      <w:r>
        <w:t>. V</w:t>
      </w:r>
      <w:r w:rsidR="00F47C4E">
        <w:t> </w:t>
      </w:r>
      <w:r>
        <w:t xml:space="preserve">této souvislosti se potvrzuje, že investice do státního systému podpory exportu představují efektivní nástroj pomoci českým </w:t>
      </w:r>
      <w:r w:rsidR="00C46916">
        <w:t xml:space="preserve">vývozcům </w:t>
      </w:r>
      <w:r>
        <w:t xml:space="preserve">při překonávání </w:t>
      </w:r>
      <w:r w:rsidR="00250753">
        <w:t xml:space="preserve">současných </w:t>
      </w:r>
      <w:r w:rsidR="00C46916">
        <w:t>výzev</w:t>
      </w:r>
      <w:r w:rsidR="00250753">
        <w:t xml:space="preserve"> a</w:t>
      </w:r>
      <w:r w:rsidR="00F47C4E">
        <w:t> </w:t>
      </w:r>
      <w:r w:rsidR="001648FF">
        <w:t>zahraniční obchod</w:t>
      </w:r>
      <w:r>
        <w:t xml:space="preserve"> v</w:t>
      </w:r>
      <w:r w:rsidR="00F47C4E">
        <w:t> </w:t>
      </w:r>
      <w:r>
        <w:t>roce 2024</w:t>
      </w:r>
      <w:r w:rsidR="00250753">
        <w:t xml:space="preserve"> </w:t>
      </w:r>
      <w:r w:rsidR="002D5667">
        <w:t xml:space="preserve">vykazoval </w:t>
      </w:r>
      <w:r w:rsidR="00D979DF">
        <w:t>vývoj v</w:t>
      </w:r>
      <w:r w:rsidR="00F47C4E">
        <w:t> </w:t>
      </w:r>
      <w:r w:rsidR="00D979DF">
        <w:t>souladu s</w:t>
      </w:r>
      <w:r w:rsidR="00F47C4E">
        <w:t> </w:t>
      </w:r>
      <w:r w:rsidR="00D979DF">
        <w:t>cíli Exportní strategie.</w:t>
      </w:r>
    </w:p>
    <w:p w14:paraId="33922747" w14:textId="5127B894" w:rsidR="00773298" w:rsidRDefault="004B51D3" w:rsidP="0043059B">
      <w:pPr>
        <w:spacing w:after="60" w:line="240" w:lineRule="auto"/>
        <w:jc w:val="both"/>
      </w:pPr>
      <w:r>
        <w:t>V rámci plnění Exportní strategie</w:t>
      </w:r>
      <w:r w:rsidR="001648FF">
        <w:t xml:space="preserve"> se rozvoj proexportní podpory v</w:t>
      </w:r>
      <w:r w:rsidR="00F47C4E">
        <w:t> </w:t>
      </w:r>
      <w:r w:rsidR="001648FF">
        <w:t>roce 2024</w:t>
      </w:r>
      <w:r>
        <w:t xml:space="preserve"> </w:t>
      </w:r>
      <w:r w:rsidR="006A61C3">
        <w:t>soustředil zejména na</w:t>
      </w:r>
      <w:r w:rsidR="00582354">
        <w:t xml:space="preserve"> implementaci</w:t>
      </w:r>
      <w:r w:rsidR="006A61C3">
        <w:t xml:space="preserve"> </w:t>
      </w:r>
      <w:r>
        <w:t>15 opatření</w:t>
      </w:r>
      <w:r w:rsidR="006A61C3">
        <w:t xml:space="preserve"> </w:t>
      </w:r>
      <w:r>
        <w:t xml:space="preserve">identifikovaných </w:t>
      </w:r>
      <w:r w:rsidR="006A61C3">
        <w:t>Řídicím výborem Exportní strategie</w:t>
      </w:r>
      <w:r>
        <w:t xml:space="preserve"> (ŘVES) jako prioritní (z</w:t>
      </w:r>
      <w:r w:rsidR="00133333">
        <w:t> </w:t>
      </w:r>
      <w:r>
        <w:t xml:space="preserve">celkových 41). </w:t>
      </w:r>
      <w:r w:rsidR="00C30933">
        <w:t>Mezi ně patřil rozvoj Jednotné zahraniční sítě</w:t>
      </w:r>
      <w:r w:rsidR="00D5441C">
        <w:t xml:space="preserve">, který </w:t>
      </w:r>
      <w:r w:rsidR="00A52320">
        <w:t xml:space="preserve">reagoval zejména na rostoucí exportní potenciál </w:t>
      </w:r>
      <w:r w:rsidR="00D5441C" w:rsidRPr="00D5441C">
        <w:t>mimoevropských teritoriích</w:t>
      </w:r>
      <w:r w:rsidR="00EC7E90">
        <w:t xml:space="preserve">. </w:t>
      </w:r>
      <w:r w:rsidR="00D979DF">
        <w:t>Nov</w:t>
      </w:r>
      <w:r w:rsidR="001D02D4">
        <w:t>é</w:t>
      </w:r>
      <w:r w:rsidR="00D979DF">
        <w:t xml:space="preserve"> kanceláře CzechTrade v</w:t>
      </w:r>
      <w:r w:rsidR="00F47C4E">
        <w:t> </w:t>
      </w:r>
      <w:r w:rsidR="00D979DF">
        <w:t>Rijádu, Ósace, Taškentu a</w:t>
      </w:r>
      <w:r w:rsidR="00F47C4E">
        <w:t> </w:t>
      </w:r>
      <w:r w:rsidR="00647B6F">
        <w:t>Soulu rozšířily</w:t>
      </w:r>
      <w:r w:rsidR="00D979DF">
        <w:t xml:space="preserve"> dostupnost služeb pro exportéry v</w:t>
      </w:r>
      <w:r w:rsidR="00F47C4E">
        <w:t> </w:t>
      </w:r>
      <w:r w:rsidR="00D979DF">
        <w:t>perspektivních regionech. V</w:t>
      </w:r>
      <w:r w:rsidR="00F47C4E">
        <w:t> </w:t>
      </w:r>
      <w:r w:rsidR="00D979DF">
        <w:t>oblasti lidských zdrojů usnadnilo firmám přístup k</w:t>
      </w:r>
      <w:r w:rsidR="00F47C4E">
        <w:t> </w:t>
      </w:r>
      <w:r w:rsidR="00D979DF">
        <w:t>pracovní síle zavedení nové asistenční služby, rozšíření programů ekonomické migrace a</w:t>
      </w:r>
      <w:r w:rsidR="00F47C4E">
        <w:t> </w:t>
      </w:r>
      <w:r w:rsidR="00D979DF">
        <w:t>zrušení testu trhu práce. ČR pokračovala v</w:t>
      </w:r>
      <w:r w:rsidR="00F47C4E">
        <w:t> </w:t>
      </w:r>
      <w:r w:rsidR="00D979DF">
        <w:t>prosazování digitálních pravidel v</w:t>
      </w:r>
      <w:r w:rsidR="00F47C4E">
        <w:t> </w:t>
      </w:r>
      <w:r w:rsidR="00D979DF">
        <w:t>mezinárodním obchodě – v</w:t>
      </w:r>
      <w:r w:rsidR="00F47C4E">
        <w:t> </w:t>
      </w:r>
      <w:r w:rsidR="00D979DF">
        <w:t>roce 2024 byla uzavřena dohoda EU–Singapur a</w:t>
      </w:r>
      <w:r w:rsidR="00F47C4E">
        <w:t> </w:t>
      </w:r>
      <w:r w:rsidR="00D979DF">
        <w:t>dosaženo shody na vícestranné dohodě ve WTO. Prohloubilo se i</w:t>
      </w:r>
      <w:r w:rsidR="00F47C4E">
        <w:t> </w:t>
      </w:r>
      <w:r w:rsidR="00D979DF">
        <w:t>zapojení do rozvojových projektů s</w:t>
      </w:r>
      <w:r w:rsidR="00F47C4E">
        <w:t> </w:t>
      </w:r>
      <w:r w:rsidR="00D979DF">
        <w:t>komerčním přesahem v</w:t>
      </w:r>
      <w:r w:rsidR="00F47C4E">
        <w:t> </w:t>
      </w:r>
      <w:r w:rsidR="00D979DF">
        <w:t>rámci iniciativ EU Global Gateway a</w:t>
      </w:r>
      <w:r w:rsidR="00F47C4E">
        <w:t> </w:t>
      </w:r>
      <w:r w:rsidR="00D979DF">
        <w:t>Facilita pro Ukrajinu. V</w:t>
      </w:r>
      <w:r w:rsidR="00F47C4E">
        <w:t> </w:t>
      </w:r>
      <w:r w:rsidR="00D979DF">
        <w:t>reakci na omezené financování obranného průmyslu byl spuštěn nový program EGAP. Služby pro startupy a</w:t>
      </w:r>
      <w:r w:rsidR="00F47C4E">
        <w:t> </w:t>
      </w:r>
      <w:r w:rsidR="00D979DF">
        <w:t>MSP byly rozšířeny o</w:t>
      </w:r>
      <w:r w:rsidR="00F47C4E">
        <w:t> </w:t>
      </w:r>
      <w:r w:rsidR="00D979DF">
        <w:t>specializované programy na podporu komercionalizace a</w:t>
      </w:r>
      <w:r w:rsidR="00F47C4E">
        <w:t> </w:t>
      </w:r>
      <w:r w:rsidR="00D979DF">
        <w:t>internacionalizace inovací. V</w:t>
      </w:r>
      <w:r w:rsidR="00F47C4E">
        <w:t> </w:t>
      </w:r>
      <w:r w:rsidR="00D979DF">
        <w:t>oblasti národní prezentace byla vyhlášena soutěž na jednotný vizuální styl a</w:t>
      </w:r>
      <w:r w:rsidR="00F47C4E">
        <w:t> </w:t>
      </w:r>
      <w:r w:rsidR="00D979DF">
        <w:t>zahájen proces tvorby národní značky. Nová koncepce oficiálních účastí na veletrzích zavedla systematičtější podporu českých firem.</w:t>
      </w:r>
      <w:r w:rsidR="00D5441C" w:rsidRPr="00D5441C">
        <w:t xml:space="preserve"> </w:t>
      </w:r>
      <w:bookmarkEnd w:id="1"/>
    </w:p>
    <w:p w14:paraId="37C87758" w14:textId="06DA7DC9" w:rsidR="00E5017C" w:rsidRDefault="00E5017C" w:rsidP="00E5017C">
      <w:pPr>
        <w:spacing w:after="60" w:line="240" w:lineRule="auto"/>
        <w:jc w:val="both"/>
      </w:pPr>
      <w:bookmarkStart w:id="2" w:name="_Hlk198711998"/>
      <w:r>
        <w:t xml:space="preserve">Plnění některých opatření Strategie </w:t>
      </w:r>
      <w:r w:rsidR="00630BB5">
        <w:t>nicméně</w:t>
      </w:r>
      <w:r>
        <w:t xml:space="preserve"> v</w:t>
      </w:r>
      <w:r w:rsidR="00F47C4E">
        <w:t> </w:t>
      </w:r>
      <w:r>
        <w:t>roce 2024 naráželo</w:t>
      </w:r>
      <w:r w:rsidR="00630BB5">
        <w:t xml:space="preserve"> na</w:t>
      </w:r>
      <w:r>
        <w:t xml:space="preserve"> </w:t>
      </w:r>
      <w:r w:rsidR="00630BB5">
        <w:t>dlouhodob</w:t>
      </w:r>
      <w:r w:rsidR="00A012C6">
        <w:t>ý problém</w:t>
      </w:r>
      <w:r w:rsidR="00630BB5">
        <w:t xml:space="preserve"> adekvátního a</w:t>
      </w:r>
      <w:r w:rsidR="00F47C4E">
        <w:t> </w:t>
      </w:r>
      <w:r w:rsidR="00630BB5">
        <w:t>předvídatelného financování</w:t>
      </w:r>
      <w:bookmarkEnd w:id="2"/>
      <w:r w:rsidR="004B51D3">
        <w:t>, kter</w:t>
      </w:r>
      <w:r w:rsidR="00813AB4">
        <w:t>ý</w:t>
      </w:r>
      <w:r w:rsidR="004B51D3">
        <w:t xml:space="preserve"> </w:t>
      </w:r>
      <w:r w:rsidR="00133333">
        <w:t>je překážkou</w:t>
      </w:r>
      <w:r w:rsidR="004B51D3">
        <w:t xml:space="preserve"> plné</w:t>
      </w:r>
      <w:r w:rsidR="00A012C6">
        <w:t xml:space="preserve"> podpoře</w:t>
      </w:r>
      <w:r w:rsidR="004B51D3">
        <w:t xml:space="preserve"> exportního potenciálu českého hospodářství. </w:t>
      </w:r>
      <w:r w:rsidR="00630BB5">
        <w:t xml:space="preserve">To </w:t>
      </w:r>
      <w:r>
        <w:t>se naplno projevilo zejména v</w:t>
      </w:r>
      <w:r w:rsidR="00F47C4E">
        <w:t> </w:t>
      </w:r>
      <w:r>
        <w:t>omezeních při realizaci Č</w:t>
      </w:r>
      <w:r w:rsidR="00F755F4">
        <w:t>OÚ</w:t>
      </w:r>
      <w:r>
        <w:t>, v</w:t>
      </w:r>
      <w:r w:rsidR="00F47C4E">
        <w:t> </w:t>
      </w:r>
      <w:r>
        <w:t>problémech s</w:t>
      </w:r>
      <w:r w:rsidR="00F47C4E">
        <w:t> </w:t>
      </w:r>
      <w:r>
        <w:t>udržením kapacit zahraniční sítě CzechTrade a</w:t>
      </w:r>
      <w:r w:rsidR="00F47C4E">
        <w:t> </w:t>
      </w:r>
      <w:r>
        <w:t>ekonomických diplomatů či v</w:t>
      </w:r>
      <w:r w:rsidR="00F47C4E">
        <w:t> </w:t>
      </w:r>
      <w:r w:rsidR="00630BB5">
        <w:t>omezených</w:t>
      </w:r>
      <w:r>
        <w:t xml:space="preserve"> možnostech realizace projektů ekonomické diplomacie.</w:t>
      </w:r>
      <w:r w:rsidR="00A012C6">
        <w:t xml:space="preserve"> Samostatnou otázkou je kapitálová podpora exportu.</w:t>
      </w:r>
    </w:p>
    <w:p w14:paraId="27478037" w14:textId="73FBAA72" w:rsidR="00EC7E90" w:rsidRDefault="00813AB4" w:rsidP="00E5017C">
      <w:pPr>
        <w:spacing w:after="60" w:line="240" w:lineRule="auto"/>
        <w:jc w:val="both"/>
      </w:pPr>
      <w:r>
        <w:t>Předvídatelný a</w:t>
      </w:r>
      <w:r w:rsidR="00F47C4E">
        <w:t> </w:t>
      </w:r>
      <w:r>
        <w:t>stabilní finanční rámec umožní střednědobé plánování a</w:t>
      </w:r>
      <w:r w:rsidR="00F47C4E">
        <w:t> </w:t>
      </w:r>
      <w:r>
        <w:t>systematický rozvoj exportních nástrojů v</w:t>
      </w:r>
      <w:r w:rsidR="00F47C4E">
        <w:t> </w:t>
      </w:r>
      <w:r>
        <w:t>souladu s</w:t>
      </w:r>
      <w:r w:rsidR="00F47C4E">
        <w:t> </w:t>
      </w:r>
      <w:r>
        <w:t>Exportní strategií a</w:t>
      </w:r>
      <w:r w:rsidR="00F47C4E">
        <w:t> </w:t>
      </w:r>
      <w:r>
        <w:t xml:space="preserve">implementaci dalších stanovených opatření. </w:t>
      </w:r>
      <w:r w:rsidR="00390636">
        <w:t>P</w:t>
      </w:r>
      <w:r w:rsidR="00E5017C">
        <w:t>ro rok 2025</w:t>
      </w:r>
      <w:r w:rsidR="00390636">
        <w:t xml:space="preserve"> se tak nabízí</w:t>
      </w:r>
      <w:r w:rsidR="00E5017C">
        <w:t xml:space="preserve"> rozpočtově neutrální řešení, </w:t>
      </w:r>
      <w:r w:rsidR="00390636">
        <w:t> v</w:t>
      </w:r>
      <w:r w:rsidR="00F47C4E">
        <w:t> </w:t>
      </w:r>
      <w:r w:rsidR="00390636">
        <w:t>rámci kterého by bylo možné využít dle novely zákona č. 58/1995 Sb. zrušení nutnosti zahrnovat do státního rozpočtu prostředky</w:t>
      </w:r>
      <w:r w:rsidR="00D3430C">
        <w:t xml:space="preserve"> </w:t>
      </w:r>
      <w:r w:rsidR="00390636">
        <w:t>na</w:t>
      </w:r>
      <w:r w:rsidR="00D3430C">
        <w:t xml:space="preserve"> </w:t>
      </w:r>
      <w:r w:rsidR="00390636">
        <w:t>dlouhodobě</w:t>
      </w:r>
      <w:r w:rsidR="001A068D">
        <w:t> </w:t>
      </w:r>
      <w:r w:rsidR="00390636">
        <w:t xml:space="preserve">nevyužívaný </w:t>
      </w:r>
      <w:r w:rsidR="00E5017C">
        <w:t>nástroj pro vyrovnávání úrokových rozdílů</w:t>
      </w:r>
      <w:r w:rsidR="00390636">
        <w:t xml:space="preserve"> a</w:t>
      </w:r>
      <w:r w:rsidR="00F47C4E">
        <w:t> </w:t>
      </w:r>
      <w:r w:rsidR="00390636">
        <w:t>místo něj rozpočtovat část těchto prostředků</w:t>
      </w:r>
      <w:r w:rsidR="00E5017C">
        <w:t xml:space="preserve"> na podporu exportu.</w:t>
      </w:r>
      <w:r w:rsidR="00CF0A9C">
        <w:t> </w:t>
      </w:r>
      <w:r w:rsidR="00390636">
        <w:t xml:space="preserve">Takovéto </w:t>
      </w:r>
      <w:r w:rsidR="00BF78A8">
        <w:t>dlouhodobé</w:t>
      </w:r>
      <w:r w:rsidR="00390636">
        <w:t xml:space="preserve"> řešení</w:t>
      </w:r>
      <w:r w:rsidR="00BF78A8">
        <w:t xml:space="preserve"> </w:t>
      </w:r>
      <w:r w:rsidR="00390636">
        <w:t>by zajistilo</w:t>
      </w:r>
      <w:r w:rsidR="00E5017C">
        <w:t xml:space="preserve"> pro </w:t>
      </w:r>
      <w:r w:rsidR="00647B6F">
        <w:t xml:space="preserve">systému podpory exportu </w:t>
      </w:r>
      <w:r w:rsidR="00390636">
        <w:t>stabilní a</w:t>
      </w:r>
      <w:r w:rsidR="00F47C4E">
        <w:t> </w:t>
      </w:r>
      <w:r w:rsidR="00390636">
        <w:t>předvídatelné</w:t>
      </w:r>
      <w:r w:rsidR="00E5017C">
        <w:t xml:space="preserve"> financování</w:t>
      </w:r>
      <w:r w:rsidR="00647B6F">
        <w:t>.</w:t>
      </w:r>
    </w:p>
    <w:p w14:paraId="0A40CFF5" w14:textId="517E9064" w:rsidR="00D979DF" w:rsidRDefault="00D979DF" w:rsidP="00E5017C">
      <w:pPr>
        <w:spacing w:after="60" w:line="240" w:lineRule="auto"/>
        <w:jc w:val="both"/>
      </w:pPr>
    </w:p>
    <w:p w14:paraId="7F762D22" w14:textId="77777777" w:rsidR="00E1361A" w:rsidRDefault="00E1361A" w:rsidP="00E5017C">
      <w:pPr>
        <w:spacing w:after="60" w:line="240" w:lineRule="auto"/>
        <w:jc w:val="both"/>
      </w:pPr>
    </w:p>
    <w:p w14:paraId="6E183910" w14:textId="32521BC4" w:rsidR="00D979DF" w:rsidRDefault="00D979DF" w:rsidP="00E5017C">
      <w:pPr>
        <w:spacing w:after="60" w:line="240" w:lineRule="auto"/>
        <w:jc w:val="both"/>
      </w:pPr>
    </w:p>
    <w:p w14:paraId="12FFF8E9" w14:textId="00FCB9CC" w:rsidR="00D979DF" w:rsidRDefault="00D979DF" w:rsidP="00E5017C">
      <w:pPr>
        <w:spacing w:after="60" w:line="240" w:lineRule="auto"/>
        <w:jc w:val="both"/>
      </w:pPr>
    </w:p>
    <w:p w14:paraId="7A706E98" w14:textId="77777777" w:rsidR="00D979DF" w:rsidRDefault="00D979DF" w:rsidP="00E5017C">
      <w:pPr>
        <w:spacing w:after="60" w:line="240" w:lineRule="auto"/>
        <w:jc w:val="both"/>
      </w:pPr>
    </w:p>
    <w:p w14:paraId="00C755D2" w14:textId="446E9FE9" w:rsidR="00871255" w:rsidRDefault="00871255" w:rsidP="00871255">
      <w:pPr>
        <w:pStyle w:val="Obsah1"/>
        <w:pBdr>
          <w:top w:val="single" w:sz="4" w:space="1" w:color="auto"/>
          <w:left w:val="single" w:sz="4" w:space="4" w:color="auto"/>
          <w:bottom w:val="single" w:sz="4" w:space="1" w:color="auto"/>
          <w:right w:val="single" w:sz="4" w:space="4" w:color="auto"/>
        </w:pBdr>
        <w:tabs>
          <w:tab w:val="left" w:pos="440"/>
          <w:tab w:val="right" w:leader="dot" w:pos="9628"/>
        </w:tabs>
        <w:rPr>
          <w:rFonts w:eastAsiaTheme="minorEastAsia"/>
          <w:noProof/>
          <w:color w:val="auto"/>
          <w:lang w:eastAsia="cs-CZ"/>
        </w:rPr>
      </w:pPr>
      <w:r>
        <w:lastRenderedPageBreak/>
        <w:fldChar w:fldCharType="begin"/>
      </w:r>
      <w:r>
        <w:instrText xml:space="preserve"> TOC \o "1-1" \h \z \u </w:instrText>
      </w:r>
      <w:r>
        <w:fldChar w:fldCharType="separate"/>
      </w:r>
      <w:hyperlink w:anchor="_Toc169275916" w:history="1">
        <w:r w:rsidRPr="001451F5">
          <w:rPr>
            <w:rStyle w:val="Hypertextovodkaz"/>
            <w:noProof/>
          </w:rPr>
          <w:t>1.</w:t>
        </w:r>
        <w:r>
          <w:rPr>
            <w:rFonts w:eastAsiaTheme="minorEastAsia"/>
            <w:noProof/>
            <w:color w:val="auto"/>
            <w:lang w:eastAsia="cs-CZ"/>
          </w:rPr>
          <w:tab/>
        </w:r>
        <w:r w:rsidRPr="001451F5">
          <w:rPr>
            <w:rStyle w:val="Hypertextovodkaz"/>
            <w:noProof/>
          </w:rPr>
          <w:t>Úvod</w:t>
        </w:r>
        <w:r>
          <w:rPr>
            <w:noProof/>
            <w:webHidden/>
          </w:rPr>
          <w:tab/>
        </w:r>
        <w:r>
          <w:rPr>
            <w:noProof/>
            <w:webHidden/>
          </w:rPr>
          <w:fldChar w:fldCharType="begin"/>
        </w:r>
        <w:r>
          <w:rPr>
            <w:noProof/>
            <w:webHidden/>
          </w:rPr>
          <w:instrText xml:space="preserve"> PAGEREF _Toc169275916 \h </w:instrText>
        </w:r>
        <w:r>
          <w:rPr>
            <w:noProof/>
            <w:webHidden/>
          </w:rPr>
        </w:r>
        <w:r>
          <w:rPr>
            <w:noProof/>
            <w:webHidden/>
          </w:rPr>
          <w:fldChar w:fldCharType="separate"/>
        </w:r>
        <w:r w:rsidR="00F47C4E">
          <w:rPr>
            <w:noProof/>
            <w:webHidden/>
          </w:rPr>
          <w:t>2</w:t>
        </w:r>
        <w:r>
          <w:rPr>
            <w:noProof/>
            <w:webHidden/>
          </w:rPr>
          <w:fldChar w:fldCharType="end"/>
        </w:r>
      </w:hyperlink>
    </w:p>
    <w:p w14:paraId="7A340EC9" w14:textId="6D4D335D" w:rsidR="00871255" w:rsidRDefault="005D30E3" w:rsidP="00871255">
      <w:pPr>
        <w:pStyle w:val="Obsah1"/>
        <w:pBdr>
          <w:top w:val="single" w:sz="4" w:space="1" w:color="auto"/>
          <w:left w:val="single" w:sz="4" w:space="4" w:color="auto"/>
          <w:bottom w:val="single" w:sz="4" w:space="1" w:color="auto"/>
          <w:right w:val="single" w:sz="4" w:space="4" w:color="auto"/>
        </w:pBdr>
        <w:tabs>
          <w:tab w:val="left" w:pos="440"/>
          <w:tab w:val="right" w:leader="dot" w:pos="9628"/>
        </w:tabs>
        <w:rPr>
          <w:rFonts w:eastAsiaTheme="minorEastAsia"/>
          <w:noProof/>
          <w:color w:val="auto"/>
          <w:lang w:eastAsia="cs-CZ"/>
        </w:rPr>
      </w:pPr>
      <w:hyperlink w:anchor="_Toc169275917" w:history="1">
        <w:r w:rsidR="00871255" w:rsidRPr="001451F5">
          <w:rPr>
            <w:rStyle w:val="Hypertextovodkaz"/>
            <w:noProof/>
          </w:rPr>
          <w:t>2.</w:t>
        </w:r>
        <w:r w:rsidR="00871255">
          <w:rPr>
            <w:rFonts w:eastAsiaTheme="minorEastAsia"/>
            <w:noProof/>
            <w:color w:val="auto"/>
            <w:lang w:eastAsia="cs-CZ"/>
          </w:rPr>
          <w:tab/>
        </w:r>
        <w:r w:rsidR="00871255" w:rsidRPr="001451F5">
          <w:rPr>
            <w:rStyle w:val="Hypertextovodkaz"/>
            <w:noProof/>
          </w:rPr>
          <w:t>Řídící mechanismus plnění Exportní strategie</w:t>
        </w:r>
        <w:r w:rsidR="00871255">
          <w:rPr>
            <w:noProof/>
            <w:webHidden/>
          </w:rPr>
          <w:tab/>
        </w:r>
        <w:r w:rsidR="00871255">
          <w:rPr>
            <w:noProof/>
            <w:webHidden/>
          </w:rPr>
          <w:fldChar w:fldCharType="begin"/>
        </w:r>
        <w:r w:rsidR="00871255">
          <w:rPr>
            <w:noProof/>
            <w:webHidden/>
          </w:rPr>
          <w:instrText xml:space="preserve"> PAGEREF _Toc169275917 \h </w:instrText>
        </w:r>
        <w:r w:rsidR="00871255">
          <w:rPr>
            <w:noProof/>
            <w:webHidden/>
          </w:rPr>
        </w:r>
        <w:r w:rsidR="00871255">
          <w:rPr>
            <w:noProof/>
            <w:webHidden/>
          </w:rPr>
          <w:fldChar w:fldCharType="separate"/>
        </w:r>
        <w:r w:rsidR="00F47C4E">
          <w:rPr>
            <w:noProof/>
            <w:webHidden/>
          </w:rPr>
          <w:t>2</w:t>
        </w:r>
        <w:r w:rsidR="00871255">
          <w:rPr>
            <w:noProof/>
            <w:webHidden/>
          </w:rPr>
          <w:fldChar w:fldCharType="end"/>
        </w:r>
      </w:hyperlink>
    </w:p>
    <w:p w14:paraId="3A282963" w14:textId="6009B817" w:rsidR="00871255" w:rsidRDefault="005D30E3" w:rsidP="00871255">
      <w:pPr>
        <w:pStyle w:val="Obsah1"/>
        <w:pBdr>
          <w:top w:val="single" w:sz="4" w:space="1" w:color="auto"/>
          <w:left w:val="single" w:sz="4" w:space="4" w:color="auto"/>
          <w:bottom w:val="single" w:sz="4" w:space="1" w:color="auto"/>
          <w:right w:val="single" w:sz="4" w:space="4" w:color="auto"/>
        </w:pBdr>
        <w:tabs>
          <w:tab w:val="left" w:pos="440"/>
          <w:tab w:val="right" w:leader="dot" w:pos="9628"/>
        </w:tabs>
        <w:rPr>
          <w:rFonts w:eastAsiaTheme="minorEastAsia"/>
          <w:noProof/>
          <w:color w:val="auto"/>
          <w:lang w:eastAsia="cs-CZ"/>
        </w:rPr>
      </w:pPr>
      <w:hyperlink w:anchor="_Toc169275918" w:history="1">
        <w:r w:rsidR="00871255" w:rsidRPr="001451F5">
          <w:rPr>
            <w:rStyle w:val="Hypertextovodkaz"/>
            <w:noProof/>
          </w:rPr>
          <w:t>3.</w:t>
        </w:r>
        <w:r w:rsidR="00871255">
          <w:rPr>
            <w:rFonts w:eastAsiaTheme="minorEastAsia"/>
            <w:noProof/>
            <w:color w:val="auto"/>
            <w:lang w:eastAsia="cs-CZ"/>
          </w:rPr>
          <w:tab/>
        </w:r>
        <w:r w:rsidR="00871255" w:rsidRPr="001451F5">
          <w:rPr>
            <w:rStyle w:val="Hypertextovodkaz"/>
            <w:noProof/>
          </w:rPr>
          <w:t>Plnění prioritních opatření Exportní strategie</w:t>
        </w:r>
        <w:r w:rsidR="00871255">
          <w:rPr>
            <w:noProof/>
            <w:webHidden/>
          </w:rPr>
          <w:tab/>
        </w:r>
        <w:r w:rsidR="00871255">
          <w:rPr>
            <w:noProof/>
            <w:webHidden/>
          </w:rPr>
          <w:fldChar w:fldCharType="begin"/>
        </w:r>
        <w:r w:rsidR="00871255">
          <w:rPr>
            <w:noProof/>
            <w:webHidden/>
          </w:rPr>
          <w:instrText xml:space="preserve"> PAGEREF _Toc169275918 \h </w:instrText>
        </w:r>
        <w:r w:rsidR="00871255">
          <w:rPr>
            <w:noProof/>
            <w:webHidden/>
          </w:rPr>
        </w:r>
        <w:r w:rsidR="00871255">
          <w:rPr>
            <w:noProof/>
            <w:webHidden/>
          </w:rPr>
          <w:fldChar w:fldCharType="separate"/>
        </w:r>
        <w:r w:rsidR="00F47C4E">
          <w:rPr>
            <w:noProof/>
            <w:webHidden/>
          </w:rPr>
          <w:t>2</w:t>
        </w:r>
        <w:r w:rsidR="00871255">
          <w:rPr>
            <w:noProof/>
            <w:webHidden/>
          </w:rPr>
          <w:fldChar w:fldCharType="end"/>
        </w:r>
      </w:hyperlink>
    </w:p>
    <w:p w14:paraId="31C87D6D" w14:textId="5DF920F9" w:rsidR="00871255" w:rsidRDefault="005D30E3" w:rsidP="00871255">
      <w:pPr>
        <w:pStyle w:val="Obsah1"/>
        <w:pBdr>
          <w:top w:val="single" w:sz="4" w:space="1" w:color="auto"/>
          <w:left w:val="single" w:sz="4" w:space="4" w:color="auto"/>
          <w:bottom w:val="single" w:sz="4" w:space="1" w:color="auto"/>
          <w:right w:val="single" w:sz="4" w:space="4" w:color="auto"/>
        </w:pBdr>
        <w:tabs>
          <w:tab w:val="left" w:pos="440"/>
          <w:tab w:val="right" w:leader="dot" w:pos="9628"/>
        </w:tabs>
        <w:rPr>
          <w:rFonts w:eastAsiaTheme="minorEastAsia"/>
          <w:noProof/>
          <w:color w:val="auto"/>
          <w:lang w:eastAsia="cs-CZ"/>
        </w:rPr>
      </w:pPr>
      <w:hyperlink w:anchor="_Toc169275919" w:history="1">
        <w:r w:rsidR="00871255" w:rsidRPr="001451F5">
          <w:rPr>
            <w:rStyle w:val="Hypertextovodkaz"/>
            <w:noProof/>
          </w:rPr>
          <w:t>4.</w:t>
        </w:r>
        <w:r w:rsidR="00871255">
          <w:rPr>
            <w:rFonts w:eastAsiaTheme="minorEastAsia"/>
            <w:noProof/>
            <w:color w:val="auto"/>
            <w:lang w:eastAsia="cs-CZ"/>
          </w:rPr>
          <w:tab/>
        </w:r>
        <w:r w:rsidR="00871255" w:rsidRPr="001451F5">
          <w:rPr>
            <w:rStyle w:val="Hypertextovodkaz"/>
            <w:noProof/>
          </w:rPr>
          <w:t>Vybrané indikátory Exportní strategie</w:t>
        </w:r>
        <w:r w:rsidR="00871255">
          <w:rPr>
            <w:noProof/>
            <w:webHidden/>
          </w:rPr>
          <w:tab/>
        </w:r>
        <w:r w:rsidR="00871255">
          <w:rPr>
            <w:noProof/>
            <w:webHidden/>
          </w:rPr>
          <w:fldChar w:fldCharType="begin"/>
        </w:r>
        <w:r w:rsidR="00871255">
          <w:rPr>
            <w:noProof/>
            <w:webHidden/>
          </w:rPr>
          <w:instrText xml:space="preserve"> PAGEREF _Toc169275919 \h </w:instrText>
        </w:r>
        <w:r w:rsidR="00871255">
          <w:rPr>
            <w:noProof/>
            <w:webHidden/>
          </w:rPr>
        </w:r>
        <w:r w:rsidR="00871255">
          <w:rPr>
            <w:noProof/>
            <w:webHidden/>
          </w:rPr>
          <w:fldChar w:fldCharType="separate"/>
        </w:r>
        <w:r w:rsidR="00F47C4E">
          <w:rPr>
            <w:noProof/>
            <w:webHidden/>
          </w:rPr>
          <w:t>7</w:t>
        </w:r>
        <w:r w:rsidR="00871255">
          <w:rPr>
            <w:noProof/>
            <w:webHidden/>
          </w:rPr>
          <w:fldChar w:fldCharType="end"/>
        </w:r>
      </w:hyperlink>
    </w:p>
    <w:p w14:paraId="5207EB78" w14:textId="1B657160" w:rsidR="00825480" w:rsidRPr="00821B38" w:rsidRDefault="00871255">
      <w:pPr>
        <w:pStyle w:val="Nadpis1"/>
      </w:pPr>
      <w:r>
        <w:rPr>
          <w:b w:val="0"/>
        </w:rPr>
        <w:fldChar w:fldCharType="end"/>
      </w:r>
      <w:bookmarkStart w:id="3" w:name="_Toc169187272"/>
      <w:bookmarkStart w:id="4" w:name="_Toc169275916"/>
      <w:bookmarkStart w:id="5" w:name="_Toc197336352"/>
      <w:r w:rsidR="00825480" w:rsidRPr="00821B38">
        <w:t>Úvod</w:t>
      </w:r>
      <w:bookmarkEnd w:id="3"/>
      <w:bookmarkEnd w:id="4"/>
      <w:bookmarkEnd w:id="5"/>
    </w:p>
    <w:p w14:paraId="33F5B3D5" w14:textId="3946C776" w:rsidR="001D6AFD" w:rsidRPr="00821B38" w:rsidRDefault="005067E1" w:rsidP="00215AD6">
      <w:pPr>
        <w:pStyle w:val="Bezmezer"/>
        <w:spacing w:after="60"/>
        <w:jc w:val="both"/>
        <w:rPr>
          <w:rFonts w:asciiTheme="majorHAnsi" w:hAnsiTheme="majorHAnsi" w:cstheme="majorHAnsi"/>
        </w:rPr>
      </w:pPr>
      <w:r w:rsidRPr="00821B38">
        <w:t xml:space="preserve">Na základě </w:t>
      </w:r>
      <w:bookmarkStart w:id="6" w:name="_Hlk169250092"/>
      <w:r w:rsidRPr="00821B38">
        <w:t>usnesení vlády ČR č. 5</w:t>
      </w:r>
      <w:r w:rsidR="00445BB7" w:rsidRPr="00821B38">
        <w:t>5</w:t>
      </w:r>
      <w:r w:rsidRPr="00821B38">
        <w:t>9 ze dne 26. července 2023 o</w:t>
      </w:r>
      <w:r w:rsidR="00F47C4E">
        <w:t> </w:t>
      </w:r>
      <w:r w:rsidRPr="00821B38">
        <w:t>Exportní strategii ČR 2023–2033</w:t>
      </w:r>
      <w:r w:rsidR="001D6AFD" w:rsidRPr="00821B38">
        <w:t xml:space="preserve"> </w:t>
      </w:r>
      <w:r w:rsidRPr="00821B38">
        <w:t>předkládá Minis</w:t>
      </w:r>
      <w:r w:rsidRPr="00821B38">
        <w:rPr>
          <w:rFonts w:asciiTheme="majorHAnsi" w:hAnsiTheme="majorHAnsi" w:cstheme="majorHAnsi"/>
        </w:rPr>
        <w:t>terstvo průmyslu a</w:t>
      </w:r>
      <w:r w:rsidR="00F47C4E">
        <w:rPr>
          <w:rFonts w:asciiTheme="majorHAnsi" w:hAnsiTheme="majorHAnsi" w:cstheme="majorHAnsi"/>
        </w:rPr>
        <w:t> </w:t>
      </w:r>
      <w:r w:rsidRPr="00821B38">
        <w:rPr>
          <w:rFonts w:asciiTheme="majorHAnsi" w:hAnsiTheme="majorHAnsi" w:cstheme="majorHAnsi"/>
        </w:rPr>
        <w:t>obchodu</w:t>
      </w:r>
      <w:r w:rsidR="00F52492" w:rsidRPr="00821B38">
        <w:rPr>
          <w:rFonts w:asciiTheme="majorHAnsi" w:hAnsiTheme="majorHAnsi" w:cstheme="majorHAnsi"/>
        </w:rPr>
        <w:t xml:space="preserve"> k</w:t>
      </w:r>
      <w:r w:rsidR="00F47C4E">
        <w:rPr>
          <w:rFonts w:asciiTheme="majorHAnsi" w:hAnsiTheme="majorHAnsi" w:cstheme="majorHAnsi"/>
        </w:rPr>
        <w:t> </w:t>
      </w:r>
      <w:r w:rsidR="00F52492" w:rsidRPr="00821B38">
        <w:rPr>
          <w:rFonts w:asciiTheme="majorHAnsi" w:hAnsiTheme="majorHAnsi" w:cstheme="majorHAnsi"/>
        </w:rPr>
        <w:t>30. 6. 202</w:t>
      </w:r>
      <w:r w:rsidR="00160858" w:rsidRPr="00821B38">
        <w:rPr>
          <w:rFonts w:asciiTheme="majorHAnsi" w:hAnsiTheme="majorHAnsi" w:cstheme="majorHAnsi"/>
        </w:rPr>
        <w:t>5</w:t>
      </w:r>
      <w:r w:rsidR="00F52492" w:rsidRPr="00821B38">
        <w:rPr>
          <w:rFonts w:asciiTheme="majorHAnsi" w:hAnsiTheme="majorHAnsi" w:cstheme="majorHAnsi"/>
        </w:rPr>
        <w:t xml:space="preserve"> </w:t>
      </w:r>
      <w:r w:rsidRPr="00821B38">
        <w:rPr>
          <w:rFonts w:asciiTheme="majorHAnsi" w:hAnsiTheme="majorHAnsi" w:cstheme="majorHAnsi"/>
        </w:rPr>
        <w:t xml:space="preserve">pro informaci členům vlády České republiky </w:t>
      </w:r>
      <w:r w:rsidR="00F52492" w:rsidRPr="00821B38">
        <w:rPr>
          <w:rFonts w:asciiTheme="majorHAnsi" w:hAnsiTheme="majorHAnsi" w:cstheme="majorHAnsi"/>
        </w:rPr>
        <w:t>Z</w:t>
      </w:r>
      <w:r w:rsidRPr="00821B38">
        <w:rPr>
          <w:rFonts w:asciiTheme="majorHAnsi" w:hAnsiTheme="majorHAnsi" w:cstheme="majorHAnsi"/>
        </w:rPr>
        <w:t>právu o</w:t>
      </w:r>
      <w:r w:rsidR="00F47C4E">
        <w:rPr>
          <w:rFonts w:asciiTheme="majorHAnsi" w:hAnsiTheme="majorHAnsi" w:cstheme="majorHAnsi"/>
        </w:rPr>
        <w:t> </w:t>
      </w:r>
      <w:r w:rsidRPr="00821B38">
        <w:rPr>
          <w:rFonts w:asciiTheme="majorHAnsi" w:hAnsiTheme="majorHAnsi" w:cstheme="majorHAnsi"/>
        </w:rPr>
        <w:t>plnění Exportní strategie</w:t>
      </w:r>
      <w:r w:rsidR="001D6AFD" w:rsidRPr="00821B38">
        <w:rPr>
          <w:rFonts w:asciiTheme="majorHAnsi" w:hAnsiTheme="majorHAnsi" w:cstheme="majorHAnsi"/>
        </w:rPr>
        <w:t xml:space="preserve"> </w:t>
      </w:r>
      <w:r w:rsidR="00F52492" w:rsidRPr="00821B38">
        <w:rPr>
          <w:rFonts w:asciiTheme="majorHAnsi" w:hAnsiTheme="majorHAnsi" w:cstheme="majorHAnsi"/>
        </w:rPr>
        <w:t>za předchozí kalendářní rok</w:t>
      </w:r>
      <w:r w:rsidRPr="00821B38">
        <w:rPr>
          <w:rFonts w:asciiTheme="majorHAnsi" w:hAnsiTheme="majorHAnsi" w:cstheme="majorHAnsi"/>
        </w:rPr>
        <w:t>.</w:t>
      </w:r>
      <w:bookmarkEnd w:id="6"/>
      <w:r w:rsidRPr="00821B38">
        <w:rPr>
          <w:rFonts w:asciiTheme="majorHAnsi" w:hAnsiTheme="majorHAnsi" w:cstheme="majorHAnsi"/>
        </w:rPr>
        <w:t xml:space="preserve"> </w:t>
      </w:r>
      <w:r w:rsidR="00266667" w:rsidRPr="00821B38">
        <w:rPr>
          <w:rFonts w:asciiTheme="majorHAnsi" w:hAnsiTheme="majorHAnsi" w:cstheme="majorHAnsi"/>
        </w:rPr>
        <w:t xml:space="preserve">Zpráva obsahuje informace </w:t>
      </w:r>
      <w:r w:rsidR="001D6AFD" w:rsidRPr="00821B38">
        <w:rPr>
          <w:rFonts w:asciiTheme="majorHAnsi" w:hAnsiTheme="majorHAnsi" w:cstheme="majorHAnsi"/>
        </w:rPr>
        <w:t>o</w:t>
      </w:r>
      <w:r w:rsidR="00F47C4E">
        <w:rPr>
          <w:rFonts w:asciiTheme="majorHAnsi" w:hAnsiTheme="majorHAnsi" w:cstheme="majorHAnsi"/>
        </w:rPr>
        <w:t> </w:t>
      </w:r>
      <w:r w:rsidR="001D6AFD" w:rsidRPr="00821B38">
        <w:rPr>
          <w:rFonts w:asciiTheme="majorHAnsi" w:hAnsiTheme="majorHAnsi" w:cstheme="majorHAnsi"/>
        </w:rPr>
        <w:t>koordinačním a</w:t>
      </w:r>
      <w:r w:rsidR="00F47C4E">
        <w:rPr>
          <w:rFonts w:asciiTheme="majorHAnsi" w:hAnsiTheme="majorHAnsi" w:cstheme="majorHAnsi"/>
        </w:rPr>
        <w:t> </w:t>
      </w:r>
      <w:r w:rsidR="001D6AFD" w:rsidRPr="00821B38">
        <w:rPr>
          <w:rFonts w:asciiTheme="majorHAnsi" w:hAnsiTheme="majorHAnsi" w:cstheme="majorHAnsi"/>
        </w:rPr>
        <w:t xml:space="preserve">řídícím mechanismu implementace Strategie </w:t>
      </w:r>
      <w:r w:rsidR="00190D82">
        <w:rPr>
          <w:rFonts w:asciiTheme="majorHAnsi" w:hAnsiTheme="majorHAnsi" w:cstheme="majorHAnsi"/>
        </w:rPr>
        <w:t>a</w:t>
      </w:r>
      <w:r w:rsidR="00F47C4E">
        <w:rPr>
          <w:rFonts w:asciiTheme="majorHAnsi" w:hAnsiTheme="majorHAnsi" w:cstheme="majorHAnsi"/>
        </w:rPr>
        <w:t> </w:t>
      </w:r>
      <w:r w:rsidR="00190D82">
        <w:rPr>
          <w:rFonts w:asciiTheme="majorHAnsi" w:hAnsiTheme="majorHAnsi" w:cstheme="majorHAnsi"/>
        </w:rPr>
        <w:t>zejména o</w:t>
      </w:r>
      <w:r w:rsidR="00F47C4E">
        <w:rPr>
          <w:rFonts w:asciiTheme="majorHAnsi" w:hAnsiTheme="majorHAnsi" w:cstheme="majorHAnsi"/>
        </w:rPr>
        <w:t> </w:t>
      </w:r>
      <w:r w:rsidR="001D6AFD" w:rsidRPr="00821B38">
        <w:rPr>
          <w:rFonts w:asciiTheme="majorHAnsi" w:hAnsiTheme="majorHAnsi" w:cstheme="majorHAnsi"/>
        </w:rPr>
        <w:t>opatřeních a</w:t>
      </w:r>
      <w:r w:rsidR="00F47C4E">
        <w:rPr>
          <w:rFonts w:asciiTheme="majorHAnsi" w:hAnsiTheme="majorHAnsi" w:cstheme="majorHAnsi"/>
        </w:rPr>
        <w:t> </w:t>
      </w:r>
      <w:r w:rsidR="001D6AFD" w:rsidRPr="00821B38">
        <w:rPr>
          <w:rFonts w:asciiTheme="majorHAnsi" w:hAnsiTheme="majorHAnsi" w:cstheme="majorHAnsi"/>
        </w:rPr>
        <w:t>aktivitách přijatých k</w:t>
      </w:r>
      <w:r w:rsidR="00F47C4E">
        <w:rPr>
          <w:rFonts w:asciiTheme="majorHAnsi" w:hAnsiTheme="majorHAnsi" w:cstheme="majorHAnsi"/>
        </w:rPr>
        <w:t> </w:t>
      </w:r>
      <w:r w:rsidR="00190D82">
        <w:rPr>
          <w:rFonts w:asciiTheme="majorHAnsi" w:hAnsiTheme="majorHAnsi" w:cstheme="majorHAnsi"/>
        </w:rPr>
        <w:t xml:space="preserve">jejímu </w:t>
      </w:r>
      <w:r w:rsidR="001D6AFD" w:rsidRPr="00821B38">
        <w:rPr>
          <w:rFonts w:asciiTheme="majorHAnsi" w:hAnsiTheme="majorHAnsi" w:cstheme="majorHAnsi"/>
        </w:rPr>
        <w:t>plnění</w:t>
      </w:r>
      <w:r w:rsidR="001B28F6" w:rsidRPr="00821B38">
        <w:rPr>
          <w:rFonts w:asciiTheme="majorHAnsi" w:hAnsiTheme="majorHAnsi" w:cstheme="majorHAnsi"/>
        </w:rPr>
        <w:t>.</w:t>
      </w:r>
    </w:p>
    <w:p w14:paraId="71F541CF" w14:textId="22E33B56" w:rsidR="00825480" w:rsidRPr="00821B38" w:rsidRDefault="00825480" w:rsidP="00215AD6">
      <w:pPr>
        <w:pStyle w:val="Nadpis1"/>
      </w:pPr>
      <w:bookmarkStart w:id="7" w:name="_Toc169187273"/>
      <w:bookmarkStart w:id="8" w:name="_Toc169275917"/>
      <w:bookmarkStart w:id="9" w:name="_Toc197336353"/>
      <w:r w:rsidRPr="00821B38">
        <w:t>Řídící mechanismus plnění Exportní strategie</w:t>
      </w:r>
      <w:bookmarkEnd w:id="7"/>
      <w:bookmarkEnd w:id="8"/>
      <w:bookmarkEnd w:id="9"/>
    </w:p>
    <w:p w14:paraId="018F52CF" w14:textId="3DDEDC49" w:rsidR="00186954" w:rsidRDefault="005015B4" w:rsidP="00E31068">
      <w:pPr>
        <w:pStyle w:val="Bezmezer"/>
        <w:spacing w:after="60"/>
        <w:jc w:val="both"/>
      </w:pPr>
      <w:r w:rsidRPr="00821B38">
        <w:t>Pro</w:t>
      </w:r>
      <w:r w:rsidR="00825480" w:rsidRPr="00821B38">
        <w:t xml:space="preserve"> koordinac</w:t>
      </w:r>
      <w:r w:rsidRPr="00821B38">
        <w:t>i</w:t>
      </w:r>
      <w:r w:rsidR="00825480" w:rsidRPr="00821B38">
        <w:t xml:space="preserve"> a</w:t>
      </w:r>
      <w:r w:rsidR="00F47C4E">
        <w:t> </w:t>
      </w:r>
      <w:r w:rsidR="00825480" w:rsidRPr="00821B38">
        <w:t xml:space="preserve">řízení </w:t>
      </w:r>
      <w:r w:rsidRPr="00821B38">
        <w:t>implementace</w:t>
      </w:r>
      <w:r w:rsidR="00825480" w:rsidRPr="00821B38">
        <w:t xml:space="preserve"> Strategie byl</w:t>
      </w:r>
      <w:r w:rsidR="00F52492" w:rsidRPr="00821B38">
        <w:t xml:space="preserve"> v</w:t>
      </w:r>
      <w:r w:rsidR="00F47C4E">
        <w:t> </w:t>
      </w:r>
      <w:r w:rsidR="00F52492" w:rsidRPr="00821B38">
        <w:t>září 2023</w:t>
      </w:r>
      <w:r w:rsidR="00825480" w:rsidRPr="00821B38">
        <w:t xml:space="preserve"> </w:t>
      </w:r>
      <w:r w:rsidRPr="00821B38">
        <w:t xml:space="preserve">ustanoven </w:t>
      </w:r>
      <w:r w:rsidR="006966E0">
        <w:t>ŘVES.</w:t>
      </w:r>
      <w:r w:rsidR="00825480" w:rsidRPr="00821B38">
        <w:t xml:space="preserve"> </w:t>
      </w:r>
      <w:r w:rsidRPr="00821B38">
        <w:t>V</w:t>
      </w:r>
      <w:r w:rsidR="00825480" w:rsidRPr="00821B38">
        <w:t xml:space="preserve">edle zástupců </w:t>
      </w:r>
      <w:r w:rsidR="00DE44D7" w:rsidRPr="00821B38">
        <w:t>M</w:t>
      </w:r>
      <w:r w:rsidR="00825480" w:rsidRPr="00821B38">
        <w:t>inisterstva průmyslu a</w:t>
      </w:r>
      <w:r w:rsidR="00F47C4E">
        <w:t> </w:t>
      </w:r>
      <w:r w:rsidR="00825480" w:rsidRPr="00821B38">
        <w:t>obchodu</w:t>
      </w:r>
      <w:r w:rsidR="008633E4" w:rsidRPr="00821B38">
        <w:t xml:space="preserve"> </w:t>
      </w:r>
      <w:r w:rsidR="00825480" w:rsidRPr="00821B38">
        <w:t>zasedají</w:t>
      </w:r>
      <w:r w:rsidRPr="00821B38">
        <w:t xml:space="preserve"> v</w:t>
      </w:r>
      <w:r w:rsidR="00F47C4E">
        <w:t> </w:t>
      </w:r>
      <w:r w:rsidRPr="00821B38">
        <w:t>Řídícím výboru</w:t>
      </w:r>
      <w:r w:rsidR="00825480" w:rsidRPr="00821B38">
        <w:t xml:space="preserve"> představitelé čtyř ministerstev (</w:t>
      </w:r>
      <w:r w:rsidR="00DE44D7" w:rsidRPr="00821B38">
        <w:t>M</w:t>
      </w:r>
      <w:r w:rsidR="00825480" w:rsidRPr="00821B38">
        <w:t>inisterstvo zahraničních věc</w:t>
      </w:r>
      <w:r w:rsidR="00825480" w:rsidRPr="00E32DC7">
        <w:t xml:space="preserve">í, </w:t>
      </w:r>
      <w:r w:rsidR="00DE44D7" w:rsidRPr="00E32DC7">
        <w:t>M</w:t>
      </w:r>
      <w:r w:rsidR="00825480" w:rsidRPr="00E32DC7">
        <w:t xml:space="preserve">inisterstvo financí, </w:t>
      </w:r>
      <w:r w:rsidR="00DE44D7" w:rsidRPr="00E32DC7">
        <w:t>M</w:t>
      </w:r>
      <w:r w:rsidR="00825480" w:rsidRPr="00E32DC7">
        <w:t>inisterstvo obrany a</w:t>
      </w:r>
      <w:r w:rsidR="00F47C4E">
        <w:t> </w:t>
      </w:r>
      <w:r w:rsidR="00DE44D7" w:rsidRPr="00E32DC7">
        <w:t>M</w:t>
      </w:r>
      <w:r w:rsidR="00825480" w:rsidRPr="00E32DC7">
        <w:t>inisterstvo zemědělství) a</w:t>
      </w:r>
      <w:r w:rsidR="00F47C4E">
        <w:t> </w:t>
      </w:r>
      <w:r w:rsidR="00825480" w:rsidRPr="00E32DC7">
        <w:t>čtyř podnikatelských reprezentací (Hospodářská komora ČR, Svaz průmyslu</w:t>
      </w:r>
      <w:r w:rsidR="00D37642" w:rsidRPr="00E32DC7">
        <w:t xml:space="preserve"> a</w:t>
      </w:r>
      <w:r w:rsidR="00F47C4E">
        <w:t> </w:t>
      </w:r>
      <w:r w:rsidR="00D37642" w:rsidRPr="00E32DC7">
        <w:t>dopravy</w:t>
      </w:r>
      <w:r w:rsidR="00825480" w:rsidRPr="00E32DC7">
        <w:t xml:space="preserve"> ČR, Konfederace zaměstnavatelských a</w:t>
      </w:r>
      <w:r w:rsidR="00F47C4E">
        <w:t> </w:t>
      </w:r>
      <w:r w:rsidR="00825480" w:rsidRPr="00E32DC7">
        <w:t>podnikatelských svazů</w:t>
      </w:r>
      <w:r w:rsidR="00D37642" w:rsidRPr="00E32DC7">
        <w:t xml:space="preserve"> ČR</w:t>
      </w:r>
      <w:r w:rsidR="00825480" w:rsidRPr="00E32DC7">
        <w:t xml:space="preserve"> a</w:t>
      </w:r>
      <w:r w:rsidR="00F47C4E">
        <w:t> </w:t>
      </w:r>
      <w:r w:rsidR="00825480" w:rsidRPr="00E32DC7">
        <w:t>Asociace malých a</w:t>
      </w:r>
      <w:r w:rsidR="00F47C4E">
        <w:t> </w:t>
      </w:r>
      <w:r w:rsidR="00825480" w:rsidRPr="00E32DC7">
        <w:t>středních podniků</w:t>
      </w:r>
      <w:r w:rsidR="00D37642" w:rsidRPr="00E32DC7">
        <w:t xml:space="preserve"> ČR</w:t>
      </w:r>
      <w:r w:rsidR="00825480" w:rsidRPr="00E32DC7">
        <w:t>)</w:t>
      </w:r>
      <w:r>
        <w:t>.</w:t>
      </w:r>
      <w:r w:rsidR="00160858">
        <w:t xml:space="preserve"> </w:t>
      </w:r>
      <w:r w:rsidR="00F2622E">
        <w:t>V</w:t>
      </w:r>
      <w:r w:rsidR="00F47C4E">
        <w:t> </w:t>
      </w:r>
      <w:r w:rsidR="00160858">
        <w:t xml:space="preserve">roce 2024 </w:t>
      </w:r>
      <w:r w:rsidR="00F2622E">
        <w:t xml:space="preserve">proběhla </w:t>
      </w:r>
      <w:r w:rsidR="00DC490A">
        <w:t>čtyři</w:t>
      </w:r>
      <w:r w:rsidR="00160858">
        <w:t xml:space="preserve"> zasedání</w:t>
      </w:r>
      <w:r w:rsidR="0016059B">
        <w:rPr>
          <w:rFonts w:cstheme="minorHAnsi"/>
        </w:rPr>
        <w:t xml:space="preserve"> </w:t>
      </w:r>
      <w:r>
        <w:t>ŘVES</w:t>
      </w:r>
      <w:r w:rsidR="00160858">
        <w:t>, a</w:t>
      </w:r>
      <w:r w:rsidR="00F47C4E">
        <w:t> </w:t>
      </w:r>
      <w:r w:rsidR="00160858">
        <w:t>to v</w:t>
      </w:r>
      <w:r w:rsidR="00F47C4E">
        <w:t> </w:t>
      </w:r>
      <w:r w:rsidR="00160858">
        <w:t>dubnu, červenci, září</w:t>
      </w:r>
      <w:r w:rsidR="003C6867">
        <w:t xml:space="preserve"> a</w:t>
      </w:r>
      <w:r w:rsidR="00F47C4E">
        <w:t> </w:t>
      </w:r>
      <w:r w:rsidR="003C6867">
        <w:t>prosinci</w:t>
      </w:r>
      <w:r w:rsidR="00F2622E">
        <w:t>, na kterých</w:t>
      </w:r>
      <w:r w:rsidR="00163BDB">
        <w:t xml:space="preserve"> byla koordinována implementace opatření</w:t>
      </w:r>
      <w:r w:rsidR="006966E0">
        <w:t xml:space="preserve"> identifikovaných ŘVES jako prioritní.</w:t>
      </w:r>
      <w:r w:rsidR="00773298">
        <w:t xml:space="preserve"> Na zasedání v</w:t>
      </w:r>
      <w:r w:rsidR="00F47C4E">
        <w:t> </w:t>
      </w:r>
      <w:r w:rsidR="00773298">
        <w:t>září 2024 bylo ve shodě se zástupci podnikatelských reprezentací rozhodnuto o</w:t>
      </w:r>
      <w:r w:rsidR="00F47C4E">
        <w:t> </w:t>
      </w:r>
      <w:r w:rsidR="00773298">
        <w:t>vyřazení opatření Revize produktového portfolia exportního financování a</w:t>
      </w:r>
      <w:r w:rsidR="00F47C4E">
        <w:t> </w:t>
      </w:r>
      <w:r w:rsidR="00773298">
        <w:t>pojišťování z</w:t>
      </w:r>
      <w:r w:rsidR="00F47C4E">
        <w:t> </w:t>
      </w:r>
      <w:r w:rsidR="00773298">
        <w:t>okruhu prioritních</w:t>
      </w:r>
      <w:r w:rsidR="00E31068">
        <w:t xml:space="preserve"> z</w:t>
      </w:r>
      <w:r w:rsidR="00F47C4E">
        <w:t> </w:t>
      </w:r>
      <w:r w:rsidR="00E31068">
        <w:t>důvodu jeho naplnění – portfolio služeb</w:t>
      </w:r>
      <w:r w:rsidR="00773298">
        <w:t xml:space="preserve"> ČEB a</w:t>
      </w:r>
      <w:r w:rsidR="00F47C4E">
        <w:t> </w:t>
      </w:r>
      <w:r w:rsidR="00773298">
        <w:t>EGAP je ve srovnání s</w:t>
      </w:r>
      <w:r w:rsidR="00F47C4E">
        <w:t> </w:t>
      </w:r>
      <w:r w:rsidR="00773298">
        <w:t>vybranými zeměmi kvalitní a</w:t>
      </w:r>
      <w:r w:rsidR="00F47C4E">
        <w:t> </w:t>
      </w:r>
      <w:r w:rsidR="00773298">
        <w:t>dostatečně širok</w:t>
      </w:r>
      <w:r w:rsidR="00E31068">
        <w:t>é</w:t>
      </w:r>
      <w:r w:rsidR="00773298">
        <w:t>, což potvrdila i</w:t>
      </w:r>
      <w:r w:rsidR="00F47C4E">
        <w:t> </w:t>
      </w:r>
      <w:r w:rsidR="00773298">
        <w:t xml:space="preserve">komparativní analýza </w:t>
      </w:r>
      <w:r w:rsidR="00E31068">
        <w:t>realizovaná v</w:t>
      </w:r>
      <w:r w:rsidR="00F47C4E">
        <w:t> </w:t>
      </w:r>
      <w:r w:rsidR="00E31068">
        <w:t>roce</w:t>
      </w:r>
      <w:r w:rsidR="00773298">
        <w:t xml:space="preserve"> 2023. </w:t>
      </w:r>
      <w:r w:rsidR="00E31068">
        <w:t xml:space="preserve">Naopak mezi </w:t>
      </w:r>
      <w:r w:rsidR="00773298">
        <w:t>prioritní</w:t>
      </w:r>
      <w:r w:rsidR="00E31068">
        <w:t xml:space="preserve"> opatření byl</w:t>
      </w:r>
      <w:r w:rsidR="00012F24">
        <w:t>a</w:t>
      </w:r>
      <w:r w:rsidR="00E31068">
        <w:t xml:space="preserve"> </w:t>
      </w:r>
      <w:r w:rsidR="00773298">
        <w:t>zařazen</w:t>
      </w:r>
      <w:r w:rsidR="00012F24">
        <w:t>a</w:t>
      </w:r>
      <w:r w:rsidR="00773298">
        <w:t xml:space="preserve"> Sběr informací o</w:t>
      </w:r>
      <w:r w:rsidR="00F47C4E">
        <w:t> </w:t>
      </w:r>
      <w:r w:rsidR="00773298">
        <w:t>firmách v</w:t>
      </w:r>
      <w:r w:rsidR="00F47C4E">
        <w:t> </w:t>
      </w:r>
      <w:r w:rsidR="00773298">
        <w:t>regionech a</w:t>
      </w:r>
      <w:r w:rsidR="00F47C4E">
        <w:t> </w:t>
      </w:r>
      <w:r w:rsidR="00012F24" w:rsidRPr="00012F24">
        <w:t>Zřízení nástroje v</w:t>
      </w:r>
      <w:r w:rsidR="00F47C4E">
        <w:t> </w:t>
      </w:r>
      <w:r w:rsidR="00012F24" w:rsidRPr="00012F24">
        <w:t>podobě státní záštity obchodů pro facilitaci G2G obchodů</w:t>
      </w:r>
      <w:r w:rsidR="00773298">
        <w:t>. Materi</w:t>
      </w:r>
      <w:r w:rsidR="00012F24">
        <w:t>ál níže shrnuje</w:t>
      </w:r>
      <w:r w:rsidR="00773298">
        <w:t xml:space="preserve"> aktuální stav plnění </w:t>
      </w:r>
      <w:r w:rsidR="00012F24">
        <w:t xml:space="preserve">všech </w:t>
      </w:r>
      <w:r w:rsidR="00E31068">
        <w:t xml:space="preserve">15 </w:t>
      </w:r>
      <w:r w:rsidR="00012F24">
        <w:t xml:space="preserve">prioritních </w:t>
      </w:r>
      <w:r w:rsidR="00773298">
        <w:t>opatření (z celkových 41).</w:t>
      </w:r>
      <w:bookmarkStart w:id="10" w:name="_Toc169187274"/>
      <w:bookmarkStart w:id="11" w:name="_Toc169275918"/>
      <w:bookmarkStart w:id="12" w:name="_Toc197336354"/>
      <w:r w:rsidR="00E31068">
        <w:t xml:space="preserve"> </w:t>
      </w:r>
      <w:bookmarkEnd w:id="10"/>
      <w:bookmarkEnd w:id="11"/>
      <w:bookmarkEnd w:id="12"/>
    </w:p>
    <w:p w14:paraId="164376E7" w14:textId="3EB5F561" w:rsidR="00D979DF" w:rsidRPr="00E32DC7" w:rsidRDefault="00D979DF" w:rsidP="00E1361A">
      <w:pPr>
        <w:pStyle w:val="Nadpis1"/>
        <w:ind w:left="357" w:hanging="357"/>
      </w:pPr>
      <w:r w:rsidRPr="00D979DF">
        <w:t>Plnění prioritních opatření Exportní strategie</w:t>
      </w:r>
    </w:p>
    <w:p w14:paraId="3415AE49" w14:textId="77777777" w:rsidR="00EB0BC9" w:rsidRPr="00EB0BC9" w:rsidRDefault="00EB0BC9" w:rsidP="00EB0BC9">
      <w:pPr>
        <w:pStyle w:val="Odstavecseseznamem"/>
        <w:keepNext/>
        <w:keepLines/>
        <w:numPr>
          <w:ilvl w:val="0"/>
          <w:numId w:val="22"/>
        </w:numPr>
        <w:spacing w:before="80" w:after="0"/>
        <w:contextualSpacing w:val="0"/>
        <w:outlineLvl w:val="1"/>
        <w:rPr>
          <w:rFonts w:asciiTheme="majorHAnsi" w:eastAsiaTheme="majorEastAsia" w:hAnsiTheme="majorHAnsi" w:cstheme="majorBidi"/>
          <w:b/>
          <w:vanish/>
          <w:sz w:val="26"/>
          <w:szCs w:val="26"/>
        </w:rPr>
      </w:pPr>
      <w:bookmarkStart w:id="13" w:name="_Toc168649770"/>
      <w:bookmarkStart w:id="14" w:name="_Toc168659388"/>
      <w:bookmarkStart w:id="15" w:name="_Toc168660321"/>
      <w:bookmarkStart w:id="16" w:name="_Toc168661309"/>
      <w:bookmarkStart w:id="17" w:name="_Toc168674648"/>
      <w:bookmarkStart w:id="18" w:name="_Toc168904302"/>
      <w:bookmarkStart w:id="19" w:name="_Toc169181827"/>
      <w:bookmarkStart w:id="20" w:name="_Toc169181854"/>
      <w:bookmarkStart w:id="21" w:name="_Toc169187275"/>
      <w:bookmarkStart w:id="22" w:name="_Toc196467377"/>
      <w:bookmarkStart w:id="23" w:name="_Toc196919497"/>
      <w:bookmarkStart w:id="24" w:name="_Toc197336355"/>
      <w:bookmarkEnd w:id="13"/>
      <w:bookmarkEnd w:id="14"/>
      <w:bookmarkEnd w:id="15"/>
      <w:bookmarkEnd w:id="16"/>
      <w:bookmarkEnd w:id="17"/>
      <w:bookmarkEnd w:id="18"/>
      <w:bookmarkEnd w:id="19"/>
      <w:bookmarkEnd w:id="20"/>
      <w:bookmarkEnd w:id="21"/>
      <w:bookmarkEnd w:id="22"/>
      <w:bookmarkEnd w:id="23"/>
      <w:bookmarkEnd w:id="24"/>
    </w:p>
    <w:p w14:paraId="344A8EAE" w14:textId="77777777" w:rsidR="00EB0BC9" w:rsidRPr="00EB0BC9" w:rsidRDefault="00EB0BC9" w:rsidP="00EB0BC9">
      <w:pPr>
        <w:pStyle w:val="Odstavecseseznamem"/>
        <w:keepNext/>
        <w:keepLines/>
        <w:numPr>
          <w:ilvl w:val="0"/>
          <w:numId w:val="22"/>
        </w:numPr>
        <w:spacing w:before="80" w:after="0"/>
        <w:contextualSpacing w:val="0"/>
        <w:outlineLvl w:val="1"/>
        <w:rPr>
          <w:rFonts w:asciiTheme="majorHAnsi" w:eastAsiaTheme="majorEastAsia" w:hAnsiTheme="majorHAnsi" w:cstheme="majorBidi"/>
          <w:b/>
          <w:vanish/>
          <w:sz w:val="26"/>
          <w:szCs w:val="26"/>
        </w:rPr>
      </w:pPr>
      <w:bookmarkStart w:id="25" w:name="_Toc168649771"/>
      <w:bookmarkStart w:id="26" w:name="_Toc168659389"/>
      <w:bookmarkStart w:id="27" w:name="_Toc168660322"/>
      <w:bookmarkStart w:id="28" w:name="_Toc168661310"/>
      <w:bookmarkStart w:id="29" w:name="_Toc168674649"/>
      <w:bookmarkStart w:id="30" w:name="_Toc168904303"/>
      <w:bookmarkStart w:id="31" w:name="_Toc169181828"/>
      <w:bookmarkStart w:id="32" w:name="_Toc169181855"/>
      <w:bookmarkStart w:id="33" w:name="_Toc169187276"/>
      <w:bookmarkStart w:id="34" w:name="_Toc196467378"/>
      <w:bookmarkStart w:id="35" w:name="_Toc196919498"/>
      <w:bookmarkStart w:id="36" w:name="_Toc197336356"/>
      <w:bookmarkEnd w:id="25"/>
      <w:bookmarkEnd w:id="26"/>
      <w:bookmarkEnd w:id="27"/>
      <w:bookmarkEnd w:id="28"/>
      <w:bookmarkEnd w:id="29"/>
      <w:bookmarkEnd w:id="30"/>
      <w:bookmarkEnd w:id="31"/>
      <w:bookmarkEnd w:id="32"/>
      <w:bookmarkEnd w:id="33"/>
      <w:bookmarkEnd w:id="34"/>
      <w:bookmarkEnd w:id="35"/>
      <w:bookmarkEnd w:id="36"/>
    </w:p>
    <w:p w14:paraId="48E330DD" w14:textId="77777777" w:rsidR="00EB0BC9" w:rsidRPr="00EB0BC9" w:rsidRDefault="00EB0BC9" w:rsidP="00EB0BC9">
      <w:pPr>
        <w:pStyle w:val="Odstavecseseznamem"/>
        <w:keepNext/>
        <w:keepLines/>
        <w:numPr>
          <w:ilvl w:val="0"/>
          <w:numId w:val="22"/>
        </w:numPr>
        <w:spacing w:before="80" w:after="0"/>
        <w:contextualSpacing w:val="0"/>
        <w:outlineLvl w:val="1"/>
        <w:rPr>
          <w:rFonts w:asciiTheme="majorHAnsi" w:eastAsiaTheme="majorEastAsia" w:hAnsiTheme="majorHAnsi" w:cstheme="majorBidi"/>
          <w:b/>
          <w:vanish/>
          <w:sz w:val="26"/>
          <w:szCs w:val="26"/>
        </w:rPr>
      </w:pPr>
      <w:bookmarkStart w:id="37" w:name="_Toc168649772"/>
      <w:bookmarkStart w:id="38" w:name="_Toc168659390"/>
      <w:bookmarkStart w:id="39" w:name="_Toc168660323"/>
      <w:bookmarkStart w:id="40" w:name="_Toc168661311"/>
      <w:bookmarkStart w:id="41" w:name="_Toc168674650"/>
      <w:bookmarkStart w:id="42" w:name="_Toc168904304"/>
      <w:bookmarkStart w:id="43" w:name="_Toc169181829"/>
      <w:bookmarkStart w:id="44" w:name="_Toc169181856"/>
      <w:bookmarkStart w:id="45" w:name="_Toc169187277"/>
      <w:bookmarkStart w:id="46" w:name="_Toc196467379"/>
      <w:bookmarkStart w:id="47" w:name="_Toc196919499"/>
      <w:bookmarkStart w:id="48" w:name="_Toc197336357"/>
      <w:bookmarkEnd w:id="37"/>
      <w:bookmarkEnd w:id="38"/>
      <w:bookmarkEnd w:id="39"/>
      <w:bookmarkEnd w:id="40"/>
      <w:bookmarkEnd w:id="41"/>
      <w:bookmarkEnd w:id="42"/>
      <w:bookmarkEnd w:id="43"/>
      <w:bookmarkEnd w:id="44"/>
      <w:bookmarkEnd w:id="45"/>
      <w:bookmarkEnd w:id="46"/>
      <w:bookmarkEnd w:id="47"/>
      <w:bookmarkEnd w:id="48"/>
    </w:p>
    <w:p w14:paraId="21431AD8" w14:textId="77777777" w:rsidR="00EB0BC9" w:rsidRPr="00EB0BC9" w:rsidRDefault="00EB0BC9" w:rsidP="00EB0BC9">
      <w:pPr>
        <w:pStyle w:val="Odstavecseseznamem"/>
        <w:keepNext/>
        <w:keepLines/>
        <w:numPr>
          <w:ilvl w:val="0"/>
          <w:numId w:val="23"/>
        </w:numPr>
        <w:spacing w:before="80" w:after="0"/>
        <w:contextualSpacing w:val="0"/>
        <w:outlineLvl w:val="1"/>
        <w:rPr>
          <w:rFonts w:asciiTheme="majorHAnsi" w:eastAsiaTheme="majorEastAsia" w:hAnsiTheme="majorHAnsi" w:cstheme="majorBidi"/>
          <w:b/>
          <w:vanish/>
          <w:sz w:val="26"/>
          <w:szCs w:val="26"/>
        </w:rPr>
      </w:pPr>
      <w:bookmarkStart w:id="49" w:name="_Toc168649773"/>
      <w:bookmarkStart w:id="50" w:name="_Toc168659391"/>
      <w:bookmarkStart w:id="51" w:name="_Toc168660324"/>
      <w:bookmarkStart w:id="52" w:name="_Toc168661312"/>
      <w:bookmarkStart w:id="53" w:name="_Toc168674651"/>
      <w:bookmarkStart w:id="54" w:name="_Toc168904305"/>
      <w:bookmarkStart w:id="55" w:name="_Toc169181830"/>
      <w:bookmarkStart w:id="56" w:name="_Toc169181857"/>
      <w:bookmarkStart w:id="57" w:name="_Toc169187278"/>
      <w:bookmarkStart w:id="58" w:name="_Toc196467380"/>
      <w:bookmarkStart w:id="59" w:name="_Toc196919500"/>
      <w:bookmarkStart w:id="60" w:name="_Toc197336358"/>
      <w:bookmarkEnd w:id="49"/>
      <w:bookmarkEnd w:id="50"/>
      <w:bookmarkEnd w:id="51"/>
      <w:bookmarkEnd w:id="52"/>
      <w:bookmarkEnd w:id="53"/>
      <w:bookmarkEnd w:id="54"/>
      <w:bookmarkEnd w:id="55"/>
      <w:bookmarkEnd w:id="56"/>
      <w:bookmarkEnd w:id="57"/>
      <w:bookmarkEnd w:id="58"/>
      <w:bookmarkEnd w:id="59"/>
      <w:bookmarkEnd w:id="60"/>
    </w:p>
    <w:p w14:paraId="3950C894" w14:textId="77777777" w:rsidR="00EB0BC9" w:rsidRPr="00EB0BC9" w:rsidRDefault="00EB0BC9" w:rsidP="00EB0BC9">
      <w:pPr>
        <w:pStyle w:val="Odstavecseseznamem"/>
        <w:keepNext/>
        <w:keepLines/>
        <w:numPr>
          <w:ilvl w:val="0"/>
          <w:numId w:val="23"/>
        </w:numPr>
        <w:spacing w:before="80" w:after="0"/>
        <w:contextualSpacing w:val="0"/>
        <w:outlineLvl w:val="1"/>
        <w:rPr>
          <w:rFonts w:asciiTheme="majorHAnsi" w:eastAsiaTheme="majorEastAsia" w:hAnsiTheme="majorHAnsi" w:cstheme="majorBidi"/>
          <w:b/>
          <w:vanish/>
          <w:sz w:val="26"/>
          <w:szCs w:val="26"/>
        </w:rPr>
      </w:pPr>
      <w:bookmarkStart w:id="61" w:name="_Toc168649774"/>
      <w:bookmarkStart w:id="62" w:name="_Toc168659392"/>
      <w:bookmarkStart w:id="63" w:name="_Toc168660325"/>
      <w:bookmarkStart w:id="64" w:name="_Toc168661313"/>
      <w:bookmarkStart w:id="65" w:name="_Toc168674652"/>
      <w:bookmarkStart w:id="66" w:name="_Toc168904306"/>
      <w:bookmarkStart w:id="67" w:name="_Toc169181831"/>
      <w:bookmarkStart w:id="68" w:name="_Toc169181858"/>
      <w:bookmarkStart w:id="69" w:name="_Toc169187279"/>
      <w:bookmarkStart w:id="70" w:name="_Toc196467381"/>
      <w:bookmarkStart w:id="71" w:name="_Toc196919501"/>
      <w:bookmarkStart w:id="72" w:name="_Toc197336359"/>
      <w:bookmarkEnd w:id="61"/>
      <w:bookmarkEnd w:id="62"/>
      <w:bookmarkEnd w:id="63"/>
      <w:bookmarkEnd w:id="64"/>
      <w:bookmarkEnd w:id="65"/>
      <w:bookmarkEnd w:id="66"/>
      <w:bookmarkEnd w:id="67"/>
      <w:bookmarkEnd w:id="68"/>
      <w:bookmarkEnd w:id="69"/>
      <w:bookmarkEnd w:id="70"/>
      <w:bookmarkEnd w:id="71"/>
      <w:bookmarkEnd w:id="72"/>
    </w:p>
    <w:p w14:paraId="0405959E" w14:textId="77777777" w:rsidR="00EB0BC9" w:rsidRPr="00EB0BC9" w:rsidRDefault="00EB0BC9" w:rsidP="00EB0BC9">
      <w:pPr>
        <w:pStyle w:val="Odstavecseseznamem"/>
        <w:keepNext/>
        <w:keepLines/>
        <w:numPr>
          <w:ilvl w:val="0"/>
          <w:numId w:val="23"/>
        </w:numPr>
        <w:spacing w:before="80" w:after="0"/>
        <w:contextualSpacing w:val="0"/>
        <w:outlineLvl w:val="1"/>
        <w:rPr>
          <w:rFonts w:asciiTheme="majorHAnsi" w:eastAsiaTheme="majorEastAsia" w:hAnsiTheme="majorHAnsi" w:cstheme="majorBidi"/>
          <w:b/>
          <w:vanish/>
          <w:sz w:val="26"/>
          <w:szCs w:val="26"/>
        </w:rPr>
      </w:pPr>
      <w:bookmarkStart w:id="73" w:name="_Toc168649775"/>
      <w:bookmarkStart w:id="74" w:name="_Toc168659393"/>
      <w:bookmarkStart w:id="75" w:name="_Toc168660326"/>
      <w:bookmarkStart w:id="76" w:name="_Toc168661314"/>
      <w:bookmarkStart w:id="77" w:name="_Toc168674653"/>
      <w:bookmarkStart w:id="78" w:name="_Toc168904307"/>
      <w:bookmarkStart w:id="79" w:name="_Toc169181832"/>
      <w:bookmarkStart w:id="80" w:name="_Toc169181859"/>
      <w:bookmarkStart w:id="81" w:name="_Toc169187280"/>
      <w:bookmarkStart w:id="82" w:name="_Toc196467382"/>
      <w:bookmarkStart w:id="83" w:name="_Toc196919502"/>
      <w:bookmarkStart w:id="84" w:name="_Toc197336360"/>
      <w:bookmarkEnd w:id="73"/>
      <w:bookmarkEnd w:id="74"/>
      <w:bookmarkEnd w:id="75"/>
      <w:bookmarkEnd w:id="76"/>
      <w:bookmarkEnd w:id="77"/>
      <w:bookmarkEnd w:id="78"/>
      <w:bookmarkEnd w:id="79"/>
      <w:bookmarkEnd w:id="80"/>
      <w:bookmarkEnd w:id="81"/>
      <w:bookmarkEnd w:id="82"/>
      <w:bookmarkEnd w:id="83"/>
      <w:bookmarkEnd w:id="84"/>
    </w:p>
    <w:p w14:paraId="6D2569F0" w14:textId="6B2BA27D" w:rsidR="00186954" w:rsidRPr="005A1600" w:rsidRDefault="00186954" w:rsidP="00215AD6">
      <w:pPr>
        <w:pStyle w:val="Nadpis2"/>
      </w:pPr>
      <w:bookmarkStart w:id="85" w:name="_Toc169187281"/>
      <w:bookmarkStart w:id="86" w:name="_Toc197336361"/>
      <w:r w:rsidRPr="005A1600">
        <w:t>Posílení koordinační platformy sdílené podpory podnikání</w:t>
      </w:r>
      <w:bookmarkEnd w:id="85"/>
      <w:bookmarkEnd w:id="86"/>
      <w:r w:rsidR="004D6A2E" w:rsidRPr="005A1600">
        <w:t xml:space="preserve"> </w:t>
      </w:r>
    </w:p>
    <w:p w14:paraId="6858CE10" w14:textId="45FB765D" w:rsidR="00A17524" w:rsidRPr="005A1600" w:rsidRDefault="00A17524" w:rsidP="00E1361A">
      <w:pPr>
        <w:pStyle w:val="Bezmezer"/>
        <w:spacing w:after="60"/>
        <w:jc w:val="both"/>
        <w:rPr>
          <w:rFonts w:asciiTheme="majorHAnsi" w:hAnsiTheme="majorHAnsi" w:cstheme="majorHAnsi"/>
          <w:b/>
          <w:bCs/>
          <w:i/>
          <w:iCs/>
        </w:rPr>
      </w:pPr>
      <w:r w:rsidRPr="005A1600">
        <w:t xml:space="preserve">V průběhu roku 2024 </w:t>
      </w:r>
      <w:r w:rsidR="00DC490A" w:rsidRPr="005A1600">
        <w:t>pokračovala příprava</w:t>
      </w:r>
      <w:r w:rsidRPr="005A1600">
        <w:t xml:space="preserve"> obnov</w:t>
      </w:r>
      <w:r w:rsidR="00DC490A" w:rsidRPr="005A1600">
        <w:t>ení</w:t>
      </w:r>
      <w:r w:rsidRPr="005A1600">
        <w:t xml:space="preserve"> platformy sdílené podpory podnikání – tzv. Tým Česko – která má sloužit jako základní rámec pro propojení klíčových institucí v</w:t>
      </w:r>
      <w:r w:rsidR="00F47C4E">
        <w:t> </w:t>
      </w:r>
      <w:r w:rsidRPr="005A1600">
        <w:t>rámci proexportního ekosystému. Cílem je vytvoření provázaného systému státní podpory, kde budou jednotliví aktéři spolupracovat na podpoře podnikání v</w:t>
      </w:r>
      <w:r w:rsidR="00F47C4E">
        <w:t> </w:t>
      </w:r>
      <w:r w:rsidRPr="005A1600">
        <w:t>celé jeho šíři – od inovací a</w:t>
      </w:r>
      <w:r w:rsidR="00F47C4E">
        <w:t> </w:t>
      </w:r>
      <w:r w:rsidRPr="005A1600">
        <w:t>rozvoje nápadů, přes financování a</w:t>
      </w:r>
      <w:r w:rsidR="00F47C4E">
        <w:t> </w:t>
      </w:r>
      <w:r w:rsidRPr="005A1600">
        <w:t>expanzi firem až po jejich vstup na zahraniční trhy</w:t>
      </w:r>
      <w:r w:rsidR="00A012C6">
        <w:t>, včetně podpory v</w:t>
      </w:r>
      <w:r w:rsidR="00F47C4E">
        <w:t> </w:t>
      </w:r>
      <w:r w:rsidR="00A012C6">
        <w:t>regionech</w:t>
      </w:r>
      <w:r w:rsidRPr="005A1600">
        <w:t>. Mezi další kroky patří jmenování koordinačních manažerů, vývoj digitálního katalogu dostupných služeb a</w:t>
      </w:r>
      <w:r w:rsidR="00F47C4E">
        <w:t> </w:t>
      </w:r>
      <w:r w:rsidRPr="005A1600">
        <w:t>zahájení implementace vhodného CRM systému, který umožní sdílení informací o</w:t>
      </w:r>
      <w:r w:rsidR="00F47C4E">
        <w:t> </w:t>
      </w:r>
      <w:r w:rsidRPr="005A1600">
        <w:t>firmách a</w:t>
      </w:r>
      <w:r w:rsidR="00F47C4E">
        <w:t> </w:t>
      </w:r>
      <w:r w:rsidRPr="005A1600">
        <w:t>efektivnější koordinaci podpory, včetně přípravy nabídek šitých na míru jednotlivým klientům.</w:t>
      </w:r>
      <w:r w:rsidR="00371785">
        <w:t xml:space="preserve"> </w:t>
      </w:r>
      <w:r w:rsidR="00BF7386">
        <w:t xml:space="preserve">Realizace těchto kroků je však </w:t>
      </w:r>
      <w:r w:rsidR="00012F24">
        <w:t xml:space="preserve">odvislá od </w:t>
      </w:r>
      <w:r w:rsidR="00BF7386">
        <w:t>zajištění odpovídajícího a</w:t>
      </w:r>
      <w:r w:rsidR="00F47C4E">
        <w:t> </w:t>
      </w:r>
      <w:r w:rsidR="00BF7386">
        <w:t>dlouhodobého financování</w:t>
      </w:r>
      <w:r w:rsidR="00A012C6">
        <w:t>, které není prozatím k</w:t>
      </w:r>
      <w:r w:rsidR="00F47C4E">
        <w:t> </w:t>
      </w:r>
      <w:r w:rsidR="00A012C6">
        <w:t>dispozici</w:t>
      </w:r>
      <w:r w:rsidR="00BF7386">
        <w:t>.</w:t>
      </w:r>
    </w:p>
    <w:p w14:paraId="01ADAE1B" w14:textId="4EDB5B53" w:rsidR="00186954" w:rsidRPr="005A1600" w:rsidRDefault="00186954" w:rsidP="00215AD6">
      <w:pPr>
        <w:pStyle w:val="Nadpis2"/>
      </w:pPr>
      <w:bookmarkStart w:id="87" w:name="_Toc169187282"/>
      <w:bookmarkStart w:id="88" w:name="_Toc197336362"/>
      <w:r w:rsidRPr="005A1600">
        <w:t>Rozvoj Jednotné zahraniční sítě</w:t>
      </w:r>
      <w:bookmarkEnd w:id="87"/>
      <w:bookmarkEnd w:id="88"/>
      <w:r w:rsidR="004D6A2E" w:rsidRPr="005A1600">
        <w:t xml:space="preserve"> </w:t>
      </w:r>
    </w:p>
    <w:p w14:paraId="0BE07B9E" w14:textId="267B9B79" w:rsidR="000F09AE" w:rsidRDefault="000F09AE" w:rsidP="00215AD6">
      <w:pPr>
        <w:pStyle w:val="Bezmezer"/>
        <w:spacing w:after="60"/>
        <w:jc w:val="both"/>
      </w:pPr>
      <w:bookmarkStart w:id="89" w:name="_Hlk198546046"/>
      <w:r>
        <w:t xml:space="preserve">Rozvoj Jednotné zahraniční sítě, tvořené zastupitelskými úřady ČR, zahraničními kancelářemi (ZK) CzechTrade, zahraničními </w:t>
      </w:r>
      <w:r w:rsidR="00647B6F">
        <w:t>zastoupeními CzechInvest</w:t>
      </w:r>
      <w:r>
        <w:t xml:space="preserve"> a</w:t>
      </w:r>
      <w:r w:rsidR="00F47C4E">
        <w:t> </w:t>
      </w:r>
      <w:r w:rsidR="002E1C97">
        <w:t>zemědělský</w:t>
      </w:r>
      <w:r w:rsidR="00163BDB">
        <w:t>mi</w:t>
      </w:r>
      <w:r w:rsidR="002E1C97">
        <w:t xml:space="preserve"> a</w:t>
      </w:r>
      <w:r w:rsidR="00F47C4E">
        <w:t> </w:t>
      </w:r>
      <w:r w:rsidR="002E1C97">
        <w:t>dalšími ekonomicky specializovanými diplomaty</w:t>
      </w:r>
      <w:r>
        <w:t>, pokračoval i</w:t>
      </w:r>
      <w:r w:rsidR="00F47C4E">
        <w:t> </w:t>
      </w:r>
      <w:r>
        <w:t>v roce 2024, a</w:t>
      </w:r>
      <w:r w:rsidR="00F47C4E">
        <w:t> </w:t>
      </w:r>
      <w:r>
        <w:t>to s</w:t>
      </w:r>
      <w:r w:rsidR="00F47C4E">
        <w:t> </w:t>
      </w:r>
      <w:r>
        <w:t>důrazem na posilování přítomnosti v</w:t>
      </w:r>
      <w:r w:rsidR="00F47C4E">
        <w:t> </w:t>
      </w:r>
      <w:r>
        <w:t>perspektivních mimoevropských teritoriích. V</w:t>
      </w:r>
      <w:r w:rsidR="00F47C4E">
        <w:t> </w:t>
      </w:r>
      <w:r>
        <w:t>tomto kontextu došlo k</w:t>
      </w:r>
      <w:r w:rsidR="00F47C4E">
        <w:t> </w:t>
      </w:r>
      <w:r>
        <w:t>otevření nových ZK CzechTrade v</w:t>
      </w:r>
      <w:r w:rsidR="00F47C4E">
        <w:t> </w:t>
      </w:r>
      <w:r>
        <w:t>Rijádu (Saúdská Arábie), Ósace (Japonsko), Taškentu (Uzbekistán) a</w:t>
      </w:r>
      <w:r w:rsidR="00F47C4E">
        <w:t> </w:t>
      </w:r>
      <w:r>
        <w:t>Soulu (Jižní Korea)</w:t>
      </w:r>
      <w:r w:rsidR="008A291A" w:rsidRPr="005A1600">
        <w:t>. Pro rok 2025 se předpokládá otevření nových ZK CzechTrade v</w:t>
      </w:r>
      <w:r w:rsidR="00F47C4E">
        <w:t> </w:t>
      </w:r>
      <w:r w:rsidR="008A291A" w:rsidRPr="005A1600">
        <w:t>San Franciscu (USA)</w:t>
      </w:r>
      <w:r w:rsidR="00A012C6">
        <w:t xml:space="preserve"> a</w:t>
      </w:r>
      <w:r w:rsidR="00F47C4E">
        <w:t> </w:t>
      </w:r>
      <w:r w:rsidR="00A012C6">
        <w:t>dle rozpočtové situace ve Střední Americe (</w:t>
      </w:r>
      <w:r w:rsidR="008A291A" w:rsidRPr="005A1600">
        <w:t>Kostarika).</w:t>
      </w:r>
      <w:r w:rsidR="00F2622E">
        <w:t xml:space="preserve"> </w:t>
      </w:r>
      <w:r w:rsidR="008A291A" w:rsidRPr="005A1600">
        <w:t xml:space="preserve"> </w:t>
      </w:r>
    </w:p>
    <w:p w14:paraId="34873D48" w14:textId="178DD21E" w:rsidR="000F09AE" w:rsidRDefault="003103E7" w:rsidP="003103E7">
      <w:pPr>
        <w:pStyle w:val="Bezmezer"/>
        <w:spacing w:after="60"/>
        <w:jc w:val="both"/>
      </w:pPr>
      <w:r w:rsidRPr="0004135B">
        <w:t>Přes omezování rozpočtových prostředků pokračovalo úsilí o</w:t>
      </w:r>
      <w:r w:rsidR="00F47C4E">
        <w:t> </w:t>
      </w:r>
      <w:r w:rsidRPr="0004135B">
        <w:t>kapacitní pokrytí agend ekonomických diplomatů s</w:t>
      </w:r>
      <w:r w:rsidR="00F47C4E">
        <w:t> </w:t>
      </w:r>
      <w:r w:rsidRPr="0004135B">
        <w:t>důrazem na zastoupení v</w:t>
      </w:r>
      <w:r w:rsidR="00F47C4E">
        <w:t> </w:t>
      </w:r>
      <w:r w:rsidRPr="0004135B">
        <w:t>mimounijních teritoriích.</w:t>
      </w:r>
      <w:r w:rsidRPr="0004135B">
        <w:rPr>
          <w:i/>
          <w:iCs/>
        </w:rPr>
        <w:t xml:space="preserve"> </w:t>
      </w:r>
      <w:r w:rsidR="008A291A" w:rsidRPr="005A1600">
        <w:t xml:space="preserve"> V</w:t>
      </w:r>
      <w:r w:rsidR="00F47C4E">
        <w:t> </w:t>
      </w:r>
      <w:r w:rsidR="008A291A" w:rsidRPr="005A1600">
        <w:t>oblasti zemědělské diplomacie došlo v</w:t>
      </w:r>
      <w:r w:rsidR="00F47C4E">
        <w:t> </w:t>
      </w:r>
      <w:r w:rsidR="008A291A" w:rsidRPr="005A1600">
        <w:t>roce 2024 k</w:t>
      </w:r>
      <w:r w:rsidR="00F47C4E">
        <w:t> </w:t>
      </w:r>
      <w:r w:rsidR="008A291A" w:rsidRPr="005A1600">
        <w:t>posílení sítě o</w:t>
      </w:r>
      <w:r w:rsidR="00F47C4E">
        <w:t> </w:t>
      </w:r>
      <w:r w:rsidR="008A291A" w:rsidRPr="005A1600">
        <w:t>zemědělského diplomata na Ukrajině a</w:t>
      </w:r>
      <w:r w:rsidR="00F47C4E">
        <w:t> </w:t>
      </w:r>
      <w:r w:rsidR="008A291A" w:rsidRPr="005A1600">
        <w:t>místní síly v</w:t>
      </w:r>
      <w:r w:rsidR="00F47C4E">
        <w:t> </w:t>
      </w:r>
      <w:r w:rsidR="008A291A" w:rsidRPr="005A1600">
        <w:t>Mexiku a</w:t>
      </w:r>
      <w:r w:rsidR="00F47C4E">
        <w:t> </w:t>
      </w:r>
      <w:r w:rsidR="008A291A" w:rsidRPr="005A1600">
        <w:t>Brazílii. Ministerstvo zemědělství tak aktuálně disponuje sedmi zemědělskými diplomaty (USA, Kanada, SAE, Japonsko, Čína, Srbsko, Ukrajina) a</w:t>
      </w:r>
      <w:r w:rsidR="00F47C4E">
        <w:t> </w:t>
      </w:r>
      <w:r w:rsidR="008A291A" w:rsidRPr="005A1600">
        <w:t>pěti místními silami (Kazachstán, Vietnam, Velká Británie, Mexiko a</w:t>
      </w:r>
      <w:r w:rsidR="00F47C4E">
        <w:t> </w:t>
      </w:r>
      <w:r w:rsidR="008A291A" w:rsidRPr="005A1600">
        <w:t xml:space="preserve">Brazílie). </w:t>
      </w:r>
    </w:p>
    <w:p w14:paraId="63AFAC28" w14:textId="60895E3E" w:rsidR="008A291A" w:rsidRPr="005A1600" w:rsidRDefault="008A291A" w:rsidP="00215AD6">
      <w:pPr>
        <w:pStyle w:val="Bezmezer"/>
        <w:spacing w:after="60"/>
        <w:jc w:val="both"/>
      </w:pPr>
      <w:r w:rsidRPr="005A1600">
        <w:lastRenderedPageBreak/>
        <w:t xml:space="preserve">Činnost Jednotné zahraniční sítě </w:t>
      </w:r>
      <w:r w:rsidR="00163BDB">
        <w:t>je</w:t>
      </w:r>
      <w:r w:rsidR="000F09AE">
        <w:t xml:space="preserve"> předmětem </w:t>
      </w:r>
      <w:r w:rsidRPr="005A1600">
        <w:t>periodické</w:t>
      </w:r>
      <w:r w:rsidR="000F09AE">
        <w:t>ho</w:t>
      </w:r>
      <w:r w:rsidRPr="005A1600">
        <w:t xml:space="preserve"> vyhodnocování</w:t>
      </w:r>
      <w:r w:rsidR="00DC490A" w:rsidRPr="005A1600">
        <w:t xml:space="preserve"> a</w:t>
      </w:r>
      <w:r w:rsidR="00F47C4E">
        <w:t> </w:t>
      </w:r>
      <w:r w:rsidR="00DC490A" w:rsidRPr="005A1600">
        <w:t>optimalizac</w:t>
      </w:r>
      <w:r w:rsidR="000F09AE">
        <w:t>e</w:t>
      </w:r>
      <w:r w:rsidRPr="005A1600">
        <w:t xml:space="preserve"> s</w:t>
      </w:r>
      <w:r w:rsidR="00F47C4E">
        <w:t> </w:t>
      </w:r>
      <w:r w:rsidRPr="005A1600">
        <w:t>ohledem na exportní příležitosti a</w:t>
      </w:r>
      <w:r w:rsidR="00F47C4E">
        <w:t> </w:t>
      </w:r>
      <w:r w:rsidRPr="005A1600">
        <w:t>poptávku po kapacitách.</w:t>
      </w:r>
      <w:r w:rsidR="00B2421E">
        <w:t xml:space="preserve"> </w:t>
      </w:r>
      <w:bookmarkStart w:id="90" w:name="_Hlk200715338"/>
      <w:r w:rsidR="00B2421E">
        <w:rPr>
          <w:sz w:val="23"/>
          <w:szCs w:val="23"/>
        </w:rPr>
        <w:t>V</w:t>
      </w:r>
      <w:r w:rsidR="00F47C4E">
        <w:rPr>
          <w:sz w:val="23"/>
          <w:szCs w:val="23"/>
        </w:rPr>
        <w:t> </w:t>
      </w:r>
      <w:r w:rsidR="00B2421E">
        <w:rPr>
          <w:sz w:val="23"/>
          <w:szCs w:val="23"/>
        </w:rPr>
        <w:t>roce 2025 je na základě tohoto hodnocení plánováno ukončení působení zahraniční kanceláře v</w:t>
      </w:r>
      <w:r w:rsidR="00F47C4E">
        <w:rPr>
          <w:sz w:val="23"/>
          <w:szCs w:val="23"/>
        </w:rPr>
        <w:t> </w:t>
      </w:r>
      <w:r w:rsidR="00B2421E">
        <w:rPr>
          <w:sz w:val="23"/>
          <w:szCs w:val="23"/>
        </w:rPr>
        <w:t>Lagosu/Nigérie s</w:t>
      </w:r>
      <w:r w:rsidR="00F47C4E">
        <w:rPr>
          <w:sz w:val="23"/>
          <w:szCs w:val="23"/>
        </w:rPr>
        <w:t> </w:t>
      </w:r>
      <w:r w:rsidR="00B2421E">
        <w:rPr>
          <w:sz w:val="23"/>
          <w:szCs w:val="23"/>
        </w:rPr>
        <w:t>tím, že kapacita bude využita pro posílení působení v</w:t>
      </w:r>
      <w:r w:rsidR="00F47C4E">
        <w:rPr>
          <w:sz w:val="23"/>
          <w:szCs w:val="23"/>
        </w:rPr>
        <w:t> </w:t>
      </w:r>
      <w:r w:rsidR="00B2421E">
        <w:rPr>
          <w:sz w:val="23"/>
          <w:szCs w:val="23"/>
        </w:rPr>
        <w:t xml:space="preserve">Jihoafrické republice. </w:t>
      </w:r>
    </w:p>
    <w:p w14:paraId="23C7ECB8" w14:textId="5DF63C4B" w:rsidR="00186954" w:rsidRPr="005A1600" w:rsidRDefault="00186954" w:rsidP="00215AD6">
      <w:pPr>
        <w:pStyle w:val="Nadpis2"/>
      </w:pPr>
      <w:bookmarkStart w:id="91" w:name="_Toc169187283"/>
      <w:bookmarkStart w:id="92" w:name="_Toc197336363"/>
      <w:bookmarkStart w:id="93" w:name="_Hlk168390370"/>
      <w:bookmarkEnd w:id="89"/>
      <w:bookmarkEnd w:id="90"/>
      <w:r w:rsidRPr="005A1600">
        <w:t>Zatraktivňovat podmínky pro příchod kvalifikovaných zahr</w:t>
      </w:r>
      <w:r w:rsidR="00442900" w:rsidRPr="005A1600">
        <w:t>aničních</w:t>
      </w:r>
      <w:r w:rsidRPr="005A1600">
        <w:t xml:space="preserve"> pracovníků</w:t>
      </w:r>
      <w:bookmarkEnd w:id="91"/>
      <w:bookmarkEnd w:id="92"/>
    </w:p>
    <w:p w14:paraId="3AD930A0" w14:textId="4912F5D5" w:rsidR="005D0599" w:rsidRPr="005A1600" w:rsidRDefault="005E5FAF" w:rsidP="00215AD6">
      <w:pPr>
        <w:pStyle w:val="Bezmezer"/>
        <w:spacing w:after="60"/>
        <w:jc w:val="both"/>
      </w:pPr>
      <w:bookmarkStart w:id="94" w:name="_Hlk198544859"/>
      <w:r w:rsidRPr="005A1600">
        <w:t xml:space="preserve">V roce 2024 byly realizovány následující </w:t>
      </w:r>
      <w:r w:rsidR="005D0599">
        <w:t xml:space="preserve">aktivity </w:t>
      </w:r>
      <w:r w:rsidR="004527C5" w:rsidRPr="005A1600">
        <w:t>s</w:t>
      </w:r>
      <w:r w:rsidR="00F47C4E">
        <w:t> </w:t>
      </w:r>
      <w:r w:rsidR="004527C5" w:rsidRPr="005A1600">
        <w:t xml:space="preserve">přihlédnutím ke </w:t>
      </w:r>
      <w:r w:rsidR="001F0D78" w:rsidRPr="005A1600">
        <w:t>stavu</w:t>
      </w:r>
      <w:r w:rsidR="004527C5" w:rsidRPr="005A1600">
        <w:t xml:space="preserve"> trhu práce </w:t>
      </w:r>
      <w:r w:rsidR="001F0D78" w:rsidRPr="005A1600">
        <w:t>v</w:t>
      </w:r>
      <w:r w:rsidR="00F47C4E">
        <w:t> </w:t>
      </w:r>
      <w:r w:rsidR="001F0D78" w:rsidRPr="005A1600">
        <w:t xml:space="preserve">ČR, </w:t>
      </w:r>
      <w:r w:rsidR="009E2CD7" w:rsidRPr="005A1600">
        <w:t>potřebám</w:t>
      </w:r>
      <w:r w:rsidR="001F0D78" w:rsidRPr="005A1600">
        <w:t xml:space="preserve"> soukromého sektoru, kapacit</w:t>
      </w:r>
      <w:r w:rsidR="009E2CD7" w:rsidRPr="005A1600">
        <w:t>ě</w:t>
      </w:r>
      <w:r w:rsidR="001F0D78" w:rsidRPr="005A1600">
        <w:t xml:space="preserve"> sytému a</w:t>
      </w:r>
      <w:r w:rsidR="00F47C4E">
        <w:t> </w:t>
      </w:r>
      <w:r w:rsidR="001F0D78" w:rsidRPr="005A1600">
        <w:t>migrační politi</w:t>
      </w:r>
      <w:r w:rsidR="009E2CD7" w:rsidRPr="005A1600">
        <w:t>ce</w:t>
      </w:r>
      <w:r w:rsidR="00102034" w:rsidRPr="005A1600">
        <w:t>.</w:t>
      </w:r>
      <w:r w:rsidRPr="005A1600">
        <w:t xml:space="preserve"> </w:t>
      </w:r>
    </w:p>
    <w:p w14:paraId="37DF5D05" w14:textId="50E8654A" w:rsidR="004527C5" w:rsidRDefault="004527C5" w:rsidP="00E1361A">
      <w:pPr>
        <w:pStyle w:val="Bezmezer"/>
        <w:numPr>
          <w:ilvl w:val="0"/>
          <w:numId w:val="51"/>
        </w:numPr>
        <w:spacing w:after="60"/>
        <w:jc w:val="both"/>
      </w:pPr>
      <w:r w:rsidRPr="005A1600">
        <w:t>Spuštění služby CzechTrade „Podpora ekonomické migraci“ zaměřené na zprostředkování kontaktu s</w:t>
      </w:r>
      <w:r w:rsidR="00F47C4E">
        <w:t> </w:t>
      </w:r>
      <w:r w:rsidRPr="005A1600">
        <w:t>ověřenými partnery ve zdrojových zemích, kteří pro české firmy zajistí kompletní nábor kvalifikovaných pracovníků (tj. identifikace, oslovení, evaluace a</w:t>
      </w:r>
      <w:r w:rsidR="00F47C4E">
        <w:t> </w:t>
      </w:r>
      <w:r w:rsidRPr="005A1600">
        <w:t>výběr kandidátů včetně případného testování) v</w:t>
      </w:r>
      <w:r w:rsidR="00F47C4E">
        <w:t> </w:t>
      </w:r>
      <w:r w:rsidRPr="005A1600">
        <w:t>rámci Programu kvalifikovaný zaměstnanec.</w:t>
      </w:r>
    </w:p>
    <w:p w14:paraId="637CFFFC" w14:textId="115EC19C" w:rsidR="005D0599" w:rsidRPr="005A1600" w:rsidRDefault="005D0599" w:rsidP="00E1361A">
      <w:pPr>
        <w:pStyle w:val="Bezmezer"/>
        <w:numPr>
          <w:ilvl w:val="0"/>
          <w:numId w:val="51"/>
        </w:numPr>
        <w:spacing w:after="60"/>
        <w:jc w:val="both"/>
      </w:pPr>
      <w:r>
        <w:t>Nově spuštěný vládní program se zaměřil na pracovníky z</w:t>
      </w:r>
      <w:r w:rsidR="00F47C4E">
        <w:t> </w:t>
      </w:r>
      <w:r>
        <w:t>Indonésie, zejména studenty a</w:t>
      </w:r>
      <w:r w:rsidR="00F47C4E">
        <w:t> </w:t>
      </w:r>
      <w:r>
        <w:t>absolventy polytechnických škol, s</w:t>
      </w:r>
      <w:r w:rsidR="00F47C4E">
        <w:t> </w:t>
      </w:r>
      <w:r>
        <w:t>kapacitou 1 000 žádostí ročně.</w:t>
      </w:r>
    </w:p>
    <w:p w14:paraId="005C2779" w14:textId="7408E59D" w:rsidR="005D0599" w:rsidRDefault="005D0599" w:rsidP="00E1361A">
      <w:pPr>
        <w:pStyle w:val="Bezmezer"/>
        <w:numPr>
          <w:ilvl w:val="0"/>
          <w:numId w:val="51"/>
        </w:numPr>
        <w:spacing w:after="60"/>
        <w:jc w:val="both"/>
      </w:pPr>
      <w:r>
        <w:t xml:space="preserve">Proběhly úpravy stávajících programů ekonomické migrace: rozšíření cílové skupiny </w:t>
      </w:r>
      <w:r w:rsidR="00E1361A">
        <w:t>ukrajinských občanů</w:t>
      </w:r>
      <w:r>
        <w:t>, zavedení zpětné kontroly zaměstnavatelů, zpřesnění podmínek jejich spolehlivosti a</w:t>
      </w:r>
      <w:r w:rsidR="00F47C4E">
        <w:t> </w:t>
      </w:r>
      <w:r>
        <w:t>úprava mzdového kritéria (nově 1,22násobek minimální mzdy). Program digitální nomád byl rozšířen o</w:t>
      </w:r>
      <w:r w:rsidR="00F47C4E">
        <w:t> </w:t>
      </w:r>
      <w:r>
        <w:t>nové profese, instituce a</w:t>
      </w:r>
      <w:r w:rsidR="00F47C4E">
        <w:t> </w:t>
      </w:r>
      <w:r>
        <w:t xml:space="preserve">země (např. </w:t>
      </w:r>
      <w:r w:rsidR="00E1361A">
        <w:t xml:space="preserve">Brazílie, Singapur, </w:t>
      </w:r>
      <w:r>
        <w:t>Izrael). Zrušení testu trhu práce a</w:t>
      </w:r>
      <w:r w:rsidR="00F47C4E">
        <w:t> </w:t>
      </w:r>
      <w:r>
        <w:t>sjednocení právní úpravy zaměstnaneckých a</w:t>
      </w:r>
      <w:r w:rsidR="00F47C4E">
        <w:t> </w:t>
      </w:r>
      <w:r>
        <w:t xml:space="preserve">modrých karet zrychlilo příchod pracovníků ze třetích zemí. Zaveden byl také volný vstup na trh práce pro občany vybraných států </w:t>
      </w:r>
      <w:r w:rsidR="00F37082">
        <w:t>(např. Austrálie, Japonsko, Kanada, USA)</w:t>
      </w:r>
      <w:r>
        <w:t>, čímž se snížila administrativní zátěž a</w:t>
      </w:r>
      <w:r w:rsidR="00F47C4E">
        <w:t> </w:t>
      </w:r>
      <w:r>
        <w:t>zvýšila atraktivita ČR pro kvalifikované talenty.</w:t>
      </w:r>
    </w:p>
    <w:p w14:paraId="344822F2" w14:textId="5A79959B" w:rsidR="00825480" w:rsidRPr="005A1600" w:rsidRDefault="00186954" w:rsidP="00215AD6">
      <w:pPr>
        <w:pStyle w:val="Nadpis2"/>
      </w:pPr>
      <w:bookmarkStart w:id="95" w:name="_Toc169187284"/>
      <w:bookmarkStart w:id="96" w:name="_Toc197336364"/>
      <w:bookmarkEnd w:id="93"/>
      <w:bookmarkEnd w:id="94"/>
      <w:r w:rsidRPr="005A1600">
        <w:t>Informování o</w:t>
      </w:r>
      <w:r w:rsidR="00F47C4E">
        <w:t> </w:t>
      </w:r>
      <w:r w:rsidRPr="005A1600">
        <w:t>praktických nástrojích EU pro vnitřní trh a</w:t>
      </w:r>
      <w:r w:rsidR="00F47C4E">
        <w:t> </w:t>
      </w:r>
      <w:r w:rsidRPr="005A1600">
        <w:t>obchodní politiku</w:t>
      </w:r>
      <w:bookmarkEnd w:id="95"/>
      <w:bookmarkEnd w:id="96"/>
    </w:p>
    <w:p w14:paraId="50D63423" w14:textId="7E674979" w:rsidR="00216E99" w:rsidRDefault="00216E99" w:rsidP="00180119">
      <w:pPr>
        <w:spacing w:after="60" w:line="240" w:lineRule="auto"/>
        <w:jc w:val="both"/>
      </w:pPr>
      <w:r>
        <w:t>Srozumitelné informování českých exportérů o</w:t>
      </w:r>
      <w:r w:rsidR="00F47C4E">
        <w:t> </w:t>
      </w:r>
      <w:r>
        <w:t>nástrojích EU, které usnadňují jejich působení na vnitřním trhu a</w:t>
      </w:r>
      <w:r w:rsidR="00F47C4E">
        <w:t> </w:t>
      </w:r>
      <w:r>
        <w:t>přístup na trhy třetích zemí, přispívá k</w:t>
      </w:r>
      <w:r w:rsidR="00F47C4E">
        <w:t> </w:t>
      </w:r>
      <w:r>
        <w:t>orientaci firem v</w:t>
      </w:r>
      <w:r w:rsidR="00F47C4E">
        <w:t> </w:t>
      </w:r>
      <w:r>
        <w:t>regulatorním prostředí a</w:t>
      </w:r>
      <w:r w:rsidR="00F47C4E">
        <w:t> </w:t>
      </w:r>
      <w:r>
        <w:t>využívání výhod členství v</w:t>
      </w:r>
      <w:r w:rsidR="00F47C4E">
        <w:t> </w:t>
      </w:r>
      <w:r>
        <w:t>EU. Zároveň může podpořit zájem podniků o</w:t>
      </w:r>
      <w:r w:rsidR="00F47C4E">
        <w:t> </w:t>
      </w:r>
      <w:r>
        <w:t>nové exportní trhy.</w:t>
      </w:r>
      <w:r>
        <w:br/>
        <w:t>V roce 2024 MPO pokračovalo v</w:t>
      </w:r>
      <w:r w:rsidR="00F47C4E">
        <w:t> </w:t>
      </w:r>
      <w:r>
        <w:t>informování podnikatelské veřejnosti o</w:t>
      </w:r>
      <w:r w:rsidR="00F47C4E">
        <w:t> </w:t>
      </w:r>
      <w:r>
        <w:t>dostupných nástrojích EU a</w:t>
      </w:r>
      <w:r w:rsidR="00F47C4E">
        <w:t> </w:t>
      </w:r>
      <w:r w:rsidR="006F15CD">
        <w:t xml:space="preserve">poskytování </w:t>
      </w:r>
      <w:r>
        <w:t>služ</w:t>
      </w:r>
      <w:r w:rsidR="006F15CD">
        <w:t>eb</w:t>
      </w:r>
      <w:r>
        <w:t xml:space="preserve"> SOLVIT, Kontaktní míst</w:t>
      </w:r>
      <w:r w:rsidR="006F15CD">
        <w:t>o</w:t>
      </w:r>
      <w:r>
        <w:t xml:space="preserve"> pro výrobky a</w:t>
      </w:r>
      <w:r w:rsidR="00F47C4E">
        <w:t> </w:t>
      </w:r>
      <w:r>
        <w:t>Jednotné kontaktní míst</w:t>
      </w:r>
      <w:r w:rsidR="006F15CD">
        <w:t>o</w:t>
      </w:r>
      <w:r>
        <w:t>. Tyto nástroje byly představeny i</w:t>
      </w:r>
      <w:r w:rsidR="00F47C4E">
        <w:t> </w:t>
      </w:r>
      <w:r>
        <w:t>v doprovodném programu Mezinárodního strojírenského veletrhu v</w:t>
      </w:r>
      <w:r w:rsidR="00F47C4E">
        <w:t> </w:t>
      </w:r>
      <w:r>
        <w:t>Brně, včetně semináře k</w:t>
      </w:r>
      <w:r w:rsidR="00F47C4E">
        <w:t> </w:t>
      </w:r>
      <w:r>
        <w:t>novému nařízení o</w:t>
      </w:r>
      <w:r w:rsidR="00F47C4E">
        <w:t> </w:t>
      </w:r>
      <w:r>
        <w:t>ekodesignu udržitelných výrobků. Informační podpora je zajištěna také prostřednictvím specializovaného webu MPO.</w:t>
      </w:r>
      <w:r w:rsidR="001A068D">
        <w:t xml:space="preserve"> </w:t>
      </w:r>
      <w:r w:rsidR="001A068D" w:rsidRPr="001A068D">
        <w:t>MPO informuje pravidelně také o</w:t>
      </w:r>
      <w:r w:rsidR="00F47C4E">
        <w:t> </w:t>
      </w:r>
      <w:r w:rsidR="001A068D" w:rsidRPr="001A068D">
        <w:t>mechanismu prověřování zahraničních investic v</w:t>
      </w:r>
      <w:r w:rsidR="00F47C4E">
        <w:t> </w:t>
      </w:r>
      <w:r w:rsidR="001A068D" w:rsidRPr="001A068D">
        <w:t>ČR.</w:t>
      </w:r>
      <w:r>
        <w:br/>
        <w:t>Pro podporu přístupu na trhy třetích zemí MPO připravilo službu cíleného poradenství Market Access Advisor zaměřenou na tarifní a</w:t>
      </w:r>
      <w:r w:rsidR="00F47C4E">
        <w:t> </w:t>
      </w:r>
      <w:r>
        <w:t>netarifní překážky s</w:t>
      </w:r>
      <w:r w:rsidR="00F47C4E">
        <w:t> </w:t>
      </w:r>
      <w:r>
        <w:t>využitím databáze Access2Markets. Je určena firmám hledajícím informace o</w:t>
      </w:r>
      <w:r w:rsidR="00F47C4E">
        <w:t> </w:t>
      </w:r>
      <w:r>
        <w:t>vývozních povoleních, technických požadavcích či dovozních režimech mimo EU a</w:t>
      </w:r>
      <w:r w:rsidR="00F47C4E">
        <w:t> </w:t>
      </w:r>
      <w:r>
        <w:t>využívá znalosti z</w:t>
      </w:r>
      <w:r w:rsidR="00F47C4E">
        <w:t> </w:t>
      </w:r>
      <w:r>
        <w:t>expertní skupiny EK pro přístup na trhy.</w:t>
      </w:r>
      <w:r>
        <w:br/>
        <w:t>Zahraniční kancelář CzechTrade v</w:t>
      </w:r>
      <w:r w:rsidR="00F47C4E">
        <w:t> </w:t>
      </w:r>
      <w:r>
        <w:t>Bruselu nadále poskytovala speciální služby v</w:t>
      </w:r>
      <w:r w:rsidR="00F47C4E">
        <w:t> </w:t>
      </w:r>
      <w:r>
        <w:t>rámci iniciativy CEBRE, včetně monitoringu legislativy EU, prosazování zájmů podnikatelských reprezentací a</w:t>
      </w:r>
      <w:r w:rsidR="00F47C4E">
        <w:t> </w:t>
      </w:r>
      <w:r>
        <w:t>komunikace s</w:t>
      </w:r>
      <w:r w:rsidR="00F47C4E">
        <w:t> </w:t>
      </w:r>
      <w:r>
        <w:t>evropskými svazy.</w:t>
      </w:r>
    </w:p>
    <w:p w14:paraId="5D76EBFF" w14:textId="7BB52B58" w:rsidR="00012F24" w:rsidRPr="00963A12" w:rsidRDefault="00012F24">
      <w:pPr>
        <w:pStyle w:val="Nadpis2"/>
      </w:pPr>
      <w:r w:rsidRPr="00963A12">
        <w:t>Sběr informací o</w:t>
      </w:r>
      <w:r w:rsidR="00F47C4E">
        <w:t> </w:t>
      </w:r>
      <w:r w:rsidRPr="00963A12">
        <w:t>firmách v</w:t>
      </w:r>
      <w:r w:rsidR="00F47C4E">
        <w:t> </w:t>
      </w:r>
      <w:r w:rsidRPr="00963A12">
        <w:t>regionech</w:t>
      </w:r>
    </w:p>
    <w:p w14:paraId="7127C778" w14:textId="47A4DE05" w:rsidR="00963A12" w:rsidRDefault="00963A12" w:rsidP="00963A12">
      <w:pPr>
        <w:spacing w:after="60" w:line="240" w:lineRule="auto"/>
        <w:jc w:val="both"/>
      </w:pPr>
      <w:r w:rsidRPr="00963A12">
        <w:t>Efektivní předávání relevantních informací mezi aktéry a</w:t>
      </w:r>
      <w:r w:rsidR="00F47C4E">
        <w:t> </w:t>
      </w:r>
      <w:r w:rsidRPr="00963A12">
        <w:t>uživateli systému podpory exportu je předpokladem pro úspěšné rozhodování jak podnikatelských subjektů, tak proexportních institucí a</w:t>
      </w:r>
      <w:r w:rsidR="00F47C4E">
        <w:t> </w:t>
      </w:r>
      <w:r w:rsidRPr="00963A12">
        <w:t xml:space="preserve">celkově pro dosahování všech tří cílů stanovených </w:t>
      </w:r>
      <w:r>
        <w:t>E</w:t>
      </w:r>
      <w:r w:rsidRPr="00963A12">
        <w:t>xportní strategií.</w:t>
      </w:r>
    </w:p>
    <w:p w14:paraId="696EE610" w14:textId="7CA9CA33" w:rsidR="00963A12" w:rsidRDefault="00963A12" w:rsidP="00963A12">
      <w:pPr>
        <w:spacing w:after="60" w:line="240" w:lineRule="auto"/>
        <w:jc w:val="both"/>
      </w:pPr>
      <w:r w:rsidRPr="00963A12">
        <w:t>Cílem opatření je systematicky mapovat exportní potenciál českých firem v</w:t>
      </w:r>
      <w:r w:rsidR="00F47C4E">
        <w:t> </w:t>
      </w:r>
      <w:r w:rsidRPr="00963A12">
        <w:t>regionech, informovat je o</w:t>
      </w:r>
      <w:r w:rsidR="00F47C4E">
        <w:t> </w:t>
      </w:r>
      <w:r w:rsidRPr="00963A12">
        <w:t>dostupných službách státní podpory exportu a</w:t>
      </w:r>
      <w:r w:rsidR="00F47C4E">
        <w:t> </w:t>
      </w:r>
      <w:r w:rsidRPr="00963A12">
        <w:t xml:space="preserve">podpořit jejich zapojení do mezinárodního obchodu. </w:t>
      </w:r>
      <w:r>
        <w:t>V</w:t>
      </w:r>
      <w:r w:rsidR="00F47C4E">
        <w:t> </w:t>
      </w:r>
      <w:r>
        <w:t xml:space="preserve">rámci implementace tohoto opatření se </w:t>
      </w:r>
      <w:r w:rsidR="005D0599">
        <w:t>počítá s</w:t>
      </w:r>
      <w:r w:rsidR="00A03B7D">
        <w:t>e</w:t>
      </w:r>
      <w:r>
        <w:t xml:space="preserve"> stávající infrastruktur</w:t>
      </w:r>
      <w:r w:rsidR="00A03B7D">
        <w:t>ou</w:t>
      </w:r>
      <w:r>
        <w:t xml:space="preserve"> agentur, zejména sítě 13 regionálních kanceláří </w:t>
      </w:r>
      <w:r w:rsidRPr="00963A12">
        <w:t>CzechInvest</w:t>
      </w:r>
      <w:r w:rsidR="005D0599">
        <w:t xml:space="preserve">, které </w:t>
      </w:r>
      <w:r w:rsidR="00A03B7D">
        <w:t>jsou pro tento účel z</w:t>
      </w:r>
      <w:r w:rsidR="00F47C4E">
        <w:t> </w:t>
      </w:r>
      <w:r w:rsidR="00A03B7D">
        <w:t>části využívány agenturou CzechTrade.</w:t>
      </w:r>
      <w:r>
        <w:t xml:space="preserve"> </w:t>
      </w:r>
      <w:r w:rsidRPr="00963A12">
        <w:t xml:space="preserve"> </w:t>
      </w:r>
    </w:p>
    <w:p w14:paraId="6C3D4FCF" w14:textId="193D3B7D" w:rsidR="00186954" w:rsidRPr="005A1600" w:rsidRDefault="00186954" w:rsidP="00215AD6">
      <w:pPr>
        <w:pStyle w:val="Nadpis2"/>
      </w:pPr>
      <w:bookmarkStart w:id="97" w:name="_Toc169187285"/>
      <w:bookmarkStart w:id="98" w:name="_Toc197336365"/>
      <w:r w:rsidRPr="005A1600">
        <w:t>Prosazování pravidel digitálního obchodu do obchodních dohod EU</w:t>
      </w:r>
      <w:bookmarkEnd w:id="97"/>
      <w:bookmarkEnd w:id="98"/>
    </w:p>
    <w:p w14:paraId="0B9BE3CF" w14:textId="74301AE1" w:rsidR="00A03B7D" w:rsidRPr="00A03B7D" w:rsidRDefault="00A03B7D" w:rsidP="00A03B7D">
      <w:pPr>
        <w:spacing w:after="60" w:line="240" w:lineRule="auto"/>
        <w:jc w:val="both"/>
      </w:pPr>
      <w:r w:rsidRPr="00A03B7D">
        <w:t xml:space="preserve">Obchodní politika EU </w:t>
      </w:r>
      <w:r>
        <w:t xml:space="preserve">se zaměřuje na </w:t>
      </w:r>
      <w:r w:rsidRPr="00A03B7D">
        <w:t>nové trendy mezinárodního obchodu, zejména v</w:t>
      </w:r>
      <w:r w:rsidR="00F47C4E">
        <w:t> </w:t>
      </w:r>
      <w:r w:rsidRPr="00A03B7D">
        <w:t xml:space="preserve">oblasti digitálního obchodu, </w:t>
      </w:r>
      <w:r>
        <w:t xml:space="preserve">kde je nutné </w:t>
      </w:r>
      <w:r w:rsidRPr="00A03B7D">
        <w:t>nastav</w:t>
      </w:r>
      <w:r>
        <w:t xml:space="preserve">it </w:t>
      </w:r>
      <w:r w:rsidRPr="00A03B7D">
        <w:t>jasná pravidla pro volný tok dat, ochranu know-how či bezcelní režim pro elektronické transakce. ČR v</w:t>
      </w:r>
      <w:r w:rsidR="00F47C4E">
        <w:t> </w:t>
      </w:r>
      <w:r w:rsidRPr="00A03B7D">
        <w:t>roce 2024 aktivně prosazovala své priority vůči Evropské komisi a</w:t>
      </w:r>
      <w:r w:rsidR="00F47C4E">
        <w:t> </w:t>
      </w:r>
      <w:r w:rsidRPr="00A03B7D">
        <w:t xml:space="preserve">podporovala </w:t>
      </w:r>
      <w:r w:rsidRPr="00A03B7D">
        <w:lastRenderedPageBreak/>
        <w:t xml:space="preserve">obchodní dohody EU </w:t>
      </w:r>
      <w:r w:rsidR="00ED10CB">
        <w:t xml:space="preserve">obsahující takto zaměřené </w:t>
      </w:r>
      <w:r w:rsidRPr="00A03B7D">
        <w:t>kapitol</w:t>
      </w:r>
      <w:r w:rsidR="00ED10CB">
        <w:t>y či</w:t>
      </w:r>
      <w:r w:rsidRPr="00A03B7D">
        <w:t xml:space="preserve"> </w:t>
      </w:r>
      <w:r w:rsidR="00ED10CB">
        <w:t xml:space="preserve">uzavírání </w:t>
      </w:r>
      <w:r w:rsidRPr="00A03B7D">
        <w:t>samostatný</w:t>
      </w:r>
      <w:r w:rsidR="00ED10CB">
        <w:t>ch</w:t>
      </w:r>
      <w:r w:rsidRPr="00A03B7D">
        <w:t xml:space="preserve"> digitální</w:t>
      </w:r>
      <w:r w:rsidR="00ED10CB">
        <w:t>ch</w:t>
      </w:r>
      <w:r w:rsidRPr="00A03B7D">
        <w:t xml:space="preserve"> dohod. Patřila mezi nejaktivnější členy skupiny like-minded států s</w:t>
      </w:r>
      <w:r w:rsidR="00F47C4E">
        <w:t> </w:t>
      </w:r>
      <w:r w:rsidRPr="00A03B7D">
        <w:t>úzkou vzájemnou koordinací.</w:t>
      </w:r>
    </w:p>
    <w:p w14:paraId="72794A30" w14:textId="7F29FEB3" w:rsidR="00A03B7D" w:rsidRDefault="00ED10CB" w:rsidP="00F46B80">
      <w:pPr>
        <w:spacing w:after="60" w:line="240" w:lineRule="auto"/>
        <w:jc w:val="both"/>
      </w:pPr>
      <w:r w:rsidRPr="00ED10CB">
        <w:t xml:space="preserve"> </w:t>
      </w:r>
      <w:r>
        <w:t>V</w:t>
      </w:r>
      <w:r w:rsidR="00F47C4E">
        <w:t> </w:t>
      </w:r>
      <w:r>
        <w:t>roce 2024 byla dojednána dohoda o</w:t>
      </w:r>
      <w:r w:rsidR="00F47C4E">
        <w:t> </w:t>
      </w:r>
      <w:r>
        <w:t>digitálním obchodu mezi EU a</w:t>
      </w:r>
      <w:r w:rsidR="00F47C4E">
        <w:t> </w:t>
      </w:r>
      <w:r>
        <w:t>Singapurem a</w:t>
      </w:r>
      <w:r w:rsidR="00F47C4E">
        <w:t> </w:t>
      </w:r>
      <w:r>
        <w:t>vícestranná dohoda o</w:t>
      </w:r>
      <w:r w:rsidR="00F47C4E">
        <w:t> </w:t>
      </w:r>
      <w:r>
        <w:t>e-commerce v</w:t>
      </w:r>
      <w:r w:rsidR="00F47C4E">
        <w:t> </w:t>
      </w:r>
      <w:r>
        <w:t>rámci WTO (čeká na finální schválení).</w:t>
      </w:r>
      <w:r w:rsidR="001A068D" w:rsidRPr="001A068D">
        <w:t xml:space="preserve"> </w:t>
      </w:r>
      <w:r w:rsidR="001A068D">
        <w:t>V</w:t>
      </w:r>
      <w:r w:rsidR="00F47C4E">
        <w:t> </w:t>
      </w:r>
      <w:r w:rsidR="001A068D">
        <w:t>březnu 2025 se podařilo dojednat i</w:t>
      </w:r>
      <w:r w:rsidR="00F47C4E">
        <w:t> </w:t>
      </w:r>
      <w:r w:rsidR="001A068D">
        <w:t>obdobnou digitální dohodu s</w:t>
      </w:r>
      <w:r w:rsidR="00F47C4E">
        <w:t> </w:t>
      </w:r>
      <w:r w:rsidR="001A068D">
        <w:t xml:space="preserve">Jižní Koreou. </w:t>
      </w:r>
      <w:r>
        <w:t>MPO pokračovalo v</w:t>
      </w:r>
      <w:r w:rsidR="00F47C4E">
        <w:t> </w:t>
      </w:r>
      <w:r>
        <w:t>komunikaci témat digitálního obchodu</w:t>
      </w:r>
      <w:r w:rsidR="008A0330">
        <w:t xml:space="preserve">, </w:t>
      </w:r>
      <w:r>
        <w:t>např. kulatý stůl k</w:t>
      </w:r>
      <w:r w:rsidR="00F47C4E">
        <w:t> </w:t>
      </w:r>
      <w:r>
        <w:t>digitálnímu obchodu</w:t>
      </w:r>
      <w:r w:rsidR="008A0330">
        <w:t xml:space="preserve"> se</w:t>
      </w:r>
      <w:r>
        <w:t xml:space="preserve"> zástupci firem a</w:t>
      </w:r>
      <w:r w:rsidR="00F47C4E">
        <w:t> </w:t>
      </w:r>
      <w:r>
        <w:t>asociací</w:t>
      </w:r>
      <w:r w:rsidR="008A0330">
        <w:t xml:space="preserve"> byl příležitostí k</w:t>
      </w:r>
      <w:r w:rsidR="00F47C4E">
        <w:t> </w:t>
      </w:r>
      <w:r>
        <w:t>disku</w:t>
      </w:r>
      <w:r w:rsidR="008A0330">
        <w:t>z</w:t>
      </w:r>
      <w:r>
        <w:t>i aktuální</w:t>
      </w:r>
      <w:r w:rsidR="008A0330">
        <w:t>ch</w:t>
      </w:r>
      <w:r>
        <w:t xml:space="preserve"> výz</w:t>
      </w:r>
      <w:r w:rsidR="008A0330">
        <w:t>e</w:t>
      </w:r>
      <w:r>
        <w:t>v a</w:t>
      </w:r>
      <w:r w:rsidR="00F47C4E">
        <w:t> </w:t>
      </w:r>
      <w:r>
        <w:t>relevantní</w:t>
      </w:r>
      <w:r w:rsidR="008A0330">
        <w:t xml:space="preserve"> regulace</w:t>
      </w:r>
      <w:r>
        <w:t>.</w:t>
      </w:r>
    </w:p>
    <w:p w14:paraId="6E93C0BF" w14:textId="3E5A8737" w:rsidR="00825480" w:rsidRPr="005A1600" w:rsidRDefault="00186954" w:rsidP="00215AD6">
      <w:pPr>
        <w:pStyle w:val="Nadpis2"/>
      </w:pPr>
      <w:bookmarkStart w:id="99" w:name="_Toc169187286"/>
      <w:bookmarkStart w:id="100" w:name="_Toc197336366"/>
      <w:bookmarkStart w:id="101" w:name="_Hlk168474773"/>
      <w:r w:rsidRPr="005A1600">
        <w:t>Dlouhodobé doménově zaměřené působení v</w:t>
      </w:r>
      <w:r w:rsidR="00F47C4E">
        <w:t> </w:t>
      </w:r>
      <w:r w:rsidRPr="005A1600">
        <w:t>teritoriích</w:t>
      </w:r>
      <w:bookmarkEnd w:id="99"/>
      <w:bookmarkEnd w:id="100"/>
    </w:p>
    <w:p w14:paraId="5C6740F0" w14:textId="7FFA4421" w:rsidR="00260562" w:rsidRPr="005A1600" w:rsidRDefault="00260562" w:rsidP="00215AD6">
      <w:pPr>
        <w:pStyle w:val="Bezmezer"/>
        <w:spacing w:after="60"/>
        <w:jc w:val="both"/>
      </w:pPr>
      <w:r w:rsidRPr="005A1600">
        <w:t>V roce 2024 pokračovalo úsilí o</w:t>
      </w:r>
      <w:r w:rsidR="00F47C4E">
        <w:t> </w:t>
      </w:r>
      <w:r w:rsidRPr="005A1600">
        <w:t>upevnění pozice českých firem na trzích mimo EU prostřednictvím vhodné kombinace nástrojů na podporu exportu, které jsou přizpůsobeny specifikům jednotlivých odvětví a</w:t>
      </w:r>
      <w:r w:rsidR="00F47C4E">
        <w:t> </w:t>
      </w:r>
      <w:r w:rsidRPr="005A1600">
        <w:t xml:space="preserve">cílových zemí. </w:t>
      </w:r>
      <w:r w:rsidR="00A012C6">
        <w:t>J</w:t>
      </w:r>
      <w:r w:rsidR="00A17524" w:rsidRPr="005A1600">
        <w:t xml:space="preserve">e </w:t>
      </w:r>
      <w:r w:rsidR="00A012C6">
        <w:t>připravován</w:t>
      </w:r>
      <w:r w:rsidRPr="005A1600">
        <w:t xml:space="preserve"> koncept tzv. toolboxů – souborů nástrojů navržených pro systematické a</w:t>
      </w:r>
      <w:r w:rsidR="00F47C4E">
        <w:t> </w:t>
      </w:r>
      <w:r w:rsidRPr="005A1600">
        <w:t>dlouhodobé působení v</w:t>
      </w:r>
      <w:r w:rsidR="00F47C4E">
        <w:t> </w:t>
      </w:r>
      <w:r w:rsidRPr="005A1600">
        <w:t>konkrétních regionech a</w:t>
      </w:r>
      <w:r w:rsidR="00F47C4E">
        <w:t> </w:t>
      </w:r>
      <w:r w:rsidRPr="005A1600">
        <w:t>sektorech. Tyto toolboxy poslouží jako základ pro tvorbu teritoriálních plánů a</w:t>
      </w:r>
      <w:r w:rsidR="00F47C4E">
        <w:t> </w:t>
      </w:r>
      <w:r w:rsidRPr="005A1600">
        <w:t>koordinaci aktivit v</w:t>
      </w:r>
      <w:r w:rsidR="00F47C4E">
        <w:t> </w:t>
      </w:r>
      <w:r w:rsidRPr="005A1600">
        <w:t xml:space="preserve">daných oblastech. </w:t>
      </w:r>
    </w:p>
    <w:p w14:paraId="2EB26F79" w14:textId="4B8A99CB" w:rsidR="00260562" w:rsidRPr="005A1600" w:rsidRDefault="00260562" w:rsidP="00853DFE">
      <w:pPr>
        <w:pStyle w:val="Bezmezer"/>
        <w:spacing w:after="60"/>
        <w:jc w:val="both"/>
        <w:rPr>
          <w:b/>
          <w:bCs/>
          <w:i/>
          <w:iCs/>
        </w:rPr>
      </w:pPr>
      <w:r w:rsidRPr="005A1600">
        <w:t xml:space="preserve">V roce 2024 </w:t>
      </w:r>
      <w:r w:rsidR="008A0330">
        <w:t>probíhala</w:t>
      </w:r>
      <w:r w:rsidR="008A0330" w:rsidRPr="005A1600">
        <w:t xml:space="preserve"> </w:t>
      </w:r>
      <w:r w:rsidRPr="005A1600">
        <w:t>identifik</w:t>
      </w:r>
      <w:r w:rsidR="008A0330">
        <w:t>ace</w:t>
      </w:r>
      <w:r w:rsidRPr="005A1600">
        <w:t xml:space="preserve"> sektor</w:t>
      </w:r>
      <w:r w:rsidR="008A0330">
        <w:t>ů</w:t>
      </w:r>
      <w:r w:rsidRPr="005A1600">
        <w:t xml:space="preserve"> v</w:t>
      </w:r>
      <w:r w:rsidR="00F47C4E">
        <w:t> </w:t>
      </w:r>
      <w:r w:rsidRPr="005A1600">
        <w:t>jednotlivých regionech a</w:t>
      </w:r>
      <w:r w:rsidR="00F47C4E">
        <w:t> </w:t>
      </w:r>
      <w:r w:rsidRPr="005A1600">
        <w:t>státech na základě exportního potenciálu, aktuálních trendů i</w:t>
      </w:r>
      <w:r w:rsidR="00F47C4E">
        <w:t> </w:t>
      </w:r>
      <w:r w:rsidRPr="005A1600">
        <w:t xml:space="preserve">dosavadní přítomnosti českých podniků. </w:t>
      </w:r>
      <w:r w:rsidR="00853DFE" w:rsidRPr="00853DFE">
        <w:t xml:space="preserve">Byla zveřejněna Mapa globálních oborových příležitostí </w:t>
      </w:r>
      <w:r w:rsidR="009F5DE0">
        <w:t xml:space="preserve">2024/25 </w:t>
      </w:r>
      <w:r w:rsidR="00853DFE" w:rsidRPr="00853DFE">
        <w:t>– každoročně aktualizovaný unikátní přehled příležitostí pro uplatnění českých firem v</w:t>
      </w:r>
      <w:r w:rsidR="00F47C4E">
        <w:t> </w:t>
      </w:r>
      <w:r w:rsidR="00853DFE" w:rsidRPr="00853DFE">
        <w:t>konkrétních oborech zahraničních trhů, sestavený podle zkušeností ekonomických diplomatů v</w:t>
      </w:r>
      <w:r w:rsidR="00F47C4E">
        <w:t> </w:t>
      </w:r>
      <w:r w:rsidR="00853DFE" w:rsidRPr="00853DFE">
        <w:t>elektronické, uživatelsky komfortní formě.</w:t>
      </w:r>
      <w:r w:rsidR="009F5DE0">
        <w:t xml:space="preserve"> </w:t>
      </w:r>
      <w:r w:rsidRPr="005A1600">
        <w:t>Následným krokem je pak příprava konkrétních plánů pro efektivní a</w:t>
      </w:r>
      <w:r w:rsidR="00F47C4E">
        <w:t> </w:t>
      </w:r>
      <w:r w:rsidRPr="005A1600">
        <w:t>navazující využívání exportních nástrojů v</w:t>
      </w:r>
      <w:r w:rsidR="00F47C4E">
        <w:t> </w:t>
      </w:r>
      <w:r w:rsidR="008A0330">
        <w:t>jednotlivých teritoriích</w:t>
      </w:r>
      <w:r w:rsidRPr="005A1600">
        <w:t>.</w:t>
      </w:r>
    </w:p>
    <w:p w14:paraId="1FB67254" w14:textId="31E02725" w:rsidR="00186954" w:rsidRPr="005A1600" w:rsidRDefault="00186954" w:rsidP="00215AD6">
      <w:pPr>
        <w:pStyle w:val="Nadpis2"/>
      </w:pPr>
      <w:bookmarkStart w:id="102" w:name="_Toc169187287"/>
      <w:bookmarkStart w:id="103" w:name="_Toc197336367"/>
      <w:bookmarkEnd w:id="101"/>
      <w:r w:rsidRPr="005A1600">
        <w:t>Podpora internacionalizace startupů a</w:t>
      </w:r>
      <w:r w:rsidR="00F47C4E">
        <w:t> </w:t>
      </w:r>
      <w:r w:rsidRPr="005A1600">
        <w:t>MSP</w:t>
      </w:r>
      <w:bookmarkEnd w:id="102"/>
      <w:bookmarkEnd w:id="103"/>
    </w:p>
    <w:p w14:paraId="33FA30E8" w14:textId="5E951AA1" w:rsidR="00F668CA" w:rsidRPr="00DC490A" w:rsidRDefault="00F668CA" w:rsidP="00F668CA">
      <w:pPr>
        <w:pStyle w:val="Bezmezer"/>
        <w:spacing w:after="60"/>
        <w:jc w:val="both"/>
      </w:pPr>
      <w:bookmarkStart w:id="104" w:name="_Hlk198544983"/>
      <w:r w:rsidRPr="005A1600">
        <w:t>Na rozvoj portfolia služeb a</w:t>
      </w:r>
      <w:r w:rsidR="00F47C4E">
        <w:t> </w:t>
      </w:r>
      <w:r w:rsidRPr="005A1600">
        <w:t>programů podpory startupů v</w:t>
      </w:r>
      <w:r w:rsidR="00F47C4E">
        <w:t> </w:t>
      </w:r>
      <w:r w:rsidRPr="005A1600">
        <w:t>roce 2023 navázaly agentury CzechInvest a</w:t>
      </w:r>
      <w:r w:rsidR="00F47C4E">
        <w:t> </w:t>
      </w:r>
      <w:r w:rsidRPr="005A1600">
        <w:t>CzechTrade v</w:t>
      </w:r>
      <w:r w:rsidR="00F47C4E">
        <w:t> </w:t>
      </w:r>
      <w:r w:rsidRPr="005A1600">
        <w:t xml:space="preserve">roce 2024 </w:t>
      </w:r>
      <w:r w:rsidR="005F2F60" w:rsidRPr="005A1600">
        <w:t xml:space="preserve">dalším </w:t>
      </w:r>
      <w:r w:rsidRPr="005A1600">
        <w:t>rozšířením nabídky nástrojů.</w:t>
      </w:r>
      <w:r w:rsidRPr="00DC490A">
        <w:t xml:space="preserve"> Cílem zůstává vytvoření komplexní podpory státu při rozvoji vysoce inovativních, zejména technologických startupů, a</w:t>
      </w:r>
      <w:r w:rsidR="00F47C4E">
        <w:t> </w:t>
      </w:r>
      <w:r w:rsidRPr="00DC490A">
        <w:t>to od fáze nápadu až po jejich úspěšné etablování na zahraničních trzích. Programy a</w:t>
      </w:r>
      <w:r w:rsidR="00F47C4E">
        <w:t> </w:t>
      </w:r>
      <w:r w:rsidRPr="00DC490A">
        <w:t>služby zároveň reflektují aktuální potřeby mladých firem a</w:t>
      </w:r>
      <w:r w:rsidR="00F47C4E">
        <w:t> </w:t>
      </w:r>
      <w:r w:rsidRPr="00DC490A">
        <w:t xml:space="preserve">inspirují se osvědčenými přístupy ze zahraničí. </w:t>
      </w:r>
    </w:p>
    <w:p w14:paraId="5EAC06D4" w14:textId="64784EFC" w:rsidR="001A068D" w:rsidRDefault="00F668CA" w:rsidP="000D6B75">
      <w:pPr>
        <w:pStyle w:val="Bezmezer"/>
        <w:spacing w:after="60"/>
        <w:jc w:val="both"/>
      </w:pPr>
      <w:r w:rsidRPr="00DC490A">
        <w:t>Zaměření podpory vychází z</w:t>
      </w:r>
      <w:r w:rsidR="00F47C4E">
        <w:t> </w:t>
      </w:r>
      <w:r w:rsidRPr="00DC490A">
        <w:t>komplementarity obou agentur v</w:t>
      </w:r>
      <w:r w:rsidR="00F47C4E">
        <w:t> </w:t>
      </w:r>
      <w:r w:rsidRPr="00DC490A">
        <w:t>rámci proexportního ekosystému. CzechInvest se dále profiluje zejména jako klíčový aktér pro fázi vývoje produktu, validace a</w:t>
      </w:r>
      <w:r w:rsidR="00F47C4E">
        <w:t> </w:t>
      </w:r>
      <w:r w:rsidRPr="00DC490A">
        <w:t>přípravy na expanzi. Pokračovala realizace programu Technologická inkubace zaměřeného na podporu startupů s</w:t>
      </w:r>
      <w:r w:rsidR="00F47C4E">
        <w:t> </w:t>
      </w:r>
      <w:r w:rsidRPr="00DC490A">
        <w:t>výjimečně inovativními, proveditelnými a</w:t>
      </w:r>
      <w:r w:rsidR="00F47C4E">
        <w:t> </w:t>
      </w:r>
      <w:r w:rsidRPr="00DC490A">
        <w:t>škálovatelnými řešeními. Portfolio specializovaných programů, jako je ESA BIC Czech Republic</w:t>
      </w:r>
      <w:r w:rsidR="00371785">
        <w:t>, bylo v</w:t>
      </w:r>
      <w:r w:rsidR="00F47C4E">
        <w:t> </w:t>
      </w:r>
      <w:r w:rsidR="00371785">
        <w:t>roce 2024 rozšířeno o</w:t>
      </w:r>
      <w:r w:rsidR="00F47C4E">
        <w:t> </w:t>
      </w:r>
      <w:r w:rsidR="005F2F60" w:rsidRPr="00DC490A">
        <w:t xml:space="preserve">akcelerátor </w:t>
      </w:r>
      <w:r w:rsidR="00CD454B">
        <w:t xml:space="preserve">NATO </w:t>
      </w:r>
      <w:r w:rsidRPr="00DC490A">
        <w:t>DIANA</w:t>
      </w:r>
      <w:r w:rsidR="00A3754A">
        <w:t xml:space="preserve"> pro startupy v</w:t>
      </w:r>
      <w:r w:rsidR="00F47C4E">
        <w:t> </w:t>
      </w:r>
      <w:r w:rsidR="00A3754A">
        <w:t>oblasti tech</w:t>
      </w:r>
      <w:r w:rsidR="001C6AC3">
        <w:t>nologií dvojího užití</w:t>
      </w:r>
      <w:r w:rsidR="00371785">
        <w:t xml:space="preserve">, </w:t>
      </w:r>
      <w:r w:rsidR="00371785" w:rsidRPr="00DC490A">
        <w:t>Digitální regula</w:t>
      </w:r>
      <w:r w:rsidR="00C105A4">
        <w:t>torní</w:t>
      </w:r>
      <w:r w:rsidR="00371785" w:rsidRPr="00DC490A">
        <w:t xml:space="preserve"> sandbox </w:t>
      </w:r>
      <w:r w:rsidR="00371785">
        <w:t xml:space="preserve">umožňující </w:t>
      </w:r>
      <w:r w:rsidR="00371785" w:rsidRPr="000517F3">
        <w:t>testovací prostředí pro inovativní finanční produkty</w:t>
      </w:r>
      <w:r w:rsidR="00371785">
        <w:t xml:space="preserve"> a</w:t>
      </w:r>
      <w:r w:rsidR="00F47C4E">
        <w:t> </w:t>
      </w:r>
      <w:r w:rsidR="00564215" w:rsidRPr="00DC490A">
        <w:t xml:space="preserve">program </w:t>
      </w:r>
      <w:r w:rsidRPr="00DC490A">
        <w:t xml:space="preserve">CERN Venture </w:t>
      </w:r>
      <w:proofErr w:type="spellStart"/>
      <w:r w:rsidRPr="0004135B">
        <w:t>Connect</w:t>
      </w:r>
      <w:proofErr w:type="spellEnd"/>
      <w:r w:rsidR="005F2F60" w:rsidRPr="00DC490A">
        <w:t>, který zapojeným startupům poskytuje přístup k</w:t>
      </w:r>
      <w:r w:rsidR="00F47C4E">
        <w:t> </w:t>
      </w:r>
      <w:r w:rsidR="005F2F60" w:rsidRPr="00DC490A">
        <w:t>technologiím</w:t>
      </w:r>
      <w:r w:rsidR="00302911" w:rsidRPr="00DC490A">
        <w:t xml:space="preserve"> a</w:t>
      </w:r>
      <w:r w:rsidR="00F47C4E">
        <w:t> </w:t>
      </w:r>
      <w:r w:rsidR="005F2F60" w:rsidRPr="00DC490A">
        <w:t>expertíze evropské laboratoře CERN.</w:t>
      </w:r>
      <w:r w:rsidRPr="00DC490A">
        <w:t xml:space="preserve"> </w:t>
      </w:r>
      <w:r w:rsidR="00574927" w:rsidRPr="00574927">
        <w:t>Novinkou bylo také spuštění programu NPO Internacionalizace začínajících podniků zaměřeného na posílení růstového potenciálu již fungujících startupů</w:t>
      </w:r>
      <w:r w:rsidR="005B453C">
        <w:t>.</w:t>
      </w:r>
      <w:r w:rsidR="00574927">
        <w:t xml:space="preserve"> </w:t>
      </w:r>
      <w:r w:rsidRPr="00DC490A">
        <w:t>Součástí podpory byly také vzdělávací aktivity</w:t>
      </w:r>
      <w:r w:rsidR="00850A2C">
        <w:t>, např. In</w:t>
      </w:r>
      <w:r w:rsidRPr="00DC490A">
        <w:t>vestiční akademie pro startupy</w:t>
      </w:r>
      <w:r w:rsidR="00850A2C">
        <w:t>,</w:t>
      </w:r>
      <w:r w:rsidRPr="00DC490A">
        <w:t xml:space="preserve"> zaměřené na </w:t>
      </w:r>
      <w:r w:rsidR="003462BC">
        <w:t>investiční proces a</w:t>
      </w:r>
      <w:r w:rsidR="00F47C4E">
        <w:t> </w:t>
      </w:r>
      <w:r w:rsidRPr="00DC490A">
        <w:t>propojení s</w:t>
      </w:r>
      <w:r w:rsidR="00F47C4E">
        <w:t> </w:t>
      </w:r>
      <w:r w:rsidRPr="00DC490A">
        <w:t>investory.</w:t>
      </w:r>
      <w:r w:rsidR="001A068D">
        <w:t xml:space="preserve"> </w:t>
      </w:r>
      <w:bookmarkStart w:id="105" w:name="_Hlk201242052"/>
      <w:r w:rsidR="00DE64F8">
        <w:t xml:space="preserve">Agentury CzechTrade a </w:t>
      </w:r>
      <w:r w:rsidR="00085AB9">
        <w:t>C</w:t>
      </w:r>
      <w:r w:rsidR="00906907" w:rsidRPr="00906907">
        <w:t>zechInvest vyslal</w:t>
      </w:r>
      <w:r w:rsidR="00DE64F8">
        <w:t>y</w:t>
      </w:r>
      <w:r w:rsidR="00973FF3">
        <w:t xml:space="preserve"> v roce 2024</w:t>
      </w:r>
      <w:r w:rsidR="00DE64F8">
        <w:t xml:space="preserve"> za podpory MPO</w:t>
      </w:r>
      <w:r w:rsidR="00906907" w:rsidRPr="00906907">
        <w:t xml:space="preserve"> desítky </w:t>
      </w:r>
      <w:r w:rsidR="00DE64F8">
        <w:t xml:space="preserve">inovativních společností </w:t>
      </w:r>
      <w:r w:rsidR="00906907" w:rsidRPr="00906907">
        <w:t xml:space="preserve">na prestižní akce, jako jsou </w:t>
      </w:r>
      <w:proofErr w:type="spellStart"/>
      <w:r w:rsidR="00DE64F8">
        <w:t>BioJapan</w:t>
      </w:r>
      <w:proofErr w:type="spellEnd"/>
      <w:r w:rsidR="00DE64F8">
        <w:t xml:space="preserve">, FIND – Design Fair </w:t>
      </w:r>
      <w:proofErr w:type="spellStart"/>
      <w:r w:rsidR="00DE64F8">
        <w:t>Asia</w:t>
      </w:r>
      <w:proofErr w:type="spellEnd"/>
      <w:r w:rsidR="00DE64F8">
        <w:t xml:space="preserve"> v Singapuru, </w:t>
      </w:r>
      <w:r w:rsidR="00F75214" w:rsidRPr="00F75214">
        <w:t>ELECTRONICA</w:t>
      </w:r>
      <w:r w:rsidR="00F75214">
        <w:t xml:space="preserve"> v Mnichově, </w:t>
      </w:r>
      <w:r w:rsidR="00906907" w:rsidRPr="00906907">
        <w:t xml:space="preserve">Web Summit Lisabon, </w:t>
      </w:r>
      <w:proofErr w:type="spellStart"/>
      <w:r w:rsidR="00906907" w:rsidRPr="00906907">
        <w:t>Slush</w:t>
      </w:r>
      <w:proofErr w:type="spellEnd"/>
      <w:r w:rsidR="00906907" w:rsidRPr="00906907">
        <w:t xml:space="preserve"> </w:t>
      </w:r>
      <w:proofErr w:type="spellStart"/>
      <w:r w:rsidR="00906907" w:rsidRPr="00906907">
        <w:t>Helsinki</w:t>
      </w:r>
      <w:proofErr w:type="spellEnd"/>
      <w:r w:rsidR="00F75214">
        <w:t>,</w:t>
      </w:r>
      <w:r w:rsidR="00906907" w:rsidRPr="00906907">
        <w:t xml:space="preserve"> Latitude 59 v</w:t>
      </w:r>
      <w:r w:rsidR="00F47C4E">
        <w:t> </w:t>
      </w:r>
      <w:r w:rsidR="00906907" w:rsidRPr="00906907">
        <w:t xml:space="preserve">Estonsku </w:t>
      </w:r>
      <w:r w:rsidR="00F75214">
        <w:t>nebo </w:t>
      </w:r>
      <w:proofErr w:type="spellStart"/>
      <w:r w:rsidR="00906907" w:rsidRPr="00906907">
        <w:t>VivaTech</w:t>
      </w:r>
      <w:proofErr w:type="spellEnd"/>
      <w:r w:rsidR="00906907" w:rsidRPr="00906907">
        <w:t xml:space="preserve"> v</w:t>
      </w:r>
      <w:r w:rsidR="00F47C4E">
        <w:t> </w:t>
      </w:r>
      <w:r w:rsidR="00906907" w:rsidRPr="00906907">
        <w:t xml:space="preserve">Paříži. </w:t>
      </w:r>
      <w:bookmarkEnd w:id="105"/>
    </w:p>
    <w:p w14:paraId="5C135BAD" w14:textId="4DA4A9BD" w:rsidR="00F668CA" w:rsidRDefault="00F668CA" w:rsidP="000D6B75">
      <w:pPr>
        <w:pStyle w:val="Bezmezer"/>
        <w:spacing w:after="60"/>
        <w:jc w:val="both"/>
      </w:pPr>
      <w:r w:rsidRPr="00DC490A">
        <w:t xml:space="preserve">Na </w:t>
      </w:r>
      <w:r w:rsidR="00647B6F" w:rsidRPr="00DC490A">
        <w:t>CzechInvest</w:t>
      </w:r>
      <w:r w:rsidR="00647B6F">
        <w:t xml:space="preserve"> </w:t>
      </w:r>
      <w:r w:rsidR="00647B6F" w:rsidRPr="00DC490A">
        <w:t>navazují</w:t>
      </w:r>
      <w:r w:rsidRPr="00DC490A">
        <w:t xml:space="preserve"> služby agentury CzechTrade, které se zaměřují především na fázi zahraniční expanze a</w:t>
      </w:r>
      <w:r w:rsidR="00F47C4E">
        <w:t> </w:t>
      </w:r>
      <w:r w:rsidRPr="00DC490A">
        <w:t>internacionalizace. Nabídka zahrnuje individuální exportní poradenství (Startup Entry), možnost prezentace startupů na mezinárodních technologických veletrzích (Startup Zone) a</w:t>
      </w:r>
      <w:r w:rsidR="00F47C4E">
        <w:t> </w:t>
      </w:r>
      <w:r w:rsidRPr="00DC490A">
        <w:t>akce pro propojení s</w:t>
      </w:r>
      <w:r w:rsidR="00F47C4E">
        <w:t> </w:t>
      </w:r>
      <w:r w:rsidRPr="00DC490A">
        <w:t>potenciálními investory a</w:t>
      </w:r>
      <w:r w:rsidR="00F47C4E">
        <w:t> </w:t>
      </w:r>
      <w:r w:rsidRPr="00DC490A">
        <w:t>partnery (Czech Startup Days). V</w:t>
      </w:r>
      <w:r w:rsidR="00F47C4E">
        <w:t> </w:t>
      </w:r>
      <w:r w:rsidRPr="00DC490A">
        <w:t>říjnu 2024 proběhl například úspěšný Czech Startup Day ve Vídni. O</w:t>
      </w:r>
      <w:r w:rsidR="00F47C4E">
        <w:t> </w:t>
      </w:r>
      <w:r w:rsidRPr="00DC490A">
        <w:t>tyto služby CzechTrade projevilo v</w:t>
      </w:r>
      <w:r w:rsidR="00F47C4E">
        <w:t> </w:t>
      </w:r>
      <w:r w:rsidRPr="00DC490A">
        <w:t>roce 2024 zájem 17 startupů.</w:t>
      </w:r>
    </w:p>
    <w:p w14:paraId="3485754E" w14:textId="319F84B6" w:rsidR="00012F24" w:rsidRPr="007F4BEC" w:rsidRDefault="00012F24" w:rsidP="00012F24">
      <w:pPr>
        <w:pStyle w:val="Nadpis2"/>
      </w:pPr>
      <w:r w:rsidRPr="007F4BEC">
        <w:t>Zřízení nástroje v</w:t>
      </w:r>
      <w:r w:rsidR="00F47C4E">
        <w:t> </w:t>
      </w:r>
      <w:r w:rsidRPr="007F4BEC">
        <w:t>podobě státní záštity obchodů pro facilitaci G2G obchodů</w:t>
      </w:r>
    </w:p>
    <w:p w14:paraId="1996F3AC" w14:textId="300DACE7" w:rsidR="00D54067" w:rsidRPr="00D54067" w:rsidRDefault="00D54067" w:rsidP="007F4BEC">
      <w:pPr>
        <w:spacing w:after="60" w:line="240" w:lineRule="auto"/>
        <w:jc w:val="both"/>
        <w:rPr>
          <w:highlight w:val="yellow"/>
        </w:rPr>
      </w:pPr>
      <w:r w:rsidRPr="00D54067">
        <w:t>V některých teritoriích a</w:t>
      </w:r>
      <w:r w:rsidR="00F47C4E">
        <w:t> </w:t>
      </w:r>
      <w:r w:rsidRPr="00D54067">
        <w:t>sektorech je pro úspěšnou realizaci obchodu výhodné nebo nezbytné zapojení státu. Opatření</w:t>
      </w:r>
      <w:r w:rsidR="007F4BEC">
        <w:t xml:space="preserve"> řeší tuto</w:t>
      </w:r>
      <w:r w:rsidRPr="00D54067">
        <w:t xml:space="preserve"> potřebu vytvoř</w:t>
      </w:r>
      <w:r w:rsidR="007F4BEC">
        <w:t xml:space="preserve">ením </w:t>
      </w:r>
      <w:r w:rsidRPr="00D54067">
        <w:t>nástroj</w:t>
      </w:r>
      <w:r w:rsidR="007F4BEC">
        <w:t>e</w:t>
      </w:r>
      <w:r w:rsidRPr="00D54067">
        <w:t>, který by umožnil státu vystupovat jako prostředník či přímý účastník G2G obchodů, zejména u</w:t>
      </w:r>
      <w:r w:rsidR="00F47C4E">
        <w:t> </w:t>
      </w:r>
      <w:r w:rsidRPr="00D54067">
        <w:t>integrovaných a</w:t>
      </w:r>
      <w:r w:rsidR="00F47C4E">
        <w:t> </w:t>
      </w:r>
      <w:r w:rsidRPr="00D54067">
        <w:t xml:space="preserve">doménových řešení. Smyslem je posílit </w:t>
      </w:r>
      <w:r w:rsidR="007F4BEC">
        <w:t>postavení</w:t>
      </w:r>
      <w:r w:rsidRPr="00D54067">
        <w:t xml:space="preserve"> českých </w:t>
      </w:r>
      <w:r w:rsidR="007F4BEC">
        <w:t xml:space="preserve">vývozců </w:t>
      </w:r>
      <w:r w:rsidRPr="00D54067">
        <w:t xml:space="preserve">při jednáních se zahraničními partnery, kde je státní angažovanost klíčovým faktorem. </w:t>
      </w:r>
      <w:r w:rsidR="007F4BEC">
        <w:t>MPO</w:t>
      </w:r>
      <w:r w:rsidRPr="00D54067">
        <w:t xml:space="preserve"> připravilo</w:t>
      </w:r>
      <w:r w:rsidR="007F4BEC">
        <w:t xml:space="preserve"> ke</w:t>
      </w:r>
      <w:r w:rsidRPr="00D54067">
        <w:t xml:space="preserve"> zřízení </w:t>
      </w:r>
      <w:r w:rsidR="007F4BEC">
        <w:t>takového „státního obchodníka“ materiál</w:t>
      </w:r>
      <w:r w:rsidRPr="00D54067">
        <w:t xml:space="preserve">, který </w:t>
      </w:r>
      <w:r w:rsidR="00A012C6">
        <w:t>byl odeslán do</w:t>
      </w:r>
      <w:r w:rsidRPr="00D54067">
        <w:t xml:space="preserve"> meziresortní</w:t>
      </w:r>
      <w:r w:rsidR="00A012C6">
        <w:t>ho</w:t>
      </w:r>
      <w:r w:rsidRPr="00D54067">
        <w:t xml:space="preserve"> připomínkov</w:t>
      </w:r>
      <w:r w:rsidR="00A012C6">
        <w:t>ého řízení na konci roku 2024, nicméně na finálním konceptu nepanuje prozatím shoda</w:t>
      </w:r>
      <w:r w:rsidRPr="00D54067">
        <w:t>.</w:t>
      </w:r>
    </w:p>
    <w:p w14:paraId="181E77B1" w14:textId="0C2BB248" w:rsidR="00186954" w:rsidRPr="00DC490A" w:rsidRDefault="00186954" w:rsidP="00215AD6">
      <w:pPr>
        <w:pStyle w:val="Nadpis2"/>
      </w:pPr>
      <w:bookmarkStart w:id="106" w:name="_Toc169187288"/>
      <w:bookmarkStart w:id="107" w:name="_Toc197336368"/>
      <w:bookmarkEnd w:id="104"/>
      <w:r w:rsidRPr="00DC490A">
        <w:lastRenderedPageBreak/>
        <w:t>Nástroje umožňující realizaci komerčních návazností rozvojových projektů</w:t>
      </w:r>
      <w:bookmarkEnd w:id="106"/>
      <w:bookmarkEnd w:id="107"/>
    </w:p>
    <w:p w14:paraId="7971327D" w14:textId="298B668E" w:rsidR="008815E5" w:rsidRDefault="008815E5" w:rsidP="008815E5">
      <w:pPr>
        <w:pStyle w:val="Bezmezer"/>
        <w:spacing w:after="60"/>
        <w:jc w:val="both"/>
      </w:pPr>
      <w:r>
        <w:t>Větší zapojení soukromého sektoru zůstává klíčovým trendem v</w:t>
      </w:r>
      <w:r w:rsidR="00F47C4E">
        <w:t> </w:t>
      </w:r>
      <w:r>
        <w:t>zahraniční rozvojové spolupráci. Rozvíjejí se nástroje zvyšující efektivitu prostředků státu, podporující obchodní a</w:t>
      </w:r>
      <w:r w:rsidR="00F47C4E">
        <w:t> </w:t>
      </w:r>
      <w:r>
        <w:t>investiční příležitosti v</w:t>
      </w:r>
      <w:r w:rsidR="00F47C4E">
        <w:t> </w:t>
      </w:r>
      <w:r>
        <w:t>obou směrech a</w:t>
      </w:r>
      <w:r w:rsidR="00F47C4E">
        <w:t> </w:t>
      </w:r>
      <w:r>
        <w:t>přispívající k</w:t>
      </w:r>
      <w:r w:rsidR="00F47C4E">
        <w:t> </w:t>
      </w:r>
      <w:r>
        <w:t>diverzifikaci exportu a</w:t>
      </w:r>
      <w:r w:rsidR="00F47C4E">
        <w:t> </w:t>
      </w:r>
      <w:r>
        <w:t>internacionalizaci firem.</w:t>
      </w:r>
    </w:p>
    <w:p w14:paraId="641AF682" w14:textId="5C99FFB2" w:rsidR="008815E5" w:rsidRDefault="008815E5" w:rsidP="008815E5">
      <w:pPr>
        <w:pStyle w:val="Bezmezer"/>
        <w:spacing w:after="60"/>
        <w:jc w:val="both"/>
      </w:pPr>
      <w:r>
        <w:t>• EU Global Gateway – ČR se zapojila do přípravy vlajkových projektů pro rok 2025, včetně návrhu na modulární letiště v</w:t>
      </w:r>
      <w:r w:rsidR="00F47C4E">
        <w:t> </w:t>
      </w:r>
      <w:r>
        <w:t xml:space="preserve">Senegalu. Pro </w:t>
      </w:r>
      <w:r w:rsidR="00803B30">
        <w:t xml:space="preserve">generování projektů byl </w:t>
      </w:r>
      <w:r>
        <w:t>vznikl Team Czechia a</w:t>
      </w:r>
      <w:r w:rsidR="00F47C4E">
        <w:t> </w:t>
      </w:r>
      <w:r w:rsidR="00803B30">
        <w:t xml:space="preserve">pro podporu MSP </w:t>
      </w:r>
      <w:r>
        <w:t>tzv. „one stop shop“.</w:t>
      </w:r>
    </w:p>
    <w:p w14:paraId="50CA5B98" w14:textId="1994F33E" w:rsidR="008815E5" w:rsidRDefault="008815E5" w:rsidP="008815E5">
      <w:pPr>
        <w:pStyle w:val="Bezmezer"/>
        <w:spacing w:after="60"/>
        <w:jc w:val="both"/>
      </w:pPr>
      <w:r>
        <w:t xml:space="preserve">• Facilita pro Ukrajinu – </w:t>
      </w:r>
      <w:r w:rsidR="00803B30">
        <w:t xml:space="preserve">ČR </w:t>
      </w:r>
      <w:r>
        <w:t>se prostřednictvím NRB připravil</w:t>
      </w:r>
      <w:r w:rsidR="00803B30">
        <w:t>a</w:t>
      </w:r>
      <w:r>
        <w:t xml:space="preserve"> na účast v</w:t>
      </w:r>
      <w:r w:rsidR="00F47C4E">
        <w:t> </w:t>
      </w:r>
      <w:r>
        <w:t xml:space="preserve">obnově Ukrajiny. Do konce října 2024 byly podány dva návrhy: záruční program pro </w:t>
      </w:r>
      <w:r w:rsidR="00803B30">
        <w:t xml:space="preserve">obnovu kritické </w:t>
      </w:r>
      <w:r>
        <w:t>infrastruktur</w:t>
      </w:r>
      <w:r w:rsidR="00803B30">
        <w:t>y</w:t>
      </w:r>
      <w:r>
        <w:t xml:space="preserve"> a</w:t>
      </w:r>
      <w:r w:rsidR="00F47C4E">
        <w:t> </w:t>
      </w:r>
      <w:r>
        <w:t>blendingový program NRB + ČRA pro nemocnice.</w:t>
      </w:r>
    </w:p>
    <w:p w14:paraId="785ED37B" w14:textId="76BE54B3" w:rsidR="008815E5" w:rsidRDefault="008815E5" w:rsidP="008815E5">
      <w:pPr>
        <w:pStyle w:val="Bezmezer"/>
        <w:spacing w:after="60"/>
        <w:jc w:val="both"/>
      </w:pPr>
      <w:r>
        <w:t>• Finanční nástroje ZRS – První zvýhodněný úvěr v</w:t>
      </w:r>
      <w:r w:rsidR="00F47C4E">
        <w:t> </w:t>
      </w:r>
      <w:r>
        <w:t>sektoru voda-sanitace byl nabídnut Moldavsku. Na jaře 2025 je plánována mise MZV k</w:t>
      </w:r>
      <w:r w:rsidR="00F47C4E">
        <w:t> </w:t>
      </w:r>
      <w:r>
        <w:t>posouzení situace a</w:t>
      </w:r>
      <w:r w:rsidR="00F47C4E">
        <w:t> </w:t>
      </w:r>
      <w:r>
        <w:t>dalších kroků.</w:t>
      </w:r>
    </w:p>
    <w:p w14:paraId="128CE72E" w14:textId="3A0B2AEA" w:rsidR="008815E5" w:rsidRDefault="008815E5" w:rsidP="008815E5">
      <w:pPr>
        <w:pStyle w:val="Bezmezer"/>
        <w:spacing w:after="60"/>
        <w:jc w:val="both"/>
      </w:pPr>
      <w:r>
        <w:t>• Aid for Trade – V</w:t>
      </w:r>
      <w:r w:rsidR="00F47C4E">
        <w:t> </w:t>
      </w:r>
      <w:r>
        <w:t>roce 2024 bylo realizováno 8 projektů za 6,4 mil. Kč</w:t>
      </w:r>
      <w:r w:rsidR="00803B30">
        <w:t xml:space="preserve"> primárně</w:t>
      </w:r>
      <w:r>
        <w:t xml:space="preserve"> v</w:t>
      </w:r>
      <w:r w:rsidR="00F47C4E">
        <w:t> </w:t>
      </w:r>
      <w:r>
        <w:t xml:space="preserve">prioritních zemích ZRS, zaměřených na obchod, e-commerce, ISO standardy </w:t>
      </w:r>
      <w:r w:rsidR="00803B30">
        <w:t>či</w:t>
      </w:r>
      <w:r>
        <w:t xml:space="preserve"> vzdělávání. </w:t>
      </w:r>
      <w:r w:rsidR="00803B30" w:rsidRPr="00803B30">
        <w:t>Pokračoval také program Aid for Trade – Ukraine, v</w:t>
      </w:r>
      <w:r w:rsidR="00F47C4E">
        <w:t> </w:t>
      </w:r>
      <w:r w:rsidR="00803B30" w:rsidRPr="00803B30">
        <w:t>jehož rámci bylo realizováno 8 projektů (v celkové výši cca 8,5 mil. Kč) na podporu rozvoje hospodářské spolupráce mezi ČR a</w:t>
      </w:r>
      <w:r w:rsidR="00F47C4E">
        <w:t> </w:t>
      </w:r>
      <w:r w:rsidR="00803B30" w:rsidRPr="00803B30">
        <w:t>Ukrajinou, resp. českými a</w:t>
      </w:r>
      <w:r w:rsidR="00F47C4E">
        <w:t> </w:t>
      </w:r>
      <w:r w:rsidR="00803B30" w:rsidRPr="00803B30">
        <w:t>ukrajinskými společnostmi.</w:t>
      </w:r>
    </w:p>
    <w:p w14:paraId="140A2BED" w14:textId="73D4C208" w:rsidR="008815E5" w:rsidRDefault="008815E5" w:rsidP="008815E5">
      <w:pPr>
        <w:pStyle w:val="Bezmezer"/>
        <w:spacing w:after="60"/>
        <w:jc w:val="both"/>
      </w:pPr>
      <w:r>
        <w:t xml:space="preserve">• </w:t>
      </w:r>
      <w:r w:rsidRPr="00DC490A">
        <w:t>Vázané peněžní dary (VPD) a</w:t>
      </w:r>
      <w:r w:rsidR="00F47C4E">
        <w:t> </w:t>
      </w:r>
      <w:r w:rsidRPr="00DC490A">
        <w:t>malé lokální projekty (MLP)</w:t>
      </w:r>
      <w:r>
        <w:t xml:space="preserve"> – </w:t>
      </w:r>
      <w:r w:rsidRPr="00DC490A">
        <w:t>Realizace</w:t>
      </w:r>
      <w:r w:rsidR="00DD4B9F">
        <w:t xml:space="preserve"> VPD</w:t>
      </w:r>
      <w:r w:rsidRPr="00DC490A">
        <w:t xml:space="preserve"> probíhá dle individuálního harmonogramu, </w:t>
      </w:r>
      <w:r w:rsidR="00DD4B9F">
        <w:t>na</w:t>
      </w:r>
      <w:r w:rsidRPr="00DC490A">
        <w:t xml:space="preserve"> rok 2025</w:t>
      </w:r>
      <w:r w:rsidR="00DD4B9F">
        <w:t xml:space="preserve"> plánovány </w:t>
      </w:r>
      <w:r w:rsidR="00647B6F">
        <w:t xml:space="preserve">VPD </w:t>
      </w:r>
      <w:r w:rsidR="00647B6F" w:rsidRPr="00DC490A">
        <w:t>zejména</w:t>
      </w:r>
      <w:r w:rsidRPr="00DC490A">
        <w:t xml:space="preserve"> v</w:t>
      </w:r>
      <w:r w:rsidR="00F47C4E">
        <w:t> </w:t>
      </w:r>
      <w:r w:rsidRPr="00DC490A">
        <w:t>Africe, zemích BVA a</w:t>
      </w:r>
      <w:r w:rsidR="00F47C4E">
        <w:t> </w:t>
      </w:r>
      <w:r w:rsidRPr="00DC490A">
        <w:t xml:space="preserve">na Ukrajině. </w:t>
      </w:r>
    </w:p>
    <w:p w14:paraId="09A7DA2F" w14:textId="4BE43602" w:rsidR="00186954" w:rsidRPr="00DC490A" w:rsidRDefault="00371785" w:rsidP="00215AD6">
      <w:pPr>
        <w:pStyle w:val="Nadpis2"/>
      </w:pPr>
      <w:bookmarkStart w:id="108" w:name="_Toc169187289"/>
      <w:bookmarkStart w:id="109" w:name="_Toc197336369"/>
      <w:r>
        <w:t>S</w:t>
      </w:r>
      <w:r w:rsidR="00186954" w:rsidRPr="00DC490A">
        <w:t>lužby zaměřené na trvalé působení v</w:t>
      </w:r>
      <w:r w:rsidR="00F47C4E">
        <w:t> </w:t>
      </w:r>
      <w:r w:rsidR="00186954" w:rsidRPr="00DC490A">
        <w:t>zahraničí</w:t>
      </w:r>
      <w:bookmarkEnd w:id="108"/>
      <w:bookmarkEnd w:id="109"/>
    </w:p>
    <w:p w14:paraId="10D4F9C4" w14:textId="139265DB" w:rsidR="006A4AAC" w:rsidRPr="00DC490A" w:rsidRDefault="009853AA" w:rsidP="00215AD6">
      <w:pPr>
        <w:pStyle w:val="Bezmezer"/>
        <w:spacing w:after="60"/>
        <w:jc w:val="both"/>
        <w:rPr>
          <w:noProof/>
        </w:rPr>
      </w:pPr>
      <w:r w:rsidRPr="00DC490A">
        <w:rPr>
          <w:noProof/>
        </w:rPr>
        <w:t>Exportní strategie předpokládá zaměření podpory nejen na samo</w:t>
      </w:r>
      <w:r w:rsidR="00C947E3" w:rsidRPr="00DC490A">
        <w:rPr>
          <w:noProof/>
        </w:rPr>
        <w:t>t</w:t>
      </w:r>
      <w:r w:rsidRPr="00DC490A">
        <w:rPr>
          <w:noProof/>
        </w:rPr>
        <w:t>ný vývoz, ale i</w:t>
      </w:r>
      <w:r w:rsidR="00F47C4E">
        <w:rPr>
          <w:noProof/>
        </w:rPr>
        <w:t> </w:t>
      </w:r>
      <w:r w:rsidRPr="00DC490A">
        <w:rPr>
          <w:noProof/>
        </w:rPr>
        <w:t>na celkovou internacionalizaci českých exportérů. V</w:t>
      </w:r>
      <w:r w:rsidR="00F47C4E">
        <w:rPr>
          <w:noProof/>
        </w:rPr>
        <w:t> </w:t>
      </w:r>
      <w:r w:rsidRPr="00DC490A">
        <w:rPr>
          <w:noProof/>
        </w:rPr>
        <w:t xml:space="preserve">návaznosti na to jsou do </w:t>
      </w:r>
      <w:r w:rsidR="00097171" w:rsidRPr="00DC490A">
        <w:rPr>
          <w:noProof/>
        </w:rPr>
        <w:t>portfolia proexportních služeb</w:t>
      </w:r>
      <w:r w:rsidRPr="00DC490A">
        <w:rPr>
          <w:noProof/>
        </w:rPr>
        <w:t xml:space="preserve"> státu </w:t>
      </w:r>
      <w:r w:rsidR="00097171" w:rsidRPr="00DC490A">
        <w:rPr>
          <w:noProof/>
        </w:rPr>
        <w:t xml:space="preserve">zařazovány </w:t>
      </w:r>
      <w:r w:rsidRPr="00DC490A">
        <w:rPr>
          <w:noProof/>
        </w:rPr>
        <w:t>a</w:t>
      </w:r>
      <w:r w:rsidR="00F47C4E">
        <w:rPr>
          <w:noProof/>
        </w:rPr>
        <w:t> </w:t>
      </w:r>
      <w:r w:rsidRPr="00DC490A">
        <w:rPr>
          <w:noProof/>
        </w:rPr>
        <w:t xml:space="preserve">dál rozvíjeny </w:t>
      </w:r>
      <w:r w:rsidR="00097171" w:rsidRPr="00DC490A">
        <w:rPr>
          <w:noProof/>
        </w:rPr>
        <w:t>i</w:t>
      </w:r>
      <w:r w:rsidR="00F47C4E">
        <w:rPr>
          <w:noProof/>
        </w:rPr>
        <w:t> </w:t>
      </w:r>
      <w:r w:rsidR="00097171" w:rsidRPr="00DC490A">
        <w:rPr>
          <w:noProof/>
        </w:rPr>
        <w:t>služby podporující trvalé působení v</w:t>
      </w:r>
      <w:r w:rsidR="00F47C4E">
        <w:rPr>
          <w:noProof/>
        </w:rPr>
        <w:t> </w:t>
      </w:r>
      <w:r w:rsidR="00097171" w:rsidRPr="00DC490A">
        <w:rPr>
          <w:noProof/>
        </w:rPr>
        <w:t xml:space="preserve">teritoriu. </w:t>
      </w:r>
      <w:r w:rsidR="00097171" w:rsidRPr="00DC490A">
        <w:t>Zejména</w:t>
      </w:r>
      <w:r w:rsidR="00097171" w:rsidRPr="00DC490A">
        <w:rPr>
          <w:noProof/>
        </w:rPr>
        <w:t xml:space="preserve"> se jedná o</w:t>
      </w:r>
      <w:r w:rsidR="00CE6B6D" w:rsidRPr="00DC490A">
        <w:rPr>
          <w:noProof/>
        </w:rPr>
        <w:t>:</w:t>
      </w:r>
    </w:p>
    <w:p w14:paraId="450D9F9E" w14:textId="2AE61F43" w:rsidR="006A4AAC" w:rsidRPr="00DC490A" w:rsidRDefault="006A4AAC" w:rsidP="006A4AAC">
      <w:pPr>
        <w:pStyle w:val="Bezmezer"/>
        <w:numPr>
          <w:ilvl w:val="0"/>
          <w:numId w:val="19"/>
        </w:numPr>
        <w:jc w:val="both"/>
        <w:rPr>
          <w:noProof/>
        </w:rPr>
      </w:pPr>
      <w:r w:rsidRPr="00DC490A">
        <w:rPr>
          <w:noProof/>
        </w:rPr>
        <w:t>E</w:t>
      </w:r>
      <w:r w:rsidR="00CE6B6D" w:rsidRPr="00DC490A">
        <w:rPr>
          <w:noProof/>
        </w:rPr>
        <w:t>xportní inkubátory CzechTrade, jejichž síť</w:t>
      </w:r>
      <w:r w:rsidR="00D27729" w:rsidRPr="00DC490A">
        <w:rPr>
          <w:noProof/>
        </w:rPr>
        <w:t xml:space="preserve"> se </w:t>
      </w:r>
      <w:r w:rsidR="00CE6B6D" w:rsidRPr="00DC490A">
        <w:rPr>
          <w:noProof/>
        </w:rPr>
        <w:t>sestáv</w:t>
      </w:r>
      <w:r w:rsidR="00D27729" w:rsidRPr="00DC490A">
        <w:rPr>
          <w:noProof/>
        </w:rPr>
        <w:t xml:space="preserve">ává </w:t>
      </w:r>
      <w:r w:rsidR="00CE6B6D" w:rsidRPr="00DC490A">
        <w:rPr>
          <w:noProof/>
        </w:rPr>
        <w:t>z</w:t>
      </w:r>
      <w:r w:rsidR="00F47C4E">
        <w:rPr>
          <w:noProof/>
        </w:rPr>
        <w:t> </w:t>
      </w:r>
      <w:r w:rsidR="00CE6B6D" w:rsidRPr="00DC490A">
        <w:rPr>
          <w:noProof/>
        </w:rPr>
        <w:t>inkubátorů v</w:t>
      </w:r>
      <w:r w:rsidR="00F47C4E">
        <w:rPr>
          <w:noProof/>
        </w:rPr>
        <w:t> </w:t>
      </w:r>
      <w:r w:rsidR="00CE6B6D" w:rsidRPr="00DC490A">
        <w:rPr>
          <w:noProof/>
        </w:rPr>
        <w:t>Bengalúru (Indie), Dubaji (SAE), Chicagu (USA)</w:t>
      </w:r>
      <w:r w:rsidR="00D27729" w:rsidRPr="00DC490A">
        <w:rPr>
          <w:noProof/>
        </w:rPr>
        <w:t xml:space="preserve"> a</w:t>
      </w:r>
      <w:r w:rsidR="00F47C4E">
        <w:rPr>
          <w:noProof/>
        </w:rPr>
        <w:t> </w:t>
      </w:r>
      <w:r w:rsidR="00CE6B6D" w:rsidRPr="00DC490A">
        <w:rPr>
          <w:noProof/>
        </w:rPr>
        <w:t>Mexico City</w:t>
      </w:r>
      <w:r w:rsidR="00DD4B9F">
        <w:rPr>
          <w:noProof/>
        </w:rPr>
        <w:t xml:space="preserve"> (Mexiko)</w:t>
      </w:r>
      <w:r w:rsidR="00CE6B6D" w:rsidRPr="00DC490A">
        <w:rPr>
          <w:noProof/>
        </w:rPr>
        <w:t xml:space="preserve">. </w:t>
      </w:r>
      <w:r w:rsidR="00015A71" w:rsidRPr="00DC490A">
        <w:rPr>
          <w:noProof/>
        </w:rPr>
        <w:t>V</w:t>
      </w:r>
      <w:r w:rsidR="00F47C4E">
        <w:rPr>
          <w:noProof/>
        </w:rPr>
        <w:t> </w:t>
      </w:r>
      <w:r w:rsidR="00015A71" w:rsidRPr="00DC490A">
        <w:rPr>
          <w:noProof/>
        </w:rPr>
        <w:t>roce 202</w:t>
      </w:r>
      <w:r w:rsidR="00D27729" w:rsidRPr="00DC490A">
        <w:rPr>
          <w:noProof/>
        </w:rPr>
        <w:t>4</w:t>
      </w:r>
      <w:r w:rsidR="00015A71" w:rsidRPr="00DC490A">
        <w:rPr>
          <w:noProof/>
        </w:rPr>
        <w:t xml:space="preserve"> </w:t>
      </w:r>
      <w:r w:rsidR="00DD4B9F">
        <w:rPr>
          <w:noProof/>
        </w:rPr>
        <w:t>působilo v</w:t>
      </w:r>
      <w:r w:rsidR="00F47C4E">
        <w:rPr>
          <w:noProof/>
        </w:rPr>
        <w:t> </w:t>
      </w:r>
      <w:r w:rsidRPr="00DC490A">
        <w:rPr>
          <w:noProof/>
        </w:rPr>
        <w:t xml:space="preserve"> </w:t>
      </w:r>
      <w:r w:rsidR="00DD4B9F">
        <w:rPr>
          <w:noProof/>
        </w:rPr>
        <w:t>v</w:t>
      </w:r>
      <w:r w:rsidR="00F47C4E">
        <w:rPr>
          <w:noProof/>
        </w:rPr>
        <w:t> </w:t>
      </w:r>
      <w:r w:rsidRPr="00DC490A">
        <w:rPr>
          <w:noProof/>
        </w:rPr>
        <w:t>exportních inkubátor</w:t>
      </w:r>
      <w:r w:rsidR="00DD4B9F">
        <w:rPr>
          <w:noProof/>
        </w:rPr>
        <w:t>ech</w:t>
      </w:r>
      <w:r w:rsidRPr="00DC490A">
        <w:rPr>
          <w:noProof/>
        </w:rPr>
        <w:t xml:space="preserve"> 10 společností.</w:t>
      </w:r>
    </w:p>
    <w:p w14:paraId="74DBB7CE" w14:textId="6E5E48C7" w:rsidR="006A4AAC" w:rsidRPr="00DC490A" w:rsidRDefault="00CE6B6D" w:rsidP="006A4AAC">
      <w:pPr>
        <w:pStyle w:val="Bezmezer"/>
        <w:numPr>
          <w:ilvl w:val="0"/>
          <w:numId w:val="19"/>
        </w:numPr>
        <w:jc w:val="both"/>
        <w:rPr>
          <w:noProof/>
        </w:rPr>
      </w:pPr>
      <w:r w:rsidRPr="00DC490A">
        <w:rPr>
          <w:noProof/>
        </w:rPr>
        <w:t>Exportní aliance CzechTrade sdružující firmy, jejichž výrobky a</w:t>
      </w:r>
      <w:r w:rsidR="00F47C4E">
        <w:rPr>
          <w:noProof/>
        </w:rPr>
        <w:t> </w:t>
      </w:r>
      <w:r w:rsidRPr="00DC490A">
        <w:rPr>
          <w:noProof/>
        </w:rPr>
        <w:t>služby se vzájemně doplňují</w:t>
      </w:r>
      <w:r w:rsidR="006A4AAC" w:rsidRPr="00DC490A">
        <w:rPr>
          <w:noProof/>
        </w:rPr>
        <w:t>, za účelem jejich efektivní prezentace v</w:t>
      </w:r>
      <w:r w:rsidR="00F47C4E">
        <w:rPr>
          <w:noProof/>
        </w:rPr>
        <w:t> </w:t>
      </w:r>
      <w:r w:rsidR="006A4AAC" w:rsidRPr="00DC490A">
        <w:rPr>
          <w:noProof/>
        </w:rPr>
        <w:t xml:space="preserve">zahraničí. </w:t>
      </w:r>
      <w:r w:rsidR="00B12847">
        <w:rPr>
          <w:noProof/>
        </w:rPr>
        <w:t>V</w:t>
      </w:r>
      <w:r w:rsidR="00F47C4E">
        <w:rPr>
          <w:noProof/>
        </w:rPr>
        <w:t> </w:t>
      </w:r>
      <w:r w:rsidR="00B12847">
        <w:rPr>
          <w:noProof/>
        </w:rPr>
        <w:t xml:space="preserve">současnosti fungují čtyři </w:t>
      </w:r>
      <w:r w:rsidR="00D26AF1" w:rsidRPr="00DC490A">
        <w:rPr>
          <w:noProof/>
        </w:rPr>
        <w:t>alianc</w:t>
      </w:r>
      <w:r w:rsidR="006A4AAC" w:rsidRPr="00DC490A">
        <w:rPr>
          <w:noProof/>
        </w:rPr>
        <w:t>e</w:t>
      </w:r>
      <w:r w:rsidR="00B12847">
        <w:rPr>
          <w:noProof/>
        </w:rPr>
        <w:t xml:space="preserve"> – </w:t>
      </w:r>
      <w:r w:rsidR="00D26AF1" w:rsidRPr="00DC490A">
        <w:rPr>
          <w:noProof/>
        </w:rPr>
        <w:t>Czech Water Alliance</w:t>
      </w:r>
      <w:r w:rsidR="00D27729" w:rsidRPr="00DC490A">
        <w:rPr>
          <w:noProof/>
        </w:rPr>
        <w:t xml:space="preserve">, </w:t>
      </w:r>
      <w:r w:rsidR="00D27729" w:rsidRPr="00B12847">
        <w:rPr>
          <w:noProof/>
        </w:rPr>
        <w:t xml:space="preserve">Proveg </w:t>
      </w:r>
      <w:r w:rsidR="00D27729" w:rsidRPr="00DC490A">
        <w:rPr>
          <w:noProof/>
        </w:rPr>
        <w:t>Czech Export Alliance,</w:t>
      </w:r>
      <w:r w:rsidR="008147F3">
        <w:rPr>
          <w:noProof/>
        </w:rPr>
        <w:t> </w:t>
      </w:r>
      <w:r w:rsidR="00D27729" w:rsidRPr="00DC490A">
        <w:rPr>
          <w:noProof/>
        </w:rPr>
        <w:t>Czech Aerospace Export Alliance</w:t>
      </w:r>
      <w:r w:rsidR="00B12847">
        <w:rPr>
          <w:noProof/>
        </w:rPr>
        <w:t xml:space="preserve"> a</w:t>
      </w:r>
      <w:r w:rsidR="00F47C4E">
        <w:rPr>
          <w:noProof/>
        </w:rPr>
        <w:t> </w:t>
      </w:r>
      <w:r w:rsidR="00B12847" w:rsidRPr="00DC490A">
        <w:rPr>
          <w:noProof/>
        </w:rPr>
        <w:t xml:space="preserve">Czech Toys Export Alliance </w:t>
      </w:r>
      <w:r w:rsidR="00B12847">
        <w:rPr>
          <w:noProof/>
        </w:rPr>
        <w:t>(založena v</w:t>
      </w:r>
      <w:r w:rsidR="00F47C4E">
        <w:rPr>
          <w:noProof/>
        </w:rPr>
        <w:t> </w:t>
      </w:r>
      <w:r w:rsidR="00B12847">
        <w:rPr>
          <w:noProof/>
        </w:rPr>
        <w:t>roce 2024)</w:t>
      </w:r>
      <w:r w:rsidR="00D27729" w:rsidRPr="00DC490A">
        <w:rPr>
          <w:noProof/>
        </w:rPr>
        <w:t>, ve kterých je sdruženo 43 českých společností.</w:t>
      </w:r>
      <w:r w:rsidR="006A4AAC" w:rsidRPr="00DC490A">
        <w:rPr>
          <w:noProof/>
        </w:rPr>
        <w:t xml:space="preserve"> </w:t>
      </w:r>
    </w:p>
    <w:p w14:paraId="7E640774" w14:textId="313F2D51" w:rsidR="00C5685F" w:rsidRPr="008815E5" w:rsidRDefault="0066263F" w:rsidP="00DD4B9F">
      <w:pPr>
        <w:pStyle w:val="Bezmezer"/>
        <w:numPr>
          <w:ilvl w:val="0"/>
          <w:numId w:val="19"/>
        </w:numPr>
        <w:jc w:val="both"/>
        <w:rPr>
          <w:noProof/>
          <w:color w:val="auto"/>
        </w:rPr>
      </w:pPr>
      <w:r w:rsidRPr="00DC490A">
        <w:rPr>
          <w:noProof/>
        </w:rPr>
        <w:t>Specializovanou asistenční službu KOMPAS pomáhající exportérům při komplikovaných administrativních procesech v</w:t>
      </w:r>
      <w:r w:rsidR="00F47C4E">
        <w:rPr>
          <w:noProof/>
        </w:rPr>
        <w:t> </w:t>
      </w:r>
      <w:r w:rsidRPr="00DC490A">
        <w:rPr>
          <w:noProof/>
        </w:rPr>
        <w:t>zahraničí. Služba je realizovaná ve spolupráci s</w:t>
      </w:r>
      <w:r w:rsidR="00F47C4E">
        <w:rPr>
          <w:noProof/>
        </w:rPr>
        <w:t> </w:t>
      </w:r>
      <w:r w:rsidRPr="00DC490A">
        <w:rPr>
          <w:noProof/>
        </w:rPr>
        <w:t>místními odborníky a</w:t>
      </w:r>
      <w:r w:rsidR="00F47C4E">
        <w:rPr>
          <w:noProof/>
        </w:rPr>
        <w:t> </w:t>
      </w:r>
      <w:r w:rsidRPr="00DC490A">
        <w:rPr>
          <w:noProof/>
        </w:rPr>
        <w:t xml:space="preserve">zahrnuje například asistenci při </w:t>
      </w:r>
      <w:r w:rsidR="00B12847">
        <w:rPr>
          <w:noProof/>
        </w:rPr>
        <w:t>založení</w:t>
      </w:r>
      <w:r w:rsidRPr="00DC490A">
        <w:rPr>
          <w:noProof/>
        </w:rPr>
        <w:t xml:space="preserve"> sídla společnosti, certifikaci výrobků atd. </w:t>
      </w:r>
      <w:r w:rsidR="00C5685F" w:rsidRPr="00DC490A">
        <w:rPr>
          <w:noProof/>
        </w:rPr>
        <w:t xml:space="preserve"> </w:t>
      </w:r>
    </w:p>
    <w:p w14:paraId="0E276B9E" w14:textId="0FBB3A1A" w:rsidR="00C5685F" w:rsidRPr="00DC490A" w:rsidRDefault="00C5685F" w:rsidP="00C369A6">
      <w:pPr>
        <w:pStyle w:val="Bezmezer"/>
        <w:numPr>
          <w:ilvl w:val="0"/>
          <w:numId w:val="19"/>
        </w:numPr>
        <w:tabs>
          <w:tab w:val="left" w:pos="960"/>
        </w:tabs>
        <w:jc w:val="both"/>
        <w:rPr>
          <w:noProof/>
          <w:color w:val="auto"/>
        </w:rPr>
      </w:pPr>
      <w:r w:rsidRPr="00DC490A">
        <w:rPr>
          <w:noProof/>
          <w:color w:val="auto"/>
        </w:rPr>
        <w:t xml:space="preserve">Službu </w:t>
      </w:r>
      <w:r w:rsidRPr="00DC490A">
        <w:rPr>
          <w:noProof/>
        </w:rPr>
        <w:t>Digitální marketing a</w:t>
      </w:r>
      <w:r w:rsidR="00F47C4E">
        <w:rPr>
          <w:noProof/>
        </w:rPr>
        <w:t> </w:t>
      </w:r>
      <w:r w:rsidRPr="00DC490A">
        <w:rPr>
          <w:noProof/>
        </w:rPr>
        <w:t>e-commerce poskytující marketingovou podporu v</w:t>
      </w:r>
      <w:r w:rsidR="00F47C4E">
        <w:rPr>
          <w:noProof/>
        </w:rPr>
        <w:t> </w:t>
      </w:r>
      <w:r w:rsidRPr="00DC490A">
        <w:rPr>
          <w:noProof/>
        </w:rPr>
        <w:t>zahraničí a</w:t>
      </w:r>
      <w:r w:rsidR="00F47C4E">
        <w:rPr>
          <w:noProof/>
        </w:rPr>
        <w:t> </w:t>
      </w:r>
      <w:r w:rsidRPr="00DC490A">
        <w:rPr>
          <w:noProof/>
        </w:rPr>
        <w:t>Adresář exportérů</w:t>
      </w:r>
      <w:r w:rsidR="00EE5EC4" w:rsidRPr="00DC490A">
        <w:rPr>
          <w:noProof/>
        </w:rPr>
        <w:t xml:space="preserve"> prezentující </w:t>
      </w:r>
      <w:r w:rsidR="00D27729" w:rsidRPr="00DC490A">
        <w:rPr>
          <w:noProof/>
        </w:rPr>
        <w:t>620</w:t>
      </w:r>
      <w:r w:rsidRPr="00DC490A">
        <w:rPr>
          <w:noProof/>
        </w:rPr>
        <w:t xml:space="preserve"> firem</w:t>
      </w:r>
      <w:r w:rsidR="00EE5EC4" w:rsidRPr="00DC490A">
        <w:rPr>
          <w:noProof/>
        </w:rPr>
        <w:t xml:space="preserve"> (v roce 202</w:t>
      </w:r>
      <w:r w:rsidR="00D27729" w:rsidRPr="00DC490A">
        <w:rPr>
          <w:noProof/>
        </w:rPr>
        <w:t>4</w:t>
      </w:r>
      <w:r w:rsidR="00EE5EC4" w:rsidRPr="00DC490A">
        <w:rPr>
          <w:noProof/>
        </w:rPr>
        <w:t xml:space="preserve"> se Adresář rozšířil o</w:t>
      </w:r>
      <w:r w:rsidR="00F47C4E">
        <w:rPr>
          <w:noProof/>
        </w:rPr>
        <w:t> </w:t>
      </w:r>
      <w:r w:rsidR="00D27729" w:rsidRPr="00DC490A">
        <w:rPr>
          <w:noProof/>
        </w:rPr>
        <w:t>26 nových profilů</w:t>
      </w:r>
      <w:r w:rsidR="00EE5EC4" w:rsidRPr="00DC490A">
        <w:rPr>
          <w:noProof/>
        </w:rPr>
        <w:t>)</w:t>
      </w:r>
      <w:r w:rsidRPr="00DC490A">
        <w:rPr>
          <w:noProof/>
        </w:rPr>
        <w:t>.</w:t>
      </w:r>
    </w:p>
    <w:p w14:paraId="5EA623A7" w14:textId="505BC115" w:rsidR="00214155" w:rsidRPr="00DC490A" w:rsidRDefault="00B12847" w:rsidP="00214155">
      <w:pPr>
        <w:pStyle w:val="Bezmezer"/>
        <w:numPr>
          <w:ilvl w:val="0"/>
          <w:numId w:val="19"/>
        </w:numPr>
        <w:tabs>
          <w:tab w:val="left" w:pos="960"/>
        </w:tabs>
        <w:jc w:val="both"/>
        <w:rPr>
          <w:noProof/>
          <w:color w:val="auto"/>
        </w:rPr>
      </w:pPr>
      <w:r>
        <w:rPr>
          <w:noProof/>
          <w:color w:val="auto"/>
        </w:rPr>
        <w:t>P</w:t>
      </w:r>
      <w:r w:rsidR="00214155" w:rsidRPr="00DC490A">
        <w:rPr>
          <w:noProof/>
          <w:color w:val="auto"/>
        </w:rPr>
        <w:t xml:space="preserve">rogram </w:t>
      </w:r>
      <w:r w:rsidR="00C86951">
        <w:rPr>
          <w:noProof/>
          <w:color w:val="auto"/>
        </w:rPr>
        <w:t xml:space="preserve">PROPEA </w:t>
      </w:r>
      <w:r w:rsidR="00214155" w:rsidRPr="00DC490A">
        <w:rPr>
          <w:noProof/>
          <w:color w:val="auto"/>
        </w:rPr>
        <w:t>realizovaný ve sp</w:t>
      </w:r>
      <w:r w:rsidR="00C86951">
        <w:rPr>
          <w:noProof/>
          <w:color w:val="auto"/>
        </w:rPr>
        <w:t>o</w:t>
      </w:r>
      <w:r w:rsidR="00214155" w:rsidRPr="00DC490A">
        <w:rPr>
          <w:noProof/>
          <w:color w:val="auto"/>
        </w:rPr>
        <w:t>lupráci MZV a</w:t>
      </w:r>
      <w:r w:rsidR="00F47C4E">
        <w:rPr>
          <w:noProof/>
          <w:color w:val="auto"/>
        </w:rPr>
        <w:t> </w:t>
      </w:r>
      <w:r w:rsidR="00214155" w:rsidRPr="00DC490A">
        <w:rPr>
          <w:noProof/>
          <w:color w:val="auto"/>
        </w:rPr>
        <w:t xml:space="preserve">Hospodářské komory, který </w:t>
      </w:r>
      <w:r>
        <w:rPr>
          <w:noProof/>
          <w:color w:val="auto"/>
        </w:rPr>
        <w:t xml:space="preserve">je </w:t>
      </w:r>
      <w:r w:rsidR="00214155" w:rsidRPr="00DC490A">
        <w:rPr>
          <w:noProof/>
          <w:color w:val="auto"/>
        </w:rPr>
        <w:t>založen na poskytování služeb zahraničních expertů českým firmám na zahraničních trzích. Cílem je snížení rizik spojených se vstupem na náročné zahraniční trhy, posílení kapacit pro podporu trvalejší přítomnosti firem na zahraničních trzích a</w:t>
      </w:r>
      <w:r w:rsidR="00F47C4E">
        <w:rPr>
          <w:noProof/>
          <w:color w:val="auto"/>
        </w:rPr>
        <w:t> </w:t>
      </w:r>
      <w:r w:rsidR="00214155" w:rsidRPr="00DC490A">
        <w:rPr>
          <w:noProof/>
          <w:color w:val="auto"/>
        </w:rPr>
        <w:t>také podpora českých firem, jejichž aktivity v</w:t>
      </w:r>
      <w:r w:rsidR="00F47C4E">
        <w:rPr>
          <w:noProof/>
          <w:color w:val="auto"/>
        </w:rPr>
        <w:t> </w:t>
      </w:r>
      <w:r w:rsidR="00214155" w:rsidRPr="00DC490A">
        <w:rPr>
          <w:noProof/>
          <w:color w:val="auto"/>
        </w:rPr>
        <w:t>zahraničí se neomezují pouze na export, ale mají spíše investiční charakter.</w:t>
      </w:r>
    </w:p>
    <w:p w14:paraId="05BA3906" w14:textId="229B0CED" w:rsidR="00186954" w:rsidRPr="00DC490A" w:rsidRDefault="00186954" w:rsidP="00215AD6">
      <w:pPr>
        <w:pStyle w:val="Nadpis2"/>
      </w:pPr>
      <w:bookmarkStart w:id="110" w:name="_Toc169187290"/>
      <w:bookmarkStart w:id="111" w:name="_Toc197336370"/>
      <w:bookmarkStart w:id="112" w:name="_Hlk198545060"/>
      <w:r w:rsidRPr="00DC490A">
        <w:t>Rozvoj podpory účastí českých firem na zahraničních výstavách a</w:t>
      </w:r>
      <w:r w:rsidR="00F47C4E">
        <w:t> </w:t>
      </w:r>
      <w:r w:rsidRPr="00DC490A">
        <w:t>veletrzích</w:t>
      </w:r>
      <w:bookmarkEnd w:id="110"/>
      <w:bookmarkEnd w:id="111"/>
    </w:p>
    <w:p w14:paraId="7DA818F7" w14:textId="69AFD5CF" w:rsidR="000D6FE1" w:rsidRPr="00DC490A" w:rsidRDefault="000D6FE1" w:rsidP="000D6FE1">
      <w:pPr>
        <w:pStyle w:val="Bezmezer"/>
        <w:spacing w:after="60"/>
        <w:jc w:val="both"/>
      </w:pPr>
      <w:bookmarkStart w:id="113" w:name="_Hlk198545077"/>
      <w:bookmarkEnd w:id="112"/>
      <w:r w:rsidRPr="00DC490A">
        <w:t>V roce 2024 pokračovalo naplňování nové koncepce českých oficiálních účastí na zahraničních výstavách</w:t>
      </w:r>
      <w:r w:rsidR="00245A80" w:rsidRPr="00DC490A">
        <w:t xml:space="preserve"> a</w:t>
      </w:r>
      <w:r w:rsidR="00F47C4E">
        <w:t> </w:t>
      </w:r>
      <w:r w:rsidR="00245A80" w:rsidRPr="00DC490A">
        <w:t>veletrzích</w:t>
      </w:r>
      <w:r w:rsidR="008923FA">
        <w:t xml:space="preserve"> </w:t>
      </w:r>
      <w:r w:rsidR="008923FA" w:rsidRPr="00DC490A">
        <w:t>(ČOÚ)</w:t>
      </w:r>
      <w:r w:rsidRPr="00DC490A">
        <w:t>, kterou připravilo MPO ve spolupráci s</w:t>
      </w:r>
      <w:r w:rsidR="00F47C4E">
        <w:t> </w:t>
      </w:r>
      <w:r w:rsidRPr="00DC490A">
        <w:t>partnery na konci roku 2023. Tato koncepce</w:t>
      </w:r>
      <w:r w:rsidR="00245A80" w:rsidRPr="00DC490A">
        <w:t>, která odráží cíle Exportní strategie ČR 2023–2033,</w:t>
      </w:r>
      <w:r w:rsidRPr="00DC490A">
        <w:t xml:space="preserve"> klade důraz na systematičtější podporu tuzemských exportérů s</w:t>
      </w:r>
      <w:r w:rsidR="00F47C4E">
        <w:t> </w:t>
      </w:r>
      <w:r w:rsidRPr="00DC490A">
        <w:t>cílem zvýšit přítomnost českých firem v</w:t>
      </w:r>
      <w:r w:rsidR="00F47C4E">
        <w:t> </w:t>
      </w:r>
      <w:r w:rsidRPr="00DC490A">
        <w:t>perspektivních sektorech a</w:t>
      </w:r>
      <w:r w:rsidR="00F47C4E">
        <w:t> </w:t>
      </w:r>
      <w:r w:rsidRPr="00DC490A">
        <w:t>technologických doménách s</w:t>
      </w:r>
      <w:r w:rsidR="00F47C4E">
        <w:t> </w:t>
      </w:r>
      <w:r w:rsidRPr="00DC490A">
        <w:t>potenciálem růstu a</w:t>
      </w:r>
      <w:r w:rsidR="00F47C4E">
        <w:t> </w:t>
      </w:r>
      <w:r w:rsidRPr="00DC490A">
        <w:t xml:space="preserve">internacionalizace. Prioritou </w:t>
      </w:r>
      <w:r w:rsidR="00245A80" w:rsidRPr="00DC490A">
        <w:t>je</w:t>
      </w:r>
      <w:r w:rsidRPr="00DC490A">
        <w:t xml:space="preserve"> doménová a</w:t>
      </w:r>
      <w:r w:rsidR="00F47C4E">
        <w:t> </w:t>
      </w:r>
      <w:r w:rsidRPr="00DC490A">
        <w:t>marketingová komplexita prezentací s</w:t>
      </w:r>
      <w:r w:rsidR="00F47C4E">
        <w:t> </w:t>
      </w:r>
      <w:r w:rsidRPr="00DC490A">
        <w:t xml:space="preserve">důrazem na </w:t>
      </w:r>
      <w:r w:rsidR="00245A80" w:rsidRPr="00DC490A">
        <w:t xml:space="preserve">vizuálně jednotný </w:t>
      </w:r>
      <w:r w:rsidRPr="00DC490A">
        <w:t>styl, funkční celky a</w:t>
      </w:r>
      <w:r w:rsidR="00F47C4E">
        <w:t> </w:t>
      </w:r>
      <w:r w:rsidRPr="00DC490A">
        <w:t>prezentaci „příběhů“</w:t>
      </w:r>
      <w:r w:rsidR="008923FA">
        <w:t xml:space="preserve">, </w:t>
      </w:r>
      <w:r w:rsidRPr="00DC490A">
        <w:t>řešení s</w:t>
      </w:r>
      <w:r w:rsidR="00F47C4E">
        <w:t> </w:t>
      </w:r>
      <w:r w:rsidRPr="00DC490A">
        <w:t>vysokou přidanou hodnotou, které posouvají české firmy z</w:t>
      </w:r>
      <w:r w:rsidR="00F47C4E">
        <w:t> </w:t>
      </w:r>
      <w:r w:rsidRPr="00DC490A">
        <w:t>role dodavatelů komponent k</w:t>
      </w:r>
      <w:r w:rsidR="00F47C4E">
        <w:t> </w:t>
      </w:r>
      <w:r w:rsidRPr="00DC490A">
        <w:t>pozici systémových integrátorů.</w:t>
      </w:r>
    </w:p>
    <w:p w14:paraId="14B8EFD4" w14:textId="08968B3E" w:rsidR="00245A80" w:rsidRDefault="000D6FE1" w:rsidP="00245A80">
      <w:pPr>
        <w:pStyle w:val="Bezmezer"/>
        <w:spacing w:after="60"/>
        <w:jc w:val="both"/>
      </w:pPr>
      <w:r w:rsidRPr="00DC490A">
        <w:t>Významným krokem v</w:t>
      </w:r>
      <w:r w:rsidR="00F47C4E">
        <w:t> </w:t>
      </w:r>
      <w:r w:rsidRPr="00DC490A">
        <w:t>naplňování této koncepce bylo pilotní zavádění nové metodiky plánování a</w:t>
      </w:r>
      <w:r w:rsidR="00F47C4E">
        <w:t> </w:t>
      </w:r>
      <w:r w:rsidRPr="00DC490A">
        <w:t xml:space="preserve">hodnocení ČOÚ od ledna 2024. Ta je založena </w:t>
      </w:r>
      <w:r w:rsidRPr="00DC490A">
        <w:rPr>
          <w:rFonts w:asciiTheme="majorHAnsi" w:hAnsiTheme="majorHAnsi" w:cstheme="majorHAnsi"/>
        </w:rPr>
        <w:t>na hodnocení efektivity a</w:t>
      </w:r>
      <w:r w:rsidR="00F47C4E">
        <w:rPr>
          <w:rFonts w:asciiTheme="majorHAnsi" w:hAnsiTheme="majorHAnsi" w:cstheme="majorHAnsi"/>
        </w:rPr>
        <w:t> </w:t>
      </w:r>
      <w:r w:rsidRPr="00DC490A">
        <w:rPr>
          <w:rFonts w:asciiTheme="majorHAnsi" w:hAnsiTheme="majorHAnsi" w:cstheme="majorHAnsi"/>
        </w:rPr>
        <w:t>realisticky dosažené kontraktace, teritoriálních a</w:t>
      </w:r>
      <w:r w:rsidR="00F47C4E">
        <w:rPr>
          <w:rFonts w:asciiTheme="majorHAnsi" w:hAnsiTheme="majorHAnsi" w:cstheme="majorHAnsi"/>
        </w:rPr>
        <w:t> </w:t>
      </w:r>
      <w:r w:rsidRPr="00DC490A">
        <w:rPr>
          <w:rFonts w:asciiTheme="majorHAnsi" w:hAnsiTheme="majorHAnsi" w:cstheme="majorHAnsi"/>
        </w:rPr>
        <w:t>obchodně-politických doporučeních a</w:t>
      </w:r>
      <w:r w:rsidR="00F47C4E">
        <w:rPr>
          <w:rFonts w:asciiTheme="majorHAnsi" w:hAnsiTheme="majorHAnsi" w:cstheme="majorHAnsi"/>
        </w:rPr>
        <w:t> </w:t>
      </w:r>
      <w:r w:rsidRPr="00DC490A">
        <w:rPr>
          <w:rFonts w:asciiTheme="majorHAnsi" w:hAnsiTheme="majorHAnsi" w:cstheme="majorHAnsi"/>
        </w:rPr>
        <w:t>zkušenostech agentur CzechTrade a</w:t>
      </w:r>
      <w:r w:rsidR="00F47C4E">
        <w:rPr>
          <w:rFonts w:asciiTheme="majorHAnsi" w:hAnsiTheme="majorHAnsi" w:cstheme="majorHAnsi"/>
        </w:rPr>
        <w:t> </w:t>
      </w:r>
      <w:r w:rsidRPr="00DC490A">
        <w:rPr>
          <w:rFonts w:asciiTheme="majorHAnsi" w:hAnsiTheme="majorHAnsi" w:cstheme="majorHAnsi"/>
        </w:rPr>
        <w:t>CzechInvest z</w:t>
      </w:r>
      <w:r w:rsidR="00F47C4E">
        <w:rPr>
          <w:rFonts w:asciiTheme="majorHAnsi" w:hAnsiTheme="majorHAnsi" w:cstheme="majorHAnsi"/>
        </w:rPr>
        <w:t> </w:t>
      </w:r>
      <w:r w:rsidRPr="00DC490A">
        <w:rPr>
          <w:rFonts w:asciiTheme="majorHAnsi" w:hAnsiTheme="majorHAnsi" w:cstheme="majorHAnsi"/>
        </w:rPr>
        <w:t>daného trhu</w:t>
      </w:r>
      <w:r w:rsidR="00245A80" w:rsidRPr="00DC490A">
        <w:rPr>
          <w:rFonts w:asciiTheme="majorHAnsi" w:hAnsiTheme="majorHAnsi" w:cstheme="majorHAnsi"/>
        </w:rPr>
        <w:t>.</w:t>
      </w:r>
      <w:r w:rsidR="0082093C">
        <w:rPr>
          <w:rFonts w:asciiTheme="majorHAnsi" w:hAnsiTheme="majorHAnsi" w:cstheme="majorHAnsi"/>
        </w:rPr>
        <w:t xml:space="preserve"> </w:t>
      </w:r>
      <w:r w:rsidR="00245A80" w:rsidRPr="00DC490A">
        <w:t>Dál</w:t>
      </w:r>
      <w:r w:rsidR="00CB0365">
        <w:t>e</w:t>
      </w:r>
      <w:r w:rsidR="00245A80" w:rsidRPr="00DC490A">
        <w:t xml:space="preserve"> byl vytvořen podrobný procesní manuál pro přípravu ČOÚ, který zjednodušuje spolupráci mezi projektovými </w:t>
      </w:r>
      <w:r w:rsidR="00245A80" w:rsidRPr="00DC490A">
        <w:lastRenderedPageBreak/>
        <w:t>manažery, ministerstvy, agenturami CzechTrade a</w:t>
      </w:r>
      <w:r w:rsidR="00F47C4E">
        <w:t> </w:t>
      </w:r>
      <w:r w:rsidR="00245A80" w:rsidRPr="00DC490A">
        <w:t>CzechInvest a</w:t>
      </w:r>
      <w:r w:rsidR="00F47C4E">
        <w:t> </w:t>
      </w:r>
      <w:r w:rsidR="00245A80" w:rsidRPr="00DC490A">
        <w:t>zastupitelskými úřady.</w:t>
      </w:r>
      <w:r w:rsidR="0082093C">
        <w:t xml:space="preserve"> </w:t>
      </w:r>
      <w:r w:rsidR="00245A80" w:rsidRPr="00DC490A">
        <w:t>V</w:t>
      </w:r>
      <w:r w:rsidR="00F47C4E">
        <w:t> </w:t>
      </w:r>
      <w:r w:rsidR="00245A80" w:rsidRPr="00DC490A">
        <w:t xml:space="preserve">roce 2024 se uskutečnilo celkem 39 </w:t>
      </w:r>
      <w:r w:rsidR="00797C02">
        <w:t>ČOÚ</w:t>
      </w:r>
      <w:r w:rsidR="00245A80" w:rsidRPr="00DC490A">
        <w:t>, kterých se zúčastnilo 390 firem. Předpokládaná kontraktace dosáhla výše 7,4 miliardy Kč</w:t>
      </w:r>
      <w:r w:rsidR="00FD0BCD">
        <w:t xml:space="preserve"> při ročních nákladech 100 mil. Kč</w:t>
      </w:r>
      <w:r w:rsidR="00245A80" w:rsidRPr="00DC490A">
        <w:t>.</w:t>
      </w:r>
      <w:r w:rsidR="00FD0BCD">
        <w:t xml:space="preserve"> To znamená, že na 1 vynaloženou Kč podpory připadlo 74 Kč přímého exportu.</w:t>
      </w:r>
      <w:r w:rsidR="00895B55">
        <w:t xml:space="preserve"> </w:t>
      </w:r>
      <w:r w:rsidR="00245A80" w:rsidRPr="00DC490A">
        <w:t>V</w:t>
      </w:r>
      <w:r w:rsidR="00F47C4E">
        <w:t> </w:t>
      </w:r>
      <w:r w:rsidR="00CB0365">
        <w:t>následujícím</w:t>
      </w:r>
      <w:r w:rsidR="00245A80" w:rsidRPr="00DC490A">
        <w:t xml:space="preserve"> období je – v</w:t>
      </w:r>
      <w:r w:rsidR="00F47C4E">
        <w:t> </w:t>
      </w:r>
      <w:r w:rsidR="00245A80" w:rsidRPr="00DC490A">
        <w:t>závislosti na rozpočtových možnostech – ambicí přistoupit k</w:t>
      </w:r>
      <w:r w:rsidR="00F47C4E">
        <w:t> </w:t>
      </w:r>
      <w:r w:rsidR="00245A80" w:rsidRPr="00DC490A">
        <w:t>postupné digitalizaci procesů souvisejících s</w:t>
      </w:r>
      <w:r w:rsidR="00F47C4E">
        <w:t> </w:t>
      </w:r>
      <w:r w:rsidR="00245A80" w:rsidRPr="00DC490A">
        <w:t>podáváním návrhů, přihlášek či hodnocením akcí.</w:t>
      </w:r>
    </w:p>
    <w:p w14:paraId="226C5205" w14:textId="186E25F1" w:rsidR="007D64C8" w:rsidRDefault="001D02D4" w:rsidP="001D02D4">
      <w:pPr>
        <w:pStyle w:val="Bezmezer"/>
        <w:spacing w:after="60"/>
        <w:jc w:val="both"/>
      </w:pPr>
      <w:r>
        <w:t xml:space="preserve">Program ČOÚ doplňují </w:t>
      </w:r>
      <w:r w:rsidR="00216E99">
        <w:rPr>
          <w:noProof/>
          <w:color w:val="auto"/>
        </w:rPr>
        <w:t>p</w:t>
      </w:r>
      <w:r w:rsidR="00216E99" w:rsidRPr="00DC490A">
        <w:rPr>
          <w:noProof/>
          <w:color w:val="auto"/>
        </w:rPr>
        <w:t>rojekty Novumm 2 a</w:t>
      </w:r>
      <w:r w:rsidR="00F47C4E">
        <w:rPr>
          <w:noProof/>
          <w:color w:val="auto"/>
        </w:rPr>
        <w:t> </w:t>
      </w:r>
      <w:r w:rsidR="00216E99" w:rsidRPr="00DC490A">
        <w:rPr>
          <w:noProof/>
          <w:color w:val="auto"/>
        </w:rPr>
        <w:t>Novumm2KET</w:t>
      </w:r>
      <w:r w:rsidR="00216E99">
        <w:rPr>
          <w:noProof/>
          <w:color w:val="auto"/>
        </w:rPr>
        <w:t xml:space="preserve"> realizované agenturou CzechTrade a</w:t>
      </w:r>
      <w:r w:rsidR="00F47C4E">
        <w:rPr>
          <w:noProof/>
          <w:color w:val="auto"/>
        </w:rPr>
        <w:t> </w:t>
      </w:r>
      <w:r w:rsidR="00216E99">
        <w:rPr>
          <w:noProof/>
          <w:color w:val="auto"/>
        </w:rPr>
        <w:t xml:space="preserve">spolufinancované EU. Jejich </w:t>
      </w:r>
      <w:r w:rsidR="00216E99" w:rsidRPr="00DC490A">
        <w:rPr>
          <w:noProof/>
          <w:color w:val="auto"/>
        </w:rPr>
        <w:t>cílem je mal</w:t>
      </w:r>
      <w:r w:rsidR="00216E99">
        <w:rPr>
          <w:noProof/>
          <w:color w:val="auto"/>
        </w:rPr>
        <w:t>ým</w:t>
      </w:r>
      <w:r w:rsidR="00216E99" w:rsidRPr="00DC490A">
        <w:rPr>
          <w:noProof/>
          <w:color w:val="auto"/>
        </w:rPr>
        <w:t xml:space="preserve"> a</w:t>
      </w:r>
      <w:r w:rsidR="00F47C4E">
        <w:rPr>
          <w:noProof/>
          <w:color w:val="auto"/>
        </w:rPr>
        <w:t> </w:t>
      </w:r>
      <w:r w:rsidR="00216E99" w:rsidRPr="00DC490A">
        <w:rPr>
          <w:noProof/>
          <w:color w:val="auto"/>
        </w:rPr>
        <w:t>středním podnikům usnadnit vstup a</w:t>
      </w:r>
      <w:r w:rsidR="00F47C4E">
        <w:rPr>
          <w:noProof/>
          <w:color w:val="auto"/>
        </w:rPr>
        <w:t> </w:t>
      </w:r>
      <w:r w:rsidR="00216E99" w:rsidRPr="00DC490A">
        <w:rPr>
          <w:noProof/>
          <w:color w:val="auto"/>
        </w:rPr>
        <w:t>působení na zahraničních trzích</w:t>
      </w:r>
      <w:r w:rsidR="00216E99">
        <w:rPr>
          <w:noProof/>
          <w:color w:val="auto"/>
        </w:rPr>
        <w:t xml:space="preserve"> </w:t>
      </w:r>
      <w:r w:rsidR="00216E99" w:rsidRPr="00DC490A">
        <w:rPr>
          <w:noProof/>
          <w:color w:val="auto"/>
        </w:rPr>
        <w:t>prostřednictvím jejich účasti na vybraných specializovaných výstavách a</w:t>
      </w:r>
      <w:r w:rsidR="00F47C4E">
        <w:rPr>
          <w:noProof/>
          <w:color w:val="auto"/>
        </w:rPr>
        <w:t> </w:t>
      </w:r>
      <w:r w:rsidR="00216E99" w:rsidRPr="00DC490A">
        <w:rPr>
          <w:noProof/>
          <w:color w:val="auto"/>
        </w:rPr>
        <w:t>veletrzích</w:t>
      </w:r>
      <w:r w:rsidR="00216E99">
        <w:rPr>
          <w:noProof/>
          <w:color w:val="auto"/>
        </w:rPr>
        <w:t>. V</w:t>
      </w:r>
      <w:r w:rsidR="00F47C4E">
        <w:rPr>
          <w:noProof/>
          <w:color w:val="auto"/>
        </w:rPr>
        <w:t> </w:t>
      </w:r>
      <w:r w:rsidR="00216E99">
        <w:rPr>
          <w:noProof/>
          <w:color w:val="auto"/>
        </w:rPr>
        <w:t>roce 2024</w:t>
      </w:r>
      <w:r w:rsidR="00216E99" w:rsidRPr="00DC490A">
        <w:rPr>
          <w:noProof/>
          <w:color w:val="auto"/>
        </w:rPr>
        <w:t xml:space="preserve"> podpořily 49 </w:t>
      </w:r>
      <w:r w:rsidR="00216E99">
        <w:rPr>
          <w:noProof/>
          <w:color w:val="auto"/>
        </w:rPr>
        <w:t xml:space="preserve">společností </w:t>
      </w:r>
      <w:r w:rsidR="00216E99" w:rsidRPr="00DC490A">
        <w:rPr>
          <w:noProof/>
          <w:color w:val="auto"/>
        </w:rPr>
        <w:t xml:space="preserve">na 7 akcích, resp. 40 na 6 akcích. </w:t>
      </w:r>
      <w:r w:rsidR="00216E99">
        <w:t>V</w:t>
      </w:r>
      <w:r w:rsidR="00F47C4E">
        <w:t> </w:t>
      </w:r>
      <w:r w:rsidR="00216E99">
        <w:t>rámci služeb zahraničních kanceláří jsou realizovány také společné účasti pod hlavičkou</w:t>
      </w:r>
      <w:r w:rsidR="007D64C8">
        <w:t xml:space="preserve"> agentury CzechTrade, které umožňují </w:t>
      </w:r>
      <w:r w:rsidR="00216E99">
        <w:t>firmám</w:t>
      </w:r>
      <w:r>
        <w:t xml:space="preserve"> </w:t>
      </w:r>
      <w:r w:rsidR="007D64C8">
        <w:t>vystavovat na zahraničních veletrzích v</w:t>
      </w:r>
      <w:r w:rsidR="00F47C4E">
        <w:t> </w:t>
      </w:r>
      <w:r w:rsidR="007D64C8">
        <w:t xml:space="preserve">rámci společné expozice. </w:t>
      </w:r>
      <w:r>
        <w:t>V</w:t>
      </w:r>
      <w:r w:rsidR="00F47C4E">
        <w:t> </w:t>
      </w:r>
      <w:r w:rsidR="007D64C8">
        <w:t xml:space="preserve">roce 2024 bylo realizováno celkem </w:t>
      </w:r>
      <w:r w:rsidR="00C20379">
        <w:t>61</w:t>
      </w:r>
      <w:r w:rsidR="007D64C8">
        <w:t xml:space="preserve"> akcí, kterých se zúčastnilo </w:t>
      </w:r>
      <w:r w:rsidR="00C20379">
        <w:t>338</w:t>
      </w:r>
      <w:r w:rsidR="007D64C8">
        <w:t xml:space="preserve"> českých </w:t>
      </w:r>
      <w:r w:rsidR="00216E99">
        <w:t>společností</w:t>
      </w:r>
      <w:r w:rsidR="007D64C8">
        <w:t xml:space="preserve">. </w:t>
      </w:r>
    </w:p>
    <w:p w14:paraId="20E7DFF7" w14:textId="6CB3A5FA" w:rsidR="006D316F" w:rsidRDefault="006D316F" w:rsidP="001D02D4">
      <w:pPr>
        <w:pStyle w:val="Bezmezer"/>
        <w:spacing w:after="60"/>
        <w:jc w:val="both"/>
      </w:pPr>
      <w:r>
        <w:t>Ministerstvo zemědělství v</w:t>
      </w:r>
      <w:r w:rsidR="00F47C4E">
        <w:t> </w:t>
      </w:r>
      <w:r>
        <w:t>roce 2024 realizovalo oficiální účasti na čtyřech významných mezinárodních potravinářských veletrzích</w:t>
      </w:r>
      <w:r w:rsidR="005D59FF">
        <w:t>, včetně dvou mimounijních</w:t>
      </w:r>
      <w:r>
        <w:t>. Zároveň pokračovalo v</w:t>
      </w:r>
      <w:r w:rsidR="00F47C4E">
        <w:t> </w:t>
      </w:r>
      <w:r>
        <w:t>podpoře účasti podniků na mezinárodních veletrzích a</w:t>
      </w:r>
      <w:r w:rsidR="00F47C4E">
        <w:t> </w:t>
      </w:r>
      <w:r>
        <w:t>výstavách v</w:t>
      </w:r>
      <w:r w:rsidR="00F47C4E">
        <w:t> </w:t>
      </w:r>
      <w:r>
        <w:t>zahraničí prostřednictvím národního dotačního programu 9.H.</w:t>
      </w:r>
    </w:p>
    <w:p w14:paraId="7688DAEF" w14:textId="0AE28E48" w:rsidR="00186954" w:rsidRPr="0082093C" w:rsidRDefault="00186954" w:rsidP="00215AD6">
      <w:pPr>
        <w:pStyle w:val="Nadpis2"/>
      </w:pPr>
      <w:bookmarkStart w:id="114" w:name="_Toc169187291"/>
      <w:bookmarkStart w:id="115" w:name="_Toc197336371"/>
      <w:bookmarkStart w:id="116" w:name="_Hlk198545013"/>
      <w:bookmarkEnd w:id="113"/>
      <w:r w:rsidRPr="0082093C">
        <w:t>Branding ČR a</w:t>
      </w:r>
      <w:r w:rsidR="00F47C4E">
        <w:t> </w:t>
      </w:r>
      <w:r w:rsidRPr="0082093C">
        <w:t>jednotný vizuální styl státních institucí</w:t>
      </w:r>
      <w:bookmarkEnd w:id="114"/>
      <w:bookmarkEnd w:id="115"/>
    </w:p>
    <w:p w14:paraId="454DCBC6" w14:textId="4BC3D726" w:rsidR="006A074C" w:rsidRPr="00DC490A" w:rsidRDefault="006A074C" w:rsidP="006A074C">
      <w:pPr>
        <w:pStyle w:val="Bezmezer"/>
        <w:spacing w:after="60"/>
        <w:jc w:val="both"/>
      </w:pPr>
      <w:bookmarkStart w:id="117" w:name="_Hlk198545025"/>
      <w:bookmarkEnd w:id="116"/>
      <w:r w:rsidRPr="00DC490A">
        <w:t xml:space="preserve">Český </w:t>
      </w:r>
      <w:r w:rsidR="00FC3433">
        <w:t>stát</w:t>
      </w:r>
      <w:r w:rsidRPr="00DC490A">
        <w:t xml:space="preserve"> postrádá jednotný a</w:t>
      </w:r>
      <w:r w:rsidR="00F47C4E">
        <w:t> </w:t>
      </w:r>
      <w:r w:rsidRPr="00DC490A">
        <w:t xml:space="preserve">stabilní rámec </w:t>
      </w:r>
      <w:r w:rsidR="00FC3433">
        <w:t>vizuální prezentace, naopak se</w:t>
      </w:r>
      <w:r w:rsidR="00CF0A9C">
        <w:t> </w:t>
      </w:r>
      <w:r w:rsidRPr="00DC490A">
        <w:t>vyznačuje roztříštěnou identitou státních institucí, což</w:t>
      </w:r>
      <w:r w:rsidR="0082093C">
        <w:t xml:space="preserve"> se negativně odráží</w:t>
      </w:r>
      <w:r w:rsidRPr="00DC490A">
        <w:t xml:space="preserve"> na</w:t>
      </w:r>
      <w:r w:rsidR="00FC3433" w:rsidRPr="00FC3433">
        <w:t xml:space="preserve"> </w:t>
      </w:r>
      <w:r w:rsidR="00FC3433">
        <w:t>srozumitelnosti komunikace státu dovnitř i</w:t>
      </w:r>
      <w:r w:rsidR="00F47C4E">
        <w:t> </w:t>
      </w:r>
      <w:r w:rsidR="00FC3433">
        <w:t>navenek</w:t>
      </w:r>
      <w:r w:rsidRPr="00DC490A">
        <w:t>.</w:t>
      </w:r>
    </w:p>
    <w:p w14:paraId="15EC7B26" w14:textId="4AB7AA34" w:rsidR="006A074C" w:rsidRPr="00DC490A" w:rsidRDefault="00797C02" w:rsidP="006A074C">
      <w:pPr>
        <w:pStyle w:val="Bezmezer"/>
        <w:spacing w:after="60"/>
        <w:jc w:val="both"/>
      </w:pPr>
      <w:r>
        <w:t>Důležitým posunem</w:t>
      </w:r>
      <w:r w:rsidR="00F07208" w:rsidRPr="00DC490A">
        <w:t xml:space="preserve"> směrem k</w:t>
      </w:r>
      <w:r w:rsidR="00F47C4E">
        <w:t> </w:t>
      </w:r>
      <w:r w:rsidR="00F07208" w:rsidRPr="00DC490A">
        <w:t>sjednocení vizuální prezentace státu bylo vyhlášení jednokolové anonymní soutěže na návrh jednotného vizuálního stylu, a</w:t>
      </w:r>
      <w:r w:rsidR="00F47C4E">
        <w:t> </w:t>
      </w:r>
      <w:r w:rsidR="00F07208" w:rsidRPr="00DC490A">
        <w:t>to v</w:t>
      </w:r>
      <w:r w:rsidR="00F47C4E">
        <w:t> </w:t>
      </w:r>
      <w:r w:rsidR="00F07208" w:rsidRPr="00DC490A">
        <w:t>souvislosti s</w:t>
      </w:r>
      <w:r w:rsidR="00F47C4E">
        <w:t> </w:t>
      </w:r>
      <w:r w:rsidR="00F07208" w:rsidRPr="00DC490A">
        <w:t xml:space="preserve">plněním usnesení vlády č. 984 ze dne 20. prosince 2023. </w:t>
      </w:r>
      <w:r w:rsidR="006A074C" w:rsidRPr="00DC490A">
        <w:t>Soutěž zahrnovala vytvoření loga vycházejícího z</w:t>
      </w:r>
      <w:r w:rsidR="00F47C4E">
        <w:t> </w:t>
      </w:r>
      <w:r w:rsidR="006A074C" w:rsidRPr="00DC490A">
        <w:t>malého státního znaku a</w:t>
      </w:r>
      <w:r w:rsidR="00F47C4E">
        <w:t> </w:t>
      </w:r>
      <w:r w:rsidR="006A074C" w:rsidRPr="00DC490A">
        <w:t>návrhu jednotné vizuální identity. Předložené návrhy byly posouzeny odbornou porotou složenou z</w:t>
      </w:r>
      <w:r w:rsidR="00F47C4E">
        <w:t> </w:t>
      </w:r>
      <w:r w:rsidR="006A074C" w:rsidRPr="00DC490A">
        <w:t>nezávislých expertů v</w:t>
      </w:r>
      <w:r w:rsidR="00F47C4E">
        <w:t> </w:t>
      </w:r>
      <w:r w:rsidR="006A074C" w:rsidRPr="00DC490A">
        <w:t xml:space="preserve">oblasti grafického designu. </w:t>
      </w:r>
      <w:r w:rsidR="0082093C">
        <w:t>V</w:t>
      </w:r>
      <w:r w:rsidR="006A074C" w:rsidRPr="00DC490A">
        <w:t xml:space="preserve">ítězný návrh </w:t>
      </w:r>
      <w:r w:rsidR="0082093C">
        <w:t xml:space="preserve">bude </w:t>
      </w:r>
      <w:r w:rsidR="006A074C" w:rsidRPr="00DC490A">
        <w:t>předlož</w:t>
      </w:r>
      <w:r w:rsidR="0082093C">
        <w:t>en</w:t>
      </w:r>
      <w:r w:rsidR="006A074C" w:rsidRPr="00DC490A">
        <w:t xml:space="preserve"> vládě ke schválení do poloviny roku 2025</w:t>
      </w:r>
      <w:r w:rsidR="00F07208" w:rsidRPr="00DC490A">
        <w:t>.</w:t>
      </w:r>
    </w:p>
    <w:p w14:paraId="1539B6F7" w14:textId="64C8EC0A" w:rsidR="008719C4" w:rsidRPr="001A068D" w:rsidRDefault="006A074C" w:rsidP="00B434AA">
      <w:pPr>
        <w:pStyle w:val="Bezmezer"/>
        <w:spacing w:after="60"/>
        <w:jc w:val="both"/>
      </w:pPr>
      <w:r w:rsidRPr="00DC490A">
        <w:t>Souběžně pokračovaly aktivity směřující k</w:t>
      </w:r>
      <w:r w:rsidR="00F47C4E">
        <w:t> </w:t>
      </w:r>
      <w:r w:rsidRPr="00DC490A">
        <w:t>vytvoření národní značky (tzv. brandu) České republiky, která bude autenticky reflektovat a</w:t>
      </w:r>
      <w:r w:rsidR="00F47C4E">
        <w:t> </w:t>
      </w:r>
      <w:r w:rsidRPr="00DC490A">
        <w:t>komunikovat hodnoty a</w:t>
      </w:r>
      <w:r w:rsidR="00F47C4E">
        <w:t> </w:t>
      </w:r>
      <w:r w:rsidRPr="00DC490A">
        <w:t xml:space="preserve">příběh země. </w:t>
      </w:r>
      <w:r w:rsidR="008719C4" w:rsidRPr="0004135B">
        <w:t>Jedná se o</w:t>
      </w:r>
      <w:r w:rsidR="00F47C4E">
        <w:t> </w:t>
      </w:r>
      <w:r w:rsidR="008719C4" w:rsidRPr="0004135B">
        <w:t>projekt k</w:t>
      </w:r>
      <w:r w:rsidR="00F47C4E">
        <w:t> </w:t>
      </w:r>
      <w:r w:rsidR="008719C4" w:rsidRPr="0004135B">
        <w:t>systematickému posilování reputace Česka v</w:t>
      </w:r>
      <w:r w:rsidR="00F47C4E">
        <w:t> </w:t>
      </w:r>
      <w:r w:rsidR="008719C4" w:rsidRPr="0004135B">
        <w:t>zahraničí. Nejde tedy primárně o</w:t>
      </w:r>
      <w:r w:rsidR="00F47C4E">
        <w:t> </w:t>
      </w:r>
      <w:r w:rsidR="008719C4" w:rsidRPr="0004135B">
        <w:t>vizuální prezentaci, ale o</w:t>
      </w:r>
      <w:r w:rsidR="00F47C4E">
        <w:t> </w:t>
      </w:r>
      <w:r w:rsidR="008719C4" w:rsidRPr="0004135B">
        <w:t>vytvoření systému pro koordinaci aktérů s</w:t>
      </w:r>
      <w:r w:rsidR="00F47C4E">
        <w:t> </w:t>
      </w:r>
      <w:r w:rsidR="008719C4" w:rsidRPr="0004135B">
        <w:t>podílem na aktivitách se zahraničním přesahem, a</w:t>
      </w:r>
      <w:r w:rsidR="00F47C4E">
        <w:t> </w:t>
      </w:r>
      <w:r w:rsidR="008719C4" w:rsidRPr="0004135B">
        <w:t>tedy s</w:t>
      </w:r>
      <w:r w:rsidR="00F47C4E">
        <w:t> </w:t>
      </w:r>
      <w:r w:rsidR="008719C4" w:rsidRPr="0004135B">
        <w:t xml:space="preserve">potenciálem ovlivnit reputaci země. </w:t>
      </w:r>
    </w:p>
    <w:p w14:paraId="59CB3B79" w14:textId="5A7478D0" w:rsidR="00AB01B9" w:rsidRPr="00DC490A" w:rsidRDefault="006A074C" w:rsidP="00F07208">
      <w:pPr>
        <w:pStyle w:val="Bezmezer"/>
        <w:spacing w:after="60"/>
        <w:jc w:val="both"/>
      </w:pPr>
      <w:r w:rsidRPr="00DC490A">
        <w:t>V</w:t>
      </w:r>
      <w:r w:rsidR="00CF0A9C">
        <w:t> </w:t>
      </w:r>
      <w:r w:rsidRPr="00DC490A">
        <w:t>roce 2024 byla nastavena řídicí struktura projektu, sestaven realizační tým a</w:t>
      </w:r>
      <w:r w:rsidR="00F47C4E">
        <w:t> </w:t>
      </w:r>
      <w:r w:rsidRPr="00DC490A">
        <w:t xml:space="preserve">zahájeny analytické </w:t>
      </w:r>
      <w:r w:rsidR="0082093C">
        <w:t>práce</w:t>
      </w:r>
      <w:r w:rsidRPr="00DC490A">
        <w:t>. Cílem je dokončit návrh národní značky v</w:t>
      </w:r>
      <w:r w:rsidR="00F47C4E">
        <w:t> </w:t>
      </w:r>
      <w:r w:rsidRPr="00DC490A">
        <w:t>roce 2025 a</w:t>
      </w:r>
      <w:r w:rsidR="00F47C4E">
        <w:t> </w:t>
      </w:r>
      <w:r w:rsidR="0082093C">
        <w:t>přistoupit k</w:t>
      </w:r>
      <w:r w:rsidR="00F47C4E">
        <w:t> </w:t>
      </w:r>
      <w:r w:rsidR="0082093C">
        <w:t>její im</w:t>
      </w:r>
      <w:r w:rsidRPr="00DC490A">
        <w:t>plementaci v</w:t>
      </w:r>
      <w:r w:rsidR="00F47C4E">
        <w:t> </w:t>
      </w:r>
      <w:r w:rsidRPr="00DC490A">
        <w:t>roce 2026.</w:t>
      </w:r>
      <w:r w:rsidR="007701B9" w:rsidRPr="00DC490A">
        <w:t xml:space="preserve"> </w:t>
      </w:r>
      <w:r w:rsidR="00F07208" w:rsidRPr="00DC490A">
        <w:t xml:space="preserve"> </w:t>
      </w:r>
    </w:p>
    <w:p w14:paraId="7B3D94F9" w14:textId="1162F63C" w:rsidR="00186954" w:rsidRPr="00DC490A" w:rsidRDefault="00186954" w:rsidP="00215AD6">
      <w:pPr>
        <w:pStyle w:val="Nadpis2"/>
      </w:pPr>
      <w:bookmarkStart w:id="118" w:name="_Toc169187292"/>
      <w:bookmarkStart w:id="119" w:name="_Toc197336372"/>
      <w:bookmarkEnd w:id="117"/>
      <w:r w:rsidRPr="00DC490A">
        <w:t>Analýza a</w:t>
      </w:r>
      <w:r w:rsidR="00F47C4E">
        <w:t> </w:t>
      </w:r>
      <w:r w:rsidRPr="00DC490A">
        <w:t>optimalizace institucionálního uspořádání</w:t>
      </w:r>
      <w:r w:rsidR="001060EC" w:rsidRPr="00DC490A">
        <w:t xml:space="preserve"> exportního financování</w:t>
      </w:r>
      <w:bookmarkEnd w:id="118"/>
      <w:bookmarkEnd w:id="119"/>
      <w:r w:rsidR="001060EC" w:rsidRPr="00DC490A">
        <w:t xml:space="preserve"> </w:t>
      </w:r>
    </w:p>
    <w:p w14:paraId="32B78DE0" w14:textId="3E587405" w:rsidR="00F810AF" w:rsidRDefault="00F810AF" w:rsidP="00821B38">
      <w:pPr>
        <w:spacing w:after="60" w:line="240" w:lineRule="auto"/>
        <w:jc w:val="both"/>
      </w:pPr>
      <w:r w:rsidRPr="00DC490A">
        <w:t xml:space="preserve">V roce 2024 </w:t>
      </w:r>
      <w:r w:rsidR="00850A2C">
        <w:t>bylo dosaženo významného pokroku v</w:t>
      </w:r>
      <w:r w:rsidR="00F47C4E">
        <w:t> </w:t>
      </w:r>
      <w:r w:rsidRPr="00DC490A">
        <w:t>procesu integrace České exportní banky (ČEB) a</w:t>
      </w:r>
      <w:r w:rsidR="00F47C4E">
        <w:t> </w:t>
      </w:r>
      <w:r w:rsidRPr="00DC490A">
        <w:t>Národní rozvojové banky (NRB), jejímž cílem je optimalizace institucionálního uspořádání a</w:t>
      </w:r>
      <w:r w:rsidR="00F47C4E">
        <w:t> </w:t>
      </w:r>
      <w:r w:rsidRPr="00DC490A">
        <w:t xml:space="preserve">efektivnější poskytování služeb exportního financování. </w:t>
      </w:r>
      <w:r w:rsidR="001C5A27" w:rsidRPr="00DC490A">
        <w:t xml:space="preserve">Byly </w:t>
      </w:r>
      <w:r w:rsidRPr="00DC490A">
        <w:t>naplněny klíčové legislativní předpoklady</w:t>
      </w:r>
      <w:r w:rsidR="0082093C">
        <w:t xml:space="preserve"> – přijetí zákona </w:t>
      </w:r>
      <w:r w:rsidRPr="00DC490A">
        <w:t>o</w:t>
      </w:r>
      <w:r w:rsidR="00F47C4E">
        <w:t> </w:t>
      </w:r>
      <w:r w:rsidRPr="00DC490A">
        <w:t xml:space="preserve">Národní rozvojové bance (č. 34/2025 Sb.), který NRB uděluje zvláštní </w:t>
      </w:r>
      <w:r w:rsidR="0082093C">
        <w:t xml:space="preserve">postavení </w:t>
      </w:r>
      <w:r w:rsidRPr="00DC490A">
        <w:t>rozvojové banky, a</w:t>
      </w:r>
      <w:r w:rsidR="00F47C4E">
        <w:t> </w:t>
      </w:r>
      <w:r w:rsidRPr="00DC490A">
        <w:t>novel</w:t>
      </w:r>
      <w:r w:rsidR="0082093C">
        <w:t>y</w:t>
      </w:r>
      <w:r w:rsidR="004B6D50">
        <w:t xml:space="preserve"> </w:t>
      </w:r>
      <w:r w:rsidRPr="00DC490A">
        <w:t>zákona č.</w:t>
      </w:r>
      <w:r w:rsidR="0082093C">
        <w:t> </w:t>
      </w:r>
      <w:r w:rsidRPr="00DC490A">
        <w:t xml:space="preserve">58/1995 Sb. (č. 35/2025 Sb.) umožňující vlastnickou konsolidaci ČEB </w:t>
      </w:r>
      <w:r w:rsidR="0082093C">
        <w:t xml:space="preserve">jako dceřiné společnosti </w:t>
      </w:r>
      <w:r w:rsidRPr="00DC490A">
        <w:t>NRB.</w:t>
      </w:r>
      <w:r w:rsidR="006D316F">
        <w:t xml:space="preserve"> </w:t>
      </w:r>
      <w:r w:rsidRPr="00DC490A">
        <w:t xml:space="preserve">Během roku </w:t>
      </w:r>
      <w:r w:rsidR="0082093C">
        <w:t xml:space="preserve">2024 </w:t>
      </w:r>
      <w:r w:rsidRPr="00DC490A">
        <w:t xml:space="preserve">byly </w:t>
      </w:r>
      <w:r w:rsidR="004B6D50">
        <w:t xml:space="preserve">také </w:t>
      </w:r>
      <w:r w:rsidRPr="00DC490A">
        <w:t xml:space="preserve">vytvořeny </w:t>
      </w:r>
      <w:r w:rsidR="00BC4A65">
        <w:t xml:space="preserve">podmínky </w:t>
      </w:r>
      <w:r w:rsidRPr="00DC490A">
        <w:t xml:space="preserve">pro </w:t>
      </w:r>
      <w:r w:rsidR="0082093C">
        <w:t xml:space="preserve">odkup </w:t>
      </w:r>
      <w:r w:rsidRPr="00DC490A">
        <w:t xml:space="preserve">akcií ČEB </w:t>
      </w:r>
      <w:r w:rsidR="0082093C">
        <w:t>vlastněných</w:t>
      </w:r>
      <w:r w:rsidR="004B6D50">
        <w:t xml:space="preserve"> EGAP a</w:t>
      </w:r>
      <w:r w:rsidR="00F47C4E">
        <w:t> </w:t>
      </w:r>
      <w:r w:rsidR="004B6D50">
        <w:t>probíhala h</w:t>
      </w:r>
      <w:r w:rsidRPr="00DC490A">
        <w:t>armonizac</w:t>
      </w:r>
      <w:r w:rsidR="004B6D50">
        <w:t>e</w:t>
      </w:r>
      <w:r w:rsidRPr="00DC490A">
        <w:t xml:space="preserve"> vnitřního fungování obou institucí</w:t>
      </w:r>
      <w:r w:rsidR="001C5A27" w:rsidRPr="00DC490A">
        <w:t>, zejména v</w:t>
      </w:r>
      <w:r w:rsidR="00F47C4E">
        <w:t> </w:t>
      </w:r>
      <w:r w:rsidRPr="00DC490A">
        <w:t>IT</w:t>
      </w:r>
      <w:r w:rsidR="00BC4A65">
        <w:t>,</w:t>
      </w:r>
      <w:r w:rsidR="007552F3">
        <w:t> </w:t>
      </w:r>
      <w:r w:rsidRPr="00DC490A">
        <w:t>právní</w:t>
      </w:r>
      <w:r w:rsidR="001C5A27" w:rsidRPr="00DC490A">
        <w:t xml:space="preserve">, </w:t>
      </w:r>
      <w:r w:rsidRPr="00DC490A">
        <w:t>daňo</w:t>
      </w:r>
      <w:r w:rsidR="001C5A27" w:rsidRPr="00DC490A">
        <w:t xml:space="preserve">vé či </w:t>
      </w:r>
      <w:r w:rsidRPr="00DC490A">
        <w:t>účetní</w:t>
      </w:r>
      <w:r w:rsidR="001C5A27" w:rsidRPr="00DC490A">
        <w:t xml:space="preserve"> oblasti. </w:t>
      </w:r>
      <w:r w:rsidRPr="00DC490A">
        <w:t>Tím byl vytvořen základ pro praktické naplnění vlastnického propojení a</w:t>
      </w:r>
      <w:r w:rsidR="00F47C4E">
        <w:t> </w:t>
      </w:r>
      <w:r w:rsidRPr="00DC490A">
        <w:t>efektivnější poskytování služeb v</w:t>
      </w:r>
      <w:r w:rsidR="00F47C4E">
        <w:t> </w:t>
      </w:r>
      <w:r w:rsidRPr="00DC490A">
        <w:t>oblasti exportního financování.</w:t>
      </w:r>
      <w:r w:rsidR="001C5A27" w:rsidRPr="00DC490A">
        <w:t xml:space="preserve"> </w:t>
      </w:r>
    </w:p>
    <w:p w14:paraId="17D7A3D5" w14:textId="7DEDE94B" w:rsidR="00461F5A" w:rsidRDefault="00461F5A" w:rsidP="00821B38">
      <w:pPr>
        <w:spacing w:after="60" w:line="240" w:lineRule="auto"/>
        <w:jc w:val="both"/>
      </w:pPr>
      <w:r w:rsidRPr="00461F5A">
        <w:t xml:space="preserve">V reakci na omezenou dostupnost komerčního financování pro podniky obranného průmyslu byl připraven materiál </w:t>
      </w:r>
      <w:r>
        <w:t>ke zřízení</w:t>
      </w:r>
      <w:r w:rsidR="0043059B">
        <w:t xml:space="preserve"> </w:t>
      </w:r>
      <w:r w:rsidR="0043059B" w:rsidRPr="00461F5A">
        <w:t>Program</w:t>
      </w:r>
      <w:r w:rsidR="0043059B">
        <w:t>u</w:t>
      </w:r>
      <w:r w:rsidR="0043059B" w:rsidRPr="00461F5A">
        <w:t xml:space="preserve"> podpory obranného průmyslu </w:t>
      </w:r>
      <w:r w:rsidR="00647B6F" w:rsidRPr="00461F5A">
        <w:t>EGAP</w:t>
      </w:r>
      <w:r w:rsidR="00647B6F">
        <w:t>, který</w:t>
      </w:r>
      <w:r w:rsidR="0043059B">
        <w:t xml:space="preserve"> vláda schválila v</w:t>
      </w:r>
      <w:r w:rsidR="00F47C4E">
        <w:t> </w:t>
      </w:r>
      <w:r w:rsidR="0043059B">
        <w:t>březnu 2025.</w:t>
      </w:r>
      <w:r w:rsidR="0043059B" w:rsidRPr="00461F5A">
        <w:t xml:space="preserve"> </w:t>
      </w:r>
      <w:r w:rsidR="0043059B">
        <w:t xml:space="preserve">Cílem Programu je </w:t>
      </w:r>
      <w:r>
        <w:t>zvýšit mezinárodní konkurenceschopnost českých výrobců vojenského materiálu, zboží dvojího užití a</w:t>
      </w:r>
      <w:r w:rsidR="00F47C4E">
        <w:t> </w:t>
      </w:r>
      <w:r>
        <w:t>souvisejících služeb prostřednictvím pojištění úvěrů poskytovaných na investiční a</w:t>
      </w:r>
      <w:r w:rsidR="00F47C4E">
        <w:t> </w:t>
      </w:r>
      <w:r>
        <w:t>provozní výdaje. Počáteční posílení základního kapitálu EGAP o</w:t>
      </w:r>
      <w:r w:rsidR="00F47C4E">
        <w:t> </w:t>
      </w:r>
      <w:r>
        <w:t xml:space="preserve">500 mil. Kč umožnilo pojistnou angažovanost až do výše 5 mld. Kč. Efektivnost </w:t>
      </w:r>
      <w:r w:rsidR="0043059B">
        <w:t>Programu z</w:t>
      </w:r>
      <w:r w:rsidR="00F47C4E">
        <w:t> </w:t>
      </w:r>
      <w:r w:rsidR="0043059B">
        <w:t>hlediska rozvoje kapacit obranného průmyslu</w:t>
      </w:r>
      <w:r>
        <w:t xml:space="preserve"> bude vyhodnocována každých šest měsíců.</w:t>
      </w:r>
    </w:p>
    <w:p w14:paraId="1A186713" w14:textId="6DB1E9BC" w:rsidR="00186954" w:rsidRPr="00DC490A" w:rsidRDefault="00186954" w:rsidP="00215AD6">
      <w:pPr>
        <w:pStyle w:val="Nadpis2"/>
      </w:pPr>
      <w:bookmarkStart w:id="120" w:name="_Toc197336373"/>
      <w:bookmarkStart w:id="121" w:name="_Toc197336374"/>
      <w:bookmarkStart w:id="122" w:name="_Toc169187294"/>
      <w:bookmarkStart w:id="123" w:name="_Toc197336375"/>
      <w:bookmarkEnd w:id="120"/>
      <w:bookmarkEnd w:id="121"/>
      <w:r w:rsidRPr="00DC490A">
        <w:t>Prohloubení a</w:t>
      </w:r>
      <w:r w:rsidR="00F47C4E">
        <w:t> </w:t>
      </w:r>
      <w:r w:rsidRPr="00DC490A">
        <w:t>institucionalizace spolupráce s</w:t>
      </w:r>
      <w:r w:rsidR="00F47C4E">
        <w:t> </w:t>
      </w:r>
      <w:r w:rsidRPr="00DC490A">
        <w:t>NRB</w:t>
      </w:r>
      <w:bookmarkEnd w:id="122"/>
      <w:bookmarkEnd w:id="123"/>
    </w:p>
    <w:p w14:paraId="7A3BB0AD" w14:textId="4177AD0E" w:rsidR="00855913" w:rsidRPr="00DC490A" w:rsidRDefault="002C1159" w:rsidP="002C1159">
      <w:pPr>
        <w:spacing w:after="0" w:line="240" w:lineRule="auto"/>
        <w:contextualSpacing/>
        <w:jc w:val="both"/>
        <w:rPr>
          <w:rFonts w:asciiTheme="majorHAnsi" w:hAnsiTheme="majorHAnsi" w:cstheme="majorHAnsi"/>
        </w:rPr>
      </w:pPr>
      <w:r w:rsidRPr="00DC490A">
        <w:t>V roce 2024 pokračovalo prohlubování spolupráce mezi ČEB a</w:t>
      </w:r>
      <w:r w:rsidR="00F47C4E">
        <w:t> </w:t>
      </w:r>
      <w:r w:rsidRPr="00DC490A">
        <w:t>NRB</w:t>
      </w:r>
      <w:r w:rsidR="00855913" w:rsidRPr="00DC490A">
        <w:rPr>
          <w:rFonts w:asciiTheme="majorHAnsi" w:hAnsiTheme="majorHAnsi" w:cstheme="majorHAnsi"/>
        </w:rPr>
        <w:t>, vzájemné sdílení know-how</w:t>
      </w:r>
      <w:r w:rsidR="005A1600">
        <w:rPr>
          <w:rFonts w:asciiTheme="majorHAnsi" w:hAnsiTheme="majorHAnsi" w:cstheme="majorHAnsi"/>
        </w:rPr>
        <w:t xml:space="preserve"> v</w:t>
      </w:r>
      <w:r w:rsidR="00F47C4E">
        <w:rPr>
          <w:rFonts w:asciiTheme="majorHAnsi" w:hAnsiTheme="majorHAnsi" w:cstheme="majorHAnsi"/>
        </w:rPr>
        <w:t> </w:t>
      </w:r>
      <w:r w:rsidR="005A1600">
        <w:rPr>
          <w:rFonts w:asciiTheme="majorHAnsi" w:hAnsiTheme="majorHAnsi" w:cstheme="majorHAnsi"/>
        </w:rPr>
        <w:t xml:space="preserve">oblasti </w:t>
      </w:r>
      <w:r w:rsidR="00855913" w:rsidRPr="00DC490A">
        <w:rPr>
          <w:rFonts w:asciiTheme="majorHAnsi" w:hAnsiTheme="majorHAnsi" w:cstheme="majorHAnsi"/>
        </w:rPr>
        <w:t>exportní</w:t>
      </w:r>
      <w:r w:rsidR="005A1600">
        <w:rPr>
          <w:rFonts w:asciiTheme="majorHAnsi" w:hAnsiTheme="majorHAnsi" w:cstheme="majorHAnsi"/>
        </w:rPr>
        <w:t>ho</w:t>
      </w:r>
      <w:r w:rsidR="00855913" w:rsidRPr="00DC490A">
        <w:rPr>
          <w:rFonts w:asciiTheme="majorHAnsi" w:hAnsiTheme="majorHAnsi" w:cstheme="majorHAnsi"/>
        </w:rPr>
        <w:t xml:space="preserve"> </w:t>
      </w:r>
      <w:r w:rsidR="00855913" w:rsidRPr="00DC490A">
        <w:t>financování</w:t>
      </w:r>
      <w:r w:rsidR="00855913" w:rsidRPr="00DC490A">
        <w:rPr>
          <w:rFonts w:asciiTheme="majorHAnsi" w:hAnsiTheme="majorHAnsi" w:cstheme="majorHAnsi"/>
        </w:rPr>
        <w:t xml:space="preserve"> MSP a</w:t>
      </w:r>
      <w:r w:rsidR="00F47C4E">
        <w:rPr>
          <w:rFonts w:asciiTheme="majorHAnsi" w:hAnsiTheme="majorHAnsi" w:cstheme="majorHAnsi"/>
        </w:rPr>
        <w:t> </w:t>
      </w:r>
      <w:r w:rsidR="00855913" w:rsidRPr="00DC490A">
        <w:rPr>
          <w:rFonts w:asciiTheme="majorHAnsi" w:hAnsiTheme="majorHAnsi" w:cstheme="majorHAnsi"/>
        </w:rPr>
        <w:t>rovněž posilování postavení NRB v</w:t>
      </w:r>
      <w:r w:rsidR="00F47C4E">
        <w:rPr>
          <w:rFonts w:asciiTheme="majorHAnsi" w:hAnsiTheme="majorHAnsi" w:cstheme="majorHAnsi"/>
        </w:rPr>
        <w:t> </w:t>
      </w:r>
      <w:r w:rsidR="00855913" w:rsidRPr="00DC490A">
        <w:rPr>
          <w:rFonts w:asciiTheme="majorHAnsi" w:hAnsiTheme="majorHAnsi" w:cstheme="majorHAnsi"/>
        </w:rPr>
        <w:t xml:space="preserve">rámci financování rozvoje českých firem. </w:t>
      </w:r>
    </w:p>
    <w:p w14:paraId="265ADC4C" w14:textId="1AB9578C" w:rsidR="00855913" w:rsidRPr="00DC490A" w:rsidRDefault="002C1159" w:rsidP="0004135B">
      <w:pPr>
        <w:spacing w:after="60" w:line="240" w:lineRule="auto"/>
        <w:jc w:val="both"/>
      </w:pPr>
      <w:r w:rsidRPr="00DC490A">
        <w:lastRenderedPageBreak/>
        <w:t>Zároveň došlo k</w:t>
      </w:r>
      <w:r w:rsidR="00F47C4E">
        <w:t> </w:t>
      </w:r>
      <w:r w:rsidRPr="00DC490A">
        <w:t xml:space="preserve">významnému rozšíření </w:t>
      </w:r>
      <w:r w:rsidR="00855913" w:rsidRPr="00DC490A">
        <w:t xml:space="preserve">oblasti činnosti </w:t>
      </w:r>
      <w:r w:rsidRPr="00DC490A">
        <w:t>NRB, která podle zákona č. 34/20</w:t>
      </w:r>
      <w:r w:rsidR="00647B6F">
        <w:t>2</w:t>
      </w:r>
      <w:r w:rsidRPr="00DC490A">
        <w:t>5 Sb.</w:t>
      </w:r>
      <w:r w:rsidR="00855913" w:rsidRPr="00DC490A">
        <w:t xml:space="preserve"> může realizovat podporu konkrétních projektů v</w:t>
      </w:r>
      <w:r w:rsidR="00F47C4E">
        <w:t> </w:t>
      </w:r>
      <w:r w:rsidR="00855913" w:rsidRPr="00DC490A">
        <w:t>řadě oblastí, jako např. bydlení, veřejné infrastruktury, zdravotnictví, sociálních služeb, vzdělávání, vědy, výzkumu, vývoje a</w:t>
      </w:r>
      <w:r w:rsidR="00F47C4E">
        <w:t> </w:t>
      </w:r>
      <w:r w:rsidR="00855913" w:rsidRPr="00DC490A">
        <w:t>inovací, digitalizace, obranného a</w:t>
      </w:r>
      <w:r w:rsidR="00F47C4E">
        <w:t> </w:t>
      </w:r>
      <w:r w:rsidR="00855913" w:rsidRPr="00DC490A">
        <w:t>bezpečnostního průmyslu, oblasti přechodu na klimaticky neutrální ekonomiku a</w:t>
      </w:r>
      <w:r w:rsidR="00F47C4E">
        <w:t> </w:t>
      </w:r>
      <w:r w:rsidR="00855913" w:rsidRPr="00DC490A">
        <w:t>dalších projektů souvisejících s</w:t>
      </w:r>
      <w:r w:rsidR="00F47C4E">
        <w:t> </w:t>
      </w:r>
      <w:r w:rsidR="00855913" w:rsidRPr="00DC490A">
        <w:t>ochranou a</w:t>
      </w:r>
      <w:r w:rsidR="00F47C4E">
        <w:t> </w:t>
      </w:r>
      <w:r w:rsidR="00855913" w:rsidRPr="00DC490A">
        <w:t>zlepšováním životního prostředí. NRB bude rovněž moci vykonávat činnosti v</w:t>
      </w:r>
      <w:r w:rsidR="00F47C4E">
        <w:t> </w:t>
      </w:r>
      <w:r w:rsidR="00855913" w:rsidRPr="00DC490A">
        <w:t>oblasti finančních nástrojů, kde může poskytovat poradenství pro veřejný sektor a</w:t>
      </w:r>
      <w:r w:rsidR="00F47C4E">
        <w:t> </w:t>
      </w:r>
      <w:r w:rsidR="00855913" w:rsidRPr="00DC490A">
        <w:t>fakticky tak plnit úlohu kompetenčního centra pro přípravu, realizaci a</w:t>
      </w:r>
      <w:r w:rsidR="00F47C4E">
        <w:t> </w:t>
      </w:r>
      <w:r w:rsidR="00855913" w:rsidRPr="00DC490A">
        <w:t>správu finančních nástrojů. Stejně tak bude NRB obecně oprávněna provádět různé formy kapitálových vstupů ve všech oblastech své činnosti. V</w:t>
      </w:r>
      <w:r w:rsidR="00F47C4E">
        <w:t> </w:t>
      </w:r>
      <w:r w:rsidR="00855913" w:rsidRPr="00DC490A">
        <w:t>oblasti projektů v</w:t>
      </w:r>
      <w:r w:rsidR="00F47C4E">
        <w:t> </w:t>
      </w:r>
      <w:r w:rsidR="00855913" w:rsidRPr="00DC490A">
        <w:t>zahraničí se NRB bude moci podílet na rozvojové spolupráci a</w:t>
      </w:r>
      <w:r w:rsidR="00F47C4E">
        <w:t> </w:t>
      </w:r>
      <w:r w:rsidR="00855913" w:rsidRPr="00DC490A">
        <w:t>i dalších projektech ve třetích zemích.</w:t>
      </w:r>
      <w:r w:rsidR="0004135B">
        <w:t xml:space="preserve"> </w:t>
      </w:r>
      <w:r w:rsidR="00855913" w:rsidRPr="00DC490A">
        <w:t>V</w:t>
      </w:r>
      <w:r w:rsidR="00F47C4E">
        <w:t> </w:t>
      </w:r>
      <w:r w:rsidR="00855913" w:rsidRPr="00DC490A">
        <w:t>rámci Strategie ČEB a</w:t>
      </w:r>
      <w:r w:rsidR="00F47C4E">
        <w:t> </w:t>
      </w:r>
      <w:r w:rsidR="00855913" w:rsidRPr="00DC490A">
        <w:t>v souvislosti s</w:t>
      </w:r>
      <w:r w:rsidR="00F47C4E">
        <w:t> </w:t>
      </w:r>
      <w:r w:rsidR="00855913" w:rsidRPr="00DC490A">
        <w:t>přípravou vlastnické konsolidace došlo k</w:t>
      </w:r>
      <w:r w:rsidR="00F47C4E">
        <w:t> </w:t>
      </w:r>
      <w:r w:rsidR="00855913" w:rsidRPr="00DC490A">
        <w:t>specifikaci zaměření primárně na segment větších a</w:t>
      </w:r>
      <w:r w:rsidR="00F47C4E">
        <w:t> </w:t>
      </w:r>
      <w:r w:rsidR="00855913" w:rsidRPr="00DC490A">
        <w:t>středních podniků s</w:t>
      </w:r>
      <w:r w:rsidR="00F47C4E">
        <w:t> </w:t>
      </w:r>
      <w:r w:rsidR="00855913" w:rsidRPr="00DC490A">
        <w:t>tím, že do budoucna by segment malých a</w:t>
      </w:r>
      <w:r w:rsidR="00F47C4E">
        <w:t> </w:t>
      </w:r>
      <w:r w:rsidR="00855913" w:rsidRPr="00DC490A">
        <w:t>středních podniků měla pokrývat NRB i</w:t>
      </w:r>
      <w:r w:rsidR="00F47C4E">
        <w:t> </w:t>
      </w:r>
      <w:r w:rsidR="00855913" w:rsidRPr="00DC490A">
        <w:t>vzhledem k</w:t>
      </w:r>
      <w:r w:rsidR="00F47C4E">
        <w:t> </w:t>
      </w:r>
      <w:r w:rsidR="00855913" w:rsidRPr="00DC490A">
        <w:t>síti poboček v</w:t>
      </w:r>
      <w:r w:rsidR="00F47C4E">
        <w:t> </w:t>
      </w:r>
      <w:r w:rsidR="00855913" w:rsidRPr="00DC490A">
        <w:t xml:space="preserve">regionech. </w:t>
      </w:r>
    </w:p>
    <w:p w14:paraId="016F4750" w14:textId="1F1D22B8" w:rsidR="00260562" w:rsidRPr="00DC490A" w:rsidRDefault="00CC1688" w:rsidP="00260562">
      <w:pPr>
        <w:pStyle w:val="Nadpis1"/>
        <w:contextualSpacing/>
      </w:pPr>
      <w:bookmarkStart w:id="124" w:name="_Toc169187295"/>
      <w:bookmarkStart w:id="125" w:name="_Toc169275919"/>
      <w:bookmarkStart w:id="126" w:name="_Toc197336376"/>
      <w:r w:rsidRPr="00DC490A">
        <w:t>Vybran</w:t>
      </w:r>
      <w:r w:rsidR="00A33591" w:rsidRPr="00DC490A">
        <w:t>é</w:t>
      </w:r>
      <w:r w:rsidRPr="00DC490A">
        <w:t xml:space="preserve"> i</w:t>
      </w:r>
      <w:r w:rsidR="00131895" w:rsidRPr="00DC490A">
        <w:t>ndikátory Exportní strategie</w:t>
      </w:r>
      <w:bookmarkStart w:id="127" w:name="_Hlk168485091"/>
      <w:bookmarkEnd w:id="124"/>
      <w:bookmarkEnd w:id="125"/>
      <w:bookmarkEnd w:id="126"/>
    </w:p>
    <w:p w14:paraId="3396C1B7" w14:textId="346DC5ED" w:rsidR="002224EC" w:rsidRPr="00DC490A" w:rsidRDefault="002224EC" w:rsidP="002224EC">
      <w:pPr>
        <w:keepNext/>
        <w:keepLines/>
        <w:numPr>
          <w:ilvl w:val="1"/>
          <w:numId w:val="21"/>
        </w:numPr>
        <w:spacing w:before="60" w:after="0" w:line="276" w:lineRule="auto"/>
        <w:outlineLvl w:val="1"/>
        <w:rPr>
          <w:rFonts w:asciiTheme="majorHAnsi" w:eastAsiaTheme="majorEastAsia" w:hAnsiTheme="majorHAnsi" w:cstheme="majorBidi"/>
          <w:b/>
          <w:sz w:val="26"/>
          <w:szCs w:val="26"/>
        </w:rPr>
      </w:pPr>
      <w:bookmarkStart w:id="128" w:name="_Toc197336377"/>
      <w:r w:rsidRPr="00DC490A">
        <w:rPr>
          <w:rFonts w:asciiTheme="majorHAnsi" w:eastAsiaTheme="majorEastAsia" w:hAnsiTheme="majorHAnsi" w:cstheme="majorBidi"/>
          <w:b/>
          <w:sz w:val="26"/>
          <w:szCs w:val="26"/>
        </w:rPr>
        <w:t>Růst vývozu zboží a</w:t>
      </w:r>
      <w:r w:rsidR="00F47C4E">
        <w:rPr>
          <w:rFonts w:asciiTheme="majorHAnsi" w:eastAsiaTheme="majorEastAsia" w:hAnsiTheme="majorHAnsi" w:cstheme="majorBidi"/>
          <w:b/>
          <w:sz w:val="26"/>
          <w:szCs w:val="26"/>
        </w:rPr>
        <w:t> </w:t>
      </w:r>
      <w:r w:rsidRPr="00DC490A">
        <w:rPr>
          <w:rFonts w:asciiTheme="majorHAnsi" w:eastAsiaTheme="majorEastAsia" w:hAnsiTheme="majorHAnsi" w:cstheme="majorBidi"/>
          <w:b/>
          <w:sz w:val="26"/>
          <w:szCs w:val="26"/>
        </w:rPr>
        <w:t>zvyšování exportního portfolia (diverzifikace exportu) firem</w:t>
      </w:r>
      <w:bookmarkEnd w:id="128"/>
      <w:r w:rsidRPr="00DC490A">
        <w:rPr>
          <w:rFonts w:asciiTheme="majorHAnsi" w:eastAsiaTheme="majorEastAsia" w:hAnsiTheme="majorHAnsi" w:cstheme="majorBidi"/>
          <w:b/>
          <w:sz w:val="26"/>
          <w:szCs w:val="26"/>
        </w:rPr>
        <w:t xml:space="preserve">  </w:t>
      </w:r>
    </w:p>
    <w:p w14:paraId="399255E8" w14:textId="0AA1A976" w:rsidR="002224EC" w:rsidRPr="0004135B" w:rsidRDefault="002224EC" w:rsidP="002224EC">
      <w:pPr>
        <w:spacing w:after="0" w:line="240" w:lineRule="auto"/>
        <w:jc w:val="both"/>
        <w:rPr>
          <w:rFonts w:cstheme="minorHAnsi"/>
        </w:rPr>
      </w:pPr>
      <w:r w:rsidRPr="00DC490A">
        <w:rPr>
          <w:rFonts w:asciiTheme="majorHAnsi" w:hAnsiTheme="majorHAnsi" w:cstheme="majorHAnsi"/>
        </w:rPr>
        <w:t>Dle předběžných údajů ČSÚ činil cel</w:t>
      </w:r>
      <w:r w:rsidRPr="00DC490A">
        <w:rPr>
          <w:rFonts w:cstheme="minorHAnsi"/>
        </w:rPr>
        <w:t>kový vývoz v</w:t>
      </w:r>
      <w:r w:rsidR="00F47C4E">
        <w:rPr>
          <w:rFonts w:cstheme="minorHAnsi"/>
        </w:rPr>
        <w:t> </w:t>
      </w:r>
      <w:r w:rsidRPr="00DC490A">
        <w:rPr>
          <w:rFonts w:cstheme="minorHAnsi"/>
        </w:rPr>
        <w:t>roce 2024 v</w:t>
      </w:r>
      <w:r w:rsidR="00F47C4E">
        <w:rPr>
          <w:rFonts w:cstheme="minorHAnsi"/>
        </w:rPr>
        <w:t> </w:t>
      </w:r>
      <w:r w:rsidRPr="00DC490A">
        <w:rPr>
          <w:rFonts w:cstheme="minorHAnsi"/>
        </w:rPr>
        <w:t>běžných cenách 4,65 bil. Kč a</w:t>
      </w:r>
      <w:r w:rsidR="00F47C4E">
        <w:rPr>
          <w:rFonts w:cstheme="minorHAnsi"/>
        </w:rPr>
        <w:t> </w:t>
      </w:r>
      <w:r w:rsidRPr="00DC490A">
        <w:rPr>
          <w:rFonts w:cstheme="minorHAnsi"/>
        </w:rPr>
        <w:t>byl o</w:t>
      </w:r>
      <w:r w:rsidR="00F47C4E">
        <w:rPr>
          <w:rFonts w:cstheme="minorHAnsi"/>
        </w:rPr>
        <w:t> </w:t>
      </w:r>
      <w:r w:rsidRPr="00DC490A">
        <w:rPr>
          <w:rFonts w:cstheme="minorHAnsi"/>
        </w:rPr>
        <w:t>207,4 mld. Kč (4,67 %) vyšší než v</w:t>
      </w:r>
      <w:r w:rsidR="00F47C4E">
        <w:rPr>
          <w:rFonts w:cstheme="minorHAnsi"/>
        </w:rPr>
        <w:t> </w:t>
      </w:r>
      <w:r w:rsidRPr="00DC490A">
        <w:rPr>
          <w:rFonts w:cstheme="minorHAnsi"/>
        </w:rPr>
        <w:t>roce 2023. Obchodní bilance vykázala přebytek 227,1 mld. Kč ve srovnání s</w:t>
      </w:r>
      <w:r w:rsidR="00F47C4E">
        <w:rPr>
          <w:rFonts w:cstheme="minorHAnsi"/>
        </w:rPr>
        <w:t> </w:t>
      </w:r>
      <w:r w:rsidRPr="00DC490A">
        <w:rPr>
          <w:rFonts w:cstheme="minorHAnsi"/>
        </w:rPr>
        <w:t>přebytkem 122,5 mld. Kč v</w:t>
      </w:r>
      <w:r w:rsidR="00F47C4E">
        <w:rPr>
          <w:rFonts w:cstheme="minorHAnsi"/>
        </w:rPr>
        <w:t> </w:t>
      </w:r>
      <w:r w:rsidRPr="00DC490A">
        <w:rPr>
          <w:rFonts w:cstheme="minorHAnsi"/>
        </w:rPr>
        <w:t>roce 2023. Vývoz do zemí mimo EU27 v</w:t>
      </w:r>
      <w:r w:rsidR="00F47C4E">
        <w:rPr>
          <w:rFonts w:cstheme="minorHAnsi"/>
        </w:rPr>
        <w:t> </w:t>
      </w:r>
      <w:r w:rsidRPr="00DC490A">
        <w:rPr>
          <w:rFonts w:cstheme="minorHAnsi"/>
        </w:rPr>
        <w:t>roce 2024 činil 22,0 % z</w:t>
      </w:r>
      <w:r w:rsidR="00F47C4E">
        <w:rPr>
          <w:rFonts w:cstheme="minorHAnsi"/>
        </w:rPr>
        <w:t> </w:t>
      </w:r>
      <w:r w:rsidRPr="00DC490A">
        <w:rPr>
          <w:rFonts w:cstheme="minorHAnsi"/>
        </w:rPr>
        <w:t>celkového vývozu, v</w:t>
      </w:r>
      <w:r w:rsidR="00F47C4E">
        <w:rPr>
          <w:rFonts w:cstheme="minorHAnsi"/>
        </w:rPr>
        <w:t> </w:t>
      </w:r>
      <w:r w:rsidRPr="00DC490A">
        <w:rPr>
          <w:rFonts w:cstheme="minorHAnsi"/>
        </w:rPr>
        <w:t xml:space="preserve">roce 2023 uvedený podíl činil 19,8 %. </w:t>
      </w:r>
    </w:p>
    <w:p w14:paraId="3DF6899C" w14:textId="400C3C08" w:rsidR="002224EC" w:rsidRPr="00DC490A" w:rsidRDefault="002224EC" w:rsidP="002224EC">
      <w:pPr>
        <w:spacing w:after="60" w:line="240" w:lineRule="auto"/>
        <w:jc w:val="both"/>
        <w:rPr>
          <w:rFonts w:cstheme="minorHAnsi"/>
        </w:rPr>
      </w:pPr>
      <w:r w:rsidRPr="00DC490A">
        <w:rPr>
          <w:rFonts w:cstheme="minorHAnsi"/>
          <w:b/>
          <w:bCs/>
        </w:rPr>
        <w:t>Při vyloučení skupin SITC 32 až 35</w:t>
      </w:r>
      <w:r w:rsidRPr="00DC490A">
        <w:rPr>
          <w:rFonts w:cstheme="minorHAnsi"/>
        </w:rPr>
        <w:t xml:space="preserve"> (topný plyn, fosilní paliva a</w:t>
      </w:r>
      <w:r w:rsidR="00F47C4E">
        <w:rPr>
          <w:rFonts w:cstheme="minorHAnsi"/>
        </w:rPr>
        <w:t> </w:t>
      </w:r>
      <w:r w:rsidRPr="00DC490A">
        <w:rPr>
          <w:rFonts w:cstheme="minorHAnsi"/>
        </w:rPr>
        <w:t>elektrický proud):</w:t>
      </w:r>
    </w:p>
    <w:p w14:paraId="360A07D4" w14:textId="77134264" w:rsidR="002224EC" w:rsidRPr="00DC490A" w:rsidRDefault="002224EC" w:rsidP="002224EC">
      <w:pPr>
        <w:numPr>
          <w:ilvl w:val="0"/>
          <w:numId w:val="27"/>
        </w:numPr>
        <w:spacing w:after="0" w:line="240" w:lineRule="auto"/>
        <w:contextualSpacing/>
        <w:jc w:val="both"/>
        <w:rPr>
          <w:rFonts w:cstheme="minorHAnsi"/>
        </w:rPr>
      </w:pPr>
      <w:r w:rsidRPr="00DC490A">
        <w:rPr>
          <w:rFonts w:cstheme="minorHAnsi"/>
        </w:rPr>
        <w:t xml:space="preserve">Činil </w:t>
      </w:r>
      <w:r w:rsidRPr="00DC490A">
        <w:rPr>
          <w:rFonts w:cstheme="minorHAnsi"/>
          <w:b/>
          <w:bCs/>
        </w:rPr>
        <w:t>vývoz</w:t>
      </w:r>
      <w:r w:rsidRPr="00DC490A">
        <w:rPr>
          <w:rFonts w:cstheme="minorHAnsi"/>
        </w:rPr>
        <w:t xml:space="preserve"> za rok 2024 celkem 4,55 bil. Kč a</w:t>
      </w:r>
      <w:r w:rsidR="00F47C4E">
        <w:rPr>
          <w:rFonts w:cstheme="minorHAnsi"/>
        </w:rPr>
        <w:t> </w:t>
      </w:r>
      <w:r w:rsidRPr="00DC490A">
        <w:rPr>
          <w:rFonts w:cstheme="minorHAnsi"/>
        </w:rPr>
        <w:t>byl o</w:t>
      </w:r>
      <w:r w:rsidR="00F47C4E">
        <w:rPr>
          <w:rFonts w:cstheme="minorHAnsi"/>
        </w:rPr>
        <w:t> </w:t>
      </w:r>
      <w:r w:rsidRPr="00DC490A">
        <w:rPr>
          <w:rFonts w:cstheme="minorHAnsi"/>
        </w:rPr>
        <w:t>218,0 mld. Kč (5,04 %) vyšší než v</w:t>
      </w:r>
      <w:r w:rsidR="00F47C4E">
        <w:rPr>
          <w:rFonts w:cstheme="minorHAnsi"/>
        </w:rPr>
        <w:t> </w:t>
      </w:r>
      <w:r w:rsidRPr="00DC490A">
        <w:rPr>
          <w:rFonts w:cstheme="minorHAnsi"/>
        </w:rPr>
        <w:t>roce 2023, podíl vývozu mimo země EU27 na celkovém vývozu v</w:t>
      </w:r>
      <w:r w:rsidR="00F47C4E">
        <w:rPr>
          <w:rFonts w:cstheme="minorHAnsi"/>
        </w:rPr>
        <w:t> </w:t>
      </w:r>
      <w:r w:rsidRPr="00DC490A">
        <w:rPr>
          <w:rFonts w:cstheme="minorHAnsi"/>
        </w:rPr>
        <w:t>roce 2024 vzrostl na 22,3 % z</w:t>
      </w:r>
      <w:r w:rsidR="00F47C4E">
        <w:rPr>
          <w:rFonts w:cstheme="minorHAnsi"/>
        </w:rPr>
        <w:t> </w:t>
      </w:r>
      <w:r w:rsidRPr="00DC490A">
        <w:rPr>
          <w:rFonts w:cstheme="minorHAnsi"/>
        </w:rPr>
        <w:t>hodnoty 20,1 % v</w:t>
      </w:r>
      <w:r w:rsidR="00F47C4E">
        <w:rPr>
          <w:rFonts w:cstheme="minorHAnsi"/>
        </w:rPr>
        <w:t> </w:t>
      </w:r>
      <w:r w:rsidRPr="00DC490A">
        <w:rPr>
          <w:rFonts w:cstheme="minorHAnsi"/>
        </w:rPr>
        <w:t>roce 2023.</w:t>
      </w:r>
    </w:p>
    <w:p w14:paraId="39DB27E8" w14:textId="11B30FD5" w:rsidR="002224EC" w:rsidRPr="00DC490A" w:rsidRDefault="002224EC" w:rsidP="002224EC">
      <w:pPr>
        <w:numPr>
          <w:ilvl w:val="0"/>
          <w:numId w:val="27"/>
        </w:numPr>
        <w:spacing w:after="0" w:line="240" w:lineRule="auto"/>
        <w:contextualSpacing/>
        <w:jc w:val="both"/>
        <w:rPr>
          <w:rFonts w:cstheme="minorHAnsi"/>
          <w:b/>
          <w:bCs/>
        </w:rPr>
      </w:pPr>
      <w:r w:rsidRPr="00DC490A">
        <w:rPr>
          <w:rFonts w:cstheme="minorHAnsi"/>
          <w:b/>
          <w:bCs/>
        </w:rPr>
        <w:t>Nejvyšší meziroční růsty exportu u</w:t>
      </w:r>
      <w:r w:rsidR="00F47C4E">
        <w:rPr>
          <w:rFonts w:cstheme="minorHAnsi"/>
          <w:b/>
          <w:bCs/>
        </w:rPr>
        <w:t> </w:t>
      </w:r>
      <w:r w:rsidRPr="00DC490A">
        <w:rPr>
          <w:rFonts w:cstheme="minorHAnsi"/>
          <w:b/>
          <w:bCs/>
        </w:rPr>
        <w:t xml:space="preserve">kategorií zboží </w:t>
      </w:r>
      <w:r w:rsidRPr="00DC490A">
        <w:rPr>
          <w:rFonts w:cstheme="minorHAnsi"/>
        </w:rPr>
        <w:t>byly zaznamenány</w:t>
      </w:r>
      <w:r w:rsidRPr="00DC490A">
        <w:rPr>
          <w:rFonts w:cstheme="minorHAnsi"/>
          <w:b/>
          <w:bCs/>
        </w:rPr>
        <w:t xml:space="preserve"> </w:t>
      </w:r>
      <w:r w:rsidRPr="00DC490A">
        <w:rPr>
          <w:rFonts w:cstheme="minorHAnsi"/>
        </w:rPr>
        <w:t>ve skupinách SITC</w:t>
      </w:r>
      <w:r w:rsidRPr="00DC490A">
        <w:rPr>
          <w:rFonts w:cstheme="minorHAnsi"/>
          <w:b/>
          <w:bCs/>
        </w:rPr>
        <w:t xml:space="preserve"> </w:t>
      </w:r>
      <w:r w:rsidRPr="00DC490A">
        <w:rPr>
          <w:rFonts w:cstheme="minorHAnsi"/>
        </w:rPr>
        <w:t>78 – Silniční vozidla … (68 mld. Kč/6,0 %), 75 – Kancelářské stroje … (37 mld. Kč/25,9 %), 87 – Odborné, vědecké a</w:t>
      </w:r>
      <w:r w:rsidR="00F47C4E">
        <w:rPr>
          <w:rFonts w:cstheme="minorHAnsi"/>
        </w:rPr>
        <w:t> </w:t>
      </w:r>
      <w:r w:rsidRPr="00DC490A">
        <w:rPr>
          <w:rFonts w:cstheme="minorHAnsi"/>
        </w:rPr>
        <w:t>řídící přístroje a</w:t>
      </w:r>
      <w:r w:rsidR="00F47C4E">
        <w:rPr>
          <w:rFonts w:cstheme="minorHAnsi"/>
        </w:rPr>
        <w:t> </w:t>
      </w:r>
      <w:r w:rsidRPr="00DC490A">
        <w:rPr>
          <w:rFonts w:cstheme="minorHAnsi"/>
        </w:rPr>
        <w:t>zařízení, j.n. (16 mld. Kč/15,1 %), 71 – Stroje a</w:t>
      </w:r>
      <w:r w:rsidR="00F47C4E">
        <w:rPr>
          <w:rFonts w:cstheme="minorHAnsi"/>
        </w:rPr>
        <w:t> </w:t>
      </w:r>
      <w:r w:rsidRPr="00DC490A">
        <w:rPr>
          <w:rFonts w:cstheme="minorHAnsi"/>
        </w:rPr>
        <w:t>zařízení k</w:t>
      </w:r>
      <w:r w:rsidR="00F47C4E">
        <w:rPr>
          <w:rFonts w:cstheme="minorHAnsi"/>
        </w:rPr>
        <w:t> </w:t>
      </w:r>
      <w:r w:rsidRPr="00DC490A">
        <w:rPr>
          <w:rFonts w:cstheme="minorHAnsi"/>
        </w:rPr>
        <w:t>výrobě energie (15 mld. Kč/13,9 %), 89 Různé výrobky, j.n.</w:t>
      </w:r>
      <w:r w:rsidRPr="00DC490A">
        <w:t xml:space="preserve"> </w:t>
      </w:r>
      <w:r w:rsidRPr="00DC490A">
        <w:rPr>
          <w:rFonts w:cstheme="minorHAnsi"/>
        </w:rPr>
        <w:t xml:space="preserve">(13 mld. Kč/7,1 %). </w:t>
      </w:r>
    </w:p>
    <w:p w14:paraId="2796CB98" w14:textId="34BD4751" w:rsidR="002224EC" w:rsidRPr="00DC490A" w:rsidRDefault="002224EC" w:rsidP="002224EC">
      <w:pPr>
        <w:numPr>
          <w:ilvl w:val="0"/>
          <w:numId w:val="27"/>
        </w:numPr>
        <w:spacing w:after="0" w:line="240" w:lineRule="auto"/>
        <w:contextualSpacing/>
        <w:jc w:val="both"/>
        <w:rPr>
          <w:rFonts w:cstheme="minorHAnsi"/>
          <w:b/>
          <w:bCs/>
        </w:rPr>
      </w:pPr>
      <w:r w:rsidRPr="00DC490A">
        <w:rPr>
          <w:rFonts w:cstheme="minorHAnsi"/>
          <w:b/>
          <w:bCs/>
        </w:rPr>
        <w:t>Nejvyšší meziroční poklesy</w:t>
      </w:r>
      <w:r w:rsidRPr="00DC490A">
        <w:rPr>
          <w:rFonts w:cstheme="minorHAnsi"/>
        </w:rPr>
        <w:t xml:space="preserve"> </w:t>
      </w:r>
      <w:r w:rsidRPr="00DC490A">
        <w:rPr>
          <w:rFonts w:cstheme="minorHAnsi"/>
          <w:b/>
          <w:bCs/>
        </w:rPr>
        <w:t>exportu u</w:t>
      </w:r>
      <w:r w:rsidR="00F47C4E">
        <w:rPr>
          <w:rFonts w:cstheme="minorHAnsi"/>
          <w:b/>
          <w:bCs/>
        </w:rPr>
        <w:t> </w:t>
      </w:r>
      <w:r w:rsidRPr="00DC490A">
        <w:rPr>
          <w:rFonts w:cstheme="minorHAnsi"/>
          <w:b/>
          <w:bCs/>
        </w:rPr>
        <w:t>kategorií zboží</w:t>
      </w:r>
      <w:r w:rsidRPr="00DC490A">
        <w:rPr>
          <w:rFonts w:cstheme="minorHAnsi"/>
        </w:rPr>
        <w:t xml:space="preserve"> nastaly ve skupinách SITC 67 – Železo a</w:t>
      </w:r>
      <w:r w:rsidR="00F47C4E">
        <w:rPr>
          <w:rFonts w:cstheme="minorHAnsi"/>
        </w:rPr>
        <w:t> </w:t>
      </w:r>
      <w:r w:rsidRPr="00DC490A">
        <w:rPr>
          <w:rFonts w:cstheme="minorHAnsi"/>
        </w:rPr>
        <w:t xml:space="preserve">ocel (12 mld. Kč/10,5 %), 72 </w:t>
      </w:r>
      <w:r w:rsidRPr="0004135B">
        <w:rPr>
          <w:rFonts w:cstheme="minorHAnsi"/>
        </w:rPr>
        <w:t>-</w:t>
      </w:r>
      <w:r w:rsidRPr="00DC490A">
        <w:rPr>
          <w:rFonts w:cstheme="minorHAnsi"/>
        </w:rPr>
        <w:t xml:space="preserve"> Strojní zařízení pro určitá odvětví </w:t>
      </w:r>
      <w:r w:rsidR="00647B6F" w:rsidRPr="00DC490A">
        <w:rPr>
          <w:rFonts w:cstheme="minorHAnsi"/>
        </w:rPr>
        <w:t>průmyslu (</w:t>
      </w:r>
      <w:r w:rsidRPr="00DC490A">
        <w:rPr>
          <w:rFonts w:cstheme="minorHAnsi"/>
        </w:rPr>
        <w:t xml:space="preserve">12 mld. Kč /8,6 %), 74 </w:t>
      </w:r>
      <w:r w:rsidR="00DF4760" w:rsidRPr="00DC490A">
        <w:rPr>
          <w:rFonts w:cstheme="minorHAnsi"/>
        </w:rPr>
        <w:t>–</w:t>
      </w:r>
      <w:r w:rsidRPr="00DC490A">
        <w:rPr>
          <w:rFonts w:cstheme="minorHAnsi"/>
        </w:rPr>
        <w:t xml:space="preserve"> Stroje a</w:t>
      </w:r>
      <w:r w:rsidR="00F47C4E">
        <w:rPr>
          <w:rFonts w:cstheme="minorHAnsi"/>
        </w:rPr>
        <w:t> </w:t>
      </w:r>
      <w:r w:rsidRPr="00DC490A">
        <w:rPr>
          <w:rFonts w:cstheme="minorHAnsi"/>
        </w:rPr>
        <w:t>zařízení všeobecně užívané v</w:t>
      </w:r>
      <w:r w:rsidR="00F47C4E">
        <w:rPr>
          <w:rFonts w:cstheme="minorHAnsi"/>
        </w:rPr>
        <w:t> </w:t>
      </w:r>
      <w:r w:rsidRPr="00DC490A">
        <w:rPr>
          <w:rFonts w:cstheme="minorHAnsi"/>
        </w:rPr>
        <w:t>průmyslu, j.n. (4 mld. Kč/1,2 %), 24 – Korek a</w:t>
      </w:r>
      <w:r w:rsidR="00F47C4E">
        <w:rPr>
          <w:rFonts w:cstheme="minorHAnsi"/>
        </w:rPr>
        <w:t> </w:t>
      </w:r>
      <w:r w:rsidRPr="00DC490A">
        <w:rPr>
          <w:rFonts w:cstheme="minorHAnsi"/>
        </w:rPr>
        <w:t xml:space="preserve">dřevo (3 mld. Kč/10,4 %), 85 </w:t>
      </w:r>
      <w:r w:rsidR="00DF4760" w:rsidRPr="00DC490A">
        <w:rPr>
          <w:rFonts w:cstheme="minorHAnsi"/>
        </w:rPr>
        <w:t>–</w:t>
      </w:r>
      <w:r w:rsidRPr="00DC490A">
        <w:rPr>
          <w:rFonts w:cstheme="minorHAnsi"/>
        </w:rPr>
        <w:t xml:space="preserve"> Obuv (2 mld. Kč/17,7 %).</w:t>
      </w:r>
    </w:p>
    <w:p w14:paraId="5F0D57AA" w14:textId="44F7CA73" w:rsidR="002224EC" w:rsidRPr="00DC490A" w:rsidRDefault="002224EC" w:rsidP="002224EC">
      <w:pPr>
        <w:numPr>
          <w:ilvl w:val="0"/>
          <w:numId w:val="27"/>
        </w:numPr>
        <w:spacing w:after="0" w:line="240" w:lineRule="auto"/>
        <w:contextualSpacing/>
        <w:jc w:val="both"/>
        <w:rPr>
          <w:rFonts w:cstheme="minorHAnsi"/>
          <w:b/>
          <w:bCs/>
        </w:rPr>
      </w:pPr>
      <w:r w:rsidRPr="00DC490A">
        <w:rPr>
          <w:rFonts w:cstheme="minorHAnsi"/>
          <w:b/>
          <w:bCs/>
        </w:rPr>
        <w:t xml:space="preserve">Nejvyšší meziroční růsty vývozu do jednotlivých zemí </w:t>
      </w:r>
      <w:r w:rsidRPr="00DC490A">
        <w:rPr>
          <w:rFonts w:cstheme="minorHAnsi"/>
        </w:rPr>
        <w:t>byly zaznamenány</w:t>
      </w:r>
      <w:r w:rsidRPr="00DC490A">
        <w:rPr>
          <w:rFonts w:cstheme="minorHAnsi"/>
          <w:b/>
          <w:bCs/>
        </w:rPr>
        <w:t xml:space="preserve"> </w:t>
      </w:r>
      <w:r w:rsidRPr="00DC490A">
        <w:rPr>
          <w:rFonts w:cstheme="minorHAnsi"/>
        </w:rPr>
        <w:t>do Spojeného království (39,6 mld. Kč/22,2 %), Polska (31,2 mld. Kč/10,4 %), Německa (28,1 mld. Kč/2,2 %), Spojených států (21,8 mld. Kč/19,5 %) a</w:t>
      </w:r>
      <w:r w:rsidR="00F47C4E">
        <w:rPr>
          <w:rFonts w:cstheme="minorHAnsi"/>
        </w:rPr>
        <w:t> </w:t>
      </w:r>
      <w:r w:rsidRPr="00DC490A">
        <w:rPr>
          <w:rFonts w:cstheme="minorHAnsi"/>
        </w:rPr>
        <w:t>Turecka (11,2 mld. Kč/17,2 %).</w:t>
      </w:r>
    </w:p>
    <w:p w14:paraId="1DE8FF9C" w14:textId="65CF7B29" w:rsidR="002224EC" w:rsidRPr="00DC490A" w:rsidRDefault="002224EC" w:rsidP="002224EC">
      <w:pPr>
        <w:numPr>
          <w:ilvl w:val="0"/>
          <w:numId w:val="27"/>
        </w:numPr>
        <w:spacing w:after="0" w:line="240" w:lineRule="auto"/>
        <w:contextualSpacing/>
        <w:jc w:val="both"/>
        <w:rPr>
          <w:rFonts w:cstheme="minorHAnsi"/>
          <w:b/>
          <w:bCs/>
        </w:rPr>
      </w:pPr>
      <w:r w:rsidRPr="00DC490A">
        <w:rPr>
          <w:rFonts w:cstheme="minorHAnsi"/>
          <w:b/>
          <w:bCs/>
        </w:rPr>
        <w:t>Nejvyšší meziroční poklesy exportu do jednotlivých zemí</w:t>
      </w:r>
      <w:r w:rsidRPr="00DC490A">
        <w:rPr>
          <w:rFonts w:cstheme="minorHAnsi"/>
        </w:rPr>
        <w:t xml:space="preserve"> nastaly u</w:t>
      </w:r>
      <w:r w:rsidR="00F47C4E">
        <w:rPr>
          <w:rFonts w:cstheme="minorHAnsi"/>
        </w:rPr>
        <w:t> </w:t>
      </w:r>
      <w:r w:rsidRPr="00DC490A">
        <w:rPr>
          <w:rFonts w:cstheme="minorHAnsi"/>
        </w:rPr>
        <w:t>Švédska (3,5 mld. Kč/4,9 %), Rakouska (3,5 mld. Kč/2,0 %), Finska (3,1 mld. Kč/13,3 %), Nového Zélandu (1,4 mld. Kč/47,6 %) a</w:t>
      </w:r>
      <w:r w:rsidR="00F47C4E">
        <w:rPr>
          <w:rFonts w:cstheme="minorHAnsi"/>
        </w:rPr>
        <w:t> </w:t>
      </w:r>
      <w:r w:rsidRPr="00DC490A">
        <w:rPr>
          <w:rFonts w:cstheme="minorHAnsi"/>
        </w:rPr>
        <w:t>Mexika (1,3 mld. Kč/5,5 %).</w:t>
      </w:r>
    </w:p>
    <w:p w14:paraId="0EA2B7E6" w14:textId="6C2CCA92" w:rsidR="002224EC" w:rsidRPr="00DC490A" w:rsidRDefault="002224EC" w:rsidP="002224EC">
      <w:pPr>
        <w:numPr>
          <w:ilvl w:val="0"/>
          <w:numId w:val="27"/>
        </w:numPr>
        <w:spacing w:after="0" w:line="240" w:lineRule="auto"/>
        <w:contextualSpacing/>
        <w:jc w:val="both"/>
        <w:rPr>
          <w:rFonts w:cstheme="minorHAnsi"/>
        </w:rPr>
      </w:pPr>
      <w:r w:rsidRPr="00DC490A">
        <w:rPr>
          <w:rFonts w:cstheme="minorHAnsi"/>
          <w:b/>
          <w:bCs/>
        </w:rPr>
        <w:t xml:space="preserve">Míra diverzity celkového vývozu (HHI) </w:t>
      </w:r>
      <w:r w:rsidRPr="00DC490A">
        <w:rPr>
          <w:rFonts w:cstheme="minorHAnsi"/>
        </w:rPr>
        <w:t>dle kategorií SITC (2)</w:t>
      </w:r>
      <w:r w:rsidRPr="00DC490A">
        <w:rPr>
          <w:rFonts w:cstheme="minorHAnsi"/>
          <w:b/>
          <w:bCs/>
        </w:rPr>
        <w:t xml:space="preserve"> </w:t>
      </w:r>
      <w:r w:rsidRPr="00DC490A">
        <w:rPr>
          <w:rFonts w:cstheme="minorHAnsi"/>
        </w:rPr>
        <w:t>vzrostla mezi roky 2023 a</w:t>
      </w:r>
      <w:r w:rsidR="00F47C4E">
        <w:rPr>
          <w:rFonts w:cstheme="minorHAnsi"/>
        </w:rPr>
        <w:t> </w:t>
      </w:r>
      <w:r w:rsidRPr="00DC490A">
        <w:rPr>
          <w:rFonts w:cstheme="minorHAnsi"/>
        </w:rPr>
        <w:t>2024 z</w:t>
      </w:r>
      <w:r w:rsidR="00F47C4E">
        <w:rPr>
          <w:rFonts w:cstheme="minorHAnsi"/>
        </w:rPr>
        <w:t> </w:t>
      </w:r>
      <w:r w:rsidRPr="00DC490A">
        <w:rPr>
          <w:rFonts w:cstheme="minorHAnsi"/>
        </w:rPr>
        <w:t xml:space="preserve">910 na 967 bodů, </w:t>
      </w:r>
      <w:r w:rsidRPr="00DC490A">
        <w:rPr>
          <w:rFonts w:cstheme="minorHAnsi"/>
          <w:b/>
          <w:bCs/>
        </w:rPr>
        <w:t>dle jednotlivých partnerských zemí</w:t>
      </w:r>
      <w:r w:rsidRPr="00DC490A">
        <w:rPr>
          <w:rFonts w:cstheme="minorHAnsi"/>
        </w:rPr>
        <w:t xml:space="preserve"> naopak klesla z</w:t>
      </w:r>
      <w:r w:rsidR="00F47C4E">
        <w:rPr>
          <w:rFonts w:cstheme="minorHAnsi"/>
        </w:rPr>
        <w:t> </w:t>
      </w:r>
      <w:r w:rsidRPr="00DC490A">
        <w:rPr>
          <w:rFonts w:cstheme="minorHAnsi"/>
        </w:rPr>
        <w:t>1175 na 1126 bodů.</w:t>
      </w:r>
    </w:p>
    <w:p w14:paraId="1375BD30" w14:textId="77777777" w:rsidR="002224EC" w:rsidRPr="0096120B" w:rsidRDefault="002224EC" w:rsidP="002224EC">
      <w:pPr>
        <w:keepNext/>
        <w:keepLines/>
        <w:numPr>
          <w:ilvl w:val="1"/>
          <w:numId w:val="21"/>
        </w:numPr>
        <w:spacing w:before="60" w:after="0" w:line="276" w:lineRule="auto"/>
        <w:outlineLvl w:val="1"/>
        <w:rPr>
          <w:rFonts w:asciiTheme="majorHAnsi" w:eastAsiaTheme="majorEastAsia" w:hAnsiTheme="majorHAnsi" w:cstheme="majorBidi"/>
          <w:b/>
          <w:sz w:val="26"/>
          <w:szCs w:val="26"/>
        </w:rPr>
      </w:pPr>
      <w:bookmarkStart w:id="129" w:name="_Toc197336378"/>
      <w:r w:rsidRPr="0096120B">
        <w:rPr>
          <w:rFonts w:asciiTheme="majorHAnsi" w:eastAsiaTheme="majorEastAsia" w:hAnsiTheme="majorHAnsi" w:cstheme="majorBidi"/>
          <w:b/>
          <w:sz w:val="26"/>
          <w:szCs w:val="26"/>
        </w:rPr>
        <w:t>Vývoj rozdělení vývozu dle kategorií velikosti rezidentních exportérů</w:t>
      </w:r>
      <w:bookmarkEnd w:id="129"/>
      <w:r w:rsidRPr="0096120B">
        <w:rPr>
          <w:rFonts w:asciiTheme="majorHAnsi" w:eastAsiaTheme="majorEastAsia" w:hAnsiTheme="majorHAnsi" w:cstheme="majorBidi"/>
          <w:b/>
          <w:sz w:val="26"/>
          <w:szCs w:val="26"/>
        </w:rPr>
        <w:t xml:space="preserve"> </w:t>
      </w:r>
    </w:p>
    <w:p w14:paraId="26E78A9E" w14:textId="77777777" w:rsidR="002224EC" w:rsidRPr="0096120B" w:rsidRDefault="002224EC" w:rsidP="002224EC">
      <w:pPr>
        <w:spacing w:after="0" w:line="240" w:lineRule="auto"/>
        <w:jc w:val="both"/>
        <w:rPr>
          <w:sz w:val="4"/>
          <w:szCs w:val="4"/>
        </w:rPr>
      </w:pPr>
    </w:p>
    <w:tbl>
      <w:tblPr>
        <w:tblStyle w:val="Mkatabulky"/>
        <w:tblW w:w="9634" w:type="dxa"/>
        <w:tblLayout w:type="fixed"/>
        <w:tblLook w:val="04A0" w:firstRow="1" w:lastRow="0" w:firstColumn="1" w:lastColumn="0" w:noHBand="0" w:noVBand="1"/>
      </w:tblPr>
      <w:tblGrid>
        <w:gridCol w:w="2950"/>
        <w:gridCol w:w="1114"/>
        <w:gridCol w:w="1114"/>
        <w:gridCol w:w="1114"/>
        <w:gridCol w:w="1114"/>
        <w:gridCol w:w="1236"/>
        <w:gridCol w:w="992"/>
      </w:tblGrid>
      <w:tr w:rsidR="002224EC" w:rsidRPr="0096120B" w14:paraId="54E48869" w14:textId="77777777" w:rsidTr="00D742D1">
        <w:trPr>
          <w:trHeight w:val="284"/>
        </w:trPr>
        <w:tc>
          <w:tcPr>
            <w:tcW w:w="9634" w:type="dxa"/>
            <w:gridSpan w:val="7"/>
            <w:hideMark/>
          </w:tcPr>
          <w:p w14:paraId="1BBDA15F" w14:textId="55F986CC" w:rsidR="002224EC" w:rsidRPr="0096120B" w:rsidRDefault="002224EC" w:rsidP="00D742D1">
            <w:pPr>
              <w:spacing w:after="0" w:line="240" w:lineRule="auto"/>
              <w:jc w:val="center"/>
              <w:rPr>
                <w:rFonts w:eastAsia="Times New Roman" w:cstheme="minorHAnsi"/>
                <w:i/>
                <w:iCs/>
                <w:color w:val="auto"/>
                <w:sz w:val="20"/>
                <w:szCs w:val="20"/>
                <w:lang w:eastAsia="cs-CZ"/>
              </w:rPr>
            </w:pPr>
            <w:r w:rsidRPr="0096120B">
              <w:rPr>
                <w:rFonts w:eastAsia="Times New Roman" w:cstheme="minorHAnsi"/>
                <w:i/>
                <w:iCs/>
                <w:color w:val="auto"/>
                <w:sz w:val="20"/>
                <w:szCs w:val="20"/>
                <w:lang w:eastAsia="cs-CZ"/>
              </w:rPr>
              <w:t>Odhad podílů rezidentních exportérů na vývozu zboží z</w:t>
            </w:r>
            <w:r w:rsidR="00F47C4E">
              <w:rPr>
                <w:rFonts w:eastAsia="Times New Roman" w:cstheme="minorHAnsi"/>
                <w:i/>
                <w:iCs/>
                <w:color w:val="auto"/>
                <w:sz w:val="20"/>
                <w:szCs w:val="20"/>
                <w:lang w:eastAsia="cs-CZ"/>
              </w:rPr>
              <w:t> </w:t>
            </w:r>
            <w:r w:rsidRPr="0096120B">
              <w:rPr>
                <w:rFonts w:eastAsia="Times New Roman" w:cstheme="minorHAnsi"/>
                <w:i/>
                <w:iCs/>
                <w:color w:val="auto"/>
                <w:sz w:val="20"/>
                <w:szCs w:val="20"/>
                <w:lang w:eastAsia="cs-CZ"/>
              </w:rPr>
              <w:t>ČR dle kategorií počtu jejich zaměstnanců (%)</w:t>
            </w:r>
          </w:p>
        </w:tc>
      </w:tr>
      <w:tr w:rsidR="002224EC" w:rsidRPr="0096120B" w14:paraId="696E518A" w14:textId="77777777" w:rsidTr="00D742D1">
        <w:trPr>
          <w:trHeight w:val="236"/>
        </w:trPr>
        <w:tc>
          <w:tcPr>
            <w:tcW w:w="2950" w:type="dxa"/>
            <w:noWrap/>
            <w:hideMark/>
          </w:tcPr>
          <w:p w14:paraId="5E52083F"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Rok \ Kategorie počtu zaměstnanců</w:t>
            </w:r>
          </w:p>
        </w:tc>
        <w:tc>
          <w:tcPr>
            <w:tcW w:w="1114" w:type="dxa"/>
            <w:noWrap/>
            <w:hideMark/>
          </w:tcPr>
          <w:p w14:paraId="0C134C81"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0 až 9</w:t>
            </w:r>
          </w:p>
        </w:tc>
        <w:tc>
          <w:tcPr>
            <w:tcW w:w="1114" w:type="dxa"/>
            <w:noWrap/>
            <w:hideMark/>
          </w:tcPr>
          <w:p w14:paraId="5B6AAEC1"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10 až 49</w:t>
            </w:r>
          </w:p>
        </w:tc>
        <w:tc>
          <w:tcPr>
            <w:tcW w:w="1114" w:type="dxa"/>
            <w:noWrap/>
            <w:hideMark/>
          </w:tcPr>
          <w:p w14:paraId="26BEFD4E"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50 až 249</w:t>
            </w:r>
          </w:p>
        </w:tc>
        <w:tc>
          <w:tcPr>
            <w:tcW w:w="1114" w:type="dxa"/>
            <w:noWrap/>
            <w:hideMark/>
          </w:tcPr>
          <w:p w14:paraId="08084EFD"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nad 250</w:t>
            </w:r>
          </w:p>
        </w:tc>
        <w:tc>
          <w:tcPr>
            <w:tcW w:w="1236" w:type="dxa"/>
            <w:noWrap/>
            <w:hideMark/>
          </w:tcPr>
          <w:p w14:paraId="41CAF57C"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Neuvedeno</w:t>
            </w:r>
          </w:p>
        </w:tc>
        <w:tc>
          <w:tcPr>
            <w:tcW w:w="992" w:type="dxa"/>
            <w:noWrap/>
            <w:hideMark/>
          </w:tcPr>
          <w:p w14:paraId="22386B05"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Celkem</w:t>
            </w:r>
          </w:p>
        </w:tc>
      </w:tr>
      <w:tr w:rsidR="002224EC" w:rsidRPr="0096120B" w14:paraId="0F4DD39E" w14:textId="77777777" w:rsidTr="00D742D1">
        <w:trPr>
          <w:trHeight w:val="236"/>
        </w:trPr>
        <w:tc>
          <w:tcPr>
            <w:tcW w:w="2950" w:type="dxa"/>
            <w:noWrap/>
            <w:hideMark/>
          </w:tcPr>
          <w:p w14:paraId="483B1A36"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2022</w:t>
            </w:r>
          </w:p>
        </w:tc>
        <w:tc>
          <w:tcPr>
            <w:tcW w:w="1114" w:type="dxa"/>
            <w:noWrap/>
            <w:hideMark/>
          </w:tcPr>
          <w:p w14:paraId="1E6965DB"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5,4</w:t>
            </w:r>
          </w:p>
        </w:tc>
        <w:tc>
          <w:tcPr>
            <w:tcW w:w="1114" w:type="dxa"/>
            <w:noWrap/>
            <w:hideMark/>
          </w:tcPr>
          <w:p w14:paraId="4C754D09"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7,6</w:t>
            </w:r>
          </w:p>
        </w:tc>
        <w:tc>
          <w:tcPr>
            <w:tcW w:w="1114" w:type="dxa"/>
            <w:noWrap/>
            <w:hideMark/>
          </w:tcPr>
          <w:p w14:paraId="4B19413D"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19,3</w:t>
            </w:r>
          </w:p>
        </w:tc>
        <w:tc>
          <w:tcPr>
            <w:tcW w:w="1114" w:type="dxa"/>
            <w:noWrap/>
            <w:hideMark/>
          </w:tcPr>
          <w:p w14:paraId="22E89B60"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61,2</w:t>
            </w:r>
          </w:p>
        </w:tc>
        <w:tc>
          <w:tcPr>
            <w:tcW w:w="1236" w:type="dxa"/>
            <w:noWrap/>
            <w:hideMark/>
          </w:tcPr>
          <w:p w14:paraId="509D8006"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6,5</w:t>
            </w:r>
          </w:p>
        </w:tc>
        <w:tc>
          <w:tcPr>
            <w:tcW w:w="992" w:type="dxa"/>
            <w:noWrap/>
            <w:hideMark/>
          </w:tcPr>
          <w:p w14:paraId="45455154"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100,0</w:t>
            </w:r>
          </w:p>
        </w:tc>
      </w:tr>
      <w:tr w:rsidR="002224EC" w:rsidRPr="0096120B" w14:paraId="3199DB2E" w14:textId="77777777" w:rsidTr="00D742D1">
        <w:trPr>
          <w:trHeight w:val="236"/>
        </w:trPr>
        <w:tc>
          <w:tcPr>
            <w:tcW w:w="2950" w:type="dxa"/>
            <w:noWrap/>
            <w:hideMark/>
          </w:tcPr>
          <w:p w14:paraId="37BC0E8B"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2023</w:t>
            </w:r>
          </w:p>
        </w:tc>
        <w:tc>
          <w:tcPr>
            <w:tcW w:w="1114" w:type="dxa"/>
            <w:noWrap/>
            <w:hideMark/>
          </w:tcPr>
          <w:p w14:paraId="4486C289"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4,8</w:t>
            </w:r>
          </w:p>
        </w:tc>
        <w:tc>
          <w:tcPr>
            <w:tcW w:w="1114" w:type="dxa"/>
            <w:noWrap/>
            <w:hideMark/>
          </w:tcPr>
          <w:p w14:paraId="00E1EC06"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7,0</w:t>
            </w:r>
          </w:p>
        </w:tc>
        <w:tc>
          <w:tcPr>
            <w:tcW w:w="1114" w:type="dxa"/>
            <w:noWrap/>
            <w:hideMark/>
          </w:tcPr>
          <w:p w14:paraId="76284505"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18,5</w:t>
            </w:r>
          </w:p>
        </w:tc>
        <w:tc>
          <w:tcPr>
            <w:tcW w:w="1114" w:type="dxa"/>
            <w:noWrap/>
            <w:hideMark/>
          </w:tcPr>
          <w:p w14:paraId="01ECBC6B"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63,0</w:t>
            </w:r>
          </w:p>
        </w:tc>
        <w:tc>
          <w:tcPr>
            <w:tcW w:w="1236" w:type="dxa"/>
            <w:noWrap/>
            <w:hideMark/>
          </w:tcPr>
          <w:p w14:paraId="72050D97"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6,7</w:t>
            </w:r>
          </w:p>
        </w:tc>
        <w:tc>
          <w:tcPr>
            <w:tcW w:w="992" w:type="dxa"/>
            <w:noWrap/>
            <w:hideMark/>
          </w:tcPr>
          <w:p w14:paraId="46E746F4"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100,0</w:t>
            </w:r>
          </w:p>
        </w:tc>
      </w:tr>
      <w:tr w:rsidR="002224EC" w:rsidRPr="0096120B" w14:paraId="4BAD4568" w14:textId="77777777" w:rsidTr="00D742D1">
        <w:trPr>
          <w:trHeight w:val="236"/>
        </w:trPr>
        <w:tc>
          <w:tcPr>
            <w:tcW w:w="2950" w:type="dxa"/>
            <w:noWrap/>
          </w:tcPr>
          <w:p w14:paraId="767A33B2" w14:textId="77777777" w:rsidR="002224EC" w:rsidRPr="0096120B" w:rsidRDefault="002224EC" w:rsidP="00D742D1">
            <w:pPr>
              <w:spacing w:after="0" w:line="240" w:lineRule="auto"/>
              <w:rPr>
                <w:rFonts w:eastAsia="Times New Roman" w:cstheme="minorHAnsi"/>
                <w:color w:val="auto"/>
                <w:sz w:val="20"/>
                <w:szCs w:val="20"/>
                <w:lang w:eastAsia="cs-CZ"/>
              </w:rPr>
            </w:pPr>
            <w:r w:rsidRPr="0096120B">
              <w:rPr>
                <w:rFonts w:eastAsia="Times New Roman" w:cstheme="minorHAnsi"/>
                <w:color w:val="auto"/>
                <w:sz w:val="20"/>
                <w:szCs w:val="20"/>
                <w:lang w:eastAsia="cs-CZ"/>
              </w:rPr>
              <w:t>2024</w:t>
            </w:r>
          </w:p>
        </w:tc>
        <w:tc>
          <w:tcPr>
            <w:tcW w:w="1114" w:type="dxa"/>
            <w:noWrap/>
          </w:tcPr>
          <w:p w14:paraId="491E3883"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6,6</w:t>
            </w:r>
          </w:p>
        </w:tc>
        <w:tc>
          <w:tcPr>
            <w:tcW w:w="1114" w:type="dxa"/>
            <w:noWrap/>
          </w:tcPr>
          <w:p w14:paraId="276AD561"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6,8</w:t>
            </w:r>
          </w:p>
        </w:tc>
        <w:tc>
          <w:tcPr>
            <w:tcW w:w="1114" w:type="dxa"/>
            <w:noWrap/>
          </w:tcPr>
          <w:p w14:paraId="4888B145"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18,8</w:t>
            </w:r>
          </w:p>
        </w:tc>
        <w:tc>
          <w:tcPr>
            <w:tcW w:w="1114" w:type="dxa"/>
            <w:noWrap/>
          </w:tcPr>
          <w:p w14:paraId="3F058566"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61,2</w:t>
            </w:r>
          </w:p>
        </w:tc>
        <w:tc>
          <w:tcPr>
            <w:tcW w:w="1236" w:type="dxa"/>
            <w:noWrap/>
          </w:tcPr>
          <w:p w14:paraId="51DB7205"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6,6</w:t>
            </w:r>
          </w:p>
        </w:tc>
        <w:tc>
          <w:tcPr>
            <w:tcW w:w="992" w:type="dxa"/>
            <w:noWrap/>
          </w:tcPr>
          <w:p w14:paraId="6AB20D18" w14:textId="77777777" w:rsidR="002224EC" w:rsidRPr="0096120B" w:rsidRDefault="002224EC" w:rsidP="00D742D1">
            <w:pPr>
              <w:spacing w:after="0" w:line="240" w:lineRule="auto"/>
              <w:jc w:val="right"/>
              <w:rPr>
                <w:rFonts w:eastAsia="Times New Roman" w:cstheme="minorHAnsi"/>
                <w:color w:val="auto"/>
                <w:sz w:val="20"/>
                <w:szCs w:val="20"/>
                <w:lang w:eastAsia="cs-CZ"/>
              </w:rPr>
            </w:pPr>
            <w:r w:rsidRPr="0096120B">
              <w:rPr>
                <w:rFonts w:eastAsia="Times New Roman" w:cstheme="minorHAnsi"/>
                <w:color w:val="auto"/>
                <w:sz w:val="20"/>
                <w:szCs w:val="20"/>
                <w:lang w:eastAsia="cs-CZ"/>
              </w:rPr>
              <w:t>100,0</w:t>
            </w:r>
          </w:p>
        </w:tc>
      </w:tr>
    </w:tbl>
    <w:p w14:paraId="514C9201" w14:textId="1DD3FAE9" w:rsidR="002224EC" w:rsidRDefault="002224EC" w:rsidP="002224EC">
      <w:pPr>
        <w:spacing w:after="0" w:line="240" w:lineRule="auto"/>
        <w:jc w:val="right"/>
        <w:rPr>
          <w:rFonts w:eastAsia="Times New Roman" w:cstheme="minorHAnsi"/>
          <w:i/>
          <w:iCs/>
          <w:color w:val="auto"/>
          <w:sz w:val="18"/>
          <w:szCs w:val="18"/>
          <w:lang w:eastAsia="cs-CZ"/>
        </w:rPr>
      </w:pPr>
      <w:r w:rsidRPr="0096120B">
        <w:rPr>
          <w:rFonts w:asciiTheme="majorHAnsi" w:eastAsiaTheme="majorEastAsia" w:hAnsiTheme="majorHAnsi" w:cstheme="majorBidi"/>
          <w:b/>
          <w:sz w:val="26"/>
          <w:szCs w:val="26"/>
        </w:rPr>
        <w:t xml:space="preserve">                                </w:t>
      </w:r>
      <w:r w:rsidRPr="0096120B">
        <w:rPr>
          <w:rFonts w:eastAsia="Times New Roman" w:cstheme="minorHAnsi"/>
          <w:i/>
          <w:iCs/>
          <w:color w:val="auto"/>
          <w:sz w:val="18"/>
          <w:szCs w:val="18"/>
          <w:lang w:eastAsia="cs-CZ"/>
        </w:rPr>
        <w:t>Zdroj ČSÚ (údaje bez dopočtů), tabulka a</w:t>
      </w:r>
      <w:r w:rsidR="00F47C4E">
        <w:rPr>
          <w:rFonts w:eastAsia="Times New Roman" w:cstheme="minorHAnsi"/>
          <w:i/>
          <w:iCs/>
          <w:color w:val="auto"/>
          <w:sz w:val="18"/>
          <w:szCs w:val="18"/>
          <w:lang w:eastAsia="cs-CZ"/>
        </w:rPr>
        <w:t> </w:t>
      </w:r>
      <w:r w:rsidRPr="0096120B">
        <w:rPr>
          <w:rFonts w:eastAsia="Times New Roman" w:cstheme="minorHAnsi"/>
          <w:i/>
          <w:iCs/>
          <w:color w:val="auto"/>
          <w:sz w:val="18"/>
          <w:szCs w:val="18"/>
          <w:lang w:eastAsia="cs-CZ"/>
        </w:rPr>
        <w:t>výpočty MPO</w:t>
      </w:r>
    </w:p>
    <w:p w14:paraId="300ECB63" w14:textId="78634334" w:rsidR="001A068D" w:rsidRDefault="001A068D" w:rsidP="002224EC">
      <w:pPr>
        <w:spacing w:after="0" w:line="240" w:lineRule="auto"/>
        <w:jc w:val="right"/>
        <w:rPr>
          <w:rFonts w:eastAsia="Times New Roman" w:cstheme="minorHAnsi"/>
          <w:i/>
          <w:iCs/>
          <w:color w:val="auto"/>
          <w:sz w:val="18"/>
          <w:szCs w:val="18"/>
          <w:lang w:eastAsia="cs-CZ"/>
        </w:rPr>
      </w:pPr>
    </w:p>
    <w:p w14:paraId="13162D1C" w14:textId="54CD5187" w:rsidR="001A068D" w:rsidRDefault="001A068D" w:rsidP="002224EC">
      <w:pPr>
        <w:spacing w:after="0" w:line="240" w:lineRule="auto"/>
        <w:jc w:val="right"/>
        <w:rPr>
          <w:rFonts w:eastAsia="Times New Roman" w:cstheme="minorHAnsi"/>
          <w:i/>
          <w:iCs/>
          <w:color w:val="auto"/>
          <w:sz w:val="18"/>
          <w:szCs w:val="18"/>
          <w:lang w:eastAsia="cs-CZ"/>
        </w:rPr>
      </w:pPr>
    </w:p>
    <w:p w14:paraId="63BD9762" w14:textId="6C5BEE17" w:rsidR="001A068D" w:rsidRDefault="001A068D" w:rsidP="002224EC">
      <w:pPr>
        <w:spacing w:after="0" w:line="240" w:lineRule="auto"/>
        <w:jc w:val="right"/>
        <w:rPr>
          <w:rFonts w:eastAsia="Times New Roman" w:cstheme="minorHAnsi"/>
          <w:i/>
          <w:iCs/>
          <w:color w:val="auto"/>
          <w:sz w:val="18"/>
          <w:szCs w:val="18"/>
          <w:lang w:eastAsia="cs-CZ"/>
        </w:rPr>
      </w:pPr>
    </w:p>
    <w:p w14:paraId="1DC9DAC6" w14:textId="1A1842FA" w:rsidR="001A068D" w:rsidRDefault="001A068D" w:rsidP="002224EC">
      <w:pPr>
        <w:spacing w:after="0" w:line="240" w:lineRule="auto"/>
        <w:jc w:val="right"/>
        <w:rPr>
          <w:rFonts w:eastAsia="Times New Roman" w:cstheme="minorHAnsi"/>
          <w:i/>
          <w:iCs/>
          <w:color w:val="auto"/>
          <w:sz w:val="18"/>
          <w:szCs w:val="18"/>
          <w:lang w:eastAsia="cs-CZ"/>
        </w:rPr>
      </w:pPr>
    </w:p>
    <w:p w14:paraId="2FCE38C1" w14:textId="77777777" w:rsidR="001A068D" w:rsidRDefault="001A068D" w:rsidP="002224EC">
      <w:pPr>
        <w:spacing w:after="0" w:line="240" w:lineRule="auto"/>
        <w:jc w:val="right"/>
        <w:rPr>
          <w:rFonts w:eastAsia="Times New Roman" w:cstheme="minorHAnsi"/>
          <w:i/>
          <w:iCs/>
          <w:color w:val="auto"/>
          <w:sz w:val="18"/>
          <w:szCs w:val="18"/>
          <w:lang w:eastAsia="cs-CZ"/>
        </w:rPr>
      </w:pPr>
    </w:p>
    <w:p w14:paraId="18DEB91C" w14:textId="77777777" w:rsidR="001A068D" w:rsidRDefault="001A068D" w:rsidP="002224EC">
      <w:pPr>
        <w:spacing w:after="0" w:line="240" w:lineRule="auto"/>
        <w:jc w:val="right"/>
        <w:rPr>
          <w:rFonts w:eastAsia="Times New Roman" w:cstheme="minorHAnsi"/>
          <w:i/>
          <w:iCs/>
          <w:color w:val="auto"/>
          <w:sz w:val="18"/>
          <w:szCs w:val="18"/>
          <w:lang w:eastAsia="cs-CZ"/>
        </w:rPr>
      </w:pPr>
    </w:p>
    <w:p w14:paraId="018A076F" w14:textId="7F5175BB" w:rsidR="002224EC" w:rsidRPr="00714FB8" w:rsidRDefault="002224EC" w:rsidP="002224EC">
      <w:pPr>
        <w:keepNext/>
        <w:keepLines/>
        <w:numPr>
          <w:ilvl w:val="1"/>
          <w:numId w:val="21"/>
        </w:numPr>
        <w:spacing w:before="60" w:after="0" w:line="276" w:lineRule="auto"/>
        <w:outlineLvl w:val="1"/>
        <w:rPr>
          <w:rFonts w:asciiTheme="majorHAnsi" w:eastAsiaTheme="majorEastAsia" w:hAnsiTheme="majorHAnsi" w:cstheme="majorBidi"/>
          <w:b/>
          <w:bCs/>
          <w:i/>
          <w:iCs/>
          <w:sz w:val="18"/>
          <w:szCs w:val="18"/>
        </w:rPr>
      </w:pPr>
      <w:bookmarkStart w:id="130" w:name="_Toc197336379"/>
      <w:r w:rsidRPr="00714FB8">
        <w:rPr>
          <w:rFonts w:asciiTheme="majorHAnsi" w:eastAsiaTheme="majorEastAsia" w:hAnsiTheme="majorHAnsi" w:cstheme="majorBidi"/>
          <w:b/>
          <w:sz w:val="26"/>
          <w:szCs w:val="26"/>
        </w:rPr>
        <w:lastRenderedPageBreak/>
        <w:t>Růst velikosti českých firem a</w:t>
      </w:r>
      <w:r w:rsidR="00F47C4E">
        <w:rPr>
          <w:rFonts w:asciiTheme="majorHAnsi" w:eastAsiaTheme="majorEastAsia" w:hAnsiTheme="majorHAnsi" w:cstheme="majorBidi"/>
          <w:b/>
          <w:sz w:val="26"/>
          <w:szCs w:val="26"/>
        </w:rPr>
        <w:t> </w:t>
      </w:r>
      <w:r w:rsidRPr="00714FB8">
        <w:rPr>
          <w:rFonts w:asciiTheme="majorHAnsi" w:eastAsiaTheme="majorEastAsia" w:hAnsiTheme="majorHAnsi" w:cstheme="majorBidi"/>
          <w:b/>
          <w:sz w:val="26"/>
          <w:szCs w:val="26"/>
        </w:rPr>
        <w:t>zvyšování přítomnosti na zahraničních trzích</w:t>
      </w:r>
      <w:bookmarkEnd w:id="130"/>
    </w:p>
    <w:p w14:paraId="274BE359" w14:textId="525D308D" w:rsidR="002224EC" w:rsidRPr="00714FB8" w:rsidRDefault="002224EC" w:rsidP="002224EC">
      <w:pPr>
        <w:spacing w:after="120" w:line="240" w:lineRule="auto"/>
        <w:jc w:val="both"/>
        <w:rPr>
          <w:rFonts w:cstheme="minorHAnsi"/>
        </w:rPr>
      </w:pPr>
      <w:r w:rsidRPr="00714FB8">
        <w:rPr>
          <w:rFonts w:cstheme="minorHAnsi"/>
        </w:rPr>
        <w:t>Meziroční vývoj počtu rezidentních exportérů v</w:t>
      </w:r>
      <w:r w:rsidR="00F47C4E">
        <w:rPr>
          <w:rFonts w:cstheme="minorHAnsi"/>
        </w:rPr>
        <w:t> </w:t>
      </w:r>
      <w:r w:rsidRPr="00714FB8">
        <w:rPr>
          <w:rFonts w:cstheme="minorHAnsi"/>
        </w:rPr>
        <w:t>porovnání s</w:t>
      </w:r>
      <w:r w:rsidR="00F47C4E">
        <w:rPr>
          <w:rFonts w:cstheme="minorHAnsi"/>
        </w:rPr>
        <w:t> </w:t>
      </w:r>
      <w:r w:rsidRPr="00714FB8">
        <w:rPr>
          <w:rFonts w:cstheme="minorHAnsi"/>
        </w:rPr>
        <w:t>meziročním vývojem počtu rezidentních ekonomických subjektů v</w:t>
      </w:r>
      <w:r w:rsidR="00F47C4E">
        <w:rPr>
          <w:rFonts w:cstheme="minorHAnsi"/>
        </w:rPr>
        <w:t> </w:t>
      </w:r>
      <w:r w:rsidRPr="00714FB8">
        <w:rPr>
          <w:rFonts w:cstheme="minorHAnsi"/>
        </w:rPr>
        <w:t>kategoriích velikosti subjektu dle počtu zaměstnanců.</w:t>
      </w:r>
    </w:p>
    <w:tbl>
      <w:tblPr>
        <w:tblW w:w="5000" w:type="pct"/>
        <w:tblCellMar>
          <w:left w:w="70" w:type="dxa"/>
          <w:right w:w="70" w:type="dxa"/>
        </w:tblCellMar>
        <w:tblLook w:val="04A0" w:firstRow="1" w:lastRow="0" w:firstColumn="1" w:lastColumn="0" w:noHBand="0" w:noVBand="1"/>
      </w:tblPr>
      <w:tblGrid>
        <w:gridCol w:w="1264"/>
        <w:gridCol w:w="780"/>
        <w:gridCol w:w="919"/>
        <w:gridCol w:w="849"/>
        <w:gridCol w:w="859"/>
        <w:gridCol w:w="857"/>
        <w:gridCol w:w="942"/>
        <w:gridCol w:w="861"/>
        <w:gridCol w:w="893"/>
        <w:gridCol w:w="705"/>
        <w:gridCol w:w="699"/>
      </w:tblGrid>
      <w:tr w:rsidR="002224EC" w:rsidRPr="00714FB8" w14:paraId="51922BB1" w14:textId="77777777" w:rsidTr="00D742D1">
        <w:trPr>
          <w:trHeight w:val="271"/>
        </w:trPr>
        <w:tc>
          <w:tcPr>
            <w:tcW w:w="65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55DA5C0" w14:textId="77777777" w:rsidR="002224EC" w:rsidRPr="00714FB8" w:rsidRDefault="002224EC" w:rsidP="00D742D1">
            <w:pPr>
              <w:spacing w:after="0" w:line="240" w:lineRule="auto"/>
              <w:rPr>
                <w:rFonts w:eastAsia="Times New Roman" w:cstheme="minorHAnsi"/>
                <w:color w:val="000000"/>
                <w:sz w:val="20"/>
                <w:szCs w:val="20"/>
                <w:lang w:eastAsia="cs-CZ"/>
              </w:rPr>
            </w:pPr>
            <w:r w:rsidRPr="00714FB8">
              <w:rPr>
                <w:rFonts w:eastAsia="Times New Roman" w:cstheme="minorHAnsi"/>
                <w:color w:val="000000"/>
                <w:sz w:val="20"/>
                <w:szCs w:val="20"/>
                <w:lang w:eastAsia="cs-CZ"/>
              </w:rPr>
              <w:t> </w:t>
            </w:r>
          </w:p>
        </w:tc>
        <w:tc>
          <w:tcPr>
            <w:tcW w:w="1769" w:type="pct"/>
            <w:gridSpan w:val="4"/>
            <w:tcBorders>
              <w:top w:val="single" w:sz="4" w:space="0" w:color="auto"/>
              <w:left w:val="nil"/>
              <w:bottom w:val="single" w:sz="4" w:space="0" w:color="auto"/>
              <w:right w:val="single" w:sz="4" w:space="0" w:color="auto"/>
            </w:tcBorders>
            <w:shd w:val="clear" w:color="auto" w:fill="auto"/>
            <w:vAlign w:val="center"/>
            <w:hideMark/>
          </w:tcPr>
          <w:p w14:paraId="14AC829E" w14:textId="77777777" w:rsidR="002224EC" w:rsidRPr="005650B6" w:rsidRDefault="002224EC" w:rsidP="00D742D1">
            <w:pPr>
              <w:pStyle w:val="Odstavecseseznamem"/>
              <w:spacing w:after="0" w:line="240" w:lineRule="auto"/>
              <w:jc w:val="center"/>
              <w:rPr>
                <w:rFonts w:eastAsia="Times New Roman" w:cstheme="minorHAnsi"/>
                <w:i/>
                <w:iCs/>
                <w:color w:val="000000"/>
                <w:sz w:val="20"/>
                <w:szCs w:val="20"/>
                <w:lang w:eastAsia="cs-CZ"/>
              </w:rPr>
            </w:pPr>
            <w:r w:rsidRPr="005650B6">
              <w:rPr>
                <w:rFonts w:eastAsia="Times New Roman" w:cstheme="minorHAnsi"/>
                <w:i/>
                <w:iCs/>
                <w:color w:val="000000"/>
                <w:sz w:val="20"/>
                <w:szCs w:val="20"/>
                <w:lang w:eastAsia="cs-CZ"/>
              </w:rPr>
              <w:t>A</w:t>
            </w:r>
          </w:p>
          <w:p w14:paraId="391BAAA6" w14:textId="77777777" w:rsidR="002224EC" w:rsidRPr="005650B6" w:rsidRDefault="002224EC" w:rsidP="00D742D1">
            <w:pPr>
              <w:pStyle w:val="Odstavecseseznamem"/>
              <w:spacing w:after="0" w:line="240" w:lineRule="auto"/>
              <w:jc w:val="center"/>
              <w:rPr>
                <w:rFonts w:eastAsia="Times New Roman" w:cstheme="minorHAnsi"/>
                <w:i/>
                <w:iCs/>
                <w:color w:val="000000"/>
                <w:sz w:val="20"/>
                <w:szCs w:val="20"/>
                <w:lang w:eastAsia="cs-CZ"/>
              </w:rPr>
            </w:pPr>
            <w:r w:rsidRPr="005650B6">
              <w:rPr>
                <w:rFonts w:eastAsia="Times New Roman" w:cstheme="minorHAnsi"/>
                <w:i/>
                <w:iCs/>
                <w:color w:val="000000"/>
                <w:sz w:val="20"/>
                <w:szCs w:val="20"/>
                <w:lang w:eastAsia="cs-CZ"/>
              </w:rPr>
              <w:t>Rezidentní ekonomické subjekty se zjištěnou aktivitou</w:t>
            </w:r>
          </w:p>
        </w:tc>
        <w:tc>
          <w:tcPr>
            <w:tcW w:w="1845" w:type="pct"/>
            <w:gridSpan w:val="4"/>
            <w:tcBorders>
              <w:top w:val="single" w:sz="4" w:space="0" w:color="auto"/>
              <w:left w:val="nil"/>
              <w:bottom w:val="single" w:sz="4" w:space="0" w:color="auto"/>
              <w:right w:val="single" w:sz="4" w:space="0" w:color="auto"/>
            </w:tcBorders>
            <w:shd w:val="clear" w:color="auto" w:fill="auto"/>
          </w:tcPr>
          <w:p w14:paraId="756E69D2" w14:textId="77777777" w:rsidR="002224EC" w:rsidRDefault="002224EC" w:rsidP="00D742D1">
            <w:pPr>
              <w:pStyle w:val="Odstavecseseznamem"/>
              <w:spacing w:after="0" w:line="240" w:lineRule="auto"/>
              <w:jc w:val="center"/>
              <w:rPr>
                <w:rFonts w:eastAsia="Times New Roman" w:cstheme="minorHAnsi"/>
                <w:i/>
                <w:iCs/>
                <w:color w:val="000000"/>
                <w:sz w:val="20"/>
                <w:szCs w:val="20"/>
                <w:lang w:eastAsia="cs-CZ"/>
              </w:rPr>
            </w:pPr>
            <w:r>
              <w:rPr>
                <w:rFonts w:eastAsia="Times New Roman" w:cstheme="minorHAnsi"/>
                <w:i/>
                <w:iCs/>
                <w:color w:val="000000"/>
                <w:sz w:val="20"/>
                <w:szCs w:val="20"/>
                <w:lang w:eastAsia="cs-CZ"/>
              </w:rPr>
              <w:t>B</w:t>
            </w:r>
          </w:p>
          <w:p w14:paraId="27DE98C6" w14:textId="77777777" w:rsidR="002224EC" w:rsidRPr="005650B6" w:rsidRDefault="002224EC" w:rsidP="00D742D1">
            <w:pPr>
              <w:pStyle w:val="Odstavecseseznamem"/>
              <w:spacing w:after="0" w:line="240" w:lineRule="auto"/>
              <w:jc w:val="center"/>
              <w:rPr>
                <w:rFonts w:eastAsia="Times New Roman" w:cstheme="minorHAnsi"/>
                <w:i/>
                <w:iCs/>
                <w:color w:val="000000"/>
                <w:sz w:val="20"/>
                <w:szCs w:val="20"/>
                <w:lang w:eastAsia="cs-CZ"/>
              </w:rPr>
            </w:pPr>
            <w:r w:rsidRPr="005650B6">
              <w:rPr>
                <w:rFonts w:eastAsia="Times New Roman" w:cstheme="minorHAnsi"/>
                <w:i/>
                <w:iCs/>
                <w:color w:val="000000"/>
                <w:sz w:val="20"/>
                <w:szCs w:val="20"/>
                <w:lang w:eastAsia="cs-CZ"/>
              </w:rPr>
              <w:t>Rezidentní exportéři</w:t>
            </w:r>
          </w:p>
        </w:tc>
        <w:tc>
          <w:tcPr>
            <w:tcW w:w="729" w:type="pct"/>
            <w:gridSpan w:val="2"/>
            <w:tcBorders>
              <w:top w:val="single" w:sz="4" w:space="0" w:color="auto"/>
              <w:left w:val="nil"/>
              <w:bottom w:val="single" w:sz="4" w:space="0" w:color="auto"/>
              <w:right w:val="single" w:sz="4" w:space="0" w:color="auto"/>
            </w:tcBorders>
            <w:shd w:val="clear" w:color="auto" w:fill="auto"/>
            <w:vAlign w:val="center"/>
          </w:tcPr>
          <w:p w14:paraId="2197A498" w14:textId="4C7751A0" w:rsidR="002224EC" w:rsidRPr="00714FB8" w:rsidRDefault="002224EC" w:rsidP="00D742D1">
            <w:pPr>
              <w:spacing w:after="0" w:line="240" w:lineRule="auto"/>
              <w:jc w:val="center"/>
              <w:rPr>
                <w:rFonts w:eastAsia="Times New Roman" w:cstheme="minorHAnsi"/>
                <w:i/>
                <w:iCs/>
                <w:color w:val="000000"/>
                <w:sz w:val="20"/>
                <w:szCs w:val="20"/>
                <w:lang w:eastAsia="cs-CZ"/>
              </w:rPr>
            </w:pPr>
            <w:r w:rsidRPr="00F901CA">
              <w:rPr>
                <w:rFonts w:eastAsia="Times New Roman" w:cstheme="minorHAnsi"/>
                <w:i/>
                <w:iCs/>
                <w:color w:val="000000"/>
                <w:sz w:val="20"/>
                <w:szCs w:val="20"/>
                <w:lang w:eastAsia="cs-CZ"/>
              </w:rPr>
              <w:t xml:space="preserve">Podíl </w:t>
            </w:r>
            <w:r>
              <w:rPr>
                <w:rFonts w:eastAsia="Times New Roman" w:cstheme="minorHAnsi"/>
                <w:i/>
                <w:iCs/>
                <w:color w:val="000000"/>
                <w:sz w:val="20"/>
                <w:szCs w:val="20"/>
                <w:lang w:eastAsia="cs-CZ"/>
              </w:rPr>
              <w:t>počtu B</w:t>
            </w:r>
            <w:r w:rsidR="00F47C4E">
              <w:rPr>
                <w:rFonts w:eastAsia="Times New Roman" w:cstheme="minorHAnsi"/>
                <w:i/>
                <w:iCs/>
                <w:color w:val="000000"/>
                <w:sz w:val="20"/>
                <w:szCs w:val="20"/>
                <w:lang w:eastAsia="cs-CZ"/>
              </w:rPr>
              <w:t> </w:t>
            </w:r>
            <w:r>
              <w:rPr>
                <w:rFonts w:eastAsia="Times New Roman" w:cstheme="minorHAnsi"/>
                <w:i/>
                <w:iCs/>
                <w:color w:val="000000"/>
                <w:sz w:val="20"/>
                <w:szCs w:val="20"/>
                <w:lang w:eastAsia="cs-CZ"/>
              </w:rPr>
              <w:t>na počtu A</w:t>
            </w:r>
          </w:p>
        </w:tc>
      </w:tr>
      <w:tr w:rsidR="002224EC" w:rsidRPr="00714FB8" w14:paraId="0ACEBA9F" w14:textId="77777777" w:rsidTr="00D742D1">
        <w:trPr>
          <w:trHeight w:val="429"/>
        </w:trPr>
        <w:tc>
          <w:tcPr>
            <w:tcW w:w="657" w:type="pct"/>
            <w:tcBorders>
              <w:top w:val="nil"/>
              <w:left w:val="single" w:sz="4" w:space="0" w:color="auto"/>
              <w:bottom w:val="single" w:sz="4" w:space="0" w:color="auto"/>
              <w:right w:val="single" w:sz="4" w:space="0" w:color="auto"/>
            </w:tcBorders>
            <w:shd w:val="clear" w:color="auto" w:fill="auto"/>
            <w:vAlign w:val="center"/>
            <w:hideMark/>
          </w:tcPr>
          <w:p w14:paraId="6FA30249"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 xml:space="preserve">Kategorie počtu zaměstnanců  </w:t>
            </w:r>
          </w:p>
        </w:tc>
        <w:tc>
          <w:tcPr>
            <w:tcW w:w="405" w:type="pct"/>
            <w:tcBorders>
              <w:top w:val="nil"/>
              <w:left w:val="nil"/>
              <w:bottom w:val="single" w:sz="4" w:space="0" w:color="auto"/>
              <w:right w:val="single" w:sz="4" w:space="0" w:color="auto"/>
            </w:tcBorders>
            <w:shd w:val="clear" w:color="auto" w:fill="auto"/>
            <w:vAlign w:val="center"/>
            <w:hideMark/>
          </w:tcPr>
          <w:p w14:paraId="5B9B9451"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2022</w:t>
            </w:r>
          </w:p>
        </w:tc>
        <w:tc>
          <w:tcPr>
            <w:tcW w:w="477" w:type="pct"/>
            <w:tcBorders>
              <w:top w:val="single" w:sz="4" w:space="0" w:color="auto"/>
              <w:left w:val="nil"/>
              <w:bottom w:val="single" w:sz="4" w:space="0" w:color="auto"/>
              <w:right w:val="single" w:sz="4" w:space="0" w:color="auto"/>
            </w:tcBorders>
            <w:vAlign w:val="center"/>
          </w:tcPr>
          <w:p w14:paraId="7A95D38B"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2023</w:t>
            </w:r>
          </w:p>
        </w:tc>
        <w:tc>
          <w:tcPr>
            <w:tcW w:w="441" w:type="pct"/>
            <w:tcBorders>
              <w:top w:val="nil"/>
              <w:left w:val="single" w:sz="4" w:space="0" w:color="auto"/>
              <w:bottom w:val="single" w:sz="4" w:space="0" w:color="auto"/>
              <w:right w:val="single" w:sz="4" w:space="0" w:color="auto"/>
            </w:tcBorders>
            <w:shd w:val="clear" w:color="auto" w:fill="auto"/>
            <w:vAlign w:val="center"/>
          </w:tcPr>
          <w:p w14:paraId="60E17FD1"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2024</w:t>
            </w:r>
          </w:p>
        </w:tc>
        <w:tc>
          <w:tcPr>
            <w:tcW w:w="446" w:type="pct"/>
            <w:tcBorders>
              <w:top w:val="nil"/>
              <w:left w:val="nil"/>
              <w:bottom w:val="single" w:sz="4" w:space="0" w:color="auto"/>
              <w:right w:val="single" w:sz="4" w:space="0" w:color="auto"/>
            </w:tcBorders>
            <w:shd w:val="clear" w:color="auto" w:fill="auto"/>
            <w:vAlign w:val="center"/>
            <w:hideMark/>
          </w:tcPr>
          <w:p w14:paraId="45F16CBC"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Odhad přírůstku 2024/23 (%)</w:t>
            </w:r>
          </w:p>
        </w:tc>
        <w:tc>
          <w:tcPr>
            <w:tcW w:w="445" w:type="pct"/>
            <w:tcBorders>
              <w:top w:val="nil"/>
              <w:left w:val="nil"/>
              <w:bottom w:val="single" w:sz="4" w:space="0" w:color="auto"/>
              <w:right w:val="single" w:sz="4" w:space="0" w:color="auto"/>
            </w:tcBorders>
            <w:shd w:val="clear" w:color="auto" w:fill="auto"/>
            <w:vAlign w:val="center"/>
            <w:hideMark/>
          </w:tcPr>
          <w:p w14:paraId="59E55325"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2022</w:t>
            </w:r>
          </w:p>
        </w:tc>
        <w:tc>
          <w:tcPr>
            <w:tcW w:w="489" w:type="pct"/>
            <w:tcBorders>
              <w:top w:val="nil"/>
              <w:left w:val="nil"/>
              <w:bottom w:val="single" w:sz="4" w:space="0" w:color="auto"/>
              <w:right w:val="single" w:sz="4" w:space="0" w:color="auto"/>
            </w:tcBorders>
            <w:shd w:val="clear" w:color="auto" w:fill="auto"/>
            <w:vAlign w:val="center"/>
            <w:hideMark/>
          </w:tcPr>
          <w:p w14:paraId="4DB38D07"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2023</w:t>
            </w:r>
          </w:p>
        </w:tc>
        <w:tc>
          <w:tcPr>
            <w:tcW w:w="447" w:type="pct"/>
            <w:tcBorders>
              <w:top w:val="single" w:sz="4" w:space="0" w:color="auto"/>
              <w:left w:val="nil"/>
              <w:bottom w:val="single" w:sz="4" w:space="0" w:color="auto"/>
              <w:right w:val="single" w:sz="4" w:space="0" w:color="auto"/>
            </w:tcBorders>
            <w:vAlign w:val="center"/>
          </w:tcPr>
          <w:p w14:paraId="7C363688"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Počet 2024</w:t>
            </w:r>
          </w:p>
        </w:tc>
        <w:tc>
          <w:tcPr>
            <w:tcW w:w="463" w:type="pct"/>
            <w:tcBorders>
              <w:top w:val="nil"/>
              <w:left w:val="single" w:sz="4" w:space="0" w:color="auto"/>
              <w:bottom w:val="single" w:sz="4" w:space="0" w:color="auto"/>
              <w:right w:val="single" w:sz="4" w:space="0" w:color="auto"/>
            </w:tcBorders>
            <w:shd w:val="clear" w:color="auto" w:fill="auto"/>
            <w:vAlign w:val="center"/>
            <w:hideMark/>
          </w:tcPr>
          <w:p w14:paraId="46D6FC50"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Odhad přírůstku 2024/23 (%)</w:t>
            </w:r>
          </w:p>
        </w:tc>
        <w:tc>
          <w:tcPr>
            <w:tcW w:w="366" w:type="pct"/>
            <w:tcBorders>
              <w:top w:val="single" w:sz="4" w:space="0" w:color="auto"/>
              <w:left w:val="nil"/>
              <w:bottom w:val="single" w:sz="4" w:space="0" w:color="auto"/>
              <w:right w:val="single" w:sz="4" w:space="0" w:color="auto"/>
            </w:tcBorders>
            <w:shd w:val="clear" w:color="auto" w:fill="auto"/>
            <w:vAlign w:val="bottom"/>
          </w:tcPr>
          <w:p w14:paraId="409A5B1C"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2023 (%)</w:t>
            </w:r>
          </w:p>
        </w:tc>
        <w:tc>
          <w:tcPr>
            <w:tcW w:w="363" w:type="pct"/>
            <w:tcBorders>
              <w:top w:val="single" w:sz="4" w:space="0" w:color="auto"/>
              <w:left w:val="nil"/>
              <w:bottom w:val="single" w:sz="4" w:space="0" w:color="auto"/>
              <w:right w:val="single" w:sz="4" w:space="0" w:color="auto"/>
            </w:tcBorders>
            <w:shd w:val="clear" w:color="auto" w:fill="auto"/>
            <w:vAlign w:val="bottom"/>
          </w:tcPr>
          <w:p w14:paraId="7CA61709" w14:textId="77777777" w:rsidR="002224EC" w:rsidRPr="00F901CA" w:rsidRDefault="002224EC" w:rsidP="00D742D1">
            <w:pPr>
              <w:spacing w:after="0" w:line="240" w:lineRule="auto"/>
              <w:rPr>
                <w:rFonts w:eastAsia="Times New Roman" w:cstheme="minorHAnsi"/>
                <w:color w:val="000000"/>
                <w:sz w:val="18"/>
                <w:szCs w:val="18"/>
                <w:lang w:eastAsia="cs-CZ"/>
              </w:rPr>
            </w:pPr>
            <w:r w:rsidRPr="00F901CA">
              <w:rPr>
                <w:rFonts w:eastAsia="Times New Roman" w:cstheme="minorHAnsi"/>
                <w:color w:val="000000"/>
                <w:sz w:val="18"/>
                <w:szCs w:val="18"/>
                <w:lang w:eastAsia="cs-CZ"/>
              </w:rPr>
              <w:t>2024 (%)</w:t>
            </w:r>
          </w:p>
        </w:tc>
      </w:tr>
      <w:tr w:rsidR="002224EC" w:rsidRPr="00714FB8" w14:paraId="4C9F949E"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37DA0D1A"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0 až 9</w:t>
            </w:r>
          </w:p>
        </w:tc>
        <w:tc>
          <w:tcPr>
            <w:tcW w:w="405" w:type="pct"/>
            <w:tcBorders>
              <w:top w:val="nil"/>
              <w:left w:val="nil"/>
              <w:bottom w:val="single" w:sz="4" w:space="0" w:color="auto"/>
              <w:right w:val="single" w:sz="4" w:space="0" w:color="auto"/>
            </w:tcBorders>
            <w:shd w:val="clear" w:color="auto" w:fill="auto"/>
            <w:noWrap/>
            <w:vAlign w:val="center"/>
            <w:hideMark/>
          </w:tcPr>
          <w:p w14:paraId="43355FC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1 228 329</w:t>
            </w:r>
          </w:p>
        </w:tc>
        <w:tc>
          <w:tcPr>
            <w:tcW w:w="477" w:type="pct"/>
            <w:tcBorders>
              <w:top w:val="single" w:sz="4" w:space="0" w:color="auto"/>
              <w:left w:val="nil"/>
              <w:bottom w:val="single" w:sz="4" w:space="0" w:color="auto"/>
              <w:right w:val="single" w:sz="4" w:space="0" w:color="auto"/>
            </w:tcBorders>
            <w:vAlign w:val="center"/>
          </w:tcPr>
          <w:p w14:paraId="71A8647A"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1 251 066</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6423A0F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w:t>
            </w:r>
            <w:r>
              <w:rPr>
                <w:rFonts w:eastAsia="Times New Roman" w:cstheme="minorHAnsi"/>
                <w:color w:val="000000"/>
                <w:sz w:val="16"/>
                <w:szCs w:val="16"/>
                <w:lang w:eastAsia="cs-CZ"/>
              </w:rPr>
              <w:t> </w:t>
            </w:r>
            <w:r w:rsidRPr="008D0E1C">
              <w:rPr>
                <w:rFonts w:eastAsia="Times New Roman" w:cstheme="minorHAnsi"/>
                <w:color w:val="000000"/>
                <w:sz w:val="16"/>
                <w:szCs w:val="16"/>
                <w:lang w:eastAsia="cs-CZ"/>
              </w:rPr>
              <w:t>295</w:t>
            </w:r>
            <w:r>
              <w:rPr>
                <w:rFonts w:eastAsia="Times New Roman" w:cstheme="minorHAnsi"/>
                <w:color w:val="000000"/>
                <w:sz w:val="16"/>
                <w:szCs w:val="16"/>
                <w:lang w:eastAsia="cs-CZ"/>
              </w:rPr>
              <w:t xml:space="preserve"> </w:t>
            </w:r>
            <w:r w:rsidRPr="008D0E1C">
              <w:rPr>
                <w:rFonts w:eastAsia="Times New Roman" w:cstheme="minorHAnsi"/>
                <w:color w:val="000000"/>
                <w:sz w:val="16"/>
                <w:szCs w:val="16"/>
                <w:lang w:eastAsia="cs-CZ"/>
              </w:rPr>
              <w:t>895</w:t>
            </w:r>
          </w:p>
        </w:tc>
        <w:tc>
          <w:tcPr>
            <w:tcW w:w="446" w:type="pct"/>
            <w:tcBorders>
              <w:top w:val="nil"/>
              <w:left w:val="nil"/>
              <w:bottom w:val="single" w:sz="4" w:space="0" w:color="auto"/>
              <w:right w:val="single" w:sz="4" w:space="0" w:color="auto"/>
            </w:tcBorders>
            <w:shd w:val="clear" w:color="auto" w:fill="auto"/>
            <w:noWrap/>
            <w:vAlign w:val="center"/>
          </w:tcPr>
          <w:p w14:paraId="45E22ADF"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3,58</w:t>
            </w:r>
          </w:p>
        </w:tc>
        <w:tc>
          <w:tcPr>
            <w:tcW w:w="445" w:type="pct"/>
            <w:tcBorders>
              <w:top w:val="nil"/>
              <w:left w:val="nil"/>
              <w:bottom w:val="single" w:sz="4" w:space="0" w:color="auto"/>
              <w:right w:val="single" w:sz="4" w:space="0" w:color="auto"/>
            </w:tcBorders>
            <w:shd w:val="clear" w:color="auto" w:fill="auto"/>
            <w:noWrap/>
            <w:vAlign w:val="center"/>
            <w:hideMark/>
          </w:tcPr>
          <w:p w14:paraId="1093876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9 385</w:t>
            </w:r>
          </w:p>
        </w:tc>
        <w:tc>
          <w:tcPr>
            <w:tcW w:w="489" w:type="pct"/>
            <w:tcBorders>
              <w:top w:val="nil"/>
              <w:left w:val="nil"/>
              <w:bottom w:val="single" w:sz="4" w:space="0" w:color="auto"/>
              <w:right w:val="single" w:sz="4" w:space="0" w:color="auto"/>
            </w:tcBorders>
            <w:shd w:val="clear" w:color="auto" w:fill="auto"/>
            <w:noWrap/>
            <w:vAlign w:val="center"/>
            <w:hideMark/>
          </w:tcPr>
          <w:p w14:paraId="06BD49F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7 558</w:t>
            </w:r>
          </w:p>
        </w:tc>
        <w:tc>
          <w:tcPr>
            <w:tcW w:w="447" w:type="pct"/>
            <w:tcBorders>
              <w:top w:val="single" w:sz="4" w:space="0" w:color="auto"/>
              <w:left w:val="nil"/>
              <w:bottom w:val="single" w:sz="4" w:space="0" w:color="auto"/>
              <w:right w:val="single" w:sz="4" w:space="0" w:color="auto"/>
            </w:tcBorders>
            <w:vAlign w:val="center"/>
          </w:tcPr>
          <w:p w14:paraId="26CB4546"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7 752</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5F2D5F4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2,57</w:t>
            </w:r>
          </w:p>
        </w:tc>
        <w:tc>
          <w:tcPr>
            <w:tcW w:w="366" w:type="pct"/>
            <w:tcBorders>
              <w:top w:val="nil"/>
              <w:left w:val="nil"/>
              <w:bottom w:val="single" w:sz="4" w:space="0" w:color="auto"/>
              <w:right w:val="single" w:sz="4" w:space="0" w:color="auto"/>
            </w:tcBorders>
            <w:vAlign w:val="center"/>
          </w:tcPr>
          <w:p w14:paraId="6AAD004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0,60</w:t>
            </w:r>
          </w:p>
        </w:tc>
        <w:tc>
          <w:tcPr>
            <w:tcW w:w="363" w:type="pct"/>
            <w:tcBorders>
              <w:top w:val="nil"/>
              <w:left w:val="nil"/>
              <w:bottom w:val="single" w:sz="4" w:space="0" w:color="auto"/>
              <w:right w:val="single" w:sz="4" w:space="0" w:color="auto"/>
            </w:tcBorders>
            <w:vAlign w:val="center"/>
          </w:tcPr>
          <w:p w14:paraId="09EFB92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0,60</w:t>
            </w:r>
          </w:p>
        </w:tc>
      </w:tr>
      <w:tr w:rsidR="002224EC" w:rsidRPr="00714FB8" w14:paraId="5A103D0F"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21153DC1"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10 až 49</w:t>
            </w:r>
          </w:p>
        </w:tc>
        <w:tc>
          <w:tcPr>
            <w:tcW w:w="405" w:type="pct"/>
            <w:tcBorders>
              <w:top w:val="nil"/>
              <w:left w:val="nil"/>
              <w:bottom w:val="single" w:sz="4" w:space="0" w:color="auto"/>
              <w:right w:val="single" w:sz="4" w:space="0" w:color="auto"/>
            </w:tcBorders>
            <w:shd w:val="clear" w:color="auto" w:fill="auto"/>
            <w:noWrap/>
            <w:vAlign w:val="center"/>
            <w:hideMark/>
          </w:tcPr>
          <w:p w14:paraId="46EECC1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44 175</w:t>
            </w:r>
          </w:p>
        </w:tc>
        <w:tc>
          <w:tcPr>
            <w:tcW w:w="477" w:type="pct"/>
            <w:tcBorders>
              <w:top w:val="single" w:sz="4" w:space="0" w:color="auto"/>
              <w:left w:val="nil"/>
              <w:bottom w:val="single" w:sz="4" w:space="0" w:color="auto"/>
              <w:right w:val="single" w:sz="4" w:space="0" w:color="auto"/>
            </w:tcBorders>
            <w:vAlign w:val="center"/>
          </w:tcPr>
          <w:p w14:paraId="52193473"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44 330</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2BFDF74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62 256</w:t>
            </w:r>
          </w:p>
        </w:tc>
        <w:tc>
          <w:tcPr>
            <w:tcW w:w="446" w:type="pct"/>
            <w:tcBorders>
              <w:top w:val="nil"/>
              <w:left w:val="nil"/>
              <w:bottom w:val="single" w:sz="4" w:space="0" w:color="auto"/>
              <w:right w:val="single" w:sz="4" w:space="0" w:color="auto"/>
            </w:tcBorders>
            <w:shd w:val="clear" w:color="auto" w:fill="auto"/>
            <w:noWrap/>
            <w:vAlign w:val="center"/>
          </w:tcPr>
          <w:p w14:paraId="4904D81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40,44</w:t>
            </w:r>
          </w:p>
        </w:tc>
        <w:tc>
          <w:tcPr>
            <w:tcW w:w="445" w:type="pct"/>
            <w:tcBorders>
              <w:top w:val="nil"/>
              <w:left w:val="nil"/>
              <w:bottom w:val="single" w:sz="4" w:space="0" w:color="auto"/>
              <w:right w:val="single" w:sz="4" w:space="0" w:color="auto"/>
            </w:tcBorders>
            <w:shd w:val="clear" w:color="auto" w:fill="auto"/>
            <w:noWrap/>
            <w:vAlign w:val="center"/>
            <w:hideMark/>
          </w:tcPr>
          <w:p w14:paraId="59E25D5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5 338</w:t>
            </w:r>
          </w:p>
        </w:tc>
        <w:tc>
          <w:tcPr>
            <w:tcW w:w="489" w:type="pct"/>
            <w:tcBorders>
              <w:top w:val="nil"/>
              <w:left w:val="nil"/>
              <w:bottom w:val="single" w:sz="4" w:space="0" w:color="auto"/>
              <w:right w:val="single" w:sz="4" w:space="0" w:color="auto"/>
            </w:tcBorders>
            <w:shd w:val="clear" w:color="auto" w:fill="auto"/>
            <w:noWrap/>
            <w:vAlign w:val="center"/>
            <w:hideMark/>
          </w:tcPr>
          <w:p w14:paraId="5C22D566"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5 420</w:t>
            </w:r>
          </w:p>
        </w:tc>
        <w:tc>
          <w:tcPr>
            <w:tcW w:w="447" w:type="pct"/>
            <w:tcBorders>
              <w:top w:val="single" w:sz="4" w:space="0" w:color="auto"/>
              <w:left w:val="nil"/>
              <w:bottom w:val="single" w:sz="4" w:space="0" w:color="auto"/>
              <w:right w:val="single" w:sz="4" w:space="0" w:color="auto"/>
            </w:tcBorders>
            <w:vAlign w:val="center"/>
          </w:tcPr>
          <w:p w14:paraId="3F619640"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5 532</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1DCDFA2E"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2,07</w:t>
            </w:r>
          </w:p>
        </w:tc>
        <w:tc>
          <w:tcPr>
            <w:tcW w:w="366" w:type="pct"/>
            <w:tcBorders>
              <w:top w:val="nil"/>
              <w:left w:val="nil"/>
              <w:bottom w:val="single" w:sz="4" w:space="0" w:color="auto"/>
              <w:right w:val="single" w:sz="4" w:space="0" w:color="auto"/>
            </w:tcBorders>
            <w:vAlign w:val="center"/>
          </w:tcPr>
          <w:p w14:paraId="020383E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12,23</w:t>
            </w:r>
          </w:p>
        </w:tc>
        <w:tc>
          <w:tcPr>
            <w:tcW w:w="363" w:type="pct"/>
            <w:tcBorders>
              <w:top w:val="nil"/>
              <w:left w:val="nil"/>
              <w:bottom w:val="single" w:sz="4" w:space="0" w:color="auto"/>
              <w:right w:val="single" w:sz="4" w:space="0" w:color="auto"/>
            </w:tcBorders>
            <w:vAlign w:val="center"/>
          </w:tcPr>
          <w:p w14:paraId="5BE778C0"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8,89</w:t>
            </w:r>
          </w:p>
        </w:tc>
      </w:tr>
      <w:tr w:rsidR="002224EC" w:rsidRPr="00714FB8" w14:paraId="51D58A3E"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3C035B17"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50 až 249</w:t>
            </w:r>
          </w:p>
        </w:tc>
        <w:tc>
          <w:tcPr>
            <w:tcW w:w="405" w:type="pct"/>
            <w:tcBorders>
              <w:top w:val="nil"/>
              <w:left w:val="nil"/>
              <w:bottom w:val="single" w:sz="4" w:space="0" w:color="auto"/>
              <w:right w:val="single" w:sz="4" w:space="0" w:color="auto"/>
            </w:tcBorders>
            <w:shd w:val="clear" w:color="auto" w:fill="auto"/>
            <w:noWrap/>
            <w:vAlign w:val="center"/>
            <w:hideMark/>
          </w:tcPr>
          <w:p w14:paraId="67CA57BF"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11 982</w:t>
            </w:r>
          </w:p>
        </w:tc>
        <w:tc>
          <w:tcPr>
            <w:tcW w:w="477" w:type="pct"/>
            <w:tcBorders>
              <w:top w:val="single" w:sz="4" w:space="0" w:color="auto"/>
              <w:left w:val="nil"/>
              <w:bottom w:val="single" w:sz="4" w:space="0" w:color="auto"/>
              <w:right w:val="single" w:sz="4" w:space="0" w:color="auto"/>
            </w:tcBorders>
            <w:vAlign w:val="center"/>
          </w:tcPr>
          <w:p w14:paraId="589524C9"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12 123</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6CB10A29"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15 032</w:t>
            </w:r>
          </w:p>
        </w:tc>
        <w:tc>
          <w:tcPr>
            <w:tcW w:w="446" w:type="pct"/>
            <w:tcBorders>
              <w:top w:val="nil"/>
              <w:left w:val="nil"/>
              <w:bottom w:val="single" w:sz="4" w:space="0" w:color="auto"/>
              <w:right w:val="single" w:sz="4" w:space="0" w:color="auto"/>
            </w:tcBorders>
            <w:shd w:val="clear" w:color="auto" w:fill="auto"/>
            <w:noWrap/>
            <w:vAlign w:val="center"/>
          </w:tcPr>
          <w:p w14:paraId="5EDFAA3F"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24,00</w:t>
            </w:r>
          </w:p>
        </w:tc>
        <w:tc>
          <w:tcPr>
            <w:tcW w:w="445" w:type="pct"/>
            <w:tcBorders>
              <w:top w:val="nil"/>
              <w:left w:val="nil"/>
              <w:bottom w:val="single" w:sz="4" w:space="0" w:color="auto"/>
              <w:right w:val="single" w:sz="4" w:space="0" w:color="auto"/>
            </w:tcBorders>
            <w:shd w:val="clear" w:color="auto" w:fill="auto"/>
            <w:noWrap/>
            <w:vAlign w:val="center"/>
            <w:hideMark/>
          </w:tcPr>
          <w:p w14:paraId="45932DB2"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3 514</w:t>
            </w:r>
          </w:p>
        </w:tc>
        <w:tc>
          <w:tcPr>
            <w:tcW w:w="489" w:type="pct"/>
            <w:tcBorders>
              <w:top w:val="nil"/>
              <w:left w:val="nil"/>
              <w:bottom w:val="single" w:sz="4" w:space="0" w:color="auto"/>
              <w:right w:val="single" w:sz="4" w:space="0" w:color="auto"/>
            </w:tcBorders>
            <w:shd w:val="clear" w:color="auto" w:fill="auto"/>
            <w:noWrap/>
            <w:vAlign w:val="center"/>
            <w:hideMark/>
          </w:tcPr>
          <w:p w14:paraId="3A4CD45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3 465</w:t>
            </w:r>
          </w:p>
        </w:tc>
        <w:tc>
          <w:tcPr>
            <w:tcW w:w="447" w:type="pct"/>
            <w:tcBorders>
              <w:top w:val="single" w:sz="4" w:space="0" w:color="auto"/>
              <w:left w:val="nil"/>
              <w:bottom w:val="single" w:sz="4" w:space="0" w:color="auto"/>
              <w:right w:val="single" w:sz="4" w:space="0" w:color="auto"/>
            </w:tcBorders>
            <w:vAlign w:val="center"/>
          </w:tcPr>
          <w:p w14:paraId="307ADCCE"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3 694</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7475A473"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6,61</w:t>
            </w:r>
          </w:p>
        </w:tc>
        <w:tc>
          <w:tcPr>
            <w:tcW w:w="366" w:type="pct"/>
            <w:tcBorders>
              <w:top w:val="nil"/>
              <w:left w:val="nil"/>
              <w:bottom w:val="single" w:sz="4" w:space="0" w:color="auto"/>
              <w:right w:val="single" w:sz="4" w:space="0" w:color="auto"/>
            </w:tcBorders>
            <w:vAlign w:val="center"/>
          </w:tcPr>
          <w:p w14:paraId="6032B2E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28,58</w:t>
            </w:r>
          </w:p>
        </w:tc>
        <w:tc>
          <w:tcPr>
            <w:tcW w:w="363" w:type="pct"/>
            <w:tcBorders>
              <w:top w:val="nil"/>
              <w:left w:val="nil"/>
              <w:bottom w:val="single" w:sz="4" w:space="0" w:color="auto"/>
              <w:right w:val="single" w:sz="4" w:space="0" w:color="auto"/>
            </w:tcBorders>
            <w:vAlign w:val="center"/>
          </w:tcPr>
          <w:p w14:paraId="1406541D"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24,57</w:t>
            </w:r>
          </w:p>
        </w:tc>
      </w:tr>
      <w:tr w:rsidR="002224EC" w:rsidRPr="00714FB8" w14:paraId="17132F6F"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08253EB9"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nad 250</w:t>
            </w:r>
          </w:p>
        </w:tc>
        <w:tc>
          <w:tcPr>
            <w:tcW w:w="405" w:type="pct"/>
            <w:tcBorders>
              <w:top w:val="nil"/>
              <w:left w:val="nil"/>
              <w:bottom w:val="single" w:sz="4" w:space="0" w:color="auto"/>
              <w:right w:val="single" w:sz="4" w:space="0" w:color="auto"/>
            </w:tcBorders>
            <w:shd w:val="clear" w:color="auto" w:fill="auto"/>
            <w:noWrap/>
            <w:vAlign w:val="center"/>
            <w:hideMark/>
          </w:tcPr>
          <w:p w14:paraId="17E3FCA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2 411</w:t>
            </w:r>
          </w:p>
        </w:tc>
        <w:tc>
          <w:tcPr>
            <w:tcW w:w="477" w:type="pct"/>
            <w:tcBorders>
              <w:top w:val="single" w:sz="4" w:space="0" w:color="auto"/>
              <w:left w:val="nil"/>
              <w:bottom w:val="single" w:sz="4" w:space="0" w:color="auto"/>
              <w:right w:val="single" w:sz="4" w:space="0" w:color="auto"/>
            </w:tcBorders>
            <w:vAlign w:val="center"/>
          </w:tcPr>
          <w:p w14:paraId="2060440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2 401</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281F4EB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2 816</w:t>
            </w:r>
          </w:p>
        </w:tc>
        <w:tc>
          <w:tcPr>
            <w:tcW w:w="446" w:type="pct"/>
            <w:tcBorders>
              <w:top w:val="nil"/>
              <w:left w:val="nil"/>
              <w:bottom w:val="single" w:sz="4" w:space="0" w:color="auto"/>
              <w:right w:val="single" w:sz="4" w:space="0" w:color="auto"/>
            </w:tcBorders>
            <w:shd w:val="clear" w:color="auto" w:fill="auto"/>
            <w:noWrap/>
            <w:vAlign w:val="center"/>
          </w:tcPr>
          <w:p w14:paraId="541C5BF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17,28</w:t>
            </w:r>
          </w:p>
        </w:tc>
        <w:tc>
          <w:tcPr>
            <w:tcW w:w="445" w:type="pct"/>
            <w:tcBorders>
              <w:top w:val="nil"/>
              <w:left w:val="nil"/>
              <w:bottom w:val="single" w:sz="4" w:space="0" w:color="auto"/>
              <w:right w:val="single" w:sz="4" w:space="0" w:color="auto"/>
            </w:tcBorders>
            <w:shd w:val="clear" w:color="auto" w:fill="auto"/>
            <w:noWrap/>
            <w:vAlign w:val="center"/>
            <w:hideMark/>
          </w:tcPr>
          <w:p w14:paraId="5F01BCA5"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1 211</w:t>
            </w:r>
          </w:p>
        </w:tc>
        <w:tc>
          <w:tcPr>
            <w:tcW w:w="489" w:type="pct"/>
            <w:tcBorders>
              <w:top w:val="nil"/>
              <w:left w:val="nil"/>
              <w:bottom w:val="single" w:sz="4" w:space="0" w:color="auto"/>
              <w:right w:val="single" w:sz="4" w:space="0" w:color="auto"/>
            </w:tcBorders>
            <w:shd w:val="clear" w:color="auto" w:fill="auto"/>
            <w:noWrap/>
            <w:vAlign w:val="center"/>
            <w:hideMark/>
          </w:tcPr>
          <w:p w14:paraId="60AEE792"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1 186</w:t>
            </w:r>
          </w:p>
        </w:tc>
        <w:tc>
          <w:tcPr>
            <w:tcW w:w="447" w:type="pct"/>
            <w:tcBorders>
              <w:top w:val="single" w:sz="4" w:space="0" w:color="auto"/>
              <w:left w:val="nil"/>
              <w:bottom w:val="single" w:sz="4" w:space="0" w:color="auto"/>
              <w:right w:val="single" w:sz="4" w:space="0" w:color="auto"/>
            </w:tcBorders>
            <w:vAlign w:val="center"/>
          </w:tcPr>
          <w:p w14:paraId="30F6BFE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1 188</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052BED8A"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0,17</w:t>
            </w:r>
          </w:p>
        </w:tc>
        <w:tc>
          <w:tcPr>
            <w:tcW w:w="366" w:type="pct"/>
            <w:tcBorders>
              <w:top w:val="nil"/>
              <w:left w:val="nil"/>
              <w:bottom w:val="single" w:sz="4" w:space="0" w:color="auto"/>
              <w:right w:val="single" w:sz="4" w:space="0" w:color="auto"/>
            </w:tcBorders>
            <w:vAlign w:val="center"/>
          </w:tcPr>
          <w:p w14:paraId="01446F99"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49,40</w:t>
            </w:r>
          </w:p>
        </w:tc>
        <w:tc>
          <w:tcPr>
            <w:tcW w:w="363" w:type="pct"/>
            <w:tcBorders>
              <w:top w:val="nil"/>
              <w:left w:val="nil"/>
              <w:bottom w:val="single" w:sz="4" w:space="0" w:color="auto"/>
              <w:right w:val="single" w:sz="4" w:space="0" w:color="auto"/>
            </w:tcBorders>
            <w:vAlign w:val="center"/>
          </w:tcPr>
          <w:p w14:paraId="3979F75B"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42,19</w:t>
            </w:r>
          </w:p>
        </w:tc>
      </w:tr>
      <w:tr w:rsidR="002224EC" w:rsidRPr="00714FB8" w14:paraId="46DF4A09"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560F7E4E"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Neuvedeno</w:t>
            </w:r>
          </w:p>
        </w:tc>
        <w:tc>
          <w:tcPr>
            <w:tcW w:w="405" w:type="pct"/>
            <w:tcBorders>
              <w:top w:val="nil"/>
              <w:left w:val="nil"/>
              <w:bottom w:val="single" w:sz="4" w:space="0" w:color="auto"/>
              <w:right w:val="single" w:sz="4" w:space="0" w:color="auto"/>
            </w:tcBorders>
            <w:shd w:val="clear" w:color="auto" w:fill="auto"/>
            <w:noWrap/>
            <w:vAlign w:val="center"/>
            <w:hideMark/>
          </w:tcPr>
          <w:p w14:paraId="2B6D4D0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342 365</w:t>
            </w:r>
          </w:p>
        </w:tc>
        <w:tc>
          <w:tcPr>
            <w:tcW w:w="477" w:type="pct"/>
            <w:tcBorders>
              <w:top w:val="single" w:sz="4" w:space="0" w:color="auto"/>
              <w:left w:val="nil"/>
              <w:bottom w:val="single" w:sz="4" w:space="0" w:color="auto"/>
              <w:right w:val="single" w:sz="4" w:space="0" w:color="auto"/>
            </w:tcBorders>
            <w:vAlign w:val="center"/>
          </w:tcPr>
          <w:p w14:paraId="1B30E57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358 596</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3DDF59C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340 201</w:t>
            </w:r>
          </w:p>
        </w:tc>
        <w:tc>
          <w:tcPr>
            <w:tcW w:w="446" w:type="pct"/>
            <w:tcBorders>
              <w:top w:val="nil"/>
              <w:left w:val="nil"/>
              <w:bottom w:val="single" w:sz="4" w:space="0" w:color="auto"/>
              <w:right w:val="single" w:sz="4" w:space="0" w:color="auto"/>
            </w:tcBorders>
            <w:shd w:val="clear" w:color="auto" w:fill="auto"/>
            <w:noWrap/>
            <w:vAlign w:val="center"/>
          </w:tcPr>
          <w:p w14:paraId="3C84CBF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-5,13</w:t>
            </w:r>
          </w:p>
        </w:tc>
        <w:tc>
          <w:tcPr>
            <w:tcW w:w="445" w:type="pct"/>
            <w:tcBorders>
              <w:top w:val="nil"/>
              <w:left w:val="nil"/>
              <w:bottom w:val="single" w:sz="4" w:space="0" w:color="auto"/>
              <w:right w:val="single" w:sz="4" w:space="0" w:color="auto"/>
            </w:tcBorders>
            <w:shd w:val="clear" w:color="auto" w:fill="auto"/>
            <w:noWrap/>
            <w:vAlign w:val="center"/>
            <w:hideMark/>
          </w:tcPr>
          <w:p w14:paraId="4D9188F0"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1 956</w:t>
            </w:r>
          </w:p>
        </w:tc>
        <w:tc>
          <w:tcPr>
            <w:tcW w:w="489" w:type="pct"/>
            <w:tcBorders>
              <w:top w:val="nil"/>
              <w:left w:val="nil"/>
              <w:bottom w:val="single" w:sz="4" w:space="0" w:color="auto"/>
              <w:right w:val="single" w:sz="4" w:space="0" w:color="auto"/>
            </w:tcBorders>
            <w:shd w:val="clear" w:color="auto" w:fill="auto"/>
            <w:noWrap/>
            <w:vAlign w:val="center"/>
            <w:hideMark/>
          </w:tcPr>
          <w:p w14:paraId="633F409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1 922</w:t>
            </w:r>
          </w:p>
        </w:tc>
        <w:tc>
          <w:tcPr>
            <w:tcW w:w="447" w:type="pct"/>
            <w:tcBorders>
              <w:top w:val="single" w:sz="4" w:space="0" w:color="auto"/>
              <w:left w:val="nil"/>
              <w:bottom w:val="single" w:sz="4" w:space="0" w:color="auto"/>
              <w:right w:val="single" w:sz="4" w:space="0" w:color="auto"/>
            </w:tcBorders>
            <w:vAlign w:val="center"/>
          </w:tcPr>
          <w:p w14:paraId="0C9DE62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1 778</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2093455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-7,49</w:t>
            </w:r>
          </w:p>
        </w:tc>
        <w:tc>
          <w:tcPr>
            <w:tcW w:w="366" w:type="pct"/>
            <w:tcBorders>
              <w:top w:val="nil"/>
              <w:left w:val="nil"/>
              <w:bottom w:val="single" w:sz="4" w:space="0" w:color="auto"/>
              <w:right w:val="single" w:sz="4" w:space="0" w:color="auto"/>
            </w:tcBorders>
            <w:vAlign w:val="center"/>
          </w:tcPr>
          <w:p w14:paraId="4CD77537"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0,54</w:t>
            </w:r>
          </w:p>
        </w:tc>
        <w:tc>
          <w:tcPr>
            <w:tcW w:w="363" w:type="pct"/>
            <w:tcBorders>
              <w:top w:val="nil"/>
              <w:left w:val="nil"/>
              <w:bottom w:val="single" w:sz="4" w:space="0" w:color="auto"/>
              <w:right w:val="single" w:sz="4" w:space="0" w:color="auto"/>
            </w:tcBorders>
            <w:vAlign w:val="center"/>
          </w:tcPr>
          <w:p w14:paraId="00B8A6AF"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0,52</w:t>
            </w:r>
          </w:p>
        </w:tc>
      </w:tr>
      <w:tr w:rsidR="002224EC" w:rsidRPr="00714FB8" w14:paraId="36836369" w14:textId="77777777" w:rsidTr="00D742D1">
        <w:trPr>
          <w:trHeight w:val="218"/>
        </w:trPr>
        <w:tc>
          <w:tcPr>
            <w:tcW w:w="657" w:type="pct"/>
            <w:tcBorders>
              <w:top w:val="nil"/>
              <w:left w:val="single" w:sz="4" w:space="0" w:color="auto"/>
              <w:bottom w:val="single" w:sz="4" w:space="0" w:color="auto"/>
              <w:right w:val="single" w:sz="4" w:space="0" w:color="auto"/>
            </w:tcBorders>
            <w:shd w:val="clear" w:color="auto" w:fill="auto"/>
            <w:noWrap/>
            <w:vAlign w:val="center"/>
            <w:hideMark/>
          </w:tcPr>
          <w:p w14:paraId="7F281987" w14:textId="77777777" w:rsidR="002224EC" w:rsidRPr="005650B6" w:rsidRDefault="002224EC" w:rsidP="00D742D1">
            <w:pPr>
              <w:spacing w:after="0" w:line="240" w:lineRule="auto"/>
              <w:rPr>
                <w:rFonts w:eastAsia="Times New Roman" w:cstheme="minorHAnsi"/>
                <w:i/>
                <w:iCs/>
                <w:color w:val="000000"/>
                <w:sz w:val="18"/>
                <w:szCs w:val="18"/>
                <w:lang w:eastAsia="cs-CZ"/>
              </w:rPr>
            </w:pPr>
            <w:r w:rsidRPr="005650B6">
              <w:rPr>
                <w:rFonts w:eastAsia="Times New Roman" w:cstheme="minorHAnsi"/>
                <w:i/>
                <w:iCs/>
                <w:color w:val="000000"/>
                <w:sz w:val="18"/>
                <w:szCs w:val="18"/>
                <w:lang w:eastAsia="cs-CZ"/>
              </w:rPr>
              <w:t>Celkem</w:t>
            </w:r>
          </w:p>
        </w:tc>
        <w:tc>
          <w:tcPr>
            <w:tcW w:w="405" w:type="pct"/>
            <w:tcBorders>
              <w:top w:val="nil"/>
              <w:left w:val="nil"/>
              <w:bottom w:val="single" w:sz="4" w:space="0" w:color="auto"/>
              <w:right w:val="single" w:sz="4" w:space="0" w:color="auto"/>
            </w:tcBorders>
            <w:shd w:val="clear" w:color="auto" w:fill="auto"/>
            <w:noWrap/>
            <w:vAlign w:val="center"/>
            <w:hideMark/>
          </w:tcPr>
          <w:p w14:paraId="406848AE"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1 629 262</w:t>
            </w:r>
          </w:p>
        </w:tc>
        <w:tc>
          <w:tcPr>
            <w:tcW w:w="477" w:type="pct"/>
            <w:tcBorders>
              <w:top w:val="single" w:sz="4" w:space="0" w:color="auto"/>
              <w:left w:val="nil"/>
              <w:bottom w:val="single" w:sz="4" w:space="0" w:color="auto"/>
              <w:right w:val="single" w:sz="4" w:space="0" w:color="auto"/>
            </w:tcBorders>
            <w:vAlign w:val="center"/>
          </w:tcPr>
          <w:p w14:paraId="7BB8FFC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1 668 516</w:t>
            </w:r>
          </w:p>
        </w:tc>
        <w:tc>
          <w:tcPr>
            <w:tcW w:w="441" w:type="pct"/>
            <w:tcBorders>
              <w:top w:val="nil"/>
              <w:left w:val="single" w:sz="4" w:space="0" w:color="auto"/>
              <w:bottom w:val="single" w:sz="4" w:space="0" w:color="auto"/>
              <w:right w:val="single" w:sz="4" w:space="0" w:color="auto"/>
            </w:tcBorders>
            <w:shd w:val="clear" w:color="auto" w:fill="auto"/>
            <w:noWrap/>
            <w:vAlign w:val="center"/>
          </w:tcPr>
          <w:p w14:paraId="03390A2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1 716 200</w:t>
            </w:r>
          </w:p>
        </w:tc>
        <w:tc>
          <w:tcPr>
            <w:tcW w:w="446" w:type="pct"/>
            <w:tcBorders>
              <w:top w:val="nil"/>
              <w:left w:val="nil"/>
              <w:bottom w:val="single" w:sz="4" w:space="0" w:color="auto"/>
              <w:right w:val="single" w:sz="4" w:space="0" w:color="auto"/>
            </w:tcBorders>
            <w:shd w:val="clear" w:color="auto" w:fill="auto"/>
            <w:noWrap/>
            <w:vAlign w:val="center"/>
          </w:tcPr>
          <w:p w14:paraId="3E463448"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2,86</w:t>
            </w:r>
          </w:p>
        </w:tc>
        <w:tc>
          <w:tcPr>
            <w:tcW w:w="445" w:type="pct"/>
            <w:tcBorders>
              <w:top w:val="nil"/>
              <w:left w:val="nil"/>
              <w:bottom w:val="single" w:sz="4" w:space="0" w:color="auto"/>
              <w:right w:val="single" w:sz="4" w:space="0" w:color="auto"/>
            </w:tcBorders>
            <w:shd w:val="clear" w:color="auto" w:fill="auto"/>
            <w:noWrap/>
            <w:vAlign w:val="center"/>
            <w:hideMark/>
          </w:tcPr>
          <w:p w14:paraId="26509304"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21 404</w:t>
            </w:r>
          </w:p>
        </w:tc>
        <w:tc>
          <w:tcPr>
            <w:tcW w:w="489" w:type="pct"/>
            <w:tcBorders>
              <w:top w:val="nil"/>
              <w:left w:val="nil"/>
              <w:bottom w:val="single" w:sz="4" w:space="0" w:color="auto"/>
              <w:right w:val="single" w:sz="4" w:space="0" w:color="auto"/>
            </w:tcBorders>
            <w:shd w:val="clear" w:color="auto" w:fill="auto"/>
            <w:noWrap/>
            <w:vAlign w:val="center"/>
            <w:hideMark/>
          </w:tcPr>
          <w:p w14:paraId="7C24B74C"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sidRPr="008D0E1C">
              <w:rPr>
                <w:rFonts w:eastAsia="Times New Roman" w:cstheme="minorHAnsi"/>
                <w:color w:val="000000"/>
                <w:sz w:val="16"/>
                <w:szCs w:val="16"/>
                <w:lang w:eastAsia="cs-CZ"/>
              </w:rPr>
              <w:t>19 551</w:t>
            </w:r>
          </w:p>
        </w:tc>
        <w:tc>
          <w:tcPr>
            <w:tcW w:w="447" w:type="pct"/>
            <w:tcBorders>
              <w:top w:val="single" w:sz="4" w:space="0" w:color="auto"/>
              <w:left w:val="nil"/>
              <w:bottom w:val="single" w:sz="4" w:space="0" w:color="auto"/>
              <w:right w:val="single" w:sz="4" w:space="0" w:color="auto"/>
            </w:tcBorders>
            <w:vAlign w:val="center"/>
          </w:tcPr>
          <w:p w14:paraId="2798DD51"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19 944</w:t>
            </w:r>
          </w:p>
        </w:tc>
        <w:tc>
          <w:tcPr>
            <w:tcW w:w="463" w:type="pct"/>
            <w:tcBorders>
              <w:top w:val="nil"/>
              <w:left w:val="single" w:sz="4" w:space="0" w:color="auto"/>
              <w:bottom w:val="single" w:sz="4" w:space="0" w:color="auto"/>
              <w:right w:val="single" w:sz="4" w:space="0" w:color="auto"/>
            </w:tcBorders>
            <w:shd w:val="clear" w:color="auto" w:fill="auto"/>
            <w:noWrap/>
            <w:vAlign w:val="center"/>
          </w:tcPr>
          <w:p w14:paraId="2E6F25E6"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2,01</w:t>
            </w:r>
          </w:p>
        </w:tc>
        <w:tc>
          <w:tcPr>
            <w:tcW w:w="366" w:type="pct"/>
            <w:tcBorders>
              <w:top w:val="nil"/>
              <w:left w:val="nil"/>
              <w:bottom w:val="single" w:sz="4" w:space="0" w:color="auto"/>
              <w:right w:val="single" w:sz="4" w:space="0" w:color="auto"/>
            </w:tcBorders>
            <w:vAlign w:val="center"/>
          </w:tcPr>
          <w:p w14:paraId="790DA83E"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1,17</w:t>
            </w:r>
          </w:p>
        </w:tc>
        <w:tc>
          <w:tcPr>
            <w:tcW w:w="363" w:type="pct"/>
            <w:tcBorders>
              <w:top w:val="nil"/>
              <w:left w:val="nil"/>
              <w:bottom w:val="single" w:sz="4" w:space="0" w:color="auto"/>
              <w:right w:val="single" w:sz="4" w:space="0" w:color="auto"/>
            </w:tcBorders>
            <w:vAlign w:val="center"/>
          </w:tcPr>
          <w:p w14:paraId="1BFC3B80" w14:textId="77777777" w:rsidR="002224EC" w:rsidRPr="008D0E1C" w:rsidRDefault="002224EC" w:rsidP="00D742D1">
            <w:pPr>
              <w:spacing w:after="0" w:line="240" w:lineRule="auto"/>
              <w:jc w:val="right"/>
              <w:rPr>
                <w:rFonts w:eastAsia="Times New Roman" w:cstheme="minorHAnsi"/>
                <w:color w:val="000000"/>
                <w:sz w:val="16"/>
                <w:szCs w:val="16"/>
                <w:lang w:eastAsia="cs-CZ"/>
              </w:rPr>
            </w:pPr>
            <w:r>
              <w:rPr>
                <w:rFonts w:eastAsia="Times New Roman" w:cstheme="minorHAnsi"/>
                <w:color w:val="000000"/>
                <w:sz w:val="16"/>
                <w:szCs w:val="16"/>
                <w:lang w:eastAsia="cs-CZ"/>
              </w:rPr>
              <w:t>1,16</w:t>
            </w:r>
          </w:p>
        </w:tc>
      </w:tr>
    </w:tbl>
    <w:p w14:paraId="149D80C2" w14:textId="00851CB5" w:rsidR="00540C5F" w:rsidRPr="00C301FC" w:rsidRDefault="002224EC" w:rsidP="00821B38">
      <w:pPr>
        <w:spacing w:after="0" w:line="240" w:lineRule="auto"/>
        <w:jc w:val="right"/>
        <w:rPr>
          <w:rFonts w:eastAsia="Times New Roman" w:cstheme="minorHAnsi"/>
          <w:i/>
          <w:iCs/>
          <w:color w:val="000000"/>
          <w:sz w:val="16"/>
          <w:szCs w:val="16"/>
          <w:lang w:eastAsia="cs-CZ"/>
        </w:rPr>
      </w:pPr>
      <w:r w:rsidRPr="00714FB8">
        <w:rPr>
          <w:rFonts w:eastAsia="Times New Roman" w:cstheme="minorHAnsi"/>
          <w:i/>
          <w:iCs/>
          <w:color w:val="000000"/>
          <w:sz w:val="16"/>
          <w:szCs w:val="16"/>
          <w:lang w:eastAsia="cs-CZ"/>
        </w:rPr>
        <w:t xml:space="preserve">                                             </w:t>
      </w:r>
      <w:r w:rsidRPr="00714FB8">
        <w:rPr>
          <w:rFonts w:eastAsia="Times New Roman" w:cstheme="minorHAnsi"/>
          <w:i/>
          <w:iCs/>
          <w:color w:val="auto"/>
          <w:sz w:val="18"/>
          <w:szCs w:val="18"/>
          <w:lang w:eastAsia="cs-CZ"/>
        </w:rPr>
        <w:t>Zdroj ČSÚ (údaje bez dopočtů), tabulka a</w:t>
      </w:r>
      <w:r w:rsidR="00F47C4E">
        <w:rPr>
          <w:rFonts w:eastAsia="Times New Roman" w:cstheme="minorHAnsi"/>
          <w:i/>
          <w:iCs/>
          <w:color w:val="auto"/>
          <w:sz w:val="18"/>
          <w:szCs w:val="18"/>
          <w:lang w:eastAsia="cs-CZ"/>
        </w:rPr>
        <w:t> </w:t>
      </w:r>
      <w:r w:rsidRPr="00714FB8">
        <w:rPr>
          <w:rFonts w:eastAsia="Times New Roman" w:cstheme="minorHAnsi"/>
          <w:i/>
          <w:iCs/>
          <w:color w:val="auto"/>
          <w:sz w:val="18"/>
          <w:szCs w:val="18"/>
          <w:lang w:eastAsia="cs-CZ"/>
        </w:rPr>
        <w:t>výpočty MPO</w:t>
      </w:r>
      <w:bookmarkEnd w:id="127"/>
    </w:p>
    <w:sectPr w:rsidR="00540C5F" w:rsidRPr="00C301FC" w:rsidSect="00215A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0F5F5" w14:textId="77777777" w:rsidR="00351671" w:rsidRDefault="00351671" w:rsidP="007E4DF8">
      <w:pPr>
        <w:spacing w:after="0" w:line="240" w:lineRule="auto"/>
      </w:pPr>
      <w:r>
        <w:separator/>
      </w:r>
    </w:p>
  </w:endnote>
  <w:endnote w:type="continuationSeparator" w:id="0">
    <w:p w14:paraId="490BB7E5" w14:textId="77777777" w:rsidR="00351671" w:rsidRDefault="00351671" w:rsidP="007E4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440948"/>
      <w:docPartObj>
        <w:docPartGallery w:val="Page Numbers (Bottom of Page)"/>
        <w:docPartUnique/>
      </w:docPartObj>
    </w:sdtPr>
    <w:sdtEndPr/>
    <w:sdtContent>
      <w:sdt>
        <w:sdtPr>
          <w:id w:val="1728636285"/>
          <w:docPartObj>
            <w:docPartGallery w:val="Page Numbers (Top of Page)"/>
            <w:docPartUnique/>
          </w:docPartObj>
        </w:sdtPr>
        <w:sdtEndPr/>
        <w:sdtContent>
          <w:p w14:paraId="205516B0" w14:textId="6706EBD2" w:rsidR="008A4043" w:rsidRDefault="008A4043">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797C79">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97C79">
              <w:rPr>
                <w:b/>
                <w:bCs/>
                <w:noProof/>
              </w:rPr>
              <w:t>10</w:t>
            </w:r>
            <w:r>
              <w:rPr>
                <w:b/>
                <w:bCs/>
                <w:sz w:val="24"/>
                <w:szCs w:val="24"/>
              </w:rPr>
              <w:fldChar w:fldCharType="end"/>
            </w:r>
          </w:p>
        </w:sdtContent>
      </w:sdt>
    </w:sdtContent>
  </w:sdt>
  <w:p w14:paraId="487FB4E5" w14:textId="77777777" w:rsidR="007E4DF8" w:rsidRDefault="007E4D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D7624" w14:textId="77777777" w:rsidR="00351671" w:rsidRDefault="00351671" w:rsidP="007E4DF8">
      <w:pPr>
        <w:spacing w:after="0" w:line="240" w:lineRule="auto"/>
      </w:pPr>
      <w:r>
        <w:separator/>
      </w:r>
    </w:p>
  </w:footnote>
  <w:footnote w:type="continuationSeparator" w:id="0">
    <w:p w14:paraId="2EE4D288" w14:textId="77777777" w:rsidR="00351671" w:rsidRDefault="00351671" w:rsidP="007E4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828"/>
    <w:multiLevelType w:val="multilevel"/>
    <w:tmpl w:val="556A4C20"/>
    <w:lvl w:ilvl="0">
      <w:start w:val="1"/>
      <w:numFmt w:val="decimal"/>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026B6C21"/>
    <w:multiLevelType w:val="hybridMultilevel"/>
    <w:tmpl w:val="E7A2D0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3" w15:restartNumberingAfterBreak="0">
    <w:nsid w:val="08BD5E1B"/>
    <w:multiLevelType w:val="multilevel"/>
    <w:tmpl w:val="FAB0CC88"/>
    <w:lvl w:ilvl="0">
      <w:start w:val="1"/>
      <w:numFmt w:val="decimal"/>
      <w:lvlText w:val="%1."/>
      <w:lvlJc w:val="left"/>
      <w:pPr>
        <w:ind w:left="360" w:hanging="360"/>
      </w:pPr>
      <w:rPr>
        <w:rFonts w:hint="default"/>
      </w:rPr>
    </w:lvl>
    <w:lvl w:ilvl="1">
      <w:start w:val="1"/>
      <w:numFmt w:val="decimal"/>
      <w:pStyle w:val="Nadpis2"/>
      <w:suff w:val="space"/>
      <w:lvlText w:val="%1.%2."/>
      <w:lvlJc w:val="left"/>
      <w:pPr>
        <w:ind w:left="3402"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25285"/>
    <w:multiLevelType w:val="hybridMultilevel"/>
    <w:tmpl w:val="F53EEC2A"/>
    <w:lvl w:ilvl="0" w:tplc="C888A5DC">
      <w:start w:val="1"/>
      <w:numFmt w:val="bullet"/>
      <w:lvlText w:val="›"/>
      <w:lvlJc w:val="left"/>
      <w:pPr>
        <w:tabs>
          <w:tab w:val="num" w:pos="720"/>
        </w:tabs>
        <w:ind w:left="720" w:hanging="360"/>
      </w:pPr>
      <w:rPr>
        <w:rFonts w:ascii="Arial" w:hAnsi="Arial" w:hint="default"/>
      </w:rPr>
    </w:lvl>
    <w:lvl w:ilvl="1" w:tplc="798E9DC6">
      <w:numFmt w:val="bullet"/>
      <w:lvlText w:val="›"/>
      <w:lvlJc w:val="left"/>
      <w:pPr>
        <w:tabs>
          <w:tab w:val="num" w:pos="1440"/>
        </w:tabs>
        <w:ind w:left="1440" w:hanging="360"/>
      </w:pPr>
      <w:rPr>
        <w:rFonts w:ascii="Arial" w:hAnsi="Arial" w:hint="default"/>
      </w:rPr>
    </w:lvl>
    <w:lvl w:ilvl="2" w:tplc="1F92859E" w:tentative="1">
      <w:start w:val="1"/>
      <w:numFmt w:val="bullet"/>
      <w:lvlText w:val="›"/>
      <w:lvlJc w:val="left"/>
      <w:pPr>
        <w:tabs>
          <w:tab w:val="num" w:pos="2160"/>
        </w:tabs>
        <w:ind w:left="2160" w:hanging="360"/>
      </w:pPr>
      <w:rPr>
        <w:rFonts w:ascii="Arial" w:hAnsi="Arial" w:hint="default"/>
      </w:rPr>
    </w:lvl>
    <w:lvl w:ilvl="3" w:tplc="7CB6B448" w:tentative="1">
      <w:start w:val="1"/>
      <w:numFmt w:val="bullet"/>
      <w:lvlText w:val="›"/>
      <w:lvlJc w:val="left"/>
      <w:pPr>
        <w:tabs>
          <w:tab w:val="num" w:pos="2880"/>
        </w:tabs>
        <w:ind w:left="2880" w:hanging="360"/>
      </w:pPr>
      <w:rPr>
        <w:rFonts w:ascii="Arial" w:hAnsi="Arial" w:hint="default"/>
      </w:rPr>
    </w:lvl>
    <w:lvl w:ilvl="4" w:tplc="E0ACDF08" w:tentative="1">
      <w:start w:val="1"/>
      <w:numFmt w:val="bullet"/>
      <w:lvlText w:val="›"/>
      <w:lvlJc w:val="left"/>
      <w:pPr>
        <w:tabs>
          <w:tab w:val="num" w:pos="3600"/>
        </w:tabs>
        <w:ind w:left="3600" w:hanging="360"/>
      </w:pPr>
      <w:rPr>
        <w:rFonts w:ascii="Arial" w:hAnsi="Arial" w:hint="default"/>
      </w:rPr>
    </w:lvl>
    <w:lvl w:ilvl="5" w:tplc="D1E0315A" w:tentative="1">
      <w:start w:val="1"/>
      <w:numFmt w:val="bullet"/>
      <w:lvlText w:val="›"/>
      <w:lvlJc w:val="left"/>
      <w:pPr>
        <w:tabs>
          <w:tab w:val="num" w:pos="4320"/>
        </w:tabs>
        <w:ind w:left="4320" w:hanging="360"/>
      </w:pPr>
      <w:rPr>
        <w:rFonts w:ascii="Arial" w:hAnsi="Arial" w:hint="default"/>
      </w:rPr>
    </w:lvl>
    <w:lvl w:ilvl="6" w:tplc="96E42E44" w:tentative="1">
      <w:start w:val="1"/>
      <w:numFmt w:val="bullet"/>
      <w:lvlText w:val="›"/>
      <w:lvlJc w:val="left"/>
      <w:pPr>
        <w:tabs>
          <w:tab w:val="num" w:pos="5040"/>
        </w:tabs>
        <w:ind w:left="5040" w:hanging="360"/>
      </w:pPr>
      <w:rPr>
        <w:rFonts w:ascii="Arial" w:hAnsi="Arial" w:hint="default"/>
      </w:rPr>
    </w:lvl>
    <w:lvl w:ilvl="7" w:tplc="4F82B042" w:tentative="1">
      <w:start w:val="1"/>
      <w:numFmt w:val="bullet"/>
      <w:lvlText w:val="›"/>
      <w:lvlJc w:val="left"/>
      <w:pPr>
        <w:tabs>
          <w:tab w:val="num" w:pos="5760"/>
        </w:tabs>
        <w:ind w:left="5760" w:hanging="360"/>
      </w:pPr>
      <w:rPr>
        <w:rFonts w:ascii="Arial" w:hAnsi="Arial" w:hint="default"/>
      </w:rPr>
    </w:lvl>
    <w:lvl w:ilvl="8" w:tplc="48FEBB0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EC252B"/>
    <w:multiLevelType w:val="hybridMultilevel"/>
    <w:tmpl w:val="4484FFCE"/>
    <w:lvl w:ilvl="0" w:tplc="434C46D2">
      <w:start w:val="1"/>
      <w:numFmt w:val="bullet"/>
      <w:lvlText w:val=""/>
      <w:lvlJc w:val="left"/>
      <w:pPr>
        <w:tabs>
          <w:tab w:val="num" w:pos="720"/>
        </w:tabs>
        <w:ind w:left="720" w:hanging="360"/>
      </w:pPr>
      <w:rPr>
        <w:rFonts w:ascii="Wingdings" w:hAnsi="Wingdings" w:hint="default"/>
      </w:rPr>
    </w:lvl>
    <w:lvl w:ilvl="1" w:tplc="55A4F012" w:tentative="1">
      <w:start w:val="1"/>
      <w:numFmt w:val="bullet"/>
      <w:lvlText w:val=""/>
      <w:lvlJc w:val="left"/>
      <w:pPr>
        <w:tabs>
          <w:tab w:val="num" w:pos="1440"/>
        </w:tabs>
        <w:ind w:left="1440" w:hanging="360"/>
      </w:pPr>
      <w:rPr>
        <w:rFonts w:ascii="Wingdings" w:hAnsi="Wingdings" w:hint="default"/>
      </w:rPr>
    </w:lvl>
    <w:lvl w:ilvl="2" w:tplc="6BBC7758" w:tentative="1">
      <w:start w:val="1"/>
      <w:numFmt w:val="bullet"/>
      <w:lvlText w:val=""/>
      <w:lvlJc w:val="left"/>
      <w:pPr>
        <w:tabs>
          <w:tab w:val="num" w:pos="2160"/>
        </w:tabs>
        <w:ind w:left="2160" w:hanging="360"/>
      </w:pPr>
      <w:rPr>
        <w:rFonts w:ascii="Wingdings" w:hAnsi="Wingdings" w:hint="default"/>
      </w:rPr>
    </w:lvl>
    <w:lvl w:ilvl="3" w:tplc="CE2E6B96" w:tentative="1">
      <w:start w:val="1"/>
      <w:numFmt w:val="bullet"/>
      <w:lvlText w:val=""/>
      <w:lvlJc w:val="left"/>
      <w:pPr>
        <w:tabs>
          <w:tab w:val="num" w:pos="2880"/>
        </w:tabs>
        <w:ind w:left="2880" w:hanging="360"/>
      </w:pPr>
      <w:rPr>
        <w:rFonts w:ascii="Wingdings" w:hAnsi="Wingdings" w:hint="default"/>
      </w:rPr>
    </w:lvl>
    <w:lvl w:ilvl="4" w:tplc="BC023630" w:tentative="1">
      <w:start w:val="1"/>
      <w:numFmt w:val="bullet"/>
      <w:lvlText w:val=""/>
      <w:lvlJc w:val="left"/>
      <w:pPr>
        <w:tabs>
          <w:tab w:val="num" w:pos="3600"/>
        </w:tabs>
        <w:ind w:left="3600" w:hanging="360"/>
      </w:pPr>
      <w:rPr>
        <w:rFonts w:ascii="Wingdings" w:hAnsi="Wingdings" w:hint="default"/>
      </w:rPr>
    </w:lvl>
    <w:lvl w:ilvl="5" w:tplc="22A44D1E" w:tentative="1">
      <w:start w:val="1"/>
      <w:numFmt w:val="bullet"/>
      <w:lvlText w:val=""/>
      <w:lvlJc w:val="left"/>
      <w:pPr>
        <w:tabs>
          <w:tab w:val="num" w:pos="4320"/>
        </w:tabs>
        <w:ind w:left="4320" w:hanging="360"/>
      </w:pPr>
      <w:rPr>
        <w:rFonts w:ascii="Wingdings" w:hAnsi="Wingdings" w:hint="default"/>
      </w:rPr>
    </w:lvl>
    <w:lvl w:ilvl="6" w:tplc="D24AFFDE" w:tentative="1">
      <w:start w:val="1"/>
      <w:numFmt w:val="bullet"/>
      <w:lvlText w:val=""/>
      <w:lvlJc w:val="left"/>
      <w:pPr>
        <w:tabs>
          <w:tab w:val="num" w:pos="5040"/>
        </w:tabs>
        <w:ind w:left="5040" w:hanging="360"/>
      </w:pPr>
      <w:rPr>
        <w:rFonts w:ascii="Wingdings" w:hAnsi="Wingdings" w:hint="default"/>
      </w:rPr>
    </w:lvl>
    <w:lvl w:ilvl="7" w:tplc="ADFC163E" w:tentative="1">
      <w:start w:val="1"/>
      <w:numFmt w:val="bullet"/>
      <w:lvlText w:val=""/>
      <w:lvlJc w:val="left"/>
      <w:pPr>
        <w:tabs>
          <w:tab w:val="num" w:pos="5760"/>
        </w:tabs>
        <w:ind w:left="5760" w:hanging="360"/>
      </w:pPr>
      <w:rPr>
        <w:rFonts w:ascii="Wingdings" w:hAnsi="Wingdings" w:hint="default"/>
      </w:rPr>
    </w:lvl>
    <w:lvl w:ilvl="8" w:tplc="9CB8CB3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1E3201"/>
    <w:multiLevelType w:val="hybridMultilevel"/>
    <w:tmpl w:val="E79E36E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30316F8"/>
    <w:multiLevelType w:val="multilevel"/>
    <w:tmpl w:val="3320A8B2"/>
    <w:numStyleLink w:val="VariantaB-odrky"/>
  </w:abstractNum>
  <w:abstractNum w:abstractNumId="8" w15:restartNumberingAfterBreak="0">
    <w:nsid w:val="1615572B"/>
    <w:multiLevelType w:val="multilevel"/>
    <w:tmpl w:val="3320A8B2"/>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9" w15:restartNumberingAfterBreak="0">
    <w:nsid w:val="1767701D"/>
    <w:multiLevelType w:val="hybridMultilevel"/>
    <w:tmpl w:val="E57208F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8E41767"/>
    <w:multiLevelType w:val="hybridMultilevel"/>
    <w:tmpl w:val="E44835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91872DA"/>
    <w:multiLevelType w:val="multilevel"/>
    <w:tmpl w:val="E8A48D7C"/>
    <w:numStyleLink w:val="VariantaA-sla"/>
  </w:abstractNum>
  <w:abstractNum w:abstractNumId="12" w15:restartNumberingAfterBreak="0">
    <w:nsid w:val="195B7718"/>
    <w:multiLevelType w:val="hybridMultilevel"/>
    <w:tmpl w:val="90CEBCD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1D241F57"/>
    <w:multiLevelType w:val="hybridMultilevel"/>
    <w:tmpl w:val="FA32FA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26106DC5"/>
    <w:multiLevelType w:val="hybridMultilevel"/>
    <w:tmpl w:val="878A606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89A5EA2"/>
    <w:multiLevelType w:val="multilevel"/>
    <w:tmpl w:val="E8BAE50A"/>
    <w:numStyleLink w:val="VariantaA-odrky"/>
  </w:abstractNum>
  <w:abstractNum w:abstractNumId="16" w15:restartNumberingAfterBreak="0">
    <w:nsid w:val="2A1E7300"/>
    <w:multiLevelType w:val="hybridMultilevel"/>
    <w:tmpl w:val="72A83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0349C2"/>
    <w:multiLevelType w:val="hybridMultilevel"/>
    <w:tmpl w:val="FAFA0D50"/>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E8D6DE1"/>
    <w:multiLevelType w:val="hybridMultilevel"/>
    <w:tmpl w:val="2FB8F6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40757FD7"/>
    <w:multiLevelType w:val="hybridMultilevel"/>
    <w:tmpl w:val="4C9E9D5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61E2084"/>
    <w:multiLevelType w:val="hybridMultilevel"/>
    <w:tmpl w:val="53CC11FE"/>
    <w:lvl w:ilvl="0" w:tplc="A104C5C2">
      <w:start w:val="1"/>
      <w:numFmt w:val="decimal"/>
      <w:lvlText w:val="%1)"/>
      <w:lvlJc w:val="left"/>
      <w:pPr>
        <w:tabs>
          <w:tab w:val="num" w:pos="720"/>
        </w:tabs>
        <w:ind w:left="720" w:hanging="360"/>
      </w:pPr>
    </w:lvl>
    <w:lvl w:ilvl="1" w:tplc="1C72BBF6" w:tentative="1">
      <w:start w:val="1"/>
      <w:numFmt w:val="decimal"/>
      <w:lvlText w:val="%2)"/>
      <w:lvlJc w:val="left"/>
      <w:pPr>
        <w:tabs>
          <w:tab w:val="num" w:pos="1440"/>
        </w:tabs>
        <w:ind w:left="1440" w:hanging="360"/>
      </w:pPr>
    </w:lvl>
    <w:lvl w:ilvl="2" w:tplc="649ACAF2" w:tentative="1">
      <w:start w:val="1"/>
      <w:numFmt w:val="decimal"/>
      <w:lvlText w:val="%3)"/>
      <w:lvlJc w:val="left"/>
      <w:pPr>
        <w:tabs>
          <w:tab w:val="num" w:pos="2160"/>
        </w:tabs>
        <w:ind w:left="2160" w:hanging="360"/>
      </w:pPr>
    </w:lvl>
    <w:lvl w:ilvl="3" w:tplc="325EAFCC" w:tentative="1">
      <w:start w:val="1"/>
      <w:numFmt w:val="decimal"/>
      <w:lvlText w:val="%4)"/>
      <w:lvlJc w:val="left"/>
      <w:pPr>
        <w:tabs>
          <w:tab w:val="num" w:pos="2880"/>
        </w:tabs>
        <w:ind w:left="2880" w:hanging="360"/>
      </w:pPr>
    </w:lvl>
    <w:lvl w:ilvl="4" w:tplc="C5FE5646" w:tentative="1">
      <w:start w:val="1"/>
      <w:numFmt w:val="decimal"/>
      <w:lvlText w:val="%5)"/>
      <w:lvlJc w:val="left"/>
      <w:pPr>
        <w:tabs>
          <w:tab w:val="num" w:pos="3600"/>
        </w:tabs>
        <w:ind w:left="3600" w:hanging="360"/>
      </w:pPr>
    </w:lvl>
    <w:lvl w:ilvl="5" w:tplc="463C0110" w:tentative="1">
      <w:start w:val="1"/>
      <w:numFmt w:val="decimal"/>
      <w:lvlText w:val="%6)"/>
      <w:lvlJc w:val="left"/>
      <w:pPr>
        <w:tabs>
          <w:tab w:val="num" w:pos="4320"/>
        </w:tabs>
        <w:ind w:left="4320" w:hanging="360"/>
      </w:pPr>
    </w:lvl>
    <w:lvl w:ilvl="6" w:tplc="0AA0F7D8" w:tentative="1">
      <w:start w:val="1"/>
      <w:numFmt w:val="decimal"/>
      <w:lvlText w:val="%7)"/>
      <w:lvlJc w:val="left"/>
      <w:pPr>
        <w:tabs>
          <w:tab w:val="num" w:pos="5040"/>
        </w:tabs>
        <w:ind w:left="5040" w:hanging="360"/>
      </w:pPr>
    </w:lvl>
    <w:lvl w:ilvl="7" w:tplc="D0D8945C" w:tentative="1">
      <w:start w:val="1"/>
      <w:numFmt w:val="decimal"/>
      <w:lvlText w:val="%8)"/>
      <w:lvlJc w:val="left"/>
      <w:pPr>
        <w:tabs>
          <w:tab w:val="num" w:pos="5760"/>
        </w:tabs>
        <w:ind w:left="5760" w:hanging="360"/>
      </w:pPr>
    </w:lvl>
    <w:lvl w:ilvl="8" w:tplc="F8348538" w:tentative="1">
      <w:start w:val="1"/>
      <w:numFmt w:val="decimal"/>
      <w:lvlText w:val="%9)"/>
      <w:lvlJc w:val="left"/>
      <w:pPr>
        <w:tabs>
          <w:tab w:val="num" w:pos="6480"/>
        </w:tabs>
        <w:ind w:left="6480" w:hanging="360"/>
      </w:pPr>
    </w:lvl>
  </w:abstractNum>
  <w:abstractNum w:abstractNumId="21"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3BF0D8C"/>
    <w:multiLevelType w:val="hybridMultilevel"/>
    <w:tmpl w:val="C9BA75A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57D7506"/>
    <w:multiLevelType w:val="hybridMultilevel"/>
    <w:tmpl w:val="8F2648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76A3D84"/>
    <w:multiLevelType w:val="hybridMultilevel"/>
    <w:tmpl w:val="679C22CC"/>
    <w:lvl w:ilvl="0" w:tplc="4E9ADFDE">
      <w:start w:val="1"/>
      <w:numFmt w:val="bullet"/>
      <w:lvlText w:val=""/>
      <w:lvlJc w:val="left"/>
      <w:pPr>
        <w:tabs>
          <w:tab w:val="num" w:pos="720"/>
        </w:tabs>
        <w:ind w:left="720" w:hanging="360"/>
      </w:pPr>
      <w:rPr>
        <w:rFonts w:ascii="Symbol" w:hAnsi="Symbol" w:hint="default"/>
      </w:rPr>
    </w:lvl>
    <w:lvl w:ilvl="1" w:tplc="FFE825DE" w:tentative="1">
      <w:start w:val="1"/>
      <w:numFmt w:val="bullet"/>
      <w:lvlText w:val=""/>
      <w:lvlJc w:val="left"/>
      <w:pPr>
        <w:tabs>
          <w:tab w:val="num" w:pos="1440"/>
        </w:tabs>
        <w:ind w:left="1440" w:hanging="360"/>
      </w:pPr>
      <w:rPr>
        <w:rFonts w:ascii="Symbol" w:hAnsi="Symbol" w:hint="default"/>
      </w:rPr>
    </w:lvl>
    <w:lvl w:ilvl="2" w:tplc="2BDAA92E" w:tentative="1">
      <w:start w:val="1"/>
      <w:numFmt w:val="bullet"/>
      <w:lvlText w:val=""/>
      <w:lvlJc w:val="left"/>
      <w:pPr>
        <w:tabs>
          <w:tab w:val="num" w:pos="2160"/>
        </w:tabs>
        <w:ind w:left="2160" w:hanging="360"/>
      </w:pPr>
      <w:rPr>
        <w:rFonts w:ascii="Symbol" w:hAnsi="Symbol" w:hint="default"/>
      </w:rPr>
    </w:lvl>
    <w:lvl w:ilvl="3" w:tplc="C4F80B00" w:tentative="1">
      <w:start w:val="1"/>
      <w:numFmt w:val="bullet"/>
      <w:lvlText w:val=""/>
      <w:lvlJc w:val="left"/>
      <w:pPr>
        <w:tabs>
          <w:tab w:val="num" w:pos="2880"/>
        </w:tabs>
        <w:ind w:left="2880" w:hanging="360"/>
      </w:pPr>
      <w:rPr>
        <w:rFonts w:ascii="Symbol" w:hAnsi="Symbol" w:hint="default"/>
      </w:rPr>
    </w:lvl>
    <w:lvl w:ilvl="4" w:tplc="42E47EBE" w:tentative="1">
      <w:start w:val="1"/>
      <w:numFmt w:val="bullet"/>
      <w:lvlText w:val=""/>
      <w:lvlJc w:val="left"/>
      <w:pPr>
        <w:tabs>
          <w:tab w:val="num" w:pos="3600"/>
        </w:tabs>
        <w:ind w:left="3600" w:hanging="360"/>
      </w:pPr>
      <w:rPr>
        <w:rFonts w:ascii="Symbol" w:hAnsi="Symbol" w:hint="default"/>
      </w:rPr>
    </w:lvl>
    <w:lvl w:ilvl="5" w:tplc="BC1E5B64" w:tentative="1">
      <w:start w:val="1"/>
      <w:numFmt w:val="bullet"/>
      <w:lvlText w:val=""/>
      <w:lvlJc w:val="left"/>
      <w:pPr>
        <w:tabs>
          <w:tab w:val="num" w:pos="4320"/>
        </w:tabs>
        <w:ind w:left="4320" w:hanging="360"/>
      </w:pPr>
      <w:rPr>
        <w:rFonts w:ascii="Symbol" w:hAnsi="Symbol" w:hint="default"/>
      </w:rPr>
    </w:lvl>
    <w:lvl w:ilvl="6" w:tplc="77E60EC4" w:tentative="1">
      <w:start w:val="1"/>
      <w:numFmt w:val="bullet"/>
      <w:lvlText w:val=""/>
      <w:lvlJc w:val="left"/>
      <w:pPr>
        <w:tabs>
          <w:tab w:val="num" w:pos="5040"/>
        </w:tabs>
        <w:ind w:left="5040" w:hanging="360"/>
      </w:pPr>
      <w:rPr>
        <w:rFonts w:ascii="Symbol" w:hAnsi="Symbol" w:hint="default"/>
      </w:rPr>
    </w:lvl>
    <w:lvl w:ilvl="7" w:tplc="B4362EF0" w:tentative="1">
      <w:start w:val="1"/>
      <w:numFmt w:val="bullet"/>
      <w:lvlText w:val=""/>
      <w:lvlJc w:val="left"/>
      <w:pPr>
        <w:tabs>
          <w:tab w:val="num" w:pos="5760"/>
        </w:tabs>
        <w:ind w:left="5760" w:hanging="360"/>
      </w:pPr>
      <w:rPr>
        <w:rFonts w:ascii="Symbol" w:hAnsi="Symbol" w:hint="default"/>
      </w:rPr>
    </w:lvl>
    <w:lvl w:ilvl="8" w:tplc="2934F26C"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6" w15:restartNumberingAfterBreak="0">
    <w:nsid w:val="5AF35F43"/>
    <w:multiLevelType w:val="multilevel"/>
    <w:tmpl w:val="0D8ABE32"/>
    <w:numStyleLink w:val="VariantaB-sla"/>
  </w:abstractNum>
  <w:abstractNum w:abstractNumId="27" w15:restartNumberingAfterBreak="0">
    <w:nsid w:val="5D542257"/>
    <w:multiLevelType w:val="multilevel"/>
    <w:tmpl w:val="DB04C102"/>
    <w:lvl w:ilvl="0">
      <w:start w:val="1"/>
      <w:numFmt w:val="decimal"/>
      <w:pStyle w:val="Nadpis1"/>
      <w:lvlText w:val="%1."/>
      <w:lvlJc w:val="left"/>
      <w:pPr>
        <w:ind w:left="360" w:hanging="360"/>
      </w:pPr>
      <w:rPr>
        <w:rFonts w:hint="default"/>
      </w:rPr>
    </w:lvl>
    <w:lvl w:ilvl="1">
      <w:start w:val="1"/>
      <w:numFmt w:val="decimal"/>
      <w:lvlText w:val="%1.%2."/>
      <w:lvlJc w:val="left"/>
      <w:pPr>
        <w:ind w:left="792" w:hanging="432"/>
      </w:pPr>
      <w:rPr>
        <w:rFonts w:asciiTheme="majorHAnsi" w:hAnsiTheme="majorHAnsi" w:cstheme="majorHAnsi" w:hint="default"/>
        <w:i w:val="0"/>
        <w:iCs w:val="0"/>
        <w:sz w:val="26"/>
        <w:szCs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0550A1"/>
    <w:multiLevelType w:val="hybridMultilevel"/>
    <w:tmpl w:val="F0DA73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15:restartNumberingAfterBreak="0">
    <w:nsid w:val="63145475"/>
    <w:multiLevelType w:val="hybridMultilevel"/>
    <w:tmpl w:val="A8C038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65B92E7F"/>
    <w:multiLevelType w:val="hybridMultilevel"/>
    <w:tmpl w:val="0D62D6EE"/>
    <w:lvl w:ilvl="0" w:tplc="0666D67A">
      <w:start w:val="1"/>
      <w:numFmt w:val="bullet"/>
      <w:lvlText w:val=""/>
      <w:lvlJc w:val="left"/>
      <w:pPr>
        <w:tabs>
          <w:tab w:val="num" w:pos="720"/>
        </w:tabs>
        <w:ind w:left="720" w:hanging="360"/>
      </w:pPr>
      <w:rPr>
        <w:rFonts w:ascii="Symbol" w:hAnsi="Symbol" w:hint="default"/>
      </w:rPr>
    </w:lvl>
    <w:lvl w:ilvl="1" w:tplc="A454D2A0" w:tentative="1">
      <w:start w:val="1"/>
      <w:numFmt w:val="bullet"/>
      <w:lvlText w:val=""/>
      <w:lvlJc w:val="left"/>
      <w:pPr>
        <w:tabs>
          <w:tab w:val="num" w:pos="1440"/>
        </w:tabs>
        <w:ind w:left="1440" w:hanging="360"/>
      </w:pPr>
      <w:rPr>
        <w:rFonts w:ascii="Symbol" w:hAnsi="Symbol" w:hint="default"/>
      </w:rPr>
    </w:lvl>
    <w:lvl w:ilvl="2" w:tplc="C8E6D3BA" w:tentative="1">
      <w:start w:val="1"/>
      <w:numFmt w:val="bullet"/>
      <w:lvlText w:val=""/>
      <w:lvlJc w:val="left"/>
      <w:pPr>
        <w:tabs>
          <w:tab w:val="num" w:pos="2160"/>
        </w:tabs>
        <w:ind w:left="2160" w:hanging="360"/>
      </w:pPr>
      <w:rPr>
        <w:rFonts w:ascii="Symbol" w:hAnsi="Symbol" w:hint="default"/>
      </w:rPr>
    </w:lvl>
    <w:lvl w:ilvl="3" w:tplc="001A51FA" w:tentative="1">
      <w:start w:val="1"/>
      <w:numFmt w:val="bullet"/>
      <w:lvlText w:val=""/>
      <w:lvlJc w:val="left"/>
      <w:pPr>
        <w:tabs>
          <w:tab w:val="num" w:pos="2880"/>
        </w:tabs>
        <w:ind w:left="2880" w:hanging="360"/>
      </w:pPr>
      <w:rPr>
        <w:rFonts w:ascii="Symbol" w:hAnsi="Symbol" w:hint="default"/>
      </w:rPr>
    </w:lvl>
    <w:lvl w:ilvl="4" w:tplc="62A24E04" w:tentative="1">
      <w:start w:val="1"/>
      <w:numFmt w:val="bullet"/>
      <w:lvlText w:val=""/>
      <w:lvlJc w:val="left"/>
      <w:pPr>
        <w:tabs>
          <w:tab w:val="num" w:pos="3600"/>
        </w:tabs>
        <w:ind w:left="3600" w:hanging="360"/>
      </w:pPr>
      <w:rPr>
        <w:rFonts w:ascii="Symbol" w:hAnsi="Symbol" w:hint="default"/>
      </w:rPr>
    </w:lvl>
    <w:lvl w:ilvl="5" w:tplc="6F824828" w:tentative="1">
      <w:start w:val="1"/>
      <w:numFmt w:val="bullet"/>
      <w:lvlText w:val=""/>
      <w:lvlJc w:val="left"/>
      <w:pPr>
        <w:tabs>
          <w:tab w:val="num" w:pos="4320"/>
        </w:tabs>
        <w:ind w:left="4320" w:hanging="360"/>
      </w:pPr>
      <w:rPr>
        <w:rFonts w:ascii="Symbol" w:hAnsi="Symbol" w:hint="default"/>
      </w:rPr>
    </w:lvl>
    <w:lvl w:ilvl="6" w:tplc="B7F23F3A" w:tentative="1">
      <w:start w:val="1"/>
      <w:numFmt w:val="bullet"/>
      <w:lvlText w:val=""/>
      <w:lvlJc w:val="left"/>
      <w:pPr>
        <w:tabs>
          <w:tab w:val="num" w:pos="5040"/>
        </w:tabs>
        <w:ind w:left="5040" w:hanging="360"/>
      </w:pPr>
      <w:rPr>
        <w:rFonts w:ascii="Symbol" w:hAnsi="Symbol" w:hint="default"/>
      </w:rPr>
    </w:lvl>
    <w:lvl w:ilvl="7" w:tplc="FAE4A8DC" w:tentative="1">
      <w:start w:val="1"/>
      <w:numFmt w:val="bullet"/>
      <w:lvlText w:val=""/>
      <w:lvlJc w:val="left"/>
      <w:pPr>
        <w:tabs>
          <w:tab w:val="num" w:pos="5760"/>
        </w:tabs>
        <w:ind w:left="5760" w:hanging="360"/>
      </w:pPr>
      <w:rPr>
        <w:rFonts w:ascii="Symbol" w:hAnsi="Symbol" w:hint="default"/>
      </w:rPr>
    </w:lvl>
    <w:lvl w:ilvl="8" w:tplc="AB403EF4"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BD64578"/>
    <w:multiLevelType w:val="hybridMultilevel"/>
    <w:tmpl w:val="9C92F73A"/>
    <w:lvl w:ilvl="0" w:tplc="339424DE">
      <w:start w:val="1"/>
      <w:numFmt w:val="bullet"/>
      <w:lvlText w:val=""/>
      <w:lvlJc w:val="left"/>
      <w:pPr>
        <w:tabs>
          <w:tab w:val="num" w:pos="720"/>
        </w:tabs>
        <w:ind w:left="720" w:hanging="360"/>
      </w:pPr>
      <w:rPr>
        <w:rFonts w:ascii="Wingdings" w:hAnsi="Wingdings" w:hint="default"/>
      </w:rPr>
    </w:lvl>
    <w:lvl w:ilvl="1" w:tplc="CEB0E97C" w:tentative="1">
      <w:start w:val="1"/>
      <w:numFmt w:val="bullet"/>
      <w:lvlText w:val=""/>
      <w:lvlJc w:val="left"/>
      <w:pPr>
        <w:tabs>
          <w:tab w:val="num" w:pos="1440"/>
        </w:tabs>
        <w:ind w:left="1440" w:hanging="360"/>
      </w:pPr>
      <w:rPr>
        <w:rFonts w:ascii="Wingdings" w:hAnsi="Wingdings" w:hint="default"/>
      </w:rPr>
    </w:lvl>
    <w:lvl w:ilvl="2" w:tplc="C6148CB2" w:tentative="1">
      <w:start w:val="1"/>
      <w:numFmt w:val="bullet"/>
      <w:lvlText w:val=""/>
      <w:lvlJc w:val="left"/>
      <w:pPr>
        <w:tabs>
          <w:tab w:val="num" w:pos="2160"/>
        </w:tabs>
        <w:ind w:left="2160" w:hanging="360"/>
      </w:pPr>
      <w:rPr>
        <w:rFonts w:ascii="Wingdings" w:hAnsi="Wingdings" w:hint="default"/>
      </w:rPr>
    </w:lvl>
    <w:lvl w:ilvl="3" w:tplc="F05C8614" w:tentative="1">
      <w:start w:val="1"/>
      <w:numFmt w:val="bullet"/>
      <w:lvlText w:val=""/>
      <w:lvlJc w:val="left"/>
      <w:pPr>
        <w:tabs>
          <w:tab w:val="num" w:pos="2880"/>
        </w:tabs>
        <w:ind w:left="2880" w:hanging="360"/>
      </w:pPr>
      <w:rPr>
        <w:rFonts w:ascii="Wingdings" w:hAnsi="Wingdings" w:hint="default"/>
      </w:rPr>
    </w:lvl>
    <w:lvl w:ilvl="4" w:tplc="3D508568" w:tentative="1">
      <w:start w:val="1"/>
      <w:numFmt w:val="bullet"/>
      <w:lvlText w:val=""/>
      <w:lvlJc w:val="left"/>
      <w:pPr>
        <w:tabs>
          <w:tab w:val="num" w:pos="3600"/>
        </w:tabs>
        <w:ind w:left="3600" w:hanging="360"/>
      </w:pPr>
      <w:rPr>
        <w:rFonts w:ascii="Wingdings" w:hAnsi="Wingdings" w:hint="default"/>
      </w:rPr>
    </w:lvl>
    <w:lvl w:ilvl="5" w:tplc="6D827BCC" w:tentative="1">
      <w:start w:val="1"/>
      <w:numFmt w:val="bullet"/>
      <w:lvlText w:val=""/>
      <w:lvlJc w:val="left"/>
      <w:pPr>
        <w:tabs>
          <w:tab w:val="num" w:pos="4320"/>
        </w:tabs>
        <w:ind w:left="4320" w:hanging="360"/>
      </w:pPr>
      <w:rPr>
        <w:rFonts w:ascii="Wingdings" w:hAnsi="Wingdings" w:hint="default"/>
      </w:rPr>
    </w:lvl>
    <w:lvl w:ilvl="6" w:tplc="AF1439CE" w:tentative="1">
      <w:start w:val="1"/>
      <w:numFmt w:val="bullet"/>
      <w:lvlText w:val=""/>
      <w:lvlJc w:val="left"/>
      <w:pPr>
        <w:tabs>
          <w:tab w:val="num" w:pos="5040"/>
        </w:tabs>
        <w:ind w:left="5040" w:hanging="360"/>
      </w:pPr>
      <w:rPr>
        <w:rFonts w:ascii="Wingdings" w:hAnsi="Wingdings" w:hint="default"/>
      </w:rPr>
    </w:lvl>
    <w:lvl w:ilvl="7" w:tplc="010EE93E" w:tentative="1">
      <w:start w:val="1"/>
      <w:numFmt w:val="bullet"/>
      <w:lvlText w:val=""/>
      <w:lvlJc w:val="left"/>
      <w:pPr>
        <w:tabs>
          <w:tab w:val="num" w:pos="5760"/>
        </w:tabs>
        <w:ind w:left="5760" w:hanging="360"/>
      </w:pPr>
      <w:rPr>
        <w:rFonts w:ascii="Wingdings" w:hAnsi="Wingdings" w:hint="default"/>
      </w:rPr>
    </w:lvl>
    <w:lvl w:ilvl="8" w:tplc="8C9A8750"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1B73D8"/>
    <w:multiLevelType w:val="hybridMultilevel"/>
    <w:tmpl w:val="DA9E5A2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DF223AE"/>
    <w:multiLevelType w:val="hybridMultilevel"/>
    <w:tmpl w:val="E7264482"/>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8790EFD"/>
    <w:multiLevelType w:val="hybridMultilevel"/>
    <w:tmpl w:val="8438B6F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7DBD1A05"/>
    <w:multiLevelType w:val="hybridMultilevel"/>
    <w:tmpl w:val="A9A0FF1C"/>
    <w:lvl w:ilvl="0" w:tplc="95DA4BA0">
      <w:start w:val="1"/>
      <w:numFmt w:val="bullet"/>
      <w:lvlText w:val=""/>
      <w:lvlJc w:val="left"/>
      <w:pPr>
        <w:tabs>
          <w:tab w:val="num" w:pos="720"/>
        </w:tabs>
        <w:ind w:left="720" w:hanging="360"/>
      </w:pPr>
      <w:rPr>
        <w:rFonts w:ascii="Wingdings" w:hAnsi="Wingdings" w:hint="default"/>
      </w:rPr>
    </w:lvl>
    <w:lvl w:ilvl="1" w:tplc="CFC69B32" w:tentative="1">
      <w:start w:val="1"/>
      <w:numFmt w:val="bullet"/>
      <w:lvlText w:val=""/>
      <w:lvlJc w:val="left"/>
      <w:pPr>
        <w:tabs>
          <w:tab w:val="num" w:pos="1440"/>
        </w:tabs>
        <w:ind w:left="1440" w:hanging="360"/>
      </w:pPr>
      <w:rPr>
        <w:rFonts w:ascii="Wingdings" w:hAnsi="Wingdings" w:hint="default"/>
      </w:rPr>
    </w:lvl>
    <w:lvl w:ilvl="2" w:tplc="45FAFEB4" w:tentative="1">
      <w:start w:val="1"/>
      <w:numFmt w:val="bullet"/>
      <w:lvlText w:val=""/>
      <w:lvlJc w:val="left"/>
      <w:pPr>
        <w:tabs>
          <w:tab w:val="num" w:pos="2160"/>
        </w:tabs>
        <w:ind w:left="2160" w:hanging="360"/>
      </w:pPr>
      <w:rPr>
        <w:rFonts w:ascii="Wingdings" w:hAnsi="Wingdings" w:hint="default"/>
      </w:rPr>
    </w:lvl>
    <w:lvl w:ilvl="3" w:tplc="FC3C3CD4" w:tentative="1">
      <w:start w:val="1"/>
      <w:numFmt w:val="bullet"/>
      <w:lvlText w:val=""/>
      <w:lvlJc w:val="left"/>
      <w:pPr>
        <w:tabs>
          <w:tab w:val="num" w:pos="2880"/>
        </w:tabs>
        <w:ind w:left="2880" w:hanging="360"/>
      </w:pPr>
      <w:rPr>
        <w:rFonts w:ascii="Wingdings" w:hAnsi="Wingdings" w:hint="default"/>
      </w:rPr>
    </w:lvl>
    <w:lvl w:ilvl="4" w:tplc="222A0F0E" w:tentative="1">
      <w:start w:val="1"/>
      <w:numFmt w:val="bullet"/>
      <w:lvlText w:val=""/>
      <w:lvlJc w:val="left"/>
      <w:pPr>
        <w:tabs>
          <w:tab w:val="num" w:pos="3600"/>
        </w:tabs>
        <w:ind w:left="3600" w:hanging="360"/>
      </w:pPr>
      <w:rPr>
        <w:rFonts w:ascii="Wingdings" w:hAnsi="Wingdings" w:hint="default"/>
      </w:rPr>
    </w:lvl>
    <w:lvl w:ilvl="5" w:tplc="F7ECA49A" w:tentative="1">
      <w:start w:val="1"/>
      <w:numFmt w:val="bullet"/>
      <w:lvlText w:val=""/>
      <w:lvlJc w:val="left"/>
      <w:pPr>
        <w:tabs>
          <w:tab w:val="num" w:pos="4320"/>
        </w:tabs>
        <w:ind w:left="4320" w:hanging="360"/>
      </w:pPr>
      <w:rPr>
        <w:rFonts w:ascii="Wingdings" w:hAnsi="Wingdings" w:hint="default"/>
      </w:rPr>
    </w:lvl>
    <w:lvl w:ilvl="6" w:tplc="2DA8CD0A" w:tentative="1">
      <w:start w:val="1"/>
      <w:numFmt w:val="bullet"/>
      <w:lvlText w:val=""/>
      <w:lvlJc w:val="left"/>
      <w:pPr>
        <w:tabs>
          <w:tab w:val="num" w:pos="5040"/>
        </w:tabs>
        <w:ind w:left="5040" w:hanging="360"/>
      </w:pPr>
      <w:rPr>
        <w:rFonts w:ascii="Wingdings" w:hAnsi="Wingdings" w:hint="default"/>
      </w:rPr>
    </w:lvl>
    <w:lvl w:ilvl="7" w:tplc="6F301936" w:tentative="1">
      <w:start w:val="1"/>
      <w:numFmt w:val="bullet"/>
      <w:lvlText w:val=""/>
      <w:lvlJc w:val="left"/>
      <w:pPr>
        <w:tabs>
          <w:tab w:val="num" w:pos="5760"/>
        </w:tabs>
        <w:ind w:left="5760" w:hanging="360"/>
      </w:pPr>
      <w:rPr>
        <w:rFonts w:ascii="Wingdings" w:hAnsi="Wingdings" w:hint="default"/>
      </w:rPr>
    </w:lvl>
    <w:lvl w:ilvl="8" w:tplc="7790716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20F5D"/>
    <w:multiLevelType w:val="hybridMultilevel"/>
    <w:tmpl w:val="478E891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21"/>
  </w:num>
  <w:num w:numId="4">
    <w:abstractNumId w:val="2"/>
  </w:num>
  <w:num w:numId="5">
    <w:abstractNumId w:val="26"/>
  </w:num>
  <w:num w:numId="6">
    <w:abstractNumId w:val="15"/>
  </w:num>
  <w:num w:numId="7">
    <w:abstractNumId w:val="11"/>
  </w:num>
  <w:num w:numId="8">
    <w:abstractNumId w:val="7"/>
  </w:num>
  <w:num w:numId="9">
    <w:abstractNumId w:val="17"/>
  </w:num>
  <w:num w:numId="10">
    <w:abstractNumId w:val="5"/>
  </w:num>
  <w:num w:numId="11">
    <w:abstractNumId w:val="31"/>
  </w:num>
  <w:num w:numId="12">
    <w:abstractNumId w:val="24"/>
  </w:num>
  <w:num w:numId="13">
    <w:abstractNumId w:val="29"/>
  </w:num>
  <w:num w:numId="14">
    <w:abstractNumId w:val="18"/>
  </w:num>
  <w:num w:numId="15">
    <w:abstractNumId w:val="36"/>
  </w:num>
  <w:num w:numId="16">
    <w:abstractNumId w:val="6"/>
  </w:num>
  <w:num w:numId="17">
    <w:abstractNumId w:val="35"/>
  </w:num>
  <w:num w:numId="18">
    <w:abstractNumId w:val="30"/>
  </w:num>
  <w:num w:numId="19">
    <w:abstractNumId w:val="28"/>
  </w:num>
  <w:num w:numId="20">
    <w:abstractNumId w:val="23"/>
  </w:num>
  <w:num w:numId="21">
    <w:abstractNumId w:val="27"/>
  </w:num>
  <w:num w:numId="22">
    <w:abstractNumId w:val="0"/>
  </w:num>
  <w:num w:numId="23">
    <w:abstractNumId w:val="3"/>
  </w:num>
  <w:num w:numId="24">
    <w:abstractNumId w:val="34"/>
  </w:num>
  <w:num w:numId="25">
    <w:abstractNumId w:val="19"/>
  </w:num>
  <w:num w:numId="26">
    <w:abstractNumId w:val="13"/>
  </w:num>
  <w:num w:numId="27">
    <w:abstractNumId w:val="1"/>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16"/>
  </w:num>
  <w:num w:numId="38">
    <w:abstractNumId w:val="33"/>
  </w:num>
  <w:num w:numId="39">
    <w:abstractNumId w:val="32"/>
  </w:num>
  <w:num w:numId="40">
    <w:abstractNumId w:val="10"/>
  </w:num>
  <w:num w:numId="41">
    <w:abstractNumId w:val="4"/>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2"/>
  </w:num>
  <w:num w:numId="45">
    <w:abstractNumId w:val="9"/>
  </w:num>
  <w:num w:numId="46">
    <w:abstractNumId w:val="14"/>
  </w:num>
  <w:num w:numId="47">
    <w:abstractNumId w:val="3"/>
  </w:num>
  <w:num w:numId="48">
    <w:abstractNumId w:val="3"/>
  </w:num>
  <w:num w:numId="49">
    <w:abstractNumId w:val="27"/>
  </w:num>
  <w:num w:numId="50">
    <w:abstractNumId w:val="27"/>
  </w:num>
  <w:num w:numId="51">
    <w:abstractNumId w:val="22"/>
  </w:num>
  <w:num w:numId="52">
    <w:abstractNumId w:val="27"/>
  </w:num>
  <w:num w:numId="53">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7E1"/>
    <w:rsid w:val="0000254D"/>
    <w:rsid w:val="00006643"/>
    <w:rsid w:val="00012F24"/>
    <w:rsid w:val="00015816"/>
    <w:rsid w:val="00015A71"/>
    <w:rsid w:val="0002674B"/>
    <w:rsid w:val="000306D2"/>
    <w:rsid w:val="00032B9A"/>
    <w:rsid w:val="00036A5C"/>
    <w:rsid w:val="0004135B"/>
    <w:rsid w:val="0004162E"/>
    <w:rsid w:val="000430FB"/>
    <w:rsid w:val="00044212"/>
    <w:rsid w:val="000448FF"/>
    <w:rsid w:val="00044BDA"/>
    <w:rsid w:val="0004786B"/>
    <w:rsid w:val="00054080"/>
    <w:rsid w:val="00054805"/>
    <w:rsid w:val="00055B3F"/>
    <w:rsid w:val="00055D5D"/>
    <w:rsid w:val="000565E9"/>
    <w:rsid w:val="00063405"/>
    <w:rsid w:val="00064BDE"/>
    <w:rsid w:val="00066CB0"/>
    <w:rsid w:val="000742E8"/>
    <w:rsid w:val="00075901"/>
    <w:rsid w:val="000809B9"/>
    <w:rsid w:val="0008479E"/>
    <w:rsid w:val="00085AB9"/>
    <w:rsid w:val="00090B40"/>
    <w:rsid w:val="00095A0A"/>
    <w:rsid w:val="000960EB"/>
    <w:rsid w:val="000961B8"/>
    <w:rsid w:val="00097171"/>
    <w:rsid w:val="000A2337"/>
    <w:rsid w:val="000A7F82"/>
    <w:rsid w:val="000B1B3D"/>
    <w:rsid w:val="000B4961"/>
    <w:rsid w:val="000C4CAF"/>
    <w:rsid w:val="000C6B57"/>
    <w:rsid w:val="000C7A7B"/>
    <w:rsid w:val="000D6B75"/>
    <w:rsid w:val="000D6FE1"/>
    <w:rsid w:val="000E2780"/>
    <w:rsid w:val="000E397E"/>
    <w:rsid w:val="000E5FBA"/>
    <w:rsid w:val="000E6E1D"/>
    <w:rsid w:val="000E785D"/>
    <w:rsid w:val="000F09AE"/>
    <w:rsid w:val="000F0AF1"/>
    <w:rsid w:val="000F25DC"/>
    <w:rsid w:val="00102034"/>
    <w:rsid w:val="001060EC"/>
    <w:rsid w:val="00111F03"/>
    <w:rsid w:val="00121485"/>
    <w:rsid w:val="00131895"/>
    <w:rsid w:val="00133333"/>
    <w:rsid w:val="00134CD1"/>
    <w:rsid w:val="001379F1"/>
    <w:rsid w:val="00137AC2"/>
    <w:rsid w:val="00143362"/>
    <w:rsid w:val="00144477"/>
    <w:rsid w:val="001446F4"/>
    <w:rsid w:val="00147D5B"/>
    <w:rsid w:val="00150D8E"/>
    <w:rsid w:val="00153508"/>
    <w:rsid w:val="0016059B"/>
    <w:rsid w:val="00160858"/>
    <w:rsid w:val="00163BDB"/>
    <w:rsid w:val="001648FF"/>
    <w:rsid w:val="0017085E"/>
    <w:rsid w:val="00171C26"/>
    <w:rsid w:val="00175D3F"/>
    <w:rsid w:val="00180119"/>
    <w:rsid w:val="0018051B"/>
    <w:rsid w:val="00180B16"/>
    <w:rsid w:val="001813D9"/>
    <w:rsid w:val="00186954"/>
    <w:rsid w:val="00190D82"/>
    <w:rsid w:val="001A0284"/>
    <w:rsid w:val="001A068D"/>
    <w:rsid w:val="001A2E96"/>
    <w:rsid w:val="001B12E5"/>
    <w:rsid w:val="001B1E4A"/>
    <w:rsid w:val="001B28F6"/>
    <w:rsid w:val="001B2DC2"/>
    <w:rsid w:val="001B4279"/>
    <w:rsid w:val="001C4FA7"/>
    <w:rsid w:val="001C5A27"/>
    <w:rsid w:val="001C6AC3"/>
    <w:rsid w:val="001D02D4"/>
    <w:rsid w:val="001D27C0"/>
    <w:rsid w:val="001D311A"/>
    <w:rsid w:val="001D3458"/>
    <w:rsid w:val="001D61A3"/>
    <w:rsid w:val="001D6AFD"/>
    <w:rsid w:val="001E74C3"/>
    <w:rsid w:val="001E76DA"/>
    <w:rsid w:val="001F0D78"/>
    <w:rsid w:val="001F29B6"/>
    <w:rsid w:val="001F41E3"/>
    <w:rsid w:val="001F6937"/>
    <w:rsid w:val="00201457"/>
    <w:rsid w:val="00205904"/>
    <w:rsid w:val="0020596A"/>
    <w:rsid w:val="00210E25"/>
    <w:rsid w:val="00214155"/>
    <w:rsid w:val="00215AD6"/>
    <w:rsid w:val="00216E99"/>
    <w:rsid w:val="002206A1"/>
    <w:rsid w:val="00220DE3"/>
    <w:rsid w:val="002224EC"/>
    <w:rsid w:val="00222A2F"/>
    <w:rsid w:val="002329C8"/>
    <w:rsid w:val="00234412"/>
    <w:rsid w:val="0024108C"/>
    <w:rsid w:val="00241A0F"/>
    <w:rsid w:val="00245A80"/>
    <w:rsid w:val="00247967"/>
    <w:rsid w:val="00250615"/>
    <w:rsid w:val="00250753"/>
    <w:rsid w:val="0025290D"/>
    <w:rsid w:val="00255D79"/>
    <w:rsid w:val="00255F05"/>
    <w:rsid w:val="0025644D"/>
    <w:rsid w:val="00260372"/>
    <w:rsid w:val="00260562"/>
    <w:rsid w:val="00261E96"/>
    <w:rsid w:val="00262DAF"/>
    <w:rsid w:val="00264B3F"/>
    <w:rsid w:val="00266667"/>
    <w:rsid w:val="002767A9"/>
    <w:rsid w:val="002904EE"/>
    <w:rsid w:val="00292FA2"/>
    <w:rsid w:val="002964DF"/>
    <w:rsid w:val="002A5DF6"/>
    <w:rsid w:val="002A6B7D"/>
    <w:rsid w:val="002B2EC7"/>
    <w:rsid w:val="002C0623"/>
    <w:rsid w:val="002C1159"/>
    <w:rsid w:val="002C1538"/>
    <w:rsid w:val="002C7B7D"/>
    <w:rsid w:val="002D4116"/>
    <w:rsid w:val="002D5667"/>
    <w:rsid w:val="002E0D28"/>
    <w:rsid w:val="002E1827"/>
    <w:rsid w:val="002E1C97"/>
    <w:rsid w:val="002E2442"/>
    <w:rsid w:val="002F0E8C"/>
    <w:rsid w:val="002F62F8"/>
    <w:rsid w:val="00302911"/>
    <w:rsid w:val="003103E7"/>
    <w:rsid w:val="00310FA0"/>
    <w:rsid w:val="00320481"/>
    <w:rsid w:val="003246B8"/>
    <w:rsid w:val="003250CB"/>
    <w:rsid w:val="00333AAA"/>
    <w:rsid w:val="003359D7"/>
    <w:rsid w:val="00336BD7"/>
    <w:rsid w:val="003462BC"/>
    <w:rsid w:val="003474AB"/>
    <w:rsid w:val="00351671"/>
    <w:rsid w:val="00353A91"/>
    <w:rsid w:val="00355E38"/>
    <w:rsid w:val="00363201"/>
    <w:rsid w:val="00371785"/>
    <w:rsid w:val="00376ED4"/>
    <w:rsid w:val="00381B0C"/>
    <w:rsid w:val="00390290"/>
    <w:rsid w:val="00390636"/>
    <w:rsid w:val="0039063C"/>
    <w:rsid w:val="00392FD4"/>
    <w:rsid w:val="00396EED"/>
    <w:rsid w:val="003A46A8"/>
    <w:rsid w:val="003A4D59"/>
    <w:rsid w:val="003B565A"/>
    <w:rsid w:val="003B73E8"/>
    <w:rsid w:val="003C00E8"/>
    <w:rsid w:val="003C1A91"/>
    <w:rsid w:val="003C6867"/>
    <w:rsid w:val="003D3CE1"/>
    <w:rsid w:val="003E3276"/>
    <w:rsid w:val="003E4F32"/>
    <w:rsid w:val="003E652F"/>
    <w:rsid w:val="003F406B"/>
    <w:rsid w:val="004006E5"/>
    <w:rsid w:val="00410326"/>
    <w:rsid w:val="0041427F"/>
    <w:rsid w:val="00415B71"/>
    <w:rsid w:val="00415FF7"/>
    <w:rsid w:val="0041660B"/>
    <w:rsid w:val="0042246D"/>
    <w:rsid w:val="0042260B"/>
    <w:rsid w:val="0043059B"/>
    <w:rsid w:val="00442900"/>
    <w:rsid w:val="00445BB7"/>
    <w:rsid w:val="004509E5"/>
    <w:rsid w:val="004527C5"/>
    <w:rsid w:val="00457396"/>
    <w:rsid w:val="00461F5A"/>
    <w:rsid w:val="0046535B"/>
    <w:rsid w:val="00465C90"/>
    <w:rsid w:val="004701F8"/>
    <w:rsid w:val="00477420"/>
    <w:rsid w:val="00480FCE"/>
    <w:rsid w:val="00485B75"/>
    <w:rsid w:val="00486FB9"/>
    <w:rsid w:val="00487957"/>
    <w:rsid w:val="004901B0"/>
    <w:rsid w:val="0049419F"/>
    <w:rsid w:val="004B51D3"/>
    <w:rsid w:val="004B6D50"/>
    <w:rsid w:val="004B73D9"/>
    <w:rsid w:val="004C212A"/>
    <w:rsid w:val="004C495B"/>
    <w:rsid w:val="004D011C"/>
    <w:rsid w:val="004D17D1"/>
    <w:rsid w:val="004D1DE2"/>
    <w:rsid w:val="004D3ABD"/>
    <w:rsid w:val="004D422F"/>
    <w:rsid w:val="004D6A2E"/>
    <w:rsid w:val="004F00D6"/>
    <w:rsid w:val="004F35EC"/>
    <w:rsid w:val="004F545F"/>
    <w:rsid w:val="004F713E"/>
    <w:rsid w:val="00500232"/>
    <w:rsid w:val="005015B4"/>
    <w:rsid w:val="00501879"/>
    <w:rsid w:val="00503375"/>
    <w:rsid w:val="00504668"/>
    <w:rsid w:val="005067E1"/>
    <w:rsid w:val="00510660"/>
    <w:rsid w:val="00532FF7"/>
    <w:rsid w:val="0053394E"/>
    <w:rsid w:val="00533A08"/>
    <w:rsid w:val="00536E94"/>
    <w:rsid w:val="00537CE1"/>
    <w:rsid w:val="00540C5F"/>
    <w:rsid w:val="00542BB8"/>
    <w:rsid w:val="00545322"/>
    <w:rsid w:val="005455E1"/>
    <w:rsid w:val="005502BD"/>
    <w:rsid w:val="00552793"/>
    <w:rsid w:val="00556787"/>
    <w:rsid w:val="00564215"/>
    <w:rsid w:val="00574927"/>
    <w:rsid w:val="0057568D"/>
    <w:rsid w:val="0057625A"/>
    <w:rsid w:val="00581893"/>
    <w:rsid w:val="00582354"/>
    <w:rsid w:val="00584312"/>
    <w:rsid w:val="00590DA2"/>
    <w:rsid w:val="005932A7"/>
    <w:rsid w:val="005A1600"/>
    <w:rsid w:val="005A2061"/>
    <w:rsid w:val="005A2323"/>
    <w:rsid w:val="005B453C"/>
    <w:rsid w:val="005C2560"/>
    <w:rsid w:val="005C2CF3"/>
    <w:rsid w:val="005C45B4"/>
    <w:rsid w:val="005D0599"/>
    <w:rsid w:val="005D30E3"/>
    <w:rsid w:val="005D59FF"/>
    <w:rsid w:val="005D76EF"/>
    <w:rsid w:val="005E3676"/>
    <w:rsid w:val="005E5FAF"/>
    <w:rsid w:val="005F21D3"/>
    <w:rsid w:val="005F2F60"/>
    <w:rsid w:val="005F34FA"/>
    <w:rsid w:val="005F7585"/>
    <w:rsid w:val="005F7B85"/>
    <w:rsid w:val="006011DB"/>
    <w:rsid w:val="00611D3F"/>
    <w:rsid w:val="00613593"/>
    <w:rsid w:val="00630BB5"/>
    <w:rsid w:val="00637C12"/>
    <w:rsid w:val="00644E12"/>
    <w:rsid w:val="00647B6F"/>
    <w:rsid w:val="00650C6C"/>
    <w:rsid w:val="00652FE6"/>
    <w:rsid w:val="00661D97"/>
    <w:rsid w:val="0066263F"/>
    <w:rsid w:val="00664D91"/>
    <w:rsid w:val="00664DE2"/>
    <w:rsid w:val="006674B5"/>
    <w:rsid w:val="006702B4"/>
    <w:rsid w:val="00670468"/>
    <w:rsid w:val="006726B8"/>
    <w:rsid w:val="0067647D"/>
    <w:rsid w:val="00677B25"/>
    <w:rsid w:val="006823FC"/>
    <w:rsid w:val="006846D3"/>
    <w:rsid w:val="00685856"/>
    <w:rsid w:val="006966E0"/>
    <w:rsid w:val="006A074C"/>
    <w:rsid w:val="006A4AAC"/>
    <w:rsid w:val="006A61C3"/>
    <w:rsid w:val="006B3874"/>
    <w:rsid w:val="006B3FC3"/>
    <w:rsid w:val="006C0792"/>
    <w:rsid w:val="006D04EF"/>
    <w:rsid w:val="006D316F"/>
    <w:rsid w:val="006E12CF"/>
    <w:rsid w:val="006E2FB0"/>
    <w:rsid w:val="006E6000"/>
    <w:rsid w:val="006F15CD"/>
    <w:rsid w:val="007102D2"/>
    <w:rsid w:val="00713948"/>
    <w:rsid w:val="00720A08"/>
    <w:rsid w:val="00721423"/>
    <w:rsid w:val="007222B6"/>
    <w:rsid w:val="007306AA"/>
    <w:rsid w:val="00734F0F"/>
    <w:rsid w:val="00746805"/>
    <w:rsid w:val="00753A27"/>
    <w:rsid w:val="0075468B"/>
    <w:rsid w:val="00755082"/>
    <w:rsid w:val="007552F3"/>
    <w:rsid w:val="00756B83"/>
    <w:rsid w:val="00762046"/>
    <w:rsid w:val="00762112"/>
    <w:rsid w:val="0076445E"/>
    <w:rsid w:val="00764B4C"/>
    <w:rsid w:val="00766E21"/>
    <w:rsid w:val="007701B9"/>
    <w:rsid w:val="007717D6"/>
    <w:rsid w:val="00773298"/>
    <w:rsid w:val="00783D7D"/>
    <w:rsid w:val="007855D5"/>
    <w:rsid w:val="00792DA6"/>
    <w:rsid w:val="0079342A"/>
    <w:rsid w:val="00793D3E"/>
    <w:rsid w:val="00794857"/>
    <w:rsid w:val="00796E13"/>
    <w:rsid w:val="007975FE"/>
    <w:rsid w:val="00797C02"/>
    <w:rsid w:val="00797C79"/>
    <w:rsid w:val="00797F74"/>
    <w:rsid w:val="007B2595"/>
    <w:rsid w:val="007B4949"/>
    <w:rsid w:val="007D1ACD"/>
    <w:rsid w:val="007D64C8"/>
    <w:rsid w:val="007E41D9"/>
    <w:rsid w:val="007E440C"/>
    <w:rsid w:val="007E4DF8"/>
    <w:rsid w:val="007E4EC9"/>
    <w:rsid w:val="007E4F31"/>
    <w:rsid w:val="007F0BC6"/>
    <w:rsid w:val="007F4BEC"/>
    <w:rsid w:val="008007E6"/>
    <w:rsid w:val="00803B30"/>
    <w:rsid w:val="008050FC"/>
    <w:rsid w:val="00813AB4"/>
    <w:rsid w:val="00814154"/>
    <w:rsid w:val="008147F3"/>
    <w:rsid w:val="008154A4"/>
    <w:rsid w:val="0081632C"/>
    <w:rsid w:val="0082093C"/>
    <w:rsid w:val="00821B38"/>
    <w:rsid w:val="008222F5"/>
    <w:rsid w:val="00825480"/>
    <w:rsid w:val="00831374"/>
    <w:rsid w:val="00837EC3"/>
    <w:rsid w:val="00850A2C"/>
    <w:rsid w:val="00853DFE"/>
    <w:rsid w:val="00854469"/>
    <w:rsid w:val="00855913"/>
    <w:rsid w:val="00857580"/>
    <w:rsid w:val="008633E4"/>
    <w:rsid w:val="00865238"/>
    <w:rsid w:val="008667BF"/>
    <w:rsid w:val="00871255"/>
    <w:rsid w:val="008719C4"/>
    <w:rsid w:val="008724E6"/>
    <w:rsid w:val="00872B05"/>
    <w:rsid w:val="00873739"/>
    <w:rsid w:val="0087397A"/>
    <w:rsid w:val="008804E7"/>
    <w:rsid w:val="008815E5"/>
    <w:rsid w:val="008923FA"/>
    <w:rsid w:val="00895645"/>
    <w:rsid w:val="008958F2"/>
    <w:rsid w:val="00895B55"/>
    <w:rsid w:val="008A0330"/>
    <w:rsid w:val="008A291A"/>
    <w:rsid w:val="008A4043"/>
    <w:rsid w:val="008A628E"/>
    <w:rsid w:val="008A67A6"/>
    <w:rsid w:val="008B65B6"/>
    <w:rsid w:val="008B6A64"/>
    <w:rsid w:val="008B7892"/>
    <w:rsid w:val="008C1096"/>
    <w:rsid w:val="008C3782"/>
    <w:rsid w:val="008C5616"/>
    <w:rsid w:val="008D4A32"/>
    <w:rsid w:val="008D593A"/>
    <w:rsid w:val="008E44AA"/>
    <w:rsid w:val="008E7760"/>
    <w:rsid w:val="008F0344"/>
    <w:rsid w:val="008F0939"/>
    <w:rsid w:val="008F52E6"/>
    <w:rsid w:val="009008D0"/>
    <w:rsid w:val="009045BA"/>
    <w:rsid w:val="00904D4A"/>
    <w:rsid w:val="00906907"/>
    <w:rsid w:val="009134A5"/>
    <w:rsid w:val="00922001"/>
    <w:rsid w:val="00922C17"/>
    <w:rsid w:val="009266C0"/>
    <w:rsid w:val="009303FA"/>
    <w:rsid w:val="009306E1"/>
    <w:rsid w:val="00930CAC"/>
    <w:rsid w:val="00940A21"/>
    <w:rsid w:val="00942DDD"/>
    <w:rsid w:val="00947FF3"/>
    <w:rsid w:val="009516A8"/>
    <w:rsid w:val="0095771D"/>
    <w:rsid w:val="00961C0F"/>
    <w:rsid w:val="00963A12"/>
    <w:rsid w:val="009668AF"/>
    <w:rsid w:val="00973FF3"/>
    <w:rsid w:val="0097677F"/>
    <w:rsid w:val="0097705C"/>
    <w:rsid w:val="009853AA"/>
    <w:rsid w:val="009B1EE1"/>
    <w:rsid w:val="009B25B8"/>
    <w:rsid w:val="009B2BAE"/>
    <w:rsid w:val="009B3DB0"/>
    <w:rsid w:val="009B7BFD"/>
    <w:rsid w:val="009C1720"/>
    <w:rsid w:val="009D5B6B"/>
    <w:rsid w:val="009D759D"/>
    <w:rsid w:val="009E2CD7"/>
    <w:rsid w:val="009F393D"/>
    <w:rsid w:val="009F5DE0"/>
    <w:rsid w:val="009F7F46"/>
    <w:rsid w:val="00A000BF"/>
    <w:rsid w:val="00A012C6"/>
    <w:rsid w:val="00A03B7D"/>
    <w:rsid w:val="00A0587E"/>
    <w:rsid w:val="00A17524"/>
    <w:rsid w:val="00A208C9"/>
    <w:rsid w:val="00A259A5"/>
    <w:rsid w:val="00A275BC"/>
    <w:rsid w:val="00A33591"/>
    <w:rsid w:val="00A3754A"/>
    <w:rsid w:val="00A464B4"/>
    <w:rsid w:val="00A46E2E"/>
    <w:rsid w:val="00A50C2F"/>
    <w:rsid w:val="00A52320"/>
    <w:rsid w:val="00A6135C"/>
    <w:rsid w:val="00A63D6B"/>
    <w:rsid w:val="00A707D4"/>
    <w:rsid w:val="00A717E3"/>
    <w:rsid w:val="00A743B7"/>
    <w:rsid w:val="00A74465"/>
    <w:rsid w:val="00A75394"/>
    <w:rsid w:val="00A771D7"/>
    <w:rsid w:val="00A81015"/>
    <w:rsid w:val="00A84B52"/>
    <w:rsid w:val="00A84FCE"/>
    <w:rsid w:val="00A8660F"/>
    <w:rsid w:val="00A90592"/>
    <w:rsid w:val="00A91590"/>
    <w:rsid w:val="00A95C48"/>
    <w:rsid w:val="00A96BC4"/>
    <w:rsid w:val="00AA0AA6"/>
    <w:rsid w:val="00AA0B7D"/>
    <w:rsid w:val="00AA1E49"/>
    <w:rsid w:val="00AA3248"/>
    <w:rsid w:val="00AA5A9D"/>
    <w:rsid w:val="00AA7056"/>
    <w:rsid w:val="00AA7570"/>
    <w:rsid w:val="00AB01B9"/>
    <w:rsid w:val="00AB31C6"/>
    <w:rsid w:val="00AB523B"/>
    <w:rsid w:val="00AC14EC"/>
    <w:rsid w:val="00AC2D5F"/>
    <w:rsid w:val="00AC3C0C"/>
    <w:rsid w:val="00AD6663"/>
    <w:rsid w:val="00AD7E40"/>
    <w:rsid w:val="00B01C20"/>
    <w:rsid w:val="00B03AA3"/>
    <w:rsid w:val="00B051E3"/>
    <w:rsid w:val="00B064EB"/>
    <w:rsid w:val="00B07256"/>
    <w:rsid w:val="00B1214F"/>
    <w:rsid w:val="00B12847"/>
    <w:rsid w:val="00B12E9C"/>
    <w:rsid w:val="00B1352F"/>
    <w:rsid w:val="00B1477A"/>
    <w:rsid w:val="00B170CE"/>
    <w:rsid w:val="00B20993"/>
    <w:rsid w:val="00B2421E"/>
    <w:rsid w:val="00B245FE"/>
    <w:rsid w:val="00B24F73"/>
    <w:rsid w:val="00B42E96"/>
    <w:rsid w:val="00B434AA"/>
    <w:rsid w:val="00B43D2C"/>
    <w:rsid w:val="00B46467"/>
    <w:rsid w:val="00B50EE6"/>
    <w:rsid w:val="00B52185"/>
    <w:rsid w:val="00B57EE0"/>
    <w:rsid w:val="00B606F4"/>
    <w:rsid w:val="00B620ED"/>
    <w:rsid w:val="00B65591"/>
    <w:rsid w:val="00B70B4F"/>
    <w:rsid w:val="00B76C2E"/>
    <w:rsid w:val="00B82280"/>
    <w:rsid w:val="00B9569E"/>
    <w:rsid w:val="00B9753A"/>
    <w:rsid w:val="00BA214B"/>
    <w:rsid w:val="00BA48DD"/>
    <w:rsid w:val="00BA750F"/>
    <w:rsid w:val="00BA76EA"/>
    <w:rsid w:val="00BB479C"/>
    <w:rsid w:val="00BB4CDB"/>
    <w:rsid w:val="00BC1DAC"/>
    <w:rsid w:val="00BC35F4"/>
    <w:rsid w:val="00BC4A65"/>
    <w:rsid w:val="00BC661D"/>
    <w:rsid w:val="00BD75A2"/>
    <w:rsid w:val="00BF5FAA"/>
    <w:rsid w:val="00BF7386"/>
    <w:rsid w:val="00BF78A8"/>
    <w:rsid w:val="00C03D69"/>
    <w:rsid w:val="00C040A4"/>
    <w:rsid w:val="00C105A4"/>
    <w:rsid w:val="00C1071C"/>
    <w:rsid w:val="00C2017A"/>
    <w:rsid w:val="00C20379"/>
    <w:rsid w:val="00C20470"/>
    <w:rsid w:val="00C252D9"/>
    <w:rsid w:val="00C2680E"/>
    <w:rsid w:val="00C30933"/>
    <w:rsid w:val="00C33144"/>
    <w:rsid w:val="00C34B2F"/>
    <w:rsid w:val="00C369A6"/>
    <w:rsid w:val="00C37FE2"/>
    <w:rsid w:val="00C41ED3"/>
    <w:rsid w:val="00C4641B"/>
    <w:rsid w:val="00C46916"/>
    <w:rsid w:val="00C47799"/>
    <w:rsid w:val="00C50733"/>
    <w:rsid w:val="00C51F63"/>
    <w:rsid w:val="00C5394A"/>
    <w:rsid w:val="00C55371"/>
    <w:rsid w:val="00C56622"/>
    <w:rsid w:val="00C5685F"/>
    <w:rsid w:val="00C63291"/>
    <w:rsid w:val="00C6690E"/>
    <w:rsid w:val="00C673A8"/>
    <w:rsid w:val="00C70109"/>
    <w:rsid w:val="00C703C5"/>
    <w:rsid w:val="00C757FF"/>
    <w:rsid w:val="00C7602B"/>
    <w:rsid w:val="00C805F2"/>
    <w:rsid w:val="00C86951"/>
    <w:rsid w:val="00C94123"/>
    <w:rsid w:val="00C947E3"/>
    <w:rsid w:val="00C97F89"/>
    <w:rsid w:val="00CA1D94"/>
    <w:rsid w:val="00CA1F29"/>
    <w:rsid w:val="00CA38A6"/>
    <w:rsid w:val="00CA6D98"/>
    <w:rsid w:val="00CA718E"/>
    <w:rsid w:val="00CB0365"/>
    <w:rsid w:val="00CB26F5"/>
    <w:rsid w:val="00CB7B13"/>
    <w:rsid w:val="00CC1688"/>
    <w:rsid w:val="00CC1A94"/>
    <w:rsid w:val="00CC2353"/>
    <w:rsid w:val="00CC5E40"/>
    <w:rsid w:val="00CC70BD"/>
    <w:rsid w:val="00CC72AD"/>
    <w:rsid w:val="00CD454B"/>
    <w:rsid w:val="00CD4935"/>
    <w:rsid w:val="00CE6B6D"/>
    <w:rsid w:val="00CE6CC9"/>
    <w:rsid w:val="00CF0A9C"/>
    <w:rsid w:val="00CF1573"/>
    <w:rsid w:val="00D0157D"/>
    <w:rsid w:val="00D040AE"/>
    <w:rsid w:val="00D114C6"/>
    <w:rsid w:val="00D1569F"/>
    <w:rsid w:val="00D20B1E"/>
    <w:rsid w:val="00D21DCC"/>
    <w:rsid w:val="00D22462"/>
    <w:rsid w:val="00D230AC"/>
    <w:rsid w:val="00D26AF1"/>
    <w:rsid w:val="00D27729"/>
    <w:rsid w:val="00D31B3C"/>
    <w:rsid w:val="00D32489"/>
    <w:rsid w:val="00D3430C"/>
    <w:rsid w:val="00D36085"/>
    <w:rsid w:val="00D37642"/>
    <w:rsid w:val="00D43870"/>
    <w:rsid w:val="00D45226"/>
    <w:rsid w:val="00D51BD0"/>
    <w:rsid w:val="00D54067"/>
    <w:rsid w:val="00D5441C"/>
    <w:rsid w:val="00D64607"/>
    <w:rsid w:val="00D67447"/>
    <w:rsid w:val="00D73CB8"/>
    <w:rsid w:val="00D8322A"/>
    <w:rsid w:val="00D8626E"/>
    <w:rsid w:val="00D917E3"/>
    <w:rsid w:val="00D938A1"/>
    <w:rsid w:val="00D95BD4"/>
    <w:rsid w:val="00D979DF"/>
    <w:rsid w:val="00DA7591"/>
    <w:rsid w:val="00DC050B"/>
    <w:rsid w:val="00DC490A"/>
    <w:rsid w:val="00DC629E"/>
    <w:rsid w:val="00DD4B9F"/>
    <w:rsid w:val="00DD625F"/>
    <w:rsid w:val="00DE44D7"/>
    <w:rsid w:val="00DE64F8"/>
    <w:rsid w:val="00DF4760"/>
    <w:rsid w:val="00E02400"/>
    <w:rsid w:val="00E0258D"/>
    <w:rsid w:val="00E0265F"/>
    <w:rsid w:val="00E05E6D"/>
    <w:rsid w:val="00E12D5F"/>
    <w:rsid w:val="00E1361A"/>
    <w:rsid w:val="00E31068"/>
    <w:rsid w:val="00E32798"/>
    <w:rsid w:val="00E32DC7"/>
    <w:rsid w:val="00E45C05"/>
    <w:rsid w:val="00E5017C"/>
    <w:rsid w:val="00E51C91"/>
    <w:rsid w:val="00E51CB9"/>
    <w:rsid w:val="00E54219"/>
    <w:rsid w:val="00E56272"/>
    <w:rsid w:val="00E57F28"/>
    <w:rsid w:val="00E650F5"/>
    <w:rsid w:val="00E667C1"/>
    <w:rsid w:val="00E71812"/>
    <w:rsid w:val="00E74C48"/>
    <w:rsid w:val="00E76DF7"/>
    <w:rsid w:val="00E85BEC"/>
    <w:rsid w:val="00E87000"/>
    <w:rsid w:val="00E943A5"/>
    <w:rsid w:val="00E97147"/>
    <w:rsid w:val="00EA529A"/>
    <w:rsid w:val="00EB0BC9"/>
    <w:rsid w:val="00EB14FB"/>
    <w:rsid w:val="00EC03E7"/>
    <w:rsid w:val="00EC1D13"/>
    <w:rsid w:val="00EC3F88"/>
    <w:rsid w:val="00EC7E90"/>
    <w:rsid w:val="00ED10CB"/>
    <w:rsid w:val="00ED1F56"/>
    <w:rsid w:val="00ED36D8"/>
    <w:rsid w:val="00EE0B89"/>
    <w:rsid w:val="00EE1207"/>
    <w:rsid w:val="00EE3875"/>
    <w:rsid w:val="00EE3E59"/>
    <w:rsid w:val="00EE5EC4"/>
    <w:rsid w:val="00EE64CE"/>
    <w:rsid w:val="00EE6BD7"/>
    <w:rsid w:val="00F010FF"/>
    <w:rsid w:val="00F017DE"/>
    <w:rsid w:val="00F01AEB"/>
    <w:rsid w:val="00F0689D"/>
    <w:rsid w:val="00F06E24"/>
    <w:rsid w:val="00F07208"/>
    <w:rsid w:val="00F13BA3"/>
    <w:rsid w:val="00F15F0B"/>
    <w:rsid w:val="00F17B3E"/>
    <w:rsid w:val="00F2622E"/>
    <w:rsid w:val="00F26EFD"/>
    <w:rsid w:val="00F31D6C"/>
    <w:rsid w:val="00F37082"/>
    <w:rsid w:val="00F445B5"/>
    <w:rsid w:val="00F46B80"/>
    <w:rsid w:val="00F47C4E"/>
    <w:rsid w:val="00F50DAF"/>
    <w:rsid w:val="00F52492"/>
    <w:rsid w:val="00F531EC"/>
    <w:rsid w:val="00F668CA"/>
    <w:rsid w:val="00F75214"/>
    <w:rsid w:val="00F755F4"/>
    <w:rsid w:val="00F764F1"/>
    <w:rsid w:val="00F76928"/>
    <w:rsid w:val="00F810AF"/>
    <w:rsid w:val="00F840F5"/>
    <w:rsid w:val="00F93216"/>
    <w:rsid w:val="00F93896"/>
    <w:rsid w:val="00FA6482"/>
    <w:rsid w:val="00FB01B5"/>
    <w:rsid w:val="00FB29C7"/>
    <w:rsid w:val="00FB2AFD"/>
    <w:rsid w:val="00FC0260"/>
    <w:rsid w:val="00FC3433"/>
    <w:rsid w:val="00FC71C7"/>
    <w:rsid w:val="00FD0BCD"/>
    <w:rsid w:val="00FD1C73"/>
    <w:rsid w:val="00FD7FC0"/>
    <w:rsid w:val="00FE6BA2"/>
    <w:rsid w:val="00FF0574"/>
    <w:rsid w:val="00FF354F"/>
    <w:rsid w:val="00FF4C9D"/>
    <w:rsid w:val="00FF6141"/>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07772"/>
  <w15:chartTrackingRefBased/>
  <w15:docId w15:val="{576B8EDB-1D22-4BB6-B541-B342EE25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qFormat="1"/>
    <w:lsdException w:name="List Number 3" w:qFormat="1"/>
    <w:lsdException w:name="List Number 4" w:qFormat="1"/>
    <w:lsdException w:name="List Number 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5913"/>
    <w:pPr>
      <w:spacing w:after="160" w:line="293" w:lineRule="auto"/>
    </w:pPr>
    <w:rPr>
      <w:color w:val="000000" w:themeColor="text1"/>
    </w:rPr>
  </w:style>
  <w:style w:type="paragraph" w:styleId="Nadpis1">
    <w:name w:val="heading 1"/>
    <w:basedOn w:val="Normln"/>
    <w:next w:val="Normln"/>
    <w:link w:val="Nadpis1Char"/>
    <w:uiPriority w:val="7"/>
    <w:qFormat/>
    <w:rsid w:val="00215AD6"/>
    <w:pPr>
      <w:keepNext/>
      <w:keepLines/>
      <w:numPr>
        <w:numId w:val="21"/>
      </w:numPr>
      <w:spacing w:before="120" w:after="0" w:line="276" w:lineRule="auto"/>
      <w:outlineLvl w:val="0"/>
    </w:pPr>
    <w:rPr>
      <w:rFonts w:asciiTheme="majorHAnsi" w:eastAsiaTheme="majorEastAsia" w:hAnsiTheme="majorHAnsi" w:cstheme="majorBidi"/>
      <w:b/>
      <w:color w:val="004B8D" w:themeColor="text2"/>
      <w:sz w:val="28"/>
      <w:szCs w:val="32"/>
    </w:rPr>
  </w:style>
  <w:style w:type="paragraph" w:styleId="Nadpis2">
    <w:name w:val="heading 2"/>
    <w:basedOn w:val="Normln"/>
    <w:next w:val="Normln"/>
    <w:link w:val="Nadpis2Char"/>
    <w:uiPriority w:val="7"/>
    <w:unhideWhenUsed/>
    <w:qFormat/>
    <w:rsid w:val="00215AD6"/>
    <w:pPr>
      <w:keepNext/>
      <w:keepLines/>
      <w:numPr>
        <w:ilvl w:val="1"/>
        <w:numId w:val="23"/>
      </w:numPr>
      <w:spacing w:before="60" w:after="0" w:line="276" w:lineRule="auto"/>
      <w:ind w:left="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215AD6"/>
    <w:rPr>
      <w:rFonts w:asciiTheme="majorHAnsi" w:eastAsiaTheme="majorEastAsia" w:hAnsiTheme="majorHAnsi" w:cstheme="majorBidi"/>
      <w:b/>
      <w:color w:val="004B8D" w:themeColor="text2"/>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215AD6"/>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C55371"/>
    <w:pPr>
      <w:keepNext/>
      <w:keepLines/>
      <w:spacing w:after="0" w:line="240" w:lineRule="auto"/>
      <w:contextualSpacing/>
    </w:pPr>
    <w:rPr>
      <w:rFonts w:asciiTheme="majorHAnsi" w:eastAsiaTheme="majorEastAsia" w:hAnsiTheme="majorHAnsi" w:cstheme="majorBidi"/>
      <w:color w:val="004B8D" w:themeColor="text2"/>
      <w:spacing w:val="-10"/>
      <w:kern w:val="28"/>
      <w:sz w:val="48"/>
      <w:szCs w:val="56"/>
    </w:rPr>
  </w:style>
  <w:style w:type="character" w:customStyle="1" w:styleId="NzevChar">
    <w:name w:val="Název Char"/>
    <w:basedOn w:val="Standardnpsmoodstavce"/>
    <w:link w:val="Nzev"/>
    <w:uiPriority w:val="4"/>
    <w:rsid w:val="00C55371"/>
    <w:rPr>
      <w:rFonts w:asciiTheme="majorHAnsi" w:eastAsiaTheme="majorEastAsia" w:hAnsiTheme="majorHAnsi" w:cstheme="majorBidi"/>
      <w:color w:val="004B8D" w:themeColor="text2"/>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C55371"/>
    <w:pPr>
      <w:keepLines/>
      <w:pBdr>
        <w:top w:val="single" w:sz="4" w:space="10" w:color="004B8D" w:themeColor="accent2"/>
        <w:bottom w:val="single" w:sz="4" w:space="10" w:color="004B8D" w:themeColor="accent2"/>
      </w:pBdr>
      <w:spacing w:before="240" w:after="240"/>
      <w:ind w:left="357" w:right="357"/>
    </w:pPr>
    <w:rPr>
      <w:i/>
      <w:iCs/>
      <w:color w:val="004B8D" w:themeColor="text2"/>
    </w:rPr>
  </w:style>
  <w:style w:type="character" w:customStyle="1" w:styleId="VrazncittChar">
    <w:name w:val="Výrazný citát Char"/>
    <w:basedOn w:val="Standardnpsmoodstavce"/>
    <w:link w:val="Vrazncitt"/>
    <w:uiPriority w:val="28"/>
    <w:rsid w:val="00C55371"/>
    <w:rPr>
      <w:i/>
      <w:iCs/>
      <w:color w:val="004B8D" w:themeColor="text2"/>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C55371"/>
    <w:pPr>
      <w:keepNext/>
      <w:keepLines/>
      <w:spacing w:before="160" w:after="0"/>
    </w:pPr>
    <w:rPr>
      <w:rFonts w:asciiTheme="majorHAnsi" w:hAnsiTheme="majorHAnsi"/>
      <w:b/>
      <w:color w:val="004B8D" w:themeColor="text2"/>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39"/>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aliases w:val="Text v bloku A"/>
    <w:basedOn w:val="Normln"/>
    <w:uiPriority w:val="29"/>
    <w:unhideWhenUsed/>
    <w:rsid w:val="00C55371"/>
    <w:pPr>
      <w:pBdr>
        <w:top w:val="single" w:sz="2" w:space="4" w:color="004B8D" w:themeColor="accent2"/>
        <w:left w:val="single" w:sz="2" w:space="8" w:color="004B8D" w:themeColor="accent2"/>
        <w:bottom w:val="single" w:sz="2" w:space="4" w:color="004B8D" w:themeColor="accent2"/>
        <w:right w:val="single" w:sz="2" w:space="8" w:color="004B8D" w:themeColor="accent2"/>
      </w:pBdr>
      <w:ind w:left="357" w:right="357"/>
    </w:pPr>
    <w:rPr>
      <w:rFonts w:eastAsiaTheme="minorEastAsia"/>
      <w:i/>
      <w:iCs/>
      <w:color w:val="004B8D" w:themeColor="accent2"/>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TextvblokuB">
    <w:name w:val="Text v bloku B"/>
    <w:basedOn w:val="Normln"/>
    <w:uiPriority w:val="29"/>
    <w:qFormat/>
    <w:rsid w:val="00C55371"/>
    <w:pPr>
      <w:pBdr>
        <w:top w:val="single" w:sz="2" w:space="4" w:color="004B8D" w:themeColor="accent2"/>
        <w:left w:val="single" w:sz="2" w:space="8" w:color="004B8D" w:themeColor="accent2"/>
        <w:bottom w:val="single" w:sz="2" w:space="4" w:color="004B8D" w:themeColor="accent2"/>
        <w:right w:val="single" w:sz="2" w:space="8" w:color="004B8D" w:themeColor="accent2"/>
      </w:pBdr>
      <w:shd w:val="clear" w:color="auto" w:fill="004B8D" w:themeFill="accent2"/>
      <w:ind w:left="357" w:right="357"/>
    </w:pPr>
    <w:rPr>
      <w:color w:val="FFFFFF" w:themeColor="background1"/>
    </w:rPr>
  </w:style>
  <w:style w:type="paragraph" w:customStyle="1" w:styleId="SeznamsodrkamiB">
    <w:name w:val="Seznam s odrážkami B"/>
    <w:basedOn w:val="Normln"/>
    <w:uiPriority w:val="11"/>
    <w:qFormat/>
    <w:rsid w:val="007102D2"/>
    <w:pPr>
      <w:numPr>
        <w:numId w:val="8"/>
      </w:numPr>
      <w:spacing w:after="0"/>
    </w:pPr>
  </w:style>
  <w:style w:type="paragraph" w:customStyle="1" w:styleId="SeznamsodrkamiB2">
    <w:name w:val="Seznam s odrážkami B 2"/>
    <w:basedOn w:val="Normln"/>
    <w:uiPriority w:val="11"/>
    <w:qFormat/>
    <w:rsid w:val="007102D2"/>
    <w:pPr>
      <w:numPr>
        <w:ilvl w:val="1"/>
        <w:numId w:val="8"/>
      </w:numPr>
      <w:spacing w:after="0"/>
    </w:pPr>
  </w:style>
  <w:style w:type="paragraph" w:customStyle="1" w:styleId="SeznamsodrkamiB3">
    <w:name w:val="Seznam s odrážkami B 3"/>
    <w:basedOn w:val="Normln"/>
    <w:uiPriority w:val="11"/>
    <w:qFormat/>
    <w:rsid w:val="007102D2"/>
    <w:pPr>
      <w:numPr>
        <w:ilvl w:val="2"/>
        <w:numId w:val="8"/>
      </w:numPr>
      <w:spacing w:after="0"/>
    </w:pPr>
  </w:style>
  <w:style w:type="paragraph" w:customStyle="1" w:styleId="SeznamsodrkamiB4">
    <w:name w:val="Seznam s odrážkami B 4"/>
    <w:basedOn w:val="Normln"/>
    <w:uiPriority w:val="11"/>
    <w:qFormat/>
    <w:rsid w:val="007102D2"/>
    <w:pPr>
      <w:numPr>
        <w:ilvl w:val="3"/>
        <w:numId w:val="8"/>
      </w:numPr>
      <w:spacing w:after="0"/>
    </w:pPr>
  </w:style>
  <w:style w:type="paragraph" w:customStyle="1" w:styleId="SeznamsodrkamiB5">
    <w:name w:val="Seznam s odrážkami B 5"/>
    <w:basedOn w:val="Normln"/>
    <w:uiPriority w:val="11"/>
    <w:qFormat/>
    <w:rsid w:val="007102D2"/>
    <w:pPr>
      <w:numPr>
        <w:ilvl w:val="4"/>
        <w:numId w:val="8"/>
      </w:numPr>
      <w:spacing w:after="0"/>
    </w:pPr>
  </w:style>
  <w:style w:type="paragraph" w:styleId="Zhlav">
    <w:name w:val="header"/>
    <w:basedOn w:val="Normln"/>
    <w:link w:val="ZhlavChar"/>
    <w:uiPriority w:val="99"/>
    <w:unhideWhenUsed/>
    <w:rsid w:val="007E4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4DF8"/>
    <w:rPr>
      <w:color w:val="000000" w:themeColor="text1"/>
    </w:rPr>
  </w:style>
  <w:style w:type="paragraph" w:styleId="Zpat">
    <w:name w:val="footer"/>
    <w:basedOn w:val="Normln"/>
    <w:link w:val="ZpatChar"/>
    <w:uiPriority w:val="99"/>
    <w:unhideWhenUsed/>
    <w:rsid w:val="007E4DF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4DF8"/>
    <w:rPr>
      <w:color w:val="000000" w:themeColor="text1"/>
    </w:rPr>
  </w:style>
  <w:style w:type="character" w:styleId="Znakapoznpodarou">
    <w:name w:val="footnote reference"/>
    <w:basedOn w:val="Standardnpsmoodstavce"/>
    <w:uiPriority w:val="99"/>
    <w:semiHidden/>
    <w:unhideWhenUsed/>
    <w:rsid w:val="00266667"/>
    <w:rPr>
      <w:vertAlign w:val="superscript"/>
    </w:rPr>
  </w:style>
  <w:style w:type="paragraph" w:styleId="Bezmezer">
    <w:name w:val="No Spacing"/>
    <w:link w:val="BezmezerChar"/>
    <w:uiPriority w:val="1"/>
    <w:qFormat/>
    <w:rsid w:val="00131895"/>
    <w:pPr>
      <w:spacing w:after="0" w:line="240" w:lineRule="auto"/>
    </w:pPr>
    <w:rPr>
      <w:color w:val="000000" w:themeColor="text1"/>
    </w:rPr>
  </w:style>
  <w:style w:type="character" w:styleId="Odkaznakoment">
    <w:name w:val="annotation reference"/>
    <w:basedOn w:val="Standardnpsmoodstavce"/>
    <w:uiPriority w:val="99"/>
    <w:semiHidden/>
    <w:unhideWhenUsed/>
    <w:rsid w:val="00131895"/>
    <w:rPr>
      <w:sz w:val="16"/>
      <w:szCs w:val="16"/>
    </w:rPr>
  </w:style>
  <w:style w:type="paragraph" w:styleId="Textkomente">
    <w:name w:val="annotation text"/>
    <w:basedOn w:val="Normln"/>
    <w:link w:val="TextkomenteChar"/>
    <w:uiPriority w:val="99"/>
    <w:unhideWhenUsed/>
    <w:rsid w:val="00131895"/>
    <w:pPr>
      <w:spacing w:line="240" w:lineRule="auto"/>
    </w:pPr>
    <w:rPr>
      <w:sz w:val="20"/>
      <w:szCs w:val="20"/>
    </w:rPr>
  </w:style>
  <w:style w:type="character" w:customStyle="1" w:styleId="TextkomenteChar">
    <w:name w:val="Text komentáře Char"/>
    <w:basedOn w:val="Standardnpsmoodstavce"/>
    <w:link w:val="Textkomente"/>
    <w:uiPriority w:val="99"/>
    <w:rsid w:val="00131895"/>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131895"/>
    <w:rPr>
      <w:b/>
      <w:bCs/>
    </w:rPr>
  </w:style>
  <w:style w:type="character" w:customStyle="1" w:styleId="PedmtkomenteChar">
    <w:name w:val="Předmět komentáře Char"/>
    <w:basedOn w:val="TextkomenteChar"/>
    <w:link w:val="Pedmtkomente"/>
    <w:uiPriority w:val="99"/>
    <w:semiHidden/>
    <w:rsid w:val="00131895"/>
    <w:rPr>
      <w:b/>
      <w:bCs/>
      <w:color w:val="000000" w:themeColor="text1"/>
      <w:sz w:val="20"/>
      <w:szCs w:val="20"/>
    </w:rPr>
  </w:style>
  <w:style w:type="table" w:styleId="Mkatabulky">
    <w:name w:val="Table Grid"/>
    <w:basedOn w:val="Normlntabulka"/>
    <w:uiPriority w:val="39"/>
    <w:rsid w:val="0017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8A628E"/>
    <w:pPr>
      <w:spacing w:before="100" w:beforeAutospacing="1" w:after="100" w:afterAutospacing="1" w:line="240" w:lineRule="auto"/>
    </w:pPr>
    <w:rPr>
      <w:rFonts w:ascii="Calibri" w:hAnsi="Calibri" w:cs="Calibri"/>
      <w:color w:val="auto"/>
      <w:lang w:eastAsia="cs-CZ"/>
    </w:rPr>
  </w:style>
  <w:style w:type="character" w:customStyle="1" w:styleId="BezmezerChar">
    <w:name w:val="Bez mezer Char"/>
    <w:basedOn w:val="Standardnpsmoodstavce"/>
    <w:link w:val="Bezmezer"/>
    <w:uiPriority w:val="1"/>
    <w:rsid w:val="00392FD4"/>
    <w:rPr>
      <w:color w:val="000000" w:themeColor="text1"/>
    </w:rPr>
  </w:style>
  <w:style w:type="paragraph" w:customStyle="1" w:styleId="Normlnodsazen">
    <w:name w:val="Normální_odsazený"/>
    <w:basedOn w:val="Normln"/>
    <w:qFormat/>
    <w:rsid w:val="003C1A91"/>
    <w:pPr>
      <w:spacing w:line="360" w:lineRule="auto"/>
      <w:ind w:firstLine="709"/>
    </w:pPr>
    <w:rPr>
      <w:rFonts w:eastAsia="Times New Roman" w:cs="Times New Roman"/>
      <w:color w:val="auto"/>
      <w:szCs w:val="24"/>
    </w:rPr>
  </w:style>
  <w:style w:type="paragraph" w:styleId="Revize">
    <w:name w:val="Revision"/>
    <w:hidden/>
    <w:uiPriority w:val="99"/>
    <w:semiHidden/>
    <w:rsid w:val="00F13BA3"/>
    <w:pPr>
      <w:spacing w:after="0" w:line="240" w:lineRule="auto"/>
    </w:pPr>
    <w:rPr>
      <w:color w:val="000000" w:themeColor="text1"/>
    </w:rPr>
  </w:style>
  <w:style w:type="paragraph" w:styleId="Textbubliny">
    <w:name w:val="Balloon Text"/>
    <w:basedOn w:val="Normln"/>
    <w:link w:val="TextbublinyChar"/>
    <w:uiPriority w:val="99"/>
    <w:semiHidden/>
    <w:unhideWhenUsed/>
    <w:rsid w:val="008E44A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44AA"/>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5355">
      <w:bodyDiv w:val="1"/>
      <w:marLeft w:val="0"/>
      <w:marRight w:val="0"/>
      <w:marTop w:val="0"/>
      <w:marBottom w:val="0"/>
      <w:divBdr>
        <w:top w:val="none" w:sz="0" w:space="0" w:color="auto"/>
        <w:left w:val="none" w:sz="0" w:space="0" w:color="auto"/>
        <w:bottom w:val="none" w:sz="0" w:space="0" w:color="auto"/>
        <w:right w:val="none" w:sz="0" w:space="0" w:color="auto"/>
      </w:divBdr>
    </w:div>
    <w:div w:id="28145756">
      <w:bodyDiv w:val="1"/>
      <w:marLeft w:val="0"/>
      <w:marRight w:val="0"/>
      <w:marTop w:val="0"/>
      <w:marBottom w:val="0"/>
      <w:divBdr>
        <w:top w:val="none" w:sz="0" w:space="0" w:color="auto"/>
        <w:left w:val="none" w:sz="0" w:space="0" w:color="auto"/>
        <w:bottom w:val="none" w:sz="0" w:space="0" w:color="auto"/>
        <w:right w:val="none" w:sz="0" w:space="0" w:color="auto"/>
      </w:divBdr>
    </w:div>
    <w:div w:id="58599142">
      <w:bodyDiv w:val="1"/>
      <w:marLeft w:val="0"/>
      <w:marRight w:val="0"/>
      <w:marTop w:val="0"/>
      <w:marBottom w:val="0"/>
      <w:divBdr>
        <w:top w:val="none" w:sz="0" w:space="0" w:color="auto"/>
        <w:left w:val="none" w:sz="0" w:space="0" w:color="auto"/>
        <w:bottom w:val="none" w:sz="0" w:space="0" w:color="auto"/>
        <w:right w:val="none" w:sz="0" w:space="0" w:color="auto"/>
      </w:divBdr>
      <w:divsChild>
        <w:div w:id="1393696343">
          <w:marLeft w:val="547"/>
          <w:marRight w:val="0"/>
          <w:marTop w:val="0"/>
          <w:marBottom w:val="0"/>
          <w:divBdr>
            <w:top w:val="none" w:sz="0" w:space="0" w:color="auto"/>
            <w:left w:val="none" w:sz="0" w:space="0" w:color="auto"/>
            <w:bottom w:val="none" w:sz="0" w:space="0" w:color="auto"/>
            <w:right w:val="none" w:sz="0" w:space="0" w:color="auto"/>
          </w:divBdr>
        </w:div>
      </w:divsChild>
    </w:div>
    <w:div w:id="80031929">
      <w:bodyDiv w:val="1"/>
      <w:marLeft w:val="0"/>
      <w:marRight w:val="0"/>
      <w:marTop w:val="0"/>
      <w:marBottom w:val="0"/>
      <w:divBdr>
        <w:top w:val="none" w:sz="0" w:space="0" w:color="auto"/>
        <w:left w:val="none" w:sz="0" w:space="0" w:color="auto"/>
        <w:bottom w:val="none" w:sz="0" w:space="0" w:color="auto"/>
        <w:right w:val="none" w:sz="0" w:space="0" w:color="auto"/>
      </w:divBdr>
    </w:div>
    <w:div w:id="246350649">
      <w:bodyDiv w:val="1"/>
      <w:marLeft w:val="0"/>
      <w:marRight w:val="0"/>
      <w:marTop w:val="0"/>
      <w:marBottom w:val="0"/>
      <w:divBdr>
        <w:top w:val="none" w:sz="0" w:space="0" w:color="auto"/>
        <w:left w:val="none" w:sz="0" w:space="0" w:color="auto"/>
        <w:bottom w:val="none" w:sz="0" w:space="0" w:color="auto"/>
        <w:right w:val="none" w:sz="0" w:space="0" w:color="auto"/>
      </w:divBdr>
    </w:div>
    <w:div w:id="253054175">
      <w:bodyDiv w:val="1"/>
      <w:marLeft w:val="0"/>
      <w:marRight w:val="0"/>
      <w:marTop w:val="0"/>
      <w:marBottom w:val="0"/>
      <w:divBdr>
        <w:top w:val="none" w:sz="0" w:space="0" w:color="auto"/>
        <w:left w:val="none" w:sz="0" w:space="0" w:color="auto"/>
        <w:bottom w:val="none" w:sz="0" w:space="0" w:color="auto"/>
        <w:right w:val="none" w:sz="0" w:space="0" w:color="auto"/>
      </w:divBdr>
    </w:div>
    <w:div w:id="272593624">
      <w:bodyDiv w:val="1"/>
      <w:marLeft w:val="0"/>
      <w:marRight w:val="0"/>
      <w:marTop w:val="0"/>
      <w:marBottom w:val="0"/>
      <w:divBdr>
        <w:top w:val="none" w:sz="0" w:space="0" w:color="auto"/>
        <w:left w:val="none" w:sz="0" w:space="0" w:color="auto"/>
        <w:bottom w:val="none" w:sz="0" w:space="0" w:color="auto"/>
        <w:right w:val="none" w:sz="0" w:space="0" w:color="auto"/>
      </w:divBdr>
    </w:div>
    <w:div w:id="275529775">
      <w:bodyDiv w:val="1"/>
      <w:marLeft w:val="0"/>
      <w:marRight w:val="0"/>
      <w:marTop w:val="0"/>
      <w:marBottom w:val="0"/>
      <w:divBdr>
        <w:top w:val="none" w:sz="0" w:space="0" w:color="auto"/>
        <w:left w:val="none" w:sz="0" w:space="0" w:color="auto"/>
        <w:bottom w:val="none" w:sz="0" w:space="0" w:color="auto"/>
        <w:right w:val="none" w:sz="0" w:space="0" w:color="auto"/>
      </w:divBdr>
    </w:div>
    <w:div w:id="340665805">
      <w:bodyDiv w:val="1"/>
      <w:marLeft w:val="0"/>
      <w:marRight w:val="0"/>
      <w:marTop w:val="0"/>
      <w:marBottom w:val="0"/>
      <w:divBdr>
        <w:top w:val="none" w:sz="0" w:space="0" w:color="auto"/>
        <w:left w:val="none" w:sz="0" w:space="0" w:color="auto"/>
        <w:bottom w:val="none" w:sz="0" w:space="0" w:color="auto"/>
        <w:right w:val="none" w:sz="0" w:space="0" w:color="auto"/>
      </w:divBdr>
    </w:div>
    <w:div w:id="354959626">
      <w:bodyDiv w:val="1"/>
      <w:marLeft w:val="0"/>
      <w:marRight w:val="0"/>
      <w:marTop w:val="0"/>
      <w:marBottom w:val="0"/>
      <w:divBdr>
        <w:top w:val="none" w:sz="0" w:space="0" w:color="auto"/>
        <w:left w:val="none" w:sz="0" w:space="0" w:color="auto"/>
        <w:bottom w:val="none" w:sz="0" w:space="0" w:color="auto"/>
        <w:right w:val="none" w:sz="0" w:space="0" w:color="auto"/>
      </w:divBdr>
    </w:div>
    <w:div w:id="368800485">
      <w:bodyDiv w:val="1"/>
      <w:marLeft w:val="0"/>
      <w:marRight w:val="0"/>
      <w:marTop w:val="0"/>
      <w:marBottom w:val="0"/>
      <w:divBdr>
        <w:top w:val="none" w:sz="0" w:space="0" w:color="auto"/>
        <w:left w:val="none" w:sz="0" w:space="0" w:color="auto"/>
        <w:bottom w:val="none" w:sz="0" w:space="0" w:color="auto"/>
        <w:right w:val="none" w:sz="0" w:space="0" w:color="auto"/>
      </w:divBdr>
    </w:div>
    <w:div w:id="428544465">
      <w:bodyDiv w:val="1"/>
      <w:marLeft w:val="0"/>
      <w:marRight w:val="0"/>
      <w:marTop w:val="0"/>
      <w:marBottom w:val="0"/>
      <w:divBdr>
        <w:top w:val="none" w:sz="0" w:space="0" w:color="auto"/>
        <w:left w:val="none" w:sz="0" w:space="0" w:color="auto"/>
        <w:bottom w:val="none" w:sz="0" w:space="0" w:color="auto"/>
        <w:right w:val="none" w:sz="0" w:space="0" w:color="auto"/>
      </w:divBdr>
    </w:div>
    <w:div w:id="477235491">
      <w:bodyDiv w:val="1"/>
      <w:marLeft w:val="0"/>
      <w:marRight w:val="0"/>
      <w:marTop w:val="0"/>
      <w:marBottom w:val="0"/>
      <w:divBdr>
        <w:top w:val="none" w:sz="0" w:space="0" w:color="auto"/>
        <w:left w:val="none" w:sz="0" w:space="0" w:color="auto"/>
        <w:bottom w:val="none" w:sz="0" w:space="0" w:color="auto"/>
        <w:right w:val="none" w:sz="0" w:space="0" w:color="auto"/>
      </w:divBdr>
    </w:div>
    <w:div w:id="522089922">
      <w:bodyDiv w:val="1"/>
      <w:marLeft w:val="0"/>
      <w:marRight w:val="0"/>
      <w:marTop w:val="0"/>
      <w:marBottom w:val="0"/>
      <w:divBdr>
        <w:top w:val="none" w:sz="0" w:space="0" w:color="auto"/>
        <w:left w:val="none" w:sz="0" w:space="0" w:color="auto"/>
        <w:bottom w:val="none" w:sz="0" w:space="0" w:color="auto"/>
        <w:right w:val="none" w:sz="0" w:space="0" w:color="auto"/>
      </w:divBdr>
    </w:div>
    <w:div w:id="529497015">
      <w:bodyDiv w:val="1"/>
      <w:marLeft w:val="0"/>
      <w:marRight w:val="0"/>
      <w:marTop w:val="0"/>
      <w:marBottom w:val="0"/>
      <w:divBdr>
        <w:top w:val="none" w:sz="0" w:space="0" w:color="auto"/>
        <w:left w:val="none" w:sz="0" w:space="0" w:color="auto"/>
        <w:bottom w:val="none" w:sz="0" w:space="0" w:color="auto"/>
        <w:right w:val="none" w:sz="0" w:space="0" w:color="auto"/>
      </w:divBdr>
    </w:div>
    <w:div w:id="571740364">
      <w:bodyDiv w:val="1"/>
      <w:marLeft w:val="0"/>
      <w:marRight w:val="0"/>
      <w:marTop w:val="0"/>
      <w:marBottom w:val="0"/>
      <w:divBdr>
        <w:top w:val="none" w:sz="0" w:space="0" w:color="auto"/>
        <w:left w:val="none" w:sz="0" w:space="0" w:color="auto"/>
        <w:bottom w:val="none" w:sz="0" w:space="0" w:color="auto"/>
        <w:right w:val="none" w:sz="0" w:space="0" w:color="auto"/>
      </w:divBdr>
    </w:div>
    <w:div w:id="572591867">
      <w:bodyDiv w:val="1"/>
      <w:marLeft w:val="0"/>
      <w:marRight w:val="0"/>
      <w:marTop w:val="0"/>
      <w:marBottom w:val="0"/>
      <w:divBdr>
        <w:top w:val="none" w:sz="0" w:space="0" w:color="auto"/>
        <w:left w:val="none" w:sz="0" w:space="0" w:color="auto"/>
        <w:bottom w:val="none" w:sz="0" w:space="0" w:color="auto"/>
        <w:right w:val="none" w:sz="0" w:space="0" w:color="auto"/>
      </w:divBdr>
    </w:div>
    <w:div w:id="578952538">
      <w:bodyDiv w:val="1"/>
      <w:marLeft w:val="0"/>
      <w:marRight w:val="0"/>
      <w:marTop w:val="0"/>
      <w:marBottom w:val="0"/>
      <w:divBdr>
        <w:top w:val="none" w:sz="0" w:space="0" w:color="auto"/>
        <w:left w:val="none" w:sz="0" w:space="0" w:color="auto"/>
        <w:bottom w:val="none" w:sz="0" w:space="0" w:color="auto"/>
        <w:right w:val="none" w:sz="0" w:space="0" w:color="auto"/>
      </w:divBdr>
    </w:div>
    <w:div w:id="589236292">
      <w:bodyDiv w:val="1"/>
      <w:marLeft w:val="0"/>
      <w:marRight w:val="0"/>
      <w:marTop w:val="0"/>
      <w:marBottom w:val="0"/>
      <w:divBdr>
        <w:top w:val="none" w:sz="0" w:space="0" w:color="auto"/>
        <w:left w:val="none" w:sz="0" w:space="0" w:color="auto"/>
        <w:bottom w:val="none" w:sz="0" w:space="0" w:color="auto"/>
        <w:right w:val="none" w:sz="0" w:space="0" w:color="auto"/>
      </w:divBdr>
    </w:div>
    <w:div w:id="598756142">
      <w:bodyDiv w:val="1"/>
      <w:marLeft w:val="0"/>
      <w:marRight w:val="0"/>
      <w:marTop w:val="0"/>
      <w:marBottom w:val="0"/>
      <w:divBdr>
        <w:top w:val="none" w:sz="0" w:space="0" w:color="auto"/>
        <w:left w:val="none" w:sz="0" w:space="0" w:color="auto"/>
        <w:bottom w:val="none" w:sz="0" w:space="0" w:color="auto"/>
        <w:right w:val="none" w:sz="0" w:space="0" w:color="auto"/>
      </w:divBdr>
    </w:div>
    <w:div w:id="632252556">
      <w:bodyDiv w:val="1"/>
      <w:marLeft w:val="0"/>
      <w:marRight w:val="0"/>
      <w:marTop w:val="0"/>
      <w:marBottom w:val="0"/>
      <w:divBdr>
        <w:top w:val="none" w:sz="0" w:space="0" w:color="auto"/>
        <w:left w:val="none" w:sz="0" w:space="0" w:color="auto"/>
        <w:bottom w:val="none" w:sz="0" w:space="0" w:color="auto"/>
        <w:right w:val="none" w:sz="0" w:space="0" w:color="auto"/>
      </w:divBdr>
    </w:div>
    <w:div w:id="647592052">
      <w:bodyDiv w:val="1"/>
      <w:marLeft w:val="0"/>
      <w:marRight w:val="0"/>
      <w:marTop w:val="0"/>
      <w:marBottom w:val="0"/>
      <w:divBdr>
        <w:top w:val="none" w:sz="0" w:space="0" w:color="auto"/>
        <w:left w:val="none" w:sz="0" w:space="0" w:color="auto"/>
        <w:bottom w:val="none" w:sz="0" w:space="0" w:color="auto"/>
        <w:right w:val="none" w:sz="0" w:space="0" w:color="auto"/>
      </w:divBdr>
    </w:div>
    <w:div w:id="674528046">
      <w:bodyDiv w:val="1"/>
      <w:marLeft w:val="0"/>
      <w:marRight w:val="0"/>
      <w:marTop w:val="0"/>
      <w:marBottom w:val="0"/>
      <w:divBdr>
        <w:top w:val="none" w:sz="0" w:space="0" w:color="auto"/>
        <w:left w:val="none" w:sz="0" w:space="0" w:color="auto"/>
        <w:bottom w:val="none" w:sz="0" w:space="0" w:color="auto"/>
        <w:right w:val="none" w:sz="0" w:space="0" w:color="auto"/>
      </w:divBdr>
    </w:div>
    <w:div w:id="697510329">
      <w:bodyDiv w:val="1"/>
      <w:marLeft w:val="0"/>
      <w:marRight w:val="0"/>
      <w:marTop w:val="0"/>
      <w:marBottom w:val="0"/>
      <w:divBdr>
        <w:top w:val="none" w:sz="0" w:space="0" w:color="auto"/>
        <w:left w:val="none" w:sz="0" w:space="0" w:color="auto"/>
        <w:bottom w:val="none" w:sz="0" w:space="0" w:color="auto"/>
        <w:right w:val="none" w:sz="0" w:space="0" w:color="auto"/>
      </w:divBdr>
    </w:div>
    <w:div w:id="724336304">
      <w:bodyDiv w:val="1"/>
      <w:marLeft w:val="0"/>
      <w:marRight w:val="0"/>
      <w:marTop w:val="0"/>
      <w:marBottom w:val="0"/>
      <w:divBdr>
        <w:top w:val="none" w:sz="0" w:space="0" w:color="auto"/>
        <w:left w:val="none" w:sz="0" w:space="0" w:color="auto"/>
        <w:bottom w:val="none" w:sz="0" w:space="0" w:color="auto"/>
        <w:right w:val="none" w:sz="0" w:space="0" w:color="auto"/>
      </w:divBdr>
    </w:div>
    <w:div w:id="767702708">
      <w:bodyDiv w:val="1"/>
      <w:marLeft w:val="0"/>
      <w:marRight w:val="0"/>
      <w:marTop w:val="0"/>
      <w:marBottom w:val="0"/>
      <w:divBdr>
        <w:top w:val="none" w:sz="0" w:space="0" w:color="auto"/>
        <w:left w:val="none" w:sz="0" w:space="0" w:color="auto"/>
        <w:bottom w:val="none" w:sz="0" w:space="0" w:color="auto"/>
        <w:right w:val="none" w:sz="0" w:space="0" w:color="auto"/>
      </w:divBdr>
    </w:div>
    <w:div w:id="809131857">
      <w:bodyDiv w:val="1"/>
      <w:marLeft w:val="0"/>
      <w:marRight w:val="0"/>
      <w:marTop w:val="0"/>
      <w:marBottom w:val="0"/>
      <w:divBdr>
        <w:top w:val="none" w:sz="0" w:space="0" w:color="auto"/>
        <w:left w:val="none" w:sz="0" w:space="0" w:color="auto"/>
        <w:bottom w:val="none" w:sz="0" w:space="0" w:color="auto"/>
        <w:right w:val="none" w:sz="0" w:space="0" w:color="auto"/>
      </w:divBdr>
      <w:divsChild>
        <w:div w:id="1833134258">
          <w:marLeft w:val="720"/>
          <w:marRight w:val="0"/>
          <w:marTop w:val="120"/>
          <w:marBottom w:val="0"/>
          <w:divBdr>
            <w:top w:val="none" w:sz="0" w:space="0" w:color="auto"/>
            <w:left w:val="none" w:sz="0" w:space="0" w:color="auto"/>
            <w:bottom w:val="none" w:sz="0" w:space="0" w:color="auto"/>
            <w:right w:val="none" w:sz="0" w:space="0" w:color="auto"/>
          </w:divBdr>
        </w:div>
        <w:div w:id="886645957">
          <w:marLeft w:val="720"/>
          <w:marRight w:val="0"/>
          <w:marTop w:val="120"/>
          <w:marBottom w:val="0"/>
          <w:divBdr>
            <w:top w:val="none" w:sz="0" w:space="0" w:color="auto"/>
            <w:left w:val="none" w:sz="0" w:space="0" w:color="auto"/>
            <w:bottom w:val="none" w:sz="0" w:space="0" w:color="auto"/>
            <w:right w:val="none" w:sz="0" w:space="0" w:color="auto"/>
          </w:divBdr>
        </w:div>
        <w:div w:id="1193693992">
          <w:marLeft w:val="1440"/>
          <w:marRight w:val="0"/>
          <w:marTop w:val="120"/>
          <w:marBottom w:val="0"/>
          <w:divBdr>
            <w:top w:val="none" w:sz="0" w:space="0" w:color="auto"/>
            <w:left w:val="none" w:sz="0" w:space="0" w:color="auto"/>
            <w:bottom w:val="none" w:sz="0" w:space="0" w:color="auto"/>
            <w:right w:val="none" w:sz="0" w:space="0" w:color="auto"/>
          </w:divBdr>
        </w:div>
        <w:div w:id="1218979406">
          <w:marLeft w:val="720"/>
          <w:marRight w:val="0"/>
          <w:marTop w:val="120"/>
          <w:marBottom w:val="0"/>
          <w:divBdr>
            <w:top w:val="none" w:sz="0" w:space="0" w:color="auto"/>
            <w:left w:val="none" w:sz="0" w:space="0" w:color="auto"/>
            <w:bottom w:val="none" w:sz="0" w:space="0" w:color="auto"/>
            <w:right w:val="none" w:sz="0" w:space="0" w:color="auto"/>
          </w:divBdr>
        </w:div>
        <w:div w:id="1889604941">
          <w:marLeft w:val="1440"/>
          <w:marRight w:val="0"/>
          <w:marTop w:val="120"/>
          <w:marBottom w:val="0"/>
          <w:divBdr>
            <w:top w:val="none" w:sz="0" w:space="0" w:color="auto"/>
            <w:left w:val="none" w:sz="0" w:space="0" w:color="auto"/>
            <w:bottom w:val="none" w:sz="0" w:space="0" w:color="auto"/>
            <w:right w:val="none" w:sz="0" w:space="0" w:color="auto"/>
          </w:divBdr>
        </w:div>
        <w:div w:id="2102604337">
          <w:marLeft w:val="1440"/>
          <w:marRight w:val="0"/>
          <w:marTop w:val="120"/>
          <w:marBottom w:val="0"/>
          <w:divBdr>
            <w:top w:val="none" w:sz="0" w:space="0" w:color="auto"/>
            <w:left w:val="none" w:sz="0" w:space="0" w:color="auto"/>
            <w:bottom w:val="none" w:sz="0" w:space="0" w:color="auto"/>
            <w:right w:val="none" w:sz="0" w:space="0" w:color="auto"/>
          </w:divBdr>
        </w:div>
        <w:div w:id="72316183">
          <w:marLeft w:val="1440"/>
          <w:marRight w:val="0"/>
          <w:marTop w:val="120"/>
          <w:marBottom w:val="0"/>
          <w:divBdr>
            <w:top w:val="none" w:sz="0" w:space="0" w:color="auto"/>
            <w:left w:val="none" w:sz="0" w:space="0" w:color="auto"/>
            <w:bottom w:val="none" w:sz="0" w:space="0" w:color="auto"/>
            <w:right w:val="none" w:sz="0" w:space="0" w:color="auto"/>
          </w:divBdr>
        </w:div>
        <w:div w:id="174198569">
          <w:marLeft w:val="720"/>
          <w:marRight w:val="0"/>
          <w:marTop w:val="120"/>
          <w:marBottom w:val="0"/>
          <w:divBdr>
            <w:top w:val="none" w:sz="0" w:space="0" w:color="auto"/>
            <w:left w:val="none" w:sz="0" w:space="0" w:color="auto"/>
            <w:bottom w:val="none" w:sz="0" w:space="0" w:color="auto"/>
            <w:right w:val="none" w:sz="0" w:space="0" w:color="auto"/>
          </w:divBdr>
        </w:div>
      </w:divsChild>
    </w:div>
    <w:div w:id="856190840">
      <w:bodyDiv w:val="1"/>
      <w:marLeft w:val="0"/>
      <w:marRight w:val="0"/>
      <w:marTop w:val="0"/>
      <w:marBottom w:val="0"/>
      <w:divBdr>
        <w:top w:val="none" w:sz="0" w:space="0" w:color="auto"/>
        <w:left w:val="none" w:sz="0" w:space="0" w:color="auto"/>
        <w:bottom w:val="none" w:sz="0" w:space="0" w:color="auto"/>
        <w:right w:val="none" w:sz="0" w:space="0" w:color="auto"/>
      </w:divBdr>
    </w:div>
    <w:div w:id="866256206">
      <w:bodyDiv w:val="1"/>
      <w:marLeft w:val="0"/>
      <w:marRight w:val="0"/>
      <w:marTop w:val="0"/>
      <w:marBottom w:val="0"/>
      <w:divBdr>
        <w:top w:val="none" w:sz="0" w:space="0" w:color="auto"/>
        <w:left w:val="none" w:sz="0" w:space="0" w:color="auto"/>
        <w:bottom w:val="none" w:sz="0" w:space="0" w:color="auto"/>
        <w:right w:val="none" w:sz="0" w:space="0" w:color="auto"/>
      </w:divBdr>
    </w:div>
    <w:div w:id="878665703">
      <w:bodyDiv w:val="1"/>
      <w:marLeft w:val="0"/>
      <w:marRight w:val="0"/>
      <w:marTop w:val="0"/>
      <w:marBottom w:val="0"/>
      <w:divBdr>
        <w:top w:val="none" w:sz="0" w:space="0" w:color="auto"/>
        <w:left w:val="none" w:sz="0" w:space="0" w:color="auto"/>
        <w:bottom w:val="none" w:sz="0" w:space="0" w:color="auto"/>
        <w:right w:val="none" w:sz="0" w:space="0" w:color="auto"/>
      </w:divBdr>
    </w:div>
    <w:div w:id="884871401">
      <w:bodyDiv w:val="1"/>
      <w:marLeft w:val="0"/>
      <w:marRight w:val="0"/>
      <w:marTop w:val="0"/>
      <w:marBottom w:val="0"/>
      <w:divBdr>
        <w:top w:val="none" w:sz="0" w:space="0" w:color="auto"/>
        <w:left w:val="none" w:sz="0" w:space="0" w:color="auto"/>
        <w:bottom w:val="none" w:sz="0" w:space="0" w:color="auto"/>
        <w:right w:val="none" w:sz="0" w:space="0" w:color="auto"/>
      </w:divBdr>
    </w:div>
    <w:div w:id="925650460">
      <w:bodyDiv w:val="1"/>
      <w:marLeft w:val="0"/>
      <w:marRight w:val="0"/>
      <w:marTop w:val="0"/>
      <w:marBottom w:val="0"/>
      <w:divBdr>
        <w:top w:val="none" w:sz="0" w:space="0" w:color="auto"/>
        <w:left w:val="none" w:sz="0" w:space="0" w:color="auto"/>
        <w:bottom w:val="none" w:sz="0" w:space="0" w:color="auto"/>
        <w:right w:val="none" w:sz="0" w:space="0" w:color="auto"/>
      </w:divBdr>
    </w:div>
    <w:div w:id="940600512">
      <w:bodyDiv w:val="1"/>
      <w:marLeft w:val="0"/>
      <w:marRight w:val="0"/>
      <w:marTop w:val="0"/>
      <w:marBottom w:val="0"/>
      <w:divBdr>
        <w:top w:val="none" w:sz="0" w:space="0" w:color="auto"/>
        <w:left w:val="none" w:sz="0" w:space="0" w:color="auto"/>
        <w:bottom w:val="none" w:sz="0" w:space="0" w:color="auto"/>
        <w:right w:val="none" w:sz="0" w:space="0" w:color="auto"/>
      </w:divBdr>
    </w:div>
    <w:div w:id="951013879">
      <w:bodyDiv w:val="1"/>
      <w:marLeft w:val="0"/>
      <w:marRight w:val="0"/>
      <w:marTop w:val="0"/>
      <w:marBottom w:val="0"/>
      <w:divBdr>
        <w:top w:val="none" w:sz="0" w:space="0" w:color="auto"/>
        <w:left w:val="none" w:sz="0" w:space="0" w:color="auto"/>
        <w:bottom w:val="none" w:sz="0" w:space="0" w:color="auto"/>
        <w:right w:val="none" w:sz="0" w:space="0" w:color="auto"/>
      </w:divBdr>
    </w:div>
    <w:div w:id="951126729">
      <w:bodyDiv w:val="1"/>
      <w:marLeft w:val="0"/>
      <w:marRight w:val="0"/>
      <w:marTop w:val="0"/>
      <w:marBottom w:val="0"/>
      <w:divBdr>
        <w:top w:val="none" w:sz="0" w:space="0" w:color="auto"/>
        <w:left w:val="none" w:sz="0" w:space="0" w:color="auto"/>
        <w:bottom w:val="none" w:sz="0" w:space="0" w:color="auto"/>
        <w:right w:val="none" w:sz="0" w:space="0" w:color="auto"/>
      </w:divBdr>
    </w:div>
    <w:div w:id="975723059">
      <w:bodyDiv w:val="1"/>
      <w:marLeft w:val="0"/>
      <w:marRight w:val="0"/>
      <w:marTop w:val="0"/>
      <w:marBottom w:val="0"/>
      <w:divBdr>
        <w:top w:val="none" w:sz="0" w:space="0" w:color="auto"/>
        <w:left w:val="none" w:sz="0" w:space="0" w:color="auto"/>
        <w:bottom w:val="none" w:sz="0" w:space="0" w:color="auto"/>
        <w:right w:val="none" w:sz="0" w:space="0" w:color="auto"/>
      </w:divBdr>
    </w:div>
    <w:div w:id="1013187593">
      <w:bodyDiv w:val="1"/>
      <w:marLeft w:val="0"/>
      <w:marRight w:val="0"/>
      <w:marTop w:val="0"/>
      <w:marBottom w:val="0"/>
      <w:divBdr>
        <w:top w:val="none" w:sz="0" w:space="0" w:color="auto"/>
        <w:left w:val="none" w:sz="0" w:space="0" w:color="auto"/>
        <w:bottom w:val="none" w:sz="0" w:space="0" w:color="auto"/>
        <w:right w:val="none" w:sz="0" w:space="0" w:color="auto"/>
      </w:divBdr>
    </w:div>
    <w:div w:id="1021707189">
      <w:bodyDiv w:val="1"/>
      <w:marLeft w:val="0"/>
      <w:marRight w:val="0"/>
      <w:marTop w:val="0"/>
      <w:marBottom w:val="0"/>
      <w:divBdr>
        <w:top w:val="none" w:sz="0" w:space="0" w:color="auto"/>
        <w:left w:val="none" w:sz="0" w:space="0" w:color="auto"/>
        <w:bottom w:val="none" w:sz="0" w:space="0" w:color="auto"/>
        <w:right w:val="none" w:sz="0" w:space="0" w:color="auto"/>
      </w:divBdr>
    </w:div>
    <w:div w:id="1026521141">
      <w:bodyDiv w:val="1"/>
      <w:marLeft w:val="0"/>
      <w:marRight w:val="0"/>
      <w:marTop w:val="0"/>
      <w:marBottom w:val="0"/>
      <w:divBdr>
        <w:top w:val="none" w:sz="0" w:space="0" w:color="auto"/>
        <w:left w:val="none" w:sz="0" w:space="0" w:color="auto"/>
        <w:bottom w:val="none" w:sz="0" w:space="0" w:color="auto"/>
        <w:right w:val="none" w:sz="0" w:space="0" w:color="auto"/>
      </w:divBdr>
    </w:div>
    <w:div w:id="1047874482">
      <w:bodyDiv w:val="1"/>
      <w:marLeft w:val="0"/>
      <w:marRight w:val="0"/>
      <w:marTop w:val="0"/>
      <w:marBottom w:val="0"/>
      <w:divBdr>
        <w:top w:val="none" w:sz="0" w:space="0" w:color="auto"/>
        <w:left w:val="none" w:sz="0" w:space="0" w:color="auto"/>
        <w:bottom w:val="none" w:sz="0" w:space="0" w:color="auto"/>
        <w:right w:val="none" w:sz="0" w:space="0" w:color="auto"/>
      </w:divBdr>
      <w:divsChild>
        <w:div w:id="1382291410">
          <w:marLeft w:val="547"/>
          <w:marRight w:val="0"/>
          <w:marTop w:val="0"/>
          <w:marBottom w:val="0"/>
          <w:divBdr>
            <w:top w:val="none" w:sz="0" w:space="0" w:color="auto"/>
            <w:left w:val="none" w:sz="0" w:space="0" w:color="auto"/>
            <w:bottom w:val="none" w:sz="0" w:space="0" w:color="auto"/>
            <w:right w:val="none" w:sz="0" w:space="0" w:color="auto"/>
          </w:divBdr>
        </w:div>
        <w:div w:id="1937445469">
          <w:marLeft w:val="547"/>
          <w:marRight w:val="0"/>
          <w:marTop w:val="0"/>
          <w:marBottom w:val="0"/>
          <w:divBdr>
            <w:top w:val="none" w:sz="0" w:space="0" w:color="auto"/>
            <w:left w:val="none" w:sz="0" w:space="0" w:color="auto"/>
            <w:bottom w:val="none" w:sz="0" w:space="0" w:color="auto"/>
            <w:right w:val="none" w:sz="0" w:space="0" w:color="auto"/>
          </w:divBdr>
        </w:div>
        <w:div w:id="213931006">
          <w:marLeft w:val="547"/>
          <w:marRight w:val="0"/>
          <w:marTop w:val="0"/>
          <w:marBottom w:val="0"/>
          <w:divBdr>
            <w:top w:val="none" w:sz="0" w:space="0" w:color="auto"/>
            <w:left w:val="none" w:sz="0" w:space="0" w:color="auto"/>
            <w:bottom w:val="none" w:sz="0" w:space="0" w:color="auto"/>
            <w:right w:val="none" w:sz="0" w:space="0" w:color="auto"/>
          </w:divBdr>
        </w:div>
        <w:div w:id="1796362636">
          <w:marLeft w:val="547"/>
          <w:marRight w:val="0"/>
          <w:marTop w:val="0"/>
          <w:marBottom w:val="0"/>
          <w:divBdr>
            <w:top w:val="none" w:sz="0" w:space="0" w:color="auto"/>
            <w:left w:val="none" w:sz="0" w:space="0" w:color="auto"/>
            <w:bottom w:val="none" w:sz="0" w:space="0" w:color="auto"/>
            <w:right w:val="none" w:sz="0" w:space="0" w:color="auto"/>
          </w:divBdr>
        </w:div>
        <w:div w:id="1799451357">
          <w:marLeft w:val="547"/>
          <w:marRight w:val="0"/>
          <w:marTop w:val="0"/>
          <w:marBottom w:val="0"/>
          <w:divBdr>
            <w:top w:val="none" w:sz="0" w:space="0" w:color="auto"/>
            <w:left w:val="none" w:sz="0" w:space="0" w:color="auto"/>
            <w:bottom w:val="none" w:sz="0" w:space="0" w:color="auto"/>
            <w:right w:val="none" w:sz="0" w:space="0" w:color="auto"/>
          </w:divBdr>
        </w:div>
        <w:div w:id="548566486">
          <w:marLeft w:val="547"/>
          <w:marRight w:val="0"/>
          <w:marTop w:val="0"/>
          <w:marBottom w:val="0"/>
          <w:divBdr>
            <w:top w:val="none" w:sz="0" w:space="0" w:color="auto"/>
            <w:left w:val="none" w:sz="0" w:space="0" w:color="auto"/>
            <w:bottom w:val="none" w:sz="0" w:space="0" w:color="auto"/>
            <w:right w:val="none" w:sz="0" w:space="0" w:color="auto"/>
          </w:divBdr>
        </w:div>
      </w:divsChild>
    </w:div>
    <w:div w:id="1082023116">
      <w:bodyDiv w:val="1"/>
      <w:marLeft w:val="0"/>
      <w:marRight w:val="0"/>
      <w:marTop w:val="0"/>
      <w:marBottom w:val="0"/>
      <w:divBdr>
        <w:top w:val="none" w:sz="0" w:space="0" w:color="auto"/>
        <w:left w:val="none" w:sz="0" w:space="0" w:color="auto"/>
        <w:bottom w:val="none" w:sz="0" w:space="0" w:color="auto"/>
        <w:right w:val="none" w:sz="0" w:space="0" w:color="auto"/>
      </w:divBdr>
      <w:divsChild>
        <w:div w:id="1498574081">
          <w:marLeft w:val="360"/>
          <w:marRight w:val="0"/>
          <w:marTop w:val="120"/>
          <w:marBottom w:val="120"/>
          <w:divBdr>
            <w:top w:val="none" w:sz="0" w:space="0" w:color="auto"/>
            <w:left w:val="none" w:sz="0" w:space="0" w:color="auto"/>
            <w:bottom w:val="none" w:sz="0" w:space="0" w:color="auto"/>
            <w:right w:val="none" w:sz="0" w:space="0" w:color="auto"/>
          </w:divBdr>
        </w:div>
        <w:div w:id="1350793226">
          <w:marLeft w:val="360"/>
          <w:marRight w:val="0"/>
          <w:marTop w:val="120"/>
          <w:marBottom w:val="120"/>
          <w:divBdr>
            <w:top w:val="none" w:sz="0" w:space="0" w:color="auto"/>
            <w:left w:val="none" w:sz="0" w:space="0" w:color="auto"/>
            <w:bottom w:val="none" w:sz="0" w:space="0" w:color="auto"/>
            <w:right w:val="none" w:sz="0" w:space="0" w:color="auto"/>
          </w:divBdr>
        </w:div>
        <w:div w:id="2060930356">
          <w:marLeft w:val="360"/>
          <w:marRight w:val="0"/>
          <w:marTop w:val="120"/>
          <w:marBottom w:val="120"/>
          <w:divBdr>
            <w:top w:val="none" w:sz="0" w:space="0" w:color="auto"/>
            <w:left w:val="none" w:sz="0" w:space="0" w:color="auto"/>
            <w:bottom w:val="none" w:sz="0" w:space="0" w:color="auto"/>
            <w:right w:val="none" w:sz="0" w:space="0" w:color="auto"/>
          </w:divBdr>
        </w:div>
        <w:div w:id="564294657">
          <w:marLeft w:val="274"/>
          <w:marRight w:val="0"/>
          <w:marTop w:val="0"/>
          <w:marBottom w:val="0"/>
          <w:divBdr>
            <w:top w:val="none" w:sz="0" w:space="0" w:color="auto"/>
            <w:left w:val="none" w:sz="0" w:space="0" w:color="auto"/>
            <w:bottom w:val="none" w:sz="0" w:space="0" w:color="auto"/>
            <w:right w:val="none" w:sz="0" w:space="0" w:color="auto"/>
          </w:divBdr>
        </w:div>
        <w:div w:id="126438745">
          <w:marLeft w:val="274"/>
          <w:marRight w:val="0"/>
          <w:marTop w:val="0"/>
          <w:marBottom w:val="0"/>
          <w:divBdr>
            <w:top w:val="none" w:sz="0" w:space="0" w:color="auto"/>
            <w:left w:val="none" w:sz="0" w:space="0" w:color="auto"/>
            <w:bottom w:val="none" w:sz="0" w:space="0" w:color="auto"/>
            <w:right w:val="none" w:sz="0" w:space="0" w:color="auto"/>
          </w:divBdr>
        </w:div>
        <w:div w:id="1324698823">
          <w:marLeft w:val="274"/>
          <w:marRight w:val="0"/>
          <w:marTop w:val="0"/>
          <w:marBottom w:val="0"/>
          <w:divBdr>
            <w:top w:val="none" w:sz="0" w:space="0" w:color="auto"/>
            <w:left w:val="none" w:sz="0" w:space="0" w:color="auto"/>
            <w:bottom w:val="none" w:sz="0" w:space="0" w:color="auto"/>
            <w:right w:val="none" w:sz="0" w:space="0" w:color="auto"/>
          </w:divBdr>
        </w:div>
        <w:div w:id="1519077106">
          <w:marLeft w:val="274"/>
          <w:marRight w:val="0"/>
          <w:marTop w:val="0"/>
          <w:marBottom w:val="0"/>
          <w:divBdr>
            <w:top w:val="none" w:sz="0" w:space="0" w:color="auto"/>
            <w:left w:val="none" w:sz="0" w:space="0" w:color="auto"/>
            <w:bottom w:val="none" w:sz="0" w:space="0" w:color="auto"/>
            <w:right w:val="none" w:sz="0" w:space="0" w:color="auto"/>
          </w:divBdr>
        </w:div>
        <w:div w:id="1084304953">
          <w:marLeft w:val="547"/>
          <w:marRight w:val="0"/>
          <w:marTop w:val="0"/>
          <w:marBottom w:val="0"/>
          <w:divBdr>
            <w:top w:val="none" w:sz="0" w:space="0" w:color="auto"/>
            <w:left w:val="none" w:sz="0" w:space="0" w:color="auto"/>
            <w:bottom w:val="none" w:sz="0" w:space="0" w:color="auto"/>
            <w:right w:val="none" w:sz="0" w:space="0" w:color="auto"/>
          </w:divBdr>
        </w:div>
        <w:div w:id="568927983">
          <w:marLeft w:val="547"/>
          <w:marRight w:val="0"/>
          <w:marTop w:val="0"/>
          <w:marBottom w:val="120"/>
          <w:divBdr>
            <w:top w:val="none" w:sz="0" w:space="0" w:color="auto"/>
            <w:left w:val="none" w:sz="0" w:space="0" w:color="auto"/>
            <w:bottom w:val="none" w:sz="0" w:space="0" w:color="auto"/>
            <w:right w:val="none" w:sz="0" w:space="0" w:color="auto"/>
          </w:divBdr>
        </w:div>
        <w:div w:id="1732920996">
          <w:marLeft w:val="547"/>
          <w:marRight w:val="0"/>
          <w:marTop w:val="0"/>
          <w:marBottom w:val="120"/>
          <w:divBdr>
            <w:top w:val="none" w:sz="0" w:space="0" w:color="auto"/>
            <w:left w:val="none" w:sz="0" w:space="0" w:color="auto"/>
            <w:bottom w:val="none" w:sz="0" w:space="0" w:color="auto"/>
            <w:right w:val="none" w:sz="0" w:space="0" w:color="auto"/>
          </w:divBdr>
        </w:div>
        <w:div w:id="810638080">
          <w:marLeft w:val="547"/>
          <w:marRight w:val="0"/>
          <w:marTop w:val="0"/>
          <w:marBottom w:val="120"/>
          <w:divBdr>
            <w:top w:val="none" w:sz="0" w:space="0" w:color="auto"/>
            <w:left w:val="none" w:sz="0" w:space="0" w:color="auto"/>
            <w:bottom w:val="none" w:sz="0" w:space="0" w:color="auto"/>
            <w:right w:val="none" w:sz="0" w:space="0" w:color="auto"/>
          </w:divBdr>
        </w:div>
      </w:divsChild>
    </w:div>
    <w:div w:id="1112937555">
      <w:bodyDiv w:val="1"/>
      <w:marLeft w:val="0"/>
      <w:marRight w:val="0"/>
      <w:marTop w:val="0"/>
      <w:marBottom w:val="0"/>
      <w:divBdr>
        <w:top w:val="none" w:sz="0" w:space="0" w:color="auto"/>
        <w:left w:val="none" w:sz="0" w:space="0" w:color="auto"/>
        <w:bottom w:val="none" w:sz="0" w:space="0" w:color="auto"/>
        <w:right w:val="none" w:sz="0" w:space="0" w:color="auto"/>
      </w:divBdr>
    </w:div>
    <w:div w:id="1159492584">
      <w:bodyDiv w:val="1"/>
      <w:marLeft w:val="0"/>
      <w:marRight w:val="0"/>
      <w:marTop w:val="0"/>
      <w:marBottom w:val="0"/>
      <w:divBdr>
        <w:top w:val="none" w:sz="0" w:space="0" w:color="auto"/>
        <w:left w:val="none" w:sz="0" w:space="0" w:color="auto"/>
        <w:bottom w:val="none" w:sz="0" w:space="0" w:color="auto"/>
        <w:right w:val="none" w:sz="0" w:space="0" w:color="auto"/>
      </w:divBdr>
    </w:div>
    <w:div w:id="1286499220">
      <w:bodyDiv w:val="1"/>
      <w:marLeft w:val="0"/>
      <w:marRight w:val="0"/>
      <w:marTop w:val="0"/>
      <w:marBottom w:val="0"/>
      <w:divBdr>
        <w:top w:val="none" w:sz="0" w:space="0" w:color="auto"/>
        <w:left w:val="none" w:sz="0" w:space="0" w:color="auto"/>
        <w:bottom w:val="none" w:sz="0" w:space="0" w:color="auto"/>
        <w:right w:val="none" w:sz="0" w:space="0" w:color="auto"/>
      </w:divBdr>
    </w:div>
    <w:div w:id="1322924062">
      <w:bodyDiv w:val="1"/>
      <w:marLeft w:val="0"/>
      <w:marRight w:val="0"/>
      <w:marTop w:val="0"/>
      <w:marBottom w:val="0"/>
      <w:divBdr>
        <w:top w:val="none" w:sz="0" w:space="0" w:color="auto"/>
        <w:left w:val="none" w:sz="0" w:space="0" w:color="auto"/>
        <w:bottom w:val="none" w:sz="0" w:space="0" w:color="auto"/>
        <w:right w:val="none" w:sz="0" w:space="0" w:color="auto"/>
      </w:divBdr>
    </w:div>
    <w:div w:id="1379552485">
      <w:bodyDiv w:val="1"/>
      <w:marLeft w:val="0"/>
      <w:marRight w:val="0"/>
      <w:marTop w:val="0"/>
      <w:marBottom w:val="0"/>
      <w:divBdr>
        <w:top w:val="none" w:sz="0" w:space="0" w:color="auto"/>
        <w:left w:val="none" w:sz="0" w:space="0" w:color="auto"/>
        <w:bottom w:val="none" w:sz="0" w:space="0" w:color="auto"/>
        <w:right w:val="none" w:sz="0" w:space="0" w:color="auto"/>
      </w:divBdr>
    </w:div>
    <w:div w:id="1423645738">
      <w:bodyDiv w:val="1"/>
      <w:marLeft w:val="0"/>
      <w:marRight w:val="0"/>
      <w:marTop w:val="0"/>
      <w:marBottom w:val="0"/>
      <w:divBdr>
        <w:top w:val="none" w:sz="0" w:space="0" w:color="auto"/>
        <w:left w:val="none" w:sz="0" w:space="0" w:color="auto"/>
        <w:bottom w:val="none" w:sz="0" w:space="0" w:color="auto"/>
        <w:right w:val="none" w:sz="0" w:space="0" w:color="auto"/>
      </w:divBdr>
    </w:div>
    <w:div w:id="1424452503">
      <w:bodyDiv w:val="1"/>
      <w:marLeft w:val="0"/>
      <w:marRight w:val="0"/>
      <w:marTop w:val="0"/>
      <w:marBottom w:val="0"/>
      <w:divBdr>
        <w:top w:val="none" w:sz="0" w:space="0" w:color="auto"/>
        <w:left w:val="none" w:sz="0" w:space="0" w:color="auto"/>
        <w:bottom w:val="none" w:sz="0" w:space="0" w:color="auto"/>
        <w:right w:val="none" w:sz="0" w:space="0" w:color="auto"/>
      </w:divBdr>
    </w:div>
    <w:div w:id="1532718332">
      <w:bodyDiv w:val="1"/>
      <w:marLeft w:val="0"/>
      <w:marRight w:val="0"/>
      <w:marTop w:val="0"/>
      <w:marBottom w:val="0"/>
      <w:divBdr>
        <w:top w:val="none" w:sz="0" w:space="0" w:color="auto"/>
        <w:left w:val="none" w:sz="0" w:space="0" w:color="auto"/>
        <w:bottom w:val="none" w:sz="0" w:space="0" w:color="auto"/>
        <w:right w:val="none" w:sz="0" w:space="0" w:color="auto"/>
      </w:divBdr>
    </w:div>
    <w:div w:id="1547180366">
      <w:bodyDiv w:val="1"/>
      <w:marLeft w:val="0"/>
      <w:marRight w:val="0"/>
      <w:marTop w:val="0"/>
      <w:marBottom w:val="0"/>
      <w:divBdr>
        <w:top w:val="none" w:sz="0" w:space="0" w:color="auto"/>
        <w:left w:val="none" w:sz="0" w:space="0" w:color="auto"/>
        <w:bottom w:val="none" w:sz="0" w:space="0" w:color="auto"/>
        <w:right w:val="none" w:sz="0" w:space="0" w:color="auto"/>
      </w:divBdr>
    </w:div>
    <w:div w:id="1559245159">
      <w:bodyDiv w:val="1"/>
      <w:marLeft w:val="0"/>
      <w:marRight w:val="0"/>
      <w:marTop w:val="0"/>
      <w:marBottom w:val="0"/>
      <w:divBdr>
        <w:top w:val="none" w:sz="0" w:space="0" w:color="auto"/>
        <w:left w:val="none" w:sz="0" w:space="0" w:color="auto"/>
        <w:bottom w:val="none" w:sz="0" w:space="0" w:color="auto"/>
        <w:right w:val="none" w:sz="0" w:space="0" w:color="auto"/>
      </w:divBdr>
    </w:div>
    <w:div w:id="1741633759">
      <w:bodyDiv w:val="1"/>
      <w:marLeft w:val="0"/>
      <w:marRight w:val="0"/>
      <w:marTop w:val="0"/>
      <w:marBottom w:val="0"/>
      <w:divBdr>
        <w:top w:val="none" w:sz="0" w:space="0" w:color="auto"/>
        <w:left w:val="none" w:sz="0" w:space="0" w:color="auto"/>
        <w:bottom w:val="none" w:sz="0" w:space="0" w:color="auto"/>
        <w:right w:val="none" w:sz="0" w:space="0" w:color="auto"/>
      </w:divBdr>
    </w:div>
    <w:div w:id="1745881927">
      <w:bodyDiv w:val="1"/>
      <w:marLeft w:val="0"/>
      <w:marRight w:val="0"/>
      <w:marTop w:val="0"/>
      <w:marBottom w:val="0"/>
      <w:divBdr>
        <w:top w:val="none" w:sz="0" w:space="0" w:color="auto"/>
        <w:left w:val="none" w:sz="0" w:space="0" w:color="auto"/>
        <w:bottom w:val="none" w:sz="0" w:space="0" w:color="auto"/>
        <w:right w:val="none" w:sz="0" w:space="0" w:color="auto"/>
      </w:divBdr>
    </w:div>
    <w:div w:id="1810512178">
      <w:bodyDiv w:val="1"/>
      <w:marLeft w:val="0"/>
      <w:marRight w:val="0"/>
      <w:marTop w:val="0"/>
      <w:marBottom w:val="0"/>
      <w:divBdr>
        <w:top w:val="none" w:sz="0" w:space="0" w:color="auto"/>
        <w:left w:val="none" w:sz="0" w:space="0" w:color="auto"/>
        <w:bottom w:val="none" w:sz="0" w:space="0" w:color="auto"/>
        <w:right w:val="none" w:sz="0" w:space="0" w:color="auto"/>
      </w:divBdr>
    </w:div>
    <w:div w:id="1876044570">
      <w:bodyDiv w:val="1"/>
      <w:marLeft w:val="0"/>
      <w:marRight w:val="0"/>
      <w:marTop w:val="0"/>
      <w:marBottom w:val="0"/>
      <w:divBdr>
        <w:top w:val="none" w:sz="0" w:space="0" w:color="auto"/>
        <w:left w:val="none" w:sz="0" w:space="0" w:color="auto"/>
        <w:bottom w:val="none" w:sz="0" w:space="0" w:color="auto"/>
        <w:right w:val="none" w:sz="0" w:space="0" w:color="auto"/>
      </w:divBdr>
      <w:divsChild>
        <w:div w:id="1457522416">
          <w:marLeft w:val="547"/>
          <w:marRight w:val="0"/>
          <w:marTop w:val="0"/>
          <w:marBottom w:val="0"/>
          <w:divBdr>
            <w:top w:val="none" w:sz="0" w:space="0" w:color="auto"/>
            <w:left w:val="none" w:sz="0" w:space="0" w:color="auto"/>
            <w:bottom w:val="none" w:sz="0" w:space="0" w:color="auto"/>
            <w:right w:val="none" w:sz="0" w:space="0" w:color="auto"/>
          </w:divBdr>
        </w:div>
        <w:div w:id="1783722816">
          <w:marLeft w:val="547"/>
          <w:marRight w:val="0"/>
          <w:marTop w:val="0"/>
          <w:marBottom w:val="0"/>
          <w:divBdr>
            <w:top w:val="none" w:sz="0" w:space="0" w:color="auto"/>
            <w:left w:val="none" w:sz="0" w:space="0" w:color="auto"/>
            <w:bottom w:val="none" w:sz="0" w:space="0" w:color="auto"/>
            <w:right w:val="none" w:sz="0" w:space="0" w:color="auto"/>
          </w:divBdr>
        </w:div>
        <w:div w:id="385566069">
          <w:marLeft w:val="1166"/>
          <w:marRight w:val="0"/>
          <w:marTop w:val="0"/>
          <w:marBottom w:val="0"/>
          <w:divBdr>
            <w:top w:val="none" w:sz="0" w:space="0" w:color="auto"/>
            <w:left w:val="none" w:sz="0" w:space="0" w:color="auto"/>
            <w:bottom w:val="none" w:sz="0" w:space="0" w:color="auto"/>
            <w:right w:val="none" w:sz="0" w:space="0" w:color="auto"/>
          </w:divBdr>
        </w:div>
        <w:div w:id="776145255">
          <w:marLeft w:val="1800"/>
          <w:marRight w:val="0"/>
          <w:marTop w:val="0"/>
          <w:marBottom w:val="0"/>
          <w:divBdr>
            <w:top w:val="none" w:sz="0" w:space="0" w:color="auto"/>
            <w:left w:val="none" w:sz="0" w:space="0" w:color="auto"/>
            <w:bottom w:val="none" w:sz="0" w:space="0" w:color="auto"/>
            <w:right w:val="none" w:sz="0" w:space="0" w:color="auto"/>
          </w:divBdr>
        </w:div>
        <w:div w:id="1781755494">
          <w:marLeft w:val="1800"/>
          <w:marRight w:val="0"/>
          <w:marTop w:val="0"/>
          <w:marBottom w:val="0"/>
          <w:divBdr>
            <w:top w:val="none" w:sz="0" w:space="0" w:color="auto"/>
            <w:left w:val="none" w:sz="0" w:space="0" w:color="auto"/>
            <w:bottom w:val="none" w:sz="0" w:space="0" w:color="auto"/>
            <w:right w:val="none" w:sz="0" w:space="0" w:color="auto"/>
          </w:divBdr>
        </w:div>
        <w:div w:id="991563851">
          <w:marLeft w:val="1166"/>
          <w:marRight w:val="0"/>
          <w:marTop w:val="0"/>
          <w:marBottom w:val="0"/>
          <w:divBdr>
            <w:top w:val="none" w:sz="0" w:space="0" w:color="auto"/>
            <w:left w:val="none" w:sz="0" w:space="0" w:color="auto"/>
            <w:bottom w:val="none" w:sz="0" w:space="0" w:color="auto"/>
            <w:right w:val="none" w:sz="0" w:space="0" w:color="auto"/>
          </w:divBdr>
        </w:div>
        <w:div w:id="137456898">
          <w:marLeft w:val="1800"/>
          <w:marRight w:val="0"/>
          <w:marTop w:val="0"/>
          <w:marBottom w:val="0"/>
          <w:divBdr>
            <w:top w:val="none" w:sz="0" w:space="0" w:color="auto"/>
            <w:left w:val="none" w:sz="0" w:space="0" w:color="auto"/>
            <w:bottom w:val="none" w:sz="0" w:space="0" w:color="auto"/>
            <w:right w:val="none" w:sz="0" w:space="0" w:color="auto"/>
          </w:divBdr>
        </w:div>
        <w:div w:id="1509834031">
          <w:marLeft w:val="1800"/>
          <w:marRight w:val="0"/>
          <w:marTop w:val="0"/>
          <w:marBottom w:val="0"/>
          <w:divBdr>
            <w:top w:val="none" w:sz="0" w:space="0" w:color="auto"/>
            <w:left w:val="none" w:sz="0" w:space="0" w:color="auto"/>
            <w:bottom w:val="none" w:sz="0" w:space="0" w:color="auto"/>
            <w:right w:val="none" w:sz="0" w:space="0" w:color="auto"/>
          </w:divBdr>
        </w:div>
        <w:div w:id="1483891397">
          <w:marLeft w:val="1166"/>
          <w:marRight w:val="0"/>
          <w:marTop w:val="0"/>
          <w:marBottom w:val="0"/>
          <w:divBdr>
            <w:top w:val="none" w:sz="0" w:space="0" w:color="auto"/>
            <w:left w:val="none" w:sz="0" w:space="0" w:color="auto"/>
            <w:bottom w:val="none" w:sz="0" w:space="0" w:color="auto"/>
            <w:right w:val="none" w:sz="0" w:space="0" w:color="auto"/>
          </w:divBdr>
        </w:div>
        <w:div w:id="1016422821">
          <w:marLeft w:val="1800"/>
          <w:marRight w:val="0"/>
          <w:marTop w:val="0"/>
          <w:marBottom w:val="0"/>
          <w:divBdr>
            <w:top w:val="none" w:sz="0" w:space="0" w:color="auto"/>
            <w:left w:val="none" w:sz="0" w:space="0" w:color="auto"/>
            <w:bottom w:val="none" w:sz="0" w:space="0" w:color="auto"/>
            <w:right w:val="none" w:sz="0" w:space="0" w:color="auto"/>
          </w:divBdr>
        </w:div>
        <w:div w:id="1986424109">
          <w:marLeft w:val="1800"/>
          <w:marRight w:val="0"/>
          <w:marTop w:val="0"/>
          <w:marBottom w:val="0"/>
          <w:divBdr>
            <w:top w:val="none" w:sz="0" w:space="0" w:color="auto"/>
            <w:left w:val="none" w:sz="0" w:space="0" w:color="auto"/>
            <w:bottom w:val="none" w:sz="0" w:space="0" w:color="auto"/>
            <w:right w:val="none" w:sz="0" w:space="0" w:color="auto"/>
          </w:divBdr>
        </w:div>
        <w:div w:id="1090657824">
          <w:marLeft w:val="1800"/>
          <w:marRight w:val="0"/>
          <w:marTop w:val="0"/>
          <w:marBottom w:val="0"/>
          <w:divBdr>
            <w:top w:val="none" w:sz="0" w:space="0" w:color="auto"/>
            <w:left w:val="none" w:sz="0" w:space="0" w:color="auto"/>
            <w:bottom w:val="none" w:sz="0" w:space="0" w:color="auto"/>
            <w:right w:val="none" w:sz="0" w:space="0" w:color="auto"/>
          </w:divBdr>
        </w:div>
        <w:div w:id="547762388">
          <w:marLeft w:val="547"/>
          <w:marRight w:val="0"/>
          <w:marTop w:val="0"/>
          <w:marBottom w:val="0"/>
          <w:divBdr>
            <w:top w:val="none" w:sz="0" w:space="0" w:color="auto"/>
            <w:left w:val="none" w:sz="0" w:space="0" w:color="auto"/>
            <w:bottom w:val="none" w:sz="0" w:space="0" w:color="auto"/>
            <w:right w:val="none" w:sz="0" w:space="0" w:color="auto"/>
          </w:divBdr>
        </w:div>
        <w:div w:id="2092505258">
          <w:marLeft w:val="1800"/>
          <w:marRight w:val="0"/>
          <w:marTop w:val="0"/>
          <w:marBottom w:val="0"/>
          <w:divBdr>
            <w:top w:val="none" w:sz="0" w:space="0" w:color="auto"/>
            <w:left w:val="none" w:sz="0" w:space="0" w:color="auto"/>
            <w:bottom w:val="none" w:sz="0" w:space="0" w:color="auto"/>
            <w:right w:val="none" w:sz="0" w:space="0" w:color="auto"/>
          </w:divBdr>
        </w:div>
        <w:div w:id="1475637808">
          <w:marLeft w:val="1800"/>
          <w:marRight w:val="0"/>
          <w:marTop w:val="0"/>
          <w:marBottom w:val="0"/>
          <w:divBdr>
            <w:top w:val="none" w:sz="0" w:space="0" w:color="auto"/>
            <w:left w:val="none" w:sz="0" w:space="0" w:color="auto"/>
            <w:bottom w:val="none" w:sz="0" w:space="0" w:color="auto"/>
            <w:right w:val="none" w:sz="0" w:space="0" w:color="auto"/>
          </w:divBdr>
        </w:div>
        <w:div w:id="1756710686">
          <w:marLeft w:val="1800"/>
          <w:marRight w:val="0"/>
          <w:marTop w:val="0"/>
          <w:marBottom w:val="0"/>
          <w:divBdr>
            <w:top w:val="none" w:sz="0" w:space="0" w:color="auto"/>
            <w:left w:val="none" w:sz="0" w:space="0" w:color="auto"/>
            <w:bottom w:val="none" w:sz="0" w:space="0" w:color="auto"/>
            <w:right w:val="none" w:sz="0" w:space="0" w:color="auto"/>
          </w:divBdr>
        </w:div>
      </w:divsChild>
    </w:div>
    <w:div w:id="1881820133">
      <w:bodyDiv w:val="1"/>
      <w:marLeft w:val="0"/>
      <w:marRight w:val="0"/>
      <w:marTop w:val="0"/>
      <w:marBottom w:val="0"/>
      <w:divBdr>
        <w:top w:val="none" w:sz="0" w:space="0" w:color="auto"/>
        <w:left w:val="none" w:sz="0" w:space="0" w:color="auto"/>
        <w:bottom w:val="none" w:sz="0" w:space="0" w:color="auto"/>
        <w:right w:val="none" w:sz="0" w:space="0" w:color="auto"/>
      </w:divBdr>
    </w:div>
    <w:div w:id="1903057809">
      <w:bodyDiv w:val="1"/>
      <w:marLeft w:val="0"/>
      <w:marRight w:val="0"/>
      <w:marTop w:val="0"/>
      <w:marBottom w:val="0"/>
      <w:divBdr>
        <w:top w:val="none" w:sz="0" w:space="0" w:color="auto"/>
        <w:left w:val="none" w:sz="0" w:space="0" w:color="auto"/>
        <w:bottom w:val="none" w:sz="0" w:space="0" w:color="auto"/>
        <w:right w:val="none" w:sz="0" w:space="0" w:color="auto"/>
      </w:divBdr>
    </w:div>
    <w:div w:id="1916236524">
      <w:bodyDiv w:val="1"/>
      <w:marLeft w:val="0"/>
      <w:marRight w:val="0"/>
      <w:marTop w:val="0"/>
      <w:marBottom w:val="0"/>
      <w:divBdr>
        <w:top w:val="none" w:sz="0" w:space="0" w:color="auto"/>
        <w:left w:val="none" w:sz="0" w:space="0" w:color="auto"/>
        <w:bottom w:val="none" w:sz="0" w:space="0" w:color="auto"/>
        <w:right w:val="none" w:sz="0" w:space="0" w:color="auto"/>
      </w:divBdr>
    </w:div>
    <w:div w:id="2006279671">
      <w:bodyDiv w:val="1"/>
      <w:marLeft w:val="0"/>
      <w:marRight w:val="0"/>
      <w:marTop w:val="0"/>
      <w:marBottom w:val="0"/>
      <w:divBdr>
        <w:top w:val="none" w:sz="0" w:space="0" w:color="auto"/>
        <w:left w:val="none" w:sz="0" w:space="0" w:color="auto"/>
        <w:bottom w:val="none" w:sz="0" w:space="0" w:color="auto"/>
        <w:right w:val="none" w:sz="0" w:space="0" w:color="auto"/>
      </w:divBdr>
      <w:divsChild>
        <w:div w:id="1643659578">
          <w:marLeft w:val="274"/>
          <w:marRight w:val="0"/>
          <w:marTop w:val="0"/>
          <w:marBottom w:val="0"/>
          <w:divBdr>
            <w:top w:val="none" w:sz="0" w:space="0" w:color="auto"/>
            <w:left w:val="none" w:sz="0" w:space="0" w:color="auto"/>
            <w:bottom w:val="none" w:sz="0" w:space="0" w:color="auto"/>
            <w:right w:val="none" w:sz="0" w:space="0" w:color="auto"/>
          </w:divBdr>
        </w:div>
        <w:div w:id="451630463">
          <w:marLeft w:val="274"/>
          <w:marRight w:val="0"/>
          <w:marTop w:val="0"/>
          <w:marBottom w:val="0"/>
          <w:divBdr>
            <w:top w:val="none" w:sz="0" w:space="0" w:color="auto"/>
            <w:left w:val="none" w:sz="0" w:space="0" w:color="auto"/>
            <w:bottom w:val="none" w:sz="0" w:space="0" w:color="auto"/>
            <w:right w:val="none" w:sz="0" w:space="0" w:color="auto"/>
          </w:divBdr>
        </w:div>
        <w:div w:id="1932158989">
          <w:marLeft w:val="274"/>
          <w:marRight w:val="0"/>
          <w:marTop w:val="0"/>
          <w:marBottom w:val="0"/>
          <w:divBdr>
            <w:top w:val="none" w:sz="0" w:space="0" w:color="auto"/>
            <w:left w:val="none" w:sz="0" w:space="0" w:color="auto"/>
            <w:bottom w:val="none" w:sz="0" w:space="0" w:color="auto"/>
            <w:right w:val="none" w:sz="0" w:space="0" w:color="auto"/>
          </w:divBdr>
        </w:div>
        <w:div w:id="1123882845">
          <w:marLeft w:val="274"/>
          <w:marRight w:val="0"/>
          <w:marTop w:val="0"/>
          <w:marBottom w:val="0"/>
          <w:divBdr>
            <w:top w:val="none" w:sz="0" w:space="0" w:color="auto"/>
            <w:left w:val="none" w:sz="0" w:space="0" w:color="auto"/>
            <w:bottom w:val="none" w:sz="0" w:space="0" w:color="auto"/>
            <w:right w:val="none" w:sz="0" w:space="0" w:color="auto"/>
          </w:divBdr>
        </w:div>
        <w:div w:id="354039253">
          <w:marLeft w:val="547"/>
          <w:marRight w:val="0"/>
          <w:marTop w:val="0"/>
          <w:marBottom w:val="0"/>
          <w:divBdr>
            <w:top w:val="none" w:sz="0" w:space="0" w:color="auto"/>
            <w:left w:val="none" w:sz="0" w:space="0" w:color="auto"/>
            <w:bottom w:val="none" w:sz="0" w:space="0" w:color="auto"/>
            <w:right w:val="none" w:sz="0" w:space="0" w:color="auto"/>
          </w:divBdr>
        </w:div>
        <w:div w:id="1195926178">
          <w:marLeft w:val="547"/>
          <w:marRight w:val="0"/>
          <w:marTop w:val="0"/>
          <w:marBottom w:val="120"/>
          <w:divBdr>
            <w:top w:val="none" w:sz="0" w:space="0" w:color="auto"/>
            <w:left w:val="none" w:sz="0" w:space="0" w:color="auto"/>
            <w:bottom w:val="none" w:sz="0" w:space="0" w:color="auto"/>
            <w:right w:val="none" w:sz="0" w:space="0" w:color="auto"/>
          </w:divBdr>
        </w:div>
      </w:divsChild>
    </w:div>
    <w:div w:id="2058773917">
      <w:bodyDiv w:val="1"/>
      <w:marLeft w:val="0"/>
      <w:marRight w:val="0"/>
      <w:marTop w:val="0"/>
      <w:marBottom w:val="0"/>
      <w:divBdr>
        <w:top w:val="none" w:sz="0" w:space="0" w:color="auto"/>
        <w:left w:val="none" w:sz="0" w:space="0" w:color="auto"/>
        <w:bottom w:val="none" w:sz="0" w:space="0" w:color="auto"/>
        <w:right w:val="none" w:sz="0" w:space="0" w:color="auto"/>
      </w:divBdr>
    </w:div>
    <w:div w:id="20967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Sablony\Normal_color.dotm" TargetMode="External"/></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Normal_color.dotm</Template>
  <TotalTime>41</TotalTime>
  <Pages>8</Pages>
  <Words>4573</Words>
  <Characters>26982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Implementace Exportní strategie 2023</dc:subject>
  <dc:creator>Kadlecová Jana</dc:creator>
  <cp:keywords/>
  <dc:description/>
  <cp:lastModifiedBy>Mička František</cp:lastModifiedBy>
  <cp:revision>11</cp:revision>
  <dcterms:created xsi:type="dcterms:W3CDTF">2025-06-13T12:28:00Z</dcterms:created>
  <dcterms:modified xsi:type="dcterms:W3CDTF">2025-06-19T14:15:00Z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1740205486</vt:i4>
  </property>
  <property fmtid="{D5CDD505-2E9C-101B-9397-08002B2CF9AE}" pid="3" name="MSIP_Label_b3564849-fbfc-4795-ad59-055bb350645f_Enabled">
    <vt:lpwstr>true</vt:lpwstr>
  </property>
  <property fmtid="{D5CDD505-2E9C-101B-9397-08002B2CF9AE}" pid="4" name="MSIP_Label_b3564849-fbfc-4795-ad59-055bb350645f_SetDate">
    <vt:lpwstr>2025-06-02T10:21:39Z</vt:lpwstr>
  </property>
  <property fmtid="{D5CDD505-2E9C-101B-9397-08002B2CF9AE}" pid="5" name="MSIP_Label_b3564849-fbfc-4795-ad59-055bb350645f_Method">
    <vt:lpwstr>Standard</vt:lpwstr>
  </property>
  <property fmtid="{D5CDD505-2E9C-101B-9397-08002B2CF9AE}" pid="6" name="MSIP_Label_b3564849-fbfc-4795-ad59-055bb350645f_Name">
    <vt:lpwstr>M102S01</vt:lpwstr>
  </property>
  <property fmtid="{D5CDD505-2E9C-101B-9397-08002B2CF9AE}" pid="7" name="MSIP_Label_b3564849-fbfc-4795-ad59-055bb350645f_SiteId">
    <vt:lpwstr>65154e19-ce31-44e2-97af-2480f4c17f95</vt:lpwstr>
  </property>
  <property fmtid="{D5CDD505-2E9C-101B-9397-08002B2CF9AE}" pid="8" name="MSIP_Label_b3564849-fbfc-4795-ad59-055bb350645f_ActionId">
    <vt:lpwstr>285972ff-7ebb-425a-89d6-46d9228fdb80</vt:lpwstr>
  </property>
  <property fmtid="{D5CDD505-2E9C-101B-9397-08002B2CF9AE}" pid="9" name="MSIP_Label_b3564849-fbfc-4795-ad59-055bb350645f_ContentBits">
    <vt:lpwstr>0</vt:lpwstr>
  </property>
</Properties>
</file>