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8B9A0E" w14:textId="4EF1FE20" w:rsidR="005C2A77" w:rsidRPr="00271E1A" w:rsidRDefault="003F0FD8" w:rsidP="00DE0B9C">
      <w:pPr>
        <w:jc w:val="right"/>
        <w:rPr>
          <w:rFonts w:asciiTheme="minorHAnsi" w:hAnsiTheme="minorHAnsi" w:cstheme="minorHAnsi"/>
          <w:sz w:val="22"/>
          <w:szCs w:val="22"/>
        </w:rPr>
      </w:pPr>
      <w:r w:rsidRPr="00271E1A">
        <w:rPr>
          <w:rFonts w:asciiTheme="minorHAnsi" w:hAnsiTheme="minorHAnsi" w:cstheme="minorHAnsi"/>
          <w:sz w:val="22"/>
          <w:szCs w:val="22"/>
        </w:rPr>
        <w:t xml:space="preserve">V Praze dne </w:t>
      </w:r>
      <w:r w:rsidR="00C35943">
        <w:rPr>
          <w:rFonts w:asciiTheme="minorHAnsi" w:hAnsiTheme="minorHAnsi" w:cstheme="minorHAnsi"/>
          <w:sz w:val="22"/>
          <w:szCs w:val="22"/>
        </w:rPr>
        <w:t>2</w:t>
      </w:r>
      <w:r w:rsidR="0049384B">
        <w:rPr>
          <w:rFonts w:asciiTheme="minorHAnsi" w:hAnsiTheme="minorHAnsi" w:cstheme="minorHAnsi"/>
          <w:sz w:val="22"/>
          <w:szCs w:val="22"/>
        </w:rPr>
        <w:t>5</w:t>
      </w:r>
      <w:r w:rsidR="00D7159D">
        <w:rPr>
          <w:rFonts w:asciiTheme="minorHAnsi" w:hAnsiTheme="minorHAnsi" w:cstheme="minorHAnsi"/>
          <w:sz w:val="22"/>
          <w:szCs w:val="22"/>
        </w:rPr>
        <w:t>.6</w:t>
      </w:r>
      <w:r w:rsidR="008F2695">
        <w:rPr>
          <w:rFonts w:asciiTheme="minorHAnsi" w:hAnsiTheme="minorHAnsi" w:cstheme="minorHAnsi"/>
          <w:sz w:val="22"/>
          <w:szCs w:val="22"/>
        </w:rPr>
        <w:t>.2024</w:t>
      </w:r>
    </w:p>
    <w:p w14:paraId="0DA1C77B" w14:textId="77777777" w:rsidR="005C2A77" w:rsidRPr="00271E1A" w:rsidRDefault="005C2A77" w:rsidP="005C2A77">
      <w:pPr>
        <w:jc w:val="center"/>
        <w:rPr>
          <w:rFonts w:asciiTheme="minorHAnsi" w:hAnsiTheme="minorHAnsi" w:cstheme="minorHAnsi"/>
          <w:sz w:val="22"/>
          <w:szCs w:val="22"/>
        </w:rPr>
      </w:pPr>
    </w:p>
    <w:p w14:paraId="5EDEC24F" w14:textId="4F8D2875" w:rsidR="00206637" w:rsidRPr="00743CFA" w:rsidRDefault="00C146C9" w:rsidP="00206637">
      <w:pPr>
        <w:jc w:val="center"/>
        <w:rPr>
          <w:rFonts w:asciiTheme="minorHAnsi" w:hAnsiTheme="minorHAnsi" w:cstheme="minorHAnsi"/>
          <w:caps/>
          <w:szCs w:val="22"/>
        </w:rPr>
      </w:pPr>
      <w:r w:rsidRPr="00743CFA">
        <w:rPr>
          <w:rFonts w:asciiTheme="minorHAnsi" w:hAnsiTheme="minorHAnsi" w:cstheme="minorHAnsi"/>
          <w:caps/>
          <w:szCs w:val="22"/>
        </w:rPr>
        <w:t>STANOVISKO</w:t>
      </w:r>
      <w:r w:rsidR="005C2A77" w:rsidRPr="00743CFA">
        <w:rPr>
          <w:rFonts w:asciiTheme="minorHAnsi" w:hAnsiTheme="minorHAnsi" w:cstheme="minorHAnsi"/>
          <w:caps/>
          <w:szCs w:val="22"/>
        </w:rPr>
        <w:t xml:space="preserve"> UZS ČR</w:t>
      </w:r>
    </w:p>
    <w:p w14:paraId="7555E7CB" w14:textId="77777777" w:rsidR="00206637" w:rsidRPr="00271E1A" w:rsidRDefault="00206637" w:rsidP="00206637">
      <w:pPr>
        <w:jc w:val="center"/>
        <w:rPr>
          <w:rFonts w:asciiTheme="minorHAnsi" w:hAnsiTheme="minorHAnsi" w:cstheme="minorHAnsi"/>
          <w:b/>
          <w:bCs/>
          <w:sz w:val="22"/>
          <w:szCs w:val="22"/>
        </w:rPr>
      </w:pPr>
    </w:p>
    <w:p w14:paraId="717731E3" w14:textId="14F0F237" w:rsidR="00C16E04" w:rsidRPr="00271E1A" w:rsidRDefault="00FA0649" w:rsidP="00307D49">
      <w:pPr>
        <w:pBdr>
          <w:bottom w:val="single" w:sz="4" w:space="0" w:color="auto"/>
        </w:pBdr>
        <w:autoSpaceDE w:val="0"/>
        <w:autoSpaceDN w:val="0"/>
        <w:adjustRightInd w:val="0"/>
        <w:jc w:val="center"/>
        <w:rPr>
          <w:rFonts w:asciiTheme="minorHAnsi" w:hAnsiTheme="minorHAnsi" w:cstheme="minorHAnsi"/>
          <w:b/>
          <w:bCs/>
          <w:sz w:val="22"/>
          <w:szCs w:val="22"/>
        </w:rPr>
      </w:pPr>
      <w:r>
        <w:rPr>
          <w:rFonts w:asciiTheme="minorHAnsi" w:hAnsiTheme="minorHAnsi" w:cstheme="minorHAnsi"/>
          <w:b/>
          <w:bCs/>
          <w:sz w:val="22"/>
          <w:szCs w:val="22"/>
        </w:rPr>
        <w:t xml:space="preserve">k návrhu </w:t>
      </w:r>
      <w:r w:rsidR="0049384B" w:rsidRPr="0049384B">
        <w:rPr>
          <w:rFonts w:asciiTheme="minorHAnsi" w:hAnsiTheme="minorHAnsi" w:cstheme="minorHAnsi"/>
          <w:b/>
          <w:bCs/>
          <w:sz w:val="22"/>
          <w:szCs w:val="22"/>
        </w:rPr>
        <w:t>zákona, kterým se mění některé zákony v souvislosti s přijetím zákona o účetnictví</w:t>
      </w:r>
    </w:p>
    <w:p w14:paraId="2BE57981" w14:textId="77777777" w:rsidR="0017453D" w:rsidRDefault="0017453D" w:rsidP="002E7A97">
      <w:pPr>
        <w:shd w:val="clear" w:color="auto" w:fill="FFFFFF"/>
        <w:jc w:val="both"/>
        <w:rPr>
          <w:rFonts w:asciiTheme="minorHAnsi" w:eastAsiaTheme="minorHAnsi" w:hAnsiTheme="minorHAnsi" w:cstheme="minorBidi"/>
          <w:b/>
          <w:sz w:val="22"/>
          <w:szCs w:val="22"/>
          <w:u w:val="single"/>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4"/>
        <w:gridCol w:w="850"/>
        <w:gridCol w:w="566"/>
        <w:gridCol w:w="5794"/>
        <w:gridCol w:w="4950"/>
      </w:tblGrid>
      <w:tr w:rsidR="0049384B" w:rsidRPr="0049384B" w14:paraId="3624597A" w14:textId="77777777" w:rsidTr="0049384B">
        <w:tc>
          <w:tcPr>
            <w:tcW w:w="423" w:type="pct"/>
            <w:shd w:val="clear" w:color="auto" w:fill="auto"/>
            <w:vAlign w:val="center"/>
          </w:tcPr>
          <w:p w14:paraId="7963AF1C" w14:textId="77777777" w:rsidR="0049384B" w:rsidRPr="0049384B" w:rsidRDefault="0049384B" w:rsidP="0049384B">
            <w:pPr>
              <w:jc w:val="center"/>
              <w:rPr>
                <w:lang w:eastAsia="cs-CZ"/>
              </w:rPr>
            </w:pPr>
            <w:r w:rsidRPr="0049384B">
              <w:rPr>
                <w:b/>
                <w:bCs/>
                <w:lang w:eastAsia="cs-CZ"/>
              </w:rPr>
              <w:t>Resort</w:t>
            </w:r>
          </w:p>
        </w:tc>
        <w:tc>
          <w:tcPr>
            <w:tcW w:w="320" w:type="pct"/>
            <w:shd w:val="clear" w:color="auto" w:fill="auto"/>
            <w:vAlign w:val="center"/>
          </w:tcPr>
          <w:p w14:paraId="0041BFAF" w14:textId="77777777" w:rsidR="0049384B" w:rsidRPr="0049384B" w:rsidRDefault="0049384B" w:rsidP="0049384B">
            <w:pPr>
              <w:ind w:left="-28" w:right="-58" w:firstLine="15"/>
              <w:jc w:val="center"/>
              <w:rPr>
                <w:b/>
                <w:bCs/>
                <w:lang w:eastAsia="cs-CZ"/>
              </w:rPr>
            </w:pPr>
            <w:r w:rsidRPr="0049384B">
              <w:rPr>
                <w:b/>
                <w:bCs/>
                <w:lang w:eastAsia="cs-CZ"/>
              </w:rPr>
              <w:t>Č. př.</w:t>
            </w:r>
          </w:p>
        </w:tc>
        <w:tc>
          <w:tcPr>
            <w:tcW w:w="213" w:type="pct"/>
            <w:shd w:val="clear" w:color="auto" w:fill="auto"/>
            <w:vAlign w:val="center"/>
          </w:tcPr>
          <w:p w14:paraId="75634F73" w14:textId="77777777" w:rsidR="0049384B" w:rsidRPr="0049384B" w:rsidRDefault="0049384B" w:rsidP="0049384B">
            <w:pPr>
              <w:jc w:val="center"/>
              <w:rPr>
                <w:b/>
                <w:bCs/>
                <w:lang w:eastAsia="cs-CZ"/>
              </w:rPr>
            </w:pPr>
            <w:r w:rsidRPr="0049384B">
              <w:rPr>
                <w:b/>
                <w:bCs/>
                <w:lang w:eastAsia="cs-CZ"/>
              </w:rPr>
              <w:t>Z/D</w:t>
            </w:r>
          </w:p>
        </w:tc>
        <w:tc>
          <w:tcPr>
            <w:tcW w:w="2181" w:type="pct"/>
            <w:shd w:val="clear" w:color="auto" w:fill="auto"/>
            <w:vAlign w:val="center"/>
          </w:tcPr>
          <w:p w14:paraId="7DEBD56D" w14:textId="77777777" w:rsidR="0049384B" w:rsidRPr="0049384B" w:rsidRDefault="0049384B" w:rsidP="0049384B">
            <w:pPr>
              <w:jc w:val="center"/>
              <w:rPr>
                <w:lang w:eastAsia="cs-CZ"/>
              </w:rPr>
            </w:pPr>
            <w:r w:rsidRPr="0049384B">
              <w:rPr>
                <w:b/>
                <w:bCs/>
                <w:lang w:eastAsia="cs-CZ"/>
              </w:rPr>
              <w:t>Připomínky</w:t>
            </w:r>
          </w:p>
        </w:tc>
        <w:tc>
          <w:tcPr>
            <w:tcW w:w="1863" w:type="pct"/>
            <w:shd w:val="clear" w:color="auto" w:fill="auto"/>
            <w:vAlign w:val="center"/>
          </w:tcPr>
          <w:p w14:paraId="5B67BF57" w14:textId="77777777" w:rsidR="0049384B" w:rsidRPr="0049384B" w:rsidRDefault="0049384B" w:rsidP="0049384B">
            <w:pPr>
              <w:jc w:val="center"/>
              <w:rPr>
                <w:lang w:eastAsia="cs-CZ"/>
              </w:rPr>
            </w:pPr>
            <w:r w:rsidRPr="0049384B">
              <w:rPr>
                <w:b/>
                <w:bCs/>
                <w:lang w:eastAsia="cs-CZ"/>
              </w:rPr>
              <w:t>Vypořádání</w:t>
            </w:r>
          </w:p>
        </w:tc>
      </w:tr>
      <w:tr w:rsidR="0049384B" w:rsidRPr="0049384B" w14:paraId="32C40D41" w14:textId="77777777" w:rsidTr="0049384B">
        <w:trPr>
          <w:trHeight w:val="513"/>
        </w:trPr>
        <w:tc>
          <w:tcPr>
            <w:tcW w:w="423" w:type="pct"/>
            <w:tcBorders>
              <w:top w:val="single" w:sz="4" w:space="0" w:color="auto"/>
              <w:left w:val="single" w:sz="4" w:space="0" w:color="auto"/>
              <w:bottom w:val="single" w:sz="4" w:space="0" w:color="auto"/>
              <w:right w:val="single" w:sz="4" w:space="0" w:color="auto"/>
            </w:tcBorders>
            <w:shd w:val="clear" w:color="auto" w:fill="auto"/>
          </w:tcPr>
          <w:p w14:paraId="2B89743D" w14:textId="77777777" w:rsidR="0049384B" w:rsidRPr="0049384B" w:rsidRDefault="0049384B" w:rsidP="0049384B">
            <w:pPr>
              <w:jc w:val="center"/>
              <w:rPr>
                <w:color w:val="0000FF"/>
                <w:sz w:val="20"/>
                <w:szCs w:val="20"/>
                <w:lang w:eastAsia="cs-CZ"/>
              </w:rPr>
            </w:pPr>
            <w:r w:rsidRPr="0049384B">
              <w:rPr>
                <w:sz w:val="20"/>
                <w:szCs w:val="20"/>
                <w:lang w:eastAsia="cs-CZ"/>
              </w:rPr>
              <w:t>UZS ČR</w:t>
            </w: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533D169C" w14:textId="77777777" w:rsidR="0049384B" w:rsidRPr="0049384B" w:rsidRDefault="0049384B" w:rsidP="0049384B">
            <w:pPr>
              <w:jc w:val="center"/>
              <w:rPr>
                <w:sz w:val="20"/>
                <w:szCs w:val="20"/>
                <w:lang w:eastAsia="cs-CZ"/>
              </w:rPr>
            </w:pPr>
            <w:r w:rsidRPr="0049384B">
              <w:rPr>
                <w:sz w:val="20"/>
                <w:szCs w:val="20"/>
                <w:lang w:eastAsia="cs-CZ"/>
              </w:rPr>
              <w:t>1.</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69993F54" w14:textId="77777777" w:rsidR="0049384B" w:rsidRPr="0049384B" w:rsidRDefault="0049384B" w:rsidP="0049384B">
            <w:pPr>
              <w:jc w:val="center"/>
              <w:rPr>
                <w:sz w:val="20"/>
                <w:szCs w:val="20"/>
                <w:lang w:eastAsia="cs-CZ"/>
              </w:rPr>
            </w:pPr>
            <w:r w:rsidRPr="0049384B">
              <w:rPr>
                <w:sz w:val="20"/>
                <w:szCs w:val="20"/>
                <w:lang w:eastAsia="cs-CZ"/>
              </w:rPr>
              <w:t>Z</w:t>
            </w:r>
          </w:p>
        </w:tc>
        <w:tc>
          <w:tcPr>
            <w:tcW w:w="2181" w:type="pct"/>
            <w:tcBorders>
              <w:top w:val="single" w:sz="4" w:space="0" w:color="auto"/>
              <w:left w:val="single" w:sz="4" w:space="0" w:color="auto"/>
              <w:bottom w:val="single" w:sz="4" w:space="0" w:color="auto"/>
              <w:right w:val="single" w:sz="4" w:space="0" w:color="auto"/>
            </w:tcBorders>
            <w:shd w:val="clear" w:color="auto" w:fill="auto"/>
          </w:tcPr>
          <w:p w14:paraId="371F5F7E" w14:textId="77777777" w:rsidR="0049384B" w:rsidRPr="0049384B" w:rsidRDefault="0049384B" w:rsidP="0049384B">
            <w:pPr>
              <w:tabs>
                <w:tab w:val="num" w:pos="585"/>
              </w:tabs>
              <w:overflowPunct w:val="0"/>
              <w:autoSpaceDE w:val="0"/>
              <w:autoSpaceDN w:val="0"/>
              <w:adjustRightInd w:val="0"/>
              <w:spacing w:after="120"/>
              <w:ind w:left="340" w:hanging="340"/>
              <w:jc w:val="both"/>
              <w:rPr>
                <w:b/>
                <w:sz w:val="20"/>
                <w:szCs w:val="20"/>
                <w:lang w:eastAsia="cs-CZ"/>
              </w:rPr>
            </w:pPr>
            <w:r w:rsidRPr="0049384B">
              <w:rPr>
                <w:b/>
                <w:sz w:val="20"/>
                <w:szCs w:val="20"/>
                <w:lang w:eastAsia="cs-CZ"/>
              </w:rPr>
              <w:t>K návrhu obecně</w:t>
            </w:r>
          </w:p>
          <w:p w14:paraId="499F46C8" w14:textId="77777777" w:rsidR="0049384B" w:rsidRPr="0049384B" w:rsidRDefault="0049384B" w:rsidP="0049384B">
            <w:pPr>
              <w:overflowPunct w:val="0"/>
              <w:autoSpaceDE w:val="0"/>
              <w:autoSpaceDN w:val="0"/>
              <w:adjustRightInd w:val="0"/>
              <w:spacing w:after="120"/>
              <w:jc w:val="both"/>
              <w:rPr>
                <w:sz w:val="20"/>
                <w:szCs w:val="20"/>
                <w:lang w:eastAsia="cs-CZ"/>
              </w:rPr>
            </w:pPr>
            <w:r w:rsidRPr="0049384B">
              <w:rPr>
                <w:sz w:val="20"/>
                <w:szCs w:val="20"/>
                <w:lang w:eastAsia="cs-CZ"/>
              </w:rPr>
              <w:t>Předložený návrh je velmi obsáhlou matérií s velkým množstvím nejen věcných změn, ale také změn v definicích jednotlivých kategorií. Oceňujeme možnost seznámit se s finálními výstupy z činnosti pracovní skupiny zřízené při MFČR k přípravě změn v zákoně o daních z příjmů umožňujících využití výsledku hospodaření zjištěného v účetnictví vedeném za použití mezinárodních účetních standardů. Těší nás, že k této změně dochází koordinovaně se změnou v zákoně o účetnictví a vítáme i snahu o modernizaci zákona o daních z příjmů.</w:t>
            </w:r>
          </w:p>
          <w:p w14:paraId="7E6B309B" w14:textId="77777777" w:rsidR="0049384B" w:rsidRPr="0049384B" w:rsidRDefault="0049384B" w:rsidP="0049384B">
            <w:pPr>
              <w:overflowPunct w:val="0"/>
              <w:autoSpaceDE w:val="0"/>
              <w:autoSpaceDN w:val="0"/>
              <w:adjustRightInd w:val="0"/>
              <w:spacing w:after="120"/>
              <w:ind w:left="340" w:hanging="340"/>
              <w:jc w:val="both"/>
              <w:rPr>
                <w:sz w:val="20"/>
                <w:szCs w:val="20"/>
                <w:lang w:eastAsia="cs-CZ"/>
              </w:rPr>
            </w:pPr>
            <w:r w:rsidRPr="0049384B">
              <w:rPr>
                <w:sz w:val="20"/>
                <w:szCs w:val="20"/>
                <w:lang w:eastAsia="cs-CZ"/>
              </w:rPr>
              <w:t xml:space="preserve">K návrhu však sdělujeme naše obecné, avšak </w:t>
            </w:r>
            <w:r w:rsidRPr="0049384B">
              <w:rPr>
                <w:sz w:val="20"/>
                <w:szCs w:val="20"/>
                <w:u w:val="single"/>
                <w:lang w:eastAsia="cs-CZ"/>
              </w:rPr>
              <w:t>zásadní</w:t>
            </w:r>
            <w:r w:rsidRPr="0049384B">
              <w:rPr>
                <w:sz w:val="20"/>
                <w:szCs w:val="20"/>
                <w:lang w:eastAsia="cs-CZ"/>
              </w:rPr>
              <w:t xml:space="preserve"> připomínky:</w:t>
            </w:r>
          </w:p>
          <w:p w14:paraId="7134B539" w14:textId="77777777" w:rsidR="0049384B" w:rsidRPr="0049384B" w:rsidRDefault="0049384B" w:rsidP="0049384B">
            <w:pPr>
              <w:overflowPunct w:val="0"/>
              <w:autoSpaceDE w:val="0"/>
              <w:autoSpaceDN w:val="0"/>
              <w:adjustRightInd w:val="0"/>
              <w:spacing w:after="120"/>
              <w:jc w:val="both"/>
              <w:rPr>
                <w:sz w:val="20"/>
                <w:szCs w:val="20"/>
                <w:lang w:eastAsia="cs-CZ"/>
              </w:rPr>
            </w:pPr>
            <w:r w:rsidRPr="0049384B">
              <w:rPr>
                <w:sz w:val="20"/>
                <w:szCs w:val="20"/>
                <w:lang w:eastAsia="cs-CZ"/>
              </w:rPr>
              <w:t>1. Stejně jako u zákona o účetnictví, i zde musíme poukázat na problémy, které způsobuje fakt, že pobočky (v našem případě konkrétně pobočky pojišťoven z členských států EU a pobočky pojišťoven z jiných států) nejsou účetními jednotkami. Domníváme se, že by bylo rozumné, aby zákon o účetnictví obsahoval konstrukci pro subjekty, jejichž činnost je regulována zvláštním zákonem (např. zákonem o pojišťovnictví), aby se mohly rozhodnout podřídit přiměřeně ustanovením vztahujícím se na účetní jednotky jejichž činnost se řídí týmž zvláštním zákonem.</w:t>
            </w:r>
          </w:p>
          <w:p w14:paraId="0E1942EC" w14:textId="77777777" w:rsidR="0049384B" w:rsidRPr="0049384B" w:rsidRDefault="0049384B" w:rsidP="0049384B">
            <w:pPr>
              <w:overflowPunct w:val="0"/>
              <w:autoSpaceDE w:val="0"/>
              <w:autoSpaceDN w:val="0"/>
              <w:adjustRightInd w:val="0"/>
              <w:spacing w:after="120"/>
              <w:jc w:val="both"/>
              <w:rPr>
                <w:sz w:val="20"/>
                <w:szCs w:val="20"/>
                <w:lang w:eastAsia="cs-CZ"/>
              </w:rPr>
            </w:pPr>
            <w:r w:rsidRPr="0049384B">
              <w:rPr>
                <w:sz w:val="20"/>
                <w:szCs w:val="20"/>
                <w:lang w:eastAsia="cs-CZ"/>
              </w:rPr>
              <w:t xml:space="preserve">2. </w:t>
            </w:r>
            <w:bookmarkStart w:id="0" w:name="_Hlk169772891"/>
            <w:r w:rsidRPr="0049384B">
              <w:rPr>
                <w:sz w:val="20"/>
                <w:szCs w:val="20"/>
                <w:lang w:eastAsia="cs-CZ"/>
              </w:rPr>
              <w:t xml:space="preserve">Opětovně musíme upozornit na to, že účinnost přechodu na mezinárodní účetní předpisy by měla být nastavena tak, aby reflektovala požadavky IFRS 1, včetně zohlednění komplexnosti požadavků některých mezinárodních standardů (zejména IFRS 9 a </w:t>
            </w:r>
            <w:r w:rsidRPr="0049384B">
              <w:rPr>
                <w:sz w:val="20"/>
                <w:szCs w:val="20"/>
                <w:lang w:eastAsia="cs-CZ"/>
              </w:rPr>
              <w:lastRenderedPageBreak/>
              <w:t>IFRS 17). Je technicky neproveditelné provést tzv. první aplikaci („</w:t>
            </w:r>
            <w:proofErr w:type="spellStart"/>
            <w:r w:rsidRPr="0049384B">
              <w:rPr>
                <w:sz w:val="20"/>
                <w:szCs w:val="20"/>
                <w:lang w:eastAsia="cs-CZ"/>
              </w:rPr>
              <w:t>first</w:t>
            </w:r>
            <w:proofErr w:type="spellEnd"/>
            <w:r w:rsidRPr="0049384B">
              <w:rPr>
                <w:sz w:val="20"/>
                <w:szCs w:val="20"/>
                <w:lang w:eastAsia="cs-CZ"/>
              </w:rPr>
              <w:t xml:space="preserve"> </w:t>
            </w:r>
            <w:proofErr w:type="spellStart"/>
            <w:r w:rsidRPr="0049384B">
              <w:rPr>
                <w:sz w:val="20"/>
                <w:szCs w:val="20"/>
                <w:lang w:eastAsia="cs-CZ"/>
              </w:rPr>
              <w:t>adoption</w:t>
            </w:r>
            <w:proofErr w:type="spellEnd"/>
            <w:r w:rsidRPr="0049384B">
              <w:rPr>
                <w:sz w:val="20"/>
                <w:szCs w:val="20"/>
                <w:lang w:eastAsia="cs-CZ"/>
              </w:rPr>
              <w:t>“) mezinárodních účetních standardů, aniž by datu přechodu (počáteční rozvahové datum neboli počátek prvního účetního období, ve kterém účetní jednotka účtuje/vykazuje podle mezinárodních účetních standardů) bezprostředně předcházelo nejméně jedno celé účetní období (tzv. srovnatelné období). Tzn. že povinnost přejít na vykazování podle mezinárodních účetních standardů, která je dána výhradně touto novelizací zákona, by měla být nastavena tak, aby dotčená účetní jednotka přešla na vykazování podle mezinárodních účetních standardů nejpozději k počátku účetního období bezprostředně následujícího po účetním období počínajícím po datu nabytí účinnosti novely zákona o účetnictví. Tato změna nemá vliv na navrhované změny v zákoně o daních z příjmů ani na datum počátku jejich účinnosti (již nyní jsou účetní jednotky, které podle mezinárodních účetních standardů vykazují</w:t>
            </w:r>
            <w:bookmarkEnd w:id="0"/>
            <w:r w:rsidRPr="0049384B">
              <w:rPr>
                <w:sz w:val="20"/>
                <w:szCs w:val="20"/>
                <w:lang w:eastAsia="cs-CZ"/>
              </w:rPr>
              <w:t>).</w:t>
            </w:r>
          </w:p>
          <w:p w14:paraId="7A290AE8" w14:textId="77777777" w:rsidR="0049384B" w:rsidRPr="0049384B" w:rsidRDefault="0049384B" w:rsidP="0049384B">
            <w:pPr>
              <w:overflowPunct w:val="0"/>
              <w:autoSpaceDE w:val="0"/>
              <w:autoSpaceDN w:val="0"/>
              <w:adjustRightInd w:val="0"/>
              <w:spacing w:after="120"/>
              <w:jc w:val="both"/>
              <w:rPr>
                <w:sz w:val="20"/>
                <w:szCs w:val="20"/>
                <w:lang w:eastAsia="cs-CZ"/>
              </w:rPr>
            </w:pPr>
            <w:r w:rsidRPr="0049384B">
              <w:rPr>
                <w:sz w:val="20"/>
                <w:szCs w:val="20"/>
                <w:lang w:eastAsia="cs-CZ"/>
              </w:rPr>
              <w:t xml:space="preserve">3. </w:t>
            </w:r>
            <w:bookmarkStart w:id="1" w:name="_Hlk169773046"/>
            <w:r w:rsidRPr="0049384B">
              <w:rPr>
                <w:sz w:val="20"/>
                <w:szCs w:val="20"/>
                <w:lang w:eastAsia="cs-CZ"/>
              </w:rPr>
              <w:t>Navržené znění může vést k zásadním negativním daňovým dopadům v pojišťovnách při přechodu na novou metodu</w:t>
            </w:r>
            <w:bookmarkEnd w:id="1"/>
            <w:r w:rsidRPr="0049384B">
              <w:rPr>
                <w:sz w:val="20"/>
                <w:szCs w:val="20"/>
                <w:lang w:eastAsia="cs-CZ"/>
              </w:rPr>
              <w:t>:</w:t>
            </w:r>
          </w:p>
          <w:p w14:paraId="139468CF" w14:textId="77777777" w:rsidR="0049384B" w:rsidRPr="0049384B" w:rsidRDefault="0049384B" w:rsidP="0049384B">
            <w:pPr>
              <w:overflowPunct w:val="0"/>
              <w:autoSpaceDE w:val="0"/>
              <w:autoSpaceDN w:val="0"/>
              <w:adjustRightInd w:val="0"/>
              <w:spacing w:after="120"/>
              <w:ind w:left="340" w:hanging="340"/>
              <w:jc w:val="both"/>
              <w:rPr>
                <w:sz w:val="20"/>
                <w:szCs w:val="20"/>
                <w:lang w:eastAsia="cs-CZ"/>
              </w:rPr>
            </w:pPr>
            <w:r w:rsidRPr="0049384B">
              <w:rPr>
                <w:sz w:val="20"/>
                <w:szCs w:val="20"/>
                <w:lang w:eastAsia="cs-CZ"/>
              </w:rPr>
              <w:t>a.</w:t>
            </w:r>
            <w:r w:rsidRPr="0049384B">
              <w:rPr>
                <w:sz w:val="20"/>
                <w:szCs w:val="20"/>
                <w:lang w:eastAsia="cs-CZ"/>
              </w:rPr>
              <w:tab/>
            </w:r>
            <w:bookmarkStart w:id="2" w:name="_Hlk169773059"/>
            <w:r w:rsidRPr="0049384B">
              <w:rPr>
                <w:sz w:val="20"/>
                <w:szCs w:val="20"/>
                <w:lang w:eastAsia="cs-CZ"/>
              </w:rPr>
              <w:t xml:space="preserve">Dle současné metody jsou (zjednodušeně) zaúčtované CAS rezervy nedaňové (tvorba neuznatelná, rozpouštění nezdanitelné); základ daně ovlivňují pohyby regulatorních </w:t>
            </w:r>
            <w:proofErr w:type="spellStart"/>
            <w:r w:rsidRPr="0049384B">
              <w:rPr>
                <w:sz w:val="20"/>
                <w:szCs w:val="20"/>
                <w:lang w:eastAsia="cs-CZ"/>
              </w:rPr>
              <w:t>Solvency</w:t>
            </w:r>
            <w:proofErr w:type="spellEnd"/>
            <w:r w:rsidRPr="0049384B">
              <w:rPr>
                <w:sz w:val="20"/>
                <w:szCs w:val="20"/>
                <w:lang w:eastAsia="cs-CZ"/>
              </w:rPr>
              <w:t xml:space="preserve"> 2 rezerv; protože CAS rezervy jsou vyšší než </w:t>
            </w:r>
            <w:proofErr w:type="spellStart"/>
            <w:r w:rsidRPr="0049384B">
              <w:rPr>
                <w:sz w:val="20"/>
                <w:szCs w:val="20"/>
                <w:lang w:eastAsia="cs-CZ"/>
              </w:rPr>
              <w:t>Solvency</w:t>
            </w:r>
            <w:proofErr w:type="spellEnd"/>
            <w:r w:rsidRPr="0049384B">
              <w:rPr>
                <w:sz w:val="20"/>
                <w:szCs w:val="20"/>
                <w:lang w:eastAsia="cs-CZ"/>
              </w:rPr>
              <w:t xml:space="preserve"> 2 rezervy, pojišťovny v minulosti tento dočasný rozdíl mezi nimi dodanily a budoucí odstranění rozdílu by naopak mělo snížit základ daně. V pojišťovnách jde o materiální částky</w:t>
            </w:r>
            <w:bookmarkEnd w:id="2"/>
            <w:r w:rsidRPr="0049384B">
              <w:rPr>
                <w:sz w:val="20"/>
                <w:szCs w:val="20"/>
                <w:lang w:eastAsia="cs-CZ"/>
              </w:rPr>
              <w:t>.</w:t>
            </w:r>
          </w:p>
          <w:p w14:paraId="3F8590DC" w14:textId="77777777" w:rsidR="0049384B" w:rsidRPr="0049384B" w:rsidRDefault="0049384B" w:rsidP="0049384B">
            <w:pPr>
              <w:overflowPunct w:val="0"/>
              <w:autoSpaceDE w:val="0"/>
              <w:autoSpaceDN w:val="0"/>
              <w:adjustRightInd w:val="0"/>
              <w:spacing w:after="120"/>
              <w:ind w:left="340" w:hanging="340"/>
              <w:jc w:val="both"/>
              <w:rPr>
                <w:sz w:val="20"/>
                <w:szCs w:val="20"/>
                <w:lang w:eastAsia="cs-CZ"/>
              </w:rPr>
            </w:pPr>
            <w:r w:rsidRPr="0049384B">
              <w:rPr>
                <w:sz w:val="20"/>
                <w:szCs w:val="20"/>
                <w:lang w:eastAsia="cs-CZ"/>
              </w:rPr>
              <w:t>b.</w:t>
            </w:r>
            <w:r w:rsidRPr="0049384B">
              <w:rPr>
                <w:sz w:val="20"/>
                <w:szCs w:val="20"/>
                <w:lang w:eastAsia="cs-CZ"/>
              </w:rPr>
              <w:tab/>
            </w:r>
            <w:bookmarkStart w:id="3" w:name="_Hlk169773068"/>
            <w:r w:rsidRPr="0049384B">
              <w:rPr>
                <w:sz w:val="20"/>
                <w:szCs w:val="20"/>
                <w:lang w:eastAsia="cs-CZ"/>
              </w:rPr>
              <w:t>Přechodem na IFRS však CAS rezervy zmizí (zjednodušeně se mimo P/L konvertují do závazků) a nedojde tak už nikdy k jejich nezdanitelnému rozpuštění. Protože jde o permanentní rozdíl vyplývající z přechodu na IFRS, měl by být zneutralizován ustanoveními na změnu metody. Dle našeho názoru však tato ustanovení v novele nejsou dostatečně široká a tento případ zřejmě nepodchycují</w:t>
            </w:r>
            <w:bookmarkEnd w:id="3"/>
            <w:r w:rsidRPr="0049384B">
              <w:rPr>
                <w:sz w:val="20"/>
                <w:szCs w:val="20"/>
                <w:lang w:eastAsia="cs-CZ"/>
              </w:rPr>
              <w:t>.</w:t>
            </w:r>
          </w:p>
          <w:p w14:paraId="02132297" w14:textId="77777777" w:rsidR="0049384B" w:rsidRPr="0049384B" w:rsidRDefault="0049384B" w:rsidP="0049384B">
            <w:pPr>
              <w:overflowPunct w:val="0"/>
              <w:autoSpaceDE w:val="0"/>
              <w:autoSpaceDN w:val="0"/>
              <w:adjustRightInd w:val="0"/>
              <w:spacing w:after="120"/>
              <w:ind w:left="340" w:hanging="340"/>
              <w:jc w:val="both"/>
              <w:rPr>
                <w:sz w:val="20"/>
                <w:szCs w:val="20"/>
                <w:lang w:eastAsia="cs-CZ"/>
              </w:rPr>
            </w:pPr>
            <w:r w:rsidRPr="0049384B">
              <w:rPr>
                <w:sz w:val="20"/>
                <w:szCs w:val="20"/>
                <w:lang w:eastAsia="cs-CZ"/>
              </w:rPr>
              <w:lastRenderedPageBreak/>
              <w:t>c.</w:t>
            </w:r>
            <w:r w:rsidRPr="0049384B">
              <w:rPr>
                <w:sz w:val="20"/>
                <w:szCs w:val="20"/>
                <w:lang w:eastAsia="cs-CZ"/>
              </w:rPr>
              <w:tab/>
            </w:r>
            <w:bookmarkStart w:id="4" w:name="_Hlk169773080"/>
            <w:r w:rsidRPr="0049384B">
              <w:rPr>
                <w:sz w:val="20"/>
                <w:szCs w:val="20"/>
                <w:lang w:eastAsia="cs-CZ"/>
              </w:rPr>
              <w:t>Navrhujeme proto návrh upravit tak, aby k tomuto problému nedocházelo a přechod byl daňově neutrální (což, jak rozumíme, je obecný záměr MF)</w:t>
            </w:r>
            <w:bookmarkEnd w:id="4"/>
            <w:r w:rsidRPr="0049384B">
              <w:rPr>
                <w:sz w:val="20"/>
                <w:szCs w:val="20"/>
                <w:lang w:eastAsia="cs-CZ"/>
              </w:rPr>
              <w:t>.</w:t>
            </w:r>
          </w:p>
          <w:p w14:paraId="3322A617" w14:textId="77777777" w:rsidR="0049384B" w:rsidRPr="0049384B" w:rsidRDefault="0049384B" w:rsidP="0049384B">
            <w:pPr>
              <w:overflowPunct w:val="0"/>
              <w:autoSpaceDE w:val="0"/>
              <w:autoSpaceDN w:val="0"/>
              <w:adjustRightInd w:val="0"/>
              <w:spacing w:after="120"/>
              <w:ind w:left="340" w:hanging="340"/>
              <w:jc w:val="both"/>
              <w:rPr>
                <w:sz w:val="20"/>
                <w:szCs w:val="20"/>
                <w:lang w:eastAsia="cs-CZ"/>
              </w:rPr>
            </w:pPr>
            <w:r w:rsidRPr="0049384B">
              <w:rPr>
                <w:sz w:val="20"/>
                <w:szCs w:val="20"/>
                <w:lang w:eastAsia="cs-CZ"/>
              </w:rPr>
              <w:t>d.</w:t>
            </w:r>
            <w:r w:rsidRPr="0049384B">
              <w:rPr>
                <w:sz w:val="20"/>
                <w:szCs w:val="20"/>
                <w:lang w:eastAsia="cs-CZ"/>
              </w:rPr>
              <w:tab/>
            </w:r>
            <w:bookmarkStart w:id="5" w:name="_Hlk169773090"/>
            <w:r w:rsidRPr="0049384B">
              <w:rPr>
                <w:sz w:val="20"/>
                <w:szCs w:val="20"/>
                <w:lang w:eastAsia="cs-CZ"/>
              </w:rPr>
              <w:t xml:space="preserve">Současně navrhujeme, aby došlo i k odstranění ovlivňování základu daně </w:t>
            </w:r>
            <w:proofErr w:type="spellStart"/>
            <w:r w:rsidRPr="0049384B">
              <w:rPr>
                <w:sz w:val="20"/>
                <w:szCs w:val="20"/>
                <w:lang w:eastAsia="cs-CZ"/>
              </w:rPr>
              <w:t>Solvency</w:t>
            </w:r>
            <w:proofErr w:type="spellEnd"/>
            <w:r w:rsidRPr="0049384B">
              <w:rPr>
                <w:sz w:val="20"/>
                <w:szCs w:val="20"/>
                <w:lang w:eastAsia="cs-CZ"/>
              </w:rPr>
              <w:t xml:space="preserve"> 2 rezervami, protože půjde s ohledem na výše uvedené účetní změny o již přežitý systém</w:t>
            </w:r>
            <w:bookmarkEnd w:id="5"/>
            <w:r w:rsidRPr="0049384B">
              <w:rPr>
                <w:sz w:val="20"/>
                <w:szCs w:val="20"/>
                <w:lang w:eastAsia="cs-CZ"/>
              </w:rPr>
              <w:t>.</w:t>
            </w:r>
          </w:p>
          <w:p w14:paraId="534A92C7" w14:textId="77777777" w:rsidR="0049384B" w:rsidRPr="0049384B" w:rsidRDefault="0049384B" w:rsidP="0049384B">
            <w:pPr>
              <w:overflowPunct w:val="0"/>
              <w:autoSpaceDE w:val="0"/>
              <w:autoSpaceDN w:val="0"/>
              <w:adjustRightInd w:val="0"/>
              <w:spacing w:after="120"/>
              <w:ind w:left="340" w:hanging="340"/>
              <w:jc w:val="both"/>
              <w:rPr>
                <w:b/>
                <w:sz w:val="20"/>
                <w:szCs w:val="20"/>
                <w:lang w:eastAsia="cs-CZ"/>
              </w:rPr>
            </w:pPr>
            <w:r w:rsidRPr="0049384B">
              <w:rPr>
                <w:b/>
                <w:sz w:val="20"/>
                <w:szCs w:val="20"/>
                <w:lang w:eastAsia="cs-CZ"/>
              </w:rPr>
              <w:t>Zásadní připomínka.</w:t>
            </w:r>
          </w:p>
        </w:tc>
        <w:tc>
          <w:tcPr>
            <w:tcW w:w="1863" w:type="pct"/>
            <w:tcBorders>
              <w:top w:val="single" w:sz="4" w:space="0" w:color="auto"/>
              <w:left w:val="single" w:sz="4" w:space="0" w:color="auto"/>
              <w:bottom w:val="single" w:sz="4" w:space="0" w:color="auto"/>
              <w:right w:val="single" w:sz="4" w:space="0" w:color="auto"/>
            </w:tcBorders>
            <w:shd w:val="clear" w:color="auto" w:fill="auto"/>
          </w:tcPr>
          <w:p w14:paraId="6EEDC5A4" w14:textId="77777777" w:rsidR="0049384B" w:rsidRPr="0049384B" w:rsidRDefault="0049384B" w:rsidP="0049384B">
            <w:pPr>
              <w:ind w:left="-142" w:right="-59"/>
              <w:jc w:val="center"/>
              <w:rPr>
                <w:sz w:val="20"/>
                <w:szCs w:val="20"/>
                <w:highlight w:val="lightGray"/>
                <w:lang w:eastAsia="cs-CZ"/>
              </w:rPr>
            </w:pPr>
          </w:p>
        </w:tc>
      </w:tr>
      <w:tr w:rsidR="0049384B" w:rsidRPr="0049384B" w14:paraId="3BA0D96A" w14:textId="77777777" w:rsidTr="0049384B">
        <w:trPr>
          <w:trHeight w:val="513"/>
        </w:trPr>
        <w:tc>
          <w:tcPr>
            <w:tcW w:w="423" w:type="pct"/>
            <w:tcBorders>
              <w:top w:val="single" w:sz="4" w:space="0" w:color="auto"/>
              <w:left w:val="single" w:sz="4" w:space="0" w:color="auto"/>
              <w:bottom w:val="single" w:sz="4" w:space="0" w:color="auto"/>
              <w:right w:val="single" w:sz="4" w:space="0" w:color="auto"/>
            </w:tcBorders>
            <w:shd w:val="clear" w:color="auto" w:fill="auto"/>
          </w:tcPr>
          <w:p w14:paraId="263D4703" w14:textId="77777777" w:rsidR="0049384B" w:rsidRPr="0049384B" w:rsidRDefault="0049384B" w:rsidP="0049384B">
            <w:pPr>
              <w:jc w:val="center"/>
              <w:rPr>
                <w:color w:val="0000FF"/>
                <w:sz w:val="20"/>
                <w:szCs w:val="20"/>
                <w:lang w:eastAsia="cs-CZ"/>
              </w:rPr>
            </w:pPr>
            <w:r w:rsidRPr="0049384B">
              <w:rPr>
                <w:sz w:val="20"/>
                <w:szCs w:val="20"/>
                <w:lang w:eastAsia="cs-CZ"/>
              </w:rPr>
              <w:lastRenderedPageBreak/>
              <w:t>UZS ČR</w:t>
            </w: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17DA141C" w14:textId="77777777" w:rsidR="0049384B" w:rsidRPr="0049384B" w:rsidRDefault="0049384B" w:rsidP="0049384B">
            <w:pPr>
              <w:jc w:val="center"/>
              <w:rPr>
                <w:sz w:val="20"/>
                <w:szCs w:val="20"/>
                <w:lang w:eastAsia="cs-CZ"/>
              </w:rPr>
            </w:pPr>
            <w:r w:rsidRPr="0049384B">
              <w:rPr>
                <w:sz w:val="20"/>
                <w:szCs w:val="20"/>
                <w:lang w:eastAsia="cs-CZ"/>
              </w:rPr>
              <w:t>2.</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24423DBB" w14:textId="77777777" w:rsidR="0049384B" w:rsidRPr="0049384B" w:rsidRDefault="0049384B" w:rsidP="0049384B">
            <w:pPr>
              <w:jc w:val="center"/>
              <w:rPr>
                <w:sz w:val="20"/>
                <w:szCs w:val="20"/>
                <w:lang w:eastAsia="cs-CZ"/>
              </w:rPr>
            </w:pPr>
            <w:r w:rsidRPr="0049384B">
              <w:rPr>
                <w:sz w:val="20"/>
                <w:szCs w:val="20"/>
                <w:lang w:eastAsia="cs-CZ"/>
              </w:rPr>
              <w:t>D</w:t>
            </w:r>
          </w:p>
        </w:tc>
        <w:tc>
          <w:tcPr>
            <w:tcW w:w="2181" w:type="pct"/>
            <w:tcBorders>
              <w:top w:val="single" w:sz="4" w:space="0" w:color="auto"/>
              <w:left w:val="single" w:sz="4" w:space="0" w:color="auto"/>
              <w:bottom w:val="single" w:sz="4" w:space="0" w:color="auto"/>
              <w:right w:val="single" w:sz="4" w:space="0" w:color="auto"/>
            </w:tcBorders>
            <w:shd w:val="clear" w:color="auto" w:fill="auto"/>
          </w:tcPr>
          <w:p w14:paraId="1C46F452" w14:textId="77777777" w:rsidR="0049384B" w:rsidRPr="0049384B" w:rsidRDefault="0049384B" w:rsidP="0049384B">
            <w:pPr>
              <w:tabs>
                <w:tab w:val="num" w:pos="585"/>
              </w:tabs>
              <w:overflowPunct w:val="0"/>
              <w:autoSpaceDE w:val="0"/>
              <w:autoSpaceDN w:val="0"/>
              <w:adjustRightInd w:val="0"/>
              <w:spacing w:after="120"/>
              <w:ind w:left="340" w:hanging="340"/>
              <w:jc w:val="both"/>
              <w:rPr>
                <w:b/>
                <w:sz w:val="20"/>
                <w:szCs w:val="20"/>
                <w:lang w:eastAsia="cs-CZ"/>
              </w:rPr>
            </w:pPr>
            <w:r w:rsidRPr="0049384B">
              <w:rPr>
                <w:b/>
                <w:sz w:val="20"/>
                <w:szCs w:val="20"/>
                <w:lang w:eastAsia="cs-CZ"/>
              </w:rPr>
              <w:t xml:space="preserve">K </w:t>
            </w:r>
            <w:bookmarkStart w:id="6" w:name="_Hlk169773137"/>
            <w:r w:rsidRPr="0049384B">
              <w:rPr>
                <w:b/>
                <w:sz w:val="20"/>
                <w:szCs w:val="20"/>
                <w:lang w:eastAsia="cs-CZ"/>
              </w:rPr>
              <w:t>části dvacáté – změna zákona o daních z příjmů</w:t>
            </w:r>
          </w:p>
          <w:p w14:paraId="6917A8E8" w14:textId="77777777" w:rsidR="0049384B" w:rsidRPr="0049384B" w:rsidRDefault="0049384B" w:rsidP="0049384B">
            <w:pPr>
              <w:tabs>
                <w:tab w:val="num" w:pos="585"/>
              </w:tabs>
              <w:overflowPunct w:val="0"/>
              <w:autoSpaceDE w:val="0"/>
              <w:autoSpaceDN w:val="0"/>
              <w:adjustRightInd w:val="0"/>
              <w:spacing w:after="120"/>
              <w:ind w:left="340" w:hanging="340"/>
              <w:jc w:val="both"/>
              <w:rPr>
                <w:b/>
                <w:sz w:val="20"/>
                <w:szCs w:val="20"/>
                <w:lang w:eastAsia="cs-CZ"/>
              </w:rPr>
            </w:pPr>
            <w:r w:rsidRPr="0049384B">
              <w:rPr>
                <w:b/>
                <w:sz w:val="20"/>
                <w:szCs w:val="20"/>
                <w:lang w:eastAsia="cs-CZ"/>
              </w:rPr>
              <w:t>K bodu 87 § 23 odst. 2</w:t>
            </w:r>
          </w:p>
          <w:p w14:paraId="4BB7B22F" w14:textId="77777777" w:rsidR="0049384B" w:rsidRPr="0049384B" w:rsidRDefault="0049384B" w:rsidP="0049384B">
            <w:pPr>
              <w:overflowPunct w:val="0"/>
              <w:autoSpaceDE w:val="0"/>
              <w:autoSpaceDN w:val="0"/>
              <w:adjustRightInd w:val="0"/>
              <w:spacing w:after="120"/>
              <w:jc w:val="both"/>
              <w:rPr>
                <w:sz w:val="20"/>
                <w:szCs w:val="20"/>
                <w:lang w:eastAsia="cs-CZ"/>
              </w:rPr>
            </w:pPr>
            <w:r w:rsidRPr="0049384B">
              <w:rPr>
                <w:sz w:val="20"/>
                <w:szCs w:val="20"/>
                <w:lang w:eastAsia="cs-CZ"/>
              </w:rPr>
              <w:t>Požadujeme upravit.</w:t>
            </w:r>
          </w:p>
          <w:p w14:paraId="613B901C" w14:textId="77777777" w:rsidR="0049384B" w:rsidRPr="0049384B" w:rsidRDefault="0049384B" w:rsidP="0049384B">
            <w:pPr>
              <w:overflowPunct w:val="0"/>
              <w:autoSpaceDE w:val="0"/>
              <w:autoSpaceDN w:val="0"/>
              <w:adjustRightInd w:val="0"/>
              <w:spacing w:after="120"/>
              <w:jc w:val="both"/>
              <w:rPr>
                <w:sz w:val="20"/>
                <w:szCs w:val="20"/>
                <w:u w:val="single"/>
                <w:lang w:eastAsia="cs-CZ"/>
              </w:rPr>
            </w:pPr>
            <w:r w:rsidRPr="0049384B">
              <w:rPr>
                <w:sz w:val="20"/>
                <w:szCs w:val="20"/>
                <w:u w:val="single"/>
                <w:lang w:eastAsia="cs-CZ"/>
              </w:rPr>
              <w:t>Odůvodnění:</w:t>
            </w:r>
          </w:p>
          <w:p w14:paraId="4514769C" w14:textId="77777777" w:rsidR="0049384B" w:rsidRPr="0049384B" w:rsidRDefault="0049384B" w:rsidP="0049384B">
            <w:pPr>
              <w:overflowPunct w:val="0"/>
              <w:autoSpaceDE w:val="0"/>
              <w:autoSpaceDN w:val="0"/>
              <w:adjustRightInd w:val="0"/>
              <w:spacing w:after="120"/>
              <w:jc w:val="both"/>
              <w:rPr>
                <w:sz w:val="20"/>
                <w:szCs w:val="20"/>
                <w:lang w:eastAsia="cs-CZ"/>
              </w:rPr>
            </w:pPr>
            <w:r w:rsidRPr="0049384B">
              <w:rPr>
                <w:sz w:val="20"/>
                <w:szCs w:val="20"/>
                <w:lang w:eastAsia="cs-CZ"/>
              </w:rPr>
              <w:t>Máme za to, že textace ustanovení písmen a) a c) vytvářejí dojem, že mezinárodní účetní standardy nejsou účetními předpisy (což se potom dále odráží v nekonzistentním používání kategorizace daňových poplatníků, když tyto dvě kategorie nejsou vždy explicitně zmiňovány). Podle našeho názoru by bylo vhodné ustanovení písmene a) upravit tak, že se akruální základ daně bude odkazovat na účetní předpisy, podle kterých účtují /vykazují poplatníci, kteří jsou účetními jednotkami a nemají povinnost vykazovat podle mezinárodních účetních standardů. Pak by bylo možno upřesnit, že pro poplatníky s akruálním základem daně, kteří se vykazují podle mezinárodních účetních standardů, bez toho, že by jim to ukládal zákon, musí výsledek hospodaření očistit o vliv použitých mezinárodních účetních standardů.</w:t>
            </w:r>
            <w:bookmarkEnd w:id="6"/>
          </w:p>
        </w:tc>
        <w:tc>
          <w:tcPr>
            <w:tcW w:w="1863" w:type="pct"/>
            <w:tcBorders>
              <w:top w:val="single" w:sz="4" w:space="0" w:color="auto"/>
              <w:left w:val="single" w:sz="4" w:space="0" w:color="auto"/>
              <w:bottom w:val="single" w:sz="4" w:space="0" w:color="auto"/>
              <w:right w:val="single" w:sz="4" w:space="0" w:color="auto"/>
            </w:tcBorders>
            <w:shd w:val="clear" w:color="auto" w:fill="auto"/>
          </w:tcPr>
          <w:p w14:paraId="3D1722DA" w14:textId="77777777" w:rsidR="0049384B" w:rsidRPr="0049384B" w:rsidRDefault="0049384B" w:rsidP="0049384B">
            <w:pPr>
              <w:ind w:left="-142" w:right="-59"/>
              <w:jc w:val="center"/>
              <w:rPr>
                <w:sz w:val="20"/>
                <w:szCs w:val="20"/>
                <w:highlight w:val="lightGray"/>
                <w:lang w:eastAsia="cs-CZ"/>
              </w:rPr>
            </w:pPr>
          </w:p>
        </w:tc>
      </w:tr>
      <w:tr w:rsidR="0049384B" w:rsidRPr="0049384B" w14:paraId="75B097DA" w14:textId="77777777" w:rsidTr="0049384B">
        <w:trPr>
          <w:trHeight w:val="513"/>
        </w:trPr>
        <w:tc>
          <w:tcPr>
            <w:tcW w:w="423" w:type="pct"/>
            <w:tcBorders>
              <w:top w:val="single" w:sz="4" w:space="0" w:color="auto"/>
              <w:left w:val="single" w:sz="4" w:space="0" w:color="auto"/>
              <w:bottom w:val="single" w:sz="4" w:space="0" w:color="auto"/>
              <w:right w:val="single" w:sz="4" w:space="0" w:color="auto"/>
            </w:tcBorders>
            <w:shd w:val="clear" w:color="auto" w:fill="auto"/>
          </w:tcPr>
          <w:p w14:paraId="24C197A5" w14:textId="77777777" w:rsidR="0049384B" w:rsidRPr="0049384B" w:rsidRDefault="0049384B" w:rsidP="0049384B">
            <w:pPr>
              <w:jc w:val="center"/>
              <w:rPr>
                <w:color w:val="0000FF"/>
                <w:sz w:val="20"/>
                <w:szCs w:val="20"/>
                <w:lang w:eastAsia="cs-CZ"/>
              </w:rPr>
            </w:pPr>
            <w:r w:rsidRPr="0049384B">
              <w:rPr>
                <w:sz w:val="20"/>
                <w:szCs w:val="20"/>
                <w:lang w:eastAsia="cs-CZ"/>
              </w:rPr>
              <w:t>UZS ČR</w:t>
            </w: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31E34A24" w14:textId="77777777" w:rsidR="0049384B" w:rsidRPr="0049384B" w:rsidRDefault="0049384B" w:rsidP="0049384B">
            <w:pPr>
              <w:jc w:val="center"/>
              <w:rPr>
                <w:sz w:val="20"/>
                <w:szCs w:val="20"/>
                <w:lang w:eastAsia="cs-CZ"/>
              </w:rPr>
            </w:pPr>
            <w:r w:rsidRPr="0049384B">
              <w:rPr>
                <w:sz w:val="20"/>
                <w:szCs w:val="20"/>
                <w:lang w:eastAsia="cs-CZ"/>
              </w:rPr>
              <w:t>3.</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77A01F91" w14:textId="77777777" w:rsidR="0049384B" w:rsidRPr="0049384B" w:rsidRDefault="0049384B" w:rsidP="0049384B">
            <w:pPr>
              <w:jc w:val="center"/>
              <w:rPr>
                <w:sz w:val="20"/>
                <w:szCs w:val="20"/>
                <w:lang w:eastAsia="cs-CZ"/>
              </w:rPr>
            </w:pPr>
            <w:r w:rsidRPr="0049384B">
              <w:rPr>
                <w:sz w:val="20"/>
                <w:szCs w:val="20"/>
                <w:lang w:eastAsia="cs-CZ"/>
              </w:rPr>
              <w:t>Z</w:t>
            </w:r>
          </w:p>
        </w:tc>
        <w:tc>
          <w:tcPr>
            <w:tcW w:w="2181" w:type="pct"/>
            <w:tcBorders>
              <w:top w:val="single" w:sz="4" w:space="0" w:color="auto"/>
              <w:left w:val="single" w:sz="4" w:space="0" w:color="auto"/>
              <w:bottom w:val="single" w:sz="4" w:space="0" w:color="auto"/>
              <w:right w:val="single" w:sz="4" w:space="0" w:color="auto"/>
            </w:tcBorders>
            <w:shd w:val="clear" w:color="auto" w:fill="auto"/>
          </w:tcPr>
          <w:p w14:paraId="54E7EB5F" w14:textId="77777777" w:rsidR="0049384B" w:rsidRPr="0049384B" w:rsidRDefault="0049384B" w:rsidP="0049384B">
            <w:pPr>
              <w:tabs>
                <w:tab w:val="num" w:pos="585"/>
              </w:tabs>
              <w:overflowPunct w:val="0"/>
              <w:autoSpaceDE w:val="0"/>
              <w:autoSpaceDN w:val="0"/>
              <w:adjustRightInd w:val="0"/>
              <w:spacing w:after="120"/>
              <w:ind w:left="340" w:hanging="340"/>
              <w:jc w:val="both"/>
              <w:rPr>
                <w:b/>
                <w:sz w:val="20"/>
                <w:szCs w:val="20"/>
                <w:lang w:eastAsia="cs-CZ"/>
              </w:rPr>
            </w:pPr>
            <w:r w:rsidRPr="0049384B">
              <w:rPr>
                <w:b/>
                <w:sz w:val="20"/>
                <w:szCs w:val="20"/>
                <w:lang w:eastAsia="cs-CZ"/>
              </w:rPr>
              <w:t>K části dvacáté – změna zákona o daních z příjmů</w:t>
            </w:r>
          </w:p>
          <w:p w14:paraId="603D725A" w14:textId="77777777" w:rsidR="0049384B" w:rsidRPr="0049384B" w:rsidRDefault="0049384B" w:rsidP="0049384B">
            <w:pPr>
              <w:tabs>
                <w:tab w:val="num" w:pos="585"/>
              </w:tabs>
              <w:overflowPunct w:val="0"/>
              <w:autoSpaceDE w:val="0"/>
              <w:autoSpaceDN w:val="0"/>
              <w:adjustRightInd w:val="0"/>
              <w:spacing w:after="120"/>
              <w:ind w:left="340" w:hanging="340"/>
              <w:jc w:val="both"/>
              <w:rPr>
                <w:b/>
                <w:sz w:val="20"/>
                <w:szCs w:val="20"/>
                <w:lang w:eastAsia="cs-CZ"/>
              </w:rPr>
            </w:pPr>
            <w:r w:rsidRPr="0049384B">
              <w:rPr>
                <w:b/>
                <w:sz w:val="20"/>
                <w:szCs w:val="20"/>
                <w:lang w:eastAsia="cs-CZ"/>
              </w:rPr>
              <w:t xml:space="preserve">K bodu </w:t>
            </w:r>
            <w:bookmarkStart w:id="7" w:name="_Hlk169773278"/>
            <w:r w:rsidRPr="0049384B">
              <w:rPr>
                <w:b/>
                <w:sz w:val="20"/>
                <w:szCs w:val="20"/>
                <w:lang w:eastAsia="cs-CZ"/>
              </w:rPr>
              <w:t>95 § 23 odst. 3 písm. a) bodu 10</w:t>
            </w:r>
            <w:bookmarkEnd w:id="7"/>
          </w:p>
          <w:p w14:paraId="3058D48B" w14:textId="77777777" w:rsidR="0049384B" w:rsidRPr="0049384B" w:rsidRDefault="0049384B" w:rsidP="0049384B">
            <w:pPr>
              <w:overflowPunct w:val="0"/>
              <w:autoSpaceDE w:val="0"/>
              <w:autoSpaceDN w:val="0"/>
              <w:adjustRightInd w:val="0"/>
              <w:spacing w:after="120"/>
              <w:jc w:val="both"/>
              <w:rPr>
                <w:sz w:val="20"/>
                <w:szCs w:val="20"/>
                <w:lang w:eastAsia="cs-CZ"/>
              </w:rPr>
            </w:pPr>
            <w:bookmarkStart w:id="8" w:name="_Hlk169773288"/>
            <w:r w:rsidRPr="0049384B">
              <w:rPr>
                <w:sz w:val="20"/>
                <w:szCs w:val="20"/>
                <w:lang w:eastAsia="cs-CZ"/>
              </w:rPr>
              <w:t>Doporučujeme novelizační bod vypustit</w:t>
            </w:r>
            <w:bookmarkEnd w:id="8"/>
            <w:r w:rsidRPr="0049384B">
              <w:rPr>
                <w:sz w:val="20"/>
                <w:szCs w:val="20"/>
                <w:lang w:eastAsia="cs-CZ"/>
              </w:rPr>
              <w:t>.</w:t>
            </w:r>
          </w:p>
          <w:p w14:paraId="5ADE96E9" w14:textId="77777777" w:rsidR="0049384B" w:rsidRPr="0049384B" w:rsidRDefault="0049384B" w:rsidP="0049384B">
            <w:pPr>
              <w:overflowPunct w:val="0"/>
              <w:autoSpaceDE w:val="0"/>
              <w:autoSpaceDN w:val="0"/>
              <w:adjustRightInd w:val="0"/>
              <w:spacing w:after="120"/>
              <w:jc w:val="both"/>
              <w:rPr>
                <w:sz w:val="20"/>
                <w:szCs w:val="20"/>
                <w:u w:val="single"/>
                <w:lang w:eastAsia="cs-CZ"/>
              </w:rPr>
            </w:pPr>
            <w:r w:rsidRPr="0049384B">
              <w:rPr>
                <w:sz w:val="20"/>
                <w:szCs w:val="20"/>
                <w:u w:val="single"/>
                <w:lang w:eastAsia="cs-CZ"/>
              </w:rPr>
              <w:t>Odůvodnění:</w:t>
            </w:r>
          </w:p>
          <w:p w14:paraId="28504E40" w14:textId="77777777" w:rsidR="0049384B" w:rsidRPr="0049384B" w:rsidRDefault="0049384B" w:rsidP="0049384B">
            <w:pPr>
              <w:overflowPunct w:val="0"/>
              <w:autoSpaceDE w:val="0"/>
              <w:autoSpaceDN w:val="0"/>
              <w:adjustRightInd w:val="0"/>
              <w:spacing w:after="120"/>
              <w:jc w:val="both"/>
              <w:rPr>
                <w:sz w:val="20"/>
                <w:szCs w:val="20"/>
                <w:lang w:eastAsia="cs-CZ"/>
              </w:rPr>
            </w:pPr>
            <w:bookmarkStart w:id="9" w:name="_Hlk169773297"/>
            <w:r w:rsidRPr="0049384B">
              <w:rPr>
                <w:sz w:val="20"/>
                <w:szCs w:val="20"/>
                <w:lang w:eastAsia="cs-CZ"/>
              </w:rPr>
              <w:t xml:space="preserve">Pokud přímo nekoliduje s ustanovením navrhovaným v bodě 126 (§ 23 odst. 13, zejména písm. b)), pak je přinejmenším nejasná vazba </w:t>
            </w:r>
            <w:r w:rsidRPr="0049384B">
              <w:rPr>
                <w:sz w:val="20"/>
                <w:szCs w:val="20"/>
                <w:lang w:eastAsia="cs-CZ"/>
              </w:rPr>
              <w:lastRenderedPageBreak/>
              <w:t>těchto dvou ustanovení. Za nejvhodnější řešení považujeme vypuštění navrhované změny</w:t>
            </w:r>
            <w:bookmarkEnd w:id="9"/>
            <w:r w:rsidRPr="0049384B">
              <w:rPr>
                <w:sz w:val="20"/>
                <w:szCs w:val="20"/>
                <w:lang w:eastAsia="cs-CZ"/>
              </w:rPr>
              <w:t>.</w:t>
            </w:r>
          </w:p>
          <w:p w14:paraId="2BD6AC6B" w14:textId="77777777" w:rsidR="0049384B" w:rsidRPr="0049384B" w:rsidRDefault="0049384B" w:rsidP="0049384B">
            <w:pPr>
              <w:overflowPunct w:val="0"/>
              <w:autoSpaceDE w:val="0"/>
              <w:autoSpaceDN w:val="0"/>
              <w:adjustRightInd w:val="0"/>
              <w:spacing w:after="120"/>
              <w:jc w:val="both"/>
              <w:rPr>
                <w:b/>
                <w:sz w:val="20"/>
                <w:szCs w:val="20"/>
                <w:lang w:eastAsia="cs-CZ"/>
              </w:rPr>
            </w:pPr>
            <w:r w:rsidRPr="0049384B">
              <w:rPr>
                <w:b/>
                <w:sz w:val="20"/>
                <w:szCs w:val="20"/>
                <w:lang w:eastAsia="cs-CZ"/>
              </w:rPr>
              <w:t>Zásadní připomínka.</w:t>
            </w:r>
          </w:p>
        </w:tc>
        <w:tc>
          <w:tcPr>
            <w:tcW w:w="1863" w:type="pct"/>
            <w:tcBorders>
              <w:top w:val="single" w:sz="4" w:space="0" w:color="auto"/>
              <w:left w:val="single" w:sz="4" w:space="0" w:color="auto"/>
              <w:bottom w:val="single" w:sz="4" w:space="0" w:color="auto"/>
              <w:right w:val="single" w:sz="4" w:space="0" w:color="auto"/>
            </w:tcBorders>
            <w:shd w:val="clear" w:color="auto" w:fill="auto"/>
          </w:tcPr>
          <w:p w14:paraId="65A13D11" w14:textId="77777777" w:rsidR="0049384B" w:rsidRPr="0049384B" w:rsidRDefault="0049384B" w:rsidP="0049384B">
            <w:pPr>
              <w:ind w:left="-142" w:right="-59"/>
              <w:jc w:val="center"/>
              <w:rPr>
                <w:sz w:val="20"/>
                <w:szCs w:val="20"/>
                <w:highlight w:val="lightGray"/>
                <w:lang w:eastAsia="cs-CZ"/>
              </w:rPr>
            </w:pPr>
          </w:p>
        </w:tc>
      </w:tr>
      <w:tr w:rsidR="0049384B" w:rsidRPr="0049384B" w14:paraId="055096F3" w14:textId="77777777" w:rsidTr="0049384B">
        <w:trPr>
          <w:trHeight w:val="513"/>
        </w:trPr>
        <w:tc>
          <w:tcPr>
            <w:tcW w:w="423" w:type="pct"/>
            <w:tcBorders>
              <w:top w:val="single" w:sz="4" w:space="0" w:color="auto"/>
              <w:left w:val="single" w:sz="4" w:space="0" w:color="auto"/>
              <w:bottom w:val="single" w:sz="4" w:space="0" w:color="auto"/>
              <w:right w:val="single" w:sz="4" w:space="0" w:color="auto"/>
            </w:tcBorders>
            <w:shd w:val="clear" w:color="auto" w:fill="auto"/>
          </w:tcPr>
          <w:p w14:paraId="12BE8EDE" w14:textId="77777777" w:rsidR="0049384B" w:rsidRPr="0049384B" w:rsidRDefault="0049384B" w:rsidP="0049384B">
            <w:pPr>
              <w:jc w:val="center"/>
              <w:rPr>
                <w:color w:val="0000FF"/>
                <w:sz w:val="20"/>
                <w:szCs w:val="20"/>
                <w:lang w:eastAsia="cs-CZ"/>
              </w:rPr>
            </w:pPr>
            <w:r w:rsidRPr="0049384B">
              <w:rPr>
                <w:sz w:val="20"/>
                <w:szCs w:val="20"/>
                <w:lang w:eastAsia="cs-CZ"/>
              </w:rPr>
              <w:t>UZS ČR</w:t>
            </w: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337B9A1D" w14:textId="77777777" w:rsidR="0049384B" w:rsidRPr="0049384B" w:rsidRDefault="0049384B" w:rsidP="0049384B">
            <w:pPr>
              <w:jc w:val="center"/>
              <w:rPr>
                <w:sz w:val="20"/>
                <w:szCs w:val="20"/>
                <w:lang w:eastAsia="cs-CZ"/>
              </w:rPr>
            </w:pPr>
            <w:r w:rsidRPr="0049384B">
              <w:rPr>
                <w:sz w:val="20"/>
                <w:szCs w:val="20"/>
                <w:lang w:eastAsia="cs-CZ"/>
              </w:rPr>
              <w:t>4.</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27D41E9B" w14:textId="77777777" w:rsidR="0049384B" w:rsidRPr="0049384B" w:rsidRDefault="0049384B" w:rsidP="0049384B">
            <w:pPr>
              <w:jc w:val="center"/>
              <w:rPr>
                <w:sz w:val="20"/>
                <w:szCs w:val="20"/>
                <w:lang w:eastAsia="cs-CZ"/>
              </w:rPr>
            </w:pPr>
            <w:r w:rsidRPr="0049384B">
              <w:rPr>
                <w:sz w:val="20"/>
                <w:szCs w:val="20"/>
                <w:lang w:eastAsia="cs-CZ"/>
              </w:rPr>
              <w:t>Z</w:t>
            </w:r>
          </w:p>
        </w:tc>
        <w:tc>
          <w:tcPr>
            <w:tcW w:w="2181" w:type="pct"/>
            <w:tcBorders>
              <w:top w:val="single" w:sz="4" w:space="0" w:color="auto"/>
              <w:left w:val="single" w:sz="4" w:space="0" w:color="auto"/>
              <w:bottom w:val="single" w:sz="4" w:space="0" w:color="auto"/>
              <w:right w:val="single" w:sz="4" w:space="0" w:color="auto"/>
            </w:tcBorders>
            <w:shd w:val="clear" w:color="auto" w:fill="auto"/>
          </w:tcPr>
          <w:p w14:paraId="0FA6F282" w14:textId="77777777" w:rsidR="0049384B" w:rsidRPr="0049384B" w:rsidRDefault="0049384B" w:rsidP="0049384B">
            <w:pPr>
              <w:tabs>
                <w:tab w:val="num" w:pos="585"/>
              </w:tabs>
              <w:overflowPunct w:val="0"/>
              <w:autoSpaceDE w:val="0"/>
              <w:autoSpaceDN w:val="0"/>
              <w:adjustRightInd w:val="0"/>
              <w:spacing w:after="120"/>
              <w:ind w:left="340" w:hanging="340"/>
              <w:jc w:val="both"/>
              <w:rPr>
                <w:b/>
                <w:sz w:val="20"/>
                <w:szCs w:val="20"/>
                <w:lang w:eastAsia="cs-CZ"/>
              </w:rPr>
            </w:pPr>
            <w:r w:rsidRPr="0049384B">
              <w:rPr>
                <w:b/>
                <w:sz w:val="20"/>
                <w:szCs w:val="20"/>
                <w:lang w:eastAsia="cs-CZ"/>
              </w:rPr>
              <w:t>Nad rámec návrhu</w:t>
            </w:r>
          </w:p>
          <w:p w14:paraId="12B222AC" w14:textId="77777777" w:rsidR="0049384B" w:rsidRPr="0049384B" w:rsidRDefault="0049384B" w:rsidP="0049384B">
            <w:pPr>
              <w:tabs>
                <w:tab w:val="num" w:pos="585"/>
              </w:tabs>
              <w:overflowPunct w:val="0"/>
              <w:autoSpaceDE w:val="0"/>
              <w:autoSpaceDN w:val="0"/>
              <w:adjustRightInd w:val="0"/>
              <w:spacing w:after="120"/>
              <w:ind w:left="340" w:hanging="340"/>
              <w:jc w:val="both"/>
              <w:rPr>
                <w:b/>
                <w:sz w:val="20"/>
                <w:szCs w:val="20"/>
                <w:lang w:eastAsia="cs-CZ"/>
              </w:rPr>
            </w:pPr>
            <w:r w:rsidRPr="0049384B">
              <w:rPr>
                <w:b/>
                <w:sz w:val="20"/>
                <w:szCs w:val="20"/>
                <w:lang w:eastAsia="cs-CZ"/>
              </w:rPr>
              <w:t xml:space="preserve">K </w:t>
            </w:r>
            <w:bookmarkStart w:id="10" w:name="_Hlk169773322"/>
            <w:r w:rsidRPr="0049384B">
              <w:rPr>
                <w:b/>
                <w:sz w:val="20"/>
                <w:szCs w:val="20"/>
                <w:lang w:eastAsia="cs-CZ"/>
              </w:rPr>
              <w:t>§ 23 odst. 3 písm. a) bodu 16 a písm. c) bodu 9</w:t>
            </w:r>
            <w:bookmarkEnd w:id="10"/>
          </w:p>
          <w:p w14:paraId="56E8D1DC" w14:textId="77777777" w:rsidR="0049384B" w:rsidRPr="0049384B" w:rsidRDefault="0049384B" w:rsidP="0049384B">
            <w:pPr>
              <w:overflowPunct w:val="0"/>
              <w:autoSpaceDE w:val="0"/>
              <w:autoSpaceDN w:val="0"/>
              <w:adjustRightInd w:val="0"/>
              <w:spacing w:after="120"/>
              <w:jc w:val="both"/>
              <w:rPr>
                <w:sz w:val="20"/>
                <w:szCs w:val="20"/>
                <w:lang w:eastAsia="cs-CZ"/>
              </w:rPr>
            </w:pPr>
            <w:bookmarkStart w:id="11" w:name="_Hlk169773333"/>
            <w:r w:rsidRPr="0049384B">
              <w:rPr>
                <w:sz w:val="20"/>
                <w:szCs w:val="20"/>
                <w:lang w:eastAsia="cs-CZ"/>
              </w:rPr>
              <w:t xml:space="preserve">Požadujeme doplnění nového novelizačního bodu, kterým by došlo ke zrušení uvedených ustanovení § 23 odst. 3 písm. a) bodu 16 a písm. c) bodu </w:t>
            </w:r>
            <w:proofErr w:type="gramStart"/>
            <w:r w:rsidRPr="0049384B">
              <w:rPr>
                <w:sz w:val="20"/>
                <w:szCs w:val="20"/>
                <w:lang w:eastAsia="cs-CZ"/>
              </w:rPr>
              <w:t>9a</w:t>
            </w:r>
            <w:proofErr w:type="gramEnd"/>
            <w:r w:rsidRPr="0049384B">
              <w:rPr>
                <w:sz w:val="20"/>
                <w:szCs w:val="20"/>
                <w:lang w:eastAsia="cs-CZ"/>
              </w:rPr>
              <w:t>.</w:t>
            </w:r>
          </w:p>
          <w:p w14:paraId="3CC7D9A9" w14:textId="77777777" w:rsidR="0049384B" w:rsidRPr="0049384B" w:rsidRDefault="0049384B" w:rsidP="0049384B">
            <w:pPr>
              <w:overflowPunct w:val="0"/>
              <w:autoSpaceDE w:val="0"/>
              <w:autoSpaceDN w:val="0"/>
              <w:adjustRightInd w:val="0"/>
              <w:spacing w:after="120"/>
              <w:jc w:val="both"/>
              <w:rPr>
                <w:sz w:val="20"/>
                <w:szCs w:val="20"/>
                <w:lang w:eastAsia="cs-CZ"/>
              </w:rPr>
            </w:pPr>
            <w:r w:rsidRPr="0049384B">
              <w:rPr>
                <w:sz w:val="20"/>
                <w:szCs w:val="20"/>
                <w:lang w:eastAsia="cs-CZ"/>
              </w:rPr>
              <w:t>Jako nezbytnou navazující úpravu pak požadujeme doplnění nového novelizačního bodu do části dvacáté druhé, kterým by došlo ke zrušení ustanovení § 6 zákona 593/1993 Sb</w:t>
            </w:r>
            <w:bookmarkEnd w:id="11"/>
            <w:r w:rsidRPr="0049384B">
              <w:rPr>
                <w:sz w:val="20"/>
                <w:szCs w:val="20"/>
                <w:lang w:eastAsia="cs-CZ"/>
              </w:rPr>
              <w:t>.</w:t>
            </w:r>
          </w:p>
          <w:p w14:paraId="59F60215" w14:textId="77777777" w:rsidR="0049384B" w:rsidRPr="0049384B" w:rsidRDefault="0049384B" w:rsidP="0049384B">
            <w:pPr>
              <w:overflowPunct w:val="0"/>
              <w:autoSpaceDE w:val="0"/>
              <w:autoSpaceDN w:val="0"/>
              <w:adjustRightInd w:val="0"/>
              <w:spacing w:after="120"/>
              <w:jc w:val="both"/>
              <w:rPr>
                <w:sz w:val="20"/>
                <w:szCs w:val="20"/>
                <w:u w:val="single"/>
                <w:lang w:eastAsia="cs-CZ"/>
              </w:rPr>
            </w:pPr>
            <w:r w:rsidRPr="0049384B">
              <w:rPr>
                <w:sz w:val="20"/>
                <w:szCs w:val="20"/>
                <w:u w:val="single"/>
                <w:lang w:eastAsia="cs-CZ"/>
              </w:rPr>
              <w:t>Odůvodnění:</w:t>
            </w:r>
          </w:p>
          <w:p w14:paraId="4DBAC9BA" w14:textId="77777777" w:rsidR="0049384B" w:rsidRPr="0049384B" w:rsidRDefault="0049384B" w:rsidP="0049384B">
            <w:pPr>
              <w:overflowPunct w:val="0"/>
              <w:autoSpaceDE w:val="0"/>
              <w:autoSpaceDN w:val="0"/>
              <w:adjustRightInd w:val="0"/>
              <w:spacing w:after="120"/>
              <w:jc w:val="both"/>
              <w:rPr>
                <w:sz w:val="20"/>
                <w:szCs w:val="20"/>
                <w:lang w:eastAsia="cs-CZ"/>
              </w:rPr>
            </w:pPr>
            <w:bookmarkStart w:id="12" w:name="_Hlk169773353"/>
            <w:r w:rsidRPr="0049384B">
              <w:rPr>
                <w:sz w:val="20"/>
                <w:szCs w:val="20"/>
                <w:lang w:eastAsia="cs-CZ"/>
              </w:rPr>
              <w:t>Přestože přechodem na mezinárodní účetní standardy (zejména pak IFRS 17) zaniká účetní kategorie technických rezerv v pojišťovnictví a zároveň také dochází k substanciální změně v oceňování a vykazování závazků z pojistných smluv, ponechávají se v zákoně ustanovení navázaná na stávající účetní předpisy pro pojišťovny. Upravovat základ daně z příjmů o přírůstky a úbytky rezerv stanovených podle zákona o rezervách tak postrádá smysl. Podle našeho názoru je řešením této diskrepance zrušení těchto ustanovení § 23 a dále zrušení ustanovení § 6 zákona 593/1993 Sb. Pokud jde o ošetření ostatních jinde nevyjmenovaných rezerv, o nichž účtují poplatníci s akruálním základem daně vykazující podle mezinárodních účetních standardů, pak by bylo vhodné takové ustanovení vztáhnou na rezervy, které jsou vykazovány podle těchto standardů (přesněji podle IAS 37)</w:t>
            </w:r>
            <w:bookmarkEnd w:id="12"/>
            <w:r w:rsidRPr="0049384B">
              <w:rPr>
                <w:sz w:val="20"/>
                <w:szCs w:val="20"/>
                <w:lang w:eastAsia="cs-CZ"/>
              </w:rPr>
              <w:t>.</w:t>
            </w:r>
          </w:p>
          <w:p w14:paraId="11D9C634" w14:textId="77777777" w:rsidR="0049384B" w:rsidRPr="0049384B" w:rsidRDefault="0049384B" w:rsidP="0049384B">
            <w:pPr>
              <w:overflowPunct w:val="0"/>
              <w:autoSpaceDE w:val="0"/>
              <w:autoSpaceDN w:val="0"/>
              <w:adjustRightInd w:val="0"/>
              <w:spacing w:after="120"/>
              <w:jc w:val="both"/>
              <w:rPr>
                <w:b/>
                <w:sz w:val="20"/>
                <w:szCs w:val="20"/>
                <w:lang w:eastAsia="cs-CZ"/>
              </w:rPr>
            </w:pPr>
            <w:r w:rsidRPr="0049384B">
              <w:rPr>
                <w:b/>
                <w:sz w:val="20"/>
                <w:szCs w:val="20"/>
                <w:lang w:eastAsia="cs-CZ"/>
              </w:rPr>
              <w:t>Zásadní připomínka.</w:t>
            </w:r>
          </w:p>
        </w:tc>
        <w:tc>
          <w:tcPr>
            <w:tcW w:w="1863" w:type="pct"/>
            <w:tcBorders>
              <w:top w:val="single" w:sz="4" w:space="0" w:color="auto"/>
              <w:left w:val="single" w:sz="4" w:space="0" w:color="auto"/>
              <w:bottom w:val="single" w:sz="4" w:space="0" w:color="auto"/>
              <w:right w:val="single" w:sz="4" w:space="0" w:color="auto"/>
            </w:tcBorders>
            <w:shd w:val="clear" w:color="auto" w:fill="auto"/>
          </w:tcPr>
          <w:p w14:paraId="6A95865D" w14:textId="77777777" w:rsidR="0049384B" w:rsidRPr="0049384B" w:rsidRDefault="0049384B" w:rsidP="0049384B">
            <w:pPr>
              <w:ind w:left="-142" w:right="-59"/>
              <w:jc w:val="center"/>
              <w:rPr>
                <w:sz w:val="20"/>
                <w:szCs w:val="20"/>
                <w:highlight w:val="lightGray"/>
                <w:lang w:eastAsia="cs-CZ"/>
              </w:rPr>
            </w:pPr>
          </w:p>
        </w:tc>
      </w:tr>
      <w:tr w:rsidR="0049384B" w:rsidRPr="0049384B" w14:paraId="2A056486" w14:textId="77777777" w:rsidTr="0049384B">
        <w:trPr>
          <w:trHeight w:val="513"/>
        </w:trPr>
        <w:tc>
          <w:tcPr>
            <w:tcW w:w="423" w:type="pct"/>
            <w:tcBorders>
              <w:top w:val="single" w:sz="4" w:space="0" w:color="auto"/>
              <w:left w:val="single" w:sz="4" w:space="0" w:color="auto"/>
              <w:bottom w:val="single" w:sz="4" w:space="0" w:color="auto"/>
              <w:right w:val="single" w:sz="4" w:space="0" w:color="auto"/>
            </w:tcBorders>
            <w:shd w:val="clear" w:color="auto" w:fill="auto"/>
          </w:tcPr>
          <w:p w14:paraId="7FBB90BC" w14:textId="77777777" w:rsidR="0049384B" w:rsidRPr="0049384B" w:rsidRDefault="0049384B" w:rsidP="0049384B">
            <w:pPr>
              <w:jc w:val="center"/>
              <w:rPr>
                <w:color w:val="0000FF"/>
                <w:sz w:val="20"/>
                <w:szCs w:val="20"/>
                <w:lang w:eastAsia="cs-CZ"/>
              </w:rPr>
            </w:pPr>
            <w:r w:rsidRPr="0049384B">
              <w:rPr>
                <w:sz w:val="20"/>
                <w:szCs w:val="20"/>
                <w:lang w:eastAsia="cs-CZ"/>
              </w:rPr>
              <w:t>UZS ČR</w:t>
            </w: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59AC7FCB" w14:textId="77777777" w:rsidR="0049384B" w:rsidRPr="0049384B" w:rsidRDefault="0049384B" w:rsidP="0049384B">
            <w:pPr>
              <w:jc w:val="center"/>
              <w:rPr>
                <w:sz w:val="20"/>
                <w:szCs w:val="20"/>
                <w:lang w:eastAsia="cs-CZ"/>
              </w:rPr>
            </w:pPr>
            <w:r w:rsidRPr="0049384B">
              <w:rPr>
                <w:sz w:val="20"/>
                <w:szCs w:val="20"/>
                <w:lang w:eastAsia="cs-CZ"/>
              </w:rPr>
              <w:t>5.</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49AF868E" w14:textId="77777777" w:rsidR="0049384B" w:rsidRPr="0049384B" w:rsidRDefault="0049384B" w:rsidP="0049384B">
            <w:pPr>
              <w:jc w:val="center"/>
              <w:rPr>
                <w:sz w:val="20"/>
                <w:szCs w:val="20"/>
                <w:lang w:eastAsia="cs-CZ"/>
              </w:rPr>
            </w:pPr>
            <w:r w:rsidRPr="0049384B">
              <w:rPr>
                <w:sz w:val="20"/>
                <w:szCs w:val="20"/>
                <w:lang w:eastAsia="cs-CZ"/>
              </w:rPr>
              <w:t>D</w:t>
            </w:r>
          </w:p>
        </w:tc>
        <w:tc>
          <w:tcPr>
            <w:tcW w:w="2181" w:type="pct"/>
            <w:tcBorders>
              <w:top w:val="single" w:sz="4" w:space="0" w:color="auto"/>
              <w:left w:val="single" w:sz="4" w:space="0" w:color="auto"/>
              <w:bottom w:val="single" w:sz="4" w:space="0" w:color="auto"/>
              <w:right w:val="single" w:sz="4" w:space="0" w:color="auto"/>
            </w:tcBorders>
            <w:shd w:val="clear" w:color="auto" w:fill="auto"/>
          </w:tcPr>
          <w:p w14:paraId="6DC9E06E" w14:textId="77777777" w:rsidR="0049384B" w:rsidRPr="0049384B" w:rsidRDefault="0049384B" w:rsidP="0049384B">
            <w:pPr>
              <w:tabs>
                <w:tab w:val="num" w:pos="585"/>
              </w:tabs>
              <w:overflowPunct w:val="0"/>
              <w:autoSpaceDE w:val="0"/>
              <w:autoSpaceDN w:val="0"/>
              <w:adjustRightInd w:val="0"/>
              <w:spacing w:after="120"/>
              <w:ind w:left="340" w:hanging="340"/>
              <w:jc w:val="both"/>
              <w:rPr>
                <w:b/>
                <w:sz w:val="20"/>
                <w:szCs w:val="20"/>
                <w:lang w:eastAsia="cs-CZ"/>
              </w:rPr>
            </w:pPr>
            <w:r w:rsidRPr="0049384B">
              <w:rPr>
                <w:b/>
                <w:sz w:val="20"/>
                <w:szCs w:val="20"/>
                <w:lang w:eastAsia="cs-CZ"/>
              </w:rPr>
              <w:t>K části dvacáté – změna zákona o daních z příjmů</w:t>
            </w:r>
          </w:p>
          <w:p w14:paraId="74B3DCE9" w14:textId="77777777" w:rsidR="0049384B" w:rsidRPr="0049384B" w:rsidRDefault="0049384B" w:rsidP="0049384B">
            <w:pPr>
              <w:tabs>
                <w:tab w:val="num" w:pos="585"/>
              </w:tabs>
              <w:overflowPunct w:val="0"/>
              <w:autoSpaceDE w:val="0"/>
              <w:autoSpaceDN w:val="0"/>
              <w:adjustRightInd w:val="0"/>
              <w:spacing w:after="120"/>
              <w:ind w:left="340" w:hanging="340"/>
              <w:jc w:val="both"/>
              <w:rPr>
                <w:b/>
                <w:sz w:val="20"/>
                <w:szCs w:val="20"/>
                <w:lang w:eastAsia="cs-CZ"/>
              </w:rPr>
            </w:pPr>
            <w:r w:rsidRPr="0049384B">
              <w:rPr>
                <w:b/>
                <w:sz w:val="20"/>
                <w:szCs w:val="20"/>
                <w:lang w:eastAsia="cs-CZ"/>
              </w:rPr>
              <w:t xml:space="preserve">K bodu </w:t>
            </w:r>
            <w:bookmarkStart w:id="13" w:name="_Hlk169773385"/>
            <w:r w:rsidRPr="0049384B">
              <w:rPr>
                <w:b/>
                <w:sz w:val="20"/>
                <w:szCs w:val="20"/>
                <w:lang w:eastAsia="cs-CZ"/>
              </w:rPr>
              <w:t>126 § 23 odst. 12</w:t>
            </w:r>
            <w:bookmarkEnd w:id="13"/>
          </w:p>
          <w:p w14:paraId="332EC7B6" w14:textId="77777777" w:rsidR="0049384B" w:rsidRPr="0049384B" w:rsidRDefault="0049384B" w:rsidP="0049384B">
            <w:pPr>
              <w:overflowPunct w:val="0"/>
              <w:autoSpaceDE w:val="0"/>
              <w:autoSpaceDN w:val="0"/>
              <w:adjustRightInd w:val="0"/>
              <w:spacing w:after="120"/>
              <w:jc w:val="both"/>
              <w:rPr>
                <w:sz w:val="20"/>
                <w:szCs w:val="20"/>
                <w:lang w:eastAsia="cs-CZ"/>
              </w:rPr>
            </w:pPr>
            <w:bookmarkStart w:id="14" w:name="_Hlk169773394"/>
            <w:r w:rsidRPr="0049384B">
              <w:rPr>
                <w:sz w:val="20"/>
                <w:szCs w:val="20"/>
                <w:lang w:eastAsia="cs-CZ"/>
              </w:rPr>
              <w:lastRenderedPageBreak/>
              <w:t>Požadujeme ustanovení upravit, aby bylo zřejmé, pro jaké typy operací se uplatní</w:t>
            </w:r>
            <w:bookmarkEnd w:id="14"/>
            <w:r w:rsidRPr="0049384B">
              <w:rPr>
                <w:sz w:val="20"/>
                <w:szCs w:val="20"/>
                <w:lang w:eastAsia="cs-CZ"/>
              </w:rPr>
              <w:t>.</w:t>
            </w:r>
          </w:p>
          <w:p w14:paraId="24B06EB4" w14:textId="77777777" w:rsidR="0049384B" w:rsidRPr="0049384B" w:rsidRDefault="0049384B" w:rsidP="0049384B">
            <w:pPr>
              <w:overflowPunct w:val="0"/>
              <w:autoSpaceDE w:val="0"/>
              <w:autoSpaceDN w:val="0"/>
              <w:adjustRightInd w:val="0"/>
              <w:spacing w:after="120"/>
              <w:jc w:val="both"/>
              <w:rPr>
                <w:sz w:val="20"/>
                <w:szCs w:val="20"/>
                <w:u w:val="single"/>
                <w:lang w:eastAsia="cs-CZ"/>
              </w:rPr>
            </w:pPr>
            <w:r w:rsidRPr="0049384B">
              <w:rPr>
                <w:sz w:val="20"/>
                <w:szCs w:val="20"/>
                <w:u w:val="single"/>
                <w:lang w:eastAsia="cs-CZ"/>
              </w:rPr>
              <w:t>Odůvodnění:</w:t>
            </w:r>
          </w:p>
          <w:p w14:paraId="1F93C436" w14:textId="77777777" w:rsidR="0049384B" w:rsidRPr="0049384B" w:rsidRDefault="0049384B" w:rsidP="0049384B">
            <w:pPr>
              <w:overflowPunct w:val="0"/>
              <w:autoSpaceDE w:val="0"/>
              <w:autoSpaceDN w:val="0"/>
              <w:adjustRightInd w:val="0"/>
              <w:spacing w:after="120"/>
              <w:jc w:val="both"/>
              <w:rPr>
                <w:sz w:val="20"/>
                <w:szCs w:val="20"/>
                <w:lang w:eastAsia="cs-CZ"/>
              </w:rPr>
            </w:pPr>
            <w:bookmarkStart w:id="15" w:name="_Hlk169773403"/>
            <w:r w:rsidRPr="0049384B">
              <w:rPr>
                <w:sz w:val="20"/>
                <w:szCs w:val="20"/>
                <w:lang w:eastAsia="cs-CZ"/>
              </w:rPr>
              <w:t>Ustanovení je napsáno příliš obecně, ve stávající podobě nutí účetní jednotky neustále sledovat veškeré rozdíly mezi mezinárodními účetními standardy a český účetními standardy. Pokud pro některé typy účetních jednotek povinně používající mezinárodní účetní standardy již české účetní standardy nebudou existovat, může toto být obtížně realizovatelné. Mělo by zde být konkrétně zmíněno, pro jaké typy operací toto ustanovení platí</w:t>
            </w:r>
            <w:bookmarkEnd w:id="15"/>
            <w:r w:rsidRPr="0049384B">
              <w:rPr>
                <w:sz w:val="20"/>
                <w:szCs w:val="20"/>
                <w:lang w:eastAsia="cs-CZ"/>
              </w:rPr>
              <w:t>.</w:t>
            </w:r>
          </w:p>
        </w:tc>
        <w:tc>
          <w:tcPr>
            <w:tcW w:w="1863" w:type="pct"/>
            <w:tcBorders>
              <w:top w:val="single" w:sz="4" w:space="0" w:color="auto"/>
              <w:left w:val="single" w:sz="4" w:space="0" w:color="auto"/>
              <w:bottom w:val="single" w:sz="4" w:space="0" w:color="auto"/>
              <w:right w:val="single" w:sz="4" w:space="0" w:color="auto"/>
            </w:tcBorders>
            <w:shd w:val="clear" w:color="auto" w:fill="auto"/>
          </w:tcPr>
          <w:p w14:paraId="02DB16C6" w14:textId="77777777" w:rsidR="0049384B" w:rsidRPr="0049384B" w:rsidRDefault="0049384B" w:rsidP="0049384B">
            <w:pPr>
              <w:ind w:left="-142" w:right="-59"/>
              <w:jc w:val="center"/>
              <w:rPr>
                <w:sz w:val="20"/>
                <w:szCs w:val="20"/>
                <w:highlight w:val="lightGray"/>
                <w:lang w:eastAsia="cs-CZ"/>
              </w:rPr>
            </w:pPr>
          </w:p>
        </w:tc>
      </w:tr>
      <w:tr w:rsidR="0049384B" w:rsidRPr="0049384B" w14:paraId="25AD152B" w14:textId="77777777" w:rsidTr="0049384B">
        <w:trPr>
          <w:trHeight w:val="513"/>
        </w:trPr>
        <w:tc>
          <w:tcPr>
            <w:tcW w:w="423" w:type="pct"/>
            <w:tcBorders>
              <w:top w:val="single" w:sz="4" w:space="0" w:color="auto"/>
              <w:left w:val="single" w:sz="4" w:space="0" w:color="auto"/>
              <w:bottom w:val="single" w:sz="4" w:space="0" w:color="auto"/>
              <w:right w:val="single" w:sz="4" w:space="0" w:color="auto"/>
            </w:tcBorders>
            <w:shd w:val="clear" w:color="auto" w:fill="auto"/>
          </w:tcPr>
          <w:p w14:paraId="2BEE442C" w14:textId="77777777" w:rsidR="0049384B" w:rsidRPr="0049384B" w:rsidRDefault="0049384B" w:rsidP="0049384B">
            <w:pPr>
              <w:jc w:val="center"/>
              <w:rPr>
                <w:color w:val="0000FF"/>
                <w:sz w:val="20"/>
                <w:szCs w:val="20"/>
                <w:lang w:eastAsia="cs-CZ"/>
              </w:rPr>
            </w:pPr>
            <w:r w:rsidRPr="0049384B">
              <w:rPr>
                <w:sz w:val="20"/>
                <w:szCs w:val="20"/>
                <w:lang w:eastAsia="cs-CZ"/>
              </w:rPr>
              <w:t>UZS ČR</w:t>
            </w: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6EBA0E25" w14:textId="77777777" w:rsidR="0049384B" w:rsidRPr="0049384B" w:rsidRDefault="0049384B" w:rsidP="0049384B">
            <w:pPr>
              <w:jc w:val="center"/>
              <w:rPr>
                <w:sz w:val="20"/>
                <w:szCs w:val="20"/>
                <w:lang w:eastAsia="cs-CZ"/>
              </w:rPr>
            </w:pPr>
            <w:r w:rsidRPr="0049384B">
              <w:rPr>
                <w:sz w:val="20"/>
                <w:szCs w:val="20"/>
                <w:lang w:eastAsia="cs-CZ"/>
              </w:rPr>
              <w:t>6.</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72BD8A30" w14:textId="77777777" w:rsidR="0049384B" w:rsidRPr="0049384B" w:rsidRDefault="0049384B" w:rsidP="0049384B">
            <w:pPr>
              <w:jc w:val="center"/>
              <w:rPr>
                <w:sz w:val="20"/>
                <w:szCs w:val="20"/>
                <w:lang w:eastAsia="cs-CZ"/>
              </w:rPr>
            </w:pPr>
            <w:r w:rsidRPr="0049384B">
              <w:rPr>
                <w:sz w:val="20"/>
                <w:szCs w:val="20"/>
                <w:lang w:eastAsia="cs-CZ"/>
              </w:rPr>
              <w:t>Z</w:t>
            </w:r>
          </w:p>
        </w:tc>
        <w:tc>
          <w:tcPr>
            <w:tcW w:w="2181" w:type="pct"/>
            <w:tcBorders>
              <w:top w:val="single" w:sz="4" w:space="0" w:color="auto"/>
              <w:left w:val="single" w:sz="4" w:space="0" w:color="auto"/>
              <w:bottom w:val="single" w:sz="4" w:space="0" w:color="auto"/>
              <w:right w:val="single" w:sz="4" w:space="0" w:color="auto"/>
            </w:tcBorders>
            <w:shd w:val="clear" w:color="auto" w:fill="auto"/>
          </w:tcPr>
          <w:p w14:paraId="6C6B513D" w14:textId="77777777" w:rsidR="0049384B" w:rsidRPr="0049384B" w:rsidRDefault="0049384B" w:rsidP="0049384B">
            <w:pPr>
              <w:tabs>
                <w:tab w:val="num" w:pos="585"/>
              </w:tabs>
              <w:overflowPunct w:val="0"/>
              <w:autoSpaceDE w:val="0"/>
              <w:autoSpaceDN w:val="0"/>
              <w:adjustRightInd w:val="0"/>
              <w:spacing w:after="120"/>
              <w:ind w:left="340" w:hanging="340"/>
              <w:jc w:val="both"/>
              <w:rPr>
                <w:b/>
                <w:sz w:val="20"/>
                <w:szCs w:val="20"/>
                <w:lang w:eastAsia="cs-CZ"/>
              </w:rPr>
            </w:pPr>
            <w:r w:rsidRPr="0049384B">
              <w:rPr>
                <w:b/>
                <w:sz w:val="20"/>
                <w:szCs w:val="20"/>
                <w:lang w:eastAsia="cs-CZ"/>
              </w:rPr>
              <w:t>K části dvacáté – změna zákona o daních z příjmů</w:t>
            </w:r>
          </w:p>
          <w:p w14:paraId="6C189076" w14:textId="77777777" w:rsidR="0049384B" w:rsidRPr="0049384B" w:rsidRDefault="0049384B" w:rsidP="0049384B">
            <w:pPr>
              <w:tabs>
                <w:tab w:val="num" w:pos="585"/>
              </w:tabs>
              <w:overflowPunct w:val="0"/>
              <w:autoSpaceDE w:val="0"/>
              <w:autoSpaceDN w:val="0"/>
              <w:adjustRightInd w:val="0"/>
              <w:spacing w:after="120"/>
              <w:ind w:left="340" w:hanging="340"/>
              <w:jc w:val="both"/>
              <w:rPr>
                <w:b/>
                <w:sz w:val="20"/>
                <w:szCs w:val="20"/>
                <w:lang w:eastAsia="cs-CZ"/>
              </w:rPr>
            </w:pPr>
            <w:r w:rsidRPr="0049384B">
              <w:rPr>
                <w:b/>
                <w:sz w:val="20"/>
                <w:szCs w:val="20"/>
                <w:lang w:eastAsia="cs-CZ"/>
              </w:rPr>
              <w:t xml:space="preserve">K bodu </w:t>
            </w:r>
            <w:bookmarkStart w:id="16" w:name="_Hlk169773420"/>
            <w:r w:rsidRPr="0049384B">
              <w:rPr>
                <w:b/>
                <w:sz w:val="20"/>
                <w:szCs w:val="20"/>
                <w:lang w:eastAsia="cs-CZ"/>
              </w:rPr>
              <w:t>126 § 23 odst. 13</w:t>
            </w:r>
            <w:bookmarkEnd w:id="16"/>
          </w:p>
          <w:p w14:paraId="056AF016" w14:textId="77777777" w:rsidR="0049384B" w:rsidRPr="0049384B" w:rsidRDefault="0049384B" w:rsidP="0049384B">
            <w:pPr>
              <w:overflowPunct w:val="0"/>
              <w:autoSpaceDE w:val="0"/>
              <w:autoSpaceDN w:val="0"/>
              <w:adjustRightInd w:val="0"/>
              <w:spacing w:after="120"/>
              <w:jc w:val="both"/>
              <w:rPr>
                <w:sz w:val="20"/>
                <w:szCs w:val="20"/>
                <w:lang w:eastAsia="cs-CZ"/>
              </w:rPr>
            </w:pPr>
            <w:bookmarkStart w:id="17" w:name="_Hlk169773427"/>
            <w:r w:rsidRPr="0049384B">
              <w:rPr>
                <w:sz w:val="20"/>
                <w:szCs w:val="20"/>
                <w:lang w:eastAsia="cs-CZ"/>
              </w:rPr>
              <w:t>Požadujeme změnu textace ustanovení</w:t>
            </w:r>
            <w:bookmarkEnd w:id="17"/>
            <w:r w:rsidRPr="0049384B">
              <w:rPr>
                <w:sz w:val="20"/>
                <w:szCs w:val="20"/>
                <w:lang w:eastAsia="cs-CZ"/>
              </w:rPr>
              <w:t>.</w:t>
            </w:r>
          </w:p>
          <w:p w14:paraId="72894126" w14:textId="77777777" w:rsidR="0049384B" w:rsidRPr="0049384B" w:rsidRDefault="0049384B" w:rsidP="0049384B">
            <w:pPr>
              <w:overflowPunct w:val="0"/>
              <w:autoSpaceDE w:val="0"/>
              <w:autoSpaceDN w:val="0"/>
              <w:adjustRightInd w:val="0"/>
              <w:spacing w:after="120"/>
              <w:jc w:val="both"/>
              <w:rPr>
                <w:sz w:val="20"/>
                <w:szCs w:val="20"/>
                <w:u w:val="single"/>
                <w:lang w:eastAsia="cs-CZ"/>
              </w:rPr>
            </w:pPr>
            <w:r w:rsidRPr="0049384B">
              <w:rPr>
                <w:sz w:val="20"/>
                <w:szCs w:val="20"/>
                <w:u w:val="single"/>
                <w:lang w:eastAsia="cs-CZ"/>
              </w:rPr>
              <w:t>Odůvodnění:</w:t>
            </w:r>
          </w:p>
          <w:p w14:paraId="169541BF" w14:textId="77777777" w:rsidR="0049384B" w:rsidRPr="0049384B" w:rsidRDefault="0049384B" w:rsidP="0049384B">
            <w:pPr>
              <w:overflowPunct w:val="0"/>
              <w:autoSpaceDE w:val="0"/>
              <w:autoSpaceDN w:val="0"/>
              <w:adjustRightInd w:val="0"/>
              <w:spacing w:after="120"/>
              <w:jc w:val="both"/>
              <w:rPr>
                <w:sz w:val="20"/>
                <w:szCs w:val="20"/>
                <w:lang w:eastAsia="cs-CZ"/>
              </w:rPr>
            </w:pPr>
            <w:bookmarkStart w:id="18" w:name="_Hlk169773436"/>
            <w:r w:rsidRPr="0049384B">
              <w:rPr>
                <w:sz w:val="20"/>
                <w:szCs w:val="20"/>
                <w:lang w:eastAsia="cs-CZ"/>
              </w:rPr>
              <w:t xml:space="preserve">Ač jsme přesvědčeni o vhodnosti tohoto ustanovení, obáváme se, že v navržené podobě je prakticky nerealizovatelné. Požadované porovnání úhrnu daňových základů za všechna období dotčená změnou s úhrnem daňových základů za totéž období, avšak upravených podle postupů po změně metody, je s ohledem na vymezení období a vazbu na daňové základy fakticky neproveditelné. Máme za to, že relevantní by bylo vycházet z postupů použitých v účetnictví a rozdíl základů daně odvodit podle daňových pravidel platných k datu změny metody ze změny výsledku minulých let vyčíslený ze změny hodnoty majetku (aktiv) a závazků (dluhů) vyvolané změnou metody. Stejně může toto ustanovení fungovat jak pro poplatníky s akruálním základem daně, kteří podle mezinárodních účetních standardů již vykazovali, tak pro poplatníky s akruálním základem daně, kteří na vykazování podle mezinárodních účetních standardů teprve přecházejí. </w:t>
            </w:r>
          </w:p>
          <w:p w14:paraId="77080870" w14:textId="77777777" w:rsidR="0049384B" w:rsidRPr="0049384B" w:rsidRDefault="0049384B" w:rsidP="0049384B">
            <w:pPr>
              <w:overflowPunct w:val="0"/>
              <w:autoSpaceDE w:val="0"/>
              <w:autoSpaceDN w:val="0"/>
              <w:adjustRightInd w:val="0"/>
              <w:spacing w:after="120"/>
              <w:jc w:val="both"/>
              <w:rPr>
                <w:sz w:val="20"/>
                <w:szCs w:val="20"/>
                <w:lang w:eastAsia="cs-CZ"/>
              </w:rPr>
            </w:pPr>
            <w:r w:rsidRPr="0049384B">
              <w:rPr>
                <w:sz w:val="20"/>
                <w:szCs w:val="20"/>
                <w:lang w:eastAsia="cs-CZ"/>
              </w:rPr>
              <w:t xml:space="preserve">Nadto se domníváme, že bude-li zákon obsahovat toto ustanovení, pak by mělo být zrušeno ustanovení navrhované pod bodem č. 95 (viz </w:t>
            </w:r>
            <w:r w:rsidRPr="0049384B">
              <w:rPr>
                <w:sz w:val="20"/>
                <w:szCs w:val="20"/>
                <w:lang w:eastAsia="cs-CZ"/>
              </w:rPr>
              <w:lastRenderedPageBreak/>
              <w:t>výše) a zároveň se nám jeví jako redundantní ustanovení navrhované pod bodem 11 v článku XXI (přechodná ustanovení)</w:t>
            </w:r>
            <w:bookmarkEnd w:id="18"/>
            <w:r w:rsidRPr="0049384B">
              <w:rPr>
                <w:sz w:val="20"/>
                <w:szCs w:val="20"/>
                <w:lang w:eastAsia="cs-CZ"/>
              </w:rPr>
              <w:t>.</w:t>
            </w:r>
          </w:p>
          <w:p w14:paraId="0A38988B" w14:textId="77777777" w:rsidR="0049384B" w:rsidRPr="0049384B" w:rsidRDefault="0049384B" w:rsidP="0049384B">
            <w:pPr>
              <w:overflowPunct w:val="0"/>
              <w:autoSpaceDE w:val="0"/>
              <w:autoSpaceDN w:val="0"/>
              <w:adjustRightInd w:val="0"/>
              <w:spacing w:after="120"/>
              <w:jc w:val="both"/>
              <w:rPr>
                <w:b/>
                <w:sz w:val="20"/>
                <w:szCs w:val="20"/>
                <w:lang w:eastAsia="cs-CZ"/>
              </w:rPr>
            </w:pPr>
            <w:r w:rsidRPr="0049384B">
              <w:rPr>
                <w:b/>
                <w:sz w:val="20"/>
                <w:szCs w:val="20"/>
                <w:lang w:eastAsia="cs-CZ"/>
              </w:rPr>
              <w:t>Zásadní připomínka.</w:t>
            </w:r>
          </w:p>
        </w:tc>
        <w:tc>
          <w:tcPr>
            <w:tcW w:w="1863" w:type="pct"/>
            <w:tcBorders>
              <w:top w:val="single" w:sz="4" w:space="0" w:color="auto"/>
              <w:left w:val="single" w:sz="4" w:space="0" w:color="auto"/>
              <w:bottom w:val="single" w:sz="4" w:space="0" w:color="auto"/>
              <w:right w:val="single" w:sz="4" w:space="0" w:color="auto"/>
            </w:tcBorders>
            <w:shd w:val="clear" w:color="auto" w:fill="auto"/>
          </w:tcPr>
          <w:p w14:paraId="3840B6AE" w14:textId="77777777" w:rsidR="0049384B" w:rsidRPr="0049384B" w:rsidRDefault="0049384B" w:rsidP="0049384B">
            <w:pPr>
              <w:ind w:left="-142" w:right="-59"/>
              <w:jc w:val="center"/>
              <w:rPr>
                <w:sz w:val="20"/>
                <w:szCs w:val="20"/>
                <w:highlight w:val="lightGray"/>
                <w:lang w:eastAsia="cs-CZ"/>
              </w:rPr>
            </w:pPr>
          </w:p>
        </w:tc>
      </w:tr>
      <w:tr w:rsidR="0049384B" w:rsidRPr="0049384B" w14:paraId="072C83E4" w14:textId="77777777" w:rsidTr="0049384B">
        <w:trPr>
          <w:trHeight w:val="513"/>
        </w:trPr>
        <w:tc>
          <w:tcPr>
            <w:tcW w:w="423" w:type="pct"/>
            <w:tcBorders>
              <w:top w:val="single" w:sz="4" w:space="0" w:color="auto"/>
              <w:left w:val="single" w:sz="4" w:space="0" w:color="auto"/>
              <w:bottom w:val="single" w:sz="4" w:space="0" w:color="auto"/>
              <w:right w:val="single" w:sz="4" w:space="0" w:color="auto"/>
            </w:tcBorders>
            <w:shd w:val="clear" w:color="auto" w:fill="auto"/>
          </w:tcPr>
          <w:p w14:paraId="7C11D1EF" w14:textId="77777777" w:rsidR="0049384B" w:rsidRPr="0049384B" w:rsidRDefault="0049384B" w:rsidP="0049384B">
            <w:pPr>
              <w:jc w:val="center"/>
              <w:rPr>
                <w:color w:val="0000FF"/>
                <w:sz w:val="20"/>
                <w:szCs w:val="20"/>
                <w:lang w:eastAsia="cs-CZ"/>
              </w:rPr>
            </w:pPr>
            <w:r w:rsidRPr="0049384B">
              <w:rPr>
                <w:sz w:val="20"/>
                <w:szCs w:val="20"/>
                <w:lang w:eastAsia="cs-CZ"/>
              </w:rPr>
              <w:t>UZS ČR</w:t>
            </w: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52AFAA52" w14:textId="77777777" w:rsidR="0049384B" w:rsidRPr="0049384B" w:rsidRDefault="0049384B" w:rsidP="0049384B">
            <w:pPr>
              <w:jc w:val="center"/>
              <w:rPr>
                <w:sz w:val="20"/>
                <w:szCs w:val="20"/>
                <w:lang w:eastAsia="cs-CZ"/>
              </w:rPr>
            </w:pPr>
            <w:r w:rsidRPr="0049384B">
              <w:rPr>
                <w:sz w:val="20"/>
                <w:szCs w:val="20"/>
                <w:lang w:eastAsia="cs-CZ"/>
              </w:rPr>
              <w:t>7.</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3825E63A" w14:textId="77777777" w:rsidR="0049384B" w:rsidRPr="0049384B" w:rsidRDefault="0049384B" w:rsidP="0049384B">
            <w:pPr>
              <w:jc w:val="center"/>
              <w:rPr>
                <w:sz w:val="20"/>
                <w:szCs w:val="20"/>
                <w:lang w:eastAsia="cs-CZ"/>
              </w:rPr>
            </w:pPr>
            <w:r w:rsidRPr="0049384B">
              <w:rPr>
                <w:sz w:val="20"/>
                <w:szCs w:val="20"/>
                <w:lang w:eastAsia="cs-CZ"/>
              </w:rPr>
              <w:t>D</w:t>
            </w:r>
          </w:p>
        </w:tc>
        <w:tc>
          <w:tcPr>
            <w:tcW w:w="2181" w:type="pct"/>
            <w:tcBorders>
              <w:top w:val="single" w:sz="4" w:space="0" w:color="auto"/>
              <w:left w:val="single" w:sz="4" w:space="0" w:color="auto"/>
              <w:bottom w:val="single" w:sz="4" w:space="0" w:color="auto"/>
              <w:right w:val="single" w:sz="4" w:space="0" w:color="auto"/>
            </w:tcBorders>
            <w:shd w:val="clear" w:color="auto" w:fill="auto"/>
          </w:tcPr>
          <w:p w14:paraId="20FE2221" w14:textId="77777777" w:rsidR="0049384B" w:rsidRPr="0049384B" w:rsidRDefault="0049384B" w:rsidP="0049384B">
            <w:pPr>
              <w:tabs>
                <w:tab w:val="num" w:pos="585"/>
              </w:tabs>
              <w:overflowPunct w:val="0"/>
              <w:autoSpaceDE w:val="0"/>
              <w:autoSpaceDN w:val="0"/>
              <w:adjustRightInd w:val="0"/>
              <w:spacing w:after="120"/>
              <w:ind w:left="340" w:hanging="340"/>
              <w:jc w:val="both"/>
              <w:rPr>
                <w:b/>
                <w:sz w:val="20"/>
                <w:szCs w:val="20"/>
                <w:lang w:eastAsia="cs-CZ"/>
              </w:rPr>
            </w:pPr>
            <w:r w:rsidRPr="0049384B">
              <w:rPr>
                <w:b/>
                <w:sz w:val="20"/>
                <w:szCs w:val="20"/>
                <w:lang w:eastAsia="cs-CZ"/>
              </w:rPr>
              <w:t>K části dvacáté – změna zákona o daních z příjmů</w:t>
            </w:r>
          </w:p>
          <w:p w14:paraId="50700469" w14:textId="77777777" w:rsidR="0049384B" w:rsidRPr="0049384B" w:rsidRDefault="0049384B" w:rsidP="0049384B">
            <w:pPr>
              <w:tabs>
                <w:tab w:val="num" w:pos="585"/>
              </w:tabs>
              <w:overflowPunct w:val="0"/>
              <w:autoSpaceDE w:val="0"/>
              <w:autoSpaceDN w:val="0"/>
              <w:adjustRightInd w:val="0"/>
              <w:spacing w:after="120"/>
              <w:ind w:left="340" w:hanging="340"/>
              <w:jc w:val="both"/>
              <w:rPr>
                <w:b/>
                <w:sz w:val="20"/>
                <w:szCs w:val="20"/>
                <w:lang w:eastAsia="cs-CZ"/>
              </w:rPr>
            </w:pPr>
            <w:r w:rsidRPr="0049384B">
              <w:rPr>
                <w:b/>
                <w:sz w:val="20"/>
                <w:szCs w:val="20"/>
                <w:lang w:eastAsia="cs-CZ"/>
              </w:rPr>
              <w:t xml:space="preserve">K bodu </w:t>
            </w:r>
            <w:bookmarkStart w:id="19" w:name="_Hlk169773453"/>
            <w:r w:rsidRPr="0049384B">
              <w:rPr>
                <w:b/>
                <w:sz w:val="20"/>
                <w:szCs w:val="20"/>
                <w:lang w:eastAsia="cs-CZ"/>
              </w:rPr>
              <w:t>126 § 23 odst. 14</w:t>
            </w:r>
            <w:bookmarkEnd w:id="19"/>
          </w:p>
          <w:p w14:paraId="7466015D" w14:textId="77777777" w:rsidR="0049384B" w:rsidRPr="0049384B" w:rsidRDefault="0049384B" w:rsidP="0049384B">
            <w:pPr>
              <w:overflowPunct w:val="0"/>
              <w:autoSpaceDE w:val="0"/>
              <w:autoSpaceDN w:val="0"/>
              <w:adjustRightInd w:val="0"/>
              <w:spacing w:after="120"/>
              <w:jc w:val="both"/>
              <w:rPr>
                <w:sz w:val="20"/>
                <w:szCs w:val="20"/>
                <w:lang w:eastAsia="cs-CZ"/>
              </w:rPr>
            </w:pPr>
            <w:bookmarkStart w:id="20" w:name="_Hlk169773461"/>
            <w:r w:rsidRPr="0049384B">
              <w:rPr>
                <w:sz w:val="20"/>
                <w:szCs w:val="20"/>
                <w:lang w:eastAsia="cs-CZ"/>
              </w:rPr>
              <w:t>Navrhujeme formálně upravit</w:t>
            </w:r>
            <w:bookmarkEnd w:id="20"/>
            <w:r w:rsidRPr="0049384B">
              <w:rPr>
                <w:sz w:val="20"/>
                <w:szCs w:val="20"/>
                <w:lang w:eastAsia="cs-CZ"/>
              </w:rPr>
              <w:t>.</w:t>
            </w:r>
          </w:p>
          <w:p w14:paraId="084F4918" w14:textId="77777777" w:rsidR="0049384B" w:rsidRPr="0049384B" w:rsidRDefault="0049384B" w:rsidP="0049384B">
            <w:pPr>
              <w:overflowPunct w:val="0"/>
              <w:autoSpaceDE w:val="0"/>
              <w:autoSpaceDN w:val="0"/>
              <w:adjustRightInd w:val="0"/>
              <w:spacing w:after="120"/>
              <w:jc w:val="both"/>
              <w:rPr>
                <w:sz w:val="20"/>
                <w:szCs w:val="20"/>
                <w:u w:val="single"/>
                <w:lang w:eastAsia="cs-CZ"/>
              </w:rPr>
            </w:pPr>
            <w:r w:rsidRPr="0049384B">
              <w:rPr>
                <w:sz w:val="20"/>
                <w:szCs w:val="20"/>
                <w:u w:val="single"/>
                <w:lang w:eastAsia="cs-CZ"/>
              </w:rPr>
              <w:t>Odůvodnění:</w:t>
            </w:r>
          </w:p>
          <w:p w14:paraId="64B3DE61" w14:textId="77777777" w:rsidR="0049384B" w:rsidRPr="0049384B" w:rsidRDefault="0049384B" w:rsidP="0049384B">
            <w:pPr>
              <w:overflowPunct w:val="0"/>
              <w:autoSpaceDE w:val="0"/>
              <w:autoSpaceDN w:val="0"/>
              <w:adjustRightInd w:val="0"/>
              <w:spacing w:after="120"/>
              <w:jc w:val="both"/>
              <w:rPr>
                <w:sz w:val="20"/>
                <w:szCs w:val="20"/>
                <w:lang w:eastAsia="cs-CZ"/>
              </w:rPr>
            </w:pPr>
            <w:bookmarkStart w:id="21" w:name="_Hlk169773468"/>
            <w:r w:rsidRPr="0049384B">
              <w:rPr>
                <w:sz w:val="20"/>
                <w:szCs w:val="20"/>
                <w:lang w:eastAsia="cs-CZ"/>
              </w:rPr>
              <w:t>Máme za to, že snaha o stručnost v tomto případě použitím obratu „nebo naopak“, neplní účel a ustanovení je tak spíše nejasné. Jakkoli nepopíráme, že průměrně zkušený uživatel je schopen odvodit si správně, jaký měl být smysl ustanovení, bylo by podle našeho názoru správnější uvést explicitně, že se toto ustanovení vztahuje na situace, kdy poplatník s akruálním základem daně přestává používat mezinárodní účetní standardy, stejně jako situace, kdy naopak poplatník s akruálním základem daně nově začíná vykazovat podle mezinárodních účetních standardů</w:t>
            </w:r>
            <w:bookmarkEnd w:id="21"/>
            <w:r w:rsidRPr="0049384B">
              <w:rPr>
                <w:sz w:val="20"/>
                <w:szCs w:val="20"/>
                <w:lang w:eastAsia="cs-CZ"/>
              </w:rPr>
              <w:t>.</w:t>
            </w:r>
          </w:p>
        </w:tc>
        <w:tc>
          <w:tcPr>
            <w:tcW w:w="1863" w:type="pct"/>
            <w:tcBorders>
              <w:top w:val="single" w:sz="4" w:space="0" w:color="auto"/>
              <w:left w:val="single" w:sz="4" w:space="0" w:color="auto"/>
              <w:bottom w:val="single" w:sz="4" w:space="0" w:color="auto"/>
              <w:right w:val="single" w:sz="4" w:space="0" w:color="auto"/>
            </w:tcBorders>
            <w:shd w:val="clear" w:color="auto" w:fill="auto"/>
          </w:tcPr>
          <w:p w14:paraId="63672613" w14:textId="77777777" w:rsidR="0049384B" w:rsidRPr="0049384B" w:rsidRDefault="0049384B" w:rsidP="0049384B">
            <w:pPr>
              <w:ind w:left="-142" w:right="-59"/>
              <w:jc w:val="center"/>
              <w:rPr>
                <w:sz w:val="20"/>
                <w:szCs w:val="20"/>
                <w:highlight w:val="lightGray"/>
                <w:lang w:eastAsia="cs-CZ"/>
              </w:rPr>
            </w:pPr>
          </w:p>
        </w:tc>
      </w:tr>
      <w:tr w:rsidR="0049384B" w:rsidRPr="0049384B" w14:paraId="02E18024" w14:textId="77777777" w:rsidTr="0049384B">
        <w:trPr>
          <w:trHeight w:val="513"/>
        </w:trPr>
        <w:tc>
          <w:tcPr>
            <w:tcW w:w="423" w:type="pct"/>
            <w:tcBorders>
              <w:top w:val="single" w:sz="4" w:space="0" w:color="auto"/>
              <w:left w:val="single" w:sz="4" w:space="0" w:color="auto"/>
              <w:bottom w:val="single" w:sz="4" w:space="0" w:color="auto"/>
              <w:right w:val="single" w:sz="4" w:space="0" w:color="auto"/>
            </w:tcBorders>
            <w:shd w:val="clear" w:color="auto" w:fill="auto"/>
          </w:tcPr>
          <w:p w14:paraId="51CC8543" w14:textId="77777777" w:rsidR="0049384B" w:rsidRPr="0049384B" w:rsidRDefault="0049384B" w:rsidP="0049384B">
            <w:pPr>
              <w:jc w:val="center"/>
              <w:rPr>
                <w:color w:val="0000FF"/>
                <w:sz w:val="20"/>
                <w:szCs w:val="20"/>
                <w:lang w:eastAsia="cs-CZ"/>
              </w:rPr>
            </w:pPr>
            <w:r w:rsidRPr="0049384B">
              <w:rPr>
                <w:sz w:val="20"/>
                <w:szCs w:val="20"/>
                <w:lang w:eastAsia="cs-CZ"/>
              </w:rPr>
              <w:t>UZS ČR</w:t>
            </w: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2E214776" w14:textId="77777777" w:rsidR="0049384B" w:rsidRPr="0049384B" w:rsidRDefault="0049384B" w:rsidP="0049384B">
            <w:pPr>
              <w:jc w:val="center"/>
              <w:rPr>
                <w:sz w:val="20"/>
                <w:szCs w:val="20"/>
                <w:lang w:eastAsia="cs-CZ"/>
              </w:rPr>
            </w:pPr>
            <w:r w:rsidRPr="0049384B">
              <w:rPr>
                <w:sz w:val="20"/>
                <w:szCs w:val="20"/>
                <w:lang w:eastAsia="cs-CZ"/>
              </w:rPr>
              <w:t>8.</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4DBF57D4" w14:textId="77777777" w:rsidR="0049384B" w:rsidRPr="0049384B" w:rsidRDefault="0049384B" w:rsidP="0049384B">
            <w:pPr>
              <w:jc w:val="center"/>
              <w:rPr>
                <w:sz w:val="20"/>
                <w:szCs w:val="20"/>
                <w:lang w:eastAsia="cs-CZ"/>
              </w:rPr>
            </w:pPr>
            <w:r w:rsidRPr="0049384B">
              <w:rPr>
                <w:sz w:val="20"/>
                <w:szCs w:val="20"/>
                <w:lang w:eastAsia="cs-CZ"/>
              </w:rPr>
              <w:t>Z</w:t>
            </w:r>
          </w:p>
        </w:tc>
        <w:tc>
          <w:tcPr>
            <w:tcW w:w="2181" w:type="pct"/>
            <w:tcBorders>
              <w:top w:val="single" w:sz="4" w:space="0" w:color="auto"/>
              <w:left w:val="single" w:sz="4" w:space="0" w:color="auto"/>
              <w:bottom w:val="single" w:sz="4" w:space="0" w:color="auto"/>
              <w:right w:val="single" w:sz="4" w:space="0" w:color="auto"/>
            </w:tcBorders>
            <w:shd w:val="clear" w:color="auto" w:fill="auto"/>
          </w:tcPr>
          <w:p w14:paraId="40993150" w14:textId="77777777" w:rsidR="0049384B" w:rsidRPr="0049384B" w:rsidRDefault="0049384B" w:rsidP="0049384B">
            <w:pPr>
              <w:tabs>
                <w:tab w:val="num" w:pos="585"/>
              </w:tabs>
              <w:overflowPunct w:val="0"/>
              <w:autoSpaceDE w:val="0"/>
              <w:autoSpaceDN w:val="0"/>
              <w:adjustRightInd w:val="0"/>
              <w:spacing w:after="120"/>
              <w:ind w:left="340" w:hanging="340"/>
              <w:jc w:val="both"/>
              <w:rPr>
                <w:b/>
                <w:sz w:val="20"/>
                <w:szCs w:val="20"/>
                <w:lang w:eastAsia="cs-CZ"/>
              </w:rPr>
            </w:pPr>
            <w:r w:rsidRPr="0049384B">
              <w:rPr>
                <w:b/>
                <w:sz w:val="20"/>
                <w:szCs w:val="20"/>
                <w:lang w:eastAsia="cs-CZ"/>
              </w:rPr>
              <w:t>K části dvacáté – změna zákona o daních z příjmů</w:t>
            </w:r>
          </w:p>
          <w:p w14:paraId="5005A6F9" w14:textId="77777777" w:rsidR="0049384B" w:rsidRPr="0049384B" w:rsidRDefault="0049384B" w:rsidP="0049384B">
            <w:pPr>
              <w:tabs>
                <w:tab w:val="num" w:pos="585"/>
              </w:tabs>
              <w:overflowPunct w:val="0"/>
              <w:autoSpaceDE w:val="0"/>
              <w:autoSpaceDN w:val="0"/>
              <w:adjustRightInd w:val="0"/>
              <w:spacing w:after="120"/>
              <w:ind w:left="340" w:hanging="340"/>
              <w:jc w:val="both"/>
              <w:rPr>
                <w:b/>
                <w:sz w:val="20"/>
                <w:szCs w:val="20"/>
                <w:lang w:eastAsia="cs-CZ"/>
              </w:rPr>
            </w:pPr>
            <w:r w:rsidRPr="0049384B">
              <w:rPr>
                <w:b/>
                <w:sz w:val="20"/>
                <w:szCs w:val="20"/>
                <w:lang w:eastAsia="cs-CZ"/>
              </w:rPr>
              <w:t xml:space="preserve">K bodu </w:t>
            </w:r>
            <w:bookmarkStart w:id="22" w:name="_Hlk169773490"/>
            <w:r w:rsidRPr="0049384B">
              <w:rPr>
                <w:b/>
                <w:sz w:val="20"/>
                <w:szCs w:val="20"/>
                <w:lang w:eastAsia="cs-CZ"/>
              </w:rPr>
              <w:t>161 § 24 odst. 2 písm. e)</w:t>
            </w:r>
            <w:bookmarkEnd w:id="22"/>
          </w:p>
          <w:p w14:paraId="03E3814B" w14:textId="77777777" w:rsidR="0049384B" w:rsidRPr="0049384B" w:rsidRDefault="0049384B" w:rsidP="0049384B">
            <w:pPr>
              <w:overflowPunct w:val="0"/>
              <w:autoSpaceDE w:val="0"/>
              <w:autoSpaceDN w:val="0"/>
              <w:adjustRightInd w:val="0"/>
              <w:spacing w:after="120"/>
              <w:jc w:val="both"/>
              <w:rPr>
                <w:sz w:val="20"/>
                <w:szCs w:val="20"/>
                <w:lang w:eastAsia="cs-CZ"/>
              </w:rPr>
            </w:pPr>
            <w:bookmarkStart w:id="23" w:name="_Hlk169773499"/>
            <w:r w:rsidRPr="0049384B">
              <w:rPr>
                <w:sz w:val="20"/>
                <w:szCs w:val="20"/>
                <w:lang w:eastAsia="cs-CZ"/>
              </w:rPr>
              <w:t>Požadujeme zvážit vhodnost navržené právní úpravy a upravit v souladu s odůvodněním níže</w:t>
            </w:r>
            <w:bookmarkEnd w:id="23"/>
            <w:r w:rsidRPr="0049384B">
              <w:rPr>
                <w:sz w:val="20"/>
                <w:szCs w:val="20"/>
                <w:lang w:eastAsia="cs-CZ"/>
              </w:rPr>
              <w:t>.</w:t>
            </w:r>
          </w:p>
          <w:p w14:paraId="49E3BDC3" w14:textId="77777777" w:rsidR="0049384B" w:rsidRPr="0049384B" w:rsidRDefault="0049384B" w:rsidP="0049384B">
            <w:pPr>
              <w:overflowPunct w:val="0"/>
              <w:autoSpaceDE w:val="0"/>
              <w:autoSpaceDN w:val="0"/>
              <w:adjustRightInd w:val="0"/>
              <w:spacing w:after="120"/>
              <w:jc w:val="both"/>
              <w:rPr>
                <w:sz w:val="20"/>
                <w:szCs w:val="20"/>
                <w:u w:val="single"/>
                <w:lang w:eastAsia="cs-CZ"/>
              </w:rPr>
            </w:pPr>
            <w:r w:rsidRPr="0049384B">
              <w:rPr>
                <w:sz w:val="20"/>
                <w:szCs w:val="20"/>
                <w:u w:val="single"/>
                <w:lang w:eastAsia="cs-CZ"/>
              </w:rPr>
              <w:t>Odůvodnění:</w:t>
            </w:r>
          </w:p>
          <w:p w14:paraId="40F3BF6D" w14:textId="77777777" w:rsidR="0049384B" w:rsidRPr="0049384B" w:rsidRDefault="0049384B" w:rsidP="0049384B">
            <w:pPr>
              <w:overflowPunct w:val="0"/>
              <w:autoSpaceDE w:val="0"/>
              <w:autoSpaceDN w:val="0"/>
              <w:adjustRightInd w:val="0"/>
              <w:spacing w:after="120"/>
              <w:jc w:val="both"/>
              <w:rPr>
                <w:sz w:val="20"/>
                <w:szCs w:val="20"/>
                <w:lang w:eastAsia="cs-CZ"/>
              </w:rPr>
            </w:pPr>
            <w:bookmarkStart w:id="24" w:name="_Hlk169773507"/>
            <w:r w:rsidRPr="0049384B">
              <w:rPr>
                <w:sz w:val="20"/>
                <w:szCs w:val="20"/>
                <w:lang w:eastAsia="cs-CZ"/>
              </w:rPr>
              <w:t xml:space="preserve">Upozorňujeme na skutečnost, že podle IFRS standardů pro pojišťovny (IFRS 17) netvoří pojišťovny rezervy tak, jak je v současné době znají české účetní standardy. Pojišťovny tak podle tohoto pravidla nebudou vylučovat žádnou účetní tvorbu rezerv, nicméně zůstává zachováno pravidlo o úpravě základu daně o přírůstek nebo úbytek rezerv v pojišťovnictví tak, jak je definuje zákon o rezervách (zjednodušeně řečeno, rezervy podle pravidel </w:t>
            </w:r>
            <w:proofErr w:type="spellStart"/>
            <w:r w:rsidRPr="0049384B">
              <w:rPr>
                <w:sz w:val="20"/>
                <w:szCs w:val="20"/>
                <w:lang w:eastAsia="cs-CZ"/>
              </w:rPr>
              <w:t>Solvency</w:t>
            </w:r>
            <w:proofErr w:type="spellEnd"/>
            <w:r w:rsidRPr="0049384B">
              <w:rPr>
                <w:sz w:val="20"/>
                <w:szCs w:val="20"/>
                <w:lang w:eastAsia="cs-CZ"/>
              </w:rPr>
              <w:t xml:space="preserve"> 2). Domníváme se, že toto není žádoucí stav – viz naše poznámka výše k ustanovení § 23 odst. 3 písm. a) bod 16 a § 23 odst. 3 písm. b) bod 4 výše</w:t>
            </w:r>
            <w:bookmarkEnd w:id="24"/>
            <w:r w:rsidRPr="0049384B">
              <w:rPr>
                <w:sz w:val="20"/>
                <w:szCs w:val="20"/>
                <w:lang w:eastAsia="cs-CZ"/>
              </w:rPr>
              <w:t>.</w:t>
            </w:r>
          </w:p>
          <w:p w14:paraId="62038D6A" w14:textId="77777777" w:rsidR="0049384B" w:rsidRPr="0049384B" w:rsidRDefault="0049384B" w:rsidP="0049384B">
            <w:pPr>
              <w:overflowPunct w:val="0"/>
              <w:autoSpaceDE w:val="0"/>
              <w:autoSpaceDN w:val="0"/>
              <w:adjustRightInd w:val="0"/>
              <w:spacing w:after="120"/>
              <w:jc w:val="both"/>
              <w:rPr>
                <w:b/>
                <w:sz w:val="20"/>
                <w:szCs w:val="20"/>
                <w:lang w:eastAsia="cs-CZ"/>
              </w:rPr>
            </w:pPr>
            <w:r w:rsidRPr="0049384B">
              <w:rPr>
                <w:b/>
                <w:sz w:val="20"/>
                <w:szCs w:val="20"/>
                <w:lang w:eastAsia="cs-CZ"/>
              </w:rPr>
              <w:lastRenderedPageBreak/>
              <w:t>Zásadní připomínka.</w:t>
            </w:r>
          </w:p>
        </w:tc>
        <w:tc>
          <w:tcPr>
            <w:tcW w:w="1863" w:type="pct"/>
            <w:tcBorders>
              <w:top w:val="single" w:sz="4" w:space="0" w:color="auto"/>
              <w:left w:val="single" w:sz="4" w:space="0" w:color="auto"/>
              <w:bottom w:val="single" w:sz="4" w:space="0" w:color="auto"/>
              <w:right w:val="single" w:sz="4" w:space="0" w:color="auto"/>
            </w:tcBorders>
            <w:shd w:val="clear" w:color="auto" w:fill="auto"/>
          </w:tcPr>
          <w:p w14:paraId="3D550D06" w14:textId="77777777" w:rsidR="0049384B" w:rsidRPr="0049384B" w:rsidRDefault="0049384B" w:rsidP="0049384B">
            <w:pPr>
              <w:ind w:left="-142" w:right="-59"/>
              <w:jc w:val="center"/>
              <w:rPr>
                <w:sz w:val="20"/>
                <w:szCs w:val="20"/>
                <w:highlight w:val="lightGray"/>
                <w:lang w:eastAsia="cs-CZ"/>
              </w:rPr>
            </w:pPr>
          </w:p>
        </w:tc>
      </w:tr>
      <w:tr w:rsidR="0049384B" w:rsidRPr="0049384B" w14:paraId="5F96E138" w14:textId="77777777" w:rsidTr="0049384B">
        <w:trPr>
          <w:trHeight w:val="513"/>
        </w:trPr>
        <w:tc>
          <w:tcPr>
            <w:tcW w:w="423" w:type="pct"/>
            <w:tcBorders>
              <w:top w:val="single" w:sz="4" w:space="0" w:color="auto"/>
              <w:left w:val="single" w:sz="4" w:space="0" w:color="auto"/>
              <w:bottom w:val="single" w:sz="4" w:space="0" w:color="auto"/>
              <w:right w:val="single" w:sz="4" w:space="0" w:color="auto"/>
            </w:tcBorders>
            <w:shd w:val="clear" w:color="auto" w:fill="auto"/>
          </w:tcPr>
          <w:p w14:paraId="1FFD9A34" w14:textId="77777777" w:rsidR="0049384B" w:rsidRPr="0049384B" w:rsidRDefault="0049384B" w:rsidP="0049384B">
            <w:pPr>
              <w:jc w:val="center"/>
              <w:rPr>
                <w:color w:val="0000FF"/>
                <w:sz w:val="20"/>
                <w:szCs w:val="20"/>
                <w:lang w:eastAsia="cs-CZ"/>
              </w:rPr>
            </w:pPr>
            <w:r w:rsidRPr="0049384B">
              <w:rPr>
                <w:sz w:val="20"/>
                <w:szCs w:val="20"/>
                <w:lang w:eastAsia="cs-CZ"/>
              </w:rPr>
              <w:t>UZS ČR</w:t>
            </w: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5F118E6A" w14:textId="77777777" w:rsidR="0049384B" w:rsidRPr="0049384B" w:rsidRDefault="0049384B" w:rsidP="0049384B">
            <w:pPr>
              <w:jc w:val="center"/>
              <w:rPr>
                <w:sz w:val="20"/>
                <w:szCs w:val="20"/>
                <w:lang w:eastAsia="cs-CZ"/>
              </w:rPr>
            </w:pPr>
            <w:r w:rsidRPr="0049384B">
              <w:rPr>
                <w:sz w:val="20"/>
                <w:szCs w:val="20"/>
                <w:lang w:eastAsia="cs-CZ"/>
              </w:rPr>
              <w:t>9.</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3F915AF7" w14:textId="77777777" w:rsidR="0049384B" w:rsidRPr="0049384B" w:rsidRDefault="0049384B" w:rsidP="0049384B">
            <w:pPr>
              <w:jc w:val="center"/>
              <w:rPr>
                <w:sz w:val="20"/>
                <w:szCs w:val="20"/>
                <w:lang w:eastAsia="cs-CZ"/>
              </w:rPr>
            </w:pPr>
            <w:r w:rsidRPr="0049384B">
              <w:rPr>
                <w:sz w:val="20"/>
                <w:szCs w:val="20"/>
                <w:lang w:eastAsia="cs-CZ"/>
              </w:rPr>
              <w:t>Z</w:t>
            </w:r>
          </w:p>
        </w:tc>
        <w:tc>
          <w:tcPr>
            <w:tcW w:w="2181" w:type="pct"/>
            <w:tcBorders>
              <w:top w:val="single" w:sz="4" w:space="0" w:color="auto"/>
              <w:left w:val="single" w:sz="4" w:space="0" w:color="auto"/>
              <w:bottom w:val="single" w:sz="4" w:space="0" w:color="auto"/>
              <w:right w:val="single" w:sz="4" w:space="0" w:color="auto"/>
            </w:tcBorders>
            <w:shd w:val="clear" w:color="auto" w:fill="auto"/>
          </w:tcPr>
          <w:p w14:paraId="465B8322" w14:textId="77777777" w:rsidR="0049384B" w:rsidRPr="0049384B" w:rsidRDefault="0049384B" w:rsidP="0049384B">
            <w:pPr>
              <w:tabs>
                <w:tab w:val="num" w:pos="585"/>
              </w:tabs>
              <w:overflowPunct w:val="0"/>
              <w:autoSpaceDE w:val="0"/>
              <w:autoSpaceDN w:val="0"/>
              <w:adjustRightInd w:val="0"/>
              <w:spacing w:after="120"/>
              <w:ind w:left="340" w:hanging="340"/>
              <w:jc w:val="both"/>
              <w:rPr>
                <w:b/>
                <w:sz w:val="20"/>
                <w:szCs w:val="20"/>
                <w:lang w:eastAsia="cs-CZ"/>
              </w:rPr>
            </w:pPr>
            <w:r w:rsidRPr="0049384B">
              <w:rPr>
                <w:b/>
                <w:sz w:val="20"/>
                <w:szCs w:val="20"/>
                <w:lang w:eastAsia="cs-CZ"/>
              </w:rPr>
              <w:t>K části dvacáté – změna zákona o daních z příjmů</w:t>
            </w:r>
          </w:p>
          <w:p w14:paraId="3FC27B2E" w14:textId="77777777" w:rsidR="0049384B" w:rsidRPr="0049384B" w:rsidRDefault="0049384B" w:rsidP="0049384B">
            <w:pPr>
              <w:tabs>
                <w:tab w:val="num" w:pos="585"/>
              </w:tabs>
              <w:overflowPunct w:val="0"/>
              <w:autoSpaceDE w:val="0"/>
              <w:autoSpaceDN w:val="0"/>
              <w:adjustRightInd w:val="0"/>
              <w:spacing w:after="120"/>
              <w:ind w:left="340" w:hanging="340"/>
              <w:jc w:val="both"/>
              <w:rPr>
                <w:b/>
                <w:sz w:val="20"/>
                <w:szCs w:val="20"/>
                <w:lang w:eastAsia="cs-CZ"/>
              </w:rPr>
            </w:pPr>
            <w:r w:rsidRPr="0049384B">
              <w:rPr>
                <w:b/>
                <w:sz w:val="20"/>
                <w:szCs w:val="20"/>
                <w:lang w:eastAsia="cs-CZ"/>
              </w:rPr>
              <w:t>K </w:t>
            </w:r>
            <w:bookmarkStart w:id="25" w:name="_Hlk169773522"/>
            <w:r w:rsidRPr="0049384B">
              <w:rPr>
                <w:b/>
                <w:sz w:val="20"/>
                <w:szCs w:val="20"/>
                <w:lang w:eastAsia="cs-CZ"/>
              </w:rPr>
              <w:t>čl. XXI – Přechodná ustanovení, bodu 11</w:t>
            </w:r>
            <w:bookmarkEnd w:id="25"/>
            <w:r w:rsidRPr="0049384B">
              <w:rPr>
                <w:b/>
                <w:sz w:val="20"/>
                <w:szCs w:val="20"/>
                <w:lang w:eastAsia="cs-CZ"/>
              </w:rPr>
              <w:t xml:space="preserve"> </w:t>
            </w:r>
          </w:p>
          <w:p w14:paraId="22FC66A9" w14:textId="77777777" w:rsidR="0049384B" w:rsidRPr="0049384B" w:rsidRDefault="0049384B" w:rsidP="0049384B">
            <w:pPr>
              <w:overflowPunct w:val="0"/>
              <w:autoSpaceDE w:val="0"/>
              <w:autoSpaceDN w:val="0"/>
              <w:adjustRightInd w:val="0"/>
              <w:spacing w:after="120"/>
              <w:jc w:val="both"/>
              <w:rPr>
                <w:sz w:val="20"/>
                <w:szCs w:val="20"/>
                <w:lang w:eastAsia="cs-CZ"/>
              </w:rPr>
            </w:pPr>
            <w:bookmarkStart w:id="26" w:name="_Hlk169773532"/>
            <w:r w:rsidRPr="0049384B">
              <w:rPr>
                <w:sz w:val="20"/>
                <w:szCs w:val="20"/>
                <w:lang w:eastAsia="cs-CZ"/>
              </w:rPr>
              <w:t>Požadujeme přechodné ustanovení vypustit</w:t>
            </w:r>
            <w:bookmarkEnd w:id="26"/>
            <w:r w:rsidRPr="0049384B">
              <w:rPr>
                <w:sz w:val="20"/>
                <w:szCs w:val="20"/>
                <w:lang w:eastAsia="cs-CZ"/>
              </w:rPr>
              <w:t>.</w:t>
            </w:r>
          </w:p>
          <w:p w14:paraId="47FB17CB" w14:textId="77777777" w:rsidR="0049384B" w:rsidRPr="0049384B" w:rsidRDefault="0049384B" w:rsidP="0049384B">
            <w:pPr>
              <w:overflowPunct w:val="0"/>
              <w:autoSpaceDE w:val="0"/>
              <w:autoSpaceDN w:val="0"/>
              <w:adjustRightInd w:val="0"/>
              <w:spacing w:after="120"/>
              <w:jc w:val="both"/>
              <w:rPr>
                <w:sz w:val="20"/>
                <w:szCs w:val="20"/>
                <w:u w:val="single"/>
                <w:lang w:eastAsia="cs-CZ"/>
              </w:rPr>
            </w:pPr>
            <w:r w:rsidRPr="0049384B">
              <w:rPr>
                <w:sz w:val="20"/>
                <w:szCs w:val="20"/>
                <w:u w:val="single"/>
                <w:lang w:eastAsia="cs-CZ"/>
              </w:rPr>
              <w:t>Odůvodnění:</w:t>
            </w:r>
          </w:p>
          <w:p w14:paraId="06CC9BA5" w14:textId="77777777" w:rsidR="0049384B" w:rsidRPr="0049384B" w:rsidRDefault="0049384B" w:rsidP="0049384B">
            <w:pPr>
              <w:overflowPunct w:val="0"/>
              <w:autoSpaceDE w:val="0"/>
              <w:autoSpaceDN w:val="0"/>
              <w:adjustRightInd w:val="0"/>
              <w:spacing w:after="120"/>
              <w:jc w:val="both"/>
              <w:rPr>
                <w:sz w:val="20"/>
                <w:szCs w:val="20"/>
                <w:lang w:eastAsia="cs-CZ"/>
              </w:rPr>
            </w:pPr>
            <w:bookmarkStart w:id="27" w:name="_Hlk169773539"/>
            <w:r w:rsidRPr="0049384B">
              <w:rPr>
                <w:sz w:val="20"/>
                <w:szCs w:val="20"/>
                <w:lang w:eastAsia="cs-CZ"/>
              </w:rPr>
              <w:t>Podle našeho názoru toto ustanovení upravuje de facto tutéž situaci jako navrhované ustanovení § 23 odst. 13 (viz výše), nicméně než jako přechodné ustanovení, působí spíše jako ustanovení sankční. Na rozdíl od zmíněného ustanovení § 23 odst. 13 totiž nebere v potaz pouze dopady změny metody, ale porovnáním dvou po sobě jdoucích období zahrnuje rozdílu mezi základy daně i dopady, které jsou nativně svázány s důsledky běžné hospodářské činnosti (např. propady cen aktiv na trhu, potíže s odbytem/pokles tržeb, nákladová inflace). V tomto ohledu jde o daňovou nespravedlnost znevýhodňují daňové poplatníky, kteří musí povinně přejít na vykazování podle mezinárodních účetních standardů</w:t>
            </w:r>
            <w:bookmarkEnd w:id="27"/>
            <w:r w:rsidRPr="0049384B">
              <w:rPr>
                <w:sz w:val="20"/>
                <w:szCs w:val="20"/>
                <w:lang w:eastAsia="cs-CZ"/>
              </w:rPr>
              <w:t>.</w:t>
            </w:r>
          </w:p>
          <w:p w14:paraId="727BB4B2" w14:textId="77777777" w:rsidR="0049384B" w:rsidRPr="0049384B" w:rsidRDefault="0049384B" w:rsidP="0049384B">
            <w:pPr>
              <w:overflowPunct w:val="0"/>
              <w:autoSpaceDE w:val="0"/>
              <w:autoSpaceDN w:val="0"/>
              <w:adjustRightInd w:val="0"/>
              <w:spacing w:after="120"/>
              <w:jc w:val="both"/>
              <w:rPr>
                <w:b/>
                <w:sz w:val="20"/>
                <w:szCs w:val="20"/>
                <w:lang w:eastAsia="cs-CZ"/>
              </w:rPr>
            </w:pPr>
            <w:r w:rsidRPr="0049384B">
              <w:rPr>
                <w:b/>
                <w:sz w:val="20"/>
                <w:szCs w:val="20"/>
                <w:lang w:eastAsia="cs-CZ"/>
              </w:rPr>
              <w:t>Zásadní připomínka.</w:t>
            </w:r>
          </w:p>
        </w:tc>
        <w:tc>
          <w:tcPr>
            <w:tcW w:w="1863" w:type="pct"/>
            <w:tcBorders>
              <w:top w:val="single" w:sz="4" w:space="0" w:color="auto"/>
              <w:left w:val="single" w:sz="4" w:space="0" w:color="auto"/>
              <w:bottom w:val="single" w:sz="4" w:space="0" w:color="auto"/>
              <w:right w:val="single" w:sz="4" w:space="0" w:color="auto"/>
            </w:tcBorders>
            <w:shd w:val="clear" w:color="auto" w:fill="auto"/>
          </w:tcPr>
          <w:p w14:paraId="0ED013DE" w14:textId="77777777" w:rsidR="0049384B" w:rsidRPr="0049384B" w:rsidRDefault="0049384B" w:rsidP="0049384B">
            <w:pPr>
              <w:ind w:left="-142" w:right="-59"/>
              <w:jc w:val="center"/>
              <w:rPr>
                <w:sz w:val="20"/>
                <w:szCs w:val="20"/>
                <w:highlight w:val="lightGray"/>
                <w:lang w:eastAsia="cs-CZ"/>
              </w:rPr>
            </w:pPr>
          </w:p>
        </w:tc>
      </w:tr>
      <w:tr w:rsidR="0049384B" w:rsidRPr="0049384B" w14:paraId="315E3EE5" w14:textId="77777777" w:rsidTr="0049384B">
        <w:trPr>
          <w:trHeight w:val="513"/>
        </w:trPr>
        <w:tc>
          <w:tcPr>
            <w:tcW w:w="423" w:type="pct"/>
            <w:tcBorders>
              <w:top w:val="single" w:sz="4" w:space="0" w:color="auto"/>
              <w:left w:val="single" w:sz="4" w:space="0" w:color="auto"/>
              <w:bottom w:val="single" w:sz="4" w:space="0" w:color="auto"/>
              <w:right w:val="single" w:sz="4" w:space="0" w:color="auto"/>
            </w:tcBorders>
            <w:shd w:val="clear" w:color="auto" w:fill="auto"/>
          </w:tcPr>
          <w:p w14:paraId="3A4B1CAD" w14:textId="77777777" w:rsidR="0049384B" w:rsidRPr="0049384B" w:rsidRDefault="0049384B" w:rsidP="0049384B">
            <w:pPr>
              <w:jc w:val="center"/>
              <w:rPr>
                <w:color w:val="0000FF"/>
                <w:sz w:val="20"/>
                <w:szCs w:val="20"/>
                <w:lang w:eastAsia="cs-CZ"/>
              </w:rPr>
            </w:pPr>
            <w:r w:rsidRPr="0049384B">
              <w:rPr>
                <w:sz w:val="20"/>
                <w:szCs w:val="20"/>
                <w:lang w:eastAsia="cs-CZ"/>
              </w:rPr>
              <w:t>UZS ČR</w:t>
            </w: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6E97F1EF" w14:textId="77777777" w:rsidR="0049384B" w:rsidRPr="0049384B" w:rsidRDefault="0049384B" w:rsidP="0049384B">
            <w:pPr>
              <w:jc w:val="center"/>
              <w:rPr>
                <w:sz w:val="20"/>
                <w:szCs w:val="20"/>
                <w:lang w:eastAsia="cs-CZ"/>
              </w:rPr>
            </w:pPr>
            <w:r w:rsidRPr="0049384B">
              <w:rPr>
                <w:sz w:val="20"/>
                <w:szCs w:val="20"/>
                <w:lang w:eastAsia="cs-CZ"/>
              </w:rPr>
              <w:t>10.</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56295CE7" w14:textId="77777777" w:rsidR="0049384B" w:rsidRPr="0049384B" w:rsidRDefault="0049384B" w:rsidP="0049384B">
            <w:pPr>
              <w:jc w:val="center"/>
              <w:rPr>
                <w:sz w:val="20"/>
                <w:szCs w:val="20"/>
                <w:lang w:eastAsia="cs-CZ"/>
              </w:rPr>
            </w:pPr>
            <w:r w:rsidRPr="0049384B">
              <w:rPr>
                <w:sz w:val="20"/>
                <w:szCs w:val="20"/>
                <w:lang w:eastAsia="cs-CZ"/>
              </w:rPr>
              <w:t>Z</w:t>
            </w:r>
          </w:p>
        </w:tc>
        <w:tc>
          <w:tcPr>
            <w:tcW w:w="2181" w:type="pct"/>
            <w:tcBorders>
              <w:top w:val="single" w:sz="4" w:space="0" w:color="auto"/>
              <w:left w:val="single" w:sz="4" w:space="0" w:color="auto"/>
              <w:bottom w:val="single" w:sz="4" w:space="0" w:color="auto"/>
              <w:right w:val="single" w:sz="4" w:space="0" w:color="auto"/>
            </w:tcBorders>
            <w:shd w:val="clear" w:color="auto" w:fill="auto"/>
          </w:tcPr>
          <w:p w14:paraId="0BDDE629" w14:textId="77777777" w:rsidR="0049384B" w:rsidRPr="0049384B" w:rsidRDefault="0049384B" w:rsidP="0049384B">
            <w:pPr>
              <w:overflowPunct w:val="0"/>
              <w:autoSpaceDE w:val="0"/>
              <w:autoSpaceDN w:val="0"/>
              <w:adjustRightInd w:val="0"/>
              <w:spacing w:after="120"/>
              <w:jc w:val="both"/>
              <w:rPr>
                <w:b/>
                <w:sz w:val="20"/>
                <w:szCs w:val="20"/>
                <w:lang w:eastAsia="cs-CZ"/>
              </w:rPr>
            </w:pPr>
            <w:r w:rsidRPr="0049384B">
              <w:rPr>
                <w:b/>
                <w:sz w:val="20"/>
                <w:szCs w:val="20"/>
                <w:lang w:eastAsia="cs-CZ"/>
              </w:rPr>
              <w:t>K části dvacáté druhé – změna zákona o rezervách pro zjištění základu daně z příjmů</w:t>
            </w:r>
          </w:p>
          <w:p w14:paraId="5AD35702" w14:textId="77777777" w:rsidR="0049384B" w:rsidRPr="0049384B" w:rsidRDefault="0049384B" w:rsidP="0049384B">
            <w:pPr>
              <w:tabs>
                <w:tab w:val="num" w:pos="585"/>
              </w:tabs>
              <w:overflowPunct w:val="0"/>
              <w:autoSpaceDE w:val="0"/>
              <w:autoSpaceDN w:val="0"/>
              <w:adjustRightInd w:val="0"/>
              <w:spacing w:after="120"/>
              <w:ind w:left="340" w:hanging="340"/>
              <w:jc w:val="both"/>
              <w:rPr>
                <w:b/>
                <w:sz w:val="20"/>
                <w:szCs w:val="20"/>
                <w:lang w:eastAsia="cs-CZ"/>
              </w:rPr>
            </w:pPr>
            <w:r w:rsidRPr="0049384B">
              <w:rPr>
                <w:b/>
                <w:sz w:val="20"/>
                <w:szCs w:val="20"/>
                <w:lang w:eastAsia="cs-CZ"/>
              </w:rPr>
              <w:t xml:space="preserve">K bodu </w:t>
            </w:r>
            <w:bookmarkStart w:id="28" w:name="_Hlk169773570"/>
            <w:r w:rsidRPr="0049384B">
              <w:rPr>
                <w:b/>
                <w:sz w:val="20"/>
                <w:szCs w:val="20"/>
                <w:lang w:eastAsia="cs-CZ"/>
              </w:rPr>
              <w:t>34 odst. 6</w:t>
            </w:r>
            <w:bookmarkEnd w:id="28"/>
          </w:p>
          <w:p w14:paraId="78BDD6B1" w14:textId="77777777" w:rsidR="0049384B" w:rsidRPr="0049384B" w:rsidRDefault="0049384B" w:rsidP="0049384B">
            <w:pPr>
              <w:overflowPunct w:val="0"/>
              <w:autoSpaceDE w:val="0"/>
              <w:autoSpaceDN w:val="0"/>
              <w:adjustRightInd w:val="0"/>
              <w:spacing w:after="120"/>
              <w:jc w:val="both"/>
              <w:rPr>
                <w:sz w:val="20"/>
                <w:szCs w:val="20"/>
                <w:lang w:eastAsia="cs-CZ"/>
              </w:rPr>
            </w:pPr>
            <w:bookmarkStart w:id="29" w:name="_Hlk169773579"/>
            <w:r w:rsidRPr="0049384B">
              <w:rPr>
                <w:sz w:val="20"/>
                <w:szCs w:val="20"/>
                <w:lang w:eastAsia="cs-CZ"/>
              </w:rPr>
              <w:t>Požadujeme § 6 zrušit</w:t>
            </w:r>
            <w:bookmarkEnd w:id="29"/>
            <w:r w:rsidRPr="0049384B">
              <w:rPr>
                <w:sz w:val="20"/>
                <w:szCs w:val="20"/>
                <w:lang w:eastAsia="cs-CZ"/>
              </w:rPr>
              <w:t>.</w:t>
            </w:r>
          </w:p>
          <w:p w14:paraId="25E244E1" w14:textId="77777777" w:rsidR="0049384B" w:rsidRPr="0049384B" w:rsidRDefault="0049384B" w:rsidP="0049384B">
            <w:pPr>
              <w:overflowPunct w:val="0"/>
              <w:autoSpaceDE w:val="0"/>
              <w:autoSpaceDN w:val="0"/>
              <w:adjustRightInd w:val="0"/>
              <w:spacing w:after="120"/>
              <w:jc w:val="both"/>
              <w:rPr>
                <w:sz w:val="20"/>
                <w:szCs w:val="20"/>
                <w:u w:val="single"/>
                <w:lang w:eastAsia="cs-CZ"/>
              </w:rPr>
            </w:pPr>
            <w:r w:rsidRPr="0049384B">
              <w:rPr>
                <w:sz w:val="20"/>
                <w:szCs w:val="20"/>
                <w:u w:val="single"/>
                <w:lang w:eastAsia="cs-CZ"/>
              </w:rPr>
              <w:t>Odůvodnění:</w:t>
            </w:r>
          </w:p>
          <w:p w14:paraId="747939E3" w14:textId="77777777" w:rsidR="0049384B" w:rsidRPr="0049384B" w:rsidRDefault="0049384B" w:rsidP="0049384B">
            <w:pPr>
              <w:overflowPunct w:val="0"/>
              <w:autoSpaceDE w:val="0"/>
              <w:autoSpaceDN w:val="0"/>
              <w:adjustRightInd w:val="0"/>
              <w:spacing w:after="120"/>
              <w:jc w:val="both"/>
              <w:rPr>
                <w:sz w:val="20"/>
                <w:szCs w:val="20"/>
                <w:lang w:eastAsia="cs-CZ"/>
              </w:rPr>
            </w:pPr>
            <w:bookmarkStart w:id="30" w:name="_Hlk169773587"/>
            <w:r w:rsidRPr="0049384B">
              <w:rPr>
                <w:sz w:val="20"/>
                <w:szCs w:val="20"/>
                <w:lang w:eastAsia="cs-CZ"/>
              </w:rPr>
              <w:t>S ohledem na výše uvedené považujeme za relevantní nerušit pouze ustanovení odst. 7, jak je navrhováno, ale zrušit § 6 celý.</w:t>
            </w:r>
          </w:p>
          <w:p w14:paraId="69AEA49C" w14:textId="77777777" w:rsidR="0049384B" w:rsidRPr="0049384B" w:rsidRDefault="0049384B" w:rsidP="0049384B">
            <w:pPr>
              <w:overflowPunct w:val="0"/>
              <w:autoSpaceDE w:val="0"/>
              <w:autoSpaceDN w:val="0"/>
              <w:adjustRightInd w:val="0"/>
              <w:spacing w:after="120"/>
              <w:jc w:val="both"/>
              <w:rPr>
                <w:sz w:val="20"/>
                <w:szCs w:val="20"/>
                <w:lang w:eastAsia="cs-CZ"/>
              </w:rPr>
            </w:pPr>
            <w:r w:rsidRPr="0049384B">
              <w:rPr>
                <w:sz w:val="20"/>
                <w:szCs w:val="20"/>
                <w:lang w:eastAsia="cs-CZ"/>
              </w:rPr>
              <w:t xml:space="preserve">Jak jsme uvedli (a uváděli již dříve) nový standard pro vykazování pojistných smluv je natolik komplexní, že nesystémový prvek, jakým je nahrazování části pohybů ve výsledku z pojištění, pouze (byť alespoň částečně adjustovanou) změnou stavu technických rezerv, je destruktivní. Máme za to, že metody rozpoznávání a stanovování </w:t>
            </w:r>
            <w:r w:rsidRPr="0049384B">
              <w:rPr>
                <w:sz w:val="20"/>
                <w:szCs w:val="20"/>
                <w:lang w:eastAsia="cs-CZ"/>
              </w:rPr>
              <w:lastRenderedPageBreak/>
              <w:t xml:space="preserve">hodnoty závazků z pojistných smluv jsou přinejmenším velmi podobné (založené na tzv. </w:t>
            </w:r>
            <w:proofErr w:type="spellStart"/>
            <w:r w:rsidRPr="0049384B">
              <w:rPr>
                <w:sz w:val="20"/>
                <w:szCs w:val="20"/>
                <w:lang w:eastAsia="cs-CZ"/>
              </w:rPr>
              <w:t>best</w:t>
            </w:r>
            <w:proofErr w:type="spellEnd"/>
            <w:r w:rsidRPr="0049384B">
              <w:rPr>
                <w:sz w:val="20"/>
                <w:szCs w:val="20"/>
                <w:lang w:eastAsia="cs-CZ"/>
              </w:rPr>
              <w:t xml:space="preserve"> </w:t>
            </w:r>
            <w:proofErr w:type="spellStart"/>
            <w:r w:rsidRPr="0049384B">
              <w:rPr>
                <w:sz w:val="20"/>
                <w:szCs w:val="20"/>
                <w:lang w:eastAsia="cs-CZ"/>
              </w:rPr>
              <w:t>estimate</w:t>
            </w:r>
            <w:proofErr w:type="spellEnd"/>
            <w:r w:rsidRPr="0049384B">
              <w:rPr>
                <w:sz w:val="20"/>
                <w:szCs w:val="20"/>
                <w:lang w:eastAsia="cs-CZ"/>
              </w:rPr>
              <w:t>) a liší se pouze v technických detailech (např. stanovení hranic pojistné smlouvy), které jsou z pohledu potřeb stanovení základu daně zanedbatelné. Dopady z této změny jsou nadto ošetřeny v navrhovaném ustanovení § 23 odst. 13</w:t>
            </w:r>
            <w:bookmarkEnd w:id="30"/>
            <w:r w:rsidRPr="0049384B">
              <w:rPr>
                <w:sz w:val="20"/>
                <w:szCs w:val="20"/>
                <w:lang w:eastAsia="cs-CZ"/>
              </w:rPr>
              <w:t>.</w:t>
            </w:r>
          </w:p>
          <w:p w14:paraId="6BEDEB48" w14:textId="77777777" w:rsidR="0049384B" w:rsidRPr="0049384B" w:rsidRDefault="0049384B" w:rsidP="0049384B">
            <w:pPr>
              <w:overflowPunct w:val="0"/>
              <w:autoSpaceDE w:val="0"/>
              <w:autoSpaceDN w:val="0"/>
              <w:adjustRightInd w:val="0"/>
              <w:spacing w:after="120"/>
              <w:jc w:val="both"/>
              <w:rPr>
                <w:b/>
                <w:sz w:val="20"/>
                <w:szCs w:val="20"/>
                <w:lang w:eastAsia="cs-CZ"/>
              </w:rPr>
            </w:pPr>
            <w:r w:rsidRPr="0049384B">
              <w:rPr>
                <w:b/>
                <w:sz w:val="20"/>
                <w:szCs w:val="20"/>
                <w:lang w:eastAsia="cs-CZ"/>
              </w:rPr>
              <w:t>Zásadní připomínka.</w:t>
            </w:r>
          </w:p>
        </w:tc>
        <w:tc>
          <w:tcPr>
            <w:tcW w:w="1863" w:type="pct"/>
            <w:tcBorders>
              <w:top w:val="single" w:sz="4" w:space="0" w:color="auto"/>
              <w:left w:val="single" w:sz="4" w:space="0" w:color="auto"/>
              <w:bottom w:val="single" w:sz="4" w:space="0" w:color="auto"/>
              <w:right w:val="single" w:sz="4" w:space="0" w:color="auto"/>
            </w:tcBorders>
            <w:shd w:val="clear" w:color="auto" w:fill="auto"/>
          </w:tcPr>
          <w:p w14:paraId="2168179A" w14:textId="77777777" w:rsidR="0049384B" w:rsidRPr="0049384B" w:rsidRDefault="0049384B" w:rsidP="0049384B">
            <w:pPr>
              <w:ind w:left="-142" w:right="-59"/>
              <w:jc w:val="center"/>
              <w:rPr>
                <w:sz w:val="20"/>
                <w:szCs w:val="20"/>
                <w:highlight w:val="lightGray"/>
                <w:lang w:eastAsia="cs-CZ"/>
              </w:rPr>
            </w:pPr>
          </w:p>
        </w:tc>
      </w:tr>
      <w:tr w:rsidR="0049384B" w:rsidRPr="0049384B" w14:paraId="13199CE5" w14:textId="77777777" w:rsidTr="0049384B">
        <w:trPr>
          <w:trHeight w:val="513"/>
        </w:trPr>
        <w:tc>
          <w:tcPr>
            <w:tcW w:w="423" w:type="pct"/>
            <w:tcBorders>
              <w:top w:val="single" w:sz="4" w:space="0" w:color="auto"/>
              <w:left w:val="single" w:sz="4" w:space="0" w:color="auto"/>
              <w:bottom w:val="single" w:sz="4" w:space="0" w:color="auto"/>
              <w:right w:val="single" w:sz="4" w:space="0" w:color="auto"/>
            </w:tcBorders>
            <w:shd w:val="clear" w:color="auto" w:fill="auto"/>
          </w:tcPr>
          <w:p w14:paraId="079FA9C4" w14:textId="77777777" w:rsidR="0049384B" w:rsidRPr="0049384B" w:rsidRDefault="0049384B" w:rsidP="0049384B">
            <w:pPr>
              <w:jc w:val="center"/>
              <w:rPr>
                <w:color w:val="0000FF"/>
                <w:sz w:val="20"/>
                <w:szCs w:val="20"/>
                <w:lang w:eastAsia="cs-CZ"/>
              </w:rPr>
            </w:pPr>
            <w:r w:rsidRPr="0049384B">
              <w:rPr>
                <w:sz w:val="20"/>
                <w:szCs w:val="20"/>
                <w:lang w:eastAsia="cs-CZ"/>
              </w:rPr>
              <w:t>UZS ČR</w:t>
            </w: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13407E20" w14:textId="77777777" w:rsidR="0049384B" w:rsidRPr="0049384B" w:rsidRDefault="0049384B" w:rsidP="0049384B">
            <w:pPr>
              <w:jc w:val="center"/>
              <w:rPr>
                <w:sz w:val="20"/>
                <w:szCs w:val="20"/>
                <w:lang w:eastAsia="cs-CZ"/>
              </w:rPr>
            </w:pPr>
            <w:r w:rsidRPr="0049384B">
              <w:rPr>
                <w:sz w:val="20"/>
                <w:szCs w:val="20"/>
                <w:lang w:eastAsia="cs-CZ"/>
              </w:rPr>
              <w:t>11.</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2C3354C3" w14:textId="77777777" w:rsidR="0049384B" w:rsidRPr="0049384B" w:rsidRDefault="0049384B" w:rsidP="0049384B">
            <w:pPr>
              <w:jc w:val="center"/>
              <w:rPr>
                <w:sz w:val="20"/>
                <w:szCs w:val="20"/>
                <w:lang w:eastAsia="cs-CZ"/>
              </w:rPr>
            </w:pPr>
            <w:r w:rsidRPr="0049384B">
              <w:rPr>
                <w:sz w:val="20"/>
                <w:szCs w:val="20"/>
                <w:lang w:eastAsia="cs-CZ"/>
              </w:rPr>
              <w:t>Z</w:t>
            </w:r>
          </w:p>
        </w:tc>
        <w:tc>
          <w:tcPr>
            <w:tcW w:w="2181" w:type="pct"/>
            <w:tcBorders>
              <w:top w:val="single" w:sz="4" w:space="0" w:color="auto"/>
              <w:left w:val="single" w:sz="4" w:space="0" w:color="auto"/>
              <w:bottom w:val="single" w:sz="4" w:space="0" w:color="auto"/>
              <w:right w:val="single" w:sz="4" w:space="0" w:color="auto"/>
            </w:tcBorders>
            <w:shd w:val="clear" w:color="auto" w:fill="auto"/>
          </w:tcPr>
          <w:p w14:paraId="48478D16" w14:textId="77777777" w:rsidR="0049384B" w:rsidRPr="0049384B" w:rsidRDefault="0049384B" w:rsidP="0049384B">
            <w:pPr>
              <w:overflowPunct w:val="0"/>
              <w:autoSpaceDE w:val="0"/>
              <w:autoSpaceDN w:val="0"/>
              <w:adjustRightInd w:val="0"/>
              <w:spacing w:after="120"/>
              <w:jc w:val="both"/>
              <w:rPr>
                <w:b/>
                <w:sz w:val="20"/>
                <w:szCs w:val="20"/>
                <w:lang w:eastAsia="cs-CZ"/>
              </w:rPr>
            </w:pPr>
            <w:r w:rsidRPr="0049384B">
              <w:rPr>
                <w:b/>
                <w:sz w:val="20"/>
                <w:szCs w:val="20"/>
                <w:lang w:eastAsia="cs-CZ"/>
              </w:rPr>
              <w:t>K části sté první – změna zákona o pojišťovnictví</w:t>
            </w:r>
          </w:p>
          <w:p w14:paraId="7BFC736F" w14:textId="77777777" w:rsidR="0049384B" w:rsidRPr="0049384B" w:rsidRDefault="0049384B" w:rsidP="0049384B">
            <w:pPr>
              <w:tabs>
                <w:tab w:val="num" w:pos="585"/>
              </w:tabs>
              <w:overflowPunct w:val="0"/>
              <w:autoSpaceDE w:val="0"/>
              <w:autoSpaceDN w:val="0"/>
              <w:adjustRightInd w:val="0"/>
              <w:spacing w:after="120"/>
              <w:ind w:left="340" w:hanging="340"/>
              <w:jc w:val="both"/>
              <w:rPr>
                <w:b/>
                <w:sz w:val="20"/>
                <w:szCs w:val="20"/>
                <w:lang w:eastAsia="cs-CZ"/>
              </w:rPr>
            </w:pPr>
            <w:r w:rsidRPr="0049384B">
              <w:rPr>
                <w:b/>
                <w:sz w:val="20"/>
                <w:szCs w:val="20"/>
                <w:lang w:eastAsia="cs-CZ"/>
              </w:rPr>
              <w:t xml:space="preserve">K bodu </w:t>
            </w:r>
            <w:bookmarkStart w:id="31" w:name="_Hlk169773651"/>
            <w:r w:rsidRPr="0049384B">
              <w:rPr>
                <w:b/>
                <w:sz w:val="20"/>
                <w:szCs w:val="20"/>
                <w:lang w:eastAsia="cs-CZ"/>
              </w:rPr>
              <w:t>4 § 80 odst. 7</w:t>
            </w:r>
            <w:bookmarkEnd w:id="31"/>
          </w:p>
          <w:p w14:paraId="1EE55F7D" w14:textId="77777777" w:rsidR="0049384B" w:rsidRPr="0049384B" w:rsidRDefault="0049384B" w:rsidP="0049384B">
            <w:pPr>
              <w:overflowPunct w:val="0"/>
              <w:autoSpaceDE w:val="0"/>
              <w:autoSpaceDN w:val="0"/>
              <w:adjustRightInd w:val="0"/>
              <w:spacing w:after="120"/>
              <w:jc w:val="both"/>
              <w:rPr>
                <w:sz w:val="20"/>
                <w:szCs w:val="20"/>
                <w:lang w:eastAsia="cs-CZ"/>
              </w:rPr>
            </w:pPr>
            <w:bookmarkStart w:id="32" w:name="_Hlk169773658"/>
            <w:r w:rsidRPr="0049384B">
              <w:rPr>
                <w:sz w:val="20"/>
                <w:szCs w:val="20"/>
                <w:lang w:eastAsia="cs-CZ"/>
              </w:rPr>
              <w:t>Požadujeme ustanovení vypustit</w:t>
            </w:r>
            <w:bookmarkEnd w:id="32"/>
            <w:r w:rsidRPr="0049384B">
              <w:rPr>
                <w:sz w:val="20"/>
                <w:szCs w:val="20"/>
                <w:lang w:eastAsia="cs-CZ"/>
              </w:rPr>
              <w:t>.</w:t>
            </w:r>
          </w:p>
          <w:p w14:paraId="608D031E" w14:textId="77777777" w:rsidR="0049384B" w:rsidRPr="0049384B" w:rsidRDefault="0049384B" w:rsidP="0049384B">
            <w:pPr>
              <w:overflowPunct w:val="0"/>
              <w:autoSpaceDE w:val="0"/>
              <w:autoSpaceDN w:val="0"/>
              <w:adjustRightInd w:val="0"/>
              <w:spacing w:after="120"/>
              <w:jc w:val="both"/>
              <w:rPr>
                <w:sz w:val="20"/>
                <w:szCs w:val="20"/>
                <w:u w:val="single"/>
                <w:lang w:eastAsia="cs-CZ"/>
              </w:rPr>
            </w:pPr>
            <w:r w:rsidRPr="0049384B">
              <w:rPr>
                <w:sz w:val="20"/>
                <w:szCs w:val="20"/>
                <w:u w:val="single"/>
                <w:lang w:eastAsia="cs-CZ"/>
              </w:rPr>
              <w:t>Odůvodnění:</w:t>
            </w:r>
          </w:p>
          <w:p w14:paraId="1CBD8565" w14:textId="77777777" w:rsidR="0049384B" w:rsidRPr="0049384B" w:rsidRDefault="0049384B" w:rsidP="0049384B">
            <w:pPr>
              <w:overflowPunct w:val="0"/>
              <w:autoSpaceDE w:val="0"/>
              <w:autoSpaceDN w:val="0"/>
              <w:adjustRightInd w:val="0"/>
              <w:spacing w:after="120"/>
              <w:jc w:val="both"/>
              <w:rPr>
                <w:sz w:val="20"/>
                <w:szCs w:val="20"/>
                <w:lang w:eastAsia="cs-CZ"/>
              </w:rPr>
            </w:pPr>
            <w:bookmarkStart w:id="33" w:name="_Hlk169773666"/>
            <w:r w:rsidRPr="0049384B">
              <w:rPr>
                <w:sz w:val="20"/>
                <w:szCs w:val="20"/>
                <w:lang w:eastAsia="cs-CZ"/>
              </w:rPr>
              <w:t>Nesouhlasíme s vypuštěním práva pojišťovny podat rozklad proti rozhodnutí ČNB o odmítnutí auditora oznámeného pojišťovnou. Představuje to nepřiměřené zmenšení procesních prostředků obrany pojišťovny a významné snížení míry autonomie při výběru auditora</w:t>
            </w:r>
            <w:bookmarkEnd w:id="33"/>
            <w:r w:rsidRPr="0049384B">
              <w:rPr>
                <w:sz w:val="20"/>
                <w:szCs w:val="20"/>
                <w:lang w:eastAsia="cs-CZ"/>
              </w:rPr>
              <w:t>.</w:t>
            </w:r>
          </w:p>
          <w:p w14:paraId="2DB331F5" w14:textId="77777777" w:rsidR="0049384B" w:rsidRPr="0049384B" w:rsidRDefault="0049384B" w:rsidP="0049384B">
            <w:pPr>
              <w:overflowPunct w:val="0"/>
              <w:autoSpaceDE w:val="0"/>
              <w:autoSpaceDN w:val="0"/>
              <w:adjustRightInd w:val="0"/>
              <w:spacing w:after="120"/>
              <w:jc w:val="both"/>
              <w:rPr>
                <w:sz w:val="20"/>
                <w:szCs w:val="20"/>
                <w:lang w:eastAsia="cs-CZ"/>
              </w:rPr>
            </w:pPr>
            <w:r w:rsidRPr="0049384B">
              <w:rPr>
                <w:b/>
                <w:sz w:val="20"/>
                <w:szCs w:val="20"/>
                <w:lang w:eastAsia="cs-CZ"/>
              </w:rPr>
              <w:t>Zásadní připomínka.</w:t>
            </w:r>
          </w:p>
        </w:tc>
        <w:tc>
          <w:tcPr>
            <w:tcW w:w="1863" w:type="pct"/>
            <w:tcBorders>
              <w:top w:val="single" w:sz="4" w:space="0" w:color="auto"/>
              <w:left w:val="single" w:sz="4" w:space="0" w:color="auto"/>
              <w:bottom w:val="single" w:sz="4" w:space="0" w:color="auto"/>
              <w:right w:val="single" w:sz="4" w:space="0" w:color="auto"/>
            </w:tcBorders>
            <w:shd w:val="clear" w:color="auto" w:fill="auto"/>
          </w:tcPr>
          <w:p w14:paraId="4E905BAB" w14:textId="77777777" w:rsidR="0049384B" w:rsidRPr="0049384B" w:rsidRDefault="0049384B" w:rsidP="0049384B">
            <w:pPr>
              <w:ind w:left="-142" w:right="-59"/>
              <w:jc w:val="center"/>
              <w:rPr>
                <w:sz w:val="20"/>
                <w:szCs w:val="20"/>
                <w:highlight w:val="lightGray"/>
                <w:lang w:eastAsia="cs-CZ"/>
              </w:rPr>
            </w:pPr>
          </w:p>
        </w:tc>
      </w:tr>
      <w:tr w:rsidR="0049384B" w:rsidRPr="0049384B" w14:paraId="73B67555" w14:textId="77777777" w:rsidTr="0049384B">
        <w:trPr>
          <w:trHeight w:val="513"/>
        </w:trPr>
        <w:tc>
          <w:tcPr>
            <w:tcW w:w="423" w:type="pct"/>
            <w:tcBorders>
              <w:top w:val="single" w:sz="4" w:space="0" w:color="auto"/>
              <w:left w:val="single" w:sz="4" w:space="0" w:color="auto"/>
              <w:bottom w:val="single" w:sz="4" w:space="0" w:color="auto"/>
              <w:right w:val="single" w:sz="4" w:space="0" w:color="auto"/>
            </w:tcBorders>
            <w:shd w:val="clear" w:color="auto" w:fill="auto"/>
          </w:tcPr>
          <w:p w14:paraId="58A4B4A3" w14:textId="77777777" w:rsidR="0049384B" w:rsidRPr="0049384B" w:rsidRDefault="0049384B" w:rsidP="0049384B">
            <w:pPr>
              <w:jc w:val="center"/>
              <w:rPr>
                <w:color w:val="0000FF"/>
                <w:sz w:val="20"/>
                <w:szCs w:val="20"/>
                <w:lang w:eastAsia="cs-CZ"/>
              </w:rPr>
            </w:pPr>
            <w:r w:rsidRPr="0049384B">
              <w:rPr>
                <w:sz w:val="20"/>
                <w:szCs w:val="20"/>
                <w:lang w:eastAsia="cs-CZ"/>
              </w:rPr>
              <w:t>UZS ČR</w:t>
            </w: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41B2BAF0" w14:textId="77777777" w:rsidR="0049384B" w:rsidRPr="0049384B" w:rsidRDefault="0049384B" w:rsidP="0049384B">
            <w:pPr>
              <w:jc w:val="center"/>
              <w:rPr>
                <w:sz w:val="20"/>
                <w:szCs w:val="20"/>
                <w:lang w:eastAsia="cs-CZ"/>
              </w:rPr>
            </w:pPr>
            <w:r w:rsidRPr="0049384B">
              <w:rPr>
                <w:sz w:val="20"/>
                <w:szCs w:val="20"/>
                <w:lang w:eastAsia="cs-CZ"/>
              </w:rPr>
              <w:t>12.</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00BA6E58" w14:textId="77777777" w:rsidR="0049384B" w:rsidRPr="0049384B" w:rsidRDefault="0049384B" w:rsidP="0049384B">
            <w:pPr>
              <w:jc w:val="center"/>
              <w:rPr>
                <w:sz w:val="20"/>
                <w:szCs w:val="20"/>
                <w:lang w:eastAsia="cs-CZ"/>
              </w:rPr>
            </w:pPr>
            <w:r w:rsidRPr="0049384B">
              <w:rPr>
                <w:sz w:val="20"/>
                <w:szCs w:val="20"/>
                <w:lang w:eastAsia="cs-CZ"/>
              </w:rPr>
              <w:t>Z</w:t>
            </w:r>
          </w:p>
        </w:tc>
        <w:tc>
          <w:tcPr>
            <w:tcW w:w="2181" w:type="pct"/>
            <w:tcBorders>
              <w:top w:val="single" w:sz="4" w:space="0" w:color="auto"/>
              <w:left w:val="single" w:sz="4" w:space="0" w:color="auto"/>
              <w:bottom w:val="single" w:sz="4" w:space="0" w:color="auto"/>
              <w:right w:val="single" w:sz="4" w:space="0" w:color="auto"/>
            </w:tcBorders>
            <w:shd w:val="clear" w:color="auto" w:fill="auto"/>
          </w:tcPr>
          <w:p w14:paraId="0B27E1B1" w14:textId="77777777" w:rsidR="0049384B" w:rsidRPr="0049384B" w:rsidRDefault="0049384B" w:rsidP="0049384B">
            <w:pPr>
              <w:overflowPunct w:val="0"/>
              <w:autoSpaceDE w:val="0"/>
              <w:autoSpaceDN w:val="0"/>
              <w:adjustRightInd w:val="0"/>
              <w:spacing w:after="120"/>
              <w:jc w:val="both"/>
              <w:rPr>
                <w:b/>
                <w:sz w:val="20"/>
                <w:szCs w:val="20"/>
                <w:lang w:eastAsia="cs-CZ"/>
              </w:rPr>
            </w:pPr>
            <w:r w:rsidRPr="0049384B">
              <w:rPr>
                <w:b/>
                <w:sz w:val="20"/>
                <w:szCs w:val="20"/>
                <w:lang w:eastAsia="cs-CZ"/>
              </w:rPr>
              <w:t>K části sté první – změna zákona o pojišťovnictví</w:t>
            </w:r>
          </w:p>
          <w:p w14:paraId="1409EDDD" w14:textId="77777777" w:rsidR="0049384B" w:rsidRPr="0049384B" w:rsidRDefault="0049384B" w:rsidP="0049384B">
            <w:pPr>
              <w:tabs>
                <w:tab w:val="num" w:pos="585"/>
              </w:tabs>
              <w:overflowPunct w:val="0"/>
              <w:autoSpaceDE w:val="0"/>
              <w:autoSpaceDN w:val="0"/>
              <w:adjustRightInd w:val="0"/>
              <w:spacing w:after="120"/>
              <w:ind w:left="340" w:hanging="340"/>
              <w:jc w:val="both"/>
              <w:rPr>
                <w:b/>
                <w:sz w:val="20"/>
                <w:szCs w:val="20"/>
                <w:lang w:eastAsia="cs-CZ"/>
              </w:rPr>
            </w:pPr>
            <w:r w:rsidRPr="0049384B">
              <w:rPr>
                <w:b/>
                <w:sz w:val="20"/>
                <w:szCs w:val="20"/>
                <w:lang w:eastAsia="cs-CZ"/>
              </w:rPr>
              <w:t xml:space="preserve">K bodu </w:t>
            </w:r>
            <w:bookmarkStart w:id="34" w:name="_Hlk169773682"/>
            <w:r w:rsidRPr="0049384B">
              <w:rPr>
                <w:b/>
                <w:sz w:val="20"/>
                <w:szCs w:val="20"/>
                <w:lang w:eastAsia="cs-CZ"/>
              </w:rPr>
              <w:t>6 § 81</w:t>
            </w:r>
            <w:bookmarkEnd w:id="34"/>
          </w:p>
          <w:p w14:paraId="5BF6FCDB" w14:textId="77777777" w:rsidR="0049384B" w:rsidRPr="0049384B" w:rsidRDefault="0049384B" w:rsidP="0049384B">
            <w:pPr>
              <w:overflowPunct w:val="0"/>
              <w:autoSpaceDE w:val="0"/>
              <w:autoSpaceDN w:val="0"/>
              <w:adjustRightInd w:val="0"/>
              <w:spacing w:after="120"/>
              <w:jc w:val="both"/>
              <w:rPr>
                <w:sz w:val="20"/>
                <w:szCs w:val="20"/>
                <w:lang w:eastAsia="cs-CZ"/>
              </w:rPr>
            </w:pPr>
            <w:bookmarkStart w:id="35" w:name="_Hlk169773693"/>
            <w:r w:rsidRPr="0049384B">
              <w:rPr>
                <w:sz w:val="20"/>
                <w:szCs w:val="20"/>
                <w:lang w:eastAsia="cs-CZ"/>
              </w:rPr>
              <w:t>Požadujeme upravit počítání lhůt</w:t>
            </w:r>
            <w:bookmarkEnd w:id="35"/>
            <w:r w:rsidRPr="0049384B">
              <w:rPr>
                <w:sz w:val="20"/>
                <w:szCs w:val="20"/>
                <w:lang w:eastAsia="cs-CZ"/>
              </w:rPr>
              <w:t>.</w:t>
            </w:r>
          </w:p>
          <w:p w14:paraId="2D4F3D48" w14:textId="77777777" w:rsidR="0049384B" w:rsidRPr="0049384B" w:rsidRDefault="0049384B" w:rsidP="0049384B">
            <w:pPr>
              <w:overflowPunct w:val="0"/>
              <w:autoSpaceDE w:val="0"/>
              <w:autoSpaceDN w:val="0"/>
              <w:adjustRightInd w:val="0"/>
              <w:spacing w:after="120"/>
              <w:jc w:val="both"/>
              <w:rPr>
                <w:sz w:val="20"/>
                <w:szCs w:val="20"/>
                <w:u w:val="single"/>
                <w:lang w:eastAsia="cs-CZ"/>
              </w:rPr>
            </w:pPr>
            <w:r w:rsidRPr="0049384B">
              <w:rPr>
                <w:sz w:val="20"/>
                <w:szCs w:val="20"/>
                <w:u w:val="single"/>
                <w:lang w:eastAsia="cs-CZ"/>
              </w:rPr>
              <w:t>Odůvodnění:</w:t>
            </w:r>
          </w:p>
          <w:p w14:paraId="53EEBB89" w14:textId="77777777" w:rsidR="0049384B" w:rsidRPr="0049384B" w:rsidRDefault="0049384B" w:rsidP="0049384B">
            <w:pPr>
              <w:overflowPunct w:val="0"/>
              <w:autoSpaceDE w:val="0"/>
              <w:autoSpaceDN w:val="0"/>
              <w:adjustRightInd w:val="0"/>
              <w:spacing w:after="120"/>
              <w:jc w:val="both"/>
              <w:rPr>
                <w:sz w:val="20"/>
                <w:szCs w:val="20"/>
                <w:lang w:eastAsia="cs-CZ"/>
              </w:rPr>
            </w:pPr>
            <w:bookmarkStart w:id="36" w:name="_Hlk169773704"/>
            <w:r w:rsidRPr="0049384B">
              <w:rPr>
                <w:sz w:val="20"/>
                <w:szCs w:val="20"/>
                <w:lang w:eastAsia="cs-CZ"/>
              </w:rPr>
              <w:t>S ohledem na níže uvedené máme za to, že v případě, bude-li zákon o pojišťovnictví doplněn o nový § 81a (ať už v navrhovaném znění, nebo ve znění upraveném dle našeho doporučení), je nezbytně nutné upravit počítání lhůty uvedené v odst. 3</w:t>
            </w:r>
            <w:bookmarkEnd w:id="36"/>
            <w:r w:rsidRPr="0049384B">
              <w:rPr>
                <w:sz w:val="20"/>
                <w:szCs w:val="20"/>
                <w:lang w:eastAsia="cs-CZ"/>
              </w:rPr>
              <w:t>.</w:t>
            </w:r>
          </w:p>
          <w:p w14:paraId="089D6272" w14:textId="77777777" w:rsidR="0049384B" w:rsidRPr="0049384B" w:rsidRDefault="0049384B" w:rsidP="0049384B">
            <w:pPr>
              <w:overflowPunct w:val="0"/>
              <w:autoSpaceDE w:val="0"/>
              <w:autoSpaceDN w:val="0"/>
              <w:adjustRightInd w:val="0"/>
              <w:spacing w:after="120"/>
              <w:jc w:val="both"/>
              <w:rPr>
                <w:sz w:val="20"/>
                <w:szCs w:val="20"/>
                <w:lang w:eastAsia="cs-CZ"/>
              </w:rPr>
            </w:pPr>
            <w:r w:rsidRPr="0049384B">
              <w:rPr>
                <w:b/>
                <w:sz w:val="20"/>
                <w:szCs w:val="20"/>
                <w:lang w:eastAsia="cs-CZ"/>
              </w:rPr>
              <w:t>Zásadní připomínka.</w:t>
            </w:r>
          </w:p>
        </w:tc>
        <w:tc>
          <w:tcPr>
            <w:tcW w:w="1863" w:type="pct"/>
            <w:tcBorders>
              <w:top w:val="single" w:sz="4" w:space="0" w:color="auto"/>
              <w:left w:val="single" w:sz="4" w:space="0" w:color="auto"/>
              <w:bottom w:val="single" w:sz="4" w:space="0" w:color="auto"/>
              <w:right w:val="single" w:sz="4" w:space="0" w:color="auto"/>
            </w:tcBorders>
            <w:shd w:val="clear" w:color="auto" w:fill="auto"/>
          </w:tcPr>
          <w:p w14:paraId="18D66391" w14:textId="77777777" w:rsidR="0049384B" w:rsidRPr="0049384B" w:rsidRDefault="0049384B" w:rsidP="0049384B">
            <w:pPr>
              <w:ind w:left="-142" w:right="-59"/>
              <w:jc w:val="center"/>
              <w:rPr>
                <w:sz w:val="20"/>
                <w:szCs w:val="20"/>
                <w:highlight w:val="lightGray"/>
                <w:lang w:eastAsia="cs-CZ"/>
              </w:rPr>
            </w:pPr>
          </w:p>
        </w:tc>
      </w:tr>
      <w:tr w:rsidR="0049384B" w:rsidRPr="0049384B" w14:paraId="7F716316" w14:textId="77777777" w:rsidTr="0049384B">
        <w:trPr>
          <w:trHeight w:val="513"/>
        </w:trPr>
        <w:tc>
          <w:tcPr>
            <w:tcW w:w="423" w:type="pct"/>
            <w:tcBorders>
              <w:top w:val="single" w:sz="4" w:space="0" w:color="auto"/>
              <w:left w:val="single" w:sz="4" w:space="0" w:color="auto"/>
              <w:bottom w:val="single" w:sz="4" w:space="0" w:color="auto"/>
              <w:right w:val="single" w:sz="4" w:space="0" w:color="auto"/>
            </w:tcBorders>
            <w:shd w:val="clear" w:color="auto" w:fill="auto"/>
          </w:tcPr>
          <w:p w14:paraId="39C03EE8" w14:textId="77777777" w:rsidR="0049384B" w:rsidRPr="0049384B" w:rsidRDefault="0049384B" w:rsidP="0049384B">
            <w:pPr>
              <w:jc w:val="center"/>
              <w:rPr>
                <w:color w:val="0000FF"/>
                <w:sz w:val="20"/>
                <w:szCs w:val="20"/>
                <w:lang w:eastAsia="cs-CZ"/>
              </w:rPr>
            </w:pPr>
            <w:r w:rsidRPr="0049384B">
              <w:rPr>
                <w:sz w:val="20"/>
                <w:szCs w:val="20"/>
                <w:lang w:eastAsia="cs-CZ"/>
              </w:rPr>
              <w:t>UZS ČR</w:t>
            </w: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1F3A1C08" w14:textId="77777777" w:rsidR="0049384B" w:rsidRPr="0049384B" w:rsidRDefault="0049384B" w:rsidP="0049384B">
            <w:pPr>
              <w:jc w:val="center"/>
              <w:rPr>
                <w:sz w:val="20"/>
                <w:szCs w:val="20"/>
                <w:lang w:eastAsia="cs-CZ"/>
              </w:rPr>
            </w:pPr>
            <w:r w:rsidRPr="0049384B">
              <w:rPr>
                <w:sz w:val="20"/>
                <w:szCs w:val="20"/>
                <w:lang w:eastAsia="cs-CZ"/>
              </w:rPr>
              <w:t>13.</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135218E7" w14:textId="77777777" w:rsidR="0049384B" w:rsidRPr="0049384B" w:rsidRDefault="0049384B" w:rsidP="0049384B">
            <w:pPr>
              <w:jc w:val="center"/>
              <w:rPr>
                <w:sz w:val="20"/>
                <w:szCs w:val="20"/>
                <w:lang w:eastAsia="cs-CZ"/>
              </w:rPr>
            </w:pPr>
            <w:r w:rsidRPr="0049384B">
              <w:rPr>
                <w:sz w:val="20"/>
                <w:szCs w:val="20"/>
                <w:lang w:eastAsia="cs-CZ"/>
              </w:rPr>
              <w:t>Z</w:t>
            </w:r>
          </w:p>
        </w:tc>
        <w:tc>
          <w:tcPr>
            <w:tcW w:w="2181" w:type="pct"/>
            <w:tcBorders>
              <w:top w:val="single" w:sz="4" w:space="0" w:color="auto"/>
              <w:left w:val="single" w:sz="4" w:space="0" w:color="auto"/>
              <w:bottom w:val="single" w:sz="4" w:space="0" w:color="auto"/>
              <w:right w:val="single" w:sz="4" w:space="0" w:color="auto"/>
            </w:tcBorders>
            <w:shd w:val="clear" w:color="auto" w:fill="auto"/>
          </w:tcPr>
          <w:p w14:paraId="4F922005" w14:textId="77777777" w:rsidR="0049384B" w:rsidRPr="0049384B" w:rsidRDefault="0049384B" w:rsidP="0049384B">
            <w:pPr>
              <w:overflowPunct w:val="0"/>
              <w:autoSpaceDE w:val="0"/>
              <w:autoSpaceDN w:val="0"/>
              <w:adjustRightInd w:val="0"/>
              <w:spacing w:after="120"/>
              <w:jc w:val="both"/>
              <w:rPr>
                <w:b/>
                <w:sz w:val="20"/>
                <w:szCs w:val="20"/>
                <w:lang w:eastAsia="cs-CZ"/>
              </w:rPr>
            </w:pPr>
            <w:r w:rsidRPr="0049384B">
              <w:rPr>
                <w:b/>
                <w:sz w:val="20"/>
                <w:szCs w:val="20"/>
                <w:lang w:eastAsia="cs-CZ"/>
              </w:rPr>
              <w:t>K části sté první – změna zákona o pojišťovnictví</w:t>
            </w:r>
          </w:p>
          <w:p w14:paraId="33E3524F" w14:textId="77777777" w:rsidR="0049384B" w:rsidRPr="0049384B" w:rsidRDefault="0049384B" w:rsidP="0049384B">
            <w:pPr>
              <w:tabs>
                <w:tab w:val="num" w:pos="585"/>
              </w:tabs>
              <w:overflowPunct w:val="0"/>
              <w:autoSpaceDE w:val="0"/>
              <w:autoSpaceDN w:val="0"/>
              <w:adjustRightInd w:val="0"/>
              <w:spacing w:after="120"/>
              <w:ind w:left="340" w:hanging="340"/>
              <w:jc w:val="both"/>
              <w:rPr>
                <w:b/>
                <w:sz w:val="20"/>
                <w:szCs w:val="20"/>
                <w:lang w:eastAsia="cs-CZ"/>
              </w:rPr>
            </w:pPr>
            <w:r w:rsidRPr="0049384B">
              <w:rPr>
                <w:b/>
                <w:sz w:val="20"/>
                <w:szCs w:val="20"/>
                <w:lang w:eastAsia="cs-CZ"/>
              </w:rPr>
              <w:t xml:space="preserve">K bodu </w:t>
            </w:r>
            <w:bookmarkStart w:id="37" w:name="_Hlk169773718"/>
            <w:r w:rsidRPr="0049384B">
              <w:rPr>
                <w:b/>
                <w:sz w:val="20"/>
                <w:szCs w:val="20"/>
                <w:lang w:eastAsia="cs-CZ"/>
              </w:rPr>
              <w:t>7 § 81a</w:t>
            </w:r>
            <w:bookmarkEnd w:id="37"/>
          </w:p>
          <w:p w14:paraId="32D96928" w14:textId="77777777" w:rsidR="0049384B" w:rsidRPr="0049384B" w:rsidRDefault="0049384B" w:rsidP="0049384B">
            <w:pPr>
              <w:overflowPunct w:val="0"/>
              <w:autoSpaceDE w:val="0"/>
              <w:autoSpaceDN w:val="0"/>
              <w:adjustRightInd w:val="0"/>
              <w:spacing w:after="120"/>
              <w:jc w:val="both"/>
              <w:rPr>
                <w:sz w:val="20"/>
                <w:szCs w:val="20"/>
                <w:lang w:eastAsia="cs-CZ"/>
              </w:rPr>
            </w:pPr>
            <w:bookmarkStart w:id="38" w:name="_Hlk169773725"/>
            <w:r w:rsidRPr="0049384B">
              <w:rPr>
                <w:sz w:val="20"/>
                <w:szCs w:val="20"/>
                <w:lang w:eastAsia="cs-CZ"/>
              </w:rPr>
              <w:t>Požadujeme nové ustanovení § 81a vypustit.</w:t>
            </w:r>
          </w:p>
          <w:p w14:paraId="59A3EFCF" w14:textId="77777777" w:rsidR="0049384B" w:rsidRPr="0049384B" w:rsidRDefault="0049384B" w:rsidP="0049384B">
            <w:pPr>
              <w:overflowPunct w:val="0"/>
              <w:autoSpaceDE w:val="0"/>
              <w:autoSpaceDN w:val="0"/>
              <w:adjustRightInd w:val="0"/>
              <w:spacing w:after="120"/>
              <w:jc w:val="both"/>
              <w:rPr>
                <w:sz w:val="20"/>
                <w:szCs w:val="20"/>
                <w:lang w:eastAsia="cs-CZ"/>
              </w:rPr>
            </w:pPr>
            <w:r w:rsidRPr="0049384B">
              <w:rPr>
                <w:sz w:val="20"/>
                <w:szCs w:val="20"/>
                <w:lang w:eastAsia="cs-CZ"/>
              </w:rPr>
              <w:lastRenderedPageBreak/>
              <w:t>Alternativně, nebude-li naší připomínce vyhověno, požadujeme alespoň v odstavci 1 slova „nejméně 3 měsíce ode dne nabytí právní moci“ nahradit slovy „nejméně 3 měsíce od data, kdy marně uplyne lhůta pro odmítnutí vybraného auditora dle odstavce 3“</w:t>
            </w:r>
            <w:bookmarkEnd w:id="38"/>
            <w:r w:rsidRPr="0049384B">
              <w:rPr>
                <w:sz w:val="20"/>
                <w:szCs w:val="20"/>
                <w:lang w:eastAsia="cs-CZ"/>
              </w:rPr>
              <w:t>.</w:t>
            </w:r>
          </w:p>
          <w:p w14:paraId="0133AE98" w14:textId="77777777" w:rsidR="0049384B" w:rsidRPr="0049384B" w:rsidRDefault="0049384B" w:rsidP="0049384B">
            <w:pPr>
              <w:overflowPunct w:val="0"/>
              <w:autoSpaceDE w:val="0"/>
              <w:autoSpaceDN w:val="0"/>
              <w:adjustRightInd w:val="0"/>
              <w:spacing w:after="120"/>
              <w:jc w:val="both"/>
              <w:rPr>
                <w:sz w:val="20"/>
                <w:szCs w:val="20"/>
                <w:u w:val="single"/>
                <w:lang w:eastAsia="cs-CZ"/>
              </w:rPr>
            </w:pPr>
            <w:r w:rsidRPr="0049384B">
              <w:rPr>
                <w:sz w:val="20"/>
                <w:szCs w:val="20"/>
                <w:u w:val="single"/>
                <w:lang w:eastAsia="cs-CZ"/>
              </w:rPr>
              <w:t>Odůvodnění:</w:t>
            </w:r>
          </w:p>
          <w:p w14:paraId="36BDC141" w14:textId="77777777" w:rsidR="0049384B" w:rsidRPr="0049384B" w:rsidRDefault="0049384B" w:rsidP="0049384B">
            <w:pPr>
              <w:overflowPunct w:val="0"/>
              <w:autoSpaceDE w:val="0"/>
              <w:autoSpaceDN w:val="0"/>
              <w:adjustRightInd w:val="0"/>
              <w:spacing w:after="120"/>
              <w:jc w:val="both"/>
              <w:rPr>
                <w:sz w:val="20"/>
                <w:szCs w:val="20"/>
                <w:lang w:eastAsia="cs-CZ"/>
              </w:rPr>
            </w:pPr>
            <w:bookmarkStart w:id="39" w:name="_Hlk169773738"/>
            <w:r w:rsidRPr="0049384B">
              <w:rPr>
                <w:sz w:val="20"/>
                <w:szCs w:val="20"/>
                <w:lang w:eastAsia="cs-CZ"/>
              </w:rPr>
              <w:t>Toto nové ustanovení nijak nevyvolané novelou zákona o účetnictví je pokračování snahy ČNB přenášet výkon své činnosti na externí subjekty, a to na náklady dohlížených subjektů, aniž by jí v tomto ohledu bylo jakkoli bráněno v nadměrném zatěžování dohlížených subjektů. Tento trend považujeme nadále za zvrácený.</w:t>
            </w:r>
          </w:p>
          <w:p w14:paraId="28ABB1C2" w14:textId="77777777" w:rsidR="0049384B" w:rsidRPr="0049384B" w:rsidRDefault="0049384B" w:rsidP="0049384B">
            <w:pPr>
              <w:overflowPunct w:val="0"/>
              <w:autoSpaceDE w:val="0"/>
              <w:autoSpaceDN w:val="0"/>
              <w:adjustRightInd w:val="0"/>
              <w:spacing w:after="120"/>
              <w:jc w:val="both"/>
              <w:rPr>
                <w:sz w:val="20"/>
                <w:szCs w:val="20"/>
                <w:lang w:eastAsia="cs-CZ"/>
              </w:rPr>
            </w:pPr>
            <w:r w:rsidRPr="0049384B">
              <w:rPr>
                <w:sz w:val="20"/>
                <w:szCs w:val="20"/>
                <w:lang w:eastAsia="cs-CZ"/>
              </w:rPr>
              <w:t>Bude-li uvedená snaha zákonodárcem podpořena, považujeme za nutné upozornit, že v uvedeném ustanovení jsou nastaveny lhůty, které nekorespondují s reálnými možnostmi a tím navíc ohrožují fungování samotného řídícího a kontrolního systému.</w:t>
            </w:r>
          </w:p>
          <w:p w14:paraId="5DCF27EE" w14:textId="77777777" w:rsidR="0049384B" w:rsidRPr="0049384B" w:rsidRDefault="0049384B" w:rsidP="0049384B">
            <w:pPr>
              <w:overflowPunct w:val="0"/>
              <w:autoSpaceDE w:val="0"/>
              <w:autoSpaceDN w:val="0"/>
              <w:adjustRightInd w:val="0"/>
              <w:spacing w:after="120"/>
              <w:jc w:val="both"/>
              <w:rPr>
                <w:sz w:val="20"/>
                <w:szCs w:val="20"/>
                <w:lang w:eastAsia="cs-CZ"/>
              </w:rPr>
            </w:pPr>
            <w:r w:rsidRPr="0049384B">
              <w:rPr>
                <w:sz w:val="20"/>
                <w:szCs w:val="20"/>
                <w:lang w:eastAsia="cs-CZ"/>
              </w:rPr>
              <w:t>Konkrétně lhůta 30 dnů od data nabytí právní moci rozhodnutí podle § 81 odst. 1 je nepostačující, protože pojišťovna v této lhůtě musí nejen zodpovědně (s ohledem na náklady a kvalitu služby) vybrat vhodného auditora, ale rovněž musí absolvovat příslušné interní schvalovací procesy (včetně posouzení, zda nařízený audit spadá mezi povolené neauditní služby či nikoli a projednání výběru výborem pro audit a následné schválení výběru auditora valnou hromadou). Obejití nebo vynechání těchto schvalovacích procedur by bylo narušením funkce řídícího a kontrolního systému pojišťovny.</w:t>
            </w:r>
          </w:p>
          <w:p w14:paraId="6F3BC819" w14:textId="77777777" w:rsidR="0049384B" w:rsidRPr="0049384B" w:rsidRDefault="0049384B" w:rsidP="0049384B">
            <w:pPr>
              <w:overflowPunct w:val="0"/>
              <w:autoSpaceDE w:val="0"/>
              <w:autoSpaceDN w:val="0"/>
              <w:adjustRightInd w:val="0"/>
              <w:spacing w:after="120"/>
              <w:jc w:val="both"/>
              <w:rPr>
                <w:sz w:val="20"/>
                <w:szCs w:val="20"/>
                <w:lang w:eastAsia="cs-CZ"/>
              </w:rPr>
            </w:pPr>
            <w:r w:rsidRPr="0049384B">
              <w:rPr>
                <w:sz w:val="20"/>
                <w:szCs w:val="20"/>
                <w:lang w:eastAsia="cs-CZ"/>
              </w:rPr>
              <w:t>Nebude-li tedy navrhovaný § 81a vypuštěn zcela, pak je nezbytné alespoň upravit tuto lhůtu, a to jejím prodloužením na dvojnásobek (tj. nejméně na 60 dnů)</w:t>
            </w:r>
            <w:bookmarkEnd w:id="39"/>
            <w:r w:rsidRPr="0049384B">
              <w:rPr>
                <w:sz w:val="20"/>
                <w:szCs w:val="20"/>
                <w:lang w:eastAsia="cs-CZ"/>
              </w:rPr>
              <w:t>.</w:t>
            </w:r>
          </w:p>
          <w:p w14:paraId="637863D6" w14:textId="77777777" w:rsidR="0049384B" w:rsidRPr="0049384B" w:rsidRDefault="0049384B" w:rsidP="0049384B">
            <w:pPr>
              <w:overflowPunct w:val="0"/>
              <w:autoSpaceDE w:val="0"/>
              <w:autoSpaceDN w:val="0"/>
              <w:adjustRightInd w:val="0"/>
              <w:spacing w:after="120"/>
              <w:jc w:val="both"/>
              <w:rPr>
                <w:sz w:val="20"/>
                <w:szCs w:val="20"/>
                <w:lang w:eastAsia="cs-CZ"/>
              </w:rPr>
            </w:pPr>
            <w:r w:rsidRPr="0049384B">
              <w:rPr>
                <w:b/>
                <w:sz w:val="20"/>
                <w:szCs w:val="20"/>
                <w:lang w:eastAsia="cs-CZ"/>
              </w:rPr>
              <w:t>Zásadní připomínka.</w:t>
            </w:r>
          </w:p>
        </w:tc>
        <w:tc>
          <w:tcPr>
            <w:tcW w:w="1863" w:type="pct"/>
            <w:tcBorders>
              <w:top w:val="single" w:sz="4" w:space="0" w:color="auto"/>
              <w:left w:val="single" w:sz="4" w:space="0" w:color="auto"/>
              <w:bottom w:val="single" w:sz="4" w:space="0" w:color="auto"/>
              <w:right w:val="single" w:sz="4" w:space="0" w:color="auto"/>
            </w:tcBorders>
            <w:shd w:val="clear" w:color="auto" w:fill="auto"/>
          </w:tcPr>
          <w:p w14:paraId="1C9AF338" w14:textId="77777777" w:rsidR="0049384B" w:rsidRPr="0049384B" w:rsidRDefault="0049384B" w:rsidP="0049384B">
            <w:pPr>
              <w:ind w:left="-142" w:right="-59"/>
              <w:jc w:val="center"/>
              <w:rPr>
                <w:sz w:val="20"/>
                <w:szCs w:val="20"/>
                <w:highlight w:val="lightGray"/>
                <w:lang w:eastAsia="cs-CZ"/>
              </w:rPr>
            </w:pPr>
          </w:p>
        </w:tc>
      </w:tr>
      <w:tr w:rsidR="0049384B" w:rsidRPr="0049384B" w14:paraId="313AB8DC" w14:textId="77777777" w:rsidTr="0049384B">
        <w:trPr>
          <w:trHeight w:val="513"/>
        </w:trPr>
        <w:tc>
          <w:tcPr>
            <w:tcW w:w="423" w:type="pct"/>
            <w:tcBorders>
              <w:top w:val="single" w:sz="4" w:space="0" w:color="auto"/>
              <w:left w:val="single" w:sz="4" w:space="0" w:color="auto"/>
              <w:bottom w:val="single" w:sz="4" w:space="0" w:color="auto"/>
              <w:right w:val="single" w:sz="4" w:space="0" w:color="auto"/>
            </w:tcBorders>
            <w:shd w:val="clear" w:color="auto" w:fill="auto"/>
          </w:tcPr>
          <w:p w14:paraId="3BF34897" w14:textId="77777777" w:rsidR="0049384B" w:rsidRPr="0049384B" w:rsidRDefault="0049384B" w:rsidP="0049384B">
            <w:pPr>
              <w:jc w:val="center"/>
              <w:rPr>
                <w:color w:val="0000FF"/>
                <w:sz w:val="20"/>
                <w:szCs w:val="20"/>
                <w:lang w:eastAsia="cs-CZ"/>
              </w:rPr>
            </w:pPr>
            <w:r w:rsidRPr="0049384B">
              <w:rPr>
                <w:sz w:val="20"/>
                <w:szCs w:val="20"/>
                <w:lang w:eastAsia="cs-CZ"/>
              </w:rPr>
              <w:t>UZS ČR</w:t>
            </w: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7F349D99" w14:textId="77777777" w:rsidR="0049384B" w:rsidRPr="0049384B" w:rsidRDefault="0049384B" w:rsidP="0049384B">
            <w:pPr>
              <w:jc w:val="center"/>
              <w:rPr>
                <w:sz w:val="20"/>
                <w:szCs w:val="20"/>
                <w:lang w:eastAsia="cs-CZ"/>
              </w:rPr>
            </w:pPr>
            <w:r w:rsidRPr="0049384B">
              <w:rPr>
                <w:sz w:val="20"/>
                <w:szCs w:val="20"/>
                <w:lang w:eastAsia="cs-CZ"/>
              </w:rPr>
              <w:t>14.</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208EE122" w14:textId="77777777" w:rsidR="0049384B" w:rsidRPr="0049384B" w:rsidRDefault="0049384B" w:rsidP="0049384B">
            <w:pPr>
              <w:jc w:val="center"/>
              <w:rPr>
                <w:sz w:val="20"/>
                <w:szCs w:val="20"/>
                <w:lang w:eastAsia="cs-CZ"/>
              </w:rPr>
            </w:pPr>
            <w:r w:rsidRPr="0049384B">
              <w:rPr>
                <w:sz w:val="20"/>
                <w:szCs w:val="20"/>
                <w:lang w:eastAsia="cs-CZ"/>
              </w:rPr>
              <w:t>D</w:t>
            </w:r>
          </w:p>
        </w:tc>
        <w:tc>
          <w:tcPr>
            <w:tcW w:w="2181" w:type="pct"/>
            <w:tcBorders>
              <w:top w:val="single" w:sz="4" w:space="0" w:color="auto"/>
              <w:left w:val="single" w:sz="4" w:space="0" w:color="auto"/>
              <w:bottom w:val="single" w:sz="4" w:space="0" w:color="auto"/>
              <w:right w:val="single" w:sz="4" w:space="0" w:color="auto"/>
            </w:tcBorders>
            <w:shd w:val="clear" w:color="auto" w:fill="auto"/>
          </w:tcPr>
          <w:p w14:paraId="245F9438" w14:textId="77777777" w:rsidR="0049384B" w:rsidRPr="0049384B" w:rsidRDefault="0049384B" w:rsidP="0049384B">
            <w:pPr>
              <w:overflowPunct w:val="0"/>
              <w:autoSpaceDE w:val="0"/>
              <w:autoSpaceDN w:val="0"/>
              <w:adjustRightInd w:val="0"/>
              <w:spacing w:after="120"/>
              <w:jc w:val="both"/>
              <w:rPr>
                <w:b/>
                <w:sz w:val="20"/>
                <w:szCs w:val="20"/>
                <w:lang w:eastAsia="cs-CZ"/>
              </w:rPr>
            </w:pPr>
            <w:r w:rsidRPr="0049384B">
              <w:rPr>
                <w:b/>
                <w:sz w:val="20"/>
                <w:szCs w:val="20"/>
                <w:lang w:eastAsia="cs-CZ"/>
              </w:rPr>
              <w:t>K části sté první – změna zákona o pojišťovnictví</w:t>
            </w:r>
          </w:p>
          <w:p w14:paraId="01C5EB09" w14:textId="77777777" w:rsidR="0049384B" w:rsidRPr="0049384B" w:rsidRDefault="0049384B" w:rsidP="0049384B">
            <w:pPr>
              <w:tabs>
                <w:tab w:val="num" w:pos="585"/>
              </w:tabs>
              <w:overflowPunct w:val="0"/>
              <w:autoSpaceDE w:val="0"/>
              <w:autoSpaceDN w:val="0"/>
              <w:adjustRightInd w:val="0"/>
              <w:spacing w:after="120"/>
              <w:ind w:left="340" w:hanging="340"/>
              <w:jc w:val="both"/>
              <w:rPr>
                <w:b/>
                <w:sz w:val="20"/>
                <w:szCs w:val="20"/>
                <w:lang w:eastAsia="cs-CZ"/>
              </w:rPr>
            </w:pPr>
            <w:r w:rsidRPr="0049384B">
              <w:rPr>
                <w:b/>
                <w:sz w:val="20"/>
                <w:szCs w:val="20"/>
                <w:lang w:eastAsia="cs-CZ"/>
              </w:rPr>
              <w:t xml:space="preserve">K bodu </w:t>
            </w:r>
            <w:bookmarkStart w:id="40" w:name="_Hlk169773755"/>
            <w:r w:rsidRPr="0049384B">
              <w:rPr>
                <w:b/>
                <w:sz w:val="20"/>
                <w:szCs w:val="20"/>
                <w:lang w:eastAsia="cs-CZ"/>
              </w:rPr>
              <w:t>7 § 81a odst. 5</w:t>
            </w:r>
            <w:bookmarkEnd w:id="40"/>
          </w:p>
          <w:p w14:paraId="20D65EB6" w14:textId="77777777" w:rsidR="0049384B" w:rsidRPr="0049384B" w:rsidRDefault="0049384B" w:rsidP="0049384B">
            <w:pPr>
              <w:overflowPunct w:val="0"/>
              <w:autoSpaceDE w:val="0"/>
              <w:autoSpaceDN w:val="0"/>
              <w:adjustRightInd w:val="0"/>
              <w:spacing w:after="120"/>
              <w:jc w:val="both"/>
              <w:rPr>
                <w:sz w:val="20"/>
                <w:szCs w:val="20"/>
                <w:lang w:eastAsia="cs-CZ"/>
              </w:rPr>
            </w:pPr>
            <w:bookmarkStart w:id="41" w:name="_Hlk169773762"/>
            <w:r w:rsidRPr="0049384B">
              <w:rPr>
                <w:sz w:val="20"/>
                <w:szCs w:val="20"/>
                <w:lang w:eastAsia="cs-CZ"/>
              </w:rPr>
              <w:t xml:space="preserve">Navrhujeme slova „se o dobu trvání tohoto řízení prodlužuje“ nahradit slovy „se prodlužuje o dobu trvání tohoto řízení a dále o dobu určenou </w:t>
            </w:r>
            <w:r w:rsidRPr="0049384B">
              <w:rPr>
                <w:sz w:val="20"/>
                <w:szCs w:val="20"/>
                <w:lang w:eastAsia="cs-CZ"/>
              </w:rPr>
              <w:lastRenderedPageBreak/>
              <w:t>tímto zákonem pro výběr auditora dle odstavce 1 a dobu, kterou má vyhrazenu ČNB k vyjádření se k výběru auditora“</w:t>
            </w:r>
            <w:bookmarkEnd w:id="41"/>
            <w:r w:rsidRPr="0049384B">
              <w:rPr>
                <w:sz w:val="20"/>
                <w:szCs w:val="20"/>
                <w:lang w:eastAsia="cs-CZ"/>
              </w:rPr>
              <w:t>.</w:t>
            </w:r>
          </w:p>
          <w:p w14:paraId="5AFC2690" w14:textId="77777777" w:rsidR="0049384B" w:rsidRPr="0049384B" w:rsidRDefault="0049384B" w:rsidP="0049384B">
            <w:pPr>
              <w:overflowPunct w:val="0"/>
              <w:autoSpaceDE w:val="0"/>
              <w:autoSpaceDN w:val="0"/>
              <w:adjustRightInd w:val="0"/>
              <w:spacing w:after="120"/>
              <w:jc w:val="both"/>
              <w:rPr>
                <w:sz w:val="20"/>
                <w:szCs w:val="20"/>
                <w:u w:val="single"/>
                <w:lang w:eastAsia="cs-CZ"/>
              </w:rPr>
            </w:pPr>
            <w:r w:rsidRPr="0049384B">
              <w:rPr>
                <w:sz w:val="20"/>
                <w:szCs w:val="20"/>
                <w:u w:val="single"/>
                <w:lang w:eastAsia="cs-CZ"/>
              </w:rPr>
              <w:t>Odůvodnění:</w:t>
            </w:r>
          </w:p>
          <w:p w14:paraId="166046DE" w14:textId="77777777" w:rsidR="0049384B" w:rsidRPr="0049384B" w:rsidRDefault="0049384B" w:rsidP="0049384B">
            <w:pPr>
              <w:overflowPunct w:val="0"/>
              <w:autoSpaceDE w:val="0"/>
              <w:autoSpaceDN w:val="0"/>
              <w:adjustRightInd w:val="0"/>
              <w:spacing w:after="120"/>
              <w:jc w:val="both"/>
              <w:rPr>
                <w:sz w:val="20"/>
                <w:szCs w:val="20"/>
                <w:lang w:eastAsia="cs-CZ"/>
              </w:rPr>
            </w:pPr>
            <w:bookmarkStart w:id="42" w:name="_Hlk169773769"/>
            <w:r w:rsidRPr="0049384B">
              <w:rPr>
                <w:sz w:val="20"/>
                <w:szCs w:val="20"/>
                <w:lang w:eastAsia="cs-CZ"/>
              </w:rPr>
              <w:t>Bude-li uvedené ustanovení do zákona inkorporováno, je nezbytné i v souladu s výše uvedeným napravit nepřesnost v návrhu na počítání lhůt obsaženou v ustanovení odst. 5, neboť nebere v potaz čas potřebný na opakování všech procedur spojených s výběrem auditora a posouzením tohoto výběru samotnou ČNB</w:t>
            </w:r>
            <w:bookmarkEnd w:id="42"/>
            <w:r w:rsidRPr="0049384B">
              <w:rPr>
                <w:sz w:val="20"/>
                <w:szCs w:val="20"/>
                <w:lang w:eastAsia="cs-CZ"/>
              </w:rPr>
              <w:t>.</w:t>
            </w:r>
          </w:p>
        </w:tc>
        <w:tc>
          <w:tcPr>
            <w:tcW w:w="1863" w:type="pct"/>
            <w:tcBorders>
              <w:top w:val="single" w:sz="4" w:space="0" w:color="auto"/>
              <w:left w:val="single" w:sz="4" w:space="0" w:color="auto"/>
              <w:bottom w:val="single" w:sz="4" w:space="0" w:color="auto"/>
              <w:right w:val="single" w:sz="4" w:space="0" w:color="auto"/>
            </w:tcBorders>
            <w:shd w:val="clear" w:color="auto" w:fill="auto"/>
          </w:tcPr>
          <w:p w14:paraId="068B835A" w14:textId="77777777" w:rsidR="0049384B" w:rsidRPr="0049384B" w:rsidRDefault="0049384B" w:rsidP="0049384B">
            <w:pPr>
              <w:ind w:left="-142" w:right="-59"/>
              <w:jc w:val="center"/>
              <w:rPr>
                <w:sz w:val="20"/>
                <w:szCs w:val="20"/>
                <w:highlight w:val="lightGray"/>
                <w:lang w:eastAsia="cs-CZ"/>
              </w:rPr>
            </w:pPr>
          </w:p>
        </w:tc>
      </w:tr>
    </w:tbl>
    <w:p w14:paraId="22AE0E79" w14:textId="77777777" w:rsidR="0049384B" w:rsidRDefault="0049384B" w:rsidP="002E7A97">
      <w:pPr>
        <w:shd w:val="clear" w:color="auto" w:fill="FFFFFF"/>
        <w:jc w:val="both"/>
        <w:rPr>
          <w:rFonts w:asciiTheme="minorHAnsi" w:eastAsiaTheme="minorHAnsi" w:hAnsiTheme="minorHAnsi" w:cstheme="minorBidi"/>
          <w:b/>
          <w:sz w:val="22"/>
          <w:szCs w:val="22"/>
          <w:u w:val="single"/>
          <w:lang w:eastAsia="en-US"/>
        </w:rPr>
      </w:pPr>
    </w:p>
    <w:p w14:paraId="7B0771F8" w14:textId="7D560756" w:rsidR="007C69D9" w:rsidRPr="00CC2A26" w:rsidRDefault="006F09E9" w:rsidP="002E7A97">
      <w:pPr>
        <w:shd w:val="clear" w:color="auto" w:fill="FFFFFF"/>
        <w:jc w:val="both"/>
        <w:rPr>
          <w:rFonts w:asciiTheme="minorHAnsi" w:hAnsiTheme="minorHAnsi" w:cstheme="minorHAnsi"/>
          <w:bCs/>
          <w:color w:val="000000" w:themeColor="text1"/>
          <w:sz w:val="22"/>
          <w:szCs w:val="22"/>
        </w:rPr>
      </w:pPr>
      <w:r w:rsidRPr="00CC2A26">
        <w:rPr>
          <w:rFonts w:asciiTheme="minorHAnsi" w:hAnsiTheme="minorHAnsi" w:cstheme="minorHAnsi"/>
          <w:bCs/>
          <w:color w:val="000000" w:themeColor="text1"/>
          <w:sz w:val="22"/>
          <w:szCs w:val="22"/>
        </w:rPr>
        <w:t xml:space="preserve">Kontaktní osoba: </w:t>
      </w:r>
      <w:r w:rsidR="004E6767">
        <w:rPr>
          <w:rFonts w:asciiTheme="minorHAnsi" w:hAnsiTheme="minorHAnsi" w:cstheme="minorHAnsi"/>
          <w:bCs/>
          <w:color w:val="000000" w:themeColor="text1"/>
          <w:sz w:val="22"/>
          <w:szCs w:val="22"/>
        </w:rPr>
        <w:t>Mgr. Jakub Machytka</w:t>
      </w:r>
      <w:r w:rsidR="00FA0649" w:rsidRPr="00CC2A26">
        <w:rPr>
          <w:rFonts w:asciiTheme="minorHAnsi" w:hAnsiTheme="minorHAnsi" w:cstheme="minorHAnsi"/>
          <w:bCs/>
          <w:color w:val="000000" w:themeColor="text1"/>
          <w:sz w:val="22"/>
          <w:szCs w:val="22"/>
        </w:rPr>
        <w:t xml:space="preserve">, e-mail: </w:t>
      </w:r>
      <w:r w:rsidR="004E6767">
        <w:rPr>
          <w:rFonts w:asciiTheme="minorHAnsi" w:hAnsiTheme="minorHAnsi" w:cstheme="minorHAnsi"/>
          <w:bCs/>
          <w:color w:val="000000" w:themeColor="text1"/>
          <w:sz w:val="22"/>
          <w:szCs w:val="22"/>
        </w:rPr>
        <w:t>jakub.machytka@uzs</w:t>
      </w:r>
      <w:r w:rsidR="00CC2A26">
        <w:rPr>
          <w:rFonts w:asciiTheme="minorHAnsi" w:hAnsiTheme="minorHAnsi" w:cstheme="minorHAnsi"/>
          <w:bCs/>
          <w:color w:val="000000" w:themeColor="text1"/>
          <w:sz w:val="22"/>
          <w:szCs w:val="22"/>
        </w:rPr>
        <w:t>.</w:t>
      </w:r>
      <w:r w:rsidR="00FA0649" w:rsidRPr="00CC2A26">
        <w:rPr>
          <w:rFonts w:asciiTheme="minorHAnsi" w:hAnsiTheme="minorHAnsi" w:cstheme="minorHAnsi"/>
          <w:bCs/>
          <w:color w:val="000000" w:themeColor="text1"/>
          <w:sz w:val="22"/>
          <w:szCs w:val="22"/>
        </w:rPr>
        <w:t xml:space="preserve">cz, tel.: </w:t>
      </w:r>
      <w:r w:rsidR="004E6767">
        <w:rPr>
          <w:rFonts w:asciiTheme="minorHAnsi" w:hAnsiTheme="minorHAnsi" w:cstheme="minorHAnsi"/>
          <w:bCs/>
          <w:color w:val="000000" w:themeColor="text1"/>
          <w:sz w:val="22"/>
          <w:szCs w:val="22"/>
        </w:rPr>
        <w:t>727 956 059</w:t>
      </w:r>
    </w:p>
    <w:sectPr w:rsidR="007C69D9" w:rsidRPr="00CC2A26" w:rsidSect="0049384B">
      <w:headerReference w:type="even" r:id="rId8"/>
      <w:headerReference w:type="default" r:id="rId9"/>
      <w:footerReference w:type="default" r:id="rId10"/>
      <w:pgSz w:w="16838" w:h="11906" w:orient="landscape"/>
      <w:pgMar w:top="1417" w:right="2127" w:bottom="141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F91C28" w14:textId="77777777" w:rsidR="001C41C3" w:rsidRDefault="001C41C3" w:rsidP="00064C09">
      <w:r>
        <w:separator/>
      </w:r>
    </w:p>
  </w:endnote>
  <w:endnote w:type="continuationSeparator" w:id="0">
    <w:p w14:paraId="2265F541" w14:textId="77777777" w:rsidR="001C41C3" w:rsidRDefault="001C41C3" w:rsidP="00064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4426"/>
      <w:gridCol w:w="4426"/>
      <w:gridCol w:w="4442"/>
    </w:tblGrid>
    <w:tr w:rsidR="00380334" w:rsidRPr="00305BFD" w14:paraId="414CA0A3" w14:textId="77777777" w:rsidTr="00231CD5">
      <w:trPr>
        <w:trHeight w:val="696"/>
      </w:trPr>
      <w:tc>
        <w:tcPr>
          <w:tcW w:w="4640" w:type="dxa"/>
        </w:tcPr>
        <w:p w14:paraId="2511160A" w14:textId="77777777" w:rsidR="00380334" w:rsidRPr="008D5270" w:rsidRDefault="00380334" w:rsidP="00231CD5">
          <w:pPr>
            <w:pStyle w:val="Zhlav"/>
            <w:rPr>
              <w:rFonts w:ascii="Arial" w:hAnsi="Arial" w:cs="Arial"/>
              <w:sz w:val="16"/>
              <w:szCs w:val="16"/>
            </w:rPr>
          </w:pPr>
        </w:p>
        <w:p w14:paraId="1B873755" w14:textId="2DA538A9" w:rsidR="00380334" w:rsidRPr="008D5270" w:rsidRDefault="00380334" w:rsidP="00231CD5">
          <w:pPr>
            <w:pStyle w:val="Zhlav"/>
            <w:rPr>
              <w:rFonts w:ascii="Arial" w:hAnsi="Arial" w:cs="Arial"/>
              <w:sz w:val="16"/>
              <w:szCs w:val="16"/>
            </w:rPr>
          </w:pPr>
          <w:r w:rsidRPr="008D5270">
            <w:rPr>
              <w:rFonts w:ascii="Arial" w:hAnsi="Arial" w:cs="Arial"/>
              <w:sz w:val="16"/>
              <w:szCs w:val="16"/>
            </w:rPr>
            <w:t xml:space="preserve">Na Pankráci </w:t>
          </w:r>
          <w:r w:rsidR="00BB13B6">
            <w:rPr>
              <w:rFonts w:ascii="Arial" w:hAnsi="Arial" w:cs="Arial"/>
              <w:sz w:val="16"/>
              <w:szCs w:val="16"/>
            </w:rPr>
            <w:t>322/26</w:t>
          </w:r>
        </w:p>
        <w:p w14:paraId="2D62661C" w14:textId="77777777" w:rsidR="00380334" w:rsidRPr="008D5270" w:rsidRDefault="00380334" w:rsidP="00231CD5">
          <w:pPr>
            <w:pStyle w:val="Zhlav"/>
            <w:rPr>
              <w:rFonts w:ascii="Arial" w:hAnsi="Arial" w:cs="Arial"/>
              <w:sz w:val="16"/>
              <w:szCs w:val="16"/>
            </w:rPr>
          </w:pPr>
          <w:r w:rsidRPr="008D5270">
            <w:rPr>
              <w:rFonts w:ascii="Arial" w:hAnsi="Arial" w:cs="Arial"/>
              <w:sz w:val="16"/>
              <w:szCs w:val="16"/>
            </w:rPr>
            <w:t>140 00 Praha 4</w:t>
          </w:r>
        </w:p>
        <w:p w14:paraId="32F41CC9" w14:textId="77777777" w:rsidR="00380334" w:rsidRPr="008D5270" w:rsidRDefault="00380334" w:rsidP="00231CD5">
          <w:pPr>
            <w:pStyle w:val="Zpat"/>
            <w:rPr>
              <w:rFonts w:ascii="Arial" w:hAnsi="Arial" w:cs="Arial"/>
            </w:rPr>
          </w:pPr>
        </w:p>
      </w:tc>
      <w:tc>
        <w:tcPr>
          <w:tcW w:w="4642" w:type="dxa"/>
        </w:tcPr>
        <w:p w14:paraId="5A0111FA" w14:textId="77777777" w:rsidR="00380334" w:rsidRPr="008D5270" w:rsidRDefault="00380334" w:rsidP="00231CD5">
          <w:pPr>
            <w:pStyle w:val="Zpat"/>
            <w:jc w:val="center"/>
            <w:rPr>
              <w:rFonts w:ascii="Arial" w:hAnsi="Arial" w:cs="Arial"/>
              <w:sz w:val="16"/>
              <w:szCs w:val="16"/>
            </w:rPr>
          </w:pPr>
        </w:p>
        <w:p w14:paraId="761B7E2E" w14:textId="77777777" w:rsidR="00380334" w:rsidRPr="008D5270" w:rsidRDefault="00380334" w:rsidP="00231CD5">
          <w:pPr>
            <w:pStyle w:val="Zpat"/>
            <w:jc w:val="center"/>
            <w:rPr>
              <w:rFonts w:ascii="Arial" w:hAnsi="Arial" w:cs="Arial"/>
              <w:sz w:val="16"/>
              <w:szCs w:val="16"/>
            </w:rPr>
          </w:pPr>
          <w:r w:rsidRPr="008D5270">
            <w:rPr>
              <w:rFonts w:ascii="Arial" w:hAnsi="Arial" w:cs="Arial"/>
              <w:sz w:val="16"/>
              <w:szCs w:val="16"/>
            </w:rPr>
            <w:t>tel.: 234 633 210</w:t>
          </w:r>
        </w:p>
        <w:p w14:paraId="17C4AD2A" w14:textId="77777777" w:rsidR="00380334" w:rsidRPr="008D5270" w:rsidRDefault="00380334" w:rsidP="00231CD5">
          <w:pPr>
            <w:pStyle w:val="Zpat"/>
            <w:jc w:val="center"/>
            <w:rPr>
              <w:rFonts w:ascii="Arial" w:hAnsi="Arial" w:cs="Arial"/>
            </w:rPr>
          </w:pPr>
        </w:p>
      </w:tc>
      <w:tc>
        <w:tcPr>
          <w:tcW w:w="4642" w:type="dxa"/>
        </w:tcPr>
        <w:p w14:paraId="6F33E0DF" w14:textId="77777777" w:rsidR="00380334" w:rsidRPr="008D5270" w:rsidRDefault="00380334" w:rsidP="00231CD5">
          <w:pPr>
            <w:pStyle w:val="Zhlav"/>
            <w:jc w:val="right"/>
            <w:rPr>
              <w:rFonts w:ascii="Arial" w:hAnsi="Arial" w:cs="Arial"/>
              <w:sz w:val="16"/>
              <w:szCs w:val="16"/>
            </w:rPr>
          </w:pPr>
        </w:p>
        <w:p w14:paraId="3446C931" w14:textId="77777777" w:rsidR="00380334" w:rsidRPr="008D5270" w:rsidRDefault="00380334" w:rsidP="00231CD5">
          <w:pPr>
            <w:pStyle w:val="Zhlav"/>
            <w:jc w:val="right"/>
            <w:rPr>
              <w:rFonts w:ascii="Arial" w:hAnsi="Arial" w:cs="Arial"/>
              <w:sz w:val="16"/>
              <w:szCs w:val="16"/>
            </w:rPr>
          </w:pPr>
          <w:r w:rsidRPr="008D5270">
            <w:rPr>
              <w:rFonts w:ascii="Arial" w:hAnsi="Arial" w:cs="Arial"/>
              <w:sz w:val="16"/>
              <w:szCs w:val="16"/>
            </w:rPr>
            <w:t>e-mail: info@uzs.cz</w:t>
          </w:r>
        </w:p>
        <w:p w14:paraId="1AA13226" w14:textId="77777777" w:rsidR="00380334" w:rsidRPr="008D5270" w:rsidRDefault="00380334" w:rsidP="00231CD5">
          <w:pPr>
            <w:pStyle w:val="Zhlav"/>
            <w:jc w:val="right"/>
            <w:rPr>
              <w:rFonts w:ascii="Arial" w:hAnsi="Arial" w:cs="Arial"/>
              <w:sz w:val="16"/>
              <w:szCs w:val="16"/>
            </w:rPr>
          </w:pPr>
          <w:r w:rsidRPr="008D5270">
            <w:rPr>
              <w:rFonts w:ascii="Arial" w:hAnsi="Arial" w:cs="Arial"/>
              <w:sz w:val="16"/>
              <w:szCs w:val="16"/>
            </w:rPr>
            <w:t>www.uzs.cz</w:t>
          </w:r>
        </w:p>
        <w:p w14:paraId="350D8B03" w14:textId="77777777" w:rsidR="00380334" w:rsidRPr="008D5270" w:rsidRDefault="00380334" w:rsidP="00231CD5">
          <w:pPr>
            <w:pStyle w:val="Zhlav"/>
            <w:jc w:val="right"/>
            <w:rPr>
              <w:rFonts w:ascii="Arial" w:hAnsi="Arial" w:cs="Arial"/>
            </w:rPr>
          </w:pPr>
          <w:r w:rsidRPr="008D5270">
            <w:rPr>
              <w:rFonts w:ascii="Arial" w:hAnsi="Arial" w:cs="Arial"/>
              <w:sz w:val="16"/>
              <w:szCs w:val="16"/>
            </w:rPr>
            <w:t>IČ 22718729</w:t>
          </w:r>
        </w:p>
        <w:p w14:paraId="639AB633" w14:textId="77777777" w:rsidR="00380334" w:rsidRPr="008D5270" w:rsidRDefault="00380334" w:rsidP="00231CD5">
          <w:pPr>
            <w:pStyle w:val="Zpat"/>
            <w:rPr>
              <w:rFonts w:ascii="Arial" w:hAnsi="Arial" w:cs="Arial"/>
            </w:rPr>
          </w:pPr>
        </w:p>
      </w:tc>
    </w:tr>
  </w:tbl>
  <w:p w14:paraId="33BB6C73" w14:textId="77777777" w:rsidR="00380334" w:rsidRDefault="00380334" w:rsidP="00362FA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FCB117" w14:textId="77777777" w:rsidR="001C41C3" w:rsidRDefault="001C41C3" w:rsidP="00064C09">
      <w:r>
        <w:separator/>
      </w:r>
    </w:p>
  </w:footnote>
  <w:footnote w:type="continuationSeparator" w:id="0">
    <w:p w14:paraId="4BD801CE" w14:textId="77777777" w:rsidR="001C41C3" w:rsidRDefault="001C41C3" w:rsidP="00064C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3CEDB7" w14:textId="78AE1A62" w:rsidR="00231539" w:rsidRDefault="00000000">
    <w:pPr>
      <w:pStyle w:val="Zhlav"/>
    </w:pPr>
    <w:r>
      <w:rPr>
        <w:noProof/>
      </w:rPr>
      <w:pict w14:anchorId="5D7AFA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alt="" style="position:absolute;margin-left:0;margin-top:0;width:559.55pt;height:79.9pt;rotation:315;z-index:-251658240;mso-wrap-edited:f;mso-width-percent:0;mso-height-percent:0;mso-position-horizontal:center;mso-position-horizontal-relative:margin;mso-position-vertical:center;mso-position-vertical-relative:margin;mso-width-percent:0;mso-height-percent:0" o:allowincell="f" fillcolor="black [3213]" stroked="f">
          <v:textpath style="font-family:&quot;Times New Roman&quot;;font-size:1pt" string="VERZE K VETU"/>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BEB8A3" w14:textId="4A37125E" w:rsidR="00380334" w:rsidRDefault="00380334" w:rsidP="005C2A77">
    <w:pPr>
      <w:pStyle w:val="Zhlav"/>
      <w:jc w:val="right"/>
    </w:pPr>
    <w:r>
      <w:rPr>
        <w:noProof/>
      </w:rPr>
      <w:drawing>
        <wp:anchor distT="0" distB="0" distL="114300" distR="114300" simplePos="0" relativeHeight="251657216" behindDoc="0" locked="0" layoutInCell="1" allowOverlap="1" wp14:anchorId="4759BD79" wp14:editId="00EFBB4E">
          <wp:simplePos x="0" y="0"/>
          <wp:positionH relativeFrom="column">
            <wp:posOffset>-247650</wp:posOffset>
          </wp:positionH>
          <wp:positionV relativeFrom="paragraph">
            <wp:posOffset>-8890</wp:posOffset>
          </wp:positionV>
          <wp:extent cx="1551940" cy="959485"/>
          <wp:effectExtent l="19050" t="0" r="0" b="0"/>
          <wp:wrapNone/>
          <wp:docPr id="8" name="obrázek 2" desc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pg"/>
                  <pic:cNvPicPr>
                    <a:picLocks noChangeAspect="1" noChangeArrowheads="1"/>
                  </pic:cNvPicPr>
                </pic:nvPicPr>
                <pic:blipFill>
                  <a:blip r:embed="rId1"/>
                  <a:srcRect/>
                  <a:stretch>
                    <a:fillRect/>
                  </a:stretch>
                </pic:blipFill>
                <pic:spPr bwMode="auto">
                  <a:xfrm>
                    <a:off x="0" y="0"/>
                    <a:ext cx="1551940" cy="959485"/>
                  </a:xfrm>
                  <a:prstGeom prst="rect">
                    <a:avLst/>
                  </a:prstGeom>
                  <a:noFill/>
                  <a:ln w="9525">
                    <a:noFill/>
                    <a:miter lim="800000"/>
                    <a:headEnd/>
                    <a:tailEnd/>
                  </a:ln>
                </pic:spPr>
              </pic:pic>
            </a:graphicData>
          </a:graphic>
        </wp:anchor>
      </w:drawing>
    </w:r>
    <w:r>
      <w:tab/>
    </w:r>
  </w:p>
  <w:p w14:paraId="3B1CE78A" w14:textId="77777777" w:rsidR="0049384B" w:rsidRDefault="0049384B" w:rsidP="005C2A77">
    <w:pPr>
      <w:pStyle w:val="Zhlav"/>
      <w:jc w:val="right"/>
    </w:pPr>
  </w:p>
  <w:p w14:paraId="65BE19F5" w14:textId="77777777" w:rsidR="00380334" w:rsidRDefault="00380334" w:rsidP="005C2A77">
    <w:pPr>
      <w:pStyle w:val="Zhlav"/>
      <w:jc w:val="right"/>
      <w:rPr>
        <w:color w:val="808080"/>
      </w:rPr>
    </w:pPr>
  </w:p>
  <w:p w14:paraId="48F6B68D" w14:textId="77777777" w:rsidR="00380334" w:rsidRDefault="00380334" w:rsidP="005C2A77">
    <w:pPr>
      <w:pStyle w:val="Zhlav"/>
      <w:jc w:val="right"/>
      <w:rPr>
        <w:color w:val="808080"/>
      </w:rPr>
    </w:pPr>
  </w:p>
  <w:p w14:paraId="3BC6244D" w14:textId="77777777" w:rsidR="00380334" w:rsidRDefault="0038033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B32D1"/>
    <w:multiLevelType w:val="hybridMultilevel"/>
    <w:tmpl w:val="0BF88210"/>
    <w:lvl w:ilvl="0" w:tplc="D6586D74">
      <w:start w:val="1"/>
      <w:numFmt w:val="decimal"/>
      <w:lvlText w:val="%1."/>
      <w:lvlJc w:val="left"/>
      <w:pPr>
        <w:ind w:left="36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881A26"/>
    <w:multiLevelType w:val="hybridMultilevel"/>
    <w:tmpl w:val="D20254A4"/>
    <w:lvl w:ilvl="0" w:tplc="3E8CD20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89853AE"/>
    <w:multiLevelType w:val="hybridMultilevel"/>
    <w:tmpl w:val="6C3CDB66"/>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8F670C0"/>
    <w:multiLevelType w:val="hybridMultilevel"/>
    <w:tmpl w:val="EDE888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9E32C5"/>
    <w:multiLevelType w:val="hybridMultilevel"/>
    <w:tmpl w:val="8ABCFA1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0E377362"/>
    <w:multiLevelType w:val="hybridMultilevel"/>
    <w:tmpl w:val="AED6F46E"/>
    <w:lvl w:ilvl="0" w:tplc="BC5EF2A8">
      <w:start w:val="1"/>
      <w:numFmt w:val="bullet"/>
      <w:pStyle w:val="OdrkyEQerven"/>
      <w:lvlText w:val=""/>
      <w:lvlJc w:val="left"/>
      <w:pPr>
        <w:ind w:left="574" w:hanging="360"/>
      </w:pPr>
      <w:rPr>
        <w:rFonts w:ascii="Wingdings" w:hAnsi="Wingdings" w:hint="default"/>
        <w:color w:val="auto"/>
        <w:sz w:val="24"/>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B446DA"/>
    <w:multiLevelType w:val="hybridMultilevel"/>
    <w:tmpl w:val="6480F69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956243E"/>
    <w:multiLevelType w:val="hybridMultilevel"/>
    <w:tmpl w:val="F01871D4"/>
    <w:lvl w:ilvl="0" w:tplc="6C9AE410">
      <w:start w:val="1"/>
      <w:numFmt w:val="upperRoman"/>
      <w:lvlText w:val="%1."/>
      <w:lvlJc w:val="right"/>
      <w:pPr>
        <w:ind w:left="720" w:hanging="360"/>
      </w:pPr>
      <w:rPr>
        <w:b/>
        <w:sz w:val="24"/>
        <w:szCs w:val="24"/>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1F4F42B7"/>
    <w:multiLevelType w:val="hybridMultilevel"/>
    <w:tmpl w:val="80E2CB3C"/>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2F70354"/>
    <w:multiLevelType w:val="hybridMultilevel"/>
    <w:tmpl w:val="3A2056F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4E059C6"/>
    <w:multiLevelType w:val="hybridMultilevel"/>
    <w:tmpl w:val="91500FA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1E313FD"/>
    <w:multiLevelType w:val="hybridMultilevel"/>
    <w:tmpl w:val="3B08F82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32F171F4"/>
    <w:multiLevelType w:val="hybridMultilevel"/>
    <w:tmpl w:val="FE86E4C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36504E17"/>
    <w:multiLevelType w:val="hybridMultilevel"/>
    <w:tmpl w:val="436C18A6"/>
    <w:lvl w:ilvl="0" w:tplc="FFFFFFFF">
      <w:start w:val="1"/>
      <w:numFmt w:val="decimal"/>
      <w:lvlText w:val="%1."/>
      <w:lvlJc w:val="left"/>
      <w:pPr>
        <w:ind w:left="36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5B043E5"/>
    <w:multiLevelType w:val="hybridMultilevel"/>
    <w:tmpl w:val="D9F65756"/>
    <w:lvl w:ilvl="0" w:tplc="2EDAE1E4">
      <w:start w:val="6"/>
      <w:numFmt w:val="bullet"/>
      <w:lvlText w:val=""/>
      <w:lvlJc w:val="left"/>
      <w:pPr>
        <w:ind w:left="705" w:hanging="705"/>
      </w:pPr>
      <w:rPr>
        <w:rFonts w:ascii="Symbol" w:eastAsia="Calibri" w:hAnsi="Symbol" w:cs="Times New Roman" w:hint="default"/>
      </w:rPr>
    </w:lvl>
    <w:lvl w:ilvl="1" w:tplc="0405000B">
      <w:start w:val="1"/>
      <w:numFmt w:val="bullet"/>
      <w:lvlText w:val=""/>
      <w:lvlJc w:val="left"/>
      <w:pPr>
        <w:ind w:left="1425" w:hanging="705"/>
      </w:pPr>
      <w:rPr>
        <w:rFonts w:ascii="Wingdings" w:hAnsi="Wingdings"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B">
      <w:start w:val="1"/>
      <w:numFmt w:val="bullet"/>
      <w:lvlText w:val=""/>
      <w:lvlJc w:val="left"/>
      <w:pPr>
        <w:ind w:left="3240" w:hanging="360"/>
      </w:pPr>
      <w:rPr>
        <w:rFonts w:ascii="Wingdings" w:hAnsi="Wingdings"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15" w15:restartNumberingAfterBreak="0">
    <w:nsid w:val="4EDF0585"/>
    <w:multiLevelType w:val="hybridMultilevel"/>
    <w:tmpl w:val="FFC600D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65C615E"/>
    <w:multiLevelType w:val="hybridMultilevel"/>
    <w:tmpl w:val="17AC6364"/>
    <w:lvl w:ilvl="0" w:tplc="04050011">
      <w:start w:val="1"/>
      <w:numFmt w:val="decimal"/>
      <w:lvlText w:val="%1)"/>
      <w:lvlJc w:val="left"/>
      <w:pPr>
        <w:ind w:left="1425" w:hanging="360"/>
      </w:pPr>
    </w:lvl>
    <w:lvl w:ilvl="1" w:tplc="04050019">
      <w:start w:val="1"/>
      <w:numFmt w:val="lowerLetter"/>
      <w:lvlText w:val="%2."/>
      <w:lvlJc w:val="left"/>
      <w:pPr>
        <w:ind w:left="2145" w:hanging="360"/>
      </w:pPr>
    </w:lvl>
    <w:lvl w:ilvl="2" w:tplc="0405001B">
      <w:start w:val="1"/>
      <w:numFmt w:val="lowerRoman"/>
      <w:lvlText w:val="%3."/>
      <w:lvlJc w:val="right"/>
      <w:pPr>
        <w:ind w:left="2865" w:hanging="180"/>
      </w:pPr>
    </w:lvl>
    <w:lvl w:ilvl="3" w:tplc="0405000F">
      <w:start w:val="1"/>
      <w:numFmt w:val="decimal"/>
      <w:lvlText w:val="%4."/>
      <w:lvlJc w:val="left"/>
      <w:pPr>
        <w:ind w:left="3585" w:hanging="360"/>
      </w:pPr>
    </w:lvl>
    <w:lvl w:ilvl="4" w:tplc="04050019">
      <w:start w:val="1"/>
      <w:numFmt w:val="lowerLetter"/>
      <w:lvlText w:val="%5."/>
      <w:lvlJc w:val="left"/>
      <w:pPr>
        <w:ind w:left="4305" w:hanging="360"/>
      </w:pPr>
    </w:lvl>
    <w:lvl w:ilvl="5" w:tplc="0405001B">
      <w:start w:val="1"/>
      <w:numFmt w:val="lowerRoman"/>
      <w:lvlText w:val="%6."/>
      <w:lvlJc w:val="right"/>
      <w:pPr>
        <w:ind w:left="5025" w:hanging="180"/>
      </w:pPr>
    </w:lvl>
    <w:lvl w:ilvl="6" w:tplc="0405000F">
      <w:start w:val="1"/>
      <w:numFmt w:val="decimal"/>
      <w:lvlText w:val="%7."/>
      <w:lvlJc w:val="left"/>
      <w:pPr>
        <w:ind w:left="5745" w:hanging="360"/>
      </w:pPr>
    </w:lvl>
    <w:lvl w:ilvl="7" w:tplc="04050019">
      <w:start w:val="1"/>
      <w:numFmt w:val="lowerLetter"/>
      <w:lvlText w:val="%8."/>
      <w:lvlJc w:val="left"/>
      <w:pPr>
        <w:ind w:left="6465" w:hanging="360"/>
      </w:pPr>
    </w:lvl>
    <w:lvl w:ilvl="8" w:tplc="0405001B">
      <w:start w:val="1"/>
      <w:numFmt w:val="lowerRoman"/>
      <w:lvlText w:val="%9."/>
      <w:lvlJc w:val="right"/>
      <w:pPr>
        <w:ind w:left="7185" w:hanging="180"/>
      </w:pPr>
    </w:lvl>
  </w:abstractNum>
  <w:abstractNum w:abstractNumId="17" w15:restartNumberingAfterBreak="0">
    <w:nsid w:val="57DA050D"/>
    <w:multiLevelType w:val="hybridMultilevel"/>
    <w:tmpl w:val="8C2AB64C"/>
    <w:lvl w:ilvl="0" w:tplc="7262A1B8">
      <w:start w:val="1"/>
      <w:numFmt w:val="upp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C4E613B"/>
    <w:multiLevelType w:val="hybridMultilevel"/>
    <w:tmpl w:val="E11C913A"/>
    <w:lvl w:ilvl="0" w:tplc="1F88187A">
      <w:start w:val="1"/>
      <w:numFmt w:val="bullet"/>
      <w:pStyle w:val="TNSBulletlevel1"/>
      <w:lvlText w:val="n"/>
      <w:lvlJc w:val="left"/>
      <w:pPr>
        <w:ind w:left="1919" w:hanging="360"/>
      </w:pPr>
      <w:rPr>
        <w:rFonts w:ascii="Wingdings" w:hAnsi="Wingdings" w:hint="default"/>
      </w:rPr>
    </w:lvl>
    <w:lvl w:ilvl="1" w:tplc="70CCB7DE">
      <w:start w:val="1"/>
      <w:numFmt w:val="bullet"/>
      <w:lvlText w:val="o"/>
      <w:lvlJc w:val="left"/>
      <w:pPr>
        <w:ind w:left="1440" w:hanging="360"/>
      </w:pPr>
      <w:rPr>
        <w:rFonts w:ascii="Courier New" w:hAnsi="Courier New" w:hint="default"/>
      </w:rPr>
    </w:lvl>
    <w:lvl w:ilvl="2" w:tplc="32A676B8" w:tentative="1">
      <w:start w:val="1"/>
      <w:numFmt w:val="bullet"/>
      <w:lvlText w:val=""/>
      <w:lvlJc w:val="left"/>
      <w:pPr>
        <w:ind w:left="2160" w:hanging="360"/>
      </w:pPr>
      <w:rPr>
        <w:rFonts w:ascii="Wingdings" w:hAnsi="Wingdings" w:hint="default"/>
      </w:rPr>
    </w:lvl>
    <w:lvl w:ilvl="3" w:tplc="076AEC5A" w:tentative="1">
      <w:start w:val="1"/>
      <w:numFmt w:val="bullet"/>
      <w:lvlText w:val=""/>
      <w:lvlJc w:val="left"/>
      <w:pPr>
        <w:ind w:left="2880" w:hanging="360"/>
      </w:pPr>
      <w:rPr>
        <w:rFonts w:ascii="Symbol" w:hAnsi="Symbol" w:hint="default"/>
      </w:rPr>
    </w:lvl>
    <w:lvl w:ilvl="4" w:tplc="C5F60704" w:tentative="1">
      <w:start w:val="1"/>
      <w:numFmt w:val="bullet"/>
      <w:lvlText w:val="o"/>
      <w:lvlJc w:val="left"/>
      <w:pPr>
        <w:ind w:left="3600" w:hanging="360"/>
      </w:pPr>
      <w:rPr>
        <w:rFonts w:ascii="Courier New" w:hAnsi="Courier New" w:hint="default"/>
      </w:rPr>
    </w:lvl>
    <w:lvl w:ilvl="5" w:tplc="A4B2D5E4" w:tentative="1">
      <w:start w:val="1"/>
      <w:numFmt w:val="bullet"/>
      <w:lvlText w:val=""/>
      <w:lvlJc w:val="left"/>
      <w:pPr>
        <w:ind w:left="4320" w:hanging="360"/>
      </w:pPr>
      <w:rPr>
        <w:rFonts w:ascii="Wingdings" w:hAnsi="Wingdings" w:hint="default"/>
      </w:rPr>
    </w:lvl>
    <w:lvl w:ilvl="6" w:tplc="2D846836" w:tentative="1">
      <w:start w:val="1"/>
      <w:numFmt w:val="bullet"/>
      <w:lvlText w:val=""/>
      <w:lvlJc w:val="left"/>
      <w:pPr>
        <w:ind w:left="5040" w:hanging="360"/>
      </w:pPr>
      <w:rPr>
        <w:rFonts w:ascii="Symbol" w:hAnsi="Symbol" w:hint="default"/>
      </w:rPr>
    </w:lvl>
    <w:lvl w:ilvl="7" w:tplc="5C524AEE" w:tentative="1">
      <w:start w:val="1"/>
      <w:numFmt w:val="bullet"/>
      <w:lvlText w:val="o"/>
      <w:lvlJc w:val="left"/>
      <w:pPr>
        <w:ind w:left="5760" w:hanging="360"/>
      </w:pPr>
      <w:rPr>
        <w:rFonts w:ascii="Courier New" w:hAnsi="Courier New" w:hint="default"/>
      </w:rPr>
    </w:lvl>
    <w:lvl w:ilvl="8" w:tplc="FE689AB4" w:tentative="1">
      <w:start w:val="1"/>
      <w:numFmt w:val="bullet"/>
      <w:lvlText w:val=""/>
      <w:lvlJc w:val="left"/>
      <w:pPr>
        <w:ind w:left="6480" w:hanging="360"/>
      </w:pPr>
      <w:rPr>
        <w:rFonts w:ascii="Wingdings" w:hAnsi="Wingdings" w:hint="default"/>
      </w:rPr>
    </w:lvl>
  </w:abstractNum>
  <w:abstractNum w:abstractNumId="19" w15:restartNumberingAfterBreak="0">
    <w:nsid w:val="69C738D6"/>
    <w:multiLevelType w:val="hybridMultilevel"/>
    <w:tmpl w:val="CC2ADB50"/>
    <w:lvl w:ilvl="0" w:tplc="8D660088">
      <w:start w:val="3"/>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A8136B1"/>
    <w:multiLevelType w:val="hybridMultilevel"/>
    <w:tmpl w:val="AD8C66B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6AAF1A1F"/>
    <w:multiLevelType w:val="multilevel"/>
    <w:tmpl w:val="1146FEC4"/>
    <w:lvl w:ilvl="0">
      <w:start w:val="1"/>
      <w:numFmt w:val="decimal"/>
      <w:pStyle w:val="Textodstavce"/>
      <w:isLgl/>
      <w:lvlText w:val="(%1)"/>
      <w:lvlJc w:val="left"/>
      <w:pPr>
        <w:tabs>
          <w:tab w:val="num" w:pos="785"/>
        </w:tabs>
        <w:ind w:left="0" w:firstLine="425"/>
      </w:pPr>
      <w:rPr>
        <w:rFonts w:cs="Times New Roman" w:hint="default"/>
      </w:rPr>
    </w:lvl>
    <w:lvl w:ilvl="1">
      <w:start w:val="1"/>
      <w:numFmt w:val="decimal"/>
      <w:lvlText w:val="%2."/>
      <w:lvlJc w:val="left"/>
      <w:pPr>
        <w:tabs>
          <w:tab w:val="num" w:pos="425"/>
        </w:tabs>
        <w:ind w:left="425" w:hanging="425"/>
      </w:pPr>
      <w:rPr>
        <w:rFonts w:hint="default"/>
      </w:rPr>
    </w:lvl>
    <w:lvl w:ilvl="2">
      <w:numFmt w:val="bullet"/>
      <w:pStyle w:val="Textbodu"/>
      <w:lvlText w:val="-"/>
      <w:lvlJc w:val="left"/>
      <w:pPr>
        <w:tabs>
          <w:tab w:val="num" w:pos="851"/>
        </w:tabs>
        <w:ind w:left="851" w:hanging="426"/>
      </w:pPr>
      <w:rPr>
        <w:rFonts w:ascii="Calibri" w:eastAsiaTheme="minorHAnsi" w:hAnsi="Calibri" w:cstheme="minorBidi"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520"/>
        </w:tabs>
        <w:ind w:left="2160" w:hanging="360"/>
      </w:pPr>
      <w:rPr>
        <w:rFonts w:cs="Times New Roman"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600"/>
        </w:tabs>
        <w:ind w:left="3240" w:hanging="360"/>
      </w:pPr>
      <w:rPr>
        <w:rFonts w:cs="Times New Roman" w:hint="default"/>
      </w:rPr>
    </w:lvl>
  </w:abstractNum>
  <w:abstractNum w:abstractNumId="22" w15:restartNumberingAfterBreak="0">
    <w:nsid w:val="6FEA2846"/>
    <w:multiLevelType w:val="hybridMultilevel"/>
    <w:tmpl w:val="E49250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1B21D26"/>
    <w:multiLevelType w:val="hybridMultilevel"/>
    <w:tmpl w:val="FFC600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721E3D39"/>
    <w:multiLevelType w:val="hybridMultilevel"/>
    <w:tmpl w:val="2D64B0BC"/>
    <w:lvl w:ilvl="0" w:tplc="A6A0DB76">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77083CC9"/>
    <w:multiLevelType w:val="hybridMultilevel"/>
    <w:tmpl w:val="C988DD74"/>
    <w:lvl w:ilvl="0" w:tplc="04050011">
      <w:start w:val="1"/>
      <w:numFmt w:val="decimal"/>
      <w:lvlText w:val="%1)"/>
      <w:lvlJc w:val="left"/>
      <w:pPr>
        <w:ind w:left="720" w:hanging="360"/>
      </w:p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6" w15:restartNumberingAfterBreak="0">
    <w:nsid w:val="79E348C1"/>
    <w:multiLevelType w:val="hybridMultilevel"/>
    <w:tmpl w:val="D54C3F9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28073673">
    <w:abstractNumId w:val="5"/>
  </w:num>
  <w:num w:numId="2" w16cid:durableId="563876014">
    <w:abstractNumId w:val="18"/>
  </w:num>
  <w:num w:numId="3" w16cid:durableId="1613131407">
    <w:abstractNumId w:val="21"/>
  </w:num>
  <w:num w:numId="4" w16cid:durableId="96273270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48806333">
    <w:abstractNumId w:val="25"/>
    <w:lvlOverride w:ilvl="0">
      <w:startOverride w:val="1"/>
    </w:lvlOverride>
    <w:lvlOverride w:ilvl="1"/>
    <w:lvlOverride w:ilvl="2"/>
    <w:lvlOverride w:ilvl="3"/>
    <w:lvlOverride w:ilvl="4"/>
    <w:lvlOverride w:ilvl="5"/>
    <w:lvlOverride w:ilvl="6"/>
    <w:lvlOverride w:ilvl="7"/>
    <w:lvlOverride w:ilvl="8"/>
  </w:num>
  <w:num w:numId="6" w16cid:durableId="15127914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6090953">
    <w:abstractNumId w:val="17"/>
  </w:num>
  <w:num w:numId="8" w16cid:durableId="1334138476">
    <w:abstractNumId w:val="26"/>
  </w:num>
  <w:num w:numId="9" w16cid:durableId="1037507221">
    <w:abstractNumId w:val="14"/>
  </w:num>
  <w:num w:numId="10" w16cid:durableId="1345324053">
    <w:abstractNumId w:val="19"/>
  </w:num>
  <w:num w:numId="11" w16cid:durableId="2075933422">
    <w:abstractNumId w:val="20"/>
  </w:num>
  <w:num w:numId="12" w16cid:durableId="103770850">
    <w:abstractNumId w:val="3"/>
  </w:num>
  <w:num w:numId="13" w16cid:durableId="306083870">
    <w:abstractNumId w:val="15"/>
  </w:num>
  <w:num w:numId="14" w16cid:durableId="543949005">
    <w:abstractNumId w:val="6"/>
  </w:num>
  <w:num w:numId="15" w16cid:durableId="1086927294">
    <w:abstractNumId w:val="12"/>
  </w:num>
  <w:num w:numId="16" w16cid:durableId="285887763">
    <w:abstractNumId w:val="4"/>
  </w:num>
  <w:num w:numId="17" w16cid:durableId="803281479">
    <w:abstractNumId w:val="9"/>
  </w:num>
  <w:num w:numId="18" w16cid:durableId="440757872">
    <w:abstractNumId w:val="22"/>
  </w:num>
  <w:num w:numId="19" w16cid:durableId="534121665">
    <w:abstractNumId w:val="23"/>
  </w:num>
  <w:num w:numId="20" w16cid:durableId="1905406530">
    <w:abstractNumId w:val="11"/>
  </w:num>
  <w:num w:numId="21" w16cid:durableId="305670970">
    <w:abstractNumId w:val="24"/>
  </w:num>
  <w:num w:numId="22" w16cid:durableId="537468908">
    <w:abstractNumId w:val="0"/>
  </w:num>
  <w:num w:numId="23" w16cid:durableId="1919366198">
    <w:abstractNumId w:val="13"/>
  </w:num>
  <w:num w:numId="24" w16cid:durableId="1324971793">
    <w:abstractNumId w:val="1"/>
  </w:num>
  <w:num w:numId="25" w16cid:durableId="767118782">
    <w:abstractNumId w:val="10"/>
  </w:num>
  <w:num w:numId="26" w16cid:durableId="2105880470">
    <w:abstractNumId w:val="2"/>
  </w:num>
  <w:num w:numId="27" w16cid:durableId="767970265">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9BA"/>
    <w:rsid w:val="00007579"/>
    <w:rsid w:val="00030C7C"/>
    <w:rsid w:val="000317FE"/>
    <w:rsid w:val="00032E66"/>
    <w:rsid w:val="000340E5"/>
    <w:rsid w:val="00052977"/>
    <w:rsid w:val="000535E1"/>
    <w:rsid w:val="0005450A"/>
    <w:rsid w:val="00057272"/>
    <w:rsid w:val="00064C09"/>
    <w:rsid w:val="0007393D"/>
    <w:rsid w:val="00073962"/>
    <w:rsid w:val="000747CB"/>
    <w:rsid w:val="00075029"/>
    <w:rsid w:val="00080822"/>
    <w:rsid w:val="00081611"/>
    <w:rsid w:val="00081709"/>
    <w:rsid w:val="00085B1F"/>
    <w:rsid w:val="00090D90"/>
    <w:rsid w:val="00093228"/>
    <w:rsid w:val="00093E01"/>
    <w:rsid w:val="000A2191"/>
    <w:rsid w:val="000A4912"/>
    <w:rsid w:val="000B6923"/>
    <w:rsid w:val="000C2FC7"/>
    <w:rsid w:val="000C5141"/>
    <w:rsid w:val="000C7F09"/>
    <w:rsid w:val="000D01C2"/>
    <w:rsid w:val="000D0CCA"/>
    <w:rsid w:val="000D1375"/>
    <w:rsid w:val="000D1E48"/>
    <w:rsid w:val="000D65E8"/>
    <w:rsid w:val="000E1DF8"/>
    <w:rsid w:val="000E56A1"/>
    <w:rsid w:val="000E672E"/>
    <w:rsid w:val="000F0816"/>
    <w:rsid w:val="000F58B3"/>
    <w:rsid w:val="000F7398"/>
    <w:rsid w:val="000F7A38"/>
    <w:rsid w:val="00104F58"/>
    <w:rsid w:val="0011231F"/>
    <w:rsid w:val="001126F4"/>
    <w:rsid w:val="00113B47"/>
    <w:rsid w:val="00117D05"/>
    <w:rsid w:val="00120B9B"/>
    <w:rsid w:val="00120FF8"/>
    <w:rsid w:val="0012526D"/>
    <w:rsid w:val="001255B5"/>
    <w:rsid w:val="001271B5"/>
    <w:rsid w:val="00140DE7"/>
    <w:rsid w:val="001506AD"/>
    <w:rsid w:val="0015157C"/>
    <w:rsid w:val="00153AB3"/>
    <w:rsid w:val="001540BC"/>
    <w:rsid w:val="00154DF6"/>
    <w:rsid w:val="00155582"/>
    <w:rsid w:val="00155D11"/>
    <w:rsid w:val="00162011"/>
    <w:rsid w:val="00165707"/>
    <w:rsid w:val="0016781B"/>
    <w:rsid w:val="001730D2"/>
    <w:rsid w:val="0017453D"/>
    <w:rsid w:val="001762BA"/>
    <w:rsid w:val="001776D9"/>
    <w:rsid w:val="00187B50"/>
    <w:rsid w:val="00190050"/>
    <w:rsid w:val="001946CE"/>
    <w:rsid w:val="0019493E"/>
    <w:rsid w:val="00196BE0"/>
    <w:rsid w:val="001A28BA"/>
    <w:rsid w:val="001A2943"/>
    <w:rsid w:val="001A430B"/>
    <w:rsid w:val="001A4E7F"/>
    <w:rsid w:val="001B2658"/>
    <w:rsid w:val="001B6B44"/>
    <w:rsid w:val="001C1CFE"/>
    <w:rsid w:val="001C3123"/>
    <w:rsid w:val="001C41C3"/>
    <w:rsid w:val="001D0100"/>
    <w:rsid w:val="001D12DB"/>
    <w:rsid w:val="001D1D49"/>
    <w:rsid w:val="001D3F71"/>
    <w:rsid w:val="001E1334"/>
    <w:rsid w:val="001E2B68"/>
    <w:rsid w:val="001E7BFD"/>
    <w:rsid w:val="001F1417"/>
    <w:rsid w:val="001F3A44"/>
    <w:rsid w:val="001F3F71"/>
    <w:rsid w:val="001F4D84"/>
    <w:rsid w:val="001F623E"/>
    <w:rsid w:val="00201BD9"/>
    <w:rsid w:val="00206637"/>
    <w:rsid w:val="00207158"/>
    <w:rsid w:val="00207B63"/>
    <w:rsid w:val="00215348"/>
    <w:rsid w:val="0021536D"/>
    <w:rsid w:val="002159BA"/>
    <w:rsid w:val="00216A4D"/>
    <w:rsid w:val="002204BD"/>
    <w:rsid w:val="002233C6"/>
    <w:rsid w:val="0022416C"/>
    <w:rsid w:val="002274E9"/>
    <w:rsid w:val="00227C2F"/>
    <w:rsid w:val="00231539"/>
    <w:rsid w:val="00231CD5"/>
    <w:rsid w:val="00233B19"/>
    <w:rsid w:val="002343D7"/>
    <w:rsid w:val="00254E73"/>
    <w:rsid w:val="002557AE"/>
    <w:rsid w:val="00271AF4"/>
    <w:rsid w:val="00271E1A"/>
    <w:rsid w:val="00272B66"/>
    <w:rsid w:val="00276865"/>
    <w:rsid w:val="002800C1"/>
    <w:rsid w:val="00281EC5"/>
    <w:rsid w:val="00285255"/>
    <w:rsid w:val="00291A55"/>
    <w:rsid w:val="00291AAA"/>
    <w:rsid w:val="002971FE"/>
    <w:rsid w:val="00297CBE"/>
    <w:rsid w:val="002A2040"/>
    <w:rsid w:val="002A33B8"/>
    <w:rsid w:val="002A3655"/>
    <w:rsid w:val="002A61D9"/>
    <w:rsid w:val="002A7030"/>
    <w:rsid w:val="002B2BD3"/>
    <w:rsid w:val="002B301A"/>
    <w:rsid w:val="002B4CE7"/>
    <w:rsid w:val="002B7B50"/>
    <w:rsid w:val="002C4F5B"/>
    <w:rsid w:val="002C5E25"/>
    <w:rsid w:val="002D03AD"/>
    <w:rsid w:val="002D5688"/>
    <w:rsid w:val="002E0AF4"/>
    <w:rsid w:val="002E7A97"/>
    <w:rsid w:val="002E7AE8"/>
    <w:rsid w:val="002E7F35"/>
    <w:rsid w:val="002F1060"/>
    <w:rsid w:val="002F56DC"/>
    <w:rsid w:val="002F76F3"/>
    <w:rsid w:val="003079F4"/>
    <w:rsid w:val="00307D49"/>
    <w:rsid w:val="003110CD"/>
    <w:rsid w:val="00325100"/>
    <w:rsid w:val="00325F22"/>
    <w:rsid w:val="00340899"/>
    <w:rsid w:val="0034382A"/>
    <w:rsid w:val="00343C10"/>
    <w:rsid w:val="00343D7C"/>
    <w:rsid w:val="00345613"/>
    <w:rsid w:val="00352AF3"/>
    <w:rsid w:val="00354D32"/>
    <w:rsid w:val="0035567A"/>
    <w:rsid w:val="00357F17"/>
    <w:rsid w:val="003618A3"/>
    <w:rsid w:val="00362EA9"/>
    <w:rsid w:val="00362FA0"/>
    <w:rsid w:val="003646F6"/>
    <w:rsid w:val="00365932"/>
    <w:rsid w:val="00366344"/>
    <w:rsid w:val="00371AC2"/>
    <w:rsid w:val="00380334"/>
    <w:rsid w:val="0038120A"/>
    <w:rsid w:val="003822B9"/>
    <w:rsid w:val="003929D7"/>
    <w:rsid w:val="00397F06"/>
    <w:rsid w:val="003A0AA9"/>
    <w:rsid w:val="003A272D"/>
    <w:rsid w:val="003A57A8"/>
    <w:rsid w:val="003A5942"/>
    <w:rsid w:val="003A7943"/>
    <w:rsid w:val="003B064B"/>
    <w:rsid w:val="003B0DA9"/>
    <w:rsid w:val="003B47BC"/>
    <w:rsid w:val="003B541F"/>
    <w:rsid w:val="003C5CE6"/>
    <w:rsid w:val="003D0905"/>
    <w:rsid w:val="003D4484"/>
    <w:rsid w:val="003D58A0"/>
    <w:rsid w:val="003F0FD8"/>
    <w:rsid w:val="003F4283"/>
    <w:rsid w:val="003F725B"/>
    <w:rsid w:val="00400FEA"/>
    <w:rsid w:val="00410C32"/>
    <w:rsid w:val="00413C81"/>
    <w:rsid w:val="00414D5F"/>
    <w:rsid w:val="00434B45"/>
    <w:rsid w:val="004359E5"/>
    <w:rsid w:val="00441E86"/>
    <w:rsid w:val="004452D5"/>
    <w:rsid w:val="00452319"/>
    <w:rsid w:val="00464341"/>
    <w:rsid w:val="00466890"/>
    <w:rsid w:val="004716F1"/>
    <w:rsid w:val="00474423"/>
    <w:rsid w:val="004817F7"/>
    <w:rsid w:val="0049384B"/>
    <w:rsid w:val="004A1252"/>
    <w:rsid w:val="004A608E"/>
    <w:rsid w:val="004B0295"/>
    <w:rsid w:val="004B6550"/>
    <w:rsid w:val="004D462D"/>
    <w:rsid w:val="004E6767"/>
    <w:rsid w:val="004F1166"/>
    <w:rsid w:val="004F3E23"/>
    <w:rsid w:val="00501230"/>
    <w:rsid w:val="00502AB5"/>
    <w:rsid w:val="00503396"/>
    <w:rsid w:val="00503A66"/>
    <w:rsid w:val="00513987"/>
    <w:rsid w:val="00517EC2"/>
    <w:rsid w:val="00530501"/>
    <w:rsid w:val="00542FFA"/>
    <w:rsid w:val="00553DE9"/>
    <w:rsid w:val="00554B8F"/>
    <w:rsid w:val="00561288"/>
    <w:rsid w:val="00561471"/>
    <w:rsid w:val="0056658F"/>
    <w:rsid w:val="00566D70"/>
    <w:rsid w:val="00570A1B"/>
    <w:rsid w:val="00575E4E"/>
    <w:rsid w:val="00581A47"/>
    <w:rsid w:val="00591234"/>
    <w:rsid w:val="0059340D"/>
    <w:rsid w:val="00593D37"/>
    <w:rsid w:val="005A0780"/>
    <w:rsid w:val="005A4F6B"/>
    <w:rsid w:val="005A6437"/>
    <w:rsid w:val="005B321C"/>
    <w:rsid w:val="005B353B"/>
    <w:rsid w:val="005B379A"/>
    <w:rsid w:val="005B6BBF"/>
    <w:rsid w:val="005C2A77"/>
    <w:rsid w:val="005C2F98"/>
    <w:rsid w:val="005D4C85"/>
    <w:rsid w:val="005D6232"/>
    <w:rsid w:val="005E74ED"/>
    <w:rsid w:val="005F1EF9"/>
    <w:rsid w:val="005F4CF5"/>
    <w:rsid w:val="006009BB"/>
    <w:rsid w:val="00604270"/>
    <w:rsid w:val="006072B0"/>
    <w:rsid w:val="006171EC"/>
    <w:rsid w:val="00624899"/>
    <w:rsid w:val="006250B7"/>
    <w:rsid w:val="00627D2E"/>
    <w:rsid w:val="006334E9"/>
    <w:rsid w:val="0064244F"/>
    <w:rsid w:val="00653975"/>
    <w:rsid w:val="006603A6"/>
    <w:rsid w:val="00662421"/>
    <w:rsid w:val="0066570E"/>
    <w:rsid w:val="0067518B"/>
    <w:rsid w:val="0068008E"/>
    <w:rsid w:val="00686101"/>
    <w:rsid w:val="00686C89"/>
    <w:rsid w:val="00692850"/>
    <w:rsid w:val="00692F44"/>
    <w:rsid w:val="006A778A"/>
    <w:rsid w:val="006B35BA"/>
    <w:rsid w:val="006B57D5"/>
    <w:rsid w:val="006B598D"/>
    <w:rsid w:val="006D09CF"/>
    <w:rsid w:val="006D4A0C"/>
    <w:rsid w:val="006E0963"/>
    <w:rsid w:val="006E1B59"/>
    <w:rsid w:val="006E71E4"/>
    <w:rsid w:val="006F0369"/>
    <w:rsid w:val="006F09E9"/>
    <w:rsid w:val="006F4FBD"/>
    <w:rsid w:val="007009D8"/>
    <w:rsid w:val="00705AC5"/>
    <w:rsid w:val="00712DDA"/>
    <w:rsid w:val="00721067"/>
    <w:rsid w:val="00726DC2"/>
    <w:rsid w:val="007401CD"/>
    <w:rsid w:val="00743CFA"/>
    <w:rsid w:val="00750FA2"/>
    <w:rsid w:val="00753548"/>
    <w:rsid w:val="00754A17"/>
    <w:rsid w:val="0077684A"/>
    <w:rsid w:val="007778A3"/>
    <w:rsid w:val="00786288"/>
    <w:rsid w:val="00786A4D"/>
    <w:rsid w:val="007A01CD"/>
    <w:rsid w:val="007A03E7"/>
    <w:rsid w:val="007B24A1"/>
    <w:rsid w:val="007B33CC"/>
    <w:rsid w:val="007B422B"/>
    <w:rsid w:val="007B778B"/>
    <w:rsid w:val="007C69D9"/>
    <w:rsid w:val="007C70F9"/>
    <w:rsid w:val="007D20C6"/>
    <w:rsid w:val="007D3BFB"/>
    <w:rsid w:val="007E290A"/>
    <w:rsid w:val="007E2C2F"/>
    <w:rsid w:val="007E7A4A"/>
    <w:rsid w:val="007F3F30"/>
    <w:rsid w:val="007F468D"/>
    <w:rsid w:val="00804258"/>
    <w:rsid w:val="008079E0"/>
    <w:rsid w:val="00826CDE"/>
    <w:rsid w:val="00827A22"/>
    <w:rsid w:val="00827F99"/>
    <w:rsid w:val="00830438"/>
    <w:rsid w:val="00834A91"/>
    <w:rsid w:val="008354C1"/>
    <w:rsid w:val="00840259"/>
    <w:rsid w:val="0084378D"/>
    <w:rsid w:val="00846C30"/>
    <w:rsid w:val="00851908"/>
    <w:rsid w:val="00852335"/>
    <w:rsid w:val="008547C8"/>
    <w:rsid w:val="008608AA"/>
    <w:rsid w:val="00867FB3"/>
    <w:rsid w:val="00890A2E"/>
    <w:rsid w:val="00890C0F"/>
    <w:rsid w:val="00893CDE"/>
    <w:rsid w:val="00896FB5"/>
    <w:rsid w:val="0089736C"/>
    <w:rsid w:val="008A46AE"/>
    <w:rsid w:val="008B4C1C"/>
    <w:rsid w:val="008C70B5"/>
    <w:rsid w:val="008D595D"/>
    <w:rsid w:val="008D672F"/>
    <w:rsid w:val="008D7461"/>
    <w:rsid w:val="008E404F"/>
    <w:rsid w:val="008F0726"/>
    <w:rsid w:val="008F2119"/>
    <w:rsid w:val="008F2695"/>
    <w:rsid w:val="008F32AB"/>
    <w:rsid w:val="008F565F"/>
    <w:rsid w:val="008F76C3"/>
    <w:rsid w:val="0090195D"/>
    <w:rsid w:val="00901FB4"/>
    <w:rsid w:val="00903536"/>
    <w:rsid w:val="009056A1"/>
    <w:rsid w:val="0090705F"/>
    <w:rsid w:val="0091797F"/>
    <w:rsid w:val="0092585F"/>
    <w:rsid w:val="009316E9"/>
    <w:rsid w:val="00936F5A"/>
    <w:rsid w:val="00941350"/>
    <w:rsid w:val="00942643"/>
    <w:rsid w:val="009469BA"/>
    <w:rsid w:val="0095097C"/>
    <w:rsid w:val="0095427E"/>
    <w:rsid w:val="009608AF"/>
    <w:rsid w:val="00972451"/>
    <w:rsid w:val="00982263"/>
    <w:rsid w:val="00983B01"/>
    <w:rsid w:val="00992E2F"/>
    <w:rsid w:val="009B395A"/>
    <w:rsid w:val="009B5BDB"/>
    <w:rsid w:val="009C0148"/>
    <w:rsid w:val="009D0582"/>
    <w:rsid w:val="009D33F5"/>
    <w:rsid w:val="009D43A5"/>
    <w:rsid w:val="009D7795"/>
    <w:rsid w:val="009E72F4"/>
    <w:rsid w:val="009E7DBC"/>
    <w:rsid w:val="009F3BC7"/>
    <w:rsid w:val="009F4289"/>
    <w:rsid w:val="009F5E97"/>
    <w:rsid w:val="00A03630"/>
    <w:rsid w:val="00A11B86"/>
    <w:rsid w:val="00A17CC2"/>
    <w:rsid w:val="00A211C8"/>
    <w:rsid w:val="00A241C2"/>
    <w:rsid w:val="00A25BD7"/>
    <w:rsid w:val="00A2687A"/>
    <w:rsid w:val="00A31EB5"/>
    <w:rsid w:val="00A32916"/>
    <w:rsid w:val="00A35BA3"/>
    <w:rsid w:val="00A40804"/>
    <w:rsid w:val="00A52DEE"/>
    <w:rsid w:val="00A54B1C"/>
    <w:rsid w:val="00A62606"/>
    <w:rsid w:val="00A65DAD"/>
    <w:rsid w:val="00A705CF"/>
    <w:rsid w:val="00A71B36"/>
    <w:rsid w:val="00A7261A"/>
    <w:rsid w:val="00A75674"/>
    <w:rsid w:val="00A779B8"/>
    <w:rsid w:val="00A83299"/>
    <w:rsid w:val="00A83CA9"/>
    <w:rsid w:val="00A845E8"/>
    <w:rsid w:val="00A85779"/>
    <w:rsid w:val="00A85D55"/>
    <w:rsid w:val="00A86DD9"/>
    <w:rsid w:val="00A942E1"/>
    <w:rsid w:val="00A96C8F"/>
    <w:rsid w:val="00AA0C84"/>
    <w:rsid w:val="00AB117E"/>
    <w:rsid w:val="00AB22F5"/>
    <w:rsid w:val="00AB2633"/>
    <w:rsid w:val="00AB373A"/>
    <w:rsid w:val="00AB3EB1"/>
    <w:rsid w:val="00AC554E"/>
    <w:rsid w:val="00AD6125"/>
    <w:rsid w:val="00AE4752"/>
    <w:rsid w:val="00AE7AA6"/>
    <w:rsid w:val="00AF0D63"/>
    <w:rsid w:val="00AF1705"/>
    <w:rsid w:val="00AF1B18"/>
    <w:rsid w:val="00AF7B4A"/>
    <w:rsid w:val="00B00B27"/>
    <w:rsid w:val="00B0143B"/>
    <w:rsid w:val="00B0645E"/>
    <w:rsid w:val="00B12E9D"/>
    <w:rsid w:val="00B13B04"/>
    <w:rsid w:val="00B258F9"/>
    <w:rsid w:val="00B35888"/>
    <w:rsid w:val="00B35DC4"/>
    <w:rsid w:val="00B36942"/>
    <w:rsid w:val="00B44174"/>
    <w:rsid w:val="00B467AF"/>
    <w:rsid w:val="00B46FE1"/>
    <w:rsid w:val="00B510B2"/>
    <w:rsid w:val="00B57F6C"/>
    <w:rsid w:val="00B60D8E"/>
    <w:rsid w:val="00B61E85"/>
    <w:rsid w:val="00B6520E"/>
    <w:rsid w:val="00B67C86"/>
    <w:rsid w:val="00B73D4F"/>
    <w:rsid w:val="00B77C72"/>
    <w:rsid w:val="00B81B40"/>
    <w:rsid w:val="00B87F80"/>
    <w:rsid w:val="00B904E3"/>
    <w:rsid w:val="00BB13B6"/>
    <w:rsid w:val="00BB2D5C"/>
    <w:rsid w:val="00BD468A"/>
    <w:rsid w:val="00BE168F"/>
    <w:rsid w:val="00BE733E"/>
    <w:rsid w:val="00BF2458"/>
    <w:rsid w:val="00BF485B"/>
    <w:rsid w:val="00C00BF0"/>
    <w:rsid w:val="00C03311"/>
    <w:rsid w:val="00C0333D"/>
    <w:rsid w:val="00C055E9"/>
    <w:rsid w:val="00C057D3"/>
    <w:rsid w:val="00C146C9"/>
    <w:rsid w:val="00C15E8A"/>
    <w:rsid w:val="00C16E04"/>
    <w:rsid w:val="00C2101A"/>
    <w:rsid w:val="00C24254"/>
    <w:rsid w:val="00C256ED"/>
    <w:rsid w:val="00C31D27"/>
    <w:rsid w:val="00C34A46"/>
    <w:rsid w:val="00C35943"/>
    <w:rsid w:val="00C41A4B"/>
    <w:rsid w:val="00C429E7"/>
    <w:rsid w:val="00C55D5A"/>
    <w:rsid w:val="00C572D3"/>
    <w:rsid w:val="00C60354"/>
    <w:rsid w:val="00C606B6"/>
    <w:rsid w:val="00C63321"/>
    <w:rsid w:val="00C71413"/>
    <w:rsid w:val="00C74282"/>
    <w:rsid w:val="00C74BE8"/>
    <w:rsid w:val="00C761A3"/>
    <w:rsid w:val="00C81E13"/>
    <w:rsid w:val="00C874A6"/>
    <w:rsid w:val="00C87D72"/>
    <w:rsid w:val="00C91790"/>
    <w:rsid w:val="00C9200C"/>
    <w:rsid w:val="00C94915"/>
    <w:rsid w:val="00C94F49"/>
    <w:rsid w:val="00CA273E"/>
    <w:rsid w:val="00CA3CEE"/>
    <w:rsid w:val="00CB0180"/>
    <w:rsid w:val="00CB3D6C"/>
    <w:rsid w:val="00CB7082"/>
    <w:rsid w:val="00CB7270"/>
    <w:rsid w:val="00CB7D03"/>
    <w:rsid w:val="00CC2A26"/>
    <w:rsid w:val="00CD07A9"/>
    <w:rsid w:val="00CD39C3"/>
    <w:rsid w:val="00CD7E0E"/>
    <w:rsid w:val="00CF1793"/>
    <w:rsid w:val="00CF352B"/>
    <w:rsid w:val="00CF393C"/>
    <w:rsid w:val="00D0377B"/>
    <w:rsid w:val="00D05FD9"/>
    <w:rsid w:val="00D06051"/>
    <w:rsid w:val="00D10923"/>
    <w:rsid w:val="00D11227"/>
    <w:rsid w:val="00D13518"/>
    <w:rsid w:val="00D23FC0"/>
    <w:rsid w:val="00D24F0C"/>
    <w:rsid w:val="00D3218D"/>
    <w:rsid w:val="00D36168"/>
    <w:rsid w:val="00D375A7"/>
    <w:rsid w:val="00D42688"/>
    <w:rsid w:val="00D5434C"/>
    <w:rsid w:val="00D5451D"/>
    <w:rsid w:val="00D6036E"/>
    <w:rsid w:val="00D67D52"/>
    <w:rsid w:val="00D7159D"/>
    <w:rsid w:val="00D77ECD"/>
    <w:rsid w:val="00D81A9A"/>
    <w:rsid w:val="00D85C8D"/>
    <w:rsid w:val="00D85DD7"/>
    <w:rsid w:val="00D8625B"/>
    <w:rsid w:val="00D94A82"/>
    <w:rsid w:val="00D95A9B"/>
    <w:rsid w:val="00D96339"/>
    <w:rsid w:val="00DA024E"/>
    <w:rsid w:val="00DA1E79"/>
    <w:rsid w:val="00DB0FB7"/>
    <w:rsid w:val="00DB34D2"/>
    <w:rsid w:val="00DB55EF"/>
    <w:rsid w:val="00DC17E3"/>
    <w:rsid w:val="00DC4F5C"/>
    <w:rsid w:val="00DC55AD"/>
    <w:rsid w:val="00DD4041"/>
    <w:rsid w:val="00DD6D02"/>
    <w:rsid w:val="00DE0202"/>
    <w:rsid w:val="00DE0B9C"/>
    <w:rsid w:val="00DE5FB6"/>
    <w:rsid w:val="00DE63AB"/>
    <w:rsid w:val="00DE7F64"/>
    <w:rsid w:val="00DF37D9"/>
    <w:rsid w:val="00E00DFA"/>
    <w:rsid w:val="00E153AB"/>
    <w:rsid w:val="00E1643A"/>
    <w:rsid w:val="00E1781E"/>
    <w:rsid w:val="00E207B8"/>
    <w:rsid w:val="00E20FF7"/>
    <w:rsid w:val="00E24834"/>
    <w:rsid w:val="00E2678D"/>
    <w:rsid w:val="00E30299"/>
    <w:rsid w:val="00E302BB"/>
    <w:rsid w:val="00E3247A"/>
    <w:rsid w:val="00E34277"/>
    <w:rsid w:val="00E3448F"/>
    <w:rsid w:val="00E344D0"/>
    <w:rsid w:val="00E37D34"/>
    <w:rsid w:val="00E4133C"/>
    <w:rsid w:val="00E42F34"/>
    <w:rsid w:val="00E441DE"/>
    <w:rsid w:val="00E4530E"/>
    <w:rsid w:val="00E544FD"/>
    <w:rsid w:val="00E55E56"/>
    <w:rsid w:val="00E56957"/>
    <w:rsid w:val="00E61F92"/>
    <w:rsid w:val="00E63536"/>
    <w:rsid w:val="00E662B7"/>
    <w:rsid w:val="00E80625"/>
    <w:rsid w:val="00E82D21"/>
    <w:rsid w:val="00E85F46"/>
    <w:rsid w:val="00E91B65"/>
    <w:rsid w:val="00E920A1"/>
    <w:rsid w:val="00E92243"/>
    <w:rsid w:val="00E9259F"/>
    <w:rsid w:val="00E967C6"/>
    <w:rsid w:val="00EA7336"/>
    <w:rsid w:val="00EA7FDF"/>
    <w:rsid w:val="00EB512F"/>
    <w:rsid w:val="00EB60E3"/>
    <w:rsid w:val="00EB627E"/>
    <w:rsid w:val="00EC4CF6"/>
    <w:rsid w:val="00EC6564"/>
    <w:rsid w:val="00ED33A0"/>
    <w:rsid w:val="00EE1BC7"/>
    <w:rsid w:val="00EE4EF0"/>
    <w:rsid w:val="00F01B45"/>
    <w:rsid w:val="00F0368E"/>
    <w:rsid w:val="00F04045"/>
    <w:rsid w:val="00F1091F"/>
    <w:rsid w:val="00F10D6F"/>
    <w:rsid w:val="00F13CED"/>
    <w:rsid w:val="00F1457C"/>
    <w:rsid w:val="00F20990"/>
    <w:rsid w:val="00F26245"/>
    <w:rsid w:val="00F26E83"/>
    <w:rsid w:val="00F31550"/>
    <w:rsid w:val="00F37575"/>
    <w:rsid w:val="00F4305B"/>
    <w:rsid w:val="00F43E7B"/>
    <w:rsid w:val="00F4452A"/>
    <w:rsid w:val="00F5203D"/>
    <w:rsid w:val="00F52891"/>
    <w:rsid w:val="00F679B9"/>
    <w:rsid w:val="00F71847"/>
    <w:rsid w:val="00F719A1"/>
    <w:rsid w:val="00F71D5B"/>
    <w:rsid w:val="00F73EBA"/>
    <w:rsid w:val="00F83674"/>
    <w:rsid w:val="00F87AD9"/>
    <w:rsid w:val="00F93A3F"/>
    <w:rsid w:val="00F94686"/>
    <w:rsid w:val="00F95818"/>
    <w:rsid w:val="00F95890"/>
    <w:rsid w:val="00F966FA"/>
    <w:rsid w:val="00F96B41"/>
    <w:rsid w:val="00F976CD"/>
    <w:rsid w:val="00FA0649"/>
    <w:rsid w:val="00FA23A0"/>
    <w:rsid w:val="00FA466D"/>
    <w:rsid w:val="00FC46CE"/>
    <w:rsid w:val="00FC6926"/>
    <w:rsid w:val="00FD0B77"/>
    <w:rsid w:val="00FD10D1"/>
    <w:rsid w:val="00FD428E"/>
    <w:rsid w:val="00FD5A09"/>
    <w:rsid w:val="00FD6BF1"/>
    <w:rsid w:val="00FE4530"/>
    <w:rsid w:val="00FE4E5E"/>
    <w:rsid w:val="00FF0117"/>
    <w:rsid w:val="00FF057F"/>
    <w:rsid w:val="00FF05A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F783BC"/>
  <w15:docId w15:val="{F8BC83DB-7564-4656-856A-16555B56A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E672E"/>
    <w:pPr>
      <w:spacing w:after="0" w:line="240" w:lineRule="auto"/>
    </w:pPr>
    <w:rPr>
      <w:rFonts w:ascii="Times New Roman" w:eastAsia="Times New Roman" w:hAnsi="Times New Roman" w:cs="Times New Roman"/>
      <w:sz w:val="24"/>
      <w:szCs w:val="24"/>
      <w:lang w:eastAsia="en-GB"/>
    </w:rPr>
  </w:style>
  <w:style w:type="paragraph" w:styleId="Nadpis1">
    <w:name w:val="heading 1"/>
    <w:basedOn w:val="Normln"/>
    <w:next w:val="Normln"/>
    <w:link w:val="Nadpis1Char"/>
    <w:uiPriority w:val="9"/>
    <w:qFormat/>
    <w:rsid w:val="00F71D5B"/>
    <w:pPr>
      <w:keepNext/>
      <w:keepLines/>
      <w:spacing w:before="240"/>
      <w:outlineLvl w:val="0"/>
    </w:pPr>
    <w:rPr>
      <w:rFonts w:asciiTheme="majorHAnsi" w:eastAsiaTheme="majorEastAsia" w:hAnsiTheme="majorHAnsi" w:cstheme="majorBidi"/>
      <w:color w:val="365F91" w:themeColor="accent1" w:themeShade="BF"/>
      <w:sz w:val="32"/>
      <w:szCs w:val="32"/>
      <w:lang w:eastAsia="en-US"/>
    </w:rPr>
  </w:style>
  <w:style w:type="paragraph" w:styleId="Nadpis2">
    <w:name w:val="heading 2"/>
    <w:basedOn w:val="Normln"/>
    <w:next w:val="Normln"/>
    <w:link w:val="Nadpis2Char"/>
    <w:uiPriority w:val="9"/>
    <w:unhideWhenUsed/>
    <w:qFormat/>
    <w:rsid w:val="00686C89"/>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Nadpis3">
    <w:name w:val="heading 3"/>
    <w:basedOn w:val="Normln"/>
    <w:next w:val="Normln"/>
    <w:link w:val="Nadpis3Char"/>
    <w:unhideWhenUsed/>
    <w:qFormat/>
    <w:rsid w:val="00120B9B"/>
    <w:pPr>
      <w:keepNext/>
      <w:spacing w:before="240" w:after="60"/>
      <w:outlineLvl w:val="2"/>
    </w:pPr>
    <w:rPr>
      <w:rFonts w:ascii="Cambria" w:hAnsi="Cambria"/>
      <w:b/>
      <w:bCs/>
      <w:sz w:val="26"/>
      <w:szCs w:val="26"/>
      <w:lang w:eastAsia="cs-CZ"/>
    </w:rPr>
  </w:style>
  <w:style w:type="paragraph" w:styleId="Nadpis4">
    <w:name w:val="heading 4"/>
    <w:basedOn w:val="Normln"/>
    <w:next w:val="Normln"/>
    <w:link w:val="Nadpis4Char"/>
    <w:uiPriority w:val="9"/>
    <w:semiHidden/>
    <w:unhideWhenUsed/>
    <w:qFormat/>
    <w:rsid w:val="001A2943"/>
    <w:pPr>
      <w:keepNext/>
      <w:keepLines/>
      <w:spacing w:before="40"/>
      <w:outlineLvl w:val="3"/>
    </w:pPr>
    <w:rPr>
      <w:rFonts w:asciiTheme="majorHAnsi" w:eastAsiaTheme="majorEastAsia" w:hAnsiTheme="majorHAnsi" w:cstheme="majorBidi"/>
      <w:i/>
      <w:iCs/>
      <w:color w:val="365F91" w:themeColor="accent1" w:themeShade="BF"/>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E56957"/>
    <w:rPr>
      <w:color w:val="0000FF" w:themeColor="hyperlink"/>
      <w:u w:val="single"/>
    </w:rPr>
  </w:style>
  <w:style w:type="paragraph" w:customStyle="1" w:styleId="OdrkyEQerven">
    <w:name w:val="Odrážky EQ červené"/>
    <w:basedOn w:val="Normln"/>
    <w:qFormat/>
    <w:rsid w:val="00E56957"/>
    <w:pPr>
      <w:numPr>
        <w:numId w:val="1"/>
      </w:numPr>
      <w:autoSpaceDE w:val="0"/>
      <w:autoSpaceDN w:val="0"/>
      <w:adjustRightInd w:val="0"/>
      <w:spacing w:before="120" w:line="276" w:lineRule="auto"/>
      <w:jc w:val="both"/>
    </w:pPr>
    <w:rPr>
      <w:rFonts w:ascii="Arial" w:eastAsia="Calibri" w:hAnsi="Arial"/>
      <w:color w:val="000000"/>
      <w:sz w:val="22"/>
      <w:szCs w:val="22"/>
      <w:lang w:eastAsia="cs-CZ"/>
    </w:rPr>
  </w:style>
  <w:style w:type="paragraph" w:styleId="Odstavecseseznamem">
    <w:name w:val="List Paragraph"/>
    <w:aliases w:val="Odstavec_muj,Conclusion de partie,References,Odstavec se seznamem2,Dot pt,Indicator Text,LISTA,List Paragraph Char Char Char,List Paragraph à moi,List Paragraph1,Listaszerű bekezdés1,Listaszerű bekezdés2,Listaszerű bekezdés3,Nad"/>
    <w:basedOn w:val="Normln"/>
    <w:link w:val="OdstavecseseznamemChar"/>
    <w:uiPriority w:val="34"/>
    <w:qFormat/>
    <w:rsid w:val="00E56957"/>
    <w:pPr>
      <w:spacing w:after="200" w:line="276" w:lineRule="auto"/>
      <w:ind w:left="720"/>
      <w:contextualSpacing/>
    </w:pPr>
    <w:rPr>
      <w:rFonts w:asciiTheme="minorHAnsi" w:eastAsiaTheme="minorEastAsia" w:hAnsiTheme="minorHAnsi" w:cstheme="minorBidi"/>
      <w:sz w:val="22"/>
      <w:szCs w:val="22"/>
      <w:lang w:eastAsia="cs-CZ"/>
    </w:rPr>
  </w:style>
  <w:style w:type="character" w:styleId="Znakapoznpodarou">
    <w:name w:val="footnote reference"/>
    <w:aliases w:val="Footnote number"/>
    <w:basedOn w:val="Standardnpsmoodstavce"/>
    <w:uiPriority w:val="99"/>
    <w:rsid w:val="00064C09"/>
    <w:rPr>
      <w:vertAlign w:val="superscript"/>
    </w:rPr>
  </w:style>
  <w:style w:type="paragraph" w:customStyle="1" w:styleId="Poznmkypodarou">
    <w:name w:val="Poznámky pod čarou"/>
    <w:basedOn w:val="Normln"/>
    <w:autoRedefine/>
    <w:qFormat/>
    <w:rsid w:val="00064C09"/>
    <w:pPr>
      <w:ind w:left="198" w:hanging="198"/>
      <w:contextualSpacing/>
    </w:pPr>
    <w:rPr>
      <w:rFonts w:ascii="Arial" w:eastAsia="Calibri" w:hAnsi="Arial" w:cs="Tahoma"/>
      <w:sz w:val="22"/>
      <w:szCs w:val="20"/>
      <w:vertAlign w:val="superscript"/>
      <w:lang w:eastAsia="cs-CZ"/>
    </w:rPr>
  </w:style>
  <w:style w:type="paragraph" w:styleId="Textpoznpodarou">
    <w:name w:val="footnote text"/>
    <w:basedOn w:val="Normln"/>
    <w:link w:val="TextpoznpodarouChar"/>
    <w:rsid w:val="00085B1F"/>
    <w:pPr>
      <w:spacing w:line="276" w:lineRule="auto"/>
    </w:pPr>
    <w:rPr>
      <w:sz w:val="22"/>
      <w:szCs w:val="20"/>
      <w:lang w:eastAsia="cs-CZ"/>
    </w:rPr>
  </w:style>
  <w:style w:type="character" w:customStyle="1" w:styleId="TextpoznpodarouChar">
    <w:name w:val="Text pozn. pod čarou Char"/>
    <w:basedOn w:val="Standardnpsmoodstavce"/>
    <w:link w:val="Textpoznpodarou"/>
    <w:rsid w:val="00085B1F"/>
    <w:rPr>
      <w:rFonts w:ascii="Times New Roman" w:eastAsia="Times New Roman" w:hAnsi="Times New Roman" w:cs="Times New Roman"/>
      <w:szCs w:val="20"/>
      <w:lang w:eastAsia="cs-CZ"/>
    </w:rPr>
  </w:style>
  <w:style w:type="paragraph" w:customStyle="1" w:styleId="TNSBulletlevel1">
    <w:name w:val="TNS Bullet level 1"/>
    <w:uiPriority w:val="99"/>
    <w:rsid w:val="00085B1F"/>
    <w:pPr>
      <w:numPr>
        <w:numId w:val="2"/>
      </w:numPr>
      <w:spacing w:after="0" w:line="280" w:lineRule="exact"/>
    </w:pPr>
    <w:rPr>
      <w:rFonts w:ascii="Verdana" w:eastAsia="Times New Roman" w:hAnsi="Verdana" w:cs="Times New Roman"/>
      <w:color w:val="333333"/>
      <w:sz w:val="18"/>
      <w:szCs w:val="18"/>
      <w:lang w:val="en-AU" w:eastAsia="en-AU"/>
    </w:rPr>
  </w:style>
  <w:style w:type="character" w:styleId="Siln">
    <w:name w:val="Strong"/>
    <w:basedOn w:val="Standardnpsmoodstavce"/>
    <w:uiPriority w:val="22"/>
    <w:qFormat/>
    <w:rsid w:val="00085B1F"/>
    <w:rPr>
      <w:b/>
      <w:bCs/>
    </w:rPr>
  </w:style>
  <w:style w:type="paragraph" w:styleId="Vrazncitt">
    <w:name w:val="Intense Quote"/>
    <w:basedOn w:val="Normln"/>
    <w:next w:val="Normln"/>
    <w:link w:val="VrazncittChar"/>
    <w:uiPriority w:val="30"/>
    <w:qFormat/>
    <w:rsid w:val="00085B1F"/>
    <w:pPr>
      <w:keepNext/>
      <w:framePr w:wrap="around" w:vAnchor="text" w:hAnchor="margin" w:xAlign="center" w:y="1"/>
      <w:pBdr>
        <w:bottom w:val="single" w:sz="4" w:space="3" w:color="000066"/>
      </w:pBdr>
      <w:spacing w:before="240" w:after="160" w:line="276" w:lineRule="auto"/>
      <w:ind w:left="1077" w:hanging="1077"/>
    </w:pPr>
    <w:rPr>
      <w:rFonts w:ascii="Arial" w:hAnsi="Arial" w:cs="Tahoma"/>
      <w:b/>
      <w:bCs/>
      <w:iCs/>
      <w:color w:val="000066"/>
      <w:lang w:eastAsia="cs-CZ"/>
    </w:rPr>
  </w:style>
  <w:style w:type="character" w:customStyle="1" w:styleId="VrazncittChar">
    <w:name w:val="Výrazný citát Char"/>
    <w:basedOn w:val="Standardnpsmoodstavce"/>
    <w:link w:val="Vrazncitt"/>
    <w:uiPriority w:val="30"/>
    <w:rsid w:val="00085B1F"/>
    <w:rPr>
      <w:rFonts w:ascii="Arial" w:eastAsia="Times New Roman" w:hAnsi="Arial" w:cs="Tahoma"/>
      <w:b/>
      <w:bCs/>
      <w:iCs/>
      <w:color w:val="000066"/>
      <w:sz w:val="24"/>
      <w:szCs w:val="24"/>
      <w:lang w:eastAsia="cs-CZ"/>
    </w:rPr>
  </w:style>
  <w:style w:type="character" w:styleId="Zdraznnjemn">
    <w:name w:val="Subtle Emphasis"/>
    <w:basedOn w:val="Standardnpsmoodstavce"/>
    <w:uiPriority w:val="19"/>
    <w:qFormat/>
    <w:rsid w:val="00CD07A9"/>
    <w:rPr>
      <w:rFonts w:ascii="Arial" w:hAnsi="Arial"/>
      <w:i/>
      <w:iCs/>
      <w:color w:val="808080"/>
      <w:sz w:val="22"/>
    </w:rPr>
  </w:style>
  <w:style w:type="table" w:styleId="Mkatabulky">
    <w:name w:val="Table Grid"/>
    <w:aliases w:val="Tabulka ANECT"/>
    <w:basedOn w:val="Normlntabulka"/>
    <w:uiPriority w:val="39"/>
    <w:rsid w:val="00CD07A9"/>
    <w:pPr>
      <w:spacing w:before="240" w:after="12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5C2A77"/>
    <w:pPr>
      <w:tabs>
        <w:tab w:val="center" w:pos="4536"/>
        <w:tab w:val="right" w:pos="9072"/>
      </w:tabs>
    </w:pPr>
    <w:rPr>
      <w:rFonts w:asciiTheme="minorHAnsi" w:eastAsiaTheme="minorEastAsia" w:hAnsiTheme="minorHAnsi" w:cstheme="minorBidi"/>
      <w:sz w:val="22"/>
      <w:szCs w:val="22"/>
      <w:lang w:eastAsia="cs-CZ"/>
    </w:rPr>
  </w:style>
  <w:style w:type="character" w:customStyle="1" w:styleId="ZhlavChar">
    <w:name w:val="Záhlaví Char"/>
    <w:basedOn w:val="Standardnpsmoodstavce"/>
    <w:link w:val="Zhlav"/>
    <w:uiPriority w:val="99"/>
    <w:rsid w:val="005C2A77"/>
  </w:style>
  <w:style w:type="paragraph" w:styleId="Zpat">
    <w:name w:val="footer"/>
    <w:basedOn w:val="Normln"/>
    <w:link w:val="ZpatChar"/>
    <w:uiPriority w:val="99"/>
    <w:unhideWhenUsed/>
    <w:rsid w:val="005C2A77"/>
    <w:pPr>
      <w:tabs>
        <w:tab w:val="center" w:pos="4536"/>
        <w:tab w:val="right" w:pos="9072"/>
      </w:tabs>
    </w:pPr>
    <w:rPr>
      <w:rFonts w:asciiTheme="minorHAnsi" w:eastAsiaTheme="minorEastAsia" w:hAnsiTheme="minorHAnsi" w:cstheme="minorBidi"/>
      <w:sz w:val="22"/>
      <w:szCs w:val="22"/>
      <w:lang w:eastAsia="cs-CZ"/>
    </w:rPr>
  </w:style>
  <w:style w:type="character" w:customStyle="1" w:styleId="ZpatChar">
    <w:name w:val="Zápatí Char"/>
    <w:basedOn w:val="Standardnpsmoodstavce"/>
    <w:link w:val="Zpat"/>
    <w:uiPriority w:val="99"/>
    <w:rsid w:val="005C2A77"/>
  </w:style>
  <w:style w:type="paragraph" w:styleId="Textbubliny">
    <w:name w:val="Balloon Text"/>
    <w:basedOn w:val="Normln"/>
    <w:link w:val="TextbublinyChar"/>
    <w:uiPriority w:val="99"/>
    <w:semiHidden/>
    <w:unhideWhenUsed/>
    <w:rsid w:val="005C2A77"/>
    <w:rPr>
      <w:rFonts w:ascii="Tahoma" w:hAnsi="Tahoma" w:cs="Tahoma"/>
      <w:sz w:val="16"/>
      <w:szCs w:val="16"/>
      <w:lang w:eastAsia="en-US"/>
    </w:rPr>
  </w:style>
  <w:style w:type="character" w:customStyle="1" w:styleId="TextbublinyChar">
    <w:name w:val="Text bubliny Char"/>
    <w:basedOn w:val="Standardnpsmoodstavce"/>
    <w:link w:val="Textbubliny"/>
    <w:uiPriority w:val="99"/>
    <w:semiHidden/>
    <w:rsid w:val="005C2A77"/>
    <w:rPr>
      <w:rFonts w:ascii="Tahoma" w:hAnsi="Tahoma" w:cs="Tahoma"/>
      <w:sz w:val="16"/>
      <w:szCs w:val="16"/>
    </w:rPr>
  </w:style>
  <w:style w:type="paragraph" w:customStyle="1" w:styleId="paragraf">
    <w:name w:val="paragraf"/>
    <w:basedOn w:val="Normln"/>
    <w:next w:val="Normln"/>
    <w:rsid w:val="000535E1"/>
    <w:pPr>
      <w:keepNext/>
      <w:spacing w:before="240"/>
      <w:jc w:val="center"/>
    </w:pPr>
    <w:rPr>
      <w:noProof/>
      <w:lang w:eastAsia="cs-CZ"/>
    </w:rPr>
  </w:style>
  <w:style w:type="character" w:customStyle="1" w:styleId="tituleknadpisu">
    <w:name w:val="titulek nadpisu"/>
    <w:rsid w:val="000535E1"/>
    <w:rPr>
      <w:b/>
    </w:rPr>
  </w:style>
  <w:style w:type="character" w:customStyle="1" w:styleId="cizojazycne">
    <w:name w:val="cizojazycne"/>
    <w:basedOn w:val="Standardnpsmoodstavce"/>
    <w:rsid w:val="00542FFA"/>
  </w:style>
  <w:style w:type="paragraph" w:styleId="Normlnweb">
    <w:name w:val="Normal (Web)"/>
    <w:basedOn w:val="Normln"/>
    <w:uiPriority w:val="99"/>
    <w:unhideWhenUsed/>
    <w:rsid w:val="00D8625B"/>
    <w:pPr>
      <w:spacing w:before="100" w:beforeAutospacing="1" w:after="100" w:afterAutospacing="1"/>
    </w:pPr>
    <w:rPr>
      <w:rFonts w:eastAsiaTheme="minorEastAsia"/>
      <w:lang w:eastAsia="cs-CZ"/>
    </w:rPr>
  </w:style>
  <w:style w:type="paragraph" w:customStyle="1" w:styleId="Default">
    <w:name w:val="Default"/>
    <w:rsid w:val="00D8625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OdstavecseseznamemChar">
    <w:name w:val="Odstavec se seznamem Char"/>
    <w:aliases w:val="Odstavec_muj Char,Conclusion de partie Char,References Char,Odstavec se seznamem2 Char,Dot pt Char,Indicator Text Char,LISTA Char,List Paragraph Char Char Char Char,List Paragraph à moi Char,List Paragraph1 Char,Nad Char"/>
    <w:link w:val="Odstavecseseznamem"/>
    <w:uiPriority w:val="34"/>
    <w:qFormat/>
    <w:rsid w:val="00D8625B"/>
  </w:style>
  <w:style w:type="paragraph" w:customStyle="1" w:styleId="Textodstavce">
    <w:name w:val="Text odstavce"/>
    <w:basedOn w:val="Normln"/>
    <w:uiPriority w:val="99"/>
    <w:rsid w:val="00231CD5"/>
    <w:pPr>
      <w:numPr>
        <w:numId w:val="3"/>
      </w:numPr>
      <w:tabs>
        <w:tab w:val="left" w:pos="851"/>
      </w:tabs>
      <w:spacing w:before="120" w:after="120"/>
      <w:jc w:val="both"/>
      <w:outlineLvl w:val="6"/>
    </w:pPr>
    <w:rPr>
      <w:szCs w:val="20"/>
      <w:lang w:eastAsia="cs-CZ"/>
    </w:rPr>
  </w:style>
  <w:style w:type="paragraph" w:customStyle="1" w:styleId="Textbodu">
    <w:name w:val="Text bodu"/>
    <w:basedOn w:val="Normln"/>
    <w:uiPriority w:val="99"/>
    <w:rsid w:val="00231CD5"/>
    <w:pPr>
      <w:numPr>
        <w:ilvl w:val="2"/>
        <w:numId w:val="3"/>
      </w:numPr>
      <w:jc w:val="both"/>
      <w:outlineLvl w:val="8"/>
    </w:pPr>
    <w:rPr>
      <w:szCs w:val="20"/>
      <w:lang w:eastAsia="cs-CZ"/>
    </w:rPr>
  </w:style>
  <w:style w:type="paragraph" w:customStyle="1" w:styleId="Textpsmene">
    <w:name w:val="Text písmene"/>
    <w:basedOn w:val="Normln"/>
    <w:uiPriority w:val="99"/>
    <w:rsid w:val="00231CD5"/>
    <w:pPr>
      <w:jc w:val="both"/>
      <w:outlineLvl w:val="7"/>
    </w:pPr>
    <w:rPr>
      <w:szCs w:val="20"/>
      <w:lang w:eastAsia="cs-CZ"/>
    </w:rPr>
  </w:style>
  <w:style w:type="paragraph" w:customStyle="1" w:styleId="Paragraf0">
    <w:name w:val="Paragraf"/>
    <w:basedOn w:val="Normln"/>
    <w:next w:val="Textodstavce"/>
    <w:uiPriority w:val="99"/>
    <w:rsid w:val="00231CD5"/>
    <w:pPr>
      <w:keepNext/>
      <w:keepLines/>
      <w:spacing w:before="240"/>
      <w:jc w:val="center"/>
      <w:outlineLvl w:val="5"/>
    </w:pPr>
    <w:rPr>
      <w:szCs w:val="20"/>
      <w:lang w:eastAsia="cs-CZ"/>
    </w:rPr>
  </w:style>
  <w:style w:type="paragraph" w:styleId="Bezmezer">
    <w:name w:val="No Spacing"/>
    <w:uiPriority w:val="1"/>
    <w:qFormat/>
    <w:rsid w:val="00231CD5"/>
    <w:pPr>
      <w:spacing w:after="0" w:line="240" w:lineRule="auto"/>
    </w:pPr>
  </w:style>
  <w:style w:type="paragraph" w:styleId="Prosttext">
    <w:name w:val="Plain Text"/>
    <w:basedOn w:val="Normln"/>
    <w:link w:val="ProsttextChar"/>
    <w:uiPriority w:val="99"/>
    <w:unhideWhenUsed/>
    <w:rsid w:val="00CB0180"/>
    <w:rPr>
      <w:rFonts w:ascii="Calibri" w:eastAsia="Calibri" w:hAnsi="Calibri"/>
      <w:sz w:val="22"/>
      <w:szCs w:val="21"/>
      <w:lang w:eastAsia="cs-CZ"/>
    </w:rPr>
  </w:style>
  <w:style w:type="character" w:customStyle="1" w:styleId="ProsttextChar">
    <w:name w:val="Prostý text Char"/>
    <w:basedOn w:val="Standardnpsmoodstavce"/>
    <w:link w:val="Prosttext"/>
    <w:uiPriority w:val="99"/>
    <w:rsid w:val="00CB0180"/>
    <w:rPr>
      <w:rFonts w:ascii="Calibri" w:eastAsia="Calibri" w:hAnsi="Calibri" w:cs="Times New Roman"/>
      <w:szCs w:val="21"/>
    </w:rPr>
  </w:style>
  <w:style w:type="character" w:customStyle="1" w:styleId="xsptextcomputedfield">
    <w:name w:val="xsptextcomputedfield"/>
    <w:basedOn w:val="Standardnpsmoodstavce"/>
    <w:rsid w:val="001762BA"/>
  </w:style>
  <w:style w:type="character" w:customStyle="1" w:styleId="Nadpis2Char">
    <w:name w:val="Nadpis 2 Char"/>
    <w:basedOn w:val="Standardnpsmoodstavce"/>
    <w:link w:val="Nadpis2"/>
    <w:uiPriority w:val="9"/>
    <w:rsid w:val="00686C89"/>
    <w:rPr>
      <w:rFonts w:asciiTheme="majorHAnsi" w:eastAsiaTheme="majorEastAsia" w:hAnsiTheme="majorHAnsi" w:cstheme="majorBidi"/>
      <w:color w:val="365F91" w:themeColor="accent1" w:themeShade="BF"/>
      <w:sz w:val="26"/>
      <w:szCs w:val="26"/>
      <w:lang w:eastAsia="en-US"/>
    </w:rPr>
  </w:style>
  <w:style w:type="paragraph" w:styleId="Textkomente">
    <w:name w:val="annotation text"/>
    <w:aliases w:val="Text poznámky"/>
    <w:basedOn w:val="Normln"/>
    <w:link w:val="TextkomenteChar"/>
    <w:uiPriority w:val="99"/>
    <w:unhideWhenUsed/>
    <w:rsid w:val="00686C89"/>
    <w:pPr>
      <w:pBdr>
        <w:top w:val="nil"/>
        <w:left w:val="nil"/>
        <w:bottom w:val="nil"/>
        <w:right w:val="nil"/>
        <w:between w:val="nil"/>
      </w:pBdr>
    </w:pPr>
    <w:rPr>
      <w:rFonts w:ascii="Arial" w:eastAsia="Arial" w:hAnsi="Arial" w:cs="Arial"/>
      <w:color w:val="000000"/>
      <w:sz w:val="20"/>
      <w:szCs w:val="20"/>
      <w:lang w:eastAsia="cs-CZ"/>
    </w:rPr>
  </w:style>
  <w:style w:type="character" w:customStyle="1" w:styleId="TextkomenteChar">
    <w:name w:val="Text komentáře Char"/>
    <w:aliases w:val="Text poznámky Char"/>
    <w:basedOn w:val="Standardnpsmoodstavce"/>
    <w:link w:val="Textkomente"/>
    <w:uiPriority w:val="99"/>
    <w:rsid w:val="00686C89"/>
    <w:rPr>
      <w:rFonts w:ascii="Arial" w:eastAsia="Arial" w:hAnsi="Arial" w:cs="Arial"/>
      <w:color w:val="000000"/>
      <w:sz w:val="20"/>
      <w:szCs w:val="20"/>
    </w:rPr>
  </w:style>
  <w:style w:type="character" w:styleId="PromnnHTML">
    <w:name w:val="HTML Variable"/>
    <w:basedOn w:val="Standardnpsmoodstavce"/>
    <w:uiPriority w:val="99"/>
    <w:unhideWhenUsed/>
    <w:rsid w:val="001C1CFE"/>
    <w:rPr>
      <w:i/>
      <w:iCs/>
    </w:rPr>
  </w:style>
  <w:style w:type="paragraph" w:customStyle="1" w:styleId="l6">
    <w:name w:val="l6"/>
    <w:basedOn w:val="Normln"/>
    <w:rsid w:val="001C1CFE"/>
    <w:pPr>
      <w:spacing w:before="100" w:beforeAutospacing="1" w:after="100" w:afterAutospacing="1"/>
    </w:pPr>
    <w:rPr>
      <w:rFonts w:eastAsiaTheme="minorHAnsi"/>
      <w:lang w:eastAsia="cs-CZ"/>
    </w:rPr>
  </w:style>
  <w:style w:type="paragraph" w:customStyle="1" w:styleId="doc-ti1">
    <w:name w:val="doc-ti1"/>
    <w:basedOn w:val="Normln"/>
    <w:rsid w:val="00E544FD"/>
    <w:pPr>
      <w:spacing w:before="240" w:after="120" w:line="312" w:lineRule="atLeast"/>
      <w:jc w:val="center"/>
    </w:pPr>
    <w:rPr>
      <w:rFonts w:eastAsiaTheme="minorHAnsi"/>
      <w:b/>
      <w:bCs/>
      <w:lang w:eastAsia="cs-CZ"/>
    </w:rPr>
  </w:style>
  <w:style w:type="paragraph" w:customStyle="1" w:styleId="normal1">
    <w:name w:val="normal1"/>
    <w:basedOn w:val="Normln"/>
    <w:rsid w:val="00E544FD"/>
    <w:pPr>
      <w:spacing w:before="120" w:line="312" w:lineRule="atLeast"/>
      <w:jc w:val="both"/>
    </w:pPr>
    <w:rPr>
      <w:rFonts w:eastAsiaTheme="minorHAnsi"/>
      <w:lang w:eastAsia="cs-CZ"/>
    </w:rPr>
  </w:style>
  <w:style w:type="character" w:styleId="Sledovanodkaz">
    <w:name w:val="FollowedHyperlink"/>
    <w:basedOn w:val="Standardnpsmoodstavce"/>
    <w:uiPriority w:val="99"/>
    <w:semiHidden/>
    <w:unhideWhenUsed/>
    <w:rsid w:val="00EE1BC7"/>
    <w:rPr>
      <w:color w:val="800080" w:themeColor="followedHyperlink"/>
      <w:u w:val="single"/>
    </w:rPr>
  </w:style>
  <w:style w:type="character" w:customStyle="1" w:styleId="UnresolvedMention1">
    <w:name w:val="Unresolved Mention1"/>
    <w:basedOn w:val="Standardnpsmoodstavce"/>
    <w:uiPriority w:val="99"/>
    <w:semiHidden/>
    <w:unhideWhenUsed/>
    <w:rsid w:val="00EE1BC7"/>
    <w:rPr>
      <w:color w:val="605E5C"/>
      <w:shd w:val="clear" w:color="auto" w:fill="E1DFDD"/>
    </w:rPr>
  </w:style>
  <w:style w:type="character" w:customStyle="1" w:styleId="Nevyeenzmnka1">
    <w:name w:val="Nevyřešená zmínka1"/>
    <w:basedOn w:val="Standardnpsmoodstavce"/>
    <w:uiPriority w:val="99"/>
    <w:semiHidden/>
    <w:unhideWhenUsed/>
    <w:rsid w:val="00F96B41"/>
    <w:rPr>
      <w:color w:val="605E5C"/>
      <w:shd w:val="clear" w:color="auto" w:fill="E1DFDD"/>
    </w:rPr>
  </w:style>
  <w:style w:type="paragraph" w:customStyle="1" w:styleId="Nvod">
    <w:name w:val="Návod"/>
    <w:basedOn w:val="Normln"/>
    <w:rsid w:val="00120B9B"/>
    <w:pPr>
      <w:overflowPunct w:val="0"/>
      <w:autoSpaceDE w:val="0"/>
      <w:autoSpaceDN w:val="0"/>
      <w:adjustRightInd w:val="0"/>
      <w:ind w:left="340" w:hanging="340"/>
    </w:pPr>
    <w:rPr>
      <w:szCs w:val="20"/>
      <w:lang w:eastAsia="cs-CZ"/>
    </w:rPr>
  </w:style>
  <w:style w:type="character" w:customStyle="1" w:styleId="Nadpis3Char">
    <w:name w:val="Nadpis 3 Char"/>
    <w:basedOn w:val="Standardnpsmoodstavce"/>
    <w:link w:val="Nadpis3"/>
    <w:rsid w:val="00120B9B"/>
    <w:rPr>
      <w:rFonts w:ascii="Cambria" w:eastAsia="Times New Roman" w:hAnsi="Cambria" w:cs="Times New Roman"/>
      <w:b/>
      <w:bCs/>
      <w:sz w:val="26"/>
      <w:szCs w:val="26"/>
    </w:rPr>
  </w:style>
  <w:style w:type="paragraph" w:customStyle="1" w:styleId="nadpiszkona">
    <w:name w:val="nadpis zákona"/>
    <w:basedOn w:val="Normln"/>
    <w:next w:val="Normln"/>
    <w:rsid w:val="00090D90"/>
    <w:pPr>
      <w:keepNext/>
      <w:keepLines/>
      <w:spacing w:before="120" w:after="200" w:line="276" w:lineRule="auto"/>
      <w:jc w:val="center"/>
      <w:outlineLvl w:val="0"/>
    </w:pPr>
    <w:rPr>
      <w:rFonts w:asciiTheme="minorHAnsi" w:eastAsiaTheme="minorHAnsi" w:hAnsiTheme="minorHAnsi" w:cstheme="minorBidi"/>
      <w:b/>
      <w:sz w:val="22"/>
      <w:szCs w:val="22"/>
      <w:lang w:eastAsia="en-US"/>
    </w:rPr>
  </w:style>
  <w:style w:type="paragraph" w:styleId="Obsah1">
    <w:name w:val="toc 1"/>
    <w:basedOn w:val="Normln"/>
    <w:next w:val="Normln"/>
    <w:autoRedefine/>
    <w:uiPriority w:val="39"/>
    <w:unhideWhenUsed/>
    <w:qFormat/>
    <w:rsid w:val="00A83299"/>
    <w:pPr>
      <w:spacing w:before="120" w:after="120"/>
    </w:pPr>
    <w:rPr>
      <w:rFonts w:asciiTheme="minorHAnsi" w:eastAsiaTheme="minorHAnsi" w:hAnsiTheme="minorHAnsi"/>
      <w:b/>
      <w:bCs/>
      <w:caps/>
      <w:sz w:val="20"/>
      <w:szCs w:val="20"/>
      <w:lang w:eastAsia="en-US"/>
    </w:rPr>
  </w:style>
  <w:style w:type="character" w:customStyle="1" w:styleId="Nadpis1Char">
    <w:name w:val="Nadpis 1 Char"/>
    <w:basedOn w:val="Standardnpsmoodstavce"/>
    <w:link w:val="Nadpis1"/>
    <w:uiPriority w:val="9"/>
    <w:rsid w:val="00F71D5B"/>
    <w:rPr>
      <w:rFonts w:asciiTheme="majorHAnsi" w:eastAsiaTheme="majorEastAsia" w:hAnsiTheme="majorHAnsi" w:cstheme="majorBidi"/>
      <w:color w:val="365F91" w:themeColor="accent1" w:themeShade="BF"/>
      <w:sz w:val="32"/>
      <w:szCs w:val="32"/>
      <w:lang w:eastAsia="en-US"/>
    </w:rPr>
  </w:style>
  <w:style w:type="character" w:customStyle="1" w:styleId="skypec2cprintcontainer">
    <w:name w:val="skype_c2c_print_container"/>
    <w:rsid w:val="00AF0D63"/>
  </w:style>
  <w:style w:type="paragraph" w:styleId="Titulek">
    <w:name w:val="caption"/>
    <w:basedOn w:val="Normln"/>
    <w:next w:val="Normln"/>
    <w:uiPriority w:val="35"/>
    <w:unhideWhenUsed/>
    <w:qFormat/>
    <w:rsid w:val="004D462D"/>
    <w:pPr>
      <w:pBdr>
        <w:top w:val="nil"/>
        <w:left w:val="nil"/>
        <w:bottom w:val="nil"/>
        <w:right w:val="nil"/>
        <w:between w:val="nil"/>
      </w:pBdr>
      <w:spacing w:after="200"/>
    </w:pPr>
    <w:rPr>
      <w:rFonts w:ascii="Calibri" w:eastAsia="Calibri" w:hAnsi="Calibri" w:cs="Calibri"/>
      <w:b/>
      <w:bCs/>
      <w:i/>
      <w:color w:val="4F81BD" w:themeColor="accent1"/>
      <w:sz w:val="22"/>
      <w:szCs w:val="18"/>
      <w:lang w:eastAsia="cs-CZ"/>
    </w:rPr>
  </w:style>
  <w:style w:type="paragraph" w:customStyle="1" w:styleId="xmsonormal">
    <w:name w:val="x_msonormal"/>
    <w:basedOn w:val="Normln"/>
    <w:rsid w:val="00DB0FB7"/>
    <w:rPr>
      <w:rFonts w:ascii="Calibri" w:eastAsiaTheme="minorHAnsi" w:hAnsi="Calibri"/>
      <w:sz w:val="22"/>
      <w:szCs w:val="22"/>
      <w:lang w:eastAsia="cs-CZ"/>
    </w:rPr>
  </w:style>
  <w:style w:type="paragraph" w:customStyle="1" w:styleId="mcntmsonormal">
    <w:name w:val="mcntmsonormal"/>
    <w:basedOn w:val="Normln"/>
    <w:rsid w:val="006171EC"/>
    <w:pPr>
      <w:spacing w:before="100" w:beforeAutospacing="1" w:after="100" w:afterAutospacing="1"/>
    </w:pPr>
    <w:rPr>
      <w:lang w:eastAsia="en-US"/>
    </w:rPr>
  </w:style>
  <w:style w:type="character" w:customStyle="1" w:styleId="apple-converted-space">
    <w:name w:val="apple-converted-space"/>
    <w:basedOn w:val="Standardnpsmoodstavce"/>
    <w:rsid w:val="006171EC"/>
  </w:style>
  <w:style w:type="paragraph" w:customStyle="1" w:styleId="mcntgmail-m-2262495422873537080msolistparagraph">
    <w:name w:val="mcntgmail-m_-2262495422873537080msolistparagraph"/>
    <w:basedOn w:val="Normln"/>
    <w:rsid w:val="006171EC"/>
    <w:pPr>
      <w:spacing w:before="100" w:beforeAutospacing="1" w:after="100" w:afterAutospacing="1"/>
    </w:pPr>
    <w:rPr>
      <w:lang w:eastAsia="en-US"/>
    </w:rPr>
  </w:style>
  <w:style w:type="character" w:customStyle="1" w:styleId="Nadpis4Char">
    <w:name w:val="Nadpis 4 Char"/>
    <w:basedOn w:val="Standardnpsmoodstavce"/>
    <w:link w:val="Nadpis4"/>
    <w:uiPriority w:val="9"/>
    <w:semiHidden/>
    <w:rsid w:val="001A2943"/>
    <w:rPr>
      <w:rFonts w:asciiTheme="majorHAnsi" w:eastAsiaTheme="majorEastAsia" w:hAnsiTheme="majorHAnsi" w:cstheme="majorBidi"/>
      <w:i/>
      <w:iCs/>
      <w:color w:val="365F91" w:themeColor="accent1" w:themeShade="BF"/>
      <w:sz w:val="24"/>
      <w:szCs w:val="24"/>
      <w:lang w:eastAsia="en-US"/>
    </w:rPr>
  </w:style>
  <w:style w:type="paragraph" w:customStyle="1" w:styleId="v1-wm-msonormal">
    <w:name w:val="v1-wm-msonormal"/>
    <w:basedOn w:val="Normln"/>
    <w:rsid w:val="002E7A97"/>
    <w:pPr>
      <w:spacing w:before="100" w:beforeAutospacing="1" w:after="100" w:afterAutospacing="1"/>
    </w:pPr>
  </w:style>
  <w:style w:type="paragraph" w:customStyle="1" w:styleId="xxxxmsonormal">
    <w:name w:val="x_x_xxmsonormal"/>
    <w:basedOn w:val="Normln"/>
    <w:rsid w:val="0034382A"/>
    <w:rPr>
      <w:rFonts w:ascii="Calibri" w:eastAsiaTheme="minorHAnsi" w:hAnsi="Calibri" w:cs="Calibri"/>
      <w:sz w:val="22"/>
      <w:szCs w:val="22"/>
      <w:lang w:eastAsia="cs-CZ"/>
    </w:rPr>
  </w:style>
  <w:style w:type="table" w:customStyle="1" w:styleId="Mkatabulky1">
    <w:name w:val="Mřížka tabulky1"/>
    <w:basedOn w:val="Normlntabulka"/>
    <w:next w:val="Mkatabulky"/>
    <w:uiPriority w:val="39"/>
    <w:rsid w:val="00AF1705"/>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eznamu1">
    <w:name w:val="Bez seznamu1"/>
    <w:next w:val="Bezseznamu"/>
    <w:uiPriority w:val="99"/>
    <w:semiHidden/>
    <w:unhideWhenUsed/>
    <w:rsid w:val="00D95A9B"/>
  </w:style>
  <w:style w:type="paragraph" w:styleId="Nadpisobsahu">
    <w:name w:val="TOC Heading"/>
    <w:basedOn w:val="Nadpis1"/>
    <w:next w:val="Normln"/>
    <w:uiPriority w:val="39"/>
    <w:unhideWhenUsed/>
    <w:qFormat/>
    <w:rsid w:val="00D95A9B"/>
    <w:pPr>
      <w:spacing w:line="259" w:lineRule="auto"/>
      <w:outlineLvl w:val="9"/>
    </w:pPr>
    <w:rPr>
      <w:lang w:eastAsia="cs-CZ"/>
    </w:rPr>
  </w:style>
  <w:style w:type="character" w:styleId="Odkaznakoment">
    <w:name w:val="annotation reference"/>
    <w:basedOn w:val="Standardnpsmoodstavce"/>
    <w:uiPriority w:val="99"/>
    <w:unhideWhenUsed/>
    <w:rsid w:val="00D95A9B"/>
    <w:rPr>
      <w:sz w:val="16"/>
      <w:szCs w:val="16"/>
    </w:rPr>
  </w:style>
  <w:style w:type="paragraph" w:styleId="Pedmtkomente">
    <w:name w:val="annotation subject"/>
    <w:basedOn w:val="Textkomente"/>
    <w:next w:val="Textkomente"/>
    <w:link w:val="PedmtkomenteChar"/>
    <w:uiPriority w:val="99"/>
    <w:semiHidden/>
    <w:unhideWhenUsed/>
    <w:rsid w:val="00D95A9B"/>
    <w:pPr>
      <w:pBdr>
        <w:top w:val="none" w:sz="0" w:space="0" w:color="auto"/>
        <w:left w:val="none" w:sz="0" w:space="0" w:color="auto"/>
        <w:bottom w:val="none" w:sz="0" w:space="0" w:color="auto"/>
        <w:right w:val="none" w:sz="0" w:space="0" w:color="auto"/>
        <w:between w:val="none" w:sz="0" w:space="0" w:color="auto"/>
      </w:pBdr>
      <w:spacing w:after="200"/>
    </w:pPr>
    <w:rPr>
      <w:rFonts w:asciiTheme="minorHAnsi" w:eastAsiaTheme="minorEastAsia" w:hAnsiTheme="minorHAnsi" w:cstheme="minorBidi"/>
      <w:b/>
      <w:bCs/>
      <w:color w:val="auto"/>
    </w:rPr>
  </w:style>
  <w:style w:type="character" w:customStyle="1" w:styleId="PedmtkomenteChar">
    <w:name w:val="Předmět komentáře Char"/>
    <w:basedOn w:val="TextkomenteChar"/>
    <w:link w:val="Pedmtkomente"/>
    <w:uiPriority w:val="99"/>
    <w:semiHidden/>
    <w:rsid w:val="00D95A9B"/>
    <w:rPr>
      <w:rFonts w:ascii="Arial" w:eastAsia="Arial" w:hAnsi="Arial" w:cs="Arial"/>
      <w:b/>
      <w:bCs/>
      <w:color w:val="000000"/>
      <w:sz w:val="20"/>
      <w:szCs w:val="20"/>
    </w:rPr>
  </w:style>
  <w:style w:type="paragraph" w:customStyle="1" w:styleId="m-5487661548142892para">
    <w:name w:val="m_-5487661548142892para"/>
    <w:basedOn w:val="Normln"/>
    <w:rsid w:val="007A01CD"/>
    <w:pPr>
      <w:spacing w:before="100" w:beforeAutospacing="1" w:after="100" w:afterAutospacing="1"/>
    </w:pPr>
    <w:rPr>
      <w:rFonts w:ascii="Calibri" w:eastAsiaTheme="minorHAnsi" w:hAnsi="Calibri" w:cs="Calibri"/>
      <w:sz w:val="22"/>
      <w:szCs w:val="22"/>
      <w:lang w:eastAsia="cs-CZ"/>
    </w:rPr>
  </w:style>
  <w:style w:type="paragraph" w:customStyle="1" w:styleId="m-5487661548142892l4">
    <w:name w:val="m_-5487661548142892l4"/>
    <w:basedOn w:val="Normln"/>
    <w:rsid w:val="007A01CD"/>
    <w:pPr>
      <w:spacing w:before="100" w:beforeAutospacing="1" w:after="100" w:afterAutospacing="1"/>
    </w:pPr>
    <w:rPr>
      <w:rFonts w:ascii="Calibri" w:eastAsiaTheme="minorHAnsi" w:hAnsi="Calibri" w:cs="Calibri"/>
      <w:sz w:val="22"/>
      <w:szCs w:val="22"/>
      <w:lang w:eastAsia="cs-CZ"/>
    </w:rPr>
  </w:style>
  <w:style w:type="paragraph" w:customStyle="1" w:styleId="m-5487661548142892l5">
    <w:name w:val="m_-5487661548142892l5"/>
    <w:basedOn w:val="Normln"/>
    <w:rsid w:val="007A01CD"/>
    <w:pPr>
      <w:spacing w:before="100" w:beforeAutospacing="1" w:after="100" w:afterAutospacing="1"/>
    </w:pPr>
    <w:rPr>
      <w:rFonts w:ascii="Calibri" w:eastAsiaTheme="minorHAnsi" w:hAnsi="Calibri" w:cs="Calibri"/>
      <w:sz w:val="22"/>
      <w:szCs w:val="22"/>
      <w:lang w:eastAsia="cs-CZ"/>
    </w:rPr>
  </w:style>
  <w:style w:type="paragraph" w:customStyle="1" w:styleId="-wm-msonormal">
    <w:name w:val="-wm-msonormal"/>
    <w:basedOn w:val="Normln"/>
    <w:rsid w:val="00291A55"/>
    <w:pPr>
      <w:spacing w:before="100" w:beforeAutospacing="1" w:after="100" w:afterAutospacing="1"/>
    </w:pPr>
    <w:rPr>
      <w:rFonts w:eastAsiaTheme="minorHAnsi"/>
      <w:lang w:eastAsia="cs-CZ"/>
    </w:rPr>
  </w:style>
  <w:style w:type="paragraph" w:customStyle="1" w:styleId="-wm-msolistparagraph">
    <w:name w:val="-wm-msolistparagraph"/>
    <w:basedOn w:val="Normln"/>
    <w:rsid w:val="00291A55"/>
    <w:pPr>
      <w:spacing w:before="100" w:beforeAutospacing="1" w:after="100" w:afterAutospacing="1"/>
    </w:pPr>
    <w:rPr>
      <w:rFonts w:eastAsiaTheme="minorHAnsi"/>
      <w:lang w:eastAsia="cs-CZ"/>
    </w:rPr>
  </w:style>
  <w:style w:type="table" w:customStyle="1" w:styleId="Mkatabulky2">
    <w:name w:val="Mřížka tabulky2"/>
    <w:basedOn w:val="Normlntabulka"/>
    <w:next w:val="Mkatabulky"/>
    <w:uiPriority w:val="59"/>
    <w:rsid w:val="002B4CE7"/>
    <w:pPr>
      <w:spacing w:after="0" w:line="240" w:lineRule="auto"/>
    </w:pPr>
    <w:rPr>
      <w:rFonts w:eastAsia="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FA0649"/>
    <w:rPr>
      <w:color w:val="605E5C"/>
      <w:shd w:val="clear" w:color="auto" w:fill="E1DFDD"/>
    </w:rPr>
  </w:style>
  <w:style w:type="paragraph" w:styleId="Revize">
    <w:name w:val="Revision"/>
    <w:hidden/>
    <w:uiPriority w:val="99"/>
    <w:semiHidden/>
    <w:rsid w:val="00C03311"/>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280048">
      <w:bodyDiv w:val="1"/>
      <w:marLeft w:val="0"/>
      <w:marRight w:val="0"/>
      <w:marTop w:val="0"/>
      <w:marBottom w:val="0"/>
      <w:divBdr>
        <w:top w:val="none" w:sz="0" w:space="0" w:color="auto"/>
        <w:left w:val="none" w:sz="0" w:space="0" w:color="auto"/>
        <w:bottom w:val="none" w:sz="0" w:space="0" w:color="auto"/>
        <w:right w:val="none" w:sz="0" w:space="0" w:color="auto"/>
      </w:divBdr>
    </w:div>
    <w:div w:id="55058081">
      <w:bodyDiv w:val="1"/>
      <w:marLeft w:val="0"/>
      <w:marRight w:val="0"/>
      <w:marTop w:val="0"/>
      <w:marBottom w:val="0"/>
      <w:divBdr>
        <w:top w:val="none" w:sz="0" w:space="0" w:color="auto"/>
        <w:left w:val="none" w:sz="0" w:space="0" w:color="auto"/>
        <w:bottom w:val="none" w:sz="0" w:space="0" w:color="auto"/>
        <w:right w:val="none" w:sz="0" w:space="0" w:color="auto"/>
      </w:divBdr>
    </w:div>
    <w:div w:id="196352525">
      <w:bodyDiv w:val="1"/>
      <w:marLeft w:val="0"/>
      <w:marRight w:val="0"/>
      <w:marTop w:val="0"/>
      <w:marBottom w:val="0"/>
      <w:divBdr>
        <w:top w:val="none" w:sz="0" w:space="0" w:color="auto"/>
        <w:left w:val="none" w:sz="0" w:space="0" w:color="auto"/>
        <w:bottom w:val="none" w:sz="0" w:space="0" w:color="auto"/>
        <w:right w:val="none" w:sz="0" w:space="0" w:color="auto"/>
      </w:divBdr>
    </w:div>
    <w:div w:id="319116986">
      <w:bodyDiv w:val="1"/>
      <w:marLeft w:val="0"/>
      <w:marRight w:val="0"/>
      <w:marTop w:val="0"/>
      <w:marBottom w:val="0"/>
      <w:divBdr>
        <w:top w:val="none" w:sz="0" w:space="0" w:color="auto"/>
        <w:left w:val="none" w:sz="0" w:space="0" w:color="auto"/>
        <w:bottom w:val="none" w:sz="0" w:space="0" w:color="auto"/>
        <w:right w:val="none" w:sz="0" w:space="0" w:color="auto"/>
      </w:divBdr>
    </w:div>
    <w:div w:id="341779245">
      <w:bodyDiv w:val="1"/>
      <w:marLeft w:val="0"/>
      <w:marRight w:val="0"/>
      <w:marTop w:val="0"/>
      <w:marBottom w:val="0"/>
      <w:divBdr>
        <w:top w:val="none" w:sz="0" w:space="0" w:color="auto"/>
        <w:left w:val="none" w:sz="0" w:space="0" w:color="auto"/>
        <w:bottom w:val="none" w:sz="0" w:space="0" w:color="auto"/>
        <w:right w:val="none" w:sz="0" w:space="0" w:color="auto"/>
      </w:divBdr>
    </w:div>
    <w:div w:id="387340025">
      <w:bodyDiv w:val="1"/>
      <w:marLeft w:val="0"/>
      <w:marRight w:val="0"/>
      <w:marTop w:val="0"/>
      <w:marBottom w:val="0"/>
      <w:divBdr>
        <w:top w:val="none" w:sz="0" w:space="0" w:color="auto"/>
        <w:left w:val="none" w:sz="0" w:space="0" w:color="auto"/>
        <w:bottom w:val="none" w:sz="0" w:space="0" w:color="auto"/>
        <w:right w:val="none" w:sz="0" w:space="0" w:color="auto"/>
      </w:divBdr>
    </w:div>
    <w:div w:id="422185004">
      <w:bodyDiv w:val="1"/>
      <w:marLeft w:val="0"/>
      <w:marRight w:val="0"/>
      <w:marTop w:val="0"/>
      <w:marBottom w:val="0"/>
      <w:divBdr>
        <w:top w:val="none" w:sz="0" w:space="0" w:color="auto"/>
        <w:left w:val="none" w:sz="0" w:space="0" w:color="auto"/>
        <w:bottom w:val="none" w:sz="0" w:space="0" w:color="auto"/>
        <w:right w:val="none" w:sz="0" w:space="0" w:color="auto"/>
      </w:divBdr>
    </w:div>
    <w:div w:id="468592669">
      <w:bodyDiv w:val="1"/>
      <w:marLeft w:val="0"/>
      <w:marRight w:val="0"/>
      <w:marTop w:val="0"/>
      <w:marBottom w:val="0"/>
      <w:divBdr>
        <w:top w:val="none" w:sz="0" w:space="0" w:color="auto"/>
        <w:left w:val="none" w:sz="0" w:space="0" w:color="auto"/>
        <w:bottom w:val="none" w:sz="0" w:space="0" w:color="auto"/>
        <w:right w:val="none" w:sz="0" w:space="0" w:color="auto"/>
      </w:divBdr>
    </w:div>
    <w:div w:id="544022462">
      <w:bodyDiv w:val="1"/>
      <w:marLeft w:val="0"/>
      <w:marRight w:val="0"/>
      <w:marTop w:val="0"/>
      <w:marBottom w:val="0"/>
      <w:divBdr>
        <w:top w:val="none" w:sz="0" w:space="0" w:color="auto"/>
        <w:left w:val="none" w:sz="0" w:space="0" w:color="auto"/>
        <w:bottom w:val="none" w:sz="0" w:space="0" w:color="auto"/>
        <w:right w:val="none" w:sz="0" w:space="0" w:color="auto"/>
      </w:divBdr>
    </w:div>
    <w:div w:id="559828252">
      <w:bodyDiv w:val="1"/>
      <w:marLeft w:val="0"/>
      <w:marRight w:val="0"/>
      <w:marTop w:val="0"/>
      <w:marBottom w:val="0"/>
      <w:divBdr>
        <w:top w:val="none" w:sz="0" w:space="0" w:color="auto"/>
        <w:left w:val="none" w:sz="0" w:space="0" w:color="auto"/>
        <w:bottom w:val="none" w:sz="0" w:space="0" w:color="auto"/>
        <w:right w:val="none" w:sz="0" w:space="0" w:color="auto"/>
      </w:divBdr>
    </w:div>
    <w:div w:id="572930766">
      <w:bodyDiv w:val="1"/>
      <w:marLeft w:val="0"/>
      <w:marRight w:val="0"/>
      <w:marTop w:val="0"/>
      <w:marBottom w:val="0"/>
      <w:divBdr>
        <w:top w:val="none" w:sz="0" w:space="0" w:color="auto"/>
        <w:left w:val="none" w:sz="0" w:space="0" w:color="auto"/>
        <w:bottom w:val="none" w:sz="0" w:space="0" w:color="auto"/>
        <w:right w:val="none" w:sz="0" w:space="0" w:color="auto"/>
      </w:divBdr>
    </w:div>
    <w:div w:id="711459164">
      <w:bodyDiv w:val="1"/>
      <w:marLeft w:val="0"/>
      <w:marRight w:val="0"/>
      <w:marTop w:val="0"/>
      <w:marBottom w:val="0"/>
      <w:divBdr>
        <w:top w:val="none" w:sz="0" w:space="0" w:color="auto"/>
        <w:left w:val="none" w:sz="0" w:space="0" w:color="auto"/>
        <w:bottom w:val="none" w:sz="0" w:space="0" w:color="auto"/>
        <w:right w:val="none" w:sz="0" w:space="0" w:color="auto"/>
      </w:divBdr>
    </w:div>
    <w:div w:id="804202683">
      <w:bodyDiv w:val="1"/>
      <w:marLeft w:val="0"/>
      <w:marRight w:val="0"/>
      <w:marTop w:val="0"/>
      <w:marBottom w:val="0"/>
      <w:divBdr>
        <w:top w:val="none" w:sz="0" w:space="0" w:color="auto"/>
        <w:left w:val="none" w:sz="0" w:space="0" w:color="auto"/>
        <w:bottom w:val="none" w:sz="0" w:space="0" w:color="auto"/>
        <w:right w:val="none" w:sz="0" w:space="0" w:color="auto"/>
      </w:divBdr>
    </w:div>
    <w:div w:id="852376373">
      <w:bodyDiv w:val="1"/>
      <w:marLeft w:val="0"/>
      <w:marRight w:val="0"/>
      <w:marTop w:val="0"/>
      <w:marBottom w:val="0"/>
      <w:divBdr>
        <w:top w:val="none" w:sz="0" w:space="0" w:color="auto"/>
        <w:left w:val="none" w:sz="0" w:space="0" w:color="auto"/>
        <w:bottom w:val="none" w:sz="0" w:space="0" w:color="auto"/>
        <w:right w:val="none" w:sz="0" w:space="0" w:color="auto"/>
      </w:divBdr>
    </w:div>
    <w:div w:id="884172966">
      <w:bodyDiv w:val="1"/>
      <w:marLeft w:val="0"/>
      <w:marRight w:val="0"/>
      <w:marTop w:val="0"/>
      <w:marBottom w:val="0"/>
      <w:divBdr>
        <w:top w:val="none" w:sz="0" w:space="0" w:color="auto"/>
        <w:left w:val="none" w:sz="0" w:space="0" w:color="auto"/>
        <w:bottom w:val="none" w:sz="0" w:space="0" w:color="auto"/>
        <w:right w:val="none" w:sz="0" w:space="0" w:color="auto"/>
      </w:divBdr>
    </w:div>
    <w:div w:id="938179674">
      <w:bodyDiv w:val="1"/>
      <w:marLeft w:val="0"/>
      <w:marRight w:val="0"/>
      <w:marTop w:val="0"/>
      <w:marBottom w:val="0"/>
      <w:divBdr>
        <w:top w:val="none" w:sz="0" w:space="0" w:color="auto"/>
        <w:left w:val="none" w:sz="0" w:space="0" w:color="auto"/>
        <w:bottom w:val="none" w:sz="0" w:space="0" w:color="auto"/>
        <w:right w:val="none" w:sz="0" w:space="0" w:color="auto"/>
      </w:divBdr>
    </w:div>
    <w:div w:id="996151984">
      <w:bodyDiv w:val="1"/>
      <w:marLeft w:val="0"/>
      <w:marRight w:val="0"/>
      <w:marTop w:val="0"/>
      <w:marBottom w:val="0"/>
      <w:divBdr>
        <w:top w:val="none" w:sz="0" w:space="0" w:color="auto"/>
        <w:left w:val="none" w:sz="0" w:space="0" w:color="auto"/>
        <w:bottom w:val="none" w:sz="0" w:space="0" w:color="auto"/>
        <w:right w:val="none" w:sz="0" w:space="0" w:color="auto"/>
      </w:divBdr>
    </w:div>
    <w:div w:id="1001355722">
      <w:bodyDiv w:val="1"/>
      <w:marLeft w:val="0"/>
      <w:marRight w:val="0"/>
      <w:marTop w:val="0"/>
      <w:marBottom w:val="0"/>
      <w:divBdr>
        <w:top w:val="none" w:sz="0" w:space="0" w:color="auto"/>
        <w:left w:val="none" w:sz="0" w:space="0" w:color="auto"/>
        <w:bottom w:val="none" w:sz="0" w:space="0" w:color="auto"/>
        <w:right w:val="none" w:sz="0" w:space="0" w:color="auto"/>
      </w:divBdr>
    </w:div>
    <w:div w:id="1048919659">
      <w:bodyDiv w:val="1"/>
      <w:marLeft w:val="0"/>
      <w:marRight w:val="0"/>
      <w:marTop w:val="0"/>
      <w:marBottom w:val="0"/>
      <w:divBdr>
        <w:top w:val="none" w:sz="0" w:space="0" w:color="auto"/>
        <w:left w:val="none" w:sz="0" w:space="0" w:color="auto"/>
        <w:bottom w:val="none" w:sz="0" w:space="0" w:color="auto"/>
        <w:right w:val="none" w:sz="0" w:space="0" w:color="auto"/>
      </w:divBdr>
    </w:div>
    <w:div w:id="1177189809">
      <w:bodyDiv w:val="1"/>
      <w:marLeft w:val="0"/>
      <w:marRight w:val="0"/>
      <w:marTop w:val="0"/>
      <w:marBottom w:val="0"/>
      <w:divBdr>
        <w:top w:val="none" w:sz="0" w:space="0" w:color="auto"/>
        <w:left w:val="none" w:sz="0" w:space="0" w:color="auto"/>
        <w:bottom w:val="none" w:sz="0" w:space="0" w:color="auto"/>
        <w:right w:val="none" w:sz="0" w:space="0" w:color="auto"/>
      </w:divBdr>
    </w:div>
    <w:div w:id="1181968912">
      <w:bodyDiv w:val="1"/>
      <w:marLeft w:val="0"/>
      <w:marRight w:val="0"/>
      <w:marTop w:val="0"/>
      <w:marBottom w:val="0"/>
      <w:divBdr>
        <w:top w:val="none" w:sz="0" w:space="0" w:color="auto"/>
        <w:left w:val="none" w:sz="0" w:space="0" w:color="auto"/>
        <w:bottom w:val="none" w:sz="0" w:space="0" w:color="auto"/>
        <w:right w:val="none" w:sz="0" w:space="0" w:color="auto"/>
      </w:divBdr>
    </w:div>
    <w:div w:id="1204444299">
      <w:bodyDiv w:val="1"/>
      <w:marLeft w:val="0"/>
      <w:marRight w:val="0"/>
      <w:marTop w:val="0"/>
      <w:marBottom w:val="0"/>
      <w:divBdr>
        <w:top w:val="none" w:sz="0" w:space="0" w:color="auto"/>
        <w:left w:val="none" w:sz="0" w:space="0" w:color="auto"/>
        <w:bottom w:val="none" w:sz="0" w:space="0" w:color="auto"/>
        <w:right w:val="none" w:sz="0" w:space="0" w:color="auto"/>
      </w:divBdr>
    </w:div>
    <w:div w:id="1231036519">
      <w:bodyDiv w:val="1"/>
      <w:marLeft w:val="0"/>
      <w:marRight w:val="0"/>
      <w:marTop w:val="0"/>
      <w:marBottom w:val="0"/>
      <w:divBdr>
        <w:top w:val="none" w:sz="0" w:space="0" w:color="auto"/>
        <w:left w:val="none" w:sz="0" w:space="0" w:color="auto"/>
        <w:bottom w:val="none" w:sz="0" w:space="0" w:color="auto"/>
        <w:right w:val="none" w:sz="0" w:space="0" w:color="auto"/>
      </w:divBdr>
    </w:div>
    <w:div w:id="1347486770">
      <w:bodyDiv w:val="1"/>
      <w:marLeft w:val="0"/>
      <w:marRight w:val="0"/>
      <w:marTop w:val="0"/>
      <w:marBottom w:val="0"/>
      <w:divBdr>
        <w:top w:val="none" w:sz="0" w:space="0" w:color="auto"/>
        <w:left w:val="none" w:sz="0" w:space="0" w:color="auto"/>
        <w:bottom w:val="none" w:sz="0" w:space="0" w:color="auto"/>
        <w:right w:val="none" w:sz="0" w:space="0" w:color="auto"/>
      </w:divBdr>
      <w:divsChild>
        <w:div w:id="579564373">
          <w:marLeft w:val="0"/>
          <w:marRight w:val="0"/>
          <w:marTop w:val="0"/>
          <w:marBottom w:val="0"/>
          <w:divBdr>
            <w:top w:val="none" w:sz="0" w:space="0" w:color="auto"/>
            <w:left w:val="none" w:sz="0" w:space="0" w:color="auto"/>
            <w:bottom w:val="none" w:sz="0" w:space="0" w:color="auto"/>
            <w:right w:val="none" w:sz="0" w:space="0" w:color="auto"/>
          </w:divBdr>
        </w:div>
        <w:div w:id="918561542">
          <w:marLeft w:val="0"/>
          <w:marRight w:val="0"/>
          <w:marTop w:val="0"/>
          <w:marBottom w:val="0"/>
          <w:divBdr>
            <w:top w:val="none" w:sz="0" w:space="0" w:color="auto"/>
            <w:left w:val="none" w:sz="0" w:space="0" w:color="auto"/>
            <w:bottom w:val="none" w:sz="0" w:space="0" w:color="auto"/>
            <w:right w:val="none" w:sz="0" w:space="0" w:color="auto"/>
          </w:divBdr>
        </w:div>
        <w:div w:id="534119710">
          <w:marLeft w:val="0"/>
          <w:marRight w:val="0"/>
          <w:marTop w:val="0"/>
          <w:marBottom w:val="0"/>
          <w:divBdr>
            <w:top w:val="none" w:sz="0" w:space="0" w:color="auto"/>
            <w:left w:val="none" w:sz="0" w:space="0" w:color="auto"/>
            <w:bottom w:val="none" w:sz="0" w:space="0" w:color="auto"/>
            <w:right w:val="none" w:sz="0" w:space="0" w:color="auto"/>
          </w:divBdr>
        </w:div>
        <w:div w:id="1227490606">
          <w:marLeft w:val="0"/>
          <w:marRight w:val="0"/>
          <w:marTop w:val="0"/>
          <w:marBottom w:val="0"/>
          <w:divBdr>
            <w:top w:val="none" w:sz="0" w:space="0" w:color="auto"/>
            <w:left w:val="none" w:sz="0" w:space="0" w:color="auto"/>
            <w:bottom w:val="none" w:sz="0" w:space="0" w:color="auto"/>
            <w:right w:val="none" w:sz="0" w:space="0" w:color="auto"/>
          </w:divBdr>
        </w:div>
        <w:div w:id="1327512818">
          <w:marLeft w:val="0"/>
          <w:marRight w:val="0"/>
          <w:marTop w:val="0"/>
          <w:marBottom w:val="0"/>
          <w:divBdr>
            <w:top w:val="none" w:sz="0" w:space="0" w:color="auto"/>
            <w:left w:val="none" w:sz="0" w:space="0" w:color="auto"/>
            <w:bottom w:val="none" w:sz="0" w:space="0" w:color="auto"/>
            <w:right w:val="none" w:sz="0" w:space="0" w:color="auto"/>
          </w:divBdr>
        </w:div>
        <w:div w:id="941574301">
          <w:marLeft w:val="0"/>
          <w:marRight w:val="0"/>
          <w:marTop w:val="0"/>
          <w:marBottom w:val="0"/>
          <w:divBdr>
            <w:top w:val="none" w:sz="0" w:space="0" w:color="auto"/>
            <w:left w:val="none" w:sz="0" w:space="0" w:color="auto"/>
            <w:bottom w:val="none" w:sz="0" w:space="0" w:color="auto"/>
            <w:right w:val="none" w:sz="0" w:space="0" w:color="auto"/>
          </w:divBdr>
        </w:div>
      </w:divsChild>
    </w:div>
    <w:div w:id="1349405993">
      <w:bodyDiv w:val="1"/>
      <w:marLeft w:val="0"/>
      <w:marRight w:val="0"/>
      <w:marTop w:val="0"/>
      <w:marBottom w:val="0"/>
      <w:divBdr>
        <w:top w:val="none" w:sz="0" w:space="0" w:color="auto"/>
        <w:left w:val="none" w:sz="0" w:space="0" w:color="auto"/>
        <w:bottom w:val="none" w:sz="0" w:space="0" w:color="auto"/>
        <w:right w:val="none" w:sz="0" w:space="0" w:color="auto"/>
      </w:divBdr>
    </w:div>
    <w:div w:id="1373767797">
      <w:bodyDiv w:val="1"/>
      <w:marLeft w:val="0"/>
      <w:marRight w:val="0"/>
      <w:marTop w:val="0"/>
      <w:marBottom w:val="0"/>
      <w:divBdr>
        <w:top w:val="none" w:sz="0" w:space="0" w:color="auto"/>
        <w:left w:val="none" w:sz="0" w:space="0" w:color="auto"/>
        <w:bottom w:val="none" w:sz="0" w:space="0" w:color="auto"/>
        <w:right w:val="none" w:sz="0" w:space="0" w:color="auto"/>
      </w:divBdr>
    </w:div>
    <w:div w:id="1409573905">
      <w:bodyDiv w:val="1"/>
      <w:marLeft w:val="0"/>
      <w:marRight w:val="0"/>
      <w:marTop w:val="0"/>
      <w:marBottom w:val="0"/>
      <w:divBdr>
        <w:top w:val="none" w:sz="0" w:space="0" w:color="auto"/>
        <w:left w:val="none" w:sz="0" w:space="0" w:color="auto"/>
        <w:bottom w:val="none" w:sz="0" w:space="0" w:color="auto"/>
        <w:right w:val="none" w:sz="0" w:space="0" w:color="auto"/>
      </w:divBdr>
    </w:div>
    <w:div w:id="1507288848">
      <w:bodyDiv w:val="1"/>
      <w:marLeft w:val="0"/>
      <w:marRight w:val="0"/>
      <w:marTop w:val="0"/>
      <w:marBottom w:val="0"/>
      <w:divBdr>
        <w:top w:val="none" w:sz="0" w:space="0" w:color="auto"/>
        <w:left w:val="none" w:sz="0" w:space="0" w:color="auto"/>
        <w:bottom w:val="none" w:sz="0" w:space="0" w:color="auto"/>
        <w:right w:val="none" w:sz="0" w:space="0" w:color="auto"/>
      </w:divBdr>
    </w:div>
    <w:div w:id="1584411638">
      <w:bodyDiv w:val="1"/>
      <w:marLeft w:val="0"/>
      <w:marRight w:val="0"/>
      <w:marTop w:val="0"/>
      <w:marBottom w:val="0"/>
      <w:divBdr>
        <w:top w:val="none" w:sz="0" w:space="0" w:color="auto"/>
        <w:left w:val="none" w:sz="0" w:space="0" w:color="auto"/>
        <w:bottom w:val="none" w:sz="0" w:space="0" w:color="auto"/>
        <w:right w:val="none" w:sz="0" w:space="0" w:color="auto"/>
      </w:divBdr>
    </w:div>
    <w:div w:id="1592858483">
      <w:bodyDiv w:val="1"/>
      <w:marLeft w:val="0"/>
      <w:marRight w:val="0"/>
      <w:marTop w:val="0"/>
      <w:marBottom w:val="0"/>
      <w:divBdr>
        <w:top w:val="none" w:sz="0" w:space="0" w:color="auto"/>
        <w:left w:val="none" w:sz="0" w:space="0" w:color="auto"/>
        <w:bottom w:val="none" w:sz="0" w:space="0" w:color="auto"/>
        <w:right w:val="none" w:sz="0" w:space="0" w:color="auto"/>
      </w:divBdr>
    </w:div>
    <w:div w:id="1709531570">
      <w:bodyDiv w:val="1"/>
      <w:marLeft w:val="0"/>
      <w:marRight w:val="0"/>
      <w:marTop w:val="0"/>
      <w:marBottom w:val="0"/>
      <w:divBdr>
        <w:top w:val="none" w:sz="0" w:space="0" w:color="auto"/>
        <w:left w:val="none" w:sz="0" w:space="0" w:color="auto"/>
        <w:bottom w:val="none" w:sz="0" w:space="0" w:color="auto"/>
        <w:right w:val="none" w:sz="0" w:space="0" w:color="auto"/>
      </w:divBdr>
    </w:div>
    <w:div w:id="1802654346">
      <w:bodyDiv w:val="1"/>
      <w:marLeft w:val="0"/>
      <w:marRight w:val="0"/>
      <w:marTop w:val="0"/>
      <w:marBottom w:val="0"/>
      <w:divBdr>
        <w:top w:val="none" w:sz="0" w:space="0" w:color="auto"/>
        <w:left w:val="none" w:sz="0" w:space="0" w:color="auto"/>
        <w:bottom w:val="none" w:sz="0" w:space="0" w:color="auto"/>
        <w:right w:val="none" w:sz="0" w:space="0" w:color="auto"/>
      </w:divBdr>
    </w:div>
    <w:div w:id="1814831788">
      <w:bodyDiv w:val="1"/>
      <w:marLeft w:val="0"/>
      <w:marRight w:val="0"/>
      <w:marTop w:val="0"/>
      <w:marBottom w:val="0"/>
      <w:divBdr>
        <w:top w:val="none" w:sz="0" w:space="0" w:color="auto"/>
        <w:left w:val="none" w:sz="0" w:space="0" w:color="auto"/>
        <w:bottom w:val="none" w:sz="0" w:space="0" w:color="auto"/>
        <w:right w:val="none" w:sz="0" w:space="0" w:color="auto"/>
      </w:divBdr>
    </w:div>
    <w:div w:id="1931545367">
      <w:bodyDiv w:val="1"/>
      <w:marLeft w:val="0"/>
      <w:marRight w:val="0"/>
      <w:marTop w:val="0"/>
      <w:marBottom w:val="0"/>
      <w:divBdr>
        <w:top w:val="none" w:sz="0" w:space="0" w:color="auto"/>
        <w:left w:val="none" w:sz="0" w:space="0" w:color="auto"/>
        <w:bottom w:val="none" w:sz="0" w:space="0" w:color="auto"/>
        <w:right w:val="none" w:sz="0" w:space="0" w:color="auto"/>
      </w:divBdr>
    </w:div>
    <w:div w:id="1961567656">
      <w:bodyDiv w:val="1"/>
      <w:marLeft w:val="0"/>
      <w:marRight w:val="0"/>
      <w:marTop w:val="0"/>
      <w:marBottom w:val="0"/>
      <w:divBdr>
        <w:top w:val="none" w:sz="0" w:space="0" w:color="auto"/>
        <w:left w:val="none" w:sz="0" w:space="0" w:color="auto"/>
        <w:bottom w:val="none" w:sz="0" w:space="0" w:color="auto"/>
        <w:right w:val="none" w:sz="0" w:space="0" w:color="auto"/>
      </w:divBdr>
    </w:div>
    <w:div w:id="1974476697">
      <w:bodyDiv w:val="1"/>
      <w:marLeft w:val="0"/>
      <w:marRight w:val="0"/>
      <w:marTop w:val="0"/>
      <w:marBottom w:val="0"/>
      <w:divBdr>
        <w:top w:val="none" w:sz="0" w:space="0" w:color="auto"/>
        <w:left w:val="none" w:sz="0" w:space="0" w:color="auto"/>
        <w:bottom w:val="none" w:sz="0" w:space="0" w:color="auto"/>
        <w:right w:val="none" w:sz="0" w:space="0" w:color="auto"/>
      </w:divBdr>
    </w:div>
    <w:div w:id="198122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0C9F-6E69-49BB-A32F-FEBBB584A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2151</Words>
  <Characters>12697</Characters>
  <Application>Microsoft Office Word</Application>
  <DocSecurity>0</DocSecurity>
  <Lines>105</Lines>
  <Paragraphs>29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Kuba</dc:creator>
  <cp:lastModifiedBy>Jakub Machytka</cp:lastModifiedBy>
  <cp:revision>8</cp:revision>
  <dcterms:created xsi:type="dcterms:W3CDTF">2024-05-28T08:25:00Z</dcterms:created>
  <dcterms:modified xsi:type="dcterms:W3CDTF">2024-06-25T13:03:00Z</dcterms:modified>
</cp:coreProperties>
</file>