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FBC" w:rsidRPr="0075122C" w:rsidRDefault="003C6FBC" w:rsidP="00435DCC">
      <w:pPr>
        <w:pStyle w:val="Nzev"/>
        <w:spacing w:before="120"/>
        <w:jc w:val="both"/>
        <w:rPr>
          <w:rFonts w:asciiTheme="minorHAnsi" w:hAnsiTheme="minorHAnsi" w:cstheme="minorHAnsi"/>
        </w:rPr>
      </w:pPr>
      <w:r w:rsidRPr="0075122C">
        <w:rPr>
          <w:rFonts w:asciiTheme="minorHAnsi" w:hAnsiTheme="minorHAnsi" w:cstheme="minorHAnsi"/>
        </w:rPr>
        <w:t>Přehled navrhovaných a prováděných opatření za účelem zkvalitnění vzdělávání a zlepšení řízení vzdělávací soustavy v ČR</w:t>
      </w:r>
    </w:p>
    <w:p w:rsidR="003C6FBC" w:rsidRPr="0075122C" w:rsidRDefault="003C6FBC" w:rsidP="00435DCC">
      <w:pPr>
        <w:pStyle w:val="Podtitul"/>
        <w:spacing w:before="120" w:after="0" w:line="240" w:lineRule="auto"/>
        <w:jc w:val="both"/>
        <w:rPr>
          <w:rFonts w:cstheme="minorHAnsi"/>
        </w:rPr>
      </w:pPr>
      <w:r w:rsidRPr="0075122C">
        <w:rPr>
          <w:rFonts w:cstheme="minorHAnsi"/>
        </w:rPr>
        <w:t xml:space="preserve">Podklad pro jednání Rady </w:t>
      </w:r>
      <w:r w:rsidR="000D4AF8" w:rsidRPr="0075122C">
        <w:rPr>
          <w:rFonts w:cstheme="minorHAnsi"/>
        </w:rPr>
        <w:t>hospodářské a sociální dohody</w:t>
      </w:r>
    </w:p>
    <w:p w:rsidR="009C70F8" w:rsidRPr="0075122C" w:rsidRDefault="009C70F8" w:rsidP="00435DCC">
      <w:pPr>
        <w:spacing w:before="120" w:after="0" w:line="240" w:lineRule="auto"/>
        <w:jc w:val="both"/>
        <w:rPr>
          <w:rFonts w:cstheme="minorHAnsi"/>
        </w:rPr>
      </w:pPr>
      <w:r w:rsidRPr="0075122C">
        <w:rPr>
          <w:rFonts w:cstheme="minorHAnsi"/>
        </w:rPr>
        <w:t xml:space="preserve">Předkládaný materiál shrnuje </w:t>
      </w:r>
      <w:r w:rsidR="00933C91" w:rsidRPr="0075122C">
        <w:rPr>
          <w:rFonts w:cstheme="minorHAnsi"/>
        </w:rPr>
        <w:t xml:space="preserve">hlavní </w:t>
      </w:r>
      <w:r w:rsidRPr="0075122C">
        <w:rPr>
          <w:rFonts w:cstheme="minorHAnsi"/>
        </w:rPr>
        <w:t>opatření navrhovaná a realizovaná současnou vládou ČR</w:t>
      </w:r>
      <w:r w:rsidR="00F41D89" w:rsidRPr="0075122C">
        <w:rPr>
          <w:rFonts w:cstheme="minorHAnsi"/>
        </w:rPr>
        <w:t xml:space="preserve"> v oblasti vzdělávací politiky</w:t>
      </w:r>
      <w:r w:rsidRPr="0075122C">
        <w:rPr>
          <w:rFonts w:cstheme="minorHAnsi"/>
        </w:rPr>
        <w:t xml:space="preserve">. Opatření vycházejí, jak z programového prohlášení vlády, tak i z dlouhodobých strategických materiálů (Strategie </w:t>
      </w:r>
      <w:r w:rsidR="00156045" w:rsidRPr="0075122C">
        <w:rPr>
          <w:rFonts w:cstheme="minorHAnsi"/>
        </w:rPr>
        <w:t>vzdělávací politiky ČR do roku</w:t>
      </w:r>
      <w:r w:rsidR="00B36C96">
        <w:rPr>
          <w:rFonts w:cstheme="minorHAnsi"/>
        </w:rPr>
        <w:t xml:space="preserve"> 2020</w:t>
      </w:r>
      <w:r w:rsidRPr="0075122C">
        <w:rPr>
          <w:rFonts w:cstheme="minorHAnsi"/>
        </w:rPr>
        <w:t>, Dlouhodobý záměr</w:t>
      </w:r>
      <w:r w:rsidR="00156045" w:rsidRPr="0075122C">
        <w:rPr>
          <w:rFonts w:cstheme="minorHAnsi"/>
        </w:rPr>
        <w:t xml:space="preserve"> vzdělávání a rozvoje vzdělávací soustavy České republiky 2019–2023</w:t>
      </w:r>
      <w:r w:rsidRPr="0075122C">
        <w:rPr>
          <w:rFonts w:cstheme="minorHAnsi"/>
        </w:rPr>
        <w:t>) a v neposlední řadě reagují na průběžná šetření relevantních institucí (ČŠI, CZVV, MŠMT).</w:t>
      </w:r>
    </w:p>
    <w:p w:rsidR="00EF5F6E" w:rsidRPr="0075122C" w:rsidRDefault="00EF5F6E" w:rsidP="00435DCC">
      <w:pPr>
        <w:spacing w:before="120" w:after="0" w:line="240" w:lineRule="auto"/>
        <w:jc w:val="both"/>
        <w:rPr>
          <w:rFonts w:cstheme="minorHAnsi"/>
        </w:rPr>
      </w:pPr>
      <w:r w:rsidRPr="0075122C">
        <w:rPr>
          <w:rFonts w:cstheme="minorHAnsi"/>
        </w:rPr>
        <w:t>Ministerstvo školství, mládeže a tělovýchovy</w:t>
      </w:r>
      <w:r w:rsidR="00156045" w:rsidRPr="0075122C">
        <w:rPr>
          <w:rFonts w:cstheme="minorHAnsi"/>
        </w:rPr>
        <w:t xml:space="preserve"> (dále jen MŠMT)</w:t>
      </w:r>
      <w:r w:rsidRPr="0075122C">
        <w:rPr>
          <w:rFonts w:cstheme="minorHAnsi"/>
        </w:rPr>
        <w:t xml:space="preserve"> zároveň </w:t>
      </w:r>
      <w:r w:rsidR="00156045" w:rsidRPr="0075122C">
        <w:rPr>
          <w:rFonts w:cstheme="minorHAnsi"/>
        </w:rPr>
        <w:t>věnuje velké úsilí přípravě nového dlouhodobého Strategického dokumentu - Strategii vzdělávací politiky ČR do roku 2030+ (viz níže), který by měl sloužit pro realizaci státní politiky v oblasti vzdělávání v následujících letech.</w:t>
      </w:r>
    </w:p>
    <w:sdt>
      <w:sdtPr>
        <w:rPr>
          <w:rFonts w:cstheme="minorHAnsi"/>
        </w:rPr>
        <w:id w:val="187729577"/>
        <w:docPartObj>
          <w:docPartGallery w:val="Table of Contents"/>
          <w:docPartUnique/>
        </w:docPartObj>
      </w:sdtPr>
      <w:sdtEndPr>
        <w:rPr>
          <w:b/>
          <w:bCs/>
        </w:rPr>
      </w:sdtEndPr>
      <w:sdtContent>
        <w:p w:rsidR="009C70F8" w:rsidRPr="0075122C" w:rsidRDefault="009C70F8" w:rsidP="00435DCC">
          <w:pPr>
            <w:spacing w:before="120" w:after="0" w:line="240" w:lineRule="auto"/>
            <w:jc w:val="both"/>
            <w:rPr>
              <w:rFonts w:cstheme="minorHAnsi"/>
              <w:lang w:eastAsia="cs-CZ"/>
            </w:rPr>
          </w:pPr>
        </w:p>
        <w:p w:rsidR="00355A5B" w:rsidRDefault="009C70F8">
          <w:pPr>
            <w:pStyle w:val="Obsah1"/>
            <w:tabs>
              <w:tab w:val="left" w:pos="440"/>
              <w:tab w:val="right" w:leader="dot" w:pos="9062"/>
            </w:tabs>
            <w:rPr>
              <w:rFonts w:eastAsiaTheme="minorEastAsia"/>
              <w:noProof/>
              <w:lang w:eastAsia="cs-CZ"/>
            </w:rPr>
          </w:pPr>
          <w:r w:rsidRPr="0075122C">
            <w:rPr>
              <w:rFonts w:cstheme="minorHAnsi"/>
              <w:b/>
              <w:bCs/>
            </w:rPr>
            <w:fldChar w:fldCharType="begin"/>
          </w:r>
          <w:r w:rsidRPr="0075122C">
            <w:rPr>
              <w:rFonts w:cstheme="minorHAnsi"/>
              <w:b/>
              <w:bCs/>
            </w:rPr>
            <w:instrText xml:space="preserve"> TOC \o "1-3" \h \z \u </w:instrText>
          </w:r>
          <w:r w:rsidRPr="0075122C">
            <w:rPr>
              <w:rFonts w:cstheme="minorHAnsi"/>
              <w:b/>
              <w:bCs/>
            </w:rPr>
            <w:fldChar w:fldCharType="separate"/>
          </w:r>
          <w:hyperlink w:anchor="_Toc22921507" w:history="1">
            <w:r w:rsidR="00355A5B" w:rsidRPr="00887EBB">
              <w:rPr>
                <w:rStyle w:val="Hypertextovodkaz"/>
                <w:rFonts w:eastAsiaTheme="majorEastAsia" w:cstheme="minorHAnsi"/>
                <w:noProof/>
              </w:rPr>
              <w:t>I.</w:t>
            </w:r>
            <w:r w:rsidR="00355A5B">
              <w:rPr>
                <w:rFonts w:eastAsiaTheme="minorEastAsia"/>
                <w:noProof/>
                <w:lang w:eastAsia="cs-CZ"/>
              </w:rPr>
              <w:tab/>
            </w:r>
            <w:r w:rsidR="00355A5B" w:rsidRPr="00887EBB">
              <w:rPr>
                <w:rStyle w:val="Hypertextovodkaz"/>
                <w:rFonts w:eastAsiaTheme="majorEastAsia" w:cstheme="minorHAnsi"/>
                <w:noProof/>
              </w:rPr>
              <w:t>Příprava Strategie vzdělávací politiky ČR do roku 2030+</w:t>
            </w:r>
            <w:r w:rsidR="00355A5B">
              <w:rPr>
                <w:noProof/>
                <w:webHidden/>
              </w:rPr>
              <w:tab/>
            </w:r>
            <w:r w:rsidR="00355A5B">
              <w:rPr>
                <w:noProof/>
                <w:webHidden/>
              </w:rPr>
              <w:fldChar w:fldCharType="begin"/>
            </w:r>
            <w:r w:rsidR="00355A5B">
              <w:rPr>
                <w:noProof/>
                <w:webHidden/>
              </w:rPr>
              <w:instrText xml:space="preserve"> PAGEREF _Toc22921507 \h </w:instrText>
            </w:r>
            <w:r w:rsidR="00355A5B">
              <w:rPr>
                <w:noProof/>
                <w:webHidden/>
              </w:rPr>
            </w:r>
            <w:r w:rsidR="00355A5B">
              <w:rPr>
                <w:noProof/>
                <w:webHidden/>
              </w:rPr>
              <w:fldChar w:fldCharType="separate"/>
            </w:r>
            <w:r w:rsidR="00355A5B">
              <w:rPr>
                <w:noProof/>
                <w:webHidden/>
              </w:rPr>
              <w:t>2</w:t>
            </w:r>
            <w:r w:rsidR="00355A5B">
              <w:rPr>
                <w:noProof/>
                <w:webHidden/>
              </w:rPr>
              <w:fldChar w:fldCharType="end"/>
            </w:r>
          </w:hyperlink>
        </w:p>
        <w:p w:rsidR="00355A5B" w:rsidRDefault="0045422E">
          <w:pPr>
            <w:pStyle w:val="Obsah1"/>
            <w:tabs>
              <w:tab w:val="left" w:pos="440"/>
              <w:tab w:val="right" w:leader="dot" w:pos="9062"/>
            </w:tabs>
            <w:rPr>
              <w:rFonts w:eastAsiaTheme="minorEastAsia"/>
              <w:noProof/>
              <w:lang w:eastAsia="cs-CZ"/>
            </w:rPr>
          </w:pPr>
          <w:hyperlink w:anchor="_Toc22921508" w:history="1">
            <w:r w:rsidR="00355A5B" w:rsidRPr="00887EBB">
              <w:rPr>
                <w:rStyle w:val="Hypertextovodkaz"/>
                <w:rFonts w:cstheme="minorHAnsi"/>
                <w:noProof/>
              </w:rPr>
              <w:t>II.</w:t>
            </w:r>
            <w:r w:rsidR="00355A5B">
              <w:rPr>
                <w:rFonts w:eastAsiaTheme="minorEastAsia"/>
                <w:noProof/>
                <w:lang w:eastAsia="cs-CZ"/>
              </w:rPr>
              <w:tab/>
            </w:r>
            <w:r w:rsidR="00355A5B" w:rsidRPr="00887EBB">
              <w:rPr>
                <w:rStyle w:val="Hypertextovodkaz"/>
                <w:rFonts w:cstheme="minorHAnsi"/>
                <w:noProof/>
              </w:rPr>
              <w:t>Řízení vzdělávací soustavy</w:t>
            </w:r>
            <w:r w:rsidR="00355A5B">
              <w:rPr>
                <w:noProof/>
                <w:webHidden/>
              </w:rPr>
              <w:tab/>
            </w:r>
            <w:r w:rsidR="00355A5B">
              <w:rPr>
                <w:noProof/>
                <w:webHidden/>
              </w:rPr>
              <w:fldChar w:fldCharType="begin"/>
            </w:r>
            <w:r w:rsidR="00355A5B">
              <w:rPr>
                <w:noProof/>
                <w:webHidden/>
              </w:rPr>
              <w:instrText xml:space="preserve"> PAGEREF _Toc22921508 \h </w:instrText>
            </w:r>
            <w:r w:rsidR="00355A5B">
              <w:rPr>
                <w:noProof/>
                <w:webHidden/>
              </w:rPr>
            </w:r>
            <w:r w:rsidR="00355A5B">
              <w:rPr>
                <w:noProof/>
                <w:webHidden/>
              </w:rPr>
              <w:fldChar w:fldCharType="separate"/>
            </w:r>
            <w:r w:rsidR="00355A5B">
              <w:rPr>
                <w:noProof/>
                <w:webHidden/>
              </w:rPr>
              <w:t>4</w:t>
            </w:r>
            <w:r w:rsidR="00355A5B">
              <w:rPr>
                <w:noProof/>
                <w:webHidden/>
              </w:rPr>
              <w:fldChar w:fldCharType="end"/>
            </w:r>
          </w:hyperlink>
        </w:p>
        <w:p w:rsidR="00355A5B" w:rsidRDefault="0045422E">
          <w:pPr>
            <w:pStyle w:val="Obsah2"/>
            <w:tabs>
              <w:tab w:val="left" w:pos="660"/>
              <w:tab w:val="right" w:leader="dot" w:pos="9062"/>
            </w:tabs>
            <w:rPr>
              <w:rFonts w:eastAsiaTheme="minorEastAsia"/>
              <w:noProof/>
              <w:lang w:eastAsia="cs-CZ"/>
            </w:rPr>
          </w:pPr>
          <w:hyperlink w:anchor="_Toc22921509" w:history="1">
            <w:r w:rsidR="00355A5B" w:rsidRPr="00887EBB">
              <w:rPr>
                <w:rStyle w:val="Hypertextovodkaz"/>
                <w:rFonts w:cstheme="minorHAnsi"/>
                <w:noProof/>
              </w:rPr>
              <w:t>1.</w:t>
            </w:r>
            <w:r w:rsidR="00355A5B">
              <w:rPr>
                <w:rFonts w:eastAsiaTheme="minorEastAsia"/>
                <w:noProof/>
                <w:lang w:eastAsia="cs-CZ"/>
              </w:rPr>
              <w:tab/>
            </w:r>
            <w:r w:rsidR="00355A5B" w:rsidRPr="00887EBB">
              <w:rPr>
                <w:rStyle w:val="Hypertextovodkaz"/>
                <w:rFonts w:cstheme="minorHAnsi"/>
                <w:noProof/>
              </w:rPr>
              <w:t>Dlouhodobý záměr vzdělávání a rozvoje vzdělávací soustavy České republiky 2019–2023</w:t>
            </w:r>
            <w:r w:rsidR="00355A5B">
              <w:rPr>
                <w:noProof/>
                <w:webHidden/>
              </w:rPr>
              <w:tab/>
            </w:r>
            <w:r w:rsidR="00355A5B">
              <w:rPr>
                <w:noProof/>
                <w:webHidden/>
              </w:rPr>
              <w:fldChar w:fldCharType="begin"/>
            </w:r>
            <w:r w:rsidR="00355A5B">
              <w:rPr>
                <w:noProof/>
                <w:webHidden/>
              </w:rPr>
              <w:instrText xml:space="preserve"> PAGEREF _Toc22921509 \h </w:instrText>
            </w:r>
            <w:r w:rsidR="00355A5B">
              <w:rPr>
                <w:noProof/>
                <w:webHidden/>
              </w:rPr>
            </w:r>
            <w:r w:rsidR="00355A5B">
              <w:rPr>
                <w:noProof/>
                <w:webHidden/>
              </w:rPr>
              <w:fldChar w:fldCharType="separate"/>
            </w:r>
            <w:r w:rsidR="00355A5B">
              <w:rPr>
                <w:noProof/>
                <w:webHidden/>
              </w:rPr>
              <w:t>4</w:t>
            </w:r>
            <w:r w:rsidR="00355A5B">
              <w:rPr>
                <w:noProof/>
                <w:webHidden/>
              </w:rPr>
              <w:fldChar w:fldCharType="end"/>
            </w:r>
          </w:hyperlink>
        </w:p>
        <w:p w:rsidR="00355A5B" w:rsidRDefault="0045422E">
          <w:pPr>
            <w:pStyle w:val="Obsah2"/>
            <w:tabs>
              <w:tab w:val="left" w:pos="660"/>
              <w:tab w:val="right" w:leader="dot" w:pos="9062"/>
            </w:tabs>
            <w:rPr>
              <w:rFonts w:eastAsiaTheme="minorEastAsia"/>
              <w:noProof/>
              <w:lang w:eastAsia="cs-CZ"/>
            </w:rPr>
          </w:pPr>
          <w:hyperlink w:anchor="_Toc22921510" w:history="1">
            <w:r w:rsidR="00355A5B" w:rsidRPr="00887EBB">
              <w:rPr>
                <w:rStyle w:val="Hypertextovodkaz"/>
                <w:rFonts w:cstheme="minorHAnsi"/>
                <w:noProof/>
              </w:rPr>
              <w:t>2.</w:t>
            </w:r>
            <w:r w:rsidR="00355A5B">
              <w:rPr>
                <w:rFonts w:eastAsiaTheme="minorEastAsia"/>
                <w:noProof/>
                <w:lang w:eastAsia="cs-CZ"/>
              </w:rPr>
              <w:tab/>
            </w:r>
            <w:r w:rsidR="00355A5B" w:rsidRPr="00887EBB">
              <w:rPr>
                <w:rStyle w:val="Hypertextovodkaz"/>
                <w:rFonts w:cstheme="minorHAnsi"/>
                <w:noProof/>
              </w:rPr>
              <w:t>Implementace reformy financování regionálního školství</w:t>
            </w:r>
            <w:r w:rsidR="00355A5B">
              <w:rPr>
                <w:noProof/>
                <w:webHidden/>
              </w:rPr>
              <w:tab/>
            </w:r>
            <w:r w:rsidR="00355A5B">
              <w:rPr>
                <w:noProof/>
                <w:webHidden/>
              </w:rPr>
              <w:fldChar w:fldCharType="begin"/>
            </w:r>
            <w:r w:rsidR="00355A5B">
              <w:rPr>
                <w:noProof/>
                <w:webHidden/>
              </w:rPr>
              <w:instrText xml:space="preserve"> PAGEREF _Toc22921510 \h </w:instrText>
            </w:r>
            <w:r w:rsidR="00355A5B">
              <w:rPr>
                <w:noProof/>
                <w:webHidden/>
              </w:rPr>
            </w:r>
            <w:r w:rsidR="00355A5B">
              <w:rPr>
                <w:noProof/>
                <w:webHidden/>
              </w:rPr>
              <w:fldChar w:fldCharType="separate"/>
            </w:r>
            <w:r w:rsidR="00355A5B">
              <w:rPr>
                <w:noProof/>
                <w:webHidden/>
              </w:rPr>
              <w:t>5</w:t>
            </w:r>
            <w:r w:rsidR="00355A5B">
              <w:rPr>
                <w:noProof/>
                <w:webHidden/>
              </w:rPr>
              <w:fldChar w:fldCharType="end"/>
            </w:r>
          </w:hyperlink>
        </w:p>
        <w:p w:rsidR="00355A5B" w:rsidRDefault="0045422E">
          <w:pPr>
            <w:pStyle w:val="Obsah1"/>
            <w:tabs>
              <w:tab w:val="left" w:pos="660"/>
              <w:tab w:val="right" w:leader="dot" w:pos="9062"/>
            </w:tabs>
            <w:rPr>
              <w:rFonts w:eastAsiaTheme="minorEastAsia"/>
              <w:noProof/>
              <w:lang w:eastAsia="cs-CZ"/>
            </w:rPr>
          </w:pPr>
          <w:hyperlink w:anchor="_Toc22921511" w:history="1">
            <w:r w:rsidR="00355A5B" w:rsidRPr="00887EBB">
              <w:rPr>
                <w:rStyle w:val="Hypertextovodkaz"/>
                <w:rFonts w:cstheme="minorHAnsi"/>
                <w:noProof/>
              </w:rPr>
              <w:t>III.</w:t>
            </w:r>
            <w:r w:rsidR="00355A5B">
              <w:rPr>
                <w:rFonts w:eastAsiaTheme="minorEastAsia"/>
                <w:noProof/>
                <w:lang w:eastAsia="cs-CZ"/>
              </w:rPr>
              <w:tab/>
            </w:r>
            <w:r w:rsidR="00355A5B" w:rsidRPr="00887EBB">
              <w:rPr>
                <w:rStyle w:val="Hypertextovodkaz"/>
                <w:rFonts w:cstheme="minorHAnsi"/>
                <w:noProof/>
              </w:rPr>
              <w:t>Revize obsahu vzdělávání</w:t>
            </w:r>
            <w:r w:rsidR="00355A5B">
              <w:rPr>
                <w:noProof/>
                <w:webHidden/>
              </w:rPr>
              <w:tab/>
            </w:r>
            <w:r w:rsidR="00355A5B">
              <w:rPr>
                <w:noProof/>
                <w:webHidden/>
              </w:rPr>
              <w:fldChar w:fldCharType="begin"/>
            </w:r>
            <w:r w:rsidR="00355A5B">
              <w:rPr>
                <w:noProof/>
                <w:webHidden/>
              </w:rPr>
              <w:instrText xml:space="preserve"> PAGEREF _Toc22921511 \h </w:instrText>
            </w:r>
            <w:r w:rsidR="00355A5B">
              <w:rPr>
                <w:noProof/>
                <w:webHidden/>
              </w:rPr>
            </w:r>
            <w:r w:rsidR="00355A5B">
              <w:rPr>
                <w:noProof/>
                <w:webHidden/>
              </w:rPr>
              <w:fldChar w:fldCharType="separate"/>
            </w:r>
            <w:r w:rsidR="00355A5B">
              <w:rPr>
                <w:noProof/>
                <w:webHidden/>
              </w:rPr>
              <w:t>7</w:t>
            </w:r>
            <w:r w:rsidR="00355A5B">
              <w:rPr>
                <w:noProof/>
                <w:webHidden/>
              </w:rPr>
              <w:fldChar w:fldCharType="end"/>
            </w:r>
          </w:hyperlink>
        </w:p>
        <w:p w:rsidR="00355A5B" w:rsidRDefault="0045422E">
          <w:pPr>
            <w:pStyle w:val="Obsah2"/>
            <w:tabs>
              <w:tab w:val="left" w:pos="660"/>
              <w:tab w:val="right" w:leader="dot" w:pos="9062"/>
            </w:tabs>
            <w:rPr>
              <w:rFonts w:eastAsiaTheme="minorEastAsia"/>
              <w:noProof/>
              <w:lang w:eastAsia="cs-CZ"/>
            </w:rPr>
          </w:pPr>
          <w:hyperlink w:anchor="_Toc22921512" w:history="1">
            <w:r w:rsidR="00355A5B" w:rsidRPr="00887EBB">
              <w:rPr>
                <w:rStyle w:val="Hypertextovodkaz"/>
                <w:rFonts w:cstheme="minorHAnsi"/>
                <w:noProof/>
              </w:rPr>
              <w:t>1.</w:t>
            </w:r>
            <w:r w:rsidR="00355A5B">
              <w:rPr>
                <w:rFonts w:eastAsiaTheme="minorEastAsia"/>
                <w:noProof/>
                <w:lang w:eastAsia="cs-CZ"/>
              </w:rPr>
              <w:tab/>
            </w:r>
            <w:r w:rsidR="00355A5B" w:rsidRPr="00887EBB">
              <w:rPr>
                <w:rStyle w:val="Hypertextovodkaz"/>
                <w:rFonts w:cstheme="minorHAnsi"/>
                <w:noProof/>
              </w:rPr>
              <w:t>Revize rámcových vzdělávacích programů (RVP)</w:t>
            </w:r>
            <w:r w:rsidR="00355A5B">
              <w:rPr>
                <w:noProof/>
                <w:webHidden/>
              </w:rPr>
              <w:tab/>
            </w:r>
            <w:r w:rsidR="00355A5B">
              <w:rPr>
                <w:noProof/>
                <w:webHidden/>
              </w:rPr>
              <w:fldChar w:fldCharType="begin"/>
            </w:r>
            <w:r w:rsidR="00355A5B">
              <w:rPr>
                <w:noProof/>
                <w:webHidden/>
              </w:rPr>
              <w:instrText xml:space="preserve"> PAGEREF _Toc22921512 \h </w:instrText>
            </w:r>
            <w:r w:rsidR="00355A5B">
              <w:rPr>
                <w:noProof/>
                <w:webHidden/>
              </w:rPr>
            </w:r>
            <w:r w:rsidR="00355A5B">
              <w:rPr>
                <w:noProof/>
                <w:webHidden/>
              </w:rPr>
              <w:fldChar w:fldCharType="separate"/>
            </w:r>
            <w:r w:rsidR="00355A5B">
              <w:rPr>
                <w:noProof/>
                <w:webHidden/>
              </w:rPr>
              <w:t>7</w:t>
            </w:r>
            <w:r w:rsidR="00355A5B">
              <w:rPr>
                <w:noProof/>
                <w:webHidden/>
              </w:rPr>
              <w:fldChar w:fldCharType="end"/>
            </w:r>
          </w:hyperlink>
        </w:p>
        <w:p w:rsidR="00355A5B" w:rsidRDefault="0045422E">
          <w:pPr>
            <w:pStyle w:val="Obsah2"/>
            <w:tabs>
              <w:tab w:val="left" w:pos="660"/>
              <w:tab w:val="right" w:leader="dot" w:pos="9062"/>
            </w:tabs>
            <w:rPr>
              <w:rFonts w:eastAsiaTheme="minorEastAsia"/>
              <w:noProof/>
              <w:lang w:eastAsia="cs-CZ"/>
            </w:rPr>
          </w:pPr>
          <w:hyperlink w:anchor="_Toc22921513" w:history="1">
            <w:r w:rsidR="00355A5B" w:rsidRPr="00887EBB">
              <w:rPr>
                <w:rStyle w:val="Hypertextovodkaz"/>
                <w:rFonts w:cstheme="minorHAnsi"/>
                <w:noProof/>
              </w:rPr>
              <w:t>2.</w:t>
            </w:r>
            <w:r w:rsidR="00355A5B">
              <w:rPr>
                <w:rFonts w:eastAsiaTheme="minorEastAsia"/>
                <w:noProof/>
                <w:lang w:eastAsia="cs-CZ"/>
              </w:rPr>
              <w:tab/>
            </w:r>
            <w:r w:rsidR="00355A5B" w:rsidRPr="00887EBB">
              <w:rPr>
                <w:rStyle w:val="Hypertextovodkaz"/>
                <w:rFonts w:cstheme="minorHAnsi"/>
                <w:noProof/>
              </w:rPr>
              <w:t>Pokusné ověřování v oblasti ICT</w:t>
            </w:r>
            <w:r w:rsidR="00355A5B">
              <w:rPr>
                <w:noProof/>
                <w:webHidden/>
              </w:rPr>
              <w:tab/>
            </w:r>
            <w:r w:rsidR="00355A5B">
              <w:rPr>
                <w:noProof/>
                <w:webHidden/>
              </w:rPr>
              <w:fldChar w:fldCharType="begin"/>
            </w:r>
            <w:r w:rsidR="00355A5B">
              <w:rPr>
                <w:noProof/>
                <w:webHidden/>
              </w:rPr>
              <w:instrText xml:space="preserve"> PAGEREF _Toc22921513 \h </w:instrText>
            </w:r>
            <w:r w:rsidR="00355A5B">
              <w:rPr>
                <w:noProof/>
                <w:webHidden/>
              </w:rPr>
            </w:r>
            <w:r w:rsidR="00355A5B">
              <w:rPr>
                <w:noProof/>
                <w:webHidden/>
              </w:rPr>
              <w:fldChar w:fldCharType="separate"/>
            </w:r>
            <w:r w:rsidR="00355A5B">
              <w:rPr>
                <w:noProof/>
                <w:webHidden/>
              </w:rPr>
              <w:t>8</w:t>
            </w:r>
            <w:r w:rsidR="00355A5B">
              <w:rPr>
                <w:noProof/>
                <w:webHidden/>
              </w:rPr>
              <w:fldChar w:fldCharType="end"/>
            </w:r>
          </w:hyperlink>
        </w:p>
        <w:p w:rsidR="00355A5B" w:rsidRDefault="0045422E">
          <w:pPr>
            <w:pStyle w:val="Obsah2"/>
            <w:tabs>
              <w:tab w:val="left" w:pos="660"/>
              <w:tab w:val="right" w:leader="dot" w:pos="9062"/>
            </w:tabs>
            <w:rPr>
              <w:rFonts w:eastAsiaTheme="minorEastAsia"/>
              <w:noProof/>
              <w:lang w:eastAsia="cs-CZ"/>
            </w:rPr>
          </w:pPr>
          <w:hyperlink w:anchor="_Toc22921514" w:history="1">
            <w:r w:rsidR="00355A5B" w:rsidRPr="00887EBB">
              <w:rPr>
                <w:rStyle w:val="Hypertextovodkaz"/>
                <w:rFonts w:cstheme="minorHAnsi"/>
                <w:noProof/>
              </w:rPr>
              <w:t>3.</w:t>
            </w:r>
            <w:r w:rsidR="00355A5B">
              <w:rPr>
                <w:rFonts w:eastAsiaTheme="minorEastAsia"/>
                <w:noProof/>
                <w:lang w:eastAsia="cs-CZ"/>
              </w:rPr>
              <w:tab/>
            </w:r>
            <w:r w:rsidR="00355A5B" w:rsidRPr="00887EBB">
              <w:rPr>
                <w:rStyle w:val="Hypertextovodkaz"/>
                <w:rFonts w:cstheme="minorHAnsi"/>
                <w:noProof/>
              </w:rPr>
              <w:t>ESF výzvy na zaměřené na oblast digitálních kompetencí;</w:t>
            </w:r>
            <w:r w:rsidR="00355A5B">
              <w:rPr>
                <w:noProof/>
                <w:webHidden/>
              </w:rPr>
              <w:tab/>
            </w:r>
            <w:r w:rsidR="00355A5B">
              <w:rPr>
                <w:noProof/>
                <w:webHidden/>
              </w:rPr>
              <w:fldChar w:fldCharType="begin"/>
            </w:r>
            <w:r w:rsidR="00355A5B">
              <w:rPr>
                <w:noProof/>
                <w:webHidden/>
              </w:rPr>
              <w:instrText xml:space="preserve"> PAGEREF _Toc22921514 \h </w:instrText>
            </w:r>
            <w:r w:rsidR="00355A5B">
              <w:rPr>
                <w:noProof/>
                <w:webHidden/>
              </w:rPr>
            </w:r>
            <w:r w:rsidR="00355A5B">
              <w:rPr>
                <w:noProof/>
                <w:webHidden/>
              </w:rPr>
              <w:fldChar w:fldCharType="separate"/>
            </w:r>
            <w:r w:rsidR="00355A5B">
              <w:rPr>
                <w:noProof/>
                <w:webHidden/>
              </w:rPr>
              <w:t>8</w:t>
            </w:r>
            <w:r w:rsidR="00355A5B">
              <w:rPr>
                <w:noProof/>
                <w:webHidden/>
              </w:rPr>
              <w:fldChar w:fldCharType="end"/>
            </w:r>
          </w:hyperlink>
        </w:p>
        <w:p w:rsidR="00355A5B" w:rsidRDefault="0045422E">
          <w:pPr>
            <w:pStyle w:val="Obsah2"/>
            <w:tabs>
              <w:tab w:val="left" w:pos="660"/>
              <w:tab w:val="right" w:leader="dot" w:pos="9062"/>
            </w:tabs>
            <w:rPr>
              <w:rFonts w:eastAsiaTheme="minorEastAsia"/>
              <w:noProof/>
              <w:lang w:eastAsia="cs-CZ"/>
            </w:rPr>
          </w:pPr>
          <w:hyperlink w:anchor="_Toc22921515" w:history="1">
            <w:r w:rsidR="00355A5B" w:rsidRPr="00887EBB">
              <w:rPr>
                <w:rStyle w:val="Hypertextovodkaz"/>
                <w:rFonts w:cstheme="minorHAnsi"/>
                <w:noProof/>
              </w:rPr>
              <w:t>4.</w:t>
            </w:r>
            <w:r w:rsidR="00355A5B">
              <w:rPr>
                <w:rFonts w:eastAsiaTheme="minorEastAsia"/>
                <w:noProof/>
                <w:lang w:eastAsia="cs-CZ"/>
              </w:rPr>
              <w:tab/>
            </w:r>
            <w:r w:rsidR="00355A5B" w:rsidRPr="00887EBB">
              <w:rPr>
                <w:rStyle w:val="Hypertextovodkaz"/>
                <w:rFonts w:cstheme="minorHAnsi"/>
                <w:noProof/>
              </w:rPr>
              <w:t>Pokusné ověřování „techniky“ - Pilotáž nového předmětu technika</w:t>
            </w:r>
            <w:r w:rsidR="00355A5B">
              <w:rPr>
                <w:noProof/>
                <w:webHidden/>
              </w:rPr>
              <w:tab/>
            </w:r>
            <w:r w:rsidR="00355A5B">
              <w:rPr>
                <w:noProof/>
                <w:webHidden/>
              </w:rPr>
              <w:fldChar w:fldCharType="begin"/>
            </w:r>
            <w:r w:rsidR="00355A5B">
              <w:rPr>
                <w:noProof/>
                <w:webHidden/>
              </w:rPr>
              <w:instrText xml:space="preserve"> PAGEREF _Toc22921515 \h </w:instrText>
            </w:r>
            <w:r w:rsidR="00355A5B">
              <w:rPr>
                <w:noProof/>
                <w:webHidden/>
              </w:rPr>
            </w:r>
            <w:r w:rsidR="00355A5B">
              <w:rPr>
                <w:noProof/>
                <w:webHidden/>
              </w:rPr>
              <w:fldChar w:fldCharType="separate"/>
            </w:r>
            <w:r w:rsidR="00355A5B">
              <w:rPr>
                <w:noProof/>
                <w:webHidden/>
              </w:rPr>
              <w:t>9</w:t>
            </w:r>
            <w:r w:rsidR="00355A5B">
              <w:rPr>
                <w:noProof/>
                <w:webHidden/>
              </w:rPr>
              <w:fldChar w:fldCharType="end"/>
            </w:r>
          </w:hyperlink>
        </w:p>
        <w:p w:rsidR="00355A5B" w:rsidRDefault="0045422E">
          <w:pPr>
            <w:pStyle w:val="Obsah2"/>
            <w:tabs>
              <w:tab w:val="left" w:pos="660"/>
              <w:tab w:val="right" w:leader="dot" w:pos="9062"/>
            </w:tabs>
            <w:rPr>
              <w:rFonts w:eastAsiaTheme="minorEastAsia"/>
              <w:noProof/>
              <w:lang w:eastAsia="cs-CZ"/>
            </w:rPr>
          </w:pPr>
          <w:hyperlink w:anchor="_Toc22921516" w:history="1">
            <w:r w:rsidR="00355A5B" w:rsidRPr="00887EBB">
              <w:rPr>
                <w:rStyle w:val="Hypertextovodkaz"/>
                <w:rFonts w:cstheme="minorHAnsi"/>
                <w:noProof/>
              </w:rPr>
              <w:t>5.</w:t>
            </w:r>
            <w:r w:rsidR="00355A5B">
              <w:rPr>
                <w:rFonts w:eastAsiaTheme="minorEastAsia"/>
                <w:noProof/>
                <w:lang w:eastAsia="cs-CZ"/>
              </w:rPr>
              <w:tab/>
            </w:r>
            <w:r w:rsidR="00355A5B" w:rsidRPr="00887EBB">
              <w:rPr>
                <w:rStyle w:val="Hypertextovodkaz"/>
                <w:rFonts w:cstheme="minorHAnsi"/>
                <w:noProof/>
              </w:rPr>
              <w:t>Zrušení povinné maturity z matematiky – novela školského zákona</w:t>
            </w:r>
            <w:r w:rsidR="00355A5B">
              <w:rPr>
                <w:noProof/>
                <w:webHidden/>
              </w:rPr>
              <w:tab/>
            </w:r>
            <w:r w:rsidR="00355A5B">
              <w:rPr>
                <w:noProof/>
                <w:webHidden/>
              </w:rPr>
              <w:fldChar w:fldCharType="begin"/>
            </w:r>
            <w:r w:rsidR="00355A5B">
              <w:rPr>
                <w:noProof/>
                <w:webHidden/>
              </w:rPr>
              <w:instrText xml:space="preserve"> PAGEREF _Toc22921516 \h </w:instrText>
            </w:r>
            <w:r w:rsidR="00355A5B">
              <w:rPr>
                <w:noProof/>
                <w:webHidden/>
              </w:rPr>
            </w:r>
            <w:r w:rsidR="00355A5B">
              <w:rPr>
                <w:noProof/>
                <w:webHidden/>
              </w:rPr>
              <w:fldChar w:fldCharType="separate"/>
            </w:r>
            <w:r w:rsidR="00355A5B">
              <w:rPr>
                <w:noProof/>
                <w:webHidden/>
              </w:rPr>
              <w:t>10</w:t>
            </w:r>
            <w:r w:rsidR="00355A5B">
              <w:rPr>
                <w:noProof/>
                <w:webHidden/>
              </w:rPr>
              <w:fldChar w:fldCharType="end"/>
            </w:r>
          </w:hyperlink>
        </w:p>
        <w:p w:rsidR="00355A5B" w:rsidRDefault="0045422E">
          <w:pPr>
            <w:pStyle w:val="Obsah1"/>
            <w:tabs>
              <w:tab w:val="left" w:pos="660"/>
              <w:tab w:val="right" w:leader="dot" w:pos="9062"/>
            </w:tabs>
            <w:rPr>
              <w:rFonts w:eastAsiaTheme="minorEastAsia"/>
              <w:noProof/>
              <w:lang w:eastAsia="cs-CZ"/>
            </w:rPr>
          </w:pPr>
          <w:hyperlink w:anchor="_Toc22921517" w:history="1">
            <w:r w:rsidR="00355A5B" w:rsidRPr="00887EBB">
              <w:rPr>
                <w:rStyle w:val="Hypertextovodkaz"/>
                <w:rFonts w:cstheme="minorHAnsi"/>
                <w:noProof/>
              </w:rPr>
              <w:t>IV.</w:t>
            </w:r>
            <w:r w:rsidR="00355A5B">
              <w:rPr>
                <w:rFonts w:eastAsiaTheme="minorEastAsia"/>
                <w:noProof/>
                <w:lang w:eastAsia="cs-CZ"/>
              </w:rPr>
              <w:tab/>
            </w:r>
            <w:r w:rsidR="00355A5B" w:rsidRPr="00887EBB">
              <w:rPr>
                <w:rStyle w:val="Hypertextovodkaz"/>
                <w:rFonts w:cstheme="minorHAnsi"/>
                <w:noProof/>
              </w:rPr>
              <w:t>Podpora pedagogů</w:t>
            </w:r>
            <w:r w:rsidR="00355A5B">
              <w:rPr>
                <w:noProof/>
                <w:webHidden/>
              </w:rPr>
              <w:tab/>
            </w:r>
            <w:r w:rsidR="00355A5B">
              <w:rPr>
                <w:noProof/>
                <w:webHidden/>
              </w:rPr>
              <w:fldChar w:fldCharType="begin"/>
            </w:r>
            <w:r w:rsidR="00355A5B">
              <w:rPr>
                <w:noProof/>
                <w:webHidden/>
              </w:rPr>
              <w:instrText xml:space="preserve"> PAGEREF _Toc22921517 \h </w:instrText>
            </w:r>
            <w:r w:rsidR="00355A5B">
              <w:rPr>
                <w:noProof/>
                <w:webHidden/>
              </w:rPr>
            </w:r>
            <w:r w:rsidR="00355A5B">
              <w:rPr>
                <w:noProof/>
                <w:webHidden/>
              </w:rPr>
              <w:fldChar w:fldCharType="separate"/>
            </w:r>
            <w:r w:rsidR="00355A5B">
              <w:rPr>
                <w:noProof/>
                <w:webHidden/>
              </w:rPr>
              <w:t>11</w:t>
            </w:r>
            <w:r w:rsidR="00355A5B">
              <w:rPr>
                <w:noProof/>
                <w:webHidden/>
              </w:rPr>
              <w:fldChar w:fldCharType="end"/>
            </w:r>
          </w:hyperlink>
        </w:p>
        <w:p w:rsidR="00355A5B" w:rsidRDefault="0045422E">
          <w:pPr>
            <w:pStyle w:val="Obsah2"/>
            <w:tabs>
              <w:tab w:val="left" w:pos="660"/>
              <w:tab w:val="right" w:leader="dot" w:pos="9062"/>
            </w:tabs>
            <w:rPr>
              <w:rFonts w:eastAsiaTheme="minorEastAsia"/>
              <w:noProof/>
              <w:lang w:eastAsia="cs-CZ"/>
            </w:rPr>
          </w:pPr>
          <w:hyperlink w:anchor="_Toc22921518" w:history="1">
            <w:r w:rsidR="00355A5B" w:rsidRPr="00887EBB">
              <w:rPr>
                <w:rStyle w:val="Hypertextovodkaz"/>
                <w:rFonts w:eastAsiaTheme="majorEastAsia" w:cstheme="minorHAnsi"/>
                <w:noProof/>
              </w:rPr>
              <w:t>1.</w:t>
            </w:r>
            <w:r w:rsidR="00355A5B">
              <w:rPr>
                <w:rFonts w:eastAsiaTheme="minorEastAsia"/>
                <w:noProof/>
                <w:lang w:eastAsia="cs-CZ"/>
              </w:rPr>
              <w:tab/>
            </w:r>
            <w:r w:rsidR="00355A5B" w:rsidRPr="00887EBB">
              <w:rPr>
                <w:rStyle w:val="Hypertextovodkaz"/>
                <w:rFonts w:eastAsiaTheme="majorEastAsia" w:cstheme="minorHAnsi"/>
                <w:noProof/>
              </w:rPr>
              <w:t>Navyšování platů pedagogických pracovníků a nepedagogických zaměstnanců</w:t>
            </w:r>
            <w:r w:rsidR="00355A5B">
              <w:rPr>
                <w:noProof/>
                <w:webHidden/>
              </w:rPr>
              <w:tab/>
            </w:r>
            <w:r w:rsidR="00355A5B">
              <w:rPr>
                <w:noProof/>
                <w:webHidden/>
              </w:rPr>
              <w:fldChar w:fldCharType="begin"/>
            </w:r>
            <w:r w:rsidR="00355A5B">
              <w:rPr>
                <w:noProof/>
                <w:webHidden/>
              </w:rPr>
              <w:instrText xml:space="preserve"> PAGEREF _Toc22921518 \h </w:instrText>
            </w:r>
            <w:r w:rsidR="00355A5B">
              <w:rPr>
                <w:noProof/>
                <w:webHidden/>
              </w:rPr>
            </w:r>
            <w:r w:rsidR="00355A5B">
              <w:rPr>
                <w:noProof/>
                <w:webHidden/>
              </w:rPr>
              <w:fldChar w:fldCharType="separate"/>
            </w:r>
            <w:r w:rsidR="00355A5B">
              <w:rPr>
                <w:noProof/>
                <w:webHidden/>
              </w:rPr>
              <w:t>11</w:t>
            </w:r>
            <w:r w:rsidR="00355A5B">
              <w:rPr>
                <w:noProof/>
                <w:webHidden/>
              </w:rPr>
              <w:fldChar w:fldCharType="end"/>
            </w:r>
          </w:hyperlink>
        </w:p>
        <w:p w:rsidR="00355A5B" w:rsidRDefault="0045422E">
          <w:pPr>
            <w:pStyle w:val="Obsah2"/>
            <w:tabs>
              <w:tab w:val="left" w:pos="660"/>
              <w:tab w:val="right" w:leader="dot" w:pos="9062"/>
            </w:tabs>
            <w:rPr>
              <w:rFonts w:eastAsiaTheme="minorEastAsia"/>
              <w:noProof/>
              <w:lang w:eastAsia="cs-CZ"/>
            </w:rPr>
          </w:pPr>
          <w:hyperlink w:anchor="_Toc22921519" w:history="1">
            <w:r w:rsidR="00355A5B" w:rsidRPr="00887EBB">
              <w:rPr>
                <w:rStyle w:val="Hypertextovodkaz"/>
                <w:rFonts w:eastAsiaTheme="majorEastAsia" w:cstheme="minorHAnsi"/>
                <w:noProof/>
              </w:rPr>
              <w:t>2.</w:t>
            </w:r>
            <w:r w:rsidR="00355A5B">
              <w:rPr>
                <w:rFonts w:eastAsiaTheme="minorEastAsia"/>
                <w:noProof/>
                <w:lang w:eastAsia="cs-CZ"/>
              </w:rPr>
              <w:tab/>
            </w:r>
            <w:r w:rsidR="00355A5B" w:rsidRPr="00887EBB">
              <w:rPr>
                <w:rStyle w:val="Hypertextovodkaz"/>
                <w:rFonts w:eastAsiaTheme="majorEastAsia" w:cstheme="minorHAnsi"/>
                <w:noProof/>
              </w:rPr>
              <w:t>Adaptační období a odborníci z praxe – novela zákona o pedagogických pracovnících</w:t>
            </w:r>
            <w:r w:rsidR="00355A5B">
              <w:rPr>
                <w:noProof/>
                <w:webHidden/>
              </w:rPr>
              <w:tab/>
            </w:r>
            <w:r w:rsidR="00355A5B">
              <w:rPr>
                <w:noProof/>
                <w:webHidden/>
              </w:rPr>
              <w:fldChar w:fldCharType="begin"/>
            </w:r>
            <w:r w:rsidR="00355A5B">
              <w:rPr>
                <w:noProof/>
                <w:webHidden/>
              </w:rPr>
              <w:instrText xml:space="preserve"> PAGEREF _Toc22921519 \h </w:instrText>
            </w:r>
            <w:r w:rsidR="00355A5B">
              <w:rPr>
                <w:noProof/>
                <w:webHidden/>
              </w:rPr>
            </w:r>
            <w:r w:rsidR="00355A5B">
              <w:rPr>
                <w:noProof/>
                <w:webHidden/>
              </w:rPr>
              <w:fldChar w:fldCharType="separate"/>
            </w:r>
            <w:r w:rsidR="00355A5B">
              <w:rPr>
                <w:noProof/>
                <w:webHidden/>
              </w:rPr>
              <w:t>11</w:t>
            </w:r>
            <w:r w:rsidR="00355A5B">
              <w:rPr>
                <w:noProof/>
                <w:webHidden/>
              </w:rPr>
              <w:fldChar w:fldCharType="end"/>
            </w:r>
          </w:hyperlink>
        </w:p>
        <w:p w:rsidR="00355A5B" w:rsidRDefault="0045422E">
          <w:pPr>
            <w:pStyle w:val="Obsah2"/>
            <w:tabs>
              <w:tab w:val="left" w:pos="660"/>
              <w:tab w:val="right" w:leader="dot" w:pos="9062"/>
            </w:tabs>
            <w:rPr>
              <w:rFonts w:eastAsiaTheme="minorEastAsia"/>
              <w:noProof/>
              <w:lang w:eastAsia="cs-CZ"/>
            </w:rPr>
          </w:pPr>
          <w:hyperlink w:anchor="_Toc22921520" w:history="1">
            <w:r w:rsidR="00355A5B" w:rsidRPr="00887EBB">
              <w:rPr>
                <w:rStyle w:val="Hypertextovodkaz"/>
                <w:rFonts w:eastAsiaTheme="majorEastAsia" w:cstheme="minorHAnsi"/>
                <w:noProof/>
              </w:rPr>
              <w:t>3.</w:t>
            </w:r>
            <w:r w:rsidR="00355A5B">
              <w:rPr>
                <w:rFonts w:eastAsiaTheme="minorEastAsia"/>
                <w:noProof/>
                <w:lang w:eastAsia="cs-CZ"/>
              </w:rPr>
              <w:tab/>
            </w:r>
            <w:r w:rsidR="00355A5B" w:rsidRPr="00887EBB">
              <w:rPr>
                <w:rStyle w:val="Hypertextovodkaz"/>
                <w:rFonts w:eastAsiaTheme="majorEastAsia" w:cstheme="minorHAnsi"/>
                <w:noProof/>
              </w:rPr>
              <w:t>Metodické kabinety</w:t>
            </w:r>
            <w:r w:rsidR="00355A5B">
              <w:rPr>
                <w:noProof/>
                <w:webHidden/>
              </w:rPr>
              <w:tab/>
            </w:r>
            <w:r w:rsidR="00355A5B">
              <w:rPr>
                <w:noProof/>
                <w:webHidden/>
              </w:rPr>
              <w:fldChar w:fldCharType="begin"/>
            </w:r>
            <w:r w:rsidR="00355A5B">
              <w:rPr>
                <w:noProof/>
                <w:webHidden/>
              </w:rPr>
              <w:instrText xml:space="preserve"> PAGEREF _Toc22921520 \h </w:instrText>
            </w:r>
            <w:r w:rsidR="00355A5B">
              <w:rPr>
                <w:noProof/>
                <w:webHidden/>
              </w:rPr>
            </w:r>
            <w:r w:rsidR="00355A5B">
              <w:rPr>
                <w:noProof/>
                <w:webHidden/>
              </w:rPr>
              <w:fldChar w:fldCharType="separate"/>
            </w:r>
            <w:r w:rsidR="00355A5B">
              <w:rPr>
                <w:noProof/>
                <w:webHidden/>
              </w:rPr>
              <w:t>12</w:t>
            </w:r>
            <w:r w:rsidR="00355A5B">
              <w:rPr>
                <w:noProof/>
                <w:webHidden/>
              </w:rPr>
              <w:fldChar w:fldCharType="end"/>
            </w:r>
          </w:hyperlink>
        </w:p>
        <w:p w:rsidR="009C70F8" w:rsidRPr="0075122C" w:rsidRDefault="009C70F8" w:rsidP="00435DCC">
          <w:pPr>
            <w:spacing w:before="120" w:after="0" w:line="240" w:lineRule="auto"/>
            <w:jc w:val="both"/>
            <w:rPr>
              <w:rFonts w:cstheme="minorHAnsi"/>
            </w:rPr>
          </w:pPr>
          <w:r w:rsidRPr="0075122C">
            <w:rPr>
              <w:rFonts w:cstheme="minorHAnsi"/>
              <w:b/>
              <w:bCs/>
            </w:rPr>
            <w:fldChar w:fldCharType="end"/>
          </w:r>
        </w:p>
      </w:sdtContent>
    </w:sdt>
    <w:p w:rsidR="000D4AF8" w:rsidRPr="0075122C" w:rsidRDefault="000D4AF8" w:rsidP="00435DCC">
      <w:pPr>
        <w:spacing w:before="120" w:after="0" w:line="240" w:lineRule="auto"/>
        <w:jc w:val="both"/>
        <w:rPr>
          <w:rFonts w:cstheme="minorHAnsi"/>
        </w:rPr>
      </w:pPr>
    </w:p>
    <w:p w:rsidR="009C70F8" w:rsidRPr="0075122C" w:rsidRDefault="009C70F8" w:rsidP="00435DCC">
      <w:pPr>
        <w:pStyle w:val="Nadpis1"/>
        <w:spacing w:before="120" w:line="240" w:lineRule="auto"/>
        <w:jc w:val="both"/>
        <w:rPr>
          <w:rFonts w:asciiTheme="minorHAnsi" w:hAnsiTheme="minorHAnsi" w:cstheme="minorHAnsi"/>
        </w:rPr>
      </w:pPr>
      <w:r w:rsidRPr="0075122C">
        <w:rPr>
          <w:rFonts w:asciiTheme="minorHAnsi" w:hAnsiTheme="minorHAnsi" w:cstheme="minorHAnsi"/>
        </w:rPr>
        <w:br w:type="page"/>
      </w:r>
    </w:p>
    <w:p w:rsidR="00751145" w:rsidRPr="0075122C" w:rsidRDefault="00751145" w:rsidP="00435DCC">
      <w:pPr>
        <w:pStyle w:val="Odstavecseseznamem"/>
        <w:keepNext/>
        <w:keepLines/>
        <w:numPr>
          <w:ilvl w:val="0"/>
          <w:numId w:val="17"/>
        </w:numPr>
        <w:spacing w:before="120"/>
        <w:jc w:val="both"/>
        <w:outlineLvl w:val="0"/>
        <w:rPr>
          <w:rFonts w:asciiTheme="minorHAnsi" w:eastAsiaTheme="majorEastAsia" w:hAnsiTheme="minorHAnsi" w:cstheme="minorHAnsi"/>
          <w:color w:val="2F5496" w:themeColor="accent1" w:themeShade="BF"/>
          <w:sz w:val="32"/>
          <w:szCs w:val="32"/>
        </w:rPr>
      </w:pPr>
      <w:bookmarkStart w:id="0" w:name="_Toc22921507"/>
      <w:r w:rsidRPr="0075122C">
        <w:rPr>
          <w:rFonts w:asciiTheme="minorHAnsi" w:eastAsiaTheme="majorEastAsia" w:hAnsiTheme="minorHAnsi" w:cstheme="minorHAnsi"/>
          <w:color w:val="2F5496" w:themeColor="accent1" w:themeShade="BF"/>
          <w:sz w:val="32"/>
          <w:szCs w:val="32"/>
        </w:rPr>
        <w:lastRenderedPageBreak/>
        <w:t>Příprava Strategie vzdělávací politiky ČR do roku 2030+</w:t>
      </w:r>
      <w:bookmarkEnd w:id="0"/>
    </w:p>
    <w:p w:rsidR="00751145" w:rsidRPr="00751145" w:rsidRDefault="00751145" w:rsidP="00435DCC">
      <w:pPr>
        <w:spacing w:before="120" w:after="0" w:line="240" w:lineRule="auto"/>
        <w:jc w:val="both"/>
        <w:rPr>
          <w:rFonts w:cstheme="minorHAnsi"/>
        </w:rPr>
      </w:pPr>
      <w:r w:rsidRPr="00751145">
        <w:rPr>
          <w:rFonts w:cstheme="minorHAnsi"/>
        </w:rPr>
        <w:t>Strategie vzdělávací politiky ČR do roku 2030+, která bude představovat zastřešující národní dokument vzdělávací politiky pro horizont následujících více než 10 let, nemůže být připravována shora, ale naopak se na její tvorbě musí podílet co nejširší spektrum aktérů ve vzdělávání. Jen strategie, na jejíchž principech panuje široká společenská shoda, má šanci být úspěšně naplňována.</w:t>
      </w:r>
    </w:p>
    <w:p w:rsidR="00751145" w:rsidRPr="00751145" w:rsidRDefault="00751145" w:rsidP="00435DCC">
      <w:pPr>
        <w:spacing w:before="120" w:after="0" w:line="240" w:lineRule="auto"/>
        <w:jc w:val="both"/>
        <w:rPr>
          <w:rFonts w:cstheme="minorHAnsi"/>
        </w:rPr>
      </w:pPr>
      <w:r w:rsidRPr="00751145">
        <w:rPr>
          <w:rFonts w:cstheme="minorHAnsi"/>
        </w:rPr>
        <w:t>V lednu 2019 byla jmenována osmičlenná expertní skupinu pod vedením prof. Arnošta Veselého, jejímž úkolem je příprava výchozího dokumentu Hlavní směry vzdělávací politiky ČR do roku 2030+ (HSVP 2030+), který bude definovat vizi, priority a cíle vzdělávací politiky v období přesahujícím horizont roku 2030. Tvorba tohoto dokumentu představuje první fázi (projektu) přípravy Strategie vzdělávací politiky ČR do roku 2030+ (Strategie 2030+), přičemž probíhá od ledna do listopadu 2019.</w:t>
      </w:r>
    </w:p>
    <w:p w:rsidR="00751145" w:rsidRPr="00751145" w:rsidRDefault="00751145" w:rsidP="00435DCC">
      <w:pPr>
        <w:spacing w:before="120" w:after="0" w:line="240" w:lineRule="auto"/>
        <w:jc w:val="both"/>
        <w:rPr>
          <w:rFonts w:cstheme="minorHAnsi"/>
        </w:rPr>
      </w:pPr>
      <w:r w:rsidRPr="00751145">
        <w:rPr>
          <w:rFonts w:cstheme="minorHAnsi"/>
        </w:rPr>
        <w:t>28. února 2019 proběhla úvodní konference v Národní technické knihovně v Praze, která oficiálně zahájila diskuzi ke tvorbě strategie, respektive budoucnosti vzdělávání ČR v perspektivě 10 a více let.</w:t>
      </w:r>
    </w:p>
    <w:p w:rsidR="00751145" w:rsidRPr="00751145" w:rsidRDefault="00751145" w:rsidP="00435DCC">
      <w:pPr>
        <w:spacing w:before="120" w:after="0" w:line="240" w:lineRule="auto"/>
        <w:jc w:val="both"/>
        <w:rPr>
          <w:rFonts w:cstheme="minorHAnsi"/>
        </w:rPr>
      </w:pPr>
      <w:r w:rsidRPr="00751145">
        <w:rPr>
          <w:rFonts w:cstheme="minorHAnsi"/>
        </w:rPr>
        <w:t>Na konci dubna 2019 expertní skupina vymezila na základě dostupných analytických podkladů, debat s relevantními aktéry vzdělávací politiky, kulatých stolů a vlastního expertního uvážení dva strategické cíle (čeho chceme dosáhnout?) a čtyři strategické linie (jak toho chceme dosáhnout?).</w:t>
      </w:r>
    </w:p>
    <w:p w:rsidR="00751145" w:rsidRPr="00751145" w:rsidRDefault="00751145" w:rsidP="00435DCC">
      <w:pPr>
        <w:spacing w:before="120" w:after="0" w:line="240" w:lineRule="auto"/>
        <w:jc w:val="both"/>
        <w:rPr>
          <w:rFonts w:cstheme="minorHAnsi"/>
          <w:b/>
        </w:rPr>
      </w:pPr>
      <w:r w:rsidRPr="00751145">
        <w:rPr>
          <w:rFonts w:cstheme="minorHAnsi"/>
          <w:b/>
        </w:rPr>
        <w:t>Cíle jsou definovány následovně:</w:t>
      </w:r>
    </w:p>
    <w:p w:rsidR="00751145" w:rsidRDefault="00751145" w:rsidP="00435DCC">
      <w:pPr>
        <w:numPr>
          <w:ilvl w:val="0"/>
          <w:numId w:val="13"/>
        </w:numPr>
        <w:spacing w:before="120" w:after="0" w:line="240" w:lineRule="auto"/>
        <w:jc w:val="both"/>
        <w:rPr>
          <w:rFonts w:cstheme="minorHAnsi"/>
        </w:rPr>
      </w:pPr>
      <w:r w:rsidRPr="00751145">
        <w:rPr>
          <w:rFonts w:cstheme="minorHAnsi"/>
        </w:rPr>
        <w:t>Zaměřit vzdělávání více na získání kompetencí potřebných pro aktivní občanský, profesní i osobní život</w:t>
      </w:r>
      <w:r w:rsidR="00D1055E">
        <w:rPr>
          <w:rFonts w:cstheme="minorHAnsi"/>
        </w:rPr>
        <w:t>;</w:t>
      </w:r>
    </w:p>
    <w:p w:rsidR="00D1055E" w:rsidRPr="00D1055E" w:rsidRDefault="00D1055E" w:rsidP="00435DCC">
      <w:pPr>
        <w:pStyle w:val="Odstavecseseznamem"/>
        <w:numPr>
          <w:ilvl w:val="0"/>
          <w:numId w:val="23"/>
        </w:numPr>
        <w:spacing w:before="120"/>
        <w:jc w:val="both"/>
        <w:rPr>
          <w:rFonts w:cstheme="minorHAnsi"/>
        </w:rPr>
      </w:pPr>
      <w:r w:rsidRPr="00D1055E">
        <w:rPr>
          <w:rFonts w:cstheme="minorHAnsi"/>
        </w:rPr>
        <w:t>Dosáhnout vysoké míry shody o tom, co se od jednotlivých stupňů vzdělávání očekává, včetně vzájemné shody ve významu jednotlivých kompetencí</w:t>
      </w:r>
      <w:r>
        <w:rPr>
          <w:rFonts w:cstheme="minorHAnsi"/>
        </w:rPr>
        <w:t>;</w:t>
      </w:r>
    </w:p>
    <w:p w:rsidR="00D1055E" w:rsidRPr="00D1055E" w:rsidRDefault="00D1055E" w:rsidP="00435DCC">
      <w:pPr>
        <w:pStyle w:val="Odstavecseseznamem"/>
        <w:numPr>
          <w:ilvl w:val="0"/>
          <w:numId w:val="23"/>
        </w:numPr>
        <w:spacing w:before="120"/>
        <w:jc w:val="both"/>
        <w:rPr>
          <w:rFonts w:cstheme="minorHAnsi"/>
        </w:rPr>
      </w:pPr>
      <w:r w:rsidRPr="00D1055E">
        <w:rPr>
          <w:rFonts w:cstheme="minorHAnsi"/>
        </w:rPr>
        <w:t>Sladit požadavky na obsah vzdělávání se způsobem jeho ověřování a výrazně zlepšit naši schopnost vyhodnocovat dosažené kompetence a gramotnosti</w:t>
      </w:r>
      <w:r>
        <w:rPr>
          <w:rFonts w:cstheme="minorHAnsi"/>
        </w:rPr>
        <w:t>;</w:t>
      </w:r>
    </w:p>
    <w:p w:rsidR="00751145" w:rsidRDefault="00751145" w:rsidP="00435DCC">
      <w:pPr>
        <w:numPr>
          <w:ilvl w:val="0"/>
          <w:numId w:val="13"/>
        </w:numPr>
        <w:spacing w:before="120" w:after="0" w:line="240" w:lineRule="auto"/>
        <w:jc w:val="both"/>
        <w:rPr>
          <w:rFonts w:cstheme="minorHAnsi"/>
        </w:rPr>
      </w:pPr>
      <w:r w:rsidRPr="00751145">
        <w:rPr>
          <w:rFonts w:cstheme="minorHAnsi"/>
        </w:rPr>
        <w:t>Snížit vzdělanostní nerovnosti a zvýšit spravedlnost v přístupu ke vzdělání</w:t>
      </w:r>
      <w:r w:rsidR="00D1055E">
        <w:rPr>
          <w:rFonts w:cstheme="minorHAnsi"/>
        </w:rPr>
        <w:t>;</w:t>
      </w:r>
    </w:p>
    <w:p w:rsidR="00D1055E" w:rsidRPr="00D1055E" w:rsidRDefault="00D1055E" w:rsidP="00435DCC">
      <w:pPr>
        <w:pStyle w:val="Odstavecseseznamem"/>
        <w:numPr>
          <w:ilvl w:val="0"/>
          <w:numId w:val="23"/>
        </w:numPr>
        <w:spacing w:before="120"/>
        <w:jc w:val="both"/>
        <w:rPr>
          <w:rFonts w:cstheme="minorHAnsi"/>
        </w:rPr>
      </w:pPr>
      <w:r w:rsidRPr="00D1055E">
        <w:rPr>
          <w:rFonts w:cstheme="minorHAnsi"/>
        </w:rPr>
        <w:t>Snížit mezikrajové i vnitrokrajové diferenciace kvality vzdělávací soustavy</w:t>
      </w:r>
      <w:r>
        <w:rPr>
          <w:rFonts w:cstheme="minorHAnsi"/>
        </w:rPr>
        <w:t>;</w:t>
      </w:r>
    </w:p>
    <w:p w:rsidR="00D1055E" w:rsidRPr="00D1055E" w:rsidRDefault="00D1055E" w:rsidP="00435DCC">
      <w:pPr>
        <w:pStyle w:val="Odstavecseseznamem"/>
        <w:numPr>
          <w:ilvl w:val="0"/>
          <w:numId w:val="23"/>
        </w:numPr>
        <w:spacing w:before="120"/>
        <w:jc w:val="both"/>
        <w:rPr>
          <w:rFonts w:cstheme="minorHAnsi"/>
        </w:rPr>
      </w:pPr>
      <w:r w:rsidRPr="00D1055E">
        <w:rPr>
          <w:rFonts w:cstheme="minorHAnsi"/>
        </w:rPr>
        <w:t>Zvýšit šance na úspěch ve vzdělávání a naplnění talentu bez ohledu na socioekonomické a rodinné zázemí žáka či region jeho narození</w:t>
      </w:r>
      <w:r>
        <w:rPr>
          <w:rFonts w:cstheme="minorHAnsi"/>
        </w:rPr>
        <w:t>;</w:t>
      </w:r>
    </w:p>
    <w:p w:rsidR="00D1055E" w:rsidRPr="00D1055E" w:rsidRDefault="00D1055E" w:rsidP="00435DCC">
      <w:pPr>
        <w:pStyle w:val="Odstavecseseznamem"/>
        <w:numPr>
          <w:ilvl w:val="0"/>
          <w:numId w:val="23"/>
        </w:numPr>
        <w:spacing w:before="120"/>
        <w:jc w:val="both"/>
        <w:rPr>
          <w:rFonts w:cstheme="minorHAnsi"/>
        </w:rPr>
      </w:pPr>
      <w:r w:rsidRPr="00D1055E">
        <w:rPr>
          <w:rFonts w:cstheme="minorHAnsi"/>
        </w:rPr>
        <w:t>Zvýšit účast dětí na předškolním vzdělávání a prevence školního neúspěchu a včasných řešení redukujících dopad rizikových faktorů na straně rodiny</w:t>
      </w:r>
      <w:r>
        <w:rPr>
          <w:rFonts w:cstheme="minorHAnsi"/>
        </w:rPr>
        <w:t>.</w:t>
      </w:r>
    </w:p>
    <w:p w:rsidR="00751145" w:rsidRPr="00751145" w:rsidRDefault="00751145" w:rsidP="00435DCC">
      <w:pPr>
        <w:spacing w:before="120" w:after="0" w:line="240" w:lineRule="auto"/>
        <w:jc w:val="both"/>
        <w:rPr>
          <w:rFonts w:cstheme="minorHAnsi"/>
          <w:b/>
        </w:rPr>
      </w:pPr>
      <w:r w:rsidRPr="00751145">
        <w:rPr>
          <w:rFonts w:cstheme="minorHAnsi"/>
          <w:b/>
        </w:rPr>
        <w:t>Čtyři strategické linie představují následující:</w:t>
      </w:r>
    </w:p>
    <w:p w:rsidR="00751145" w:rsidRDefault="00751145" w:rsidP="00435DCC">
      <w:pPr>
        <w:numPr>
          <w:ilvl w:val="0"/>
          <w:numId w:val="15"/>
        </w:numPr>
        <w:spacing w:before="120" w:after="0" w:line="240" w:lineRule="auto"/>
        <w:jc w:val="both"/>
        <w:rPr>
          <w:rFonts w:cstheme="minorHAnsi"/>
        </w:rPr>
      </w:pPr>
      <w:r w:rsidRPr="00751145">
        <w:rPr>
          <w:rFonts w:cstheme="minorHAnsi"/>
        </w:rPr>
        <w:t>proměna obsahu a způsobu vzdělávání;</w:t>
      </w:r>
    </w:p>
    <w:p w:rsidR="00D1055E" w:rsidRPr="00D1055E" w:rsidRDefault="00751145" w:rsidP="00435DCC">
      <w:pPr>
        <w:numPr>
          <w:ilvl w:val="0"/>
          <w:numId w:val="15"/>
        </w:numPr>
        <w:spacing w:before="120" w:after="0" w:line="240" w:lineRule="auto"/>
        <w:jc w:val="both"/>
        <w:rPr>
          <w:rFonts w:cstheme="minorHAnsi"/>
        </w:rPr>
      </w:pPr>
      <w:r w:rsidRPr="00751145">
        <w:rPr>
          <w:rFonts w:cstheme="minorHAnsi"/>
        </w:rPr>
        <w:t xml:space="preserve">podpora učitelů, ředitelů a dalších pracovníků ve vzdělávání; </w:t>
      </w:r>
    </w:p>
    <w:p w:rsidR="00751145" w:rsidRPr="00751145" w:rsidRDefault="00751145" w:rsidP="00435DCC">
      <w:pPr>
        <w:numPr>
          <w:ilvl w:val="0"/>
          <w:numId w:val="15"/>
        </w:numPr>
        <w:spacing w:before="120" w:after="0" w:line="240" w:lineRule="auto"/>
        <w:jc w:val="both"/>
        <w:rPr>
          <w:rFonts w:cstheme="minorHAnsi"/>
        </w:rPr>
      </w:pPr>
      <w:r w:rsidRPr="00751145">
        <w:rPr>
          <w:rFonts w:cstheme="minorHAnsi"/>
        </w:rPr>
        <w:t xml:space="preserve">zvýšení odborných kapacit, důvěry a vzájemné spolupráce; </w:t>
      </w:r>
    </w:p>
    <w:p w:rsidR="00751145" w:rsidRPr="00751145" w:rsidRDefault="00751145" w:rsidP="00435DCC">
      <w:pPr>
        <w:numPr>
          <w:ilvl w:val="0"/>
          <w:numId w:val="15"/>
        </w:numPr>
        <w:spacing w:before="120" w:after="0" w:line="240" w:lineRule="auto"/>
        <w:jc w:val="both"/>
        <w:rPr>
          <w:rFonts w:cstheme="minorHAnsi"/>
        </w:rPr>
      </w:pPr>
      <w:r w:rsidRPr="00751145">
        <w:rPr>
          <w:rFonts w:cstheme="minorHAnsi"/>
        </w:rPr>
        <w:t>zvýšení financování a zajištění jeho stability.</w:t>
      </w:r>
    </w:p>
    <w:p w:rsidR="00751145" w:rsidRPr="00751145" w:rsidRDefault="00751145" w:rsidP="00435DCC">
      <w:pPr>
        <w:spacing w:before="120" w:after="0" w:line="240" w:lineRule="auto"/>
        <w:jc w:val="both"/>
        <w:rPr>
          <w:rFonts w:cstheme="minorHAnsi"/>
        </w:rPr>
      </w:pPr>
      <w:r w:rsidRPr="00751145">
        <w:rPr>
          <w:rFonts w:cstheme="minorHAnsi"/>
        </w:rPr>
        <w:t>Během května a června se k vymezeným cílům a liniím konalo na různých místech ČR celkem 17 kulatých stolů a dalších akcí veřejného charakteru, o kterých jsme informovali prostřednictvím webu, sociálních sítí i e-mailem. Závěry těchto kulatých stolů byly průběžně publikovány na webu i na sociálních sítích (samostatný facebookový profil Edu2030+).</w:t>
      </w:r>
    </w:p>
    <w:p w:rsidR="00751145" w:rsidRPr="00751145" w:rsidRDefault="00751145" w:rsidP="00435DCC">
      <w:pPr>
        <w:spacing w:before="120" w:after="0" w:line="240" w:lineRule="auto"/>
        <w:jc w:val="both"/>
        <w:rPr>
          <w:rFonts w:cstheme="minorHAnsi"/>
        </w:rPr>
      </w:pPr>
      <w:r w:rsidRPr="00751145">
        <w:rPr>
          <w:rFonts w:cstheme="minorHAnsi"/>
        </w:rPr>
        <w:t>Podněty veřejnosti byly rovněž průběžně sbírány online formou (sociální sítě, email).</w:t>
      </w:r>
    </w:p>
    <w:p w:rsidR="00751145" w:rsidRPr="00751145" w:rsidRDefault="00751145" w:rsidP="00435DCC">
      <w:pPr>
        <w:spacing w:before="120" w:after="0" w:line="240" w:lineRule="auto"/>
        <w:jc w:val="both"/>
        <w:rPr>
          <w:rFonts w:cstheme="minorHAnsi"/>
        </w:rPr>
      </w:pPr>
      <w:r w:rsidRPr="00751145">
        <w:rPr>
          <w:rFonts w:cstheme="minorHAnsi"/>
        </w:rPr>
        <w:t>V průběhu letních měsíců experti na základě sesbíraných podnětů, analýz, veřejných diskuzí a vlastní expertízy zpracovávali text HSVP 2030+, přičemž práci dokončí v průběhu října 2019.</w:t>
      </w:r>
    </w:p>
    <w:p w:rsidR="00751145" w:rsidRPr="00751145" w:rsidRDefault="00751145" w:rsidP="00435DCC">
      <w:pPr>
        <w:spacing w:before="120" w:after="0" w:line="240" w:lineRule="auto"/>
        <w:jc w:val="both"/>
        <w:rPr>
          <w:rFonts w:cstheme="minorHAnsi"/>
        </w:rPr>
      </w:pPr>
      <w:r w:rsidRPr="00751145">
        <w:rPr>
          <w:rFonts w:cstheme="minorHAnsi"/>
        </w:rPr>
        <w:lastRenderedPageBreak/>
        <w:t>Počátkem listopadu bude dokument představen na veřejné konferenci (7. 11, Magistrát hl. m. Prahy), přičemž až do konce listopadu bude dokument dále veřejně diskutován.</w:t>
      </w:r>
    </w:p>
    <w:p w:rsidR="00751145" w:rsidRPr="00751145" w:rsidRDefault="00751145" w:rsidP="00435DCC">
      <w:pPr>
        <w:spacing w:before="120" w:after="0" w:line="240" w:lineRule="auto"/>
        <w:jc w:val="both"/>
        <w:rPr>
          <w:rFonts w:cstheme="minorHAnsi"/>
        </w:rPr>
      </w:pPr>
      <w:r w:rsidRPr="00751145">
        <w:rPr>
          <w:rFonts w:cstheme="minorHAnsi"/>
        </w:rPr>
        <w:t>Následně se příprava Strategie 2030+ přenese do druhé fáze, tzn. období tvorby a konkretizace jednotlivých opatření, přičemž i v této fázi počítáme se zapojením co nejširšího spektra aktérů.</w:t>
      </w:r>
    </w:p>
    <w:p w:rsidR="00751145" w:rsidRPr="00751145" w:rsidRDefault="00751145" w:rsidP="00435DCC">
      <w:pPr>
        <w:spacing w:before="120" w:after="0" w:line="240" w:lineRule="auto"/>
        <w:jc w:val="both"/>
        <w:rPr>
          <w:rFonts w:cstheme="minorHAnsi"/>
        </w:rPr>
      </w:pPr>
      <w:r w:rsidRPr="00751145">
        <w:rPr>
          <w:rFonts w:cstheme="minorHAnsi"/>
        </w:rPr>
        <w:t xml:space="preserve">Dokončení Strategie 2030+ je plánováno zhruba v polovině roku 2020. </w:t>
      </w:r>
    </w:p>
    <w:p w:rsidR="00751145" w:rsidRPr="00751145" w:rsidRDefault="00751145" w:rsidP="00435DCC">
      <w:pPr>
        <w:spacing w:before="120" w:after="0" w:line="240" w:lineRule="auto"/>
        <w:jc w:val="both"/>
        <w:rPr>
          <w:rFonts w:cstheme="minorHAnsi"/>
        </w:rPr>
      </w:pPr>
      <w:r w:rsidRPr="00751145">
        <w:rPr>
          <w:rFonts w:cstheme="minorHAnsi"/>
        </w:rPr>
        <w:t>Implementační plán Strategie 2030+ tak bude v první fázi vycházet z identifikace a podrobného rozpracování několika klíčových opatření, které mají nejvýznamnější potenciál přispět k naplnění cílů samotné strategie.</w:t>
      </w:r>
    </w:p>
    <w:p w:rsidR="00DD0456" w:rsidRPr="0075122C" w:rsidRDefault="00751145" w:rsidP="00435DCC">
      <w:pPr>
        <w:spacing w:before="120" w:after="0" w:line="240" w:lineRule="auto"/>
        <w:jc w:val="both"/>
        <w:rPr>
          <w:rFonts w:cstheme="minorHAnsi"/>
        </w:rPr>
      </w:pPr>
      <w:r w:rsidRPr="00751145">
        <w:rPr>
          <w:rFonts w:cstheme="minorHAnsi"/>
        </w:rPr>
        <w:t>Implementace Strategie 2030+ počítá s rozdělením desetiletého období na dílčí úseky a sladěním s klíčovým koncepčním dokumentem pro oblast regionálního školství Dlouhodobým záměrem vzdělávání a rozvoje vzdělávací soustavy České republiky (účinnost 2019-2023, 2023-2027, 2027-2031).</w:t>
      </w:r>
      <w:r w:rsidR="00DD0456" w:rsidRPr="0075122C">
        <w:rPr>
          <w:rFonts w:cstheme="minorHAnsi"/>
        </w:rPr>
        <w:br w:type="page"/>
      </w:r>
    </w:p>
    <w:p w:rsidR="00C3082C" w:rsidRPr="0075122C" w:rsidRDefault="00C3082C" w:rsidP="00435DCC">
      <w:pPr>
        <w:pStyle w:val="Nadpis1"/>
        <w:numPr>
          <w:ilvl w:val="0"/>
          <w:numId w:val="17"/>
        </w:numPr>
        <w:spacing w:before="120" w:line="240" w:lineRule="auto"/>
        <w:jc w:val="both"/>
        <w:rPr>
          <w:rFonts w:asciiTheme="minorHAnsi" w:hAnsiTheme="minorHAnsi" w:cstheme="minorHAnsi"/>
        </w:rPr>
      </w:pPr>
      <w:bookmarkStart w:id="1" w:name="_Toc22921508"/>
      <w:r w:rsidRPr="0075122C">
        <w:rPr>
          <w:rFonts w:asciiTheme="minorHAnsi" w:hAnsiTheme="minorHAnsi" w:cstheme="minorHAnsi"/>
        </w:rPr>
        <w:lastRenderedPageBreak/>
        <w:t xml:space="preserve">Řízení </w:t>
      </w:r>
      <w:r w:rsidR="001206A5" w:rsidRPr="0075122C">
        <w:rPr>
          <w:rFonts w:asciiTheme="minorHAnsi" w:hAnsiTheme="minorHAnsi" w:cstheme="minorHAnsi"/>
        </w:rPr>
        <w:t xml:space="preserve">vzdělávací </w:t>
      </w:r>
      <w:r w:rsidRPr="0075122C">
        <w:rPr>
          <w:rFonts w:asciiTheme="minorHAnsi" w:hAnsiTheme="minorHAnsi" w:cstheme="minorHAnsi"/>
        </w:rPr>
        <w:t>soustavy</w:t>
      </w:r>
      <w:bookmarkEnd w:id="1"/>
    </w:p>
    <w:p w:rsidR="001206A5" w:rsidRPr="0075122C" w:rsidRDefault="001206A5" w:rsidP="00435DCC">
      <w:pPr>
        <w:spacing w:before="120" w:after="0" w:line="240" w:lineRule="auto"/>
        <w:jc w:val="both"/>
        <w:rPr>
          <w:rFonts w:cstheme="minorHAnsi"/>
          <w:b/>
        </w:rPr>
      </w:pPr>
      <w:r w:rsidRPr="0075122C">
        <w:rPr>
          <w:rFonts w:cstheme="minorHAnsi"/>
          <w:b/>
        </w:rPr>
        <w:t>POPIS HLAVNÍCH POTÍŽÍ SYSTÉMU, NA KTERÉ CÍLÍ VLÁDOU NAVRHOVANÁ OPATŘENÍ</w:t>
      </w:r>
    </w:p>
    <w:p w:rsidR="006143E8" w:rsidRPr="0075122C" w:rsidRDefault="006143E8" w:rsidP="00435DCC">
      <w:pPr>
        <w:spacing w:before="120" w:after="0" w:line="240" w:lineRule="auto"/>
        <w:jc w:val="both"/>
        <w:rPr>
          <w:rFonts w:cstheme="minorHAnsi"/>
        </w:rPr>
      </w:pPr>
      <w:r w:rsidRPr="0075122C">
        <w:rPr>
          <w:rFonts w:cstheme="minorHAnsi"/>
        </w:rPr>
        <w:t xml:space="preserve">Jednou z otázek, které se v současné době věnovala pozornost je regulace sítě škol, jež se stala mj. součástí programového prohlášení vlády. V této souvislosti bývá zmiňována např. problematika zvyšování či změn kapacit škol a školských zařízení, oborová struktura v regionech a s tím spojená správní řízení </w:t>
      </w:r>
      <w:r w:rsidR="00156045" w:rsidRPr="0075122C">
        <w:rPr>
          <w:rFonts w:cstheme="minorHAnsi"/>
        </w:rPr>
        <w:t>vedená za účelem změn zápisu ve školském rejstříku.</w:t>
      </w:r>
    </w:p>
    <w:p w:rsidR="006143E8" w:rsidRPr="0075122C" w:rsidRDefault="00156045" w:rsidP="00435DCC">
      <w:pPr>
        <w:spacing w:before="120" w:after="0" w:line="240" w:lineRule="auto"/>
        <w:jc w:val="both"/>
        <w:rPr>
          <w:rFonts w:cstheme="minorHAnsi"/>
        </w:rPr>
      </w:pPr>
      <w:r w:rsidRPr="0075122C">
        <w:rPr>
          <w:rFonts w:cstheme="minorHAnsi"/>
        </w:rPr>
        <w:t>Další okruh časté kritiky směřující ke vzdělávací soustavě souvisí přímo či nepřímo se stávajícím systém financování, který je postaven pouze na principu „financování na žáka“ a nez</w:t>
      </w:r>
      <w:r w:rsidR="006143E8" w:rsidRPr="0075122C">
        <w:rPr>
          <w:rFonts w:cstheme="minorHAnsi"/>
        </w:rPr>
        <w:t>ohled</w:t>
      </w:r>
      <w:r w:rsidRPr="0075122C">
        <w:rPr>
          <w:rFonts w:cstheme="minorHAnsi"/>
        </w:rPr>
        <w:t>ňuje</w:t>
      </w:r>
      <w:r w:rsidR="006143E8" w:rsidRPr="0075122C">
        <w:rPr>
          <w:rFonts w:cstheme="minorHAnsi"/>
        </w:rPr>
        <w:t xml:space="preserve"> objektivní specifika RgŠ ÚSC v jednotlivých krajích (např. rozdílnou velikostní strukturu mateřských a základních škol, rozdílnou oborovou strukturu středního a vyššího odborného školství, rozdílné procentní zastoupení žáků v zájmovém vzdělávání).</w:t>
      </w:r>
    </w:p>
    <w:p w:rsidR="006143E8" w:rsidRPr="0075122C" w:rsidRDefault="00156045" w:rsidP="00435DCC">
      <w:pPr>
        <w:spacing w:before="120" w:after="0" w:line="240" w:lineRule="auto"/>
        <w:jc w:val="both"/>
        <w:rPr>
          <w:rFonts w:cstheme="minorHAnsi"/>
        </w:rPr>
      </w:pPr>
      <w:r w:rsidRPr="0075122C">
        <w:rPr>
          <w:rFonts w:cstheme="minorHAnsi"/>
        </w:rPr>
        <w:t>Výše uvedené nastavení tak u</w:t>
      </w:r>
      <w:r w:rsidR="006143E8" w:rsidRPr="0075122C">
        <w:rPr>
          <w:rFonts w:cstheme="minorHAnsi"/>
        </w:rPr>
        <w:t>možňuje velké rozdíly ve výši krajských normativů, tj. rozdíly ve výši „státní“ finanční podpory na vzdělávání žáka ve stejném oboru vzdělání, mezi jednotlivými kraji. Výše normativů není dlouhodobě předvídatelná.</w:t>
      </w:r>
    </w:p>
    <w:p w:rsidR="006143E8" w:rsidRPr="0075122C" w:rsidRDefault="00156045" w:rsidP="00435DCC">
      <w:pPr>
        <w:spacing w:before="120" w:after="0" w:line="240" w:lineRule="auto"/>
        <w:jc w:val="both"/>
        <w:rPr>
          <w:rFonts w:cstheme="minorHAnsi"/>
        </w:rPr>
      </w:pPr>
      <w:r w:rsidRPr="0075122C">
        <w:rPr>
          <w:rFonts w:cstheme="minorHAnsi"/>
        </w:rPr>
        <w:t>V neposlední řadě je dále nutné především zmínit, že v</w:t>
      </w:r>
      <w:r w:rsidR="006143E8" w:rsidRPr="0075122C">
        <w:rPr>
          <w:rFonts w:cstheme="minorHAnsi"/>
        </w:rPr>
        <w:t xml:space="preserve"> oblasti středního vzdělávání s maturitní zkouškou systém negativně působí na kvalitu i na ekonomickou efektivnost vzdělávání. Školy v zájmu získání žáků (a tedy prostředků státního rozpočtu) snižují nároky na kvalitu „na vstupu“ do vzdělávání a i žáky s velmi malou pravděpodobností úspěšnosti „na výstupu“ vzdělávání „drží“ ve vzdělávání co nejdéle.</w:t>
      </w:r>
    </w:p>
    <w:p w:rsidR="00297663" w:rsidRPr="0075122C" w:rsidRDefault="00297663" w:rsidP="00435DCC">
      <w:pPr>
        <w:spacing w:before="120" w:after="0" w:line="240" w:lineRule="auto"/>
        <w:jc w:val="both"/>
        <w:rPr>
          <w:rFonts w:cstheme="minorHAnsi"/>
          <w:b/>
        </w:rPr>
      </w:pPr>
      <w:r w:rsidRPr="0075122C">
        <w:rPr>
          <w:rFonts w:cstheme="minorHAnsi"/>
          <w:b/>
        </w:rPr>
        <w:t>NAVRHOVANÁ A PROVÁDĚNÁ OPATŘENÍ</w:t>
      </w:r>
    </w:p>
    <w:p w:rsidR="00D52D2F" w:rsidRPr="0075122C" w:rsidRDefault="00D52D2F" w:rsidP="00435DCC">
      <w:pPr>
        <w:pStyle w:val="Nadpis2"/>
        <w:numPr>
          <w:ilvl w:val="0"/>
          <w:numId w:val="5"/>
        </w:numPr>
        <w:spacing w:before="120" w:line="240" w:lineRule="auto"/>
        <w:jc w:val="both"/>
        <w:rPr>
          <w:rFonts w:asciiTheme="minorHAnsi" w:hAnsiTheme="minorHAnsi" w:cstheme="minorHAnsi"/>
        </w:rPr>
      </w:pPr>
      <w:bookmarkStart w:id="2" w:name="_Toc22921509"/>
      <w:r w:rsidRPr="0075122C">
        <w:rPr>
          <w:rFonts w:asciiTheme="minorHAnsi" w:hAnsiTheme="minorHAnsi" w:cstheme="minorHAnsi"/>
        </w:rPr>
        <w:t>Dlouhodobý záměr vzdělávání a rozvoje vzdělávací soustavy České republiky 2019–2023</w:t>
      </w:r>
      <w:bookmarkEnd w:id="2"/>
    </w:p>
    <w:p w:rsidR="001206A5" w:rsidRPr="0075122C" w:rsidRDefault="00EE49D1" w:rsidP="00435DCC">
      <w:pPr>
        <w:spacing w:before="120" w:after="0" w:line="240" w:lineRule="auto"/>
        <w:jc w:val="both"/>
        <w:rPr>
          <w:rFonts w:cstheme="minorHAnsi"/>
        </w:rPr>
      </w:pPr>
      <w:r w:rsidRPr="0075122C">
        <w:rPr>
          <w:rFonts w:cstheme="minorHAnsi"/>
        </w:rPr>
        <w:t xml:space="preserve">Dlouhodobý záměr vzdělávání a rozvoje vzdělávací soustavy České republiky na období 2019-2023 (dále jen „DZ ČR 2019-2023“) </w:t>
      </w:r>
      <w:r w:rsidR="009705F8" w:rsidRPr="0075122C">
        <w:rPr>
          <w:rFonts w:cstheme="minorHAnsi"/>
        </w:rPr>
        <w:t>j</w:t>
      </w:r>
      <w:r w:rsidR="001206A5" w:rsidRPr="0075122C">
        <w:rPr>
          <w:rFonts w:cstheme="minorHAnsi"/>
        </w:rPr>
        <w:t>e</w:t>
      </w:r>
      <w:r w:rsidR="009705F8" w:rsidRPr="0075122C">
        <w:rPr>
          <w:rFonts w:cstheme="minorHAnsi"/>
        </w:rPr>
        <w:t xml:space="preserve"> klíčovým strategicko-koncepčním materiálem v oblasti školství, který MŠMT zpracovává na základě školského zákona. Kromě jiného slouží zároveň jako </w:t>
      </w:r>
      <w:r w:rsidRPr="0075122C">
        <w:rPr>
          <w:rFonts w:cstheme="minorHAnsi"/>
        </w:rPr>
        <w:t>významný nástroj formování vzdělávací soustavy. Navazuje na celou řadu studií, analýz, koncepčních a strategických dokumentů vydávaných na národní</w:t>
      </w:r>
      <w:r w:rsidR="009705F8" w:rsidRPr="0075122C">
        <w:rPr>
          <w:rFonts w:cstheme="minorHAnsi"/>
        </w:rPr>
        <w:t xml:space="preserve"> </w:t>
      </w:r>
      <w:r w:rsidRPr="0075122C">
        <w:rPr>
          <w:rFonts w:cstheme="minorHAnsi"/>
        </w:rPr>
        <w:t>i nadnárodní úrovni, respektuje Programové prohlášení vlády z června 2018.</w:t>
      </w:r>
    </w:p>
    <w:p w:rsidR="001206A5" w:rsidRPr="0075122C" w:rsidRDefault="001D528D" w:rsidP="00435DCC">
      <w:pPr>
        <w:spacing w:before="120" w:after="0" w:line="240" w:lineRule="auto"/>
        <w:jc w:val="both"/>
        <w:rPr>
          <w:rFonts w:cstheme="minorHAnsi"/>
          <w:b/>
        </w:rPr>
      </w:pPr>
      <w:r w:rsidRPr="0075122C">
        <w:rPr>
          <w:rFonts w:cstheme="minorHAnsi"/>
          <w:b/>
        </w:rPr>
        <w:t>Vybrané s</w:t>
      </w:r>
      <w:r w:rsidR="00EE49D1" w:rsidRPr="0075122C">
        <w:rPr>
          <w:rFonts w:cstheme="minorHAnsi"/>
          <w:b/>
        </w:rPr>
        <w:t>trategické cíle, priority a úkoly ministerstva pro období 2019-2023</w:t>
      </w:r>
      <w:r w:rsidR="001206A5" w:rsidRPr="0075122C">
        <w:rPr>
          <w:rFonts w:cstheme="minorHAnsi"/>
          <w:b/>
        </w:rPr>
        <w:t>:</w:t>
      </w:r>
    </w:p>
    <w:p w:rsidR="001206A5"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Více peněz za kvalitní práci pedagogů</w:t>
      </w:r>
      <w:r w:rsidR="007A1023">
        <w:rPr>
          <w:rFonts w:asciiTheme="minorHAnsi" w:hAnsiTheme="minorHAnsi" w:cstheme="minorHAnsi"/>
        </w:rPr>
        <w:t>;</w:t>
      </w:r>
    </w:p>
    <w:p w:rsidR="001206A5"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Zlepšit možnosti škol v rámci nadtarifních složek platu oceňovat větší rozsah a kvalitu práce pedagogických pracovníků</w:t>
      </w:r>
      <w:r w:rsidR="007A1023">
        <w:rPr>
          <w:rFonts w:asciiTheme="minorHAnsi" w:hAnsiTheme="minorHAnsi" w:cstheme="minorHAnsi"/>
        </w:rPr>
        <w:t>;</w:t>
      </w:r>
    </w:p>
    <w:p w:rsidR="001206A5"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Provést revizi kurikula a podpořit implementaci inovovaných RVP do škol</w:t>
      </w:r>
      <w:r w:rsidR="007A1023">
        <w:rPr>
          <w:rFonts w:asciiTheme="minorHAnsi" w:hAnsiTheme="minorHAnsi" w:cstheme="minorHAnsi"/>
        </w:rPr>
        <w:t>;</w:t>
      </w:r>
    </w:p>
    <w:p w:rsidR="001206A5"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Přizpůsobit RVP požadavkům na občanský a pracovní život absolventů v následujících desetiletích jejich života</w:t>
      </w:r>
      <w:r w:rsidR="007A1023">
        <w:rPr>
          <w:rFonts w:asciiTheme="minorHAnsi" w:hAnsiTheme="minorHAnsi" w:cstheme="minorHAnsi"/>
        </w:rPr>
        <w:t>;</w:t>
      </w:r>
    </w:p>
    <w:p w:rsidR="001206A5"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Zlepšení řízení škol a školských zařízení zefektivněním spolupráce centra a středního článku řízení (krajské úřady)</w:t>
      </w:r>
      <w:r w:rsidR="007A1023">
        <w:rPr>
          <w:rFonts w:asciiTheme="minorHAnsi" w:hAnsiTheme="minorHAnsi" w:cstheme="minorHAnsi"/>
        </w:rPr>
        <w:t>;</w:t>
      </w:r>
    </w:p>
    <w:p w:rsidR="001206A5"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Zlepšit kooperaci se zaměstnavateli ve školách zřizovaných krajem</w:t>
      </w:r>
      <w:r w:rsidR="007A1023">
        <w:rPr>
          <w:rFonts w:asciiTheme="minorHAnsi" w:hAnsiTheme="minorHAnsi" w:cstheme="minorHAnsi"/>
        </w:rPr>
        <w:t>;</w:t>
      </w:r>
    </w:p>
    <w:p w:rsidR="00EE49D1"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 xml:space="preserve">Vytvořit jednotnou informační platformu Resortního informačního systému MŠMT (RIS MŠMT) pro sdílení autoritativních a statisticko-administrativních dat postavenou na možnosti připojení dalších oprávněných subjektů </w:t>
      </w:r>
      <w:r w:rsidR="007A1023">
        <w:rPr>
          <w:rFonts w:asciiTheme="minorHAnsi" w:hAnsiTheme="minorHAnsi" w:cstheme="minorHAnsi"/>
        </w:rPr>
        <w:t>.</w:t>
      </w:r>
    </w:p>
    <w:p w:rsidR="00EE49D1" w:rsidRPr="0075122C" w:rsidRDefault="00EE49D1" w:rsidP="00435DCC">
      <w:pPr>
        <w:spacing w:before="120" w:after="0" w:line="240" w:lineRule="auto"/>
        <w:jc w:val="both"/>
        <w:rPr>
          <w:rFonts w:cstheme="minorHAnsi"/>
          <w:b/>
        </w:rPr>
      </w:pPr>
      <w:r w:rsidRPr="0075122C">
        <w:rPr>
          <w:rFonts w:cstheme="minorHAnsi"/>
          <w:b/>
        </w:rPr>
        <w:lastRenderedPageBreak/>
        <w:t xml:space="preserve">Další </w:t>
      </w:r>
      <w:r w:rsidR="00F808E5" w:rsidRPr="0075122C">
        <w:rPr>
          <w:rFonts w:cstheme="minorHAnsi"/>
          <w:b/>
        </w:rPr>
        <w:t xml:space="preserve">vybrané </w:t>
      </w:r>
      <w:r w:rsidRPr="0075122C">
        <w:rPr>
          <w:rFonts w:cstheme="minorHAnsi"/>
          <w:b/>
        </w:rPr>
        <w:t>cíle ministerstva podle oblastí vzdělávání</w:t>
      </w:r>
      <w:r w:rsidR="00F808E5" w:rsidRPr="0075122C">
        <w:rPr>
          <w:rFonts w:cstheme="minorHAnsi"/>
          <w:b/>
        </w:rPr>
        <w:t>:</w:t>
      </w:r>
    </w:p>
    <w:p w:rsidR="00EE49D1" w:rsidRPr="0075122C" w:rsidRDefault="00EE49D1" w:rsidP="00435DCC">
      <w:pPr>
        <w:spacing w:before="120" w:after="0" w:line="240" w:lineRule="auto"/>
        <w:jc w:val="both"/>
        <w:rPr>
          <w:rFonts w:cstheme="minorHAnsi"/>
        </w:rPr>
      </w:pPr>
      <w:r w:rsidRPr="0075122C">
        <w:rPr>
          <w:rFonts w:cstheme="minorHAnsi"/>
        </w:rPr>
        <w:t>Předškolní vzdělávání</w:t>
      </w:r>
      <w:r w:rsidR="007A1023">
        <w:rPr>
          <w:rFonts w:cstheme="minorHAnsi"/>
        </w:rPr>
        <w:t>;</w:t>
      </w:r>
    </w:p>
    <w:p w:rsidR="00F808E5"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Podporovat zřizovatele při rozšiřování kapacit MŠ v lokalitách, kde bude v následujících letech trvalý převis poptávky po umístění dětí do MŠ</w:t>
      </w:r>
      <w:r w:rsidR="007A1023">
        <w:rPr>
          <w:rFonts w:asciiTheme="minorHAnsi" w:hAnsiTheme="minorHAnsi" w:cstheme="minorHAnsi"/>
        </w:rPr>
        <w:t>;</w:t>
      </w:r>
    </w:p>
    <w:p w:rsidR="00F808E5"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Zvyšovat podíl dětí zapojených v povinném předškolním vzdělávání</w:t>
      </w:r>
      <w:r w:rsidR="007A1023">
        <w:rPr>
          <w:rFonts w:asciiTheme="minorHAnsi" w:hAnsiTheme="minorHAnsi" w:cstheme="minorHAnsi"/>
        </w:rPr>
        <w:t>;</w:t>
      </w:r>
    </w:p>
    <w:p w:rsidR="00F808E5"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Zkvalitňovat předškolní vzdělávání a eliminovat odklady povinné školní docházky</w:t>
      </w:r>
      <w:r w:rsidR="007A1023">
        <w:rPr>
          <w:rFonts w:asciiTheme="minorHAnsi" w:hAnsiTheme="minorHAnsi" w:cstheme="minorHAnsi"/>
        </w:rPr>
        <w:t>;</w:t>
      </w:r>
    </w:p>
    <w:p w:rsidR="00F808E5"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Postupně snižovat počet dětí ve třídě s ohledem na možnosti MŠ a směřovat tak</w:t>
      </w:r>
      <w:r w:rsidR="00F808E5" w:rsidRPr="0075122C">
        <w:rPr>
          <w:rFonts w:asciiTheme="minorHAnsi" w:hAnsiTheme="minorHAnsi" w:cstheme="minorHAnsi"/>
        </w:rPr>
        <w:t xml:space="preserve"> </w:t>
      </w:r>
      <w:r w:rsidRPr="0075122C">
        <w:rPr>
          <w:rFonts w:asciiTheme="minorHAnsi" w:hAnsiTheme="minorHAnsi" w:cstheme="minorHAnsi"/>
        </w:rPr>
        <w:t>k individualizovanému vzdělávacímu přístupu</w:t>
      </w:r>
      <w:r w:rsidR="007A1023">
        <w:rPr>
          <w:rFonts w:asciiTheme="minorHAnsi" w:hAnsiTheme="minorHAnsi" w:cstheme="minorHAnsi"/>
        </w:rPr>
        <w:t>;</w:t>
      </w:r>
    </w:p>
    <w:p w:rsidR="00EE49D1" w:rsidRPr="0075122C" w:rsidRDefault="00EE49D1" w:rsidP="00435DCC">
      <w:pPr>
        <w:pStyle w:val="Odstavecseseznamem"/>
        <w:numPr>
          <w:ilvl w:val="0"/>
          <w:numId w:val="8"/>
        </w:numPr>
        <w:spacing w:before="120"/>
        <w:jc w:val="both"/>
        <w:rPr>
          <w:rFonts w:asciiTheme="minorHAnsi" w:hAnsiTheme="minorHAnsi" w:cstheme="minorHAnsi"/>
        </w:rPr>
      </w:pPr>
      <w:r w:rsidRPr="0075122C">
        <w:rPr>
          <w:rFonts w:asciiTheme="minorHAnsi" w:hAnsiTheme="minorHAnsi" w:cstheme="minorHAnsi"/>
        </w:rPr>
        <w:t>Podporovat prvky polytechnické výchovy, rozvoj digitálních kompetencí a prohlubování znalostí</w:t>
      </w:r>
      <w:r w:rsidR="00F808E5" w:rsidRPr="0075122C">
        <w:rPr>
          <w:rFonts w:asciiTheme="minorHAnsi" w:hAnsiTheme="minorHAnsi" w:cstheme="minorHAnsi"/>
        </w:rPr>
        <w:t xml:space="preserve"> </w:t>
      </w:r>
      <w:r w:rsidRPr="0075122C">
        <w:rPr>
          <w:rFonts w:asciiTheme="minorHAnsi" w:hAnsiTheme="minorHAnsi" w:cstheme="minorHAnsi"/>
        </w:rPr>
        <w:t>z oblasti kybernetické bezpečnosti</w:t>
      </w:r>
      <w:r w:rsidR="007A1023">
        <w:rPr>
          <w:rFonts w:asciiTheme="minorHAnsi" w:hAnsiTheme="minorHAnsi" w:cstheme="minorHAnsi"/>
        </w:rPr>
        <w:t>;</w:t>
      </w:r>
    </w:p>
    <w:p w:rsidR="00F808E5" w:rsidRPr="0075122C" w:rsidRDefault="00EE49D1" w:rsidP="00435DCC">
      <w:pPr>
        <w:spacing w:before="120" w:after="0" w:line="240" w:lineRule="auto"/>
        <w:jc w:val="both"/>
        <w:rPr>
          <w:rFonts w:cstheme="minorHAnsi"/>
        </w:rPr>
      </w:pPr>
      <w:r w:rsidRPr="0075122C">
        <w:rPr>
          <w:rFonts w:cstheme="minorHAnsi"/>
        </w:rPr>
        <w:t>Základní vzdělávání (dále jen „ZV“)</w:t>
      </w:r>
      <w:r w:rsidR="007A1023">
        <w:rPr>
          <w:rFonts w:cstheme="minorHAnsi"/>
        </w:rPr>
        <w:t>;</w:t>
      </w:r>
    </w:p>
    <w:p w:rsidR="00F808E5" w:rsidRPr="0075122C" w:rsidRDefault="00EE49D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Revidovat, zjednodušit RVP ZV, připravit modelové ŠVP</w:t>
      </w:r>
      <w:r w:rsidR="00435DCC">
        <w:rPr>
          <w:rFonts w:asciiTheme="minorHAnsi" w:hAnsiTheme="minorHAnsi" w:cstheme="minorHAnsi"/>
        </w:rPr>
        <w:t>;</w:t>
      </w:r>
    </w:p>
    <w:p w:rsidR="00F808E5" w:rsidRPr="0075122C" w:rsidRDefault="00EE49D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Navrhnout nástroje pro zvýšení kvality vzdělávání, zejména na 2. stupni základního vzdělávání</w:t>
      </w:r>
      <w:r w:rsidR="00435DCC">
        <w:rPr>
          <w:rFonts w:asciiTheme="minorHAnsi" w:hAnsiTheme="minorHAnsi" w:cstheme="minorHAnsi"/>
        </w:rPr>
        <w:t>;</w:t>
      </w:r>
    </w:p>
    <w:p w:rsidR="00F808E5" w:rsidRPr="0075122C" w:rsidRDefault="00EE49D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Začleňovat nové technologie do výuky, podporovat využívání digitálních technologií s důrazem na rozvoj technického myšlení, technické tvořivosti, manuální zručnosti, informatického myšlení žáků, prohlubování znalostí z oblasti kybernetické bezpečnosti; pokusně ověřit zavádění předmětu Technika</w:t>
      </w:r>
      <w:r w:rsidR="00F808E5" w:rsidRPr="0075122C">
        <w:rPr>
          <w:rFonts w:asciiTheme="minorHAnsi" w:hAnsiTheme="minorHAnsi" w:cstheme="minorHAnsi"/>
        </w:rPr>
        <w:t xml:space="preserve"> </w:t>
      </w:r>
      <w:r w:rsidRPr="0075122C">
        <w:rPr>
          <w:rFonts w:asciiTheme="minorHAnsi" w:hAnsiTheme="minorHAnsi" w:cstheme="minorHAnsi"/>
        </w:rPr>
        <w:t xml:space="preserve">a dle výsledku ověřování jej zařazovat do ŠVP </w:t>
      </w:r>
      <w:r w:rsidR="00435DCC">
        <w:rPr>
          <w:rFonts w:asciiTheme="minorHAnsi" w:hAnsiTheme="minorHAnsi" w:cstheme="minorHAnsi"/>
        </w:rPr>
        <w:t>;</w:t>
      </w:r>
    </w:p>
    <w:p w:rsidR="00F808E5" w:rsidRPr="0075122C" w:rsidRDefault="00EE49D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Provést věcnou a finanční revizi společného vzdělávání</w:t>
      </w:r>
      <w:r w:rsidR="00435DCC">
        <w:rPr>
          <w:rFonts w:asciiTheme="minorHAnsi" w:hAnsiTheme="minorHAnsi" w:cstheme="minorHAnsi"/>
        </w:rPr>
        <w:t>;</w:t>
      </w:r>
    </w:p>
    <w:p w:rsidR="00F808E5" w:rsidRPr="0075122C" w:rsidRDefault="00EE49D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Inovovat soustavu oborů vzdělání a revidovat rámcové vzdělávací programy středního vzdělávání</w:t>
      </w:r>
      <w:r w:rsidR="00435DCC">
        <w:rPr>
          <w:rFonts w:asciiTheme="minorHAnsi" w:hAnsiTheme="minorHAnsi" w:cstheme="minorHAnsi"/>
        </w:rPr>
        <w:t>;</w:t>
      </w:r>
    </w:p>
    <w:p w:rsidR="00F808E5" w:rsidRPr="0075122C" w:rsidRDefault="00EE49D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Revidovat RVP pro oblast středního vzdělávání se zaměřením na aktualizaci oborové struktury i v souvislosti s digitalizací a robotizací nejen výrobní sféry začlenit nové prvky odborné přípravy v nově akreditovaných vzdělávacích programech s důrazem na rozvoj digitálních kompetencí</w:t>
      </w:r>
      <w:r w:rsidR="00435DCC">
        <w:rPr>
          <w:rFonts w:asciiTheme="minorHAnsi" w:hAnsiTheme="minorHAnsi" w:cstheme="minorHAnsi"/>
        </w:rPr>
        <w:t>;</w:t>
      </w:r>
    </w:p>
    <w:p w:rsidR="00F808E5" w:rsidRPr="0075122C" w:rsidRDefault="00EE49D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Zvýšit zapojení zaměstnavatelů a věcně příslušných resortů</w:t>
      </w:r>
      <w:r w:rsidR="00435DCC">
        <w:rPr>
          <w:rFonts w:asciiTheme="minorHAnsi" w:hAnsiTheme="minorHAnsi" w:cstheme="minorHAnsi"/>
        </w:rPr>
        <w:t>;</w:t>
      </w:r>
    </w:p>
    <w:p w:rsidR="00F808E5" w:rsidRPr="0075122C" w:rsidRDefault="00EE49D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Rozvíjet obsah, rozsah a kvalitu praktického vyučování</w:t>
      </w:r>
      <w:r w:rsidR="00435DCC">
        <w:rPr>
          <w:rFonts w:asciiTheme="minorHAnsi" w:hAnsiTheme="minorHAnsi" w:cstheme="minorHAnsi"/>
        </w:rPr>
        <w:t>;</w:t>
      </w:r>
    </w:p>
    <w:p w:rsidR="00F808E5" w:rsidRPr="0075122C" w:rsidRDefault="00EE49D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Rozvíjet spolupráci se zástupci zaměstnavatelů, iniciovat zapojení zaměstnavatelských svazů do přímé a nepřímé podpory škol</w:t>
      </w:r>
      <w:r w:rsidR="00435DCC">
        <w:rPr>
          <w:rFonts w:asciiTheme="minorHAnsi" w:hAnsiTheme="minorHAnsi" w:cstheme="minorHAnsi"/>
        </w:rPr>
        <w:t>;</w:t>
      </w:r>
    </w:p>
    <w:p w:rsidR="00981C7F" w:rsidRPr="0075122C" w:rsidRDefault="00EE49D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Snížit riziko předčasných odchodů ze vzdělávání</w:t>
      </w:r>
      <w:r w:rsidR="00435DCC">
        <w:rPr>
          <w:rFonts w:asciiTheme="minorHAnsi" w:hAnsiTheme="minorHAnsi" w:cstheme="minorHAnsi"/>
        </w:rPr>
        <w:t>.</w:t>
      </w:r>
    </w:p>
    <w:p w:rsidR="00D52D2F" w:rsidRPr="0075122C" w:rsidRDefault="00D52D2F" w:rsidP="00435DCC">
      <w:pPr>
        <w:pStyle w:val="Nadpis2"/>
        <w:numPr>
          <w:ilvl w:val="0"/>
          <w:numId w:val="5"/>
        </w:numPr>
        <w:spacing w:before="120" w:line="240" w:lineRule="auto"/>
        <w:jc w:val="both"/>
        <w:rPr>
          <w:rFonts w:asciiTheme="minorHAnsi" w:hAnsiTheme="minorHAnsi" w:cstheme="minorHAnsi"/>
        </w:rPr>
      </w:pPr>
      <w:bookmarkStart w:id="3" w:name="_Toc22921510"/>
      <w:r w:rsidRPr="0075122C">
        <w:rPr>
          <w:rFonts w:asciiTheme="minorHAnsi" w:hAnsiTheme="minorHAnsi" w:cstheme="minorHAnsi"/>
        </w:rPr>
        <w:t>Implementace reformy financování regionálního školství</w:t>
      </w:r>
      <w:bookmarkEnd w:id="3"/>
    </w:p>
    <w:p w:rsidR="00E832EF" w:rsidRPr="0075122C" w:rsidRDefault="00E832EF" w:rsidP="00435DCC">
      <w:pPr>
        <w:spacing w:before="120" w:after="0" w:line="240" w:lineRule="auto"/>
        <w:jc w:val="both"/>
        <w:rPr>
          <w:rFonts w:cstheme="minorHAnsi"/>
        </w:rPr>
      </w:pPr>
      <w:r w:rsidRPr="0075122C">
        <w:rPr>
          <w:rFonts w:cstheme="minorHAnsi"/>
        </w:rPr>
        <w:t>Přelomová a dlouhou dobu očekávána reforma financování regionálního školství</w:t>
      </w:r>
      <w:r w:rsidR="00981C7F" w:rsidRPr="0075122C">
        <w:rPr>
          <w:rFonts w:cstheme="minorHAnsi"/>
        </w:rPr>
        <w:t xml:space="preserve"> (škol a školských zařízení spravovaných kraji a obcemi)</w:t>
      </w:r>
      <w:r w:rsidRPr="0075122C">
        <w:rPr>
          <w:rFonts w:cstheme="minorHAnsi"/>
        </w:rPr>
        <w:t xml:space="preserve"> začala schválením novely školského zákona v roce 2017. MŠMT od té doby usilovně pracuje na její implementaci, a to s důrazem na seznámení ředitelů škol, úředníků územních samospráv a širší odborné veřejnosti s jejími praktickými dopady a především s novými postupy tak, aby od nového roku reforma úspěšně naběhla.</w:t>
      </w:r>
    </w:p>
    <w:p w:rsidR="00E832EF" w:rsidRPr="0075122C" w:rsidRDefault="00E832EF" w:rsidP="00435DCC">
      <w:pPr>
        <w:spacing w:before="120" w:after="0" w:line="240" w:lineRule="auto"/>
        <w:jc w:val="both"/>
        <w:rPr>
          <w:rFonts w:cstheme="minorHAnsi"/>
        </w:rPr>
      </w:pPr>
      <w:r w:rsidRPr="0075122C">
        <w:rPr>
          <w:rFonts w:cstheme="minorHAnsi"/>
        </w:rPr>
        <w:t>Hlavní principy reformy spočívají ve:</w:t>
      </w:r>
    </w:p>
    <w:p w:rsidR="00E832EF" w:rsidRPr="0075122C" w:rsidRDefault="00E832EF"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větší míře centralizace při financování RgŠ ÚSC (náhrada části sytému stávajících republikových a krajských normativů systémem normativů stanovených centrálně z úrovně MŠMT). Zajištění rovnosti financování v případech, kdy rozdíly byly nedůvodné</w:t>
      </w:r>
      <w:r w:rsidR="00435DCC">
        <w:rPr>
          <w:rFonts w:asciiTheme="minorHAnsi" w:hAnsiTheme="minorHAnsi" w:cstheme="minorHAnsi"/>
        </w:rPr>
        <w:t>;</w:t>
      </w:r>
    </w:p>
    <w:p w:rsidR="00E832EF" w:rsidRPr="0075122C" w:rsidRDefault="00E832EF"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lastRenderedPageBreak/>
        <w:t xml:space="preserve">Zavedení zcela odlišného systému normativního financování pedagogické práce ve vybraných druzích škol (mateřské školy, základní školy, střední školy, konzervatoře) a typech školských zařízeních (školní družiny) zřizovaných ÚSC. Právní předpisy pro ně stanoví maximální možný rozsah vzdělávání, nebo maximální možný rozsah přímé pedagogické činnosti hrazený ze státního rozpočtu. To zajistí větší transparentnost a předvídatelnost pro ředitele škol. </w:t>
      </w:r>
    </w:p>
    <w:p w:rsidR="00E832EF" w:rsidRPr="0075122C" w:rsidRDefault="00E832EF" w:rsidP="00435DCC">
      <w:pPr>
        <w:spacing w:before="120" w:after="0" w:line="240" w:lineRule="auto"/>
        <w:jc w:val="both"/>
        <w:rPr>
          <w:rFonts w:cstheme="minorHAnsi"/>
        </w:rPr>
      </w:pPr>
      <w:r w:rsidRPr="0075122C">
        <w:rPr>
          <w:rFonts w:cstheme="minorHAnsi"/>
        </w:rPr>
        <w:t xml:space="preserve">MŠMT si </w:t>
      </w:r>
      <w:r w:rsidR="00981C7F" w:rsidRPr="0075122C">
        <w:rPr>
          <w:rFonts w:cstheme="minorHAnsi"/>
        </w:rPr>
        <w:t xml:space="preserve">tak od reformy </w:t>
      </w:r>
      <w:r w:rsidRPr="0075122C">
        <w:rPr>
          <w:rFonts w:cstheme="minorHAnsi"/>
        </w:rPr>
        <w:t>slibuje především:</w:t>
      </w:r>
    </w:p>
    <w:p w:rsidR="00E832EF" w:rsidRPr="0075122C" w:rsidRDefault="00E832EF"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Narovnání systému rozdělování peněz</w:t>
      </w:r>
      <w:r w:rsidR="00435DCC">
        <w:rPr>
          <w:rFonts w:asciiTheme="minorHAnsi" w:hAnsiTheme="minorHAnsi" w:cstheme="minorHAnsi"/>
        </w:rPr>
        <w:t>;</w:t>
      </w:r>
    </w:p>
    <w:p w:rsidR="00E832EF" w:rsidRPr="0075122C" w:rsidRDefault="00E832EF"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Školy dostanou prokazatelně víc peněz na zkvalitnění vzdělávání</w:t>
      </w:r>
      <w:r w:rsidR="00435DCC">
        <w:rPr>
          <w:rFonts w:asciiTheme="minorHAnsi" w:hAnsiTheme="minorHAnsi" w:cstheme="minorHAnsi"/>
        </w:rPr>
        <w:t>;</w:t>
      </w:r>
    </w:p>
    <w:p w:rsidR="00E832EF" w:rsidRPr="0075122C" w:rsidRDefault="00E832EF"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Ředitelé získají jasná pravidla pro financování, systém bude předvídatelný</w:t>
      </w:r>
      <w:r w:rsidR="00435DCC">
        <w:rPr>
          <w:rFonts w:asciiTheme="minorHAnsi" w:hAnsiTheme="minorHAnsi" w:cstheme="minorHAnsi"/>
        </w:rPr>
        <w:t>;</w:t>
      </w:r>
    </w:p>
    <w:p w:rsidR="00E832EF" w:rsidRPr="0075122C" w:rsidRDefault="00E832EF"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Zjednoduše</w:t>
      </w:r>
      <w:r w:rsidR="0024445E">
        <w:rPr>
          <w:rFonts w:asciiTheme="minorHAnsi" w:hAnsiTheme="minorHAnsi" w:cstheme="minorHAnsi"/>
        </w:rPr>
        <w:t>ní ekonomické administrativy</w:t>
      </w:r>
      <w:bookmarkStart w:id="4" w:name="_GoBack"/>
      <w:bookmarkEnd w:id="4"/>
      <w:r w:rsidR="00435DCC">
        <w:rPr>
          <w:rFonts w:asciiTheme="minorHAnsi" w:hAnsiTheme="minorHAnsi" w:cstheme="minorHAnsi"/>
        </w:rPr>
        <w:t>;</w:t>
      </w:r>
    </w:p>
    <w:p w:rsidR="00E832EF" w:rsidRPr="0075122C" w:rsidRDefault="00E832EF"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Pravomoci ředitelů škol nejsou změnou nijak omezeny.</w:t>
      </w:r>
    </w:p>
    <w:p w:rsidR="004F3DFA" w:rsidRPr="0075122C" w:rsidRDefault="00C90CB7" w:rsidP="00435DCC">
      <w:pPr>
        <w:spacing w:before="120" w:after="0" w:line="240" w:lineRule="auto"/>
        <w:jc w:val="both"/>
        <w:rPr>
          <w:rFonts w:cstheme="minorHAnsi"/>
        </w:rPr>
      </w:pPr>
      <w:r w:rsidRPr="0075122C">
        <w:rPr>
          <w:rFonts w:cstheme="minorHAnsi"/>
        </w:rPr>
        <w:t>Významným faktorem pro úspěšný náběh reformy je příprava a proškolení vedoucích pracovníků ve školství a úředníků vykonávajících státní správy v této oblasti. MŠMT tedy za tímto účelem jen v srpnu a září 2016 uspořádalo semináře pro úředníky k reformě financování. Zástupci MŠMT školili úředníky obcí s rozšířenou působností a krajských úřadů. Celkem bylo proškoleno kolem 1500 účastníků.</w:t>
      </w:r>
      <w:r w:rsidR="006143E8" w:rsidRPr="0075122C">
        <w:rPr>
          <w:rFonts w:cstheme="minorHAnsi"/>
        </w:rPr>
        <w:t xml:space="preserve"> Další stovky ředitelů škol proškolilo MŠMT v předcházejícím období.</w:t>
      </w:r>
      <w:r w:rsidR="004F3DFA" w:rsidRPr="0075122C">
        <w:rPr>
          <w:rFonts w:cstheme="minorHAnsi"/>
        </w:rPr>
        <w:br w:type="page"/>
      </w:r>
    </w:p>
    <w:p w:rsidR="00C3082C" w:rsidRPr="0075122C" w:rsidRDefault="00C3082C" w:rsidP="00435DCC">
      <w:pPr>
        <w:pStyle w:val="Nadpis1"/>
        <w:numPr>
          <w:ilvl w:val="0"/>
          <w:numId w:val="17"/>
        </w:numPr>
        <w:spacing w:before="120" w:line="240" w:lineRule="auto"/>
        <w:jc w:val="both"/>
        <w:rPr>
          <w:rFonts w:asciiTheme="minorHAnsi" w:hAnsiTheme="minorHAnsi" w:cstheme="minorHAnsi"/>
        </w:rPr>
      </w:pPr>
      <w:bookmarkStart w:id="5" w:name="_Toc22921511"/>
      <w:r w:rsidRPr="0075122C">
        <w:rPr>
          <w:rFonts w:asciiTheme="minorHAnsi" w:hAnsiTheme="minorHAnsi" w:cstheme="minorHAnsi"/>
        </w:rPr>
        <w:lastRenderedPageBreak/>
        <w:t>Revize obsahu vzdělávání</w:t>
      </w:r>
      <w:bookmarkEnd w:id="5"/>
    </w:p>
    <w:p w:rsidR="001206A5" w:rsidRPr="0075122C" w:rsidRDefault="001206A5" w:rsidP="00435DCC">
      <w:pPr>
        <w:spacing w:before="120" w:after="0" w:line="240" w:lineRule="auto"/>
        <w:jc w:val="both"/>
        <w:rPr>
          <w:rFonts w:cstheme="minorHAnsi"/>
          <w:b/>
        </w:rPr>
      </w:pPr>
      <w:r w:rsidRPr="0075122C">
        <w:rPr>
          <w:rFonts w:cstheme="minorHAnsi"/>
          <w:b/>
        </w:rPr>
        <w:t>POPIS HLAVNÍCH POTÍŽÍ SYSTÉMU, NA KTERÉ CÍLÍ VLÁDOU NAVRHOVANÁ OPATŘENÍ</w:t>
      </w:r>
    </w:p>
    <w:p w:rsidR="001206A5" w:rsidRPr="0075122C" w:rsidRDefault="00773E2D" w:rsidP="00435DCC">
      <w:pPr>
        <w:spacing w:before="120" w:after="0" w:line="240" w:lineRule="auto"/>
        <w:jc w:val="both"/>
        <w:rPr>
          <w:rFonts w:cstheme="minorHAnsi"/>
        </w:rPr>
      </w:pPr>
      <w:r w:rsidRPr="0075122C">
        <w:rPr>
          <w:rFonts w:cstheme="minorHAnsi"/>
        </w:rPr>
        <w:t>D</w:t>
      </w:r>
      <w:r w:rsidR="00247056" w:rsidRPr="0075122C">
        <w:rPr>
          <w:rFonts w:cstheme="minorHAnsi"/>
        </w:rPr>
        <w:t>omácí i zahraniční šetření, která realizuje či je do nich zapojena Česká školní inspekce (ČŠI) stejně jako další studie a šetření ukazují na nedostatky týkající se průběhu a především výsledků žáků v kompetencích, dovednostech a znalostech potřebných pro rozvoj tzv. „nové“ či „digitální“ ekonomiky (často jsou v této souvislosti dále zmiňovány pojmy jako průmysl 4.0 a podobné).</w:t>
      </w:r>
    </w:p>
    <w:p w:rsidR="00247056" w:rsidRPr="0075122C" w:rsidRDefault="00247056" w:rsidP="00435DCC">
      <w:pPr>
        <w:spacing w:before="120" w:after="0" w:line="240" w:lineRule="auto"/>
        <w:jc w:val="both"/>
        <w:rPr>
          <w:rFonts w:cstheme="minorHAnsi"/>
        </w:rPr>
      </w:pPr>
      <w:r w:rsidRPr="0075122C">
        <w:rPr>
          <w:rFonts w:cstheme="minorHAnsi"/>
        </w:rPr>
        <w:t>Zároveň je vzdělávací politika konfrontována s požadavky zaměstnavatelů, kteří akcentují potřebu pracovních kvalifikovaných v technických oborech.</w:t>
      </w:r>
    </w:p>
    <w:p w:rsidR="00297663" w:rsidRPr="0075122C" w:rsidRDefault="00297663" w:rsidP="00435DCC">
      <w:pPr>
        <w:spacing w:before="120" w:after="0" w:line="240" w:lineRule="auto"/>
        <w:jc w:val="both"/>
        <w:rPr>
          <w:rFonts w:cstheme="minorHAnsi"/>
          <w:b/>
        </w:rPr>
      </w:pPr>
      <w:r w:rsidRPr="0075122C">
        <w:rPr>
          <w:rFonts w:cstheme="minorHAnsi"/>
          <w:b/>
        </w:rPr>
        <w:t>NAVRHOVANÁ A PROVÁDĚNÁ OPATŘENÍ</w:t>
      </w:r>
    </w:p>
    <w:p w:rsidR="00FB5F70" w:rsidRPr="0075122C" w:rsidRDefault="0029531E" w:rsidP="00435DCC">
      <w:pPr>
        <w:pStyle w:val="Nadpis2"/>
        <w:numPr>
          <w:ilvl w:val="0"/>
          <w:numId w:val="6"/>
        </w:numPr>
        <w:spacing w:before="120" w:line="240" w:lineRule="auto"/>
        <w:jc w:val="both"/>
        <w:rPr>
          <w:rFonts w:asciiTheme="minorHAnsi" w:hAnsiTheme="minorHAnsi" w:cstheme="minorHAnsi"/>
        </w:rPr>
      </w:pPr>
      <w:bookmarkStart w:id="6" w:name="_Toc22921512"/>
      <w:r w:rsidRPr="0075122C">
        <w:rPr>
          <w:rFonts w:asciiTheme="minorHAnsi" w:hAnsiTheme="minorHAnsi" w:cstheme="minorHAnsi"/>
        </w:rPr>
        <w:t xml:space="preserve">Revize </w:t>
      </w:r>
      <w:r w:rsidR="005020DA">
        <w:rPr>
          <w:rFonts w:asciiTheme="minorHAnsi" w:hAnsiTheme="minorHAnsi" w:cstheme="minorHAnsi"/>
        </w:rPr>
        <w:t>r</w:t>
      </w:r>
      <w:r w:rsidRPr="0075122C">
        <w:rPr>
          <w:rFonts w:asciiTheme="minorHAnsi" w:hAnsiTheme="minorHAnsi" w:cstheme="minorHAnsi"/>
        </w:rPr>
        <w:t>ámcových vzdělávacích programů (RVP)</w:t>
      </w:r>
      <w:bookmarkEnd w:id="6"/>
    </w:p>
    <w:p w:rsidR="000E6116" w:rsidRPr="0075122C" w:rsidRDefault="0029531E" w:rsidP="00435DCC">
      <w:pPr>
        <w:spacing w:before="120" w:after="0" w:line="240" w:lineRule="auto"/>
        <w:jc w:val="both"/>
        <w:rPr>
          <w:rFonts w:cstheme="minorHAnsi"/>
        </w:rPr>
      </w:pPr>
      <w:r w:rsidRPr="0075122C">
        <w:rPr>
          <w:rFonts w:cstheme="minorHAnsi"/>
        </w:rPr>
        <w:t>Připravované revize RVP budou tvořeny v návaznosti na zpracovávanou Strategii 2030+ (viz výše) a budou vycházet především ze zkušeností z dosavadních kurikulárních dokumentů.</w:t>
      </w:r>
    </w:p>
    <w:p w:rsidR="000E6116" w:rsidRPr="0075122C" w:rsidRDefault="000E6116" w:rsidP="00435DCC">
      <w:pPr>
        <w:spacing w:before="120" w:after="0" w:line="240" w:lineRule="auto"/>
        <w:jc w:val="both"/>
        <w:rPr>
          <w:rFonts w:cstheme="minorHAnsi"/>
        </w:rPr>
      </w:pPr>
      <w:r w:rsidRPr="0075122C">
        <w:rPr>
          <w:rFonts w:cstheme="minorHAnsi"/>
        </w:rPr>
        <w:t>Při jejich koncipování se vychází z několika klíčových poznatků. Z</w:t>
      </w:r>
      <w:r w:rsidR="00435DCC">
        <w:rPr>
          <w:rFonts w:cstheme="minorHAnsi"/>
        </w:rPr>
        <w:t>a</w:t>
      </w:r>
      <w:r w:rsidRPr="0075122C">
        <w:rPr>
          <w:rFonts w:cstheme="minorHAnsi"/>
        </w:rPr>
        <w:t xml:space="preserve"> prvé, žáci a studenti jsou přetěžováni informacemi. Probírané učivo, na všech stupních, je příliš široké a obsahuje celou řadu zbytných poznatků a informací. Učitelé nestíhají povinné učivo procvičit a žáci nemají dostatečný prostor si probrané poznatky osvojit a aplikovat v reálných situacích. </w:t>
      </w:r>
    </w:p>
    <w:p w:rsidR="000E6116" w:rsidRPr="0075122C" w:rsidRDefault="000E6116" w:rsidP="00435DCC">
      <w:pPr>
        <w:spacing w:before="120" w:after="0" w:line="240" w:lineRule="auto"/>
        <w:jc w:val="both"/>
        <w:rPr>
          <w:rFonts w:cstheme="minorHAnsi"/>
        </w:rPr>
      </w:pPr>
      <w:r w:rsidRPr="0075122C">
        <w:rPr>
          <w:rFonts w:cstheme="minorHAnsi"/>
        </w:rPr>
        <w:t xml:space="preserve">Za druhé, ačkoli klíčové kompetence jsou deklarovány jako cíl, nestaly se pevnou součástí průběhu vzdělávání, a především ne jeho hodnocení. </w:t>
      </w:r>
    </w:p>
    <w:p w:rsidR="000E6116" w:rsidRPr="0075122C" w:rsidRDefault="000E6116" w:rsidP="00435DCC">
      <w:pPr>
        <w:spacing w:before="120" w:after="0" w:line="240" w:lineRule="auto"/>
        <w:jc w:val="both"/>
        <w:rPr>
          <w:rFonts w:cstheme="minorHAnsi"/>
        </w:rPr>
      </w:pPr>
      <w:r w:rsidRPr="0075122C">
        <w:rPr>
          <w:rFonts w:cstheme="minorHAnsi"/>
        </w:rPr>
        <w:t>Za třetí, vzdělávání se do značné míry stále zaměřuje na probrání šíře učiva, nikoli na jeho porozumění a následnou aplikaci. Nestačí ovšem jen znát pojmy a mít informace, ale je potřeba si je zařadit do trvalejší mentální struktury a být schopen s nimi pracovat a aplikovat je v různých kontextech, při řešení různých problémů.</w:t>
      </w:r>
    </w:p>
    <w:p w:rsidR="000E6116" w:rsidRPr="0075122C" w:rsidRDefault="000E6116" w:rsidP="00435DCC">
      <w:pPr>
        <w:spacing w:before="120" w:after="0" w:line="240" w:lineRule="auto"/>
        <w:jc w:val="both"/>
        <w:rPr>
          <w:rFonts w:cstheme="minorHAnsi"/>
        </w:rPr>
      </w:pPr>
      <w:r w:rsidRPr="0075122C">
        <w:rPr>
          <w:rFonts w:cstheme="minorHAnsi"/>
        </w:rPr>
        <w:t>Za čtvrté, v současné chvíli existuje poměrně značná míra nejasnosti z hlediska předpokládaného obsahu i rozsahu učiva, které má žák či student zvládnout.</w:t>
      </w:r>
    </w:p>
    <w:p w:rsidR="00FB5F70" w:rsidRPr="0075122C" w:rsidRDefault="0029531E" w:rsidP="00435DCC">
      <w:pPr>
        <w:spacing w:before="120" w:after="0" w:line="240" w:lineRule="auto"/>
        <w:jc w:val="both"/>
        <w:rPr>
          <w:rFonts w:cstheme="minorHAnsi"/>
        </w:rPr>
      </w:pPr>
      <w:r w:rsidRPr="0075122C">
        <w:rPr>
          <w:rFonts w:cstheme="minorHAnsi"/>
        </w:rPr>
        <w:t xml:space="preserve">Hlavní parametry revize </w:t>
      </w:r>
      <w:r w:rsidR="000E6116" w:rsidRPr="0075122C">
        <w:rPr>
          <w:rFonts w:cstheme="minorHAnsi"/>
        </w:rPr>
        <w:t xml:space="preserve">tedy </w:t>
      </w:r>
      <w:r w:rsidRPr="0075122C">
        <w:rPr>
          <w:rFonts w:cstheme="minorHAnsi"/>
        </w:rPr>
        <w:t>spočívají mimo jiné v:</w:t>
      </w:r>
    </w:p>
    <w:p w:rsidR="0029531E" w:rsidRPr="0075122C" w:rsidRDefault="0029531E" w:rsidP="00435DCC">
      <w:pPr>
        <w:pStyle w:val="Odstavecseseznamem"/>
        <w:numPr>
          <w:ilvl w:val="0"/>
          <w:numId w:val="19"/>
        </w:numPr>
        <w:spacing w:before="120"/>
        <w:jc w:val="both"/>
        <w:rPr>
          <w:rFonts w:asciiTheme="minorHAnsi" w:hAnsiTheme="minorHAnsi" w:cstheme="minorHAnsi"/>
        </w:rPr>
      </w:pPr>
      <w:r w:rsidRPr="0075122C">
        <w:rPr>
          <w:rFonts w:asciiTheme="minorHAnsi" w:hAnsiTheme="minorHAnsi" w:cstheme="minorHAnsi"/>
        </w:rPr>
        <w:t>zachování současné dvoustupňové úrovně kurikula (RVP, ŠVP);</w:t>
      </w:r>
    </w:p>
    <w:p w:rsidR="0029531E" w:rsidRPr="0075122C" w:rsidRDefault="0029531E" w:rsidP="00435DCC">
      <w:pPr>
        <w:pStyle w:val="Odstavecseseznamem"/>
        <w:numPr>
          <w:ilvl w:val="0"/>
          <w:numId w:val="19"/>
        </w:numPr>
        <w:spacing w:before="120"/>
        <w:jc w:val="both"/>
        <w:rPr>
          <w:rFonts w:asciiTheme="minorHAnsi" w:hAnsiTheme="minorHAnsi" w:cstheme="minorHAnsi"/>
        </w:rPr>
      </w:pPr>
      <w:r w:rsidRPr="0075122C">
        <w:rPr>
          <w:rFonts w:asciiTheme="minorHAnsi" w:hAnsiTheme="minorHAnsi" w:cstheme="minorHAnsi"/>
        </w:rPr>
        <w:t>zachování základní struktury i užívaných pojmů současných RVP a jejich doplnění o uzlové body vzdělávání s uvedením konkrétních očekávání spojených s uzlovými body vzdělávání</w:t>
      </w:r>
      <w:r w:rsidR="00435DCC">
        <w:rPr>
          <w:rFonts w:asciiTheme="minorHAnsi" w:hAnsiTheme="minorHAnsi" w:cstheme="minorHAnsi"/>
        </w:rPr>
        <w:t>;</w:t>
      </w:r>
    </w:p>
    <w:p w:rsidR="0029531E" w:rsidRPr="0075122C" w:rsidRDefault="00B577DF" w:rsidP="00435DCC">
      <w:pPr>
        <w:pStyle w:val="Odstavecseseznamem"/>
        <w:numPr>
          <w:ilvl w:val="0"/>
          <w:numId w:val="19"/>
        </w:numPr>
        <w:spacing w:before="120"/>
        <w:jc w:val="both"/>
        <w:rPr>
          <w:rFonts w:asciiTheme="minorHAnsi" w:hAnsiTheme="minorHAnsi" w:cstheme="minorHAnsi"/>
        </w:rPr>
      </w:pPr>
      <w:r w:rsidRPr="0075122C">
        <w:rPr>
          <w:rFonts w:asciiTheme="minorHAnsi" w:hAnsiTheme="minorHAnsi" w:cstheme="minorHAnsi"/>
        </w:rPr>
        <w:t>o</w:t>
      </w:r>
      <w:r w:rsidR="0029531E" w:rsidRPr="0075122C">
        <w:rPr>
          <w:rFonts w:asciiTheme="minorHAnsi" w:hAnsiTheme="minorHAnsi" w:cstheme="minorHAnsi"/>
        </w:rPr>
        <w:t>dlišení očekávaných výstupů vzdělávání na jádrové – základní výstupy a výstupy rozvíjející, které budou podkladem pro individualizaci vzděláván</w:t>
      </w:r>
      <w:r w:rsidR="00303837">
        <w:rPr>
          <w:rFonts w:asciiTheme="minorHAnsi" w:hAnsiTheme="minorHAnsi" w:cstheme="minorHAnsi"/>
        </w:rPr>
        <w:t>í</w:t>
      </w:r>
      <w:r w:rsidR="0029531E" w:rsidRPr="0075122C">
        <w:rPr>
          <w:rFonts w:asciiTheme="minorHAnsi" w:hAnsiTheme="minorHAnsi" w:cstheme="minorHAnsi"/>
        </w:rPr>
        <w:t>;</w:t>
      </w:r>
    </w:p>
    <w:p w:rsidR="0029531E" w:rsidRPr="0075122C" w:rsidRDefault="0029531E" w:rsidP="00435DCC">
      <w:pPr>
        <w:pStyle w:val="Odstavecseseznamem"/>
        <w:numPr>
          <w:ilvl w:val="0"/>
          <w:numId w:val="19"/>
        </w:numPr>
        <w:spacing w:before="120"/>
        <w:jc w:val="both"/>
        <w:rPr>
          <w:rFonts w:asciiTheme="minorHAnsi" w:hAnsiTheme="minorHAnsi" w:cstheme="minorHAnsi"/>
        </w:rPr>
      </w:pPr>
      <w:r w:rsidRPr="0075122C">
        <w:rPr>
          <w:rFonts w:asciiTheme="minorHAnsi" w:hAnsiTheme="minorHAnsi" w:cstheme="minorHAnsi"/>
        </w:rPr>
        <w:t>zpřesnění a aktualizace klíčových kompetencí tak, aby byly lepším vodítkem pro tvorbu ŠVP a aby lépe reflektovaly změny, ke kterým ve společnosti dochází;</w:t>
      </w:r>
    </w:p>
    <w:p w:rsidR="0029531E" w:rsidRPr="0075122C" w:rsidRDefault="0029531E" w:rsidP="00435DCC">
      <w:pPr>
        <w:pStyle w:val="Odstavecseseznamem"/>
        <w:numPr>
          <w:ilvl w:val="0"/>
          <w:numId w:val="19"/>
        </w:numPr>
        <w:spacing w:before="120"/>
        <w:jc w:val="both"/>
        <w:rPr>
          <w:rFonts w:asciiTheme="minorHAnsi" w:hAnsiTheme="minorHAnsi" w:cstheme="minorHAnsi"/>
        </w:rPr>
      </w:pPr>
      <w:r w:rsidRPr="0075122C">
        <w:rPr>
          <w:rFonts w:asciiTheme="minorHAnsi" w:hAnsiTheme="minorHAnsi" w:cstheme="minorHAnsi"/>
        </w:rPr>
        <w:t>aktualizace očekávaných výstupů v</w:t>
      </w:r>
      <w:r w:rsidR="00435DCC">
        <w:rPr>
          <w:rFonts w:asciiTheme="minorHAnsi" w:hAnsiTheme="minorHAnsi" w:cstheme="minorHAnsi"/>
        </w:rPr>
        <w:t> </w:t>
      </w:r>
      <w:r w:rsidRPr="0075122C">
        <w:rPr>
          <w:rFonts w:asciiTheme="minorHAnsi" w:hAnsiTheme="minorHAnsi" w:cstheme="minorHAnsi"/>
        </w:rPr>
        <w:t>RVP</w:t>
      </w:r>
      <w:r w:rsidR="00435DCC">
        <w:rPr>
          <w:rFonts w:asciiTheme="minorHAnsi" w:hAnsiTheme="minorHAnsi" w:cstheme="minorHAnsi"/>
        </w:rPr>
        <w:t>;</w:t>
      </w:r>
    </w:p>
    <w:p w:rsidR="0029531E" w:rsidRPr="0075122C" w:rsidRDefault="0029531E" w:rsidP="00435DCC">
      <w:pPr>
        <w:pStyle w:val="Odstavecseseznamem"/>
        <w:numPr>
          <w:ilvl w:val="0"/>
          <w:numId w:val="19"/>
        </w:numPr>
        <w:spacing w:before="120"/>
        <w:jc w:val="both"/>
        <w:rPr>
          <w:rFonts w:asciiTheme="minorHAnsi" w:hAnsiTheme="minorHAnsi" w:cstheme="minorHAnsi"/>
        </w:rPr>
      </w:pPr>
      <w:r w:rsidRPr="0075122C">
        <w:rPr>
          <w:rFonts w:asciiTheme="minorHAnsi" w:hAnsiTheme="minorHAnsi" w:cstheme="minorHAnsi"/>
        </w:rPr>
        <w:t xml:space="preserve">Redukce očekávaných výstupů v případě, že nejsou považovány za prioritní a v případě, že jsou formulovány příliš konkrétně, a to s podmínkou, že výsledkem bude redukovaný, nikoliv rozšířený rozsah kurikula. </w:t>
      </w:r>
    </w:p>
    <w:p w:rsidR="00B577DF" w:rsidRPr="0075122C" w:rsidRDefault="00B577DF" w:rsidP="00435DCC">
      <w:pPr>
        <w:spacing w:before="120" w:after="0" w:line="240" w:lineRule="auto"/>
        <w:jc w:val="both"/>
        <w:rPr>
          <w:rFonts w:cstheme="minorHAnsi"/>
        </w:rPr>
      </w:pPr>
      <w:r w:rsidRPr="0075122C">
        <w:rPr>
          <w:rFonts w:cstheme="minorHAnsi"/>
        </w:rPr>
        <w:t>Za účelem usnadnění aplikace inovovaného kurikula do praxe bude zároveň MŠMT pracovat na souvisejících opatřeních. Bude se jednat zejména o:</w:t>
      </w:r>
    </w:p>
    <w:p w:rsidR="00B577DF" w:rsidRPr="0075122C" w:rsidRDefault="00B577DF" w:rsidP="00435DCC">
      <w:pPr>
        <w:pStyle w:val="Odstavecseseznamem"/>
        <w:numPr>
          <w:ilvl w:val="0"/>
          <w:numId w:val="20"/>
        </w:numPr>
        <w:spacing w:before="120"/>
        <w:jc w:val="both"/>
        <w:rPr>
          <w:rFonts w:asciiTheme="minorHAnsi" w:hAnsiTheme="minorHAnsi" w:cstheme="minorHAnsi"/>
        </w:rPr>
      </w:pPr>
      <w:r w:rsidRPr="0075122C">
        <w:rPr>
          <w:rFonts w:asciiTheme="minorHAnsi" w:hAnsiTheme="minorHAnsi" w:cstheme="minorHAnsi"/>
        </w:rPr>
        <w:t>v</w:t>
      </w:r>
      <w:r w:rsidR="0029531E" w:rsidRPr="0075122C">
        <w:rPr>
          <w:rFonts w:asciiTheme="minorHAnsi" w:hAnsiTheme="minorHAnsi" w:cstheme="minorHAnsi"/>
        </w:rPr>
        <w:t>ytvoř</w:t>
      </w:r>
      <w:r w:rsidRPr="0075122C">
        <w:rPr>
          <w:rFonts w:asciiTheme="minorHAnsi" w:hAnsiTheme="minorHAnsi" w:cstheme="minorHAnsi"/>
        </w:rPr>
        <w:t>ení</w:t>
      </w:r>
      <w:r w:rsidR="0029531E" w:rsidRPr="0075122C">
        <w:rPr>
          <w:rFonts w:asciiTheme="minorHAnsi" w:hAnsiTheme="minorHAnsi" w:cstheme="minorHAnsi"/>
        </w:rPr>
        <w:t xml:space="preserve"> modelov</w:t>
      </w:r>
      <w:r w:rsidRPr="0075122C">
        <w:rPr>
          <w:rFonts w:asciiTheme="minorHAnsi" w:hAnsiTheme="minorHAnsi" w:cstheme="minorHAnsi"/>
        </w:rPr>
        <w:t>ých</w:t>
      </w:r>
      <w:r w:rsidR="0029531E" w:rsidRPr="0075122C">
        <w:rPr>
          <w:rFonts w:asciiTheme="minorHAnsi" w:hAnsiTheme="minorHAnsi" w:cstheme="minorHAnsi"/>
        </w:rPr>
        <w:t xml:space="preserve"> školní</w:t>
      </w:r>
      <w:r w:rsidRPr="0075122C">
        <w:rPr>
          <w:rFonts w:asciiTheme="minorHAnsi" w:hAnsiTheme="minorHAnsi" w:cstheme="minorHAnsi"/>
        </w:rPr>
        <w:t>ch</w:t>
      </w:r>
      <w:r w:rsidR="0029531E" w:rsidRPr="0075122C">
        <w:rPr>
          <w:rFonts w:asciiTheme="minorHAnsi" w:hAnsiTheme="minorHAnsi" w:cstheme="minorHAnsi"/>
        </w:rPr>
        <w:t xml:space="preserve"> vzdělávací</w:t>
      </w:r>
      <w:r w:rsidRPr="0075122C">
        <w:rPr>
          <w:rFonts w:asciiTheme="minorHAnsi" w:hAnsiTheme="minorHAnsi" w:cstheme="minorHAnsi"/>
        </w:rPr>
        <w:t>ch</w:t>
      </w:r>
      <w:r w:rsidR="0029531E" w:rsidRPr="0075122C">
        <w:rPr>
          <w:rFonts w:asciiTheme="minorHAnsi" w:hAnsiTheme="minorHAnsi" w:cstheme="minorHAnsi"/>
        </w:rPr>
        <w:t xml:space="preserve"> progra</w:t>
      </w:r>
      <w:r w:rsidRPr="0075122C">
        <w:rPr>
          <w:rFonts w:asciiTheme="minorHAnsi" w:hAnsiTheme="minorHAnsi" w:cstheme="minorHAnsi"/>
        </w:rPr>
        <w:t>ů</w:t>
      </w:r>
      <w:r w:rsidR="0029531E" w:rsidRPr="0075122C">
        <w:rPr>
          <w:rFonts w:asciiTheme="minorHAnsi" w:hAnsiTheme="minorHAnsi" w:cstheme="minorHAnsi"/>
        </w:rPr>
        <w:t xml:space="preserve"> pro jednotlivé stupně a obory vzdělání</w:t>
      </w:r>
      <w:r w:rsidRPr="0075122C">
        <w:rPr>
          <w:rFonts w:asciiTheme="minorHAnsi" w:hAnsiTheme="minorHAnsi" w:cstheme="minorHAnsi"/>
        </w:rPr>
        <w:t>;</w:t>
      </w:r>
    </w:p>
    <w:p w:rsidR="00B577DF" w:rsidRPr="0075122C" w:rsidRDefault="00B577DF" w:rsidP="00435DCC">
      <w:pPr>
        <w:pStyle w:val="Odstavecseseznamem"/>
        <w:numPr>
          <w:ilvl w:val="0"/>
          <w:numId w:val="20"/>
        </w:numPr>
        <w:spacing w:before="120"/>
        <w:jc w:val="both"/>
        <w:rPr>
          <w:rFonts w:asciiTheme="minorHAnsi" w:hAnsiTheme="minorHAnsi" w:cstheme="minorHAnsi"/>
        </w:rPr>
      </w:pPr>
      <w:r w:rsidRPr="0075122C">
        <w:rPr>
          <w:rFonts w:asciiTheme="minorHAnsi" w:hAnsiTheme="minorHAnsi" w:cstheme="minorHAnsi"/>
        </w:rPr>
        <w:lastRenderedPageBreak/>
        <w:t>v</w:t>
      </w:r>
      <w:r w:rsidR="0029531E" w:rsidRPr="0075122C">
        <w:rPr>
          <w:rFonts w:asciiTheme="minorHAnsi" w:hAnsiTheme="minorHAnsi" w:cstheme="minorHAnsi"/>
        </w:rPr>
        <w:t>ytvoř</w:t>
      </w:r>
      <w:r w:rsidRPr="0075122C">
        <w:rPr>
          <w:rFonts w:asciiTheme="minorHAnsi" w:hAnsiTheme="minorHAnsi" w:cstheme="minorHAnsi"/>
        </w:rPr>
        <w:t>ení</w:t>
      </w:r>
      <w:r w:rsidR="0029531E" w:rsidRPr="0075122C">
        <w:rPr>
          <w:rFonts w:asciiTheme="minorHAnsi" w:hAnsiTheme="minorHAnsi" w:cstheme="minorHAnsi"/>
        </w:rPr>
        <w:t xml:space="preserve"> praktick</w:t>
      </w:r>
      <w:r w:rsidRPr="0075122C">
        <w:rPr>
          <w:rFonts w:asciiTheme="minorHAnsi" w:hAnsiTheme="minorHAnsi" w:cstheme="minorHAnsi"/>
        </w:rPr>
        <w:t>ých</w:t>
      </w:r>
      <w:r w:rsidR="0029531E" w:rsidRPr="0075122C">
        <w:rPr>
          <w:rFonts w:asciiTheme="minorHAnsi" w:hAnsiTheme="minorHAnsi" w:cstheme="minorHAnsi"/>
        </w:rPr>
        <w:t xml:space="preserve"> učební</w:t>
      </w:r>
      <w:r w:rsidRPr="0075122C">
        <w:rPr>
          <w:rFonts w:asciiTheme="minorHAnsi" w:hAnsiTheme="minorHAnsi" w:cstheme="minorHAnsi"/>
        </w:rPr>
        <w:t>ch</w:t>
      </w:r>
      <w:r w:rsidR="0029531E" w:rsidRPr="0075122C">
        <w:rPr>
          <w:rFonts w:asciiTheme="minorHAnsi" w:hAnsiTheme="minorHAnsi" w:cstheme="minorHAnsi"/>
        </w:rPr>
        <w:t xml:space="preserve"> pomůc</w:t>
      </w:r>
      <w:r w:rsidRPr="0075122C">
        <w:rPr>
          <w:rFonts w:asciiTheme="minorHAnsi" w:hAnsiTheme="minorHAnsi" w:cstheme="minorHAnsi"/>
        </w:rPr>
        <w:t>ek</w:t>
      </w:r>
      <w:r w:rsidR="0029531E" w:rsidRPr="0075122C">
        <w:rPr>
          <w:rFonts w:asciiTheme="minorHAnsi" w:hAnsiTheme="minorHAnsi" w:cstheme="minorHAnsi"/>
        </w:rPr>
        <w:t xml:space="preserve"> (učební texty, prezentace, sady úkolů atd.) přímo využiteln</w:t>
      </w:r>
      <w:r w:rsidRPr="0075122C">
        <w:rPr>
          <w:rFonts w:asciiTheme="minorHAnsi" w:hAnsiTheme="minorHAnsi" w:cstheme="minorHAnsi"/>
        </w:rPr>
        <w:t>ých</w:t>
      </w:r>
      <w:r w:rsidR="0029531E" w:rsidRPr="0075122C">
        <w:rPr>
          <w:rFonts w:asciiTheme="minorHAnsi" w:hAnsiTheme="minorHAnsi" w:cstheme="minorHAnsi"/>
        </w:rPr>
        <w:t xml:space="preserve"> ve výuce a zaměřen</w:t>
      </w:r>
      <w:r w:rsidRPr="0075122C">
        <w:rPr>
          <w:rFonts w:asciiTheme="minorHAnsi" w:hAnsiTheme="minorHAnsi" w:cstheme="minorHAnsi"/>
        </w:rPr>
        <w:t>ých</w:t>
      </w:r>
      <w:r w:rsidR="0029531E" w:rsidRPr="0075122C">
        <w:rPr>
          <w:rFonts w:asciiTheme="minorHAnsi" w:hAnsiTheme="minorHAnsi" w:cstheme="minorHAnsi"/>
        </w:rPr>
        <w:t xml:space="preserve"> na s</w:t>
      </w:r>
      <w:r w:rsidR="00303837">
        <w:rPr>
          <w:rFonts w:asciiTheme="minorHAnsi" w:hAnsiTheme="minorHAnsi" w:cstheme="minorHAnsi"/>
        </w:rPr>
        <w:t>kutečné zvládnutí redukovaných R</w:t>
      </w:r>
      <w:r w:rsidR="0029531E" w:rsidRPr="0075122C">
        <w:rPr>
          <w:rFonts w:asciiTheme="minorHAnsi" w:hAnsiTheme="minorHAnsi" w:cstheme="minorHAnsi"/>
        </w:rPr>
        <w:t>VP, a to s podmínkou, že budou školám k dispozici zároveň s</w:t>
      </w:r>
      <w:r w:rsidRPr="0075122C">
        <w:rPr>
          <w:rFonts w:asciiTheme="minorHAnsi" w:hAnsiTheme="minorHAnsi" w:cstheme="minorHAnsi"/>
        </w:rPr>
        <w:t> </w:t>
      </w:r>
      <w:r w:rsidR="0029531E" w:rsidRPr="0075122C">
        <w:rPr>
          <w:rFonts w:asciiTheme="minorHAnsi" w:hAnsiTheme="minorHAnsi" w:cstheme="minorHAnsi"/>
        </w:rPr>
        <w:t>RVP</w:t>
      </w:r>
      <w:r w:rsidRPr="0075122C">
        <w:rPr>
          <w:rFonts w:asciiTheme="minorHAnsi" w:hAnsiTheme="minorHAnsi" w:cstheme="minorHAnsi"/>
        </w:rPr>
        <w:t>;</w:t>
      </w:r>
    </w:p>
    <w:p w:rsidR="0029531E" w:rsidRPr="0075122C" w:rsidRDefault="00B577DF" w:rsidP="00435DCC">
      <w:pPr>
        <w:pStyle w:val="Odstavecseseznamem"/>
        <w:numPr>
          <w:ilvl w:val="0"/>
          <w:numId w:val="20"/>
        </w:numPr>
        <w:spacing w:before="120"/>
        <w:jc w:val="both"/>
        <w:rPr>
          <w:rFonts w:asciiTheme="minorHAnsi" w:hAnsiTheme="minorHAnsi" w:cstheme="minorHAnsi"/>
        </w:rPr>
      </w:pPr>
      <w:r w:rsidRPr="0075122C">
        <w:rPr>
          <w:rFonts w:asciiTheme="minorHAnsi" w:hAnsiTheme="minorHAnsi" w:cstheme="minorHAnsi"/>
        </w:rPr>
        <w:t>v</w:t>
      </w:r>
      <w:r w:rsidR="0029531E" w:rsidRPr="0075122C">
        <w:rPr>
          <w:rFonts w:asciiTheme="minorHAnsi" w:hAnsiTheme="minorHAnsi" w:cstheme="minorHAnsi"/>
        </w:rPr>
        <w:t>ytvoř</w:t>
      </w:r>
      <w:r w:rsidRPr="0075122C">
        <w:rPr>
          <w:rFonts w:asciiTheme="minorHAnsi" w:hAnsiTheme="minorHAnsi" w:cstheme="minorHAnsi"/>
        </w:rPr>
        <w:t>ení</w:t>
      </w:r>
      <w:r w:rsidR="0029531E" w:rsidRPr="0075122C">
        <w:rPr>
          <w:rFonts w:asciiTheme="minorHAnsi" w:hAnsiTheme="minorHAnsi" w:cstheme="minorHAnsi"/>
        </w:rPr>
        <w:t xml:space="preserve"> metodick</w:t>
      </w:r>
      <w:r w:rsidRPr="0075122C">
        <w:rPr>
          <w:rFonts w:asciiTheme="minorHAnsi" w:hAnsiTheme="minorHAnsi" w:cstheme="minorHAnsi"/>
        </w:rPr>
        <w:t>ých</w:t>
      </w:r>
      <w:r w:rsidR="0029531E" w:rsidRPr="0075122C">
        <w:rPr>
          <w:rFonts w:asciiTheme="minorHAnsi" w:hAnsiTheme="minorHAnsi" w:cstheme="minorHAnsi"/>
        </w:rPr>
        <w:t xml:space="preserve"> pomůc</w:t>
      </w:r>
      <w:r w:rsidRPr="0075122C">
        <w:rPr>
          <w:rFonts w:asciiTheme="minorHAnsi" w:hAnsiTheme="minorHAnsi" w:cstheme="minorHAnsi"/>
        </w:rPr>
        <w:t>e</w:t>
      </w:r>
      <w:r w:rsidR="0029531E" w:rsidRPr="0075122C">
        <w:rPr>
          <w:rFonts w:asciiTheme="minorHAnsi" w:hAnsiTheme="minorHAnsi" w:cstheme="minorHAnsi"/>
        </w:rPr>
        <w:t>k, jak s modelovými ŠVP a učebními pomůckami pracovat</w:t>
      </w:r>
      <w:r w:rsidRPr="0075122C">
        <w:rPr>
          <w:rFonts w:asciiTheme="minorHAnsi" w:hAnsiTheme="minorHAnsi" w:cstheme="minorHAnsi"/>
        </w:rPr>
        <w:t>.</w:t>
      </w:r>
    </w:p>
    <w:p w:rsidR="00C3082C" w:rsidRPr="0075122C" w:rsidRDefault="00C3082C" w:rsidP="00435DCC">
      <w:pPr>
        <w:pStyle w:val="Nadpis2"/>
        <w:numPr>
          <w:ilvl w:val="0"/>
          <w:numId w:val="6"/>
        </w:numPr>
        <w:spacing w:before="120" w:line="240" w:lineRule="auto"/>
        <w:jc w:val="both"/>
        <w:rPr>
          <w:rFonts w:asciiTheme="minorHAnsi" w:hAnsiTheme="minorHAnsi" w:cstheme="minorHAnsi"/>
        </w:rPr>
      </w:pPr>
      <w:bookmarkStart w:id="7" w:name="_Toc22921513"/>
      <w:r w:rsidRPr="0075122C">
        <w:rPr>
          <w:rFonts w:asciiTheme="minorHAnsi" w:hAnsiTheme="minorHAnsi" w:cstheme="minorHAnsi"/>
        </w:rPr>
        <w:t>Pokusné ověřování v oblasti ICT</w:t>
      </w:r>
      <w:bookmarkEnd w:id="7"/>
    </w:p>
    <w:p w:rsidR="00C3082C" w:rsidRPr="0075122C" w:rsidRDefault="00C3082C" w:rsidP="00435DCC">
      <w:pPr>
        <w:spacing w:before="120" w:after="0" w:line="240" w:lineRule="auto"/>
        <w:jc w:val="both"/>
        <w:rPr>
          <w:rFonts w:cstheme="minorHAnsi"/>
        </w:rPr>
      </w:pPr>
      <w:r w:rsidRPr="0075122C">
        <w:rPr>
          <w:rFonts w:cstheme="minorHAnsi"/>
        </w:rPr>
        <w:t xml:space="preserve">V srpnu 2018 byla vyhlášena pokusná ověřování, jejich cílem je ověřit Návrh revizí rámcových vzdělávacích programů v oblasti informatiky a informačních a komunikačních technologií v praxi škol (Rozvoj informatického myšlení v mateřských, základních a středních školách /https://bit.ly/2Qfd5bU/ a Rozvoj digitální gramotnosti v mateřských, základních a středních školách /https://bit.ly/2TjWfFZ/). Pokusná ověřování skončí v polovině roku 2020. </w:t>
      </w:r>
    </w:p>
    <w:p w:rsidR="00C3082C" w:rsidRPr="0075122C" w:rsidRDefault="00C3082C" w:rsidP="00435DCC">
      <w:pPr>
        <w:spacing w:before="120" w:after="0" w:line="240" w:lineRule="auto"/>
        <w:jc w:val="both"/>
        <w:rPr>
          <w:rFonts w:cstheme="minorHAnsi"/>
        </w:rPr>
      </w:pPr>
      <w:r w:rsidRPr="0075122C">
        <w:rPr>
          <w:rFonts w:cstheme="minorHAnsi"/>
        </w:rPr>
        <w:t>Pracovníci projektů, které mají pokusná ověřování na starosti, jsou v úzkém kontaktu s Národním ústavem vzdělávání a průběžně o finální podobě kurikula diskutují. Finální verze revidovaného ICT kurikula v RVP ZV, RVP G bude dokončena do ledna 2021.</w:t>
      </w:r>
    </w:p>
    <w:p w:rsidR="00F159F1" w:rsidRPr="0075122C" w:rsidRDefault="00F159F1" w:rsidP="00435DCC">
      <w:pPr>
        <w:pStyle w:val="Nadpis2"/>
        <w:numPr>
          <w:ilvl w:val="0"/>
          <w:numId w:val="6"/>
        </w:numPr>
        <w:spacing w:before="120" w:line="240" w:lineRule="auto"/>
        <w:jc w:val="both"/>
        <w:rPr>
          <w:rFonts w:asciiTheme="minorHAnsi" w:hAnsiTheme="minorHAnsi" w:cstheme="minorHAnsi"/>
        </w:rPr>
      </w:pPr>
      <w:bookmarkStart w:id="8" w:name="_Toc22921514"/>
      <w:r w:rsidRPr="0075122C">
        <w:rPr>
          <w:rFonts w:asciiTheme="minorHAnsi" w:hAnsiTheme="minorHAnsi" w:cstheme="minorHAnsi"/>
        </w:rPr>
        <w:t>ESF výzvy na zaměřené na oblast digitálních kompetencí;</w:t>
      </w:r>
      <w:bookmarkEnd w:id="8"/>
    </w:p>
    <w:p w:rsidR="00F159F1" w:rsidRPr="0075122C" w:rsidRDefault="00F159F1" w:rsidP="00435DCC">
      <w:pPr>
        <w:spacing w:before="120" w:after="0" w:line="240" w:lineRule="auto"/>
        <w:jc w:val="both"/>
        <w:rPr>
          <w:rFonts w:cstheme="minorHAnsi"/>
          <w:b/>
        </w:rPr>
      </w:pPr>
      <w:r w:rsidRPr="0075122C">
        <w:rPr>
          <w:rFonts w:cstheme="minorHAnsi"/>
          <w:b/>
        </w:rPr>
        <w:t>Podpora aktivit z výzvy OP VVV Implementace Strategie digitálního vzdělávání I</w:t>
      </w:r>
      <w:r w:rsidR="00094598">
        <w:rPr>
          <w:rFonts w:cstheme="minorHAnsi"/>
          <w:b/>
        </w:rPr>
        <w:t xml:space="preserve"> </w:t>
      </w:r>
      <w:r w:rsidR="00322EEB">
        <w:rPr>
          <w:rFonts w:cstheme="minorHAnsi"/>
          <w:b/>
        </w:rPr>
        <w:t>–</w:t>
      </w:r>
      <w:r w:rsidR="00094598">
        <w:rPr>
          <w:rFonts w:cstheme="minorHAnsi"/>
          <w:b/>
        </w:rPr>
        <w:t xml:space="preserve"> </w:t>
      </w:r>
      <w:r w:rsidR="00094598" w:rsidRPr="00094598">
        <w:rPr>
          <w:rFonts w:cstheme="minorHAnsi"/>
          <w:b/>
        </w:rPr>
        <w:t>alokace</w:t>
      </w:r>
      <w:r w:rsidR="00322EEB">
        <w:rPr>
          <w:rFonts w:cstheme="minorHAnsi"/>
          <w:b/>
        </w:rPr>
        <w:t xml:space="preserve"> </w:t>
      </w:r>
      <w:r w:rsidR="00094598" w:rsidRPr="00094598">
        <w:rPr>
          <w:rFonts w:cstheme="minorHAnsi"/>
          <w:b/>
        </w:rPr>
        <w:t>250 mil. Kč</w:t>
      </w:r>
      <w:r w:rsidR="00322EEB">
        <w:rPr>
          <w:rFonts w:cstheme="minorHAnsi"/>
          <w:b/>
        </w:rPr>
        <w:t>,</w:t>
      </w:r>
    </w:p>
    <w:p w:rsidR="00F808E5" w:rsidRPr="0075122C" w:rsidRDefault="00F159F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vznik vzdělávacích zdrojů pro žáky (učebnice, aplikace, digitální učební materiály) s metodickými příručkami pro učitele, vznik vzdělávacích zdrojů (materiály, kurzy) pro učitele – realizují se dva koncepční projekty:</w:t>
      </w:r>
    </w:p>
    <w:p w:rsidR="00F808E5" w:rsidRPr="0075122C" w:rsidRDefault="00435DCC" w:rsidP="00435DCC">
      <w:pPr>
        <w:pStyle w:val="Odstavecseseznamem"/>
        <w:numPr>
          <w:ilvl w:val="1"/>
          <w:numId w:val="25"/>
        </w:numPr>
        <w:spacing w:before="120"/>
        <w:jc w:val="both"/>
        <w:rPr>
          <w:rFonts w:asciiTheme="minorHAnsi" w:hAnsiTheme="minorHAnsi" w:cstheme="minorHAnsi"/>
        </w:rPr>
      </w:pPr>
      <w:r>
        <w:rPr>
          <w:rFonts w:asciiTheme="minorHAnsi" w:hAnsiTheme="minorHAnsi" w:cstheme="minorHAnsi"/>
        </w:rPr>
        <w:t>p</w:t>
      </w:r>
      <w:r w:rsidR="00F159F1" w:rsidRPr="0075122C">
        <w:rPr>
          <w:rFonts w:asciiTheme="minorHAnsi" w:hAnsiTheme="minorHAnsi" w:cstheme="minorHAnsi"/>
        </w:rPr>
        <w:t>odpora rozvíjení informatického myšlení (PRIM, byla uveřejněna pracovní verze učebnic informatiky: http://imysleni.cz/, finální verze bude zpracována na základě výsledků pokusného ověřování)</w:t>
      </w:r>
      <w:r>
        <w:rPr>
          <w:rFonts w:asciiTheme="minorHAnsi" w:hAnsiTheme="minorHAnsi" w:cstheme="minorHAnsi"/>
        </w:rPr>
        <w:t>;</w:t>
      </w:r>
    </w:p>
    <w:p w:rsidR="00F159F1" w:rsidRPr="0075122C" w:rsidRDefault="00435DCC" w:rsidP="00435DCC">
      <w:pPr>
        <w:pStyle w:val="Odstavecseseznamem"/>
        <w:numPr>
          <w:ilvl w:val="1"/>
          <w:numId w:val="25"/>
        </w:numPr>
        <w:spacing w:before="120"/>
        <w:jc w:val="both"/>
        <w:rPr>
          <w:rFonts w:asciiTheme="minorHAnsi" w:hAnsiTheme="minorHAnsi" w:cstheme="minorHAnsi"/>
        </w:rPr>
      </w:pPr>
      <w:r>
        <w:rPr>
          <w:rFonts w:asciiTheme="minorHAnsi" w:hAnsiTheme="minorHAnsi" w:cstheme="minorHAnsi"/>
        </w:rPr>
        <w:t>p</w:t>
      </w:r>
      <w:r w:rsidR="00F159F1" w:rsidRPr="0075122C">
        <w:rPr>
          <w:rFonts w:asciiTheme="minorHAnsi" w:hAnsiTheme="minorHAnsi" w:cstheme="minorHAnsi"/>
        </w:rPr>
        <w:t>odpora rozvoje digitální gramotnosti (DG, https://bit.ly/2lXOsSN)</w:t>
      </w:r>
      <w:r>
        <w:rPr>
          <w:rFonts w:asciiTheme="minorHAnsi" w:hAnsiTheme="minorHAnsi" w:cstheme="minorHAnsi"/>
        </w:rPr>
        <w:t>.</w:t>
      </w:r>
    </w:p>
    <w:p w:rsidR="00F159F1" w:rsidRPr="0075122C" w:rsidRDefault="00F159F1" w:rsidP="00435DCC">
      <w:pPr>
        <w:spacing w:before="120" w:after="0" w:line="240" w:lineRule="auto"/>
        <w:jc w:val="both"/>
        <w:rPr>
          <w:rFonts w:cstheme="minorHAnsi"/>
          <w:b/>
        </w:rPr>
      </w:pPr>
      <w:r w:rsidRPr="0075122C">
        <w:rPr>
          <w:rFonts w:cstheme="minorHAnsi"/>
          <w:b/>
        </w:rPr>
        <w:t>Podpora aktivit z výzvy OP VVV Implementace Strategie digitálního vzdělávání II</w:t>
      </w:r>
      <w:r w:rsidR="00322EEB">
        <w:rPr>
          <w:rFonts w:cstheme="minorHAnsi"/>
          <w:b/>
        </w:rPr>
        <w:t xml:space="preserve"> – alokace 605 mil. Kč,</w:t>
      </w:r>
    </w:p>
    <w:p w:rsidR="00F808E5" w:rsidRPr="0075122C" w:rsidRDefault="00F159F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podpora inovací výuky prostřednictvím nových softwarových aplikací nebo pomocí nově vytvořených digitálních vzdělávacích zdrojů, ve kterých budou využity primární zdroje kulturních/paměťových institucí, science center a ekocenter</w:t>
      </w:r>
      <w:r w:rsidR="00435DCC">
        <w:rPr>
          <w:rFonts w:asciiTheme="minorHAnsi" w:hAnsiTheme="minorHAnsi" w:cstheme="minorHAnsi"/>
        </w:rPr>
        <w:t>;</w:t>
      </w:r>
    </w:p>
    <w:p w:rsidR="00F808E5" w:rsidRPr="0075122C" w:rsidRDefault="00F159F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vzdělávání pedagogických pracovníků v digitálních kompetencích podle Rámce digitálních kompetencí pedagogů (vyjma 6. oblasti kompetencí)</w:t>
      </w:r>
      <w:r w:rsidR="00435DCC">
        <w:rPr>
          <w:rFonts w:asciiTheme="minorHAnsi" w:hAnsiTheme="minorHAnsi" w:cstheme="minorHAnsi"/>
        </w:rPr>
        <w:t>;</w:t>
      </w:r>
    </w:p>
    <w:p w:rsidR="00F808E5" w:rsidRPr="0075122C" w:rsidRDefault="00F159F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šíření příkladů dobré praxe ve školách, vzájemné učení škol v oblasti využívání digitálních technologií</w:t>
      </w:r>
      <w:r w:rsidR="00435DCC">
        <w:rPr>
          <w:rFonts w:asciiTheme="minorHAnsi" w:hAnsiTheme="minorHAnsi" w:cstheme="minorHAnsi"/>
        </w:rPr>
        <w:t>;</w:t>
      </w:r>
    </w:p>
    <w:p w:rsidR="00F159F1" w:rsidRDefault="00F159F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původní alokace 500 mil. Kč byla z důvodů kvality předkládaných projektů navýšena na 605 mil. Kč</w:t>
      </w:r>
      <w:r w:rsidR="00435DCC">
        <w:rPr>
          <w:rFonts w:asciiTheme="minorHAnsi" w:hAnsiTheme="minorHAnsi" w:cstheme="minorHAnsi"/>
        </w:rPr>
        <w:t>.</w:t>
      </w:r>
    </w:p>
    <w:p w:rsidR="00322EEB" w:rsidRPr="00322EEB" w:rsidRDefault="00322EEB" w:rsidP="00322EEB">
      <w:pPr>
        <w:spacing w:before="120"/>
        <w:jc w:val="both"/>
        <w:rPr>
          <w:rFonts w:cstheme="minorHAnsi"/>
        </w:rPr>
      </w:pPr>
      <w:r w:rsidRPr="00322EEB">
        <w:rPr>
          <w:rFonts w:cstheme="minorHAnsi"/>
        </w:rPr>
        <w:t xml:space="preserve">Celkem tedy alokace finančních prostředků z OP VVV na implementaci Strategie digitálního vzdělávání </w:t>
      </w:r>
      <w:r w:rsidRPr="00322EEB">
        <w:rPr>
          <w:rFonts w:cstheme="minorHAnsi"/>
          <w:b/>
        </w:rPr>
        <w:t>dosáhla 855 mil. Kč.</w:t>
      </w:r>
    </w:p>
    <w:p w:rsidR="00F159F1" w:rsidRPr="0075122C" w:rsidRDefault="00F159F1" w:rsidP="00435DCC">
      <w:pPr>
        <w:spacing w:before="120" w:after="0" w:line="240" w:lineRule="auto"/>
        <w:jc w:val="both"/>
        <w:rPr>
          <w:rFonts w:cstheme="minorHAnsi"/>
          <w:b/>
        </w:rPr>
      </w:pPr>
      <w:r w:rsidRPr="0075122C">
        <w:rPr>
          <w:rFonts w:cstheme="minorHAnsi"/>
          <w:b/>
        </w:rPr>
        <w:t>Podpora aktivit z výzvy OP VVV Šablony pro MŠ, ZŠ a SŠ: vybavení a podpora škol při zavádění revidovaného ICT kurikula</w:t>
      </w:r>
    </w:p>
    <w:p w:rsidR="00322EEB" w:rsidRPr="00322EEB" w:rsidRDefault="00322EEB" w:rsidP="00322EEB">
      <w:pPr>
        <w:spacing w:before="120"/>
        <w:jc w:val="both"/>
        <w:rPr>
          <w:rFonts w:cstheme="minorHAnsi"/>
        </w:rPr>
      </w:pPr>
      <w:r w:rsidRPr="00322EEB">
        <w:rPr>
          <w:rFonts w:cstheme="minorHAnsi"/>
        </w:rPr>
        <w:t>Finanční prostředky na podporu digitální gramotnosti však bylo možné čerpa</w:t>
      </w:r>
      <w:r>
        <w:rPr>
          <w:rFonts w:cstheme="minorHAnsi"/>
        </w:rPr>
        <w:t>t i z tzv. šablon, a to zejména na:</w:t>
      </w:r>
    </w:p>
    <w:p w:rsidR="00F808E5" w:rsidRPr="0075122C" w:rsidRDefault="00F159F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lastRenderedPageBreak/>
        <w:t>aktivity rozvíjející ICT</w:t>
      </w:r>
      <w:r w:rsidR="00435DCC">
        <w:rPr>
          <w:rFonts w:asciiTheme="minorHAnsi" w:hAnsiTheme="minorHAnsi" w:cstheme="minorHAnsi"/>
        </w:rPr>
        <w:t>;</w:t>
      </w:r>
    </w:p>
    <w:p w:rsidR="00F808E5" w:rsidRPr="0075122C" w:rsidRDefault="00F159F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šablon</w:t>
      </w:r>
      <w:r w:rsidR="00322EEB">
        <w:rPr>
          <w:rFonts w:asciiTheme="minorHAnsi" w:hAnsiTheme="minorHAnsi" w:cstheme="minorHAnsi"/>
        </w:rPr>
        <w:t>u</w:t>
      </w:r>
      <w:r w:rsidRPr="0075122C">
        <w:rPr>
          <w:rFonts w:asciiTheme="minorHAnsi" w:hAnsiTheme="minorHAnsi" w:cstheme="minorHAnsi"/>
        </w:rPr>
        <w:t xml:space="preserve"> Využití ICT ve vzdělávání</w:t>
      </w:r>
      <w:r w:rsidR="00435DCC">
        <w:rPr>
          <w:rFonts w:asciiTheme="minorHAnsi" w:hAnsiTheme="minorHAnsi" w:cstheme="minorHAnsi"/>
        </w:rPr>
        <w:t>;</w:t>
      </w:r>
    </w:p>
    <w:p w:rsidR="00F808E5" w:rsidRPr="0075122C" w:rsidRDefault="00F159F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šablon</w:t>
      </w:r>
      <w:r w:rsidR="00322EEB">
        <w:rPr>
          <w:rFonts w:asciiTheme="minorHAnsi" w:hAnsiTheme="minorHAnsi" w:cstheme="minorHAnsi"/>
        </w:rPr>
        <w:t>u</w:t>
      </w:r>
      <w:r w:rsidRPr="0075122C">
        <w:rPr>
          <w:rFonts w:asciiTheme="minorHAnsi" w:hAnsiTheme="minorHAnsi" w:cstheme="minorHAnsi"/>
        </w:rPr>
        <w:t xml:space="preserve"> Zapojení ICT technika do výuky</w:t>
      </w:r>
      <w:r w:rsidR="00435DCC">
        <w:rPr>
          <w:rFonts w:asciiTheme="minorHAnsi" w:hAnsiTheme="minorHAnsi" w:cstheme="minorHAnsi"/>
        </w:rPr>
        <w:t>;</w:t>
      </w:r>
    </w:p>
    <w:p w:rsidR="00F808E5" w:rsidRPr="0075122C" w:rsidRDefault="00F159F1" w:rsidP="00435DCC">
      <w:pPr>
        <w:pStyle w:val="Odstavecseseznamem"/>
        <w:numPr>
          <w:ilvl w:val="0"/>
          <w:numId w:val="10"/>
        </w:numPr>
        <w:spacing w:before="120"/>
        <w:jc w:val="both"/>
        <w:rPr>
          <w:rFonts w:asciiTheme="minorHAnsi" w:hAnsiTheme="minorHAnsi" w:cstheme="minorHAnsi"/>
        </w:rPr>
      </w:pPr>
      <w:r w:rsidRPr="0075122C">
        <w:rPr>
          <w:rFonts w:asciiTheme="minorHAnsi" w:hAnsiTheme="minorHAnsi" w:cstheme="minorHAnsi"/>
        </w:rPr>
        <w:t>šablon</w:t>
      </w:r>
      <w:r w:rsidR="00322EEB">
        <w:rPr>
          <w:rFonts w:asciiTheme="minorHAnsi" w:hAnsiTheme="minorHAnsi" w:cstheme="minorHAnsi"/>
        </w:rPr>
        <w:t>u</w:t>
      </w:r>
      <w:r w:rsidRPr="0075122C">
        <w:rPr>
          <w:rFonts w:asciiTheme="minorHAnsi" w:hAnsiTheme="minorHAnsi" w:cstheme="minorHAnsi"/>
        </w:rPr>
        <w:t xml:space="preserve"> na vzdělávání pedagogických pracovníků</w:t>
      </w:r>
      <w:r w:rsidR="00322EEB">
        <w:rPr>
          <w:rFonts w:asciiTheme="minorHAnsi" w:hAnsiTheme="minorHAnsi" w:cstheme="minorHAnsi"/>
        </w:rPr>
        <w:t>.</w:t>
      </w:r>
    </w:p>
    <w:p w:rsidR="00F159F1" w:rsidRPr="00322EEB" w:rsidRDefault="00322EEB" w:rsidP="00322EEB">
      <w:pPr>
        <w:spacing w:before="120"/>
        <w:jc w:val="both"/>
        <w:rPr>
          <w:rFonts w:cstheme="minorHAnsi"/>
        </w:rPr>
      </w:pPr>
      <w:r>
        <w:rPr>
          <w:rFonts w:cstheme="minorHAnsi"/>
        </w:rPr>
        <w:t xml:space="preserve">Dále se </w:t>
      </w:r>
      <w:r w:rsidR="00F159F1" w:rsidRPr="00322EEB">
        <w:rPr>
          <w:rFonts w:cstheme="minorHAnsi"/>
        </w:rPr>
        <w:t>připravuje nová jednotka pro šablonu na podporu implementace nového vzdělávacího obsahu (“nová informatika” a digitální gramotnost) do školního kurikula</w:t>
      </w:r>
      <w:r w:rsidR="00435DCC" w:rsidRPr="00322EEB">
        <w:rPr>
          <w:rFonts w:cstheme="minorHAnsi"/>
        </w:rPr>
        <w:t>.</w:t>
      </w:r>
    </w:p>
    <w:p w:rsidR="00F159F1" w:rsidRPr="0075122C" w:rsidRDefault="00F159F1" w:rsidP="00435DCC">
      <w:pPr>
        <w:pStyle w:val="Nadpis2"/>
        <w:numPr>
          <w:ilvl w:val="0"/>
          <w:numId w:val="6"/>
        </w:numPr>
        <w:spacing w:before="120" w:line="240" w:lineRule="auto"/>
        <w:jc w:val="both"/>
        <w:rPr>
          <w:rFonts w:asciiTheme="minorHAnsi" w:hAnsiTheme="minorHAnsi" w:cstheme="minorHAnsi"/>
        </w:rPr>
      </w:pPr>
      <w:bookmarkStart w:id="9" w:name="_Toc22921515"/>
      <w:r w:rsidRPr="0075122C">
        <w:rPr>
          <w:rFonts w:asciiTheme="minorHAnsi" w:hAnsiTheme="minorHAnsi" w:cstheme="minorHAnsi"/>
        </w:rPr>
        <w:t xml:space="preserve">Pokusné ověřování </w:t>
      </w:r>
      <w:r w:rsidR="00F808E5" w:rsidRPr="0075122C">
        <w:rPr>
          <w:rFonts w:asciiTheme="minorHAnsi" w:hAnsiTheme="minorHAnsi" w:cstheme="minorHAnsi"/>
        </w:rPr>
        <w:t>„</w:t>
      </w:r>
      <w:r w:rsidRPr="0075122C">
        <w:rPr>
          <w:rFonts w:asciiTheme="minorHAnsi" w:hAnsiTheme="minorHAnsi" w:cstheme="minorHAnsi"/>
        </w:rPr>
        <w:t>techniky</w:t>
      </w:r>
      <w:r w:rsidR="00F808E5" w:rsidRPr="0075122C">
        <w:rPr>
          <w:rFonts w:asciiTheme="minorHAnsi" w:hAnsiTheme="minorHAnsi" w:cstheme="minorHAnsi"/>
        </w:rPr>
        <w:t>“</w:t>
      </w:r>
      <w:r w:rsidRPr="0075122C">
        <w:rPr>
          <w:rFonts w:asciiTheme="minorHAnsi" w:hAnsiTheme="minorHAnsi" w:cstheme="minorHAnsi"/>
        </w:rPr>
        <w:t xml:space="preserve"> - Pilotáž nového předmětu technika</w:t>
      </w:r>
      <w:bookmarkEnd w:id="9"/>
    </w:p>
    <w:p w:rsidR="00F159F1" w:rsidRPr="0075122C" w:rsidRDefault="00F159F1" w:rsidP="00435DCC">
      <w:pPr>
        <w:spacing w:before="120" w:after="0" w:line="240" w:lineRule="auto"/>
        <w:jc w:val="both"/>
        <w:rPr>
          <w:rFonts w:cstheme="minorHAnsi"/>
        </w:rPr>
      </w:pPr>
      <w:r w:rsidRPr="0075122C">
        <w:rPr>
          <w:rFonts w:cstheme="minorHAnsi"/>
        </w:rPr>
        <w:t>Obecným cílem pilotního projektu je začleňování nových technologií do výuky, podporovat využívání digitálních technologií s důrazem na rozvoj digitálních kompetencí, jejich propojení s rozvojem technického myšlení, technické tvořivosti, manuální zručnosti, informatického myšlení žáků.</w:t>
      </w:r>
    </w:p>
    <w:p w:rsidR="00F159F1" w:rsidRPr="0075122C" w:rsidRDefault="00F159F1" w:rsidP="00435DCC">
      <w:pPr>
        <w:spacing w:before="120" w:after="0" w:line="240" w:lineRule="auto"/>
        <w:jc w:val="both"/>
        <w:rPr>
          <w:rFonts w:cstheme="minorHAnsi"/>
        </w:rPr>
      </w:pPr>
      <w:r w:rsidRPr="0075122C">
        <w:rPr>
          <w:rFonts w:cstheme="minorHAnsi"/>
        </w:rPr>
        <w:t>Hlavním cílem je připravit komplexní podklady pro pokusné ověřování obsahu, metod, forem a organizace vzdělávání připravované vzdělávací oblasti RVP ZV s pracovním názvem Člověk a technika, které bude zahájeno od 1. září 2020 (v souladu s § 171 odst. 1 školského zákona).</w:t>
      </w:r>
    </w:p>
    <w:p w:rsidR="00F159F1" w:rsidRPr="0075122C" w:rsidRDefault="00F159F1" w:rsidP="00435DCC">
      <w:pPr>
        <w:spacing w:before="120" w:after="0" w:line="240" w:lineRule="auto"/>
        <w:jc w:val="both"/>
        <w:rPr>
          <w:rFonts w:cstheme="minorHAnsi"/>
          <w:b/>
        </w:rPr>
      </w:pPr>
      <w:r w:rsidRPr="0075122C">
        <w:rPr>
          <w:rFonts w:cstheme="minorHAnsi"/>
          <w:b/>
        </w:rPr>
        <w:t>Dílčí cíle pilotního projektu:</w:t>
      </w:r>
    </w:p>
    <w:p w:rsidR="00F808E5" w:rsidRPr="0075122C" w:rsidRDefault="00F159F1" w:rsidP="00435DCC">
      <w:pPr>
        <w:pStyle w:val="Odstavecseseznamem"/>
        <w:numPr>
          <w:ilvl w:val="0"/>
          <w:numId w:val="11"/>
        </w:numPr>
        <w:spacing w:before="120"/>
        <w:jc w:val="both"/>
        <w:rPr>
          <w:rFonts w:asciiTheme="minorHAnsi" w:hAnsiTheme="minorHAnsi" w:cstheme="minorHAnsi"/>
        </w:rPr>
      </w:pPr>
      <w:r w:rsidRPr="0075122C">
        <w:rPr>
          <w:rFonts w:asciiTheme="minorHAnsi" w:hAnsiTheme="minorHAnsi" w:cstheme="minorHAnsi"/>
        </w:rPr>
        <w:t>Zjistit a analyzovat potřeby škol (zejm. materiální, prostorové, personální, metodické, finanční) pro realizaci připravované vzdělávací oblasti RVP ZV Člověk a technika, a to pro školy s různými vstupními podmínkami</w:t>
      </w:r>
      <w:r w:rsidR="00435DCC">
        <w:rPr>
          <w:rFonts w:asciiTheme="minorHAnsi" w:hAnsiTheme="minorHAnsi" w:cstheme="minorHAnsi"/>
        </w:rPr>
        <w:t>;</w:t>
      </w:r>
    </w:p>
    <w:p w:rsidR="00F808E5" w:rsidRPr="0075122C" w:rsidRDefault="00F159F1" w:rsidP="00435DCC">
      <w:pPr>
        <w:pStyle w:val="Odstavecseseznamem"/>
        <w:numPr>
          <w:ilvl w:val="0"/>
          <w:numId w:val="11"/>
        </w:numPr>
        <w:spacing w:before="120"/>
        <w:jc w:val="both"/>
        <w:rPr>
          <w:rFonts w:asciiTheme="minorHAnsi" w:hAnsiTheme="minorHAnsi" w:cstheme="minorHAnsi"/>
        </w:rPr>
      </w:pPr>
      <w:r w:rsidRPr="0075122C">
        <w:rPr>
          <w:rFonts w:asciiTheme="minorHAnsi" w:hAnsiTheme="minorHAnsi" w:cstheme="minorHAnsi"/>
        </w:rPr>
        <w:t>Připravit k následnému pokusnému ověřování text nové vzdělávací oblasti RVP ZV s pracovním názvem Člověk a technika, s důrazem na podporu manuální zručnosti a technické tvořivosti žáků, využívání moderních technologií a podporu rozvoje potenciálu žáků v této oblasti</w:t>
      </w:r>
      <w:r w:rsidR="00435DCC">
        <w:rPr>
          <w:rFonts w:asciiTheme="minorHAnsi" w:hAnsiTheme="minorHAnsi" w:cstheme="minorHAnsi"/>
        </w:rPr>
        <w:t>;</w:t>
      </w:r>
    </w:p>
    <w:p w:rsidR="00F808E5" w:rsidRPr="0075122C" w:rsidRDefault="00F159F1" w:rsidP="00435DCC">
      <w:pPr>
        <w:pStyle w:val="Odstavecseseznamem"/>
        <w:numPr>
          <w:ilvl w:val="0"/>
          <w:numId w:val="11"/>
        </w:numPr>
        <w:spacing w:before="120"/>
        <w:jc w:val="both"/>
        <w:rPr>
          <w:rFonts w:asciiTheme="minorHAnsi" w:hAnsiTheme="minorHAnsi" w:cstheme="minorHAnsi"/>
        </w:rPr>
      </w:pPr>
      <w:r w:rsidRPr="0075122C">
        <w:rPr>
          <w:rFonts w:asciiTheme="minorHAnsi" w:hAnsiTheme="minorHAnsi" w:cstheme="minorHAnsi"/>
        </w:rPr>
        <w:t>Připravit podpůrné metodické materiály pro školy k ověřování v rámci pokusného ověřování</w:t>
      </w:r>
      <w:r w:rsidR="00435DCC">
        <w:rPr>
          <w:rFonts w:asciiTheme="minorHAnsi" w:hAnsiTheme="minorHAnsi" w:cstheme="minorHAnsi"/>
        </w:rPr>
        <w:t>;</w:t>
      </w:r>
    </w:p>
    <w:p w:rsidR="00F808E5" w:rsidRPr="0075122C" w:rsidRDefault="00F159F1" w:rsidP="00435DCC">
      <w:pPr>
        <w:pStyle w:val="Odstavecseseznamem"/>
        <w:numPr>
          <w:ilvl w:val="0"/>
          <w:numId w:val="11"/>
        </w:numPr>
        <w:spacing w:before="120"/>
        <w:jc w:val="both"/>
        <w:rPr>
          <w:rFonts w:asciiTheme="minorHAnsi" w:hAnsiTheme="minorHAnsi" w:cstheme="minorHAnsi"/>
        </w:rPr>
      </w:pPr>
      <w:r w:rsidRPr="0075122C">
        <w:rPr>
          <w:rFonts w:asciiTheme="minorHAnsi" w:hAnsiTheme="minorHAnsi" w:cstheme="minorHAnsi"/>
        </w:rPr>
        <w:t>Realizovat metodické vzdělávání učitelů škol zapojených do budoucího pokusného ověřování</w:t>
      </w:r>
      <w:r w:rsidR="00435DCC">
        <w:rPr>
          <w:rFonts w:asciiTheme="minorHAnsi" w:hAnsiTheme="minorHAnsi" w:cstheme="minorHAnsi"/>
        </w:rPr>
        <w:t>;</w:t>
      </w:r>
    </w:p>
    <w:p w:rsidR="00F159F1" w:rsidRPr="0075122C" w:rsidRDefault="00F159F1" w:rsidP="00435DCC">
      <w:pPr>
        <w:pStyle w:val="Odstavecseseznamem"/>
        <w:numPr>
          <w:ilvl w:val="0"/>
          <w:numId w:val="11"/>
        </w:numPr>
        <w:spacing w:before="120"/>
        <w:jc w:val="both"/>
        <w:rPr>
          <w:rFonts w:asciiTheme="minorHAnsi" w:hAnsiTheme="minorHAnsi" w:cstheme="minorHAnsi"/>
        </w:rPr>
      </w:pPr>
      <w:r w:rsidRPr="0075122C">
        <w:rPr>
          <w:rFonts w:asciiTheme="minorHAnsi" w:hAnsiTheme="minorHAnsi" w:cstheme="minorHAnsi"/>
        </w:rPr>
        <w:t>Připravit vyhlášení pokusného ověřování vzdělávání podle nové vzdělávací oblasti RVP ZV s pracovním názvem Člověk a technika a související metodické a další podpory, včetně seznamu škol navržených pro pokusné ověřování.</w:t>
      </w:r>
    </w:p>
    <w:p w:rsidR="00F159F1" w:rsidRPr="0075122C" w:rsidRDefault="00F159F1" w:rsidP="00435DCC">
      <w:pPr>
        <w:spacing w:before="120" w:after="0" w:line="240" w:lineRule="auto"/>
        <w:jc w:val="both"/>
        <w:rPr>
          <w:rFonts w:cstheme="minorHAnsi"/>
          <w:b/>
        </w:rPr>
      </w:pPr>
      <w:r w:rsidRPr="0075122C">
        <w:rPr>
          <w:rFonts w:cstheme="minorHAnsi"/>
          <w:b/>
        </w:rPr>
        <w:t>Výstupy pilotního projektu:</w:t>
      </w:r>
    </w:p>
    <w:p w:rsidR="00F808E5" w:rsidRPr="0075122C" w:rsidRDefault="00F159F1" w:rsidP="00435DCC">
      <w:pPr>
        <w:pStyle w:val="Odstavecseseznamem"/>
        <w:numPr>
          <w:ilvl w:val="0"/>
          <w:numId w:val="12"/>
        </w:numPr>
        <w:spacing w:before="120"/>
        <w:jc w:val="both"/>
        <w:rPr>
          <w:rFonts w:asciiTheme="minorHAnsi" w:hAnsiTheme="minorHAnsi" w:cstheme="minorHAnsi"/>
        </w:rPr>
      </w:pPr>
      <w:r w:rsidRPr="0075122C">
        <w:rPr>
          <w:rFonts w:asciiTheme="minorHAnsi" w:hAnsiTheme="minorHAnsi" w:cstheme="minorHAnsi"/>
        </w:rPr>
        <w:t>návrh textu nové vzdělávací oblasti RVP ZV s pracovním názvem Člověk a technika</w:t>
      </w:r>
      <w:r w:rsidR="00435DCC">
        <w:rPr>
          <w:rFonts w:asciiTheme="minorHAnsi" w:hAnsiTheme="minorHAnsi" w:cstheme="minorHAnsi"/>
        </w:rPr>
        <w:t>;</w:t>
      </w:r>
    </w:p>
    <w:p w:rsidR="00F808E5" w:rsidRPr="0075122C" w:rsidRDefault="00F159F1" w:rsidP="00435DCC">
      <w:pPr>
        <w:pStyle w:val="Odstavecseseznamem"/>
        <w:numPr>
          <w:ilvl w:val="0"/>
          <w:numId w:val="12"/>
        </w:numPr>
        <w:spacing w:before="120"/>
        <w:jc w:val="both"/>
        <w:rPr>
          <w:rFonts w:asciiTheme="minorHAnsi" w:hAnsiTheme="minorHAnsi" w:cstheme="minorHAnsi"/>
        </w:rPr>
      </w:pPr>
      <w:r w:rsidRPr="0075122C">
        <w:rPr>
          <w:rFonts w:asciiTheme="minorHAnsi" w:hAnsiTheme="minorHAnsi" w:cstheme="minorHAnsi"/>
        </w:rPr>
        <w:t>analýza potřeb škol (zejm. materiální, prostorové, personální, metodické, finanční) pro realizaci připravované vzdělávací oblasti RVP ZV Člověk a technika</w:t>
      </w:r>
      <w:r w:rsidR="00435DCC">
        <w:rPr>
          <w:rFonts w:asciiTheme="minorHAnsi" w:hAnsiTheme="minorHAnsi" w:cstheme="minorHAnsi"/>
        </w:rPr>
        <w:t>;</w:t>
      </w:r>
    </w:p>
    <w:p w:rsidR="00E832EF" w:rsidRPr="0075122C" w:rsidRDefault="00F159F1" w:rsidP="00435DCC">
      <w:pPr>
        <w:pStyle w:val="Odstavecseseznamem"/>
        <w:numPr>
          <w:ilvl w:val="0"/>
          <w:numId w:val="12"/>
        </w:numPr>
        <w:spacing w:before="120"/>
        <w:jc w:val="both"/>
        <w:rPr>
          <w:rFonts w:asciiTheme="minorHAnsi" w:hAnsiTheme="minorHAnsi" w:cstheme="minorHAnsi"/>
        </w:rPr>
      </w:pPr>
      <w:r w:rsidRPr="0075122C">
        <w:rPr>
          <w:rFonts w:asciiTheme="minorHAnsi" w:hAnsiTheme="minorHAnsi" w:cstheme="minorHAnsi"/>
        </w:rPr>
        <w:t>návrh textu vyhlášení pokusného ověřování vzdělávání podle nové vzdělávací oblasti RVP ZV s pracovním názvem Člověk a technika</w:t>
      </w:r>
      <w:r w:rsidR="00435DCC">
        <w:rPr>
          <w:rFonts w:asciiTheme="minorHAnsi" w:hAnsiTheme="minorHAnsi" w:cstheme="minorHAnsi"/>
        </w:rPr>
        <w:t>;</w:t>
      </w:r>
    </w:p>
    <w:p w:rsidR="00E832EF" w:rsidRPr="0075122C" w:rsidRDefault="00F159F1" w:rsidP="00435DCC">
      <w:pPr>
        <w:pStyle w:val="Odstavecseseznamem"/>
        <w:numPr>
          <w:ilvl w:val="0"/>
          <w:numId w:val="12"/>
        </w:numPr>
        <w:spacing w:before="120"/>
        <w:jc w:val="both"/>
        <w:rPr>
          <w:rFonts w:asciiTheme="minorHAnsi" w:hAnsiTheme="minorHAnsi" w:cstheme="minorHAnsi"/>
        </w:rPr>
      </w:pPr>
      <w:r w:rsidRPr="0075122C">
        <w:rPr>
          <w:rFonts w:asciiTheme="minorHAnsi" w:hAnsiTheme="minorHAnsi" w:cstheme="minorHAnsi"/>
        </w:rPr>
        <w:t>návrh textu podpůrných metodických materiálů pro školy k ověření v rámci pokusného ověřování</w:t>
      </w:r>
      <w:r w:rsidR="00435DCC">
        <w:rPr>
          <w:rFonts w:asciiTheme="minorHAnsi" w:hAnsiTheme="minorHAnsi" w:cstheme="minorHAnsi"/>
        </w:rPr>
        <w:t>;</w:t>
      </w:r>
    </w:p>
    <w:p w:rsidR="00E832EF" w:rsidRPr="0075122C" w:rsidRDefault="00F159F1" w:rsidP="00435DCC">
      <w:pPr>
        <w:pStyle w:val="Odstavecseseznamem"/>
        <w:numPr>
          <w:ilvl w:val="0"/>
          <w:numId w:val="12"/>
        </w:numPr>
        <w:spacing w:before="120"/>
        <w:jc w:val="both"/>
        <w:rPr>
          <w:rFonts w:asciiTheme="minorHAnsi" w:hAnsiTheme="minorHAnsi" w:cstheme="minorHAnsi"/>
        </w:rPr>
      </w:pPr>
      <w:r w:rsidRPr="0075122C">
        <w:rPr>
          <w:rFonts w:asciiTheme="minorHAnsi" w:hAnsiTheme="minorHAnsi" w:cstheme="minorHAnsi"/>
        </w:rPr>
        <w:t>vytvořená síť škol, pedagogických fakult a dalších odborníků, které budou realizovat a vyhodnocovat pokusné ověřování</w:t>
      </w:r>
      <w:r w:rsidR="00435DCC">
        <w:rPr>
          <w:rFonts w:asciiTheme="minorHAnsi" w:hAnsiTheme="minorHAnsi" w:cstheme="minorHAnsi"/>
        </w:rPr>
        <w:t>;</w:t>
      </w:r>
    </w:p>
    <w:p w:rsidR="00F159F1" w:rsidRPr="0075122C" w:rsidRDefault="00F159F1" w:rsidP="00435DCC">
      <w:pPr>
        <w:pStyle w:val="Odstavecseseznamem"/>
        <w:numPr>
          <w:ilvl w:val="0"/>
          <w:numId w:val="12"/>
        </w:numPr>
        <w:spacing w:before="120"/>
        <w:jc w:val="both"/>
        <w:rPr>
          <w:rFonts w:asciiTheme="minorHAnsi" w:hAnsiTheme="minorHAnsi" w:cstheme="minorHAnsi"/>
        </w:rPr>
      </w:pPr>
      <w:r w:rsidRPr="0075122C">
        <w:rPr>
          <w:rFonts w:asciiTheme="minorHAnsi" w:hAnsiTheme="minorHAnsi" w:cstheme="minorHAnsi"/>
        </w:rPr>
        <w:t>realizované metodické vzdělávání učitelů škol zapojených do budoucího pokusného ověřování</w:t>
      </w:r>
      <w:r w:rsidR="00435DCC">
        <w:rPr>
          <w:rFonts w:asciiTheme="minorHAnsi" w:hAnsiTheme="minorHAnsi" w:cstheme="minorHAnsi"/>
        </w:rPr>
        <w:t>.</w:t>
      </w:r>
    </w:p>
    <w:p w:rsidR="00F159F1" w:rsidRPr="0075122C" w:rsidRDefault="00F159F1" w:rsidP="00435DCC">
      <w:pPr>
        <w:spacing w:before="120" w:after="0" w:line="240" w:lineRule="auto"/>
        <w:jc w:val="both"/>
        <w:rPr>
          <w:rFonts w:cstheme="minorHAnsi"/>
          <w:b/>
        </w:rPr>
      </w:pPr>
      <w:r w:rsidRPr="0075122C">
        <w:rPr>
          <w:rFonts w:cstheme="minorHAnsi"/>
          <w:b/>
        </w:rPr>
        <w:t>Dosavadní stav:</w:t>
      </w:r>
    </w:p>
    <w:p w:rsidR="00F159F1" w:rsidRPr="0075122C" w:rsidRDefault="00F159F1" w:rsidP="00435DCC">
      <w:pPr>
        <w:spacing w:before="120" w:after="0" w:line="240" w:lineRule="auto"/>
        <w:jc w:val="both"/>
        <w:rPr>
          <w:rFonts w:cstheme="minorHAnsi"/>
        </w:rPr>
      </w:pPr>
      <w:r w:rsidRPr="0075122C">
        <w:rPr>
          <w:rFonts w:cstheme="minorHAnsi"/>
        </w:rPr>
        <w:t>Dne 16.9.2019 proběhlo společné jednání pilotních škol (35 škol), MŠMT, NÚV, kde byl projekt představen, podány školám základní informace, dohodnuty způsoby spolupráce, navázány kontakty.</w:t>
      </w:r>
    </w:p>
    <w:p w:rsidR="00C3082C" w:rsidRPr="0075122C" w:rsidRDefault="00F159F1" w:rsidP="00435DCC">
      <w:pPr>
        <w:spacing w:before="120" w:after="0" w:line="240" w:lineRule="auto"/>
        <w:jc w:val="both"/>
        <w:rPr>
          <w:rFonts w:cstheme="minorHAnsi"/>
        </w:rPr>
      </w:pPr>
      <w:r w:rsidRPr="0075122C">
        <w:rPr>
          <w:rFonts w:cstheme="minorHAnsi"/>
        </w:rPr>
        <w:lastRenderedPageBreak/>
        <w:t>Probíhá spolupráce pilotních škol s krajskými koordinátory, vzdělávání pedagogů, příprava a ověřování metodických materiálů.</w:t>
      </w:r>
    </w:p>
    <w:p w:rsidR="00773E2D" w:rsidRPr="0075122C" w:rsidRDefault="00773E2D" w:rsidP="00435DCC">
      <w:pPr>
        <w:pStyle w:val="Nadpis2"/>
        <w:numPr>
          <w:ilvl w:val="0"/>
          <w:numId w:val="6"/>
        </w:numPr>
        <w:spacing w:before="120" w:line="240" w:lineRule="auto"/>
        <w:jc w:val="both"/>
        <w:rPr>
          <w:rFonts w:asciiTheme="minorHAnsi" w:hAnsiTheme="minorHAnsi" w:cstheme="minorHAnsi"/>
        </w:rPr>
      </w:pPr>
      <w:bookmarkStart w:id="10" w:name="_Toc22921516"/>
      <w:r w:rsidRPr="0075122C">
        <w:rPr>
          <w:rFonts w:asciiTheme="minorHAnsi" w:hAnsiTheme="minorHAnsi" w:cstheme="minorHAnsi"/>
        </w:rPr>
        <w:t>Zrušení povinné maturity z matematiky – novela školského zákona</w:t>
      </w:r>
      <w:bookmarkEnd w:id="10"/>
    </w:p>
    <w:p w:rsidR="00773E2D" w:rsidRPr="0075122C" w:rsidRDefault="00773E2D" w:rsidP="00435DCC">
      <w:pPr>
        <w:spacing w:before="120" w:after="0" w:line="240" w:lineRule="auto"/>
        <w:jc w:val="both"/>
        <w:rPr>
          <w:rFonts w:cstheme="minorHAnsi"/>
        </w:rPr>
      </w:pPr>
      <w:r w:rsidRPr="0075122C">
        <w:rPr>
          <w:rFonts w:cstheme="minorHAnsi"/>
        </w:rPr>
        <w:t>Jak vyplývá z důvodové zprávy překládaného návrhu novely školského zákona, ačkoliv MŠMT realizovalo před předpokládanou povinnou maturitní zkouškou z matematiky rozsáhlé aktivity na podporu matematického vzdělávání, panuje riziko, že značná část žáků nezíská během vzdělávání na střední škole dostatečné znalosti matematiky, aby úspěšně vykonali maturitní zkoušku z tohoto zkušebního předmětu. Zvýšené množství neúspěšných absolventů středních škol pak představuje následné dopady jak zpětně do školství, tak do trhu práce a sociální oblasti.</w:t>
      </w:r>
    </w:p>
    <w:p w:rsidR="00773E2D" w:rsidRPr="0075122C" w:rsidRDefault="00773E2D" w:rsidP="00435DCC">
      <w:pPr>
        <w:spacing w:before="120" w:after="0" w:line="240" w:lineRule="auto"/>
        <w:jc w:val="both"/>
        <w:rPr>
          <w:rFonts w:cstheme="minorHAnsi"/>
        </w:rPr>
      </w:pPr>
      <w:r w:rsidRPr="0075122C">
        <w:rPr>
          <w:rFonts w:cstheme="minorHAnsi"/>
        </w:rPr>
        <w:t>Přestože tedy MŠMT považuje matematiku za stěžejně důležitou pro žáky i absolventy škol, a to zejména její užitečnost v reálném osobním i profesním životě, přistupuje ke zrušení povinné maturity z matematiky zavedené v minulém volebním období Poslanecké sněmovny.</w:t>
      </w:r>
    </w:p>
    <w:p w:rsidR="00773E2D" w:rsidRPr="0075122C" w:rsidRDefault="00773E2D" w:rsidP="00435DCC">
      <w:pPr>
        <w:spacing w:before="120" w:after="0" w:line="240" w:lineRule="auto"/>
        <w:jc w:val="both"/>
        <w:rPr>
          <w:rFonts w:cstheme="minorHAnsi"/>
        </w:rPr>
      </w:pPr>
      <w:r w:rsidRPr="0075122C">
        <w:rPr>
          <w:rFonts w:cstheme="minorHAnsi"/>
        </w:rPr>
        <w:t xml:space="preserve">Hlavní důvod spočívá ve skutečnosti, že i přes veškeré kroky ke zvýšení znalostí žáků v matematice, které MŠMT učinilo, se po porovnání výsledků maturitní zkoušky z matematiky u vybraných úloh ukazuje, že největší neúspěšnost je u úloh z tzv. aplikované matematiky, kde mají žáci prokázat logické myšlení a schopnost aplikovat matematiku na každodenní situace, tedy matematiky posilující logické myšlení. </w:t>
      </w:r>
    </w:p>
    <w:p w:rsidR="00773E2D" w:rsidRPr="0075122C" w:rsidRDefault="00773E2D" w:rsidP="00435DCC">
      <w:pPr>
        <w:spacing w:before="120" w:after="0" w:line="240" w:lineRule="auto"/>
        <w:jc w:val="both"/>
        <w:rPr>
          <w:rFonts w:cstheme="minorHAnsi"/>
        </w:rPr>
      </w:pPr>
      <w:r w:rsidRPr="0075122C">
        <w:rPr>
          <w:rFonts w:cstheme="minorHAnsi"/>
        </w:rPr>
        <w:t>Důvodová zpráva dále uvádí odhad MŠMT týkající se případné neúspěšnosti maturantů. V případě zavedení matematiky jako jedné ze 3 povinných zkoušek se dá předpokládat celková neúspěšnost u zkoušky z matematiky na úrovni cca 25–30 % (původní odhad byl 30 %, s ohledem na výsledky jarního zkušebního období MZ 2019 se dá předpokládat snížení tohoto odhadu).</w:t>
      </w:r>
    </w:p>
    <w:p w:rsidR="00773E2D" w:rsidRPr="0075122C" w:rsidRDefault="00773E2D" w:rsidP="00435DCC">
      <w:pPr>
        <w:spacing w:before="120" w:after="0" w:line="240" w:lineRule="auto"/>
        <w:jc w:val="both"/>
        <w:rPr>
          <w:rFonts w:cstheme="minorHAnsi"/>
        </w:rPr>
      </w:pPr>
      <w:r w:rsidRPr="0075122C">
        <w:rPr>
          <w:rFonts w:cstheme="minorHAnsi"/>
        </w:rPr>
        <w:t>Údaje se však velmi výrazně liší podle oborů – nejmenší problémy by nastaly na gymnáziích a lyceích, kde by došlo ke zvýšení neúspěšnosti na úrovni jednotek procentních bodů. Na SOŠ technických by nevykonalo úspěšně MZ z matematiky téměř pětina prvomaturantů. Největší problémy by nastaly na netechnických SOU a nástavbovém studiu, kde by neodmaturovalo z matematiky téměř 70 % prvomaturantů, dále na pedagogických a humanitních SOŠ (téměř dvě třetiny prvomaturantů) a obchodních akademiích, podnikatelských a hotelových SOŠ, technických SOU a nástavbového studia (dvě pětiny všech prvomaturantů).</w:t>
      </w:r>
    </w:p>
    <w:p w:rsidR="00773E2D" w:rsidRPr="0075122C" w:rsidRDefault="00773E2D" w:rsidP="00435DCC">
      <w:pPr>
        <w:spacing w:before="120" w:after="0" w:line="240" w:lineRule="auto"/>
        <w:jc w:val="both"/>
        <w:rPr>
          <w:rFonts w:cstheme="minorHAnsi"/>
        </w:rPr>
      </w:pPr>
      <w:r w:rsidRPr="0075122C">
        <w:rPr>
          <w:rFonts w:cstheme="minorHAnsi"/>
        </w:rPr>
        <w:t>Zrušení povinné maturity z matematiky však v žádném případě neznamená, že MŠMT nebude dále usilovat o zkvalitnění její výuky.</w:t>
      </w:r>
    </w:p>
    <w:p w:rsidR="00F159F1" w:rsidRPr="0075122C" w:rsidRDefault="00F159F1" w:rsidP="00435DCC">
      <w:pPr>
        <w:spacing w:before="120" w:after="0" w:line="240" w:lineRule="auto"/>
        <w:jc w:val="both"/>
        <w:rPr>
          <w:rFonts w:cstheme="minorHAnsi"/>
        </w:rPr>
      </w:pPr>
    </w:p>
    <w:p w:rsidR="00DD0456" w:rsidRPr="0075122C" w:rsidRDefault="00156045" w:rsidP="00435DCC">
      <w:pPr>
        <w:pStyle w:val="Nadpis1"/>
        <w:numPr>
          <w:ilvl w:val="0"/>
          <w:numId w:val="17"/>
        </w:numPr>
        <w:spacing w:before="120" w:line="240" w:lineRule="auto"/>
        <w:jc w:val="both"/>
        <w:rPr>
          <w:rFonts w:asciiTheme="minorHAnsi" w:hAnsiTheme="minorHAnsi" w:cstheme="minorHAnsi"/>
        </w:rPr>
      </w:pPr>
      <w:r w:rsidRPr="0075122C">
        <w:rPr>
          <w:rFonts w:asciiTheme="minorHAnsi" w:hAnsiTheme="minorHAnsi" w:cstheme="minorHAnsi"/>
        </w:rPr>
        <w:br w:type="page"/>
      </w:r>
      <w:bookmarkStart w:id="11" w:name="_Toc22921517"/>
      <w:r w:rsidR="00DD0456" w:rsidRPr="0075122C">
        <w:rPr>
          <w:rFonts w:asciiTheme="minorHAnsi" w:hAnsiTheme="minorHAnsi" w:cstheme="minorHAnsi"/>
        </w:rPr>
        <w:lastRenderedPageBreak/>
        <w:t>Podpora pedagogů</w:t>
      </w:r>
      <w:bookmarkEnd w:id="11"/>
    </w:p>
    <w:p w:rsidR="00DD0456" w:rsidRPr="00DD0456" w:rsidRDefault="00DD0456" w:rsidP="00435DCC">
      <w:pPr>
        <w:spacing w:before="120" w:after="0" w:line="240" w:lineRule="auto"/>
        <w:jc w:val="both"/>
        <w:rPr>
          <w:rFonts w:cstheme="minorHAnsi"/>
          <w:b/>
        </w:rPr>
      </w:pPr>
      <w:r w:rsidRPr="00DD0456">
        <w:rPr>
          <w:rFonts w:cstheme="minorHAnsi"/>
          <w:b/>
        </w:rPr>
        <w:t>POPIS HLAVNÍCH POTÍŽÍ SYSTÉMU, NA KTERÉ CÍLÍ VLÁDOU NAVRHOVANÁ OPATŘENÍ</w:t>
      </w:r>
    </w:p>
    <w:p w:rsidR="00DD0456" w:rsidRPr="00DD0456" w:rsidRDefault="0045422E" w:rsidP="00435DCC">
      <w:pPr>
        <w:spacing w:before="120" w:after="0" w:line="240" w:lineRule="auto"/>
        <w:jc w:val="both"/>
        <w:rPr>
          <w:rFonts w:cstheme="minorHAnsi"/>
        </w:rPr>
      </w:pPr>
      <w:hyperlink r:id="rId8" w:history="1">
        <w:r w:rsidR="00DD0456" w:rsidRPr="0075122C">
          <w:rPr>
            <w:rFonts w:cstheme="minorHAnsi"/>
            <w:color w:val="0563C1" w:themeColor="hyperlink"/>
            <w:u w:val="single"/>
          </w:rPr>
          <w:t>Výsledky mimořádného šetření,</w:t>
        </w:r>
      </w:hyperlink>
      <w:r w:rsidR="00DD0456" w:rsidRPr="00DD0456">
        <w:rPr>
          <w:rFonts w:cstheme="minorHAnsi"/>
        </w:rPr>
        <w:t xml:space="preserve"> které provedlo MŠMT ve školách, ukázaly, že průměrný věk učitelů v regionálním školství, kde jich pracuje téměř 150,6 tisíc (odpovídá 135,3 tisícům úvazků), je poměrně vysoký a dosahuje 47,2 let – minima u mateřských škol (45,4 let), maxima u vyšších odborných škol (50,2 let). </w:t>
      </w:r>
    </w:p>
    <w:p w:rsidR="00DD0456" w:rsidRPr="00DD0456" w:rsidRDefault="00DD0456" w:rsidP="00435DCC">
      <w:pPr>
        <w:spacing w:before="120" w:after="0" w:line="240" w:lineRule="auto"/>
        <w:jc w:val="both"/>
        <w:rPr>
          <w:rFonts w:cstheme="minorHAnsi"/>
        </w:rPr>
      </w:pPr>
      <w:r w:rsidRPr="00DD0456">
        <w:rPr>
          <w:rFonts w:cstheme="minorHAnsi"/>
        </w:rPr>
        <w:t xml:space="preserve">Šetření rovněž ukázalo, že 4,7 % úvazků je spojeno s učiteli bez pedagogického vzdělání. </w:t>
      </w:r>
    </w:p>
    <w:p w:rsidR="00DD0456" w:rsidRPr="00DD0456" w:rsidRDefault="00DD0456" w:rsidP="00435DCC">
      <w:pPr>
        <w:spacing w:before="120" w:after="0" w:line="240" w:lineRule="auto"/>
        <w:jc w:val="both"/>
        <w:rPr>
          <w:rFonts w:cstheme="minorHAnsi"/>
        </w:rPr>
      </w:pPr>
      <w:r w:rsidRPr="00DD0456">
        <w:rPr>
          <w:rFonts w:cstheme="minorHAnsi"/>
        </w:rPr>
        <w:t>Rozdílný je v jednotlivých krajích i podíl aprobované výuky. Ačkoli v celorepublikovém průměru probíhá výuka aprobovaně v 82,2 % případů, v případě Karlovarského kraje je to jen 72,1 %. Naopak nejvyšší hodnotu dosahují ve Zlínském kraji, kde se jedná o 87,2 % vyučovacích hodin.</w:t>
      </w:r>
    </w:p>
    <w:p w:rsidR="00DD0456" w:rsidRPr="00DD0456" w:rsidRDefault="00DD0456" w:rsidP="00435DCC">
      <w:pPr>
        <w:spacing w:before="120" w:after="0" w:line="240" w:lineRule="auto"/>
        <w:jc w:val="both"/>
        <w:rPr>
          <w:rFonts w:cstheme="minorHAnsi"/>
        </w:rPr>
      </w:pPr>
      <w:r w:rsidRPr="00DD0456">
        <w:rPr>
          <w:rFonts w:cstheme="minorHAnsi"/>
        </w:rPr>
        <w:t>Vzdělávací soustavu charakterizují i nižší podíly začínajících učitelů, nejvyšší hodnotu nalézáme v Jihomoravském kraji (4,5 %), nejnižší v Karlovarském kraji (2,1 %). Průměr za celou republiku pak odpovídá 3,7 %.</w:t>
      </w:r>
    </w:p>
    <w:p w:rsidR="00DD0456" w:rsidRPr="00DD0456" w:rsidRDefault="00DD0456" w:rsidP="00435DCC">
      <w:pPr>
        <w:spacing w:before="120" w:after="0" w:line="240" w:lineRule="auto"/>
        <w:jc w:val="both"/>
        <w:rPr>
          <w:rFonts w:cstheme="minorHAnsi"/>
        </w:rPr>
      </w:pPr>
      <w:r w:rsidRPr="00DD0456">
        <w:rPr>
          <w:rFonts w:cstheme="minorHAnsi"/>
        </w:rPr>
        <w:t>Z údajů předávaných školami dále vyplynula velká poptávka po nových učitelích. Ta se týká především velkých oblastí výuky (učitelé v mateřské škole, učitelé na 1. stupni základní školy), a současně matematiky, anglického jazyka, českého jazyka a literatury, fyziky, předmětů v oblasti skupiny oborů Strojírenství a strojírenská výroba a Elektrotechnika, telekomunikační a výpočetní technika. Problém představuje přirozeně dostupnost (vhodných) kandidátů na trhu práce.</w:t>
      </w:r>
    </w:p>
    <w:p w:rsidR="00DD0456" w:rsidRPr="00DD0456" w:rsidRDefault="00DD0456" w:rsidP="00435DCC">
      <w:pPr>
        <w:spacing w:before="120" w:after="0" w:line="240" w:lineRule="auto"/>
        <w:jc w:val="both"/>
        <w:rPr>
          <w:rFonts w:cstheme="minorHAnsi"/>
          <w:b/>
        </w:rPr>
      </w:pPr>
      <w:r w:rsidRPr="00DD0456">
        <w:rPr>
          <w:rFonts w:cstheme="minorHAnsi"/>
          <w:b/>
        </w:rPr>
        <w:t>NAVRHOVANÁ A PROVÁDĚNÁ OPATŘENÍ</w:t>
      </w:r>
    </w:p>
    <w:p w:rsidR="00DD0456" w:rsidRPr="00DD0456" w:rsidRDefault="00DD0456" w:rsidP="00435DCC">
      <w:pPr>
        <w:keepNext/>
        <w:keepLines/>
        <w:numPr>
          <w:ilvl w:val="0"/>
          <w:numId w:val="4"/>
        </w:numPr>
        <w:spacing w:before="120" w:after="0" w:line="240" w:lineRule="auto"/>
        <w:jc w:val="both"/>
        <w:outlineLvl w:val="1"/>
        <w:rPr>
          <w:rFonts w:eastAsiaTheme="majorEastAsia" w:cstheme="minorHAnsi"/>
          <w:color w:val="2F5496" w:themeColor="accent1" w:themeShade="BF"/>
          <w:sz w:val="26"/>
          <w:szCs w:val="26"/>
        </w:rPr>
      </w:pPr>
      <w:bookmarkStart w:id="12" w:name="_Toc22921518"/>
      <w:r w:rsidRPr="00DD0456">
        <w:rPr>
          <w:rFonts w:eastAsiaTheme="majorEastAsia" w:cstheme="minorHAnsi"/>
          <w:color w:val="2F5496" w:themeColor="accent1" w:themeShade="BF"/>
          <w:sz w:val="26"/>
          <w:szCs w:val="26"/>
        </w:rPr>
        <w:t>Navyšování platů pedagogických pracovníků a nepedagogických zaměstnanců</w:t>
      </w:r>
      <w:bookmarkEnd w:id="12"/>
    </w:p>
    <w:p w:rsidR="00DD0456" w:rsidRPr="00DD0456" w:rsidRDefault="00DD0456" w:rsidP="00435DCC">
      <w:pPr>
        <w:spacing w:before="120" w:after="0" w:line="240" w:lineRule="auto"/>
        <w:jc w:val="both"/>
        <w:rPr>
          <w:rFonts w:cstheme="minorHAnsi"/>
        </w:rPr>
      </w:pPr>
      <w:r w:rsidRPr="00DD0456">
        <w:rPr>
          <w:rFonts w:cstheme="minorHAnsi"/>
        </w:rPr>
        <w:t>V Programovém prohlášení vlády České republiky jsou definovány zásadní priority vlády, mezi něž patří i stanovený cíl v oblasti odměňování pracovníků ve školství. Vláda tedy činí takové kroky, aby tento cíl naplnila a v roce 2021 bylo dosaženo minimálně 150</w:t>
      </w:r>
      <w:r w:rsidR="00435DCC">
        <w:rPr>
          <w:rFonts w:cstheme="minorHAnsi"/>
        </w:rPr>
        <w:t xml:space="preserve"> </w:t>
      </w:r>
      <w:r w:rsidRPr="00DD0456">
        <w:rPr>
          <w:rFonts w:cstheme="minorHAnsi"/>
        </w:rPr>
        <w:t xml:space="preserve">% výše platů v roce 2017 jak u pedagogických pracovníků, tak i u nepedagogických zaměstnanců.  </w:t>
      </w:r>
    </w:p>
    <w:p w:rsidR="00DD0456" w:rsidRPr="00DD0456" w:rsidRDefault="00DD0456" w:rsidP="00435DCC">
      <w:pPr>
        <w:spacing w:before="120" w:after="0" w:line="240" w:lineRule="auto"/>
        <w:jc w:val="both"/>
        <w:rPr>
          <w:rFonts w:cstheme="minorHAnsi"/>
        </w:rPr>
      </w:pPr>
      <w:r w:rsidRPr="00DD0456">
        <w:rPr>
          <w:rFonts w:cstheme="minorHAnsi"/>
        </w:rPr>
        <w:t>Skutečně dosažený plat pedagogického pracovníka v regionálním školství (zřizovaném kraji, obcemi a svazky obcí) ze státního rozpočtu v roce 2017 byl 30 228,- Kč měsíčně. 150</w:t>
      </w:r>
      <w:r w:rsidR="00435DCC">
        <w:rPr>
          <w:rFonts w:cstheme="minorHAnsi"/>
        </w:rPr>
        <w:t xml:space="preserve"> </w:t>
      </w:r>
      <w:r w:rsidRPr="00DD0456">
        <w:rPr>
          <w:rFonts w:cstheme="minorHAnsi"/>
        </w:rPr>
        <w:t>% této výše znamená částku 45 342,- Kč měsíčně.</w:t>
      </w:r>
    </w:p>
    <w:p w:rsidR="00DD0456" w:rsidRPr="00DD0456" w:rsidRDefault="00DD0456" w:rsidP="00435DCC">
      <w:pPr>
        <w:spacing w:before="120" w:after="0" w:line="240" w:lineRule="auto"/>
        <w:jc w:val="both"/>
        <w:rPr>
          <w:rFonts w:cstheme="minorHAnsi"/>
        </w:rPr>
      </w:pPr>
      <w:r w:rsidRPr="00DD0456">
        <w:rPr>
          <w:rFonts w:cstheme="minorHAnsi"/>
        </w:rPr>
        <w:t>Skutečně dosažený plat nepedagogického zaměstnance v regionálním školství (zřizovaném kraji, obcemi a svazky obcí) ze státního rozpočtu v roce 2017 byl 17 509,- Kč měsíčně. 150</w:t>
      </w:r>
      <w:r w:rsidR="00435DCC">
        <w:rPr>
          <w:rFonts w:cstheme="minorHAnsi"/>
        </w:rPr>
        <w:t xml:space="preserve"> </w:t>
      </w:r>
      <w:r w:rsidRPr="00DD0456">
        <w:rPr>
          <w:rFonts w:cstheme="minorHAnsi"/>
        </w:rPr>
        <w:t>% této výše znamená částku 26 263,- Kč měsíčně.</w:t>
      </w:r>
    </w:p>
    <w:p w:rsidR="00DD0456" w:rsidRPr="00DD0456" w:rsidRDefault="00DD0456" w:rsidP="00435DCC">
      <w:pPr>
        <w:spacing w:before="120" w:after="0" w:line="240" w:lineRule="auto"/>
        <w:jc w:val="both"/>
        <w:rPr>
          <w:rFonts w:cstheme="minorHAnsi"/>
        </w:rPr>
      </w:pPr>
      <w:r w:rsidRPr="00DD0456">
        <w:rPr>
          <w:rFonts w:cstheme="minorHAnsi"/>
        </w:rPr>
        <w:t xml:space="preserve">Ve vládním návrhu státního rozpočtu na rok 2020 je v návrhu rozpočtu kapitoly MŠMT pro regionální školství v oblasti odměňování zabezpečen růst platů pedagogických pracovníků oproti rozpočtu roku 2019 o 10 %, u nepedagogických zaměstnanců jde rovněž o cca 10 %. </w:t>
      </w:r>
      <w:r w:rsidR="00933C91" w:rsidRPr="0075122C">
        <w:rPr>
          <w:rFonts w:cstheme="minorHAnsi"/>
        </w:rPr>
        <w:t xml:space="preserve"> Ve střednědobých výdajových rámcích na rok 2021 je pak schválen objem na nárůst platů pedagogických pracovníků o 9</w:t>
      </w:r>
      <w:r w:rsidR="00435DCC">
        <w:rPr>
          <w:rFonts w:cstheme="minorHAnsi"/>
        </w:rPr>
        <w:t xml:space="preserve"> </w:t>
      </w:r>
      <w:r w:rsidR="00933C91" w:rsidRPr="0075122C">
        <w:rPr>
          <w:rFonts w:cstheme="minorHAnsi"/>
        </w:rPr>
        <w:t>% oproti roku 2020 a o 4</w:t>
      </w:r>
      <w:r w:rsidR="00435DCC">
        <w:rPr>
          <w:rFonts w:cstheme="minorHAnsi"/>
        </w:rPr>
        <w:t xml:space="preserve"> </w:t>
      </w:r>
      <w:r w:rsidR="00933C91" w:rsidRPr="0075122C">
        <w:rPr>
          <w:rFonts w:cstheme="minorHAnsi"/>
        </w:rPr>
        <w:t>% v případě nepedagogických zaměstnanců.</w:t>
      </w:r>
    </w:p>
    <w:p w:rsidR="00DD0456" w:rsidRPr="00DD0456" w:rsidRDefault="00DD0456" w:rsidP="00435DCC">
      <w:pPr>
        <w:keepNext/>
        <w:keepLines/>
        <w:numPr>
          <w:ilvl w:val="0"/>
          <w:numId w:val="4"/>
        </w:numPr>
        <w:spacing w:before="120" w:after="0" w:line="240" w:lineRule="auto"/>
        <w:jc w:val="both"/>
        <w:outlineLvl w:val="1"/>
        <w:rPr>
          <w:rFonts w:eastAsiaTheme="majorEastAsia" w:cstheme="minorHAnsi"/>
          <w:color w:val="2F5496" w:themeColor="accent1" w:themeShade="BF"/>
          <w:sz w:val="26"/>
          <w:szCs w:val="26"/>
        </w:rPr>
      </w:pPr>
      <w:bookmarkStart w:id="13" w:name="_Toc22921519"/>
      <w:r w:rsidRPr="00DD0456">
        <w:rPr>
          <w:rFonts w:eastAsiaTheme="majorEastAsia" w:cstheme="minorHAnsi"/>
          <w:color w:val="2F5496" w:themeColor="accent1" w:themeShade="BF"/>
          <w:sz w:val="26"/>
          <w:szCs w:val="26"/>
        </w:rPr>
        <w:t>Adaptační období a odborníci z praxe – novela zákona o pedagogických pracovnících</w:t>
      </w:r>
      <w:bookmarkEnd w:id="13"/>
    </w:p>
    <w:p w:rsidR="00DD0456" w:rsidRPr="00DD0456" w:rsidRDefault="00DD0456" w:rsidP="00435DCC">
      <w:pPr>
        <w:spacing w:before="120" w:after="0" w:line="240" w:lineRule="auto"/>
        <w:jc w:val="both"/>
        <w:rPr>
          <w:rFonts w:cstheme="minorHAnsi"/>
        </w:rPr>
      </w:pPr>
      <w:r w:rsidRPr="00DD0456">
        <w:rPr>
          <w:rFonts w:cstheme="minorHAnsi"/>
        </w:rPr>
        <w:t>MŠMT předložilo návrh novely zákona o pedagogických pracovnících (</w:t>
      </w:r>
      <w:hyperlink r:id="rId9" w:history="1">
        <w:r w:rsidRPr="0075122C">
          <w:rPr>
            <w:rFonts w:cstheme="minorHAnsi"/>
            <w:color w:val="0563C1" w:themeColor="hyperlink"/>
            <w:u w:val="single"/>
          </w:rPr>
          <w:t>sněmovní tisk 503</w:t>
        </w:r>
      </w:hyperlink>
      <w:r w:rsidRPr="00DD0456">
        <w:rPr>
          <w:rFonts w:cstheme="minorHAnsi"/>
        </w:rPr>
        <w:t>), jehož záměr spočívá v posílení postavení ředitele školy jako manažera, především v oblasti řízení lidí a pedagogického procesu, a ve zvýšení zapojení odborníků z praxe do výuky a v záměru řešit palčivý problém nedostatku učitelů, a to jak v odborném vzdělání, tak</w:t>
      </w:r>
      <w:r w:rsidR="00435DCC">
        <w:rPr>
          <w:rFonts w:cstheme="minorHAnsi"/>
        </w:rPr>
        <w:t xml:space="preserve"> </w:t>
      </w:r>
      <w:r w:rsidRPr="00DD0456">
        <w:rPr>
          <w:rFonts w:cstheme="minorHAnsi"/>
        </w:rPr>
        <w:t>- jak se ukazuje čím dál více - též učitelů všeobecně-vzdělávacích předmětů.</w:t>
      </w:r>
    </w:p>
    <w:p w:rsidR="00DD0456" w:rsidRPr="00DD0456" w:rsidRDefault="00DD0456" w:rsidP="00435DCC">
      <w:pPr>
        <w:spacing w:before="120" w:after="0" w:line="240" w:lineRule="auto"/>
        <w:jc w:val="both"/>
        <w:rPr>
          <w:rFonts w:cstheme="minorHAnsi"/>
        </w:rPr>
      </w:pPr>
      <w:r w:rsidRPr="00DD0456">
        <w:rPr>
          <w:rFonts w:cstheme="minorHAnsi"/>
        </w:rPr>
        <w:lastRenderedPageBreak/>
        <w:t xml:space="preserve">Návrh novely zákona reaguje na již zmiňované výsledky mimořádného a hloubkového šetření o učitelstvu zaměřeného zejména jeho kvalifikační a věkovou strukturu a k poptávku po nových učitelích. Výsledky též potvrdily opodstatněnost toho, aby novela zákona umožnila řediteli školy uznat na dobu nejvýše 3 let předpoklad odborné kvalifikace učitele absolventům jakéhokoli magisterského studijního programu pro výuku všeobecně-vzdělávacích předmětů na druhém stupni základních škol a ve středních školách a dále odborníkům z praxe, pokud jejich praxe v oboru odpovídá charakteru vyučovaného předmětu. </w:t>
      </w:r>
    </w:p>
    <w:p w:rsidR="00DD0456" w:rsidRPr="0075122C" w:rsidRDefault="00DD0456" w:rsidP="00435DCC">
      <w:pPr>
        <w:spacing w:before="120" w:after="0" w:line="240" w:lineRule="auto"/>
        <w:jc w:val="both"/>
        <w:rPr>
          <w:rFonts w:cstheme="minorHAnsi"/>
        </w:rPr>
      </w:pPr>
      <w:r w:rsidRPr="00DD0456">
        <w:rPr>
          <w:rFonts w:cstheme="minorHAnsi"/>
        </w:rPr>
        <w:t>Návrh novely také přispěje ke zmenšení administrativního zatížení ředitelů škol – dojde k zúžení případů, kdy dosud musí ředitelé dokládat, že aktivně hledají kvalifikovaného učitele. Ředitelům škol také pomůže při zaměstnávání pedagogů v pracovních poměrech na dobu určitou – dojde k odstranění přísného pravidla, že pracovní poměr na dobu určitou nesmí přesáhnout 3 roky. To zlepší možnost zaměstnávat zejména zástupy za učitelky nebo učitele na mateřské a rodičovské dovolené. Krokem kupředu je též zakotvení institutu adaptačního období začínajících učitelů. Od tohoto opatření si slibujeme snížení odchodů začínajících učitelů z praxe. Na zvýšenou péči o začínající učitele bude ministerstvo školám posílat další finanční prostředky určené zejména pro uvádějící učitele.</w:t>
      </w:r>
    </w:p>
    <w:p w:rsidR="00DD0456" w:rsidRPr="00DD0456" w:rsidRDefault="00DD0456" w:rsidP="00435DCC">
      <w:pPr>
        <w:keepNext/>
        <w:keepLines/>
        <w:numPr>
          <w:ilvl w:val="0"/>
          <w:numId w:val="4"/>
        </w:numPr>
        <w:spacing w:before="120" w:after="0" w:line="240" w:lineRule="auto"/>
        <w:jc w:val="both"/>
        <w:outlineLvl w:val="1"/>
        <w:rPr>
          <w:rFonts w:eastAsiaTheme="majorEastAsia" w:cstheme="minorHAnsi"/>
          <w:color w:val="2F5496" w:themeColor="accent1" w:themeShade="BF"/>
          <w:sz w:val="26"/>
          <w:szCs w:val="26"/>
        </w:rPr>
      </w:pPr>
      <w:bookmarkStart w:id="14" w:name="_Toc22921520"/>
      <w:r w:rsidRPr="00DD0456">
        <w:rPr>
          <w:rFonts w:eastAsiaTheme="majorEastAsia" w:cstheme="minorHAnsi"/>
          <w:color w:val="2F5496" w:themeColor="accent1" w:themeShade="BF"/>
          <w:sz w:val="26"/>
          <w:szCs w:val="26"/>
        </w:rPr>
        <w:t>Metodické kabinety</w:t>
      </w:r>
      <w:bookmarkEnd w:id="14"/>
    </w:p>
    <w:p w:rsidR="00DD0456" w:rsidRPr="00DD0456" w:rsidRDefault="00DD0456" w:rsidP="00435DCC">
      <w:pPr>
        <w:spacing w:before="120" w:after="0" w:line="240" w:lineRule="auto"/>
        <w:jc w:val="both"/>
        <w:rPr>
          <w:rFonts w:cstheme="minorHAnsi"/>
        </w:rPr>
      </w:pPr>
      <w:r w:rsidRPr="00DD0456">
        <w:rPr>
          <w:rFonts w:cstheme="minorHAnsi"/>
        </w:rPr>
        <w:t xml:space="preserve">SYPO je projekt, který byl zahájen 1. 1. 2018 a je realizován za podpory Národního institutu pro další vzdělávání (NIDV). Cílem projektu je nabídnout pedagogickým pracovníkům – učitelům a ředitelům škol v České republice – možnost rozvoje v každé fázi jejich kariéry od začínajících po zkušené, s ohledem na jejich potřeby. </w:t>
      </w:r>
    </w:p>
    <w:p w:rsidR="00DD0456" w:rsidRPr="00DD0456" w:rsidRDefault="00DD0456" w:rsidP="00435DCC">
      <w:pPr>
        <w:spacing w:before="120" w:after="0" w:line="240" w:lineRule="auto"/>
        <w:jc w:val="both"/>
        <w:rPr>
          <w:rFonts w:cstheme="minorHAnsi"/>
        </w:rPr>
      </w:pPr>
      <w:r w:rsidRPr="00DD0456">
        <w:rPr>
          <w:rFonts w:cstheme="minorHAnsi"/>
        </w:rPr>
        <w:t xml:space="preserve">SYPO je řešením současného stavu, kdy neexistuje žádný ucelený systém profesní podpory pedagogických pracovníků. Další vzdělávání učitelů a ředitelů je v současné době až na výjimky nesystematické a nekoncepční, stávající systém dalšího vzdělávání pedagogických pracovníků je podle některých učitelů zastaralý a v některých ohledech nevyhovující. Proto chce SYPO komplexně podpořit odborný růst s důrazem na kvalitu, a to za pomoci těchto nástrojů:  </w:t>
      </w:r>
    </w:p>
    <w:p w:rsidR="00DD0456" w:rsidRPr="00DD0456" w:rsidRDefault="00DD0456" w:rsidP="00435DCC">
      <w:pPr>
        <w:numPr>
          <w:ilvl w:val="0"/>
          <w:numId w:val="8"/>
        </w:numPr>
        <w:spacing w:before="120" w:after="0" w:line="240" w:lineRule="auto"/>
        <w:jc w:val="both"/>
        <w:rPr>
          <w:rFonts w:cstheme="minorHAnsi"/>
        </w:rPr>
      </w:pPr>
      <w:r w:rsidRPr="00DD0456">
        <w:rPr>
          <w:rFonts w:cstheme="minorHAnsi"/>
        </w:rPr>
        <w:t xml:space="preserve">metodické kabinety na národní, krajské a vybrané oblastní úrovni; </w:t>
      </w:r>
    </w:p>
    <w:p w:rsidR="00DD0456" w:rsidRPr="00DD0456" w:rsidRDefault="00DD0456" w:rsidP="00435DCC">
      <w:pPr>
        <w:numPr>
          <w:ilvl w:val="0"/>
          <w:numId w:val="8"/>
        </w:numPr>
        <w:spacing w:before="120" w:after="0" w:line="240" w:lineRule="auto"/>
        <w:jc w:val="both"/>
        <w:rPr>
          <w:rFonts w:cstheme="minorHAnsi"/>
        </w:rPr>
      </w:pPr>
      <w:r w:rsidRPr="00DD0456">
        <w:rPr>
          <w:rFonts w:cstheme="minorHAnsi"/>
        </w:rPr>
        <w:t xml:space="preserve">komplexní a systematická podpora digitálního rozvoje škol, </w:t>
      </w:r>
    </w:p>
    <w:p w:rsidR="00DD0456" w:rsidRPr="00DD0456" w:rsidRDefault="00DD0456" w:rsidP="00435DCC">
      <w:pPr>
        <w:numPr>
          <w:ilvl w:val="0"/>
          <w:numId w:val="8"/>
        </w:numPr>
        <w:spacing w:before="120" w:after="0" w:line="240" w:lineRule="auto"/>
        <w:jc w:val="both"/>
        <w:rPr>
          <w:rFonts w:cstheme="minorHAnsi"/>
        </w:rPr>
      </w:pPr>
      <w:r w:rsidRPr="00DD0456">
        <w:rPr>
          <w:rFonts w:cstheme="minorHAnsi"/>
        </w:rPr>
        <w:t xml:space="preserve">Stálá konference ředitelů (kabinet vedení); </w:t>
      </w:r>
    </w:p>
    <w:p w:rsidR="00DD0456" w:rsidRPr="00DD0456" w:rsidRDefault="00DD0456" w:rsidP="00435DCC">
      <w:pPr>
        <w:numPr>
          <w:ilvl w:val="0"/>
          <w:numId w:val="8"/>
        </w:numPr>
        <w:spacing w:before="120" w:after="0" w:line="240" w:lineRule="auto"/>
        <w:jc w:val="both"/>
        <w:rPr>
          <w:rFonts w:cstheme="minorHAnsi"/>
        </w:rPr>
      </w:pPr>
      <w:r w:rsidRPr="00DD0456">
        <w:rPr>
          <w:rFonts w:cstheme="minorHAnsi"/>
        </w:rPr>
        <w:t xml:space="preserve">podpora začínajících učitelů; </w:t>
      </w:r>
    </w:p>
    <w:p w:rsidR="00DD0456" w:rsidRPr="00DD0456" w:rsidRDefault="00DD0456" w:rsidP="00435DCC">
      <w:pPr>
        <w:numPr>
          <w:ilvl w:val="0"/>
          <w:numId w:val="8"/>
        </w:numPr>
        <w:spacing w:before="120" w:after="0" w:line="240" w:lineRule="auto"/>
        <w:jc w:val="both"/>
        <w:rPr>
          <w:rFonts w:cstheme="minorHAnsi"/>
        </w:rPr>
      </w:pPr>
      <w:r w:rsidRPr="00DD0456">
        <w:rPr>
          <w:rFonts w:cstheme="minorHAnsi"/>
        </w:rPr>
        <w:t>transformace systému DVPP.</w:t>
      </w:r>
    </w:p>
    <w:p w:rsidR="00DD0456" w:rsidRPr="00DD0456" w:rsidRDefault="00DD0456" w:rsidP="00435DCC">
      <w:pPr>
        <w:spacing w:before="120" w:after="0" w:line="240" w:lineRule="auto"/>
        <w:jc w:val="both"/>
        <w:rPr>
          <w:rFonts w:cstheme="minorHAnsi"/>
        </w:rPr>
      </w:pPr>
      <w:r w:rsidRPr="00DD0456">
        <w:rPr>
          <w:rFonts w:cstheme="minorHAnsi"/>
        </w:rPr>
        <w:t>Již nyní projekt SYPO nabízí učitelům, do jejichž aprobace patří český jazyk, matematika nebo informatika, webové semináře zaměřené na aktuální informace či nové trendy v jednotlivých oborech a oborových didaktikách. Na výběru témat se podílejí členové nově vzniklých metodických kabinetů, tedy sami učitelé. Webináře jsou zařazeny do vzdělávací nabídky Národního institutu pro další vzdělávání a jsou zdarma.</w:t>
      </w:r>
    </w:p>
    <w:p w:rsidR="00DD0456" w:rsidRPr="00DD0456" w:rsidRDefault="00DD0456" w:rsidP="00435DCC">
      <w:pPr>
        <w:spacing w:before="120" w:after="0" w:line="240" w:lineRule="auto"/>
        <w:jc w:val="both"/>
        <w:rPr>
          <w:rFonts w:cstheme="minorHAnsi"/>
        </w:rPr>
      </w:pPr>
      <w:r w:rsidRPr="00DD0456">
        <w:rPr>
          <w:rFonts w:cstheme="minorHAnsi"/>
        </w:rPr>
        <w:t>Podpora zaměřená na digitální technologie ve vzdělávání a řízení školy má v projektu SYPO zvláštní postavení. Jejím úkolem je přispět k implementaci digitálních technologií do vzdělávání na školách v souladu s národní Strategií digitálního vzdělávání. Je reakcí na současný stav nejednotné podpory škol.</w:t>
      </w:r>
    </w:p>
    <w:p w:rsidR="00DD0456" w:rsidRPr="00DD0456" w:rsidRDefault="00DD0456" w:rsidP="00435DCC">
      <w:pPr>
        <w:spacing w:before="120" w:after="0" w:line="240" w:lineRule="auto"/>
        <w:jc w:val="both"/>
        <w:rPr>
          <w:rFonts w:cstheme="minorHAnsi"/>
          <w:b/>
        </w:rPr>
      </w:pPr>
      <w:r w:rsidRPr="00DD0456">
        <w:rPr>
          <w:rFonts w:cstheme="minorHAnsi"/>
          <w:b/>
        </w:rPr>
        <w:t xml:space="preserve">Metodické kabinety </w:t>
      </w:r>
    </w:p>
    <w:p w:rsidR="00156045" w:rsidRPr="0075122C" w:rsidRDefault="00DD0456" w:rsidP="00435DCC">
      <w:pPr>
        <w:spacing w:before="120" w:after="0" w:line="240" w:lineRule="auto"/>
        <w:jc w:val="both"/>
        <w:rPr>
          <w:rFonts w:cstheme="minorHAnsi"/>
        </w:rPr>
      </w:pPr>
      <w:r w:rsidRPr="00DD0456">
        <w:rPr>
          <w:rFonts w:cstheme="minorHAnsi"/>
        </w:rPr>
        <w:t xml:space="preserve">Cílem metodických kabinetů je vytvořit prostor pro odborný růst a profesní rozvoj pedagogických pracovníků, prostor pro sdílení a setkávání, včetně systematického a koordinovaného rozvoje předmětových didaktik. Metodické kabinety budu působit na třech úrovních, a to na národní, krajské a oblastní. </w:t>
      </w:r>
    </w:p>
    <w:sectPr w:rsidR="00156045" w:rsidRPr="0075122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22E" w:rsidRDefault="0045422E" w:rsidP="00D52D2F">
      <w:pPr>
        <w:spacing w:after="0" w:line="240" w:lineRule="auto"/>
      </w:pPr>
      <w:r>
        <w:separator/>
      </w:r>
    </w:p>
  </w:endnote>
  <w:endnote w:type="continuationSeparator" w:id="0">
    <w:p w:rsidR="0045422E" w:rsidRDefault="0045422E" w:rsidP="00D5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392888"/>
      <w:docPartObj>
        <w:docPartGallery w:val="Page Numbers (Bottom of Page)"/>
        <w:docPartUnique/>
      </w:docPartObj>
    </w:sdtPr>
    <w:sdtEndPr/>
    <w:sdtContent>
      <w:p w:rsidR="00156045" w:rsidRDefault="00156045">
        <w:pPr>
          <w:pStyle w:val="Zpat"/>
          <w:jc w:val="center"/>
        </w:pPr>
        <w:r>
          <w:fldChar w:fldCharType="begin"/>
        </w:r>
        <w:r>
          <w:instrText>PAGE   \* MERGEFORMAT</w:instrText>
        </w:r>
        <w:r>
          <w:fldChar w:fldCharType="separate"/>
        </w:r>
        <w:r w:rsidR="0024445E">
          <w:rPr>
            <w:noProof/>
          </w:rPr>
          <w:t>12</w:t>
        </w:r>
        <w:r>
          <w:fldChar w:fldCharType="end"/>
        </w:r>
      </w:p>
    </w:sdtContent>
  </w:sdt>
  <w:p w:rsidR="00156045" w:rsidRDefault="001560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22E" w:rsidRDefault="0045422E" w:rsidP="00D52D2F">
      <w:pPr>
        <w:spacing w:after="0" w:line="240" w:lineRule="auto"/>
      </w:pPr>
      <w:r>
        <w:separator/>
      </w:r>
    </w:p>
  </w:footnote>
  <w:footnote w:type="continuationSeparator" w:id="0">
    <w:p w:rsidR="0045422E" w:rsidRDefault="0045422E" w:rsidP="00D52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045" w:rsidRDefault="00156045" w:rsidP="00F808E5">
    <w:pPr>
      <w:pStyle w:val="Zhlav"/>
      <w:jc w:val="right"/>
    </w:pPr>
    <w:r w:rsidRPr="00E318AB">
      <w:rPr>
        <w:rFonts w:ascii="Times New Roman" w:hAnsi="Times New Roman"/>
        <w:noProof/>
        <w:lang w:eastAsia="cs-CZ"/>
      </w:rPr>
      <w:drawing>
        <wp:inline distT="0" distB="0" distL="0" distR="0" wp14:anchorId="31490629" wp14:editId="78515F49">
          <wp:extent cx="1160780" cy="898525"/>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898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5B55"/>
    <w:multiLevelType w:val="hybridMultilevel"/>
    <w:tmpl w:val="4DD0980A"/>
    <w:lvl w:ilvl="0" w:tplc="939EAC30">
      <w:start w:val="2"/>
      <w:numFmt w:val="bullet"/>
      <w:lvlText w:val="-"/>
      <w:lvlJc w:val="left"/>
      <w:pPr>
        <w:ind w:left="720" w:hanging="360"/>
      </w:pPr>
      <w:rPr>
        <w:rFonts w:ascii="Times New Roman" w:eastAsia="Times New Roman" w:hAnsi="Times New Roman" w:cs="Times New Roman" w:hint="default"/>
      </w:rPr>
    </w:lvl>
    <w:lvl w:ilvl="1" w:tplc="939EAC30">
      <w:start w:val="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6D2CC5"/>
    <w:multiLevelType w:val="hybridMultilevel"/>
    <w:tmpl w:val="9916764E"/>
    <w:lvl w:ilvl="0" w:tplc="0D445140">
      <w:start w:val="1"/>
      <w:numFmt w:val="bullet"/>
      <w:lvlText w:val="●"/>
      <w:lvlJc w:val="left"/>
      <w:pPr>
        <w:tabs>
          <w:tab w:val="num" w:pos="720"/>
        </w:tabs>
        <w:ind w:left="720" w:hanging="360"/>
      </w:pPr>
      <w:rPr>
        <w:rFonts w:ascii="Calibri" w:hAnsi="Calibri" w:hint="default"/>
      </w:rPr>
    </w:lvl>
    <w:lvl w:ilvl="1" w:tplc="9BF2001A" w:tentative="1">
      <w:start w:val="1"/>
      <w:numFmt w:val="bullet"/>
      <w:lvlText w:val="●"/>
      <w:lvlJc w:val="left"/>
      <w:pPr>
        <w:tabs>
          <w:tab w:val="num" w:pos="1440"/>
        </w:tabs>
        <w:ind w:left="1440" w:hanging="360"/>
      </w:pPr>
      <w:rPr>
        <w:rFonts w:ascii="Calibri" w:hAnsi="Calibri" w:hint="default"/>
      </w:rPr>
    </w:lvl>
    <w:lvl w:ilvl="2" w:tplc="4126B6B0" w:tentative="1">
      <w:start w:val="1"/>
      <w:numFmt w:val="bullet"/>
      <w:lvlText w:val="●"/>
      <w:lvlJc w:val="left"/>
      <w:pPr>
        <w:tabs>
          <w:tab w:val="num" w:pos="2160"/>
        </w:tabs>
        <w:ind w:left="2160" w:hanging="360"/>
      </w:pPr>
      <w:rPr>
        <w:rFonts w:ascii="Calibri" w:hAnsi="Calibri" w:hint="default"/>
      </w:rPr>
    </w:lvl>
    <w:lvl w:ilvl="3" w:tplc="160A03DA" w:tentative="1">
      <w:start w:val="1"/>
      <w:numFmt w:val="bullet"/>
      <w:lvlText w:val="●"/>
      <w:lvlJc w:val="left"/>
      <w:pPr>
        <w:tabs>
          <w:tab w:val="num" w:pos="2880"/>
        </w:tabs>
        <w:ind w:left="2880" w:hanging="360"/>
      </w:pPr>
      <w:rPr>
        <w:rFonts w:ascii="Calibri" w:hAnsi="Calibri" w:hint="default"/>
      </w:rPr>
    </w:lvl>
    <w:lvl w:ilvl="4" w:tplc="3F480E24" w:tentative="1">
      <w:start w:val="1"/>
      <w:numFmt w:val="bullet"/>
      <w:lvlText w:val="●"/>
      <w:lvlJc w:val="left"/>
      <w:pPr>
        <w:tabs>
          <w:tab w:val="num" w:pos="3600"/>
        </w:tabs>
        <w:ind w:left="3600" w:hanging="360"/>
      </w:pPr>
      <w:rPr>
        <w:rFonts w:ascii="Calibri" w:hAnsi="Calibri" w:hint="default"/>
      </w:rPr>
    </w:lvl>
    <w:lvl w:ilvl="5" w:tplc="FE407B58" w:tentative="1">
      <w:start w:val="1"/>
      <w:numFmt w:val="bullet"/>
      <w:lvlText w:val="●"/>
      <w:lvlJc w:val="left"/>
      <w:pPr>
        <w:tabs>
          <w:tab w:val="num" w:pos="4320"/>
        </w:tabs>
        <w:ind w:left="4320" w:hanging="360"/>
      </w:pPr>
      <w:rPr>
        <w:rFonts w:ascii="Calibri" w:hAnsi="Calibri" w:hint="default"/>
      </w:rPr>
    </w:lvl>
    <w:lvl w:ilvl="6" w:tplc="84AAD41E" w:tentative="1">
      <w:start w:val="1"/>
      <w:numFmt w:val="bullet"/>
      <w:lvlText w:val="●"/>
      <w:lvlJc w:val="left"/>
      <w:pPr>
        <w:tabs>
          <w:tab w:val="num" w:pos="5040"/>
        </w:tabs>
        <w:ind w:left="5040" w:hanging="360"/>
      </w:pPr>
      <w:rPr>
        <w:rFonts w:ascii="Calibri" w:hAnsi="Calibri" w:hint="default"/>
      </w:rPr>
    </w:lvl>
    <w:lvl w:ilvl="7" w:tplc="1200E76C" w:tentative="1">
      <w:start w:val="1"/>
      <w:numFmt w:val="bullet"/>
      <w:lvlText w:val="●"/>
      <w:lvlJc w:val="left"/>
      <w:pPr>
        <w:tabs>
          <w:tab w:val="num" w:pos="5760"/>
        </w:tabs>
        <w:ind w:left="5760" w:hanging="360"/>
      </w:pPr>
      <w:rPr>
        <w:rFonts w:ascii="Calibri" w:hAnsi="Calibri" w:hint="default"/>
      </w:rPr>
    </w:lvl>
    <w:lvl w:ilvl="8" w:tplc="D1F4F7D4" w:tentative="1">
      <w:start w:val="1"/>
      <w:numFmt w:val="bullet"/>
      <w:lvlText w:val="●"/>
      <w:lvlJc w:val="left"/>
      <w:pPr>
        <w:tabs>
          <w:tab w:val="num" w:pos="6480"/>
        </w:tabs>
        <w:ind w:left="6480" w:hanging="360"/>
      </w:pPr>
      <w:rPr>
        <w:rFonts w:ascii="Calibri" w:hAnsi="Calibri" w:hint="default"/>
      </w:rPr>
    </w:lvl>
  </w:abstractNum>
  <w:abstractNum w:abstractNumId="2">
    <w:nsid w:val="050A0477"/>
    <w:multiLevelType w:val="hybridMultilevel"/>
    <w:tmpl w:val="3B0C882C"/>
    <w:lvl w:ilvl="0" w:tplc="E4D67F18">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C8A4391"/>
    <w:multiLevelType w:val="hybridMultilevel"/>
    <w:tmpl w:val="B8985646"/>
    <w:lvl w:ilvl="0" w:tplc="939EAC3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576F7E"/>
    <w:multiLevelType w:val="hybridMultilevel"/>
    <w:tmpl w:val="B4A6DE3E"/>
    <w:lvl w:ilvl="0" w:tplc="156AFA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CB2457"/>
    <w:multiLevelType w:val="hybridMultilevel"/>
    <w:tmpl w:val="FA9A9AF4"/>
    <w:lvl w:ilvl="0" w:tplc="4698BD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131F63"/>
    <w:multiLevelType w:val="hybridMultilevel"/>
    <w:tmpl w:val="9B30FCF8"/>
    <w:lvl w:ilvl="0" w:tplc="939EAC3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780402"/>
    <w:multiLevelType w:val="hybridMultilevel"/>
    <w:tmpl w:val="052CE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AA681D"/>
    <w:multiLevelType w:val="hybridMultilevel"/>
    <w:tmpl w:val="F4F26D76"/>
    <w:lvl w:ilvl="0" w:tplc="E0DCEC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46B283B"/>
    <w:multiLevelType w:val="hybridMultilevel"/>
    <w:tmpl w:val="20A6D6DA"/>
    <w:lvl w:ilvl="0" w:tplc="939EAC3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7660D38"/>
    <w:multiLevelType w:val="hybridMultilevel"/>
    <w:tmpl w:val="96500530"/>
    <w:lvl w:ilvl="0" w:tplc="F8DA4B2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9D00C8"/>
    <w:multiLevelType w:val="hybridMultilevel"/>
    <w:tmpl w:val="6EF407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C57960"/>
    <w:multiLevelType w:val="hybridMultilevel"/>
    <w:tmpl w:val="2BFCC60A"/>
    <w:lvl w:ilvl="0" w:tplc="EA6E1C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DF85F53"/>
    <w:multiLevelType w:val="hybridMultilevel"/>
    <w:tmpl w:val="9E62BB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8796DC5"/>
    <w:multiLevelType w:val="hybridMultilevel"/>
    <w:tmpl w:val="65E0D75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AAC52B3"/>
    <w:multiLevelType w:val="hybridMultilevel"/>
    <w:tmpl w:val="B060E4F2"/>
    <w:lvl w:ilvl="0" w:tplc="939EAC3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FA1687B"/>
    <w:multiLevelType w:val="hybridMultilevel"/>
    <w:tmpl w:val="E3247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1A65BBB"/>
    <w:multiLevelType w:val="hybridMultilevel"/>
    <w:tmpl w:val="E524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3307249"/>
    <w:multiLevelType w:val="hybridMultilevel"/>
    <w:tmpl w:val="0C5EB2AC"/>
    <w:lvl w:ilvl="0" w:tplc="D4401272">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3BA290F"/>
    <w:multiLevelType w:val="hybridMultilevel"/>
    <w:tmpl w:val="BDF4E9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D74AA0"/>
    <w:multiLevelType w:val="hybridMultilevel"/>
    <w:tmpl w:val="071E78F8"/>
    <w:lvl w:ilvl="0" w:tplc="A9C6AECA">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nsid w:val="68EE34A9"/>
    <w:multiLevelType w:val="hybridMultilevel"/>
    <w:tmpl w:val="D6D2F796"/>
    <w:lvl w:ilvl="0" w:tplc="939EAC3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F8C175F"/>
    <w:multiLevelType w:val="hybridMultilevel"/>
    <w:tmpl w:val="96E8CF16"/>
    <w:lvl w:ilvl="0" w:tplc="939EAC30">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2F73FE7"/>
    <w:multiLevelType w:val="hybridMultilevel"/>
    <w:tmpl w:val="853E1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9"/>
  </w:num>
  <w:num w:numId="5">
    <w:abstractNumId w:val="16"/>
  </w:num>
  <w:num w:numId="6">
    <w:abstractNumId w:val="11"/>
  </w:num>
  <w:num w:numId="7">
    <w:abstractNumId w:val="14"/>
  </w:num>
  <w:num w:numId="8">
    <w:abstractNumId w:val="9"/>
  </w:num>
  <w:num w:numId="9">
    <w:abstractNumId w:val="18"/>
  </w:num>
  <w:num w:numId="10">
    <w:abstractNumId w:val="22"/>
  </w:num>
  <w:num w:numId="11">
    <w:abstractNumId w:val="3"/>
  </w:num>
  <w:num w:numId="12">
    <w:abstractNumId w:val="6"/>
  </w:num>
  <w:num w:numId="13">
    <w:abstractNumId w:val="7"/>
  </w:num>
  <w:num w:numId="14">
    <w:abstractNumId w:val="12"/>
  </w:num>
  <w:num w:numId="15">
    <w:abstractNumId w:val="13"/>
  </w:num>
  <w:num w:numId="16">
    <w:abstractNumId w:val="5"/>
  </w:num>
  <w:num w:numId="17">
    <w:abstractNumId w:val="4"/>
  </w:num>
  <w:num w:numId="18">
    <w:abstractNumId w:val="23"/>
  </w:num>
  <w:num w:numId="19">
    <w:abstractNumId w:val="21"/>
  </w:num>
  <w:num w:numId="20">
    <w:abstractNumId w:val="15"/>
  </w:num>
  <w:num w:numId="21">
    <w:abstractNumId w:val="17"/>
  </w:num>
  <w:num w:numId="22">
    <w:abstractNumId w:val="20"/>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7D"/>
    <w:rsid w:val="00094598"/>
    <w:rsid w:val="000C5A89"/>
    <w:rsid w:val="000D4AF8"/>
    <w:rsid w:val="000E6116"/>
    <w:rsid w:val="001206A5"/>
    <w:rsid w:val="00126C9D"/>
    <w:rsid w:val="0013663A"/>
    <w:rsid w:val="00151DA8"/>
    <w:rsid w:val="00156045"/>
    <w:rsid w:val="001D2ECB"/>
    <w:rsid w:val="001D528D"/>
    <w:rsid w:val="0022337D"/>
    <w:rsid w:val="0024445E"/>
    <w:rsid w:val="00247056"/>
    <w:rsid w:val="00247FF8"/>
    <w:rsid w:val="00287FD3"/>
    <w:rsid w:val="0029531E"/>
    <w:rsid w:val="00297663"/>
    <w:rsid w:val="002D49E6"/>
    <w:rsid w:val="002D7FBC"/>
    <w:rsid w:val="00303837"/>
    <w:rsid w:val="00322EEB"/>
    <w:rsid w:val="00355A5B"/>
    <w:rsid w:val="003C6FBC"/>
    <w:rsid w:val="00410234"/>
    <w:rsid w:val="004145C9"/>
    <w:rsid w:val="00435DCC"/>
    <w:rsid w:val="0045422E"/>
    <w:rsid w:val="004F2818"/>
    <w:rsid w:val="004F3DFA"/>
    <w:rsid w:val="004F6C4F"/>
    <w:rsid w:val="005020DA"/>
    <w:rsid w:val="00540512"/>
    <w:rsid w:val="00556213"/>
    <w:rsid w:val="00571CD4"/>
    <w:rsid w:val="005F1E73"/>
    <w:rsid w:val="006143E8"/>
    <w:rsid w:val="006C5FC4"/>
    <w:rsid w:val="006F51D6"/>
    <w:rsid w:val="00751145"/>
    <w:rsid w:val="0075122C"/>
    <w:rsid w:val="00773E2D"/>
    <w:rsid w:val="007A1023"/>
    <w:rsid w:val="00853F3F"/>
    <w:rsid w:val="00933C91"/>
    <w:rsid w:val="0094474F"/>
    <w:rsid w:val="009705F8"/>
    <w:rsid w:val="00980797"/>
    <w:rsid w:val="00981C7F"/>
    <w:rsid w:val="00997285"/>
    <w:rsid w:val="009C70F8"/>
    <w:rsid w:val="00A25CFE"/>
    <w:rsid w:val="00A35F68"/>
    <w:rsid w:val="00B3554E"/>
    <w:rsid w:val="00B36C96"/>
    <w:rsid w:val="00B577DF"/>
    <w:rsid w:val="00B74E16"/>
    <w:rsid w:val="00C3082C"/>
    <w:rsid w:val="00C3550A"/>
    <w:rsid w:val="00C55BF1"/>
    <w:rsid w:val="00C90CB7"/>
    <w:rsid w:val="00D1055E"/>
    <w:rsid w:val="00D52D2F"/>
    <w:rsid w:val="00DD0456"/>
    <w:rsid w:val="00E832EF"/>
    <w:rsid w:val="00ED2ACE"/>
    <w:rsid w:val="00EE49D1"/>
    <w:rsid w:val="00EF5F6E"/>
    <w:rsid w:val="00F159F1"/>
    <w:rsid w:val="00F41D89"/>
    <w:rsid w:val="00F808E5"/>
    <w:rsid w:val="00FA50C9"/>
    <w:rsid w:val="00FB5F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AE90-8E25-448F-A430-17F3897E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308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308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082C"/>
    <w:pPr>
      <w:spacing w:after="0" w:line="240" w:lineRule="auto"/>
      <w:ind w:left="720"/>
    </w:pPr>
    <w:rPr>
      <w:rFonts w:ascii="Calibri" w:hAnsi="Calibri" w:cs="Calibri"/>
    </w:rPr>
  </w:style>
  <w:style w:type="character" w:customStyle="1" w:styleId="Nadpis1Char">
    <w:name w:val="Nadpis 1 Char"/>
    <w:basedOn w:val="Standardnpsmoodstavce"/>
    <w:link w:val="Nadpis1"/>
    <w:uiPriority w:val="9"/>
    <w:rsid w:val="00C3082C"/>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3082C"/>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D52D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2D2F"/>
  </w:style>
  <w:style w:type="paragraph" w:styleId="Zpat">
    <w:name w:val="footer"/>
    <w:basedOn w:val="Normln"/>
    <w:link w:val="ZpatChar"/>
    <w:uiPriority w:val="99"/>
    <w:unhideWhenUsed/>
    <w:rsid w:val="00D52D2F"/>
    <w:pPr>
      <w:tabs>
        <w:tab w:val="center" w:pos="4536"/>
        <w:tab w:val="right" w:pos="9072"/>
      </w:tabs>
      <w:spacing w:after="0" w:line="240" w:lineRule="auto"/>
    </w:pPr>
  </w:style>
  <w:style w:type="character" w:customStyle="1" w:styleId="ZpatChar">
    <w:name w:val="Zápatí Char"/>
    <w:basedOn w:val="Standardnpsmoodstavce"/>
    <w:link w:val="Zpat"/>
    <w:uiPriority w:val="99"/>
    <w:rsid w:val="00D52D2F"/>
  </w:style>
  <w:style w:type="paragraph" w:styleId="Nadpisobsahu">
    <w:name w:val="TOC Heading"/>
    <w:basedOn w:val="Nadpis1"/>
    <w:next w:val="Normln"/>
    <w:uiPriority w:val="39"/>
    <w:unhideWhenUsed/>
    <w:qFormat/>
    <w:rsid w:val="003C6FBC"/>
    <w:pPr>
      <w:outlineLvl w:val="9"/>
    </w:pPr>
    <w:rPr>
      <w:lang w:eastAsia="cs-CZ"/>
    </w:rPr>
  </w:style>
  <w:style w:type="paragraph" w:styleId="Obsah1">
    <w:name w:val="toc 1"/>
    <w:basedOn w:val="Normln"/>
    <w:next w:val="Normln"/>
    <w:autoRedefine/>
    <w:uiPriority w:val="39"/>
    <w:unhideWhenUsed/>
    <w:rsid w:val="003C6FBC"/>
    <w:pPr>
      <w:spacing w:after="100"/>
    </w:pPr>
  </w:style>
  <w:style w:type="paragraph" w:styleId="Obsah2">
    <w:name w:val="toc 2"/>
    <w:basedOn w:val="Normln"/>
    <w:next w:val="Normln"/>
    <w:autoRedefine/>
    <w:uiPriority w:val="39"/>
    <w:unhideWhenUsed/>
    <w:rsid w:val="003C6FBC"/>
    <w:pPr>
      <w:spacing w:after="100"/>
      <w:ind w:left="220"/>
    </w:pPr>
  </w:style>
  <w:style w:type="character" w:styleId="Hypertextovodkaz">
    <w:name w:val="Hyperlink"/>
    <w:basedOn w:val="Standardnpsmoodstavce"/>
    <w:uiPriority w:val="99"/>
    <w:unhideWhenUsed/>
    <w:rsid w:val="003C6FBC"/>
    <w:rPr>
      <w:color w:val="0563C1" w:themeColor="hyperlink"/>
      <w:u w:val="single"/>
    </w:rPr>
  </w:style>
  <w:style w:type="paragraph" w:styleId="Nzev">
    <w:name w:val="Title"/>
    <w:basedOn w:val="Normln"/>
    <w:next w:val="Normln"/>
    <w:link w:val="NzevChar"/>
    <w:uiPriority w:val="10"/>
    <w:qFormat/>
    <w:rsid w:val="003C6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6FBC"/>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D4AF8"/>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0D4AF8"/>
    <w:rPr>
      <w:rFonts w:eastAsiaTheme="minorEastAsia"/>
      <w:color w:val="5A5A5A" w:themeColor="text1" w:themeTint="A5"/>
      <w:spacing w:val="15"/>
    </w:rPr>
  </w:style>
  <w:style w:type="character" w:customStyle="1" w:styleId="UnresolvedMention">
    <w:name w:val="Unresolved Mention"/>
    <w:basedOn w:val="Standardnpsmoodstavce"/>
    <w:uiPriority w:val="99"/>
    <w:semiHidden/>
    <w:unhideWhenUsed/>
    <w:rsid w:val="004F2818"/>
    <w:rPr>
      <w:color w:val="605E5C"/>
      <w:shd w:val="clear" w:color="auto" w:fill="E1DFDD"/>
    </w:rPr>
  </w:style>
  <w:style w:type="character" w:styleId="Odkaznakoment">
    <w:name w:val="annotation reference"/>
    <w:basedOn w:val="Standardnpsmoodstavce"/>
    <w:uiPriority w:val="99"/>
    <w:semiHidden/>
    <w:unhideWhenUsed/>
    <w:rsid w:val="00C55BF1"/>
    <w:rPr>
      <w:sz w:val="16"/>
      <w:szCs w:val="16"/>
    </w:rPr>
  </w:style>
  <w:style w:type="paragraph" w:styleId="Textkomente">
    <w:name w:val="annotation text"/>
    <w:basedOn w:val="Normln"/>
    <w:link w:val="TextkomenteChar"/>
    <w:uiPriority w:val="99"/>
    <w:semiHidden/>
    <w:unhideWhenUsed/>
    <w:rsid w:val="00C55BF1"/>
    <w:pPr>
      <w:spacing w:line="240" w:lineRule="auto"/>
    </w:pPr>
    <w:rPr>
      <w:sz w:val="20"/>
      <w:szCs w:val="20"/>
    </w:rPr>
  </w:style>
  <w:style w:type="character" w:customStyle="1" w:styleId="TextkomenteChar">
    <w:name w:val="Text komentáře Char"/>
    <w:basedOn w:val="Standardnpsmoodstavce"/>
    <w:link w:val="Textkomente"/>
    <w:uiPriority w:val="99"/>
    <w:semiHidden/>
    <w:rsid w:val="00C55BF1"/>
    <w:rPr>
      <w:sz w:val="20"/>
      <w:szCs w:val="20"/>
    </w:rPr>
  </w:style>
  <w:style w:type="paragraph" w:styleId="Pedmtkomente">
    <w:name w:val="annotation subject"/>
    <w:basedOn w:val="Textkomente"/>
    <w:next w:val="Textkomente"/>
    <w:link w:val="PedmtkomenteChar"/>
    <w:uiPriority w:val="99"/>
    <w:semiHidden/>
    <w:unhideWhenUsed/>
    <w:rsid w:val="00C55BF1"/>
    <w:rPr>
      <w:b/>
      <w:bCs/>
    </w:rPr>
  </w:style>
  <w:style w:type="character" w:customStyle="1" w:styleId="PedmtkomenteChar">
    <w:name w:val="Předmět komentáře Char"/>
    <w:basedOn w:val="TextkomenteChar"/>
    <w:link w:val="Pedmtkomente"/>
    <w:uiPriority w:val="99"/>
    <w:semiHidden/>
    <w:rsid w:val="00C55BF1"/>
    <w:rPr>
      <w:b/>
      <w:bCs/>
      <w:sz w:val="20"/>
      <w:szCs w:val="20"/>
    </w:rPr>
  </w:style>
  <w:style w:type="paragraph" w:styleId="Textbubliny">
    <w:name w:val="Balloon Text"/>
    <w:basedOn w:val="Normln"/>
    <w:link w:val="TextbublinyChar"/>
    <w:uiPriority w:val="99"/>
    <w:semiHidden/>
    <w:unhideWhenUsed/>
    <w:rsid w:val="00C55B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5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078">
      <w:bodyDiv w:val="1"/>
      <w:marLeft w:val="0"/>
      <w:marRight w:val="0"/>
      <w:marTop w:val="0"/>
      <w:marBottom w:val="0"/>
      <w:divBdr>
        <w:top w:val="none" w:sz="0" w:space="0" w:color="auto"/>
        <w:left w:val="none" w:sz="0" w:space="0" w:color="auto"/>
        <w:bottom w:val="none" w:sz="0" w:space="0" w:color="auto"/>
        <w:right w:val="none" w:sz="0" w:space="0" w:color="auto"/>
      </w:divBdr>
      <w:divsChild>
        <w:div w:id="70279897">
          <w:marLeft w:val="547"/>
          <w:marRight w:val="0"/>
          <w:marTop w:val="220"/>
          <w:marBottom w:val="0"/>
          <w:divBdr>
            <w:top w:val="none" w:sz="0" w:space="0" w:color="auto"/>
            <w:left w:val="none" w:sz="0" w:space="0" w:color="auto"/>
            <w:bottom w:val="none" w:sz="0" w:space="0" w:color="auto"/>
            <w:right w:val="none" w:sz="0" w:space="0" w:color="auto"/>
          </w:divBdr>
        </w:div>
        <w:div w:id="1061178953">
          <w:marLeft w:val="547"/>
          <w:marRight w:val="0"/>
          <w:marTop w:val="220"/>
          <w:marBottom w:val="0"/>
          <w:divBdr>
            <w:top w:val="none" w:sz="0" w:space="0" w:color="auto"/>
            <w:left w:val="none" w:sz="0" w:space="0" w:color="auto"/>
            <w:bottom w:val="none" w:sz="0" w:space="0" w:color="auto"/>
            <w:right w:val="none" w:sz="0" w:space="0" w:color="auto"/>
          </w:divBdr>
        </w:div>
        <w:div w:id="546264576">
          <w:marLeft w:val="547"/>
          <w:marRight w:val="0"/>
          <w:marTop w:val="220"/>
          <w:marBottom w:val="0"/>
          <w:divBdr>
            <w:top w:val="none" w:sz="0" w:space="0" w:color="auto"/>
            <w:left w:val="none" w:sz="0" w:space="0" w:color="auto"/>
            <w:bottom w:val="none" w:sz="0" w:space="0" w:color="auto"/>
            <w:right w:val="none" w:sz="0" w:space="0" w:color="auto"/>
          </w:divBdr>
        </w:div>
        <w:div w:id="374279883">
          <w:marLeft w:val="547"/>
          <w:marRight w:val="0"/>
          <w:marTop w:val="220"/>
          <w:marBottom w:val="0"/>
          <w:divBdr>
            <w:top w:val="none" w:sz="0" w:space="0" w:color="auto"/>
            <w:left w:val="none" w:sz="0" w:space="0" w:color="auto"/>
            <w:bottom w:val="none" w:sz="0" w:space="0" w:color="auto"/>
            <w:right w:val="none" w:sz="0" w:space="0" w:color="auto"/>
          </w:divBdr>
        </w:div>
      </w:divsChild>
    </w:div>
    <w:div w:id="13805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file/503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p.cz/sqw/text/tiskt.sqw?O=8&amp;CT=503&amp;CT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75EE5-82BD-468D-A9D8-91F94719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12</Pages>
  <Words>4527</Words>
  <Characters>26716</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31181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Seidel</dc:creator>
  <cp:keywords/>
  <dc:description/>
  <cp:lastModifiedBy>Pokorák Josef</cp:lastModifiedBy>
  <cp:revision>38</cp:revision>
  <cp:lastPrinted>2019-10-25T15:36:00Z</cp:lastPrinted>
  <dcterms:created xsi:type="dcterms:W3CDTF">2019-10-22T14:24:00Z</dcterms:created>
  <dcterms:modified xsi:type="dcterms:W3CDTF">2019-11-01T11:56:00Z</dcterms:modified>
</cp:coreProperties>
</file>