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1AEE5" w14:textId="77777777" w:rsidR="00FB0EDD" w:rsidRDefault="00FB0EDD" w:rsidP="00FB0EDD">
      <w:pPr>
        <w:pStyle w:val="Nadpis2"/>
        <w:jc w:val="both"/>
      </w:pPr>
      <w:r>
        <w:t>Informace o návrhu nařízení o RRF dle verze podpořené Radou EU</w:t>
      </w:r>
    </w:p>
    <w:p w14:paraId="377F5977" w14:textId="77777777" w:rsidR="00FB0EDD" w:rsidRDefault="00FB0EDD" w:rsidP="00FB0EDD">
      <w:pPr>
        <w:pStyle w:val="Nadpis3"/>
        <w:jc w:val="both"/>
      </w:pPr>
      <w:r>
        <w:t>Základní informace o návrhu RRF</w:t>
      </w:r>
    </w:p>
    <w:p w14:paraId="2B97EEA4" w14:textId="0EE1C643" w:rsidR="00FB0EDD" w:rsidRDefault="00FB0EDD" w:rsidP="00FB0EDD">
      <w:pPr>
        <w:jc w:val="both"/>
      </w:pPr>
      <w:r>
        <w:t xml:space="preserve">Návrh nařízení, kterým se zřizuje </w:t>
      </w:r>
      <w:proofErr w:type="spellStart"/>
      <w:r w:rsidRPr="00FB0EDD">
        <w:rPr>
          <w:b/>
        </w:rPr>
        <w:t>Facilita</w:t>
      </w:r>
      <w:proofErr w:type="spellEnd"/>
      <w:r w:rsidRPr="00FB0EDD">
        <w:rPr>
          <w:b/>
        </w:rPr>
        <w:t xml:space="preserve"> na podporu oživení a odolnosti</w:t>
      </w:r>
      <w:r>
        <w:t xml:space="preserve"> (</w:t>
      </w:r>
      <w:proofErr w:type="spellStart"/>
      <w:r>
        <w:t>Recovery</w:t>
      </w:r>
      <w:proofErr w:type="spellEnd"/>
      <w:r>
        <w:t xml:space="preserve"> and </w:t>
      </w:r>
      <w:proofErr w:type="spellStart"/>
      <w:r>
        <w:t>Resilience</w:t>
      </w:r>
      <w:proofErr w:type="spellEnd"/>
      <w:r>
        <w:t xml:space="preserve"> </w:t>
      </w:r>
      <w:proofErr w:type="spellStart"/>
      <w:r>
        <w:t>Facility</w:t>
      </w:r>
      <w:proofErr w:type="spellEnd"/>
      <w:r>
        <w:t xml:space="preserve">, RRF) představila Evropská komise (EK) na konci května letošního roku, poté byl projednáván na technické úrovni na příslušné pracovní skupině Rady EU. RRF </w:t>
      </w:r>
      <w:r w:rsidRPr="00FB0EDD">
        <w:rPr>
          <w:b/>
        </w:rPr>
        <w:t>je největším nástrojem plánu obnovy evropské ekonomiky</w:t>
      </w:r>
      <w:r>
        <w:t xml:space="preserve">, který byl schválen v červenci na mimořádné Evropské radě (ER) pod názvem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Generation</w:t>
      </w:r>
      <w:proofErr w:type="spellEnd"/>
      <w:r>
        <w:t xml:space="preserve"> EU v celkovém objemu 750 mld. €, a to nad rámec Víceletého finančního rámce. RRF by měla být účinná v rámci nadcházejícího programového období </w:t>
      </w:r>
      <w:r>
        <w:t>2021–2027</w:t>
      </w:r>
      <w:r>
        <w:t>.</w:t>
      </w:r>
    </w:p>
    <w:p w14:paraId="7EAADD32" w14:textId="77777777" w:rsidR="00FB0EDD" w:rsidRDefault="00FB0EDD" w:rsidP="00FB0EDD">
      <w:pPr>
        <w:jc w:val="both"/>
      </w:pPr>
      <w:r>
        <w:t>Dohoda na nastavení hlavních parametrů RRF byla přijata na zmíněné mimořádné červencové ER. Dne 6. října 2020 se na jednání Rady EU podařilo nalézt potřebnou podporu pro přij</w:t>
      </w:r>
      <w:bookmarkStart w:id="0" w:name="_GoBack"/>
      <w:bookmarkEnd w:id="0"/>
      <w:r>
        <w:t xml:space="preserve">etí </w:t>
      </w:r>
      <w:r w:rsidRPr="00FB0EDD">
        <w:rPr>
          <w:b/>
        </w:rPr>
        <w:t>tzv. obecného přístupu</w:t>
      </w:r>
      <w:r>
        <w:t xml:space="preserve"> a daná kompromisní verze byla odsouhlasena jako mandát pro vyjednávání s Evropským parlamentem (EP). O měsíc později schválily příslušné výbory mandát EP a nyní probíhají jednání mezi EP, EK a Radou EU prostřednictvím tzv. trialogů. Níže uvedený popis vychází z mandátu Rady EU a z doprovodných dokumentů EK.</w:t>
      </w:r>
    </w:p>
    <w:p w14:paraId="7BF4BC46" w14:textId="77777777" w:rsidR="00FB0EDD" w:rsidRDefault="00FB0EDD" w:rsidP="00FB0EDD">
      <w:pPr>
        <w:jc w:val="both"/>
      </w:pPr>
      <w:r>
        <w:t xml:space="preserve">Předmětem podpory z RRF je </w:t>
      </w:r>
      <w:r w:rsidRPr="00FB0EDD">
        <w:rPr>
          <w:b/>
        </w:rPr>
        <w:t>financování provádění strukturálních reforem a projektů veřejných investic</w:t>
      </w:r>
      <w:r>
        <w:t>. Tato finanční podpora bude poskytována ve formě grantů a doplňujících (dobrovolných) zvýhodněných půjček. Není stanoveno žádné povinné národní spolufinancování.</w:t>
      </w:r>
    </w:p>
    <w:p w14:paraId="76E7C608" w14:textId="77777777" w:rsidR="00FB0EDD" w:rsidRDefault="00FB0EDD" w:rsidP="00FB0EDD">
      <w:pPr>
        <w:jc w:val="both"/>
      </w:pPr>
      <w:r>
        <w:t xml:space="preserve">Pro čerpání prostředků z RRF je třeba připravit </w:t>
      </w:r>
      <w:r w:rsidRPr="00FB0EDD">
        <w:rPr>
          <w:b/>
        </w:rPr>
        <w:t>Národní plán obnovy</w:t>
      </w:r>
      <w:r>
        <w:t xml:space="preserve"> (NPO). Nástroj RRF je v přímém řízení EK, jíž budou ČS předkládat k posouzení své NPO v rámci každoročního cyklu koordinace hospodářských a sociálních politik - tzv. evropského semestru. Český NPO připravuje MPO ve spolupráci s rezorty a Úřadem vlády.</w:t>
      </w:r>
    </w:p>
    <w:p w14:paraId="34A523CF" w14:textId="77777777" w:rsidR="00FB0EDD" w:rsidRDefault="00FB0EDD" w:rsidP="00FB0EDD">
      <w:pPr>
        <w:jc w:val="both"/>
      </w:pPr>
      <w:r>
        <w:t xml:space="preserve">NPO je třeba </w:t>
      </w:r>
      <w:r w:rsidRPr="00FB0EDD">
        <w:rPr>
          <w:b/>
        </w:rPr>
        <w:t>předložit EK nejpozději do konce dubna 2021</w:t>
      </w:r>
      <w:r>
        <w:t xml:space="preserve"> (v rámci ustáleného harmonogramu evropského semestru společně s Národním programem reforem 2021). EK posoudí plány dle daných kritérií. Podporu bude EK vyplácet zpětně po </w:t>
      </w:r>
      <w:r w:rsidRPr="00FB0EDD">
        <w:rPr>
          <w:b/>
        </w:rPr>
        <w:t>splnění domluvených milníků a cílů plánu</w:t>
      </w:r>
      <w:r>
        <w:t>.</w:t>
      </w:r>
    </w:p>
    <w:p w14:paraId="3E5B7C43" w14:textId="77777777" w:rsidR="00FB0EDD" w:rsidRDefault="00FB0EDD" w:rsidP="00FB0EDD">
      <w:pPr>
        <w:jc w:val="both"/>
      </w:pPr>
      <w:r>
        <w:t xml:space="preserve">Reformy a investice plánu musí mj. reflektovat </w:t>
      </w:r>
      <w:r w:rsidRPr="00FB0EDD">
        <w:rPr>
          <w:b/>
        </w:rPr>
        <w:t>specifická doporučení pro danou zemi</w:t>
      </w:r>
      <w:r>
        <w:t xml:space="preserve"> (</w:t>
      </w:r>
      <w:proofErr w:type="spellStart"/>
      <w:r>
        <w:t>CSRs</w:t>
      </w:r>
      <w:proofErr w:type="spellEnd"/>
      <w:r>
        <w:t xml:space="preserve">), které v rámci evropského semestru schvaluje Rada EU. Vedle toho by všechny ČS měly ve svých NPO reflektovat společné </w:t>
      </w:r>
      <w:proofErr w:type="spellStart"/>
      <w:r>
        <w:t>celounijní</w:t>
      </w:r>
      <w:proofErr w:type="spellEnd"/>
      <w:r>
        <w:t xml:space="preserve"> výzvy, tedy tzv. </w:t>
      </w:r>
      <w:proofErr w:type="spellStart"/>
      <w:r w:rsidRPr="00FB0EDD">
        <w:rPr>
          <w:b/>
        </w:rPr>
        <w:t>flagships</w:t>
      </w:r>
      <w:proofErr w:type="spellEnd"/>
      <w:r>
        <w:t xml:space="preserve"> (vlajkové iniciativy), které EK stanovila v rámci zářijového sdělení Roční strategie pro udržitelný růst 2021 (ASGS).</w:t>
      </w:r>
    </w:p>
    <w:p w14:paraId="56BAFBCB" w14:textId="548BBE01" w:rsidR="00FB0EDD" w:rsidRDefault="00FB0EDD" w:rsidP="00FB0EDD">
      <w:pPr>
        <w:jc w:val="both"/>
      </w:pPr>
      <w:r>
        <w:t xml:space="preserve">NPO mají dále posilovat potenciál </w:t>
      </w:r>
      <w:r w:rsidRPr="00FB0EDD">
        <w:rPr>
          <w:b/>
        </w:rPr>
        <w:t>růstu</w:t>
      </w:r>
      <w:r>
        <w:t xml:space="preserve">, tvorby </w:t>
      </w:r>
      <w:r w:rsidRPr="00FB0EDD">
        <w:rPr>
          <w:b/>
        </w:rPr>
        <w:t>pracovních míst</w:t>
      </w:r>
      <w:r>
        <w:t xml:space="preserve"> a ekonomickou a sociální odolnost. </w:t>
      </w:r>
      <w:r w:rsidRPr="00FB0EDD">
        <w:rPr>
          <w:b/>
        </w:rPr>
        <w:t>V</w:t>
      </w:r>
      <w:r>
        <w:rPr>
          <w:b/>
        </w:rPr>
        <w:t> </w:t>
      </w:r>
      <w:r w:rsidRPr="00FB0EDD">
        <w:rPr>
          <w:b/>
        </w:rPr>
        <w:t>neposlední řadě přispívat i k zelené a digitální transformaci</w:t>
      </w:r>
      <w:r>
        <w:t xml:space="preserve">. Konkrétně (v návaznosti na závazek ER k dosažení klimatického </w:t>
      </w:r>
      <w:proofErr w:type="spellStart"/>
      <w:r>
        <w:t>mainstreamingu</w:t>
      </w:r>
      <w:proofErr w:type="spellEnd"/>
      <w:r>
        <w:t xml:space="preserve">) musí plány všech ČS zahrnovat minimálně </w:t>
      </w:r>
      <w:r w:rsidRPr="00FB0EDD">
        <w:rPr>
          <w:b/>
        </w:rPr>
        <w:t>37 % výdajů souvisejících s</w:t>
      </w:r>
      <w:r>
        <w:rPr>
          <w:b/>
        </w:rPr>
        <w:t> </w:t>
      </w:r>
      <w:r w:rsidRPr="00FB0EDD">
        <w:rPr>
          <w:b/>
        </w:rPr>
        <w:t>klimatickou politikou</w:t>
      </w:r>
      <w:r>
        <w:t xml:space="preserve"> a dále také </w:t>
      </w:r>
      <w:r w:rsidRPr="00FB0EDD">
        <w:rPr>
          <w:b/>
        </w:rPr>
        <w:t>20 % výdajů na digitalizaci</w:t>
      </w:r>
      <w:r>
        <w:t xml:space="preserve">. Zároveň musí všechny reformy a investice v plánu splňovat princip </w:t>
      </w:r>
      <w:r w:rsidRPr="00FB0EDD">
        <w:rPr>
          <w:b/>
        </w:rPr>
        <w:t xml:space="preserve">do no </w:t>
      </w:r>
      <w:proofErr w:type="spellStart"/>
      <w:r w:rsidRPr="00FB0EDD">
        <w:rPr>
          <w:b/>
        </w:rPr>
        <w:t>significant</w:t>
      </w:r>
      <w:proofErr w:type="spellEnd"/>
      <w:r w:rsidRPr="00FB0EDD">
        <w:rPr>
          <w:b/>
        </w:rPr>
        <w:t xml:space="preserve"> </w:t>
      </w:r>
      <w:proofErr w:type="spellStart"/>
      <w:r w:rsidRPr="00FB0EDD">
        <w:rPr>
          <w:b/>
        </w:rPr>
        <w:t>harm</w:t>
      </w:r>
      <w:proofErr w:type="spellEnd"/>
      <w:r>
        <w:t xml:space="preserve"> (princip významně neškodit životnímu prostředí).</w:t>
      </w:r>
    </w:p>
    <w:p w14:paraId="411D5213" w14:textId="77777777" w:rsidR="00FB0EDD" w:rsidRDefault="00FB0EDD" w:rsidP="00FB0EDD">
      <w:pPr>
        <w:jc w:val="both"/>
      </w:pPr>
      <w:r w:rsidRPr="00FB0EDD">
        <w:rPr>
          <w:b/>
        </w:rPr>
        <w:t>Celková alokace RRF</w:t>
      </w:r>
      <w:r>
        <w:t xml:space="preserve"> je 672,5 mld. € – 312.5 € na granty, 360 € na půjčky. Předběžně odhadovaná alokace grantů RRF pro „národní obálku“ ČR (dle makroekonomických predikcí) dosahuje přibližně 6,8 mld. € (ve stálých cenách r. 2018; 7,3 mld. € v běžných cenách). Jistá je alokace jen na roky 2021 a 2022 (zhruba polovina obálky pro ČR), zbytek bude dopočten dle relativního vývoje HDP ČR (vůči vývoji průměru EU) v letech 2020 a 2021.</w:t>
      </w:r>
    </w:p>
    <w:p w14:paraId="35F8481E" w14:textId="77777777" w:rsidR="00FB0EDD" w:rsidRDefault="00FB0EDD" w:rsidP="00FB0EDD">
      <w:pPr>
        <w:jc w:val="both"/>
        <w:rPr>
          <w:rStyle w:val="Nadpis3Char"/>
        </w:rPr>
      </w:pPr>
    </w:p>
    <w:p w14:paraId="673474A0" w14:textId="77777777" w:rsidR="00FB0EDD" w:rsidRDefault="00FB0EDD" w:rsidP="00FB0EDD">
      <w:pPr>
        <w:jc w:val="both"/>
        <w:rPr>
          <w:rStyle w:val="Nadpis3Char"/>
        </w:rPr>
      </w:pPr>
    </w:p>
    <w:p w14:paraId="685D4433" w14:textId="10F3774D" w:rsidR="00FB0EDD" w:rsidRPr="00FB0EDD" w:rsidRDefault="00FB0EDD" w:rsidP="00FB0EDD">
      <w:pPr>
        <w:jc w:val="both"/>
      </w:pPr>
      <w:r w:rsidRPr="00FB0EDD">
        <w:rPr>
          <w:rStyle w:val="Nadpis3Char"/>
        </w:rPr>
        <w:lastRenderedPageBreak/>
        <w:t>Obecná pozice ČR</w:t>
      </w:r>
      <w:r>
        <w:rPr>
          <w:rStyle w:val="Znakapoznpodarou"/>
          <w:rFonts w:asciiTheme="majorHAnsi" w:eastAsiaTheme="majorEastAsia" w:hAnsiTheme="majorHAnsi" w:cstheme="majorBidi"/>
          <w:b/>
        </w:rPr>
        <w:footnoteReference w:id="1"/>
      </w:r>
      <w:r>
        <w:rPr>
          <w:b/>
          <w:bCs/>
          <w:sz w:val="16"/>
          <w:szCs w:val="16"/>
        </w:rPr>
        <w:t xml:space="preserve"> </w:t>
      </w:r>
    </w:p>
    <w:p w14:paraId="3352FA67" w14:textId="2ECB4809" w:rsidR="00FB0EDD" w:rsidRPr="00FB0EDD" w:rsidRDefault="00FB0EDD" w:rsidP="00FB0EDD">
      <w:pPr>
        <w:jc w:val="both"/>
      </w:pPr>
      <w:r w:rsidRPr="00FB0EDD">
        <w:rPr>
          <w:b/>
          <w:bCs/>
        </w:rPr>
        <w:t xml:space="preserve">Vláda ČR konstruktivně podpořila kompromisní znění </w:t>
      </w:r>
      <w:r w:rsidRPr="00FB0EDD">
        <w:t>návrhu nařízení o RRF na Radě EU, ačkoli k návrhu nařízení na předcházejících jednáních na technické úrovni vznášela zásadní připomínky. Nyní je z pohledu vlády důležité, aby pozměňovací návrhy EP neoslabily šanci ČR (a dalších členských států) efektivně čerpat podporu z</w:t>
      </w:r>
      <w:r>
        <w:t> </w:t>
      </w:r>
      <w:r w:rsidRPr="00FB0EDD">
        <w:t xml:space="preserve">RRF v plné výši dle „národní obálky“. </w:t>
      </w:r>
    </w:p>
    <w:p w14:paraId="115D1B09" w14:textId="77777777" w:rsidR="00FB0EDD" w:rsidRPr="00FB0EDD" w:rsidRDefault="00FB0EDD" w:rsidP="00FB0EDD">
      <w:pPr>
        <w:jc w:val="both"/>
      </w:pPr>
      <w:r w:rsidRPr="00FB0EDD">
        <w:t xml:space="preserve">Podpora z RRF bude významnou pobídkou </w:t>
      </w:r>
      <w:r w:rsidRPr="00FB0EDD">
        <w:rPr>
          <w:b/>
          <w:bCs/>
        </w:rPr>
        <w:t xml:space="preserve">pro oživení ekonomiky </w:t>
      </w:r>
      <w:r w:rsidRPr="00FB0EDD">
        <w:t xml:space="preserve">poškozené dopady </w:t>
      </w:r>
      <w:r w:rsidRPr="00FB0EDD">
        <w:rPr>
          <w:b/>
          <w:bCs/>
        </w:rPr>
        <w:t xml:space="preserve">pandemie onemocnění COVID-19. </w:t>
      </w:r>
      <w:r w:rsidRPr="00FB0EDD">
        <w:t xml:space="preserve">Pomůže ČR také v konvergenci, v posílení odolnosti a v celkové modernizaci (včetně digitální a zelené transformace) - pomocí reforem a veřejných investic s cílem udržitelného hospodářského rozvoj ČR. </w:t>
      </w:r>
    </w:p>
    <w:p w14:paraId="3BE2E509" w14:textId="77777777" w:rsidR="00FB0EDD" w:rsidRPr="00FB0EDD" w:rsidRDefault="00FB0EDD" w:rsidP="00FB0EDD">
      <w:pPr>
        <w:jc w:val="both"/>
      </w:pPr>
      <w:r w:rsidRPr="00FB0EDD">
        <w:t xml:space="preserve">Pro co nejvyšší efektivitu podpory z RRF by parametry fungování RRF měly </w:t>
      </w:r>
      <w:r w:rsidRPr="00FB0EDD">
        <w:rPr>
          <w:b/>
          <w:bCs/>
        </w:rPr>
        <w:t xml:space="preserve">zohledňovat strukturální specifika jednotlivých členských států </w:t>
      </w:r>
      <w:r w:rsidRPr="00FB0EDD">
        <w:t xml:space="preserve">(ČS). </w:t>
      </w:r>
      <w:r w:rsidRPr="00FB0EDD">
        <w:rPr>
          <w:b/>
          <w:bCs/>
        </w:rPr>
        <w:t xml:space="preserve">Národní </w:t>
      </w:r>
      <w:proofErr w:type="spellStart"/>
      <w:r w:rsidRPr="00FB0EDD">
        <w:rPr>
          <w:b/>
          <w:bCs/>
          <w:i/>
          <w:iCs/>
        </w:rPr>
        <w:t>ownership</w:t>
      </w:r>
      <w:proofErr w:type="spellEnd"/>
      <w:r w:rsidRPr="00FB0EDD">
        <w:rPr>
          <w:b/>
          <w:bCs/>
          <w:i/>
          <w:iCs/>
        </w:rPr>
        <w:t xml:space="preserve"> </w:t>
      </w:r>
      <w:r w:rsidRPr="00FB0EDD">
        <w:t xml:space="preserve">je klíčovým předpokladem, který umožní úspěšné provádění RRF. Pro zajištění dostatečné úrovně </w:t>
      </w:r>
      <w:proofErr w:type="spellStart"/>
      <w:r w:rsidRPr="00FB0EDD">
        <w:rPr>
          <w:i/>
          <w:iCs/>
        </w:rPr>
        <w:t>ownershipu</w:t>
      </w:r>
      <w:proofErr w:type="spellEnd"/>
      <w:r w:rsidRPr="00FB0EDD">
        <w:rPr>
          <w:i/>
          <w:iCs/>
        </w:rPr>
        <w:t xml:space="preserve"> </w:t>
      </w:r>
      <w:r w:rsidRPr="00FB0EDD">
        <w:t xml:space="preserve">ČS k jejich závazkům by měl existovat dostatečný prostor pro promítnutí </w:t>
      </w:r>
      <w:r w:rsidRPr="00FB0EDD">
        <w:rPr>
          <w:b/>
          <w:bCs/>
        </w:rPr>
        <w:t xml:space="preserve">národních priorit </w:t>
      </w:r>
      <w:r w:rsidRPr="00FB0EDD">
        <w:t xml:space="preserve">do plánů na podporu oživení a odolnosti (Národního plánu obnovy, NPO) a zohlednění </w:t>
      </w:r>
      <w:r w:rsidRPr="00FB0EDD">
        <w:rPr>
          <w:b/>
          <w:bCs/>
        </w:rPr>
        <w:t>specifičnosti výzev pro jednotlivé ČS i jejich výchozích podmínek</w:t>
      </w:r>
      <w:r w:rsidRPr="00FB0EDD">
        <w:t xml:space="preserve">. </w:t>
      </w:r>
    </w:p>
    <w:p w14:paraId="2AE41EC1" w14:textId="4FB21C6D" w:rsidR="00FB0EDD" w:rsidRDefault="00FB0EDD" w:rsidP="00FB0EDD">
      <w:pPr>
        <w:jc w:val="both"/>
      </w:pPr>
      <w:r w:rsidRPr="00FB0EDD">
        <w:t xml:space="preserve">ČR proto prosazuje, </w:t>
      </w:r>
      <w:r w:rsidRPr="00FB0EDD">
        <w:rPr>
          <w:b/>
          <w:bCs/>
        </w:rPr>
        <w:t xml:space="preserve">aby čerpání z RRF bylo co nejefektivnější bez nadměrné administrativní zátěže a co nejflexibilnější </w:t>
      </w:r>
      <w:r w:rsidRPr="00FB0EDD">
        <w:t>z hlediska procesu fungování, rozsahu působnosti, šíře způsobilosti opatření dle posuzovacích kritérií i časového horizontu.</w:t>
      </w:r>
    </w:p>
    <w:p w14:paraId="5F5EC06A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/>
        </w:rPr>
      </w:pPr>
      <w:r w:rsidRPr="00FB0EDD">
        <w:rPr>
          <w:b/>
        </w:rPr>
        <w:t>Základní kritéria pro přípravu NPO</w:t>
      </w:r>
    </w:p>
    <w:p w14:paraId="5108917A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t>Kritéria pro přípravu NPO vyplývají z dohody na ER a z ní vyplývajících pokynů obsažených v rámci Roční strategie pro udržitelný růst 2021 (ASGS), která byla zveřejněna dne 17. září 2020.</w:t>
      </w:r>
    </w:p>
    <w:p w14:paraId="50C1CF89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rPr>
          <w:i/>
          <w:u w:val="single"/>
        </w:rPr>
        <w:t>Zelená transformace:</w:t>
      </w:r>
      <w:r w:rsidRPr="00FB0EDD">
        <w:t xml:space="preserve"> minimálně 37 % výdajů souvisejících s klimatickou politikou.</w:t>
      </w:r>
    </w:p>
    <w:p w14:paraId="364388EC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rPr>
          <w:i/>
          <w:u w:val="single"/>
        </w:rPr>
        <w:t>Digitální transformace a produktivita:</w:t>
      </w:r>
      <w:r w:rsidRPr="00FB0EDD">
        <w:t xml:space="preserve"> minimálně 20 % výdajů na digitalizaci.</w:t>
      </w:r>
    </w:p>
    <w:p w14:paraId="57E88A84" w14:textId="39B4C8B9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rPr>
          <w:i/>
          <w:u w:val="single"/>
        </w:rPr>
        <w:t xml:space="preserve">Princip do no </w:t>
      </w:r>
      <w:proofErr w:type="spellStart"/>
      <w:r w:rsidRPr="00FB0EDD">
        <w:rPr>
          <w:i/>
          <w:u w:val="single"/>
        </w:rPr>
        <w:t>significant</w:t>
      </w:r>
      <w:proofErr w:type="spellEnd"/>
      <w:r w:rsidRPr="00FB0EDD">
        <w:rPr>
          <w:i/>
          <w:u w:val="single"/>
        </w:rPr>
        <w:t xml:space="preserve"> </w:t>
      </w:r>
      <w:proofErr w:type="spellStart"/>
      <w:r w:rsidRPr="00FB0EDD">
        <w:rPr>
          <w:i/>
          <w:u w:val="single"/>
        </w:rPr>
        <w:t>harm</w:t>
      </w:r>
      <w:proofErr w:type="spellEnd"/>
      <w:r w:rsidRPr="00FB0EDD">
        <w:rPr>
          <w:i/>
          <w:u w:val="single"/>
        </w:rPr>
        <w:t xml:space="preserve"> (významně neškodit):</w:t>
      </w:r>
      <w:r w:rsidRPr="00FB0EDD">
        <w:t xml:space="preserve"> Dle tzv. taxonomie </w:t>
      </w:r>
      <w:r w:rsidRPr="00FB0EDD">
        <w:t>EU – nenarušovat</w:t>
      </w:r>
      <w:r w:rsidRPr="00FB0EDD">
        <w:t xml:space="preserve"> naplňování 6</w:t>
      </w:r>
      <w:r>
        <w:t> </w:t>
      </w:r>
      <w:r w:rsidRPr="00FB0EDD">
        <w:t>klimatických a environmentálních cílů (</w:t>
      </w:r>
      <w:proofErr w:type="spellStart"/>
      <w:r w:rsidRPr="00FB0EDD">
        <w:t>mitigace</w:t>
      </w:r>
      <w:proofErr w:type="spellEnd"/>
      <w:r w:rsidRPr="00FB0EDD">
        <w:t xml:space="preserve"> a adaptace změny klimatu, ochrana vody, oběhové hospodářství, redukce znečistění, ochrana biodiverzity).</w:t>
      </w:r>
    </w:p>
    <w:p w14:paraId="0F16E06B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rPr>
          <w:i/>
          <w:u w:val="single"/>
        </w:rPr>
        <w:t>Výzvy specifické pro jednotlivé ČS:</w:t>
      </w:r>
      <w:r w:rsidRPr="00FB0EDD">
        <w:t xml:space="preserve"> zejména </w:t>
      </w:r>
      <w:proofErr w:type="spellStart"/>
      <w:r w:rsidRPr="00FB0EDD">
        <w:t>CSRs</w:t>
      </w:r>
      <w:proofErr w:type="spellEnd"/>
      <w:r w:rsidRPr="00FB0EDD">
        <w:t xml:space="preserve"> 2019 a 2020 (identifikované v rámci evropského semestru): Doporučení se týkají udržitelnosti veřejných financí v kontextu důchodového systému a systému zdravotní péče, politiky zaměstnanosti, vzdělávání (mj. i v kontextu digitalizace), zelené a digitální transformace ekonomiky apod.</w:t>
      </w:r>
    </w:p>
    <w:p w14:paraId="7BAC2303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rPr>
          <w:i/>
          <w:u w:val="single"/>
        </w:rPr>
        <w:t>Výzvy společné pro všechny ČS:</w:t>
      </w:r>
      <w:r w:rsidRPr="00FB0EDD">
        <w:t xml:space="preserve"> tzv. </w:t>
      </w:r>
      <w:proofErr w:type="spellStart"/>
      <w:r w:rsidRPr="00FB0EDD">
        <w:t>flagships</w:t>
      </w:r>
      <w:proofErr w:type="spellEnd"/>
      <w:r w:rsidRPr="00FB0EDD">
        <w:t xml:space="preserve"> (vlajkové iniciativy):</w:t>
      </w:r>
    </w:p>
    <w:p w14:paraId="15C8287F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t>1. „POWER UP“: podpora čistých technologií a zrychlení vývoje a využívání obnovitelných zdrojů (např. 1 mil. tun obnovitelného vodíku v rámci celé EU do 2025),</w:t>
      </w:r>
    </w:p>
    <w:p w14:paraId="3AC65419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t>2. „RENOVATE“: zvýšení energetické účinnosti veřejných i soukromých budov,</w:t>
      </w:r>
    </w:p>
    <w:p w14:paraId="65951341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t>3. „RECHARGE AND REFUEL“: podpora udržitelné, dostupné a chytré dopravy (1 mil. dobíjecích stanic na vodík),</w:t>
      </w:r>
    </w:p>
    <w:p w14:paraId="23108C17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t>4. „CONNECT“: podpora dostupnosti vysokorychlostního připojení (do roku 2025 bude 5G co nejvíce rozšířené ve všech oblastech),</w:t>
      </w:r>
    </w:p>
    <w:p w14:paraId="4CDB2246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t>5. „MODERNISE“: digitalizace veřejné správy (ČS by měly do roku 2025 poskytovat e-ID),</w:t>
      </w:r>
    </w:p>
    <w:p w14:paraId="0DBEC20E" w14:textId="77777777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t xml:space="preserve">6. „SCALE-UP“: podpora </w:t>
      </w:r>
      <w:proofErr w:type="spellStart"/>
      <w:r w:rsidRPr="00FB0EDD">
        <w:t>cloudových</w:t>
      </w:r>
      <w:proofErr w:type="spellEnd"/>
      <w:r w:rsidRPr="00FB0EDD">
        <w:t xml:space="preserve"> kapacit, energeticky účinné procesory (do roku 2025 zdvojnásobit produkci polovodičů a produkovat 1krát více energeticky účinných procesorů),</w:t>
      </w:r>
    </w:p>
    <w:p w14:paraId="7EF96805" w14:textId="6A2758C4" w:rsidR="00FB0EDD" w:rsidRPr="00FB0EDD" w:rsidRDefault="00FB0EDD" w:rsidP="00FB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FB0EDD">
        <w:t>7. „RESKILL AND UPSKILL“: s důrazem na digitální dovednosti a vzdělávání (do roku 2025 zvýšit podíl Evropanů ve věku 16-74 let, kteří disponují základními digitálními dovednostmi, na 70 %).</w:t>
      </w:r>
    </w:p>
    <w:sectPr w:rsidR="00FB0EDD" w:rsidRPr="00FB0EDD" w:rsidSect="00FB0E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40625" w14:textId="77777777" w:rsidR="00A546E3" w:rsidRDefault="00A546E3" w:rsidP="00677FE0">
      <w:pPr>
        <w:spacing w:after="0" w:line="240" w:lineRule="auto"/>
      </w:pPr>
      <w:r>
        <w:separator/>
      </w:r>
    </w:p>
  </w:endnote>
  <w:endnote w:type="continuationSeparator" w:id="0">
    <w:p w14:paraId="3F7D70B9" w14:textId="77777777" w:rsidR="00A546E3" w:rsidRDefault="00A546E3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E0B8C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0DFC7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86CC2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B066E" w14:textId="77777777" w:rsidR="00A546E3" w:rsidRDefault="00A546E3" w:rsidP="00677FE0">
      <w:pPr>
        <w:spacing w:after="0" w:line="240" w:lineRule="auto"/>
      </w:pPr>
      <w:r>
        <w:separator/>
      </w:r>
    </w:p>
  </w:footnote>
  <w:footnote w:type="continuationSeparator" w:id="0">
    <w:p w14:paraId="6BCE8188" w14:textId="77777777" w:rsidR="00A546E3" w:rsidRDefault="00A546E3" w:rsidP="00677FE0">
      <w:pPr>
        <w:spacing w:after="0" w:line="240" w:lineRule="auto"/>
      </w:pPr>
      <w:r>
        <w:continuationSeparator/>
      </w:r>
    </w:p>
  </w:footnote>
  <w:footnote w:id="1">
    <w:p w14:paraId="541C113A" w14:textId="7D4EE330" w:rsidR="00FB0EDD" w:rsidRDefault="00FB0E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B0EDD">
        <w:t xml:space="preserve">Podrobná pozice je formulována v Rámcové pozici k návrhu nařízení Evropského parlamentu a Rady, kterým se zřizuje </w:t>
      </w:r>
      <w:proofErr w:type="spellStart"/>
      <w:r w:rsidRPr="00FB0EDD">
        <w:t>facilita</w:t>
      </w:r>
      <w:proofErr w:type="spellEnd"/>
      <w:r w:rsidRPr="00FB0EDD">
        <w:t xml:space="preserve"> na podporu oživení a odolnosti, která byla schválena dne 29. června 2020 vládním Výborem pro EU.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03866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C590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0D82E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E3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546E3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  <w:rsid w:val="00FB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FC419"/>
  <w15:chartTrackingRefBased/>
  <w15:docId w15:val="{A4671F52-6CF8-46F3-A4EE-5D81BF84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rsid w:val="00FB0E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B0E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B0EDD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B0E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827F7-51B6-482F-86F3-F01AC129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DE582C34.dotm</Template>
  <TotalTime>10</TotalTime>
  <Pages>2</Pages>
  <Words>975</Words>
  <Characters>5759</Characters>
  <Application>Microsoft Office Word</Application>
  <DocSecurity>0</DocSecurity>
  <Lines>47</Lines>
  <Paragraphs>13</Paragraphs>
  <ScaleCrop>false</ScaleCrop>
  <Company>Ministerstvo průmyslu a obchodu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Pápai Adam</dc:creator>
  <cp:keywords/>
  <dc:description/>
  <cp:lastModifiedBy>Pápai Adam</cp:lastModifiedBy>
  <cp:revision>2</cp:revision>
  <dcterms:created xsi:type="dcterms:W3CDTF">2020-12-02T12:58:00Z</dcterms:created>
  <dcterms:modified xsi:type="dcterms:W3CDTF">2020-12-02T13:08:00Z</dcterms:modified>
</cp:coreProperties>
</file>